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4EEF9" w14:textId="77777777" w:rsidR="00754C9A" w:rsidRDefault="00754C9A" w:rsidP="00441B6F">
      <w:pPr>
        <w:pStyle w:val="Title"/>
        <w:spacing w:after="0"/>
        <w:jc w:val="both"/>
        <w:rPr>
          <w:rFonts w:ascii="Arial" w:hAnsi="Arial" w:cs="Arial"/>
        </w:rPr>
      </w:pPr>
    </w:p>
    <w:p w14:paraId="3370EA85" w14:textId="12646090" w:rsidR="00BF4856" w:rsidRDefault="00BF4856" w:rsidP="0030738B">
      <w:pPr>
        <w:jc w:val="center"/>
        <w:rPr>
          <w:rFonts w:ascii="Arial" w:hAnsi="Arial" w:cs="Arial"/>
          <w:b/>
          <w:bCs/>
          <w:sz w:val="28"/>
          <w:szCs w:val="28"/>
        </w:rPr>
      </w:pPr>
      <w:bookmarkStart w:id="0" w:name="_Hlk215299197"/>
      <w:r w:rsidRPr="00BF4856">
        <w:rPr>
          <w:rFonts w:ascii="Arial" w:hAnsi="Arial" w:cs="Arial"/>
          <w:b/>
          <w:bCs/>
          <w:sz w:val="28"/>
          <w:szCs w:val="28"/>
          <w:lang w:val="en-GB"/>
        </w:rPr>
        <w:t>Original Research Article</w:t>
      </w:r>
    </w:p>
    <w:p w14:paraId="12278119" w14:textId="39A96ABF" w:rsidR="0030738B" w:rsidRPr="0030738B" w:rsidRDefault="0030738B" w:rsidP="0030738B">
      <w:pPr>
        <w:jc w:val="center"/>
        <w:rPr>
          <w:rFonts w:ascii="Arial" w:hAnsi="Arial" w:cs="Arial"/>
          <w:b/>
          <w:bCs/>
          <w:sz w:val="28"/>
          <w:szCs w:val="28"/>
        </w:rPr>
      </w:pPr>
      <w:r w:rsidRPr="0030738B">
        <w:rPr>
          <w:rFonts w:ascii="Arial" w:hAnsi="Arial" w:cs="Arial"/>
          <w:b/>
          <w:bCs/>
          <w:sz w:val="28"/>
          <w:szCs w:val="28"/>
        </w:rPr>
        <w:t xml:space="preserve">Dosage optimization of methionine and </w:t>
      </w:r>
      <w:r w:rsidRPr="0030738B">
        <w:rPr>
          <w:rFonts w:ascii="Arial" w:hAnsi="Arial" w:cs="Arial"/>
          <w:b/>
          <w:bCs/>
          <w:i/>
          <w:iCs/>
          <w:sz w:val="28"/>
          <w:szCs w:val="28"/>
        </w:rPr>
        <w:t xml:space="preserve">Moringa oleifera </w:t>
      </w:r>
      <w:r w:rsidRPr="0030738B">
        <w:rPr>
          <w:rFonts w:ascii="Arial" w:hAnsi="Arial" w:cs="Arial"/>
          <w:b/>
          <w:bCs/>
          <w:sz w:val="28"/>
          <w:szCs w:val="28"/>
        </w:rPr>
        <w:t xml:space="preserve">leaf extract for </w:t>
      </w:r>
      <w:r w:rsidRPr="0030738B">
        <w:rPr>
          <w:rFonts w:ascii="Arial" w:hAnsi="Arial" w:cs="Arial"/>
          <w:b/>
          <w:bCs/>
          <w:i/>
          <w:iCs/>
          <w:sz w:val="28"/>
          <w:szCs w:val="28"/>
        </w:rPr>
        <w:t>in ovo</w:t>
      </w:r>
      <w:r w:rsidRPr="0030738B">
        <w:rPr>
          <w:rFonts w:ascii="Arial" w:hAnsi="Arial" w:cs="Arial"/>
          <w:b/>
          <w:bCs/>
          <w:sz w:val="28"/>
          <w:szCs w:val="28"/>
        </w:rPr>
        <w:t xml:space="preserve"> feeding in Japanese quails</w:t>
      </w:r>
    </w:p>
    <w:p w14:paraId="1362B0A1" w14:textId="77777777" w:rsidR="00A258C3" w:rsidRPr="0030738B" w:rsidRDefault="00A258C3" w:rsidP="00441B6F">
      <w:pPr>
        <w:pStyle w:val="Author"/>
        <w:spacing w:line="240" w:lineRule="auto"/>
        <w:jc w:val="both"/>
        <w:rPr>
          <w:rFonts w:ascii="Arial" w:hAnsi="Arial" w:cs="Arial"/>
          <w:sz w:val="28"/>
          <w:szCs w:val="28"/>
        </w:rPr>
      </w:pPr>
    </w:p>
    <w:p w14:paraId="456661E0" w14:textId="77777777" w:rsidR="00A00D0C" w:rsidRPr="0030738B" w:rsidRDefault="00A00D0C" w:rsidP="00BF4856">
      <w:pPr>
        <w:jc w:val="center"/>
        <w:rPr>
          <w:rFonts w:ascii="Arial" w:hAnsi="Arial" w:cs="Arial"/>
          <w:b/>
          <w:bCs/>
          <w:sz w:val="22"/>
          <w:szCs w:val="22"/>
        </w:rPr>
      </w:pPr>
    </w:p>
    <w:p w14:paraId="360D5DF5" w14:textId="77777777" w:rsidR="00790ADA" w:rsidRPr="0030738B" w:rsidRDefault="00790ADA" w:rsidP="0030738B">
      <w:pPr>
        <w:jc w:val="center"/>
        <w:rPr>
          <w:rFonts w:ascii="Arial" w:hAnsi="Arial" w:cs="Arial"/>
          <w:b/>
          <w:bCs/>
          <w:sz w:val="22"/>
          <w:szCs w:val="22"/>
        </w:rPr>
      </w:pPr>
    </w:p>
    <w:p w14:paraId="0731769A" w14:textId="4F8F7D4A" w:rsidR="00B01FCD" w:rsidRPr="00FB3A86" w:rsidRDefault="00E6275D" w:rsidP="00441B6F">
      <w:pPr>
        <w:pStyle w:val="Copyright"/>
        <w:spacing w:after="0" w:line="240" w:lineRule="auto"/>
        <w:jc w:val="both"/>
        <w:rPr>
          <w:rFonts w:ascii="Arial" w:hAnsi="Arial" w:cs="Arial"/>
        </w:rPr>
        <w:sectPr w:rsidR="00B01FCD" w:rsidRPr="00FB3A86" w:rsidSect="00E627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AF5023B" wp14:editId="438139B4">
                <wp:extent cx="5303520" cy="635"/>
                <wp:effectExtent l="13335" t="18415" r="17145" b="10160"/>
                <wp:docPr id="14823083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0888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9FB83B" w14:textId="666F628E"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D6B71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CED4D54" w14:textId="77777777" w:rsidTr="001E44FE">
        <w:tc>
          <w:tcPr>
            <w:tcW w:w="9576" w:type="dxa"/>
            <w:shd w:val="clear" w:color="auto" w:fill="F2F2F2"/>
          </w:tcPr>
          <w:p w14:paraId="015E799C" w14:textId="6165E74A" w:rsidR="00A03B96" w:rsidRDefault="0030738B" w:rsidP="00441B6F">
            <w:pPr>
              <w:pStyle w:val="Body"/>
              <w:spacing w:after="0"/>
              <w:rPr>
                <w:rFonts w:ascii="Arial" w:eastAsia="Calibri" w:hAnsi="Arial" w:cs="Arial"/>
                <w:szCs w:val="22"/>
              </w:rPr>
            </w:pPr>
            <w:r w:rsidRPr="00F47978">
              <w:t xml:space="preserve">An experiment was conducted to optimize the dosage of methionine and </w:t>
            </w:r>
            <w:r w:rsidRPr="00F47978">
              <w:rPr>
                <w:i/>
                <w:iCs/>
              </w:rPr>
              <w:t>Moringa oleifera</w:t>
            </w:r>
            <w:r w:rsidRPr="00F47978">
              <w:t xml:space="preserve"> leaf extract (MOLE) for in ovo administration in Japanese quails, based on hatchability, chick weight, and early post-hatch viability. On day 14 of incubation, 700 live embryonated eggs were injected with 0.1 mL of either normal saline (T1); methionine at 1.5 mg (T2), 2 mg (T3), or 2.5 mg (T4); or MOLE at 10 µg (T5), 20 µg (T6), or 30 µg (T7). Hatchability, chick weight, and mortality up to 7 days post-hatch were recorded. The results indicated that the h</w:t>
            </w:r>
            <w:r w:rsidRPr="00667867">
              <w:t>atchability differed significantly (P&lt;0.05), with the highest values in T3 (85.00%) and T4 (84.00%). MOLE at 10 µg (T5) resulted in the lowest hatchability (65.00%). Chick weight varied significantly (P&lt;0.01), with T6 (9.18 g) producing the heaviest chicks and T7 (8.41 g) the lightest. Post-hatch mortality was lowest in the saline and methionine groups (5.06–9.52%) and highest in T5 and T6 (21.54% and 20.27%, respectively).</w:t>
            </w:r>
            <w:r w:rsidRPr="00F47978">
              <w:t xml:space="preserve"> </w:t>
            </w:r>
            <w:r w:rsidRPr="00667867">
              <w:t>Overall, methionine at 2.5 mg and MOLE at 30 µg per egg were identified as safe doses for in ovo injection in Japanese quails, without compromising hatchability or early chick survival.</w:t>
            </w:r>
          </w:p>
          <w:p w14:paraId="6E6A3E84" w14:textId="71255918" w:rsidR="00505F06" w:rsidRPr="00BA1B01" w:rsidRDefault="00505F06" w:rsidP="00441B6F">
            <w:pPr>
              <w:pStyle w:val="Body"/>
              <w:spacing w:after="0"/>
              <w:rPr>
                <w:rFonts w:ascii="Arial" w:eastAsia="Calibri" w:hAnsi="Arial" w:cs="Arial"/>
                <w:szCs w:val="22"/>
              </w:rPr>
            </w:pPr>
          </w:p>
        </w:tc>
      </w:tr>
    </w:tbl>
    <w:p w14:paraId="36BC87A0" w14:textId="77777777" w:rsidR="00636EB2" w:rsidRDefault="00636EB2" w:rsidP="00441B6F">
      <w:pPr>
        <w:pStyle w:val="Body"/>
        <w:spacing w:after="0"/>
        <w:rPr>
          <w:rFonts w:ascii="Arial" w:hAnsi="Arial" w:cs="Arial"/>
          <w:i/>
        </w:rPr>
      </w:pPr>
    </w:p>
    <w:p w14:paraId="36615616" w14:textId="77777777" w:rsidR="0030738B" w:rsidRDefault="00A24E7E" w:rsidP="00441B6F">
      <w:pPr>
        <w:pStyle w:val="Body"/>
        <w:spacing w:after="0"/>
        <w:rPr>
          <w:rFonts w:ascii="Arial" w:hAnsi="Arial" w:cs="Arial"/>
          <w:b/>
          <w:i/>
          <w:sz w:val="18"/>
        </w:rPr>
      </w:pPr>
      <w:r>
        <w:rPr>
          <w:rFonts w:ascii="Arial" w:hAnsi="Arial" w:cs="Arial"/>
          <w:i/>
        </w:rPr>
        <w:t>Keywords</w:t>
      </w:r>
      <w:r w:rsidR="0030738B" w:rsidRPr="0030738B">
        <w:rPr>
          <w:rFonts w:ascii="Arial" w:hAnsi="Arial" w:cs="Arial"/>
          <w:i/>
        </w:rPr>
        <w:t xml:space="preserve">: </w:t>
      </w:r>
      <w:r w:rsidR="0030738B" w:rsidRPr="0030738B">
        <w:rPr>
          <w:rFonts w:ascii="Arial" w:hAnsi="Arial" w:cs="Arial"/>
          <w:i/>
          <w:iCs/>
        </w:rPr>
        <w:t xml:space="preserve"> in ovo</w:t>
      </w:r>
      <w:r w:rsidR="0030738B" w:rsidRPr="0030738B">
        <w:rPr>
          <w:rFonts w:ascii="Arial" w:hAnsi="Arial" w:cs="Arial"/>
        </w:rPr>
        <w:t xml:space="preserve"> feeding, quail, methionine, Moringa leaf extract, hatchability, chick weight, post-hatch mortality</w:t>
      </w:r>
    </w:p>
    <w:p w14:paraId="65D863EB" w14:textId="77777777" w:rsidR="0024282C" w:rsidRDefault="0024282C" w:rsidP="00441B6F">
      <w:pPr>
        <w:pStyle w:val="Body"/>
        <w:spacing w:after="0"/>
        <w:rPr>
          <w:rFonts w:ascii="Arial" w:hAnsi="Arial" w:cs="Arial"/>
          <w:i/>
          <w:sz w:val="18"/>
        </w:rPr>
      </w:pPr>
    </w:p>
    <w:p w14:paraId="397E1A91" w14:textId="77777777" w:rsidR="00505F06" w:rsidRPr="00A24E7E" w:rsidRDefault="00505F06" w:rsidP="00441B6F">
      <w:pPr>
        <w:pStyle w:val="Body"/>
        <w:spacing w:after="0"/>
        <w:rPr>
          <w:rFonts w:ascii="Arial" w:hAnsi="Arial" w:cs="Arial"/>
          <w:i/>
        </w:rPr>
      </w:pPr>
    </w:p>
    <w:p w14:paraId="35CE119B" w14:textId="290EED5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86347C" w14:textId="77777777" w:rsidR="00790ADA" w:rsidRPr="00FB3A86" w:rsidRDefault="00790ADA" w:rsidP="00441B6F">
      <w:pPr>
        <w:pStyle w:val="AbstHead"/>
        <w:spacing w:after="0"/>
        <w:jc w:val="both"/>
        <w:rPr>
          <w:rFonts w:ascii="Arial" w:hAnsi="Arial" w:cs="Arial"/>
        </w:rPr>
      </w:pPr>
    </w:p>
    <w:p w14:paraId="67BA6F8E" w14:textId="77777777" w:rsidR="00A13897" w:rsidRDefault="00A13897" w:rsidP="00A13897">
      <w:pPr>
        <w:jc w:val="both"/>
        <w:rPr>
          <w:rFonts w:ascii="Times New Roman" w:hAnsi="Times New Roman"/>
        </w:rPr>
      </w:pPr>
      <w:r w:rsidRPr="00F47978">
        <w:rPr>
          <w:rFonts w:ascii="Times New Roman" w:hAnsi="Times New Roman"/>
        </w:rPr>
        <w:t xml:space="preserve">The technology of </w:t>
      </w:r>
      <w:r w:rsidRPr="00F47978">
        <w:rPr>
          <w:rFonts w:ascii="Times New Roman" w:hAnsi="Times New Roman"/>
          <w:i/>
          <w:iCs/>
        </w:rPr>
        <w:t>in ovo</w:t>
      </w:r>
      <w:r w:rsidRPr="00F47978">
        <w:rPr>
          <w:rFonts w:ascii="Times New Roman" w:hAnsi="Times New Roman"/>
        </w:rPr>
        <w:t xml:space="preserve"> injection demonstrates that supplementing eggs with specific nutrients can enhance embryonic development and improve physiological status during and after hatching. Such nutrient supplementation has been shown to increase body weight by improving nutrient digestion, intestinal absorption, and cellular metabolic activity within the digestive system (Kucharska-Gaca </w:t>
      </w:r>
      <w:r w:rsidRPr="00F47978">
        <w:rPr>
          <w:rFonts w:ascii="Times New Roman" w:hAnsi="Times New Roman"/>
          <w:i/>
          <w:iCs/>
        </w:rPr>
        <w:t>et al</w:t>
      </w:r>
      <w:r w:rsidRPr="00F47978">
        <w:rPr>
          <w:rFonts w:ascii="Times New Roman" w:hAnsi="Times New Roman"/>
        </w:rPr>
        <w:t xml:space="preserve">., 2017). Typically, nutrients are administered into the amniotic fluid during the late stages of incubation in the setter, specifically between embryonic day (ED) 14 and ED 18 in the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Typically, nutrients are administered into the amniotic fluid towards the end of incubation in setter compartment, that is, between embryonic day (ED) 14 and ED 18 in chicken embryo, a process referred to as </w:t>
      </w:r>
      <w:r w:rsidRPr="00F47978">
        <w:rPr>
          <w:rFonts w:ascii="Times New Roman" w:hAnsi="Times New Roman"/>
          <w:i/>
          <w:iCs/>
        </w:rPr>
        <w:t>in ovo</w:t>
      </w:r>
      <w:r w:rsidRPr="00F47978">
        <w:rPr>
          <w:rFonts w:ascii="Times New Roman" w:hAnsi="Times New Roman"/>
        </w:rPr>
        <w:t xml:space="preserve"> feeding (Das </w:t>
      </w:r>
      <w:r w:rsidRPr="00F47978">
        <w:rPr>
          <w:rFonts w:ascii="Times New Roman" w:hAnsi="Times New Roman"/>
          <w:i/>
          <w:iCs/>
        </w:rPr>
        <w:t>et al</w:t>
      </w:r>
      <w:r w:rsidRPr="00F47978">
        <w:rPr>
          <w:rFonts w:ascii="Times New Roman" w:hAnsi="Times New Roman"/>
        </w:rPr>
        <w:t xml:space="preserve">., 2021). </w:t>
      </w:r>
    </w:p>
    <w:p w14:paraId="69B8A525" w14:textId="77777777" w:rsidR="00A13897" w:rsidRPr="00F47978" w:rsidRDefault="00A13897" w:rsidP="00A13897">
      <w:pPr>
        <w:jc w:val="both"/>
        <w:rPr>
          <w:rFonts w:ascii="Times New Roman" w:hAnsi="Times New Roman"/>
        </w:rPr>
      </w:pPr>
    </w:p>
    <w:p w14:paraId="76569457" w14:textId="77777777" w:rsidR="00A13897" w:rsidRDefault="00A13897" w:rsidP="00A13897">
      <w:pPr>
        <w:jc w:val="both"/>
        <w:rPr>
          <w:rFonts w:ascii="Times New Roman" w:hAnsi="Times New Roman"/>
        </w:rPr>
      </w:pPr>
      <w:r w:rsidRPr="00F47978">
        <w:rPr>
          <w:rFonts w:ascii="Times New Roman" w:hAnsi="Times New Roman"/>
        </w:rPr>
        <w:t xml:space="preserve">Because a major portion of egg protein consists of antibodies (Losch </w:t>
      </w:r>
      <w:r w:rsidRPr="00F47978">
        <w:rPr>
          <w:rFonts w:ascii="Times New Roman" w:hAnsi="Times New Roman"/>
          <w:i/>
          <w:iCs/>
        </w:rPr>
        <w:t>et al</w:t>
      </w:r>
      <w:r w:rsidRPr="00F47978">
        <w:rPr>
          <w:rFonts w:ascii="Times New Roman" w:hAnsi="Times New Roman"/>
        </w:rPr>
        <w:t xml:space="preserve">., 1986), injecting amino acids or substances that prevent amino acid degradation may help preserve antibody integrity by reducing hydrolysis during incubation. In poultry, methionine is an essential amino acid that donates methyl groups for critical biochemical reactions (Waterland, 2006). However, when functioning as a methyl donor, methionine is metabolized to homocysteine, a compound with known toxic effects at elevated concentrations (Xie </w:t>
      </w:r>
      <w:r w:rsidRPr="00F47978">
        <w:rPr>
          <w:rFonts w:ascii="Times New Roman" w:hAnsi="Times New Roman"/>
          <w:i/>
          <w:iCs/>
        </w:rPr>
        <w:t>et al</w:t>
      </w:r>
      <w:r w:rsidRPr="00F47978">
        <w:rPr>
          <w:rFonts w:ascii="Times New Roman" w:hAnsi="Times New Roman"/>
        </w:rPr>
        <w:t xml:space="preserve">., 2007). Earlier studies, such as that of Coskun </w:t>
      </w:r>
      <w:r w:rsidRPr="00F47978">
        <w:rPr>
          <w:rFonts w:ascii="Times New Roman" w:hAnsi="Times New Roman"/>
          <w:i/>
          <w:iCs/>
        </w:rPr>
        <w:t>et al</w:t>
      </w:r>
      <w:r w:rsidRPr="00F47978">
        <w:rPr>
          <w:rFonts w:ascii="Times New Roman" w:hAnsi="Times New Roman"/>
        </w:rPr>
        <w:t xml:space="preserve">. (2014), reported that </w:t>
      </w:r>
      <w:r w:rsidRPr="00F47978">
        <w:rPr>
          <w:rFonts w:ascii="Times New Roman" w:hAnsi="Times New Roman"/>
          <w:i/>
          <w:iCs/>
        </w:rPr>
        <w:t>in ovo</w:t>
      </w:r>
      <w:r w:rsidRPr="00F47978">
        <w:rPr>
          <w:rFonts w:ascii="Times New Roman" w:hAnsi="Times New Roman"/>
        </w:rPr>
        <w:t xml:space="preserve"> injection of methionine increased chick hatch weight.</w:t>
      </w:r>
    </w:p>
    <w:p w14:paraId="73678E2E" w14:textId="77777777" w:rsidR="00A13897" w:rsidRPr="00F47978" w:rsidRDefault="00A13897" w:rsidP="00A13897">
      <w:pPr>
        <w:jc w:val="both"/>
        <w:rPr>
          <w:rFonts w:ascii="Times New Roman" w:hAnsi="Times New Roman"/>
        </w:rPr>
      </w:pPr>
    </w:p>
    <w:p w14:paraId="7285D42D" w14:textId="77777777" w:rsidR="00A13897" w:rsidRDefault="00A13897" w:rsidP="00A13897">
      <w:pPr>
        <w:jc w:val="both"/>
        <w:rPr>
          <w:rFonts w:ascii="Times New Roman" w:hAnsi="Times New Roman"/>
        </w:rPr>
      </w:pPr>
      <w:r w:rsidRPr="00F47978">
        <w:rPr>
          <w:rFonts w:ascii="Times New Roman" w:hAnsi="Times New Roman"/>
          <w:i/>
          <w:iCs/>
        </w:rPr>
        <w:lastRenderedPageBreak/>
        <w:t>Moringa oleifera</w:t>
      </w:r>
      <w:r w:rsidRPr="00F47978">
        <w:rPr>
          <w:rFonts w:ascii="Times New Roman" w:hAnsi="Times New Roman"/>
        </w:rPr>
        <w:t xml:space="preserve"> is a widely used medicinal plant containing numerous bioactive compounds of nutritional and therapeutic significance for both humans and animals. These include alkaloids, flavonoids, tannins, saponins, glycosides, phenols, and carotenoids (Teixeira </w:t>
      </w:r>
      <w:r w:rsidRPr="00F47978">
        <w:rPr>
          <w:rFonts w:ascii="Times New Roman" w:hAnsi="Times New Roman"/>
          <w:i/>
          <w:iCs/>
        </w:rPr>
        <w:t>et al</w:t>
      </w:r>
      <w:r w:rsidRPr="00F47978">
        <w:rPr>
          <w:rFonts w:ascii="Times New Roman" w:hAnsi="Times New Roman"/>
        </w:rPr>
        <w:t xml:space="preserve">., 2014; Nazmy </w:t>
      </w:r>
      <w:r w:rsidRPr="00F47978">
        <w:rPr>
          <w:rFonts w:ascii="Times New Roman" w:hAnsi="Times New Roman"/>
          <w:i/>
          <w:iCs/>
        </w:rPr>
        <w:t>et al</w:t>
      </w:r>
      <w:r w:rsidRPr="00F47978">
        <w:rPr>
          <w:rFonts w:ascii="Times New Roman" w:hAnsi="Times New Roman"/>
        </w:rPr>
        <w:t xml:space="preserve">., 2016). The characteristics and efficacy of alcoholic extracts of Moringa leaves can vary depending on the solvent used for extraction, which influences the profile of active compounds (Doughari </w:t>
      </w:r>
      <w:r w:rsidRPr="00F47978">
        <w:rPr>
          <w:rFonts w:ascii="Times New Roman" w:hAnsi="Times New Roman"/>
          <w:i/>
          <w:iCs/>
        </w:rPr>
        <w:t>et al</w:t>
      </w:r>
      <w:r w:rsidRPr="00F47978">
        <w:rPr>
          <w:rFonts w:ascii="Times New Roman" w:hAnsi="Times New Roman"/>
        </w:rPr>
        <w:t>., 2007).</w:t>
      </w:r>
    </w:p>
    <w:p w14:paraId="403DC2B3" w14:textId="77777777" w:rsidR="00A13897" w:rsidRPr="00F47978" w:rsidRDefault="00A13897" w:rsidP="00A13897">
      <w:pPr>
        <w:jc w:val="both"/>
        <w:rPr>
          <w:rFonts w:ascii="Times New Roman" w:hAnsi="Times New Roman"/>
        </w:rPr>
      </w:pPr>
    </w:p>
    <w:p w14:paraId="1329A4E2" w14:textId="77777777" w:rsidR="00A13897" w:rsidRPr="00F47978" w:rsidRDefault="00A13897" w:rsidP="00A13897">
      <w:pPr>
        <w:jc w:val="both"/>
        <w:rPr>
          <w:rFonts w:ascii="Times New Roman" w:hAnsi="Times New Roman"/>
        </w:rPr>
      </w:pPr>
      <w:r w:rsidRPr="00F47978">
        <w:rPr>
          <w:rFonts w:ascii="Times New Roman" w:hAnsi="Times New Roman"/>
        </w:rPr>
        <w:t xml:space="preserve">However, </w:t>
      </w:r>
      <w:r w:rsidRPr="00F47978">
        <w:rPr>
          <w:rFonts w:ascii="Times New Roman" w:hAnsi="Times New Roman"/>
          <w:i/>
          <w:iCs/>
        </w:rPr>
        <w:t>in ovo</w:t>
      </w:r>
      <w:r w:rsidRPr="00F47978">
        <w:rPr>
          <w:rFonts w:ascii="Times New Roman" w:hAnsi="Times New Roman"/>
        </w:rPr>
        <w:t xml:space="preserve"> feeding in Japanese quail embryos has been attempted only rarely, primarily due to the difficulty in visualizing live embryos through their characteristically pigmented eggshells. Although the safe doses of methionine and MOLE have been well established in chicken eggs, corresponding dose–response information for Japanese quail eggs remains limited. In this context, the present study was undertaken to evaluate three graded doses of methionine and MOLE in order to determine a safe and effective dosage based on hatchability and post-hatch viability.</w:t>
      </w:r>
    </w:p>
    <w:p w14:paraId="46B79B5C" w14:textId="77777777" w:rsidR="00790ADA" w:rsidRPr="00FB3A86" w:rsidRDefault="00790ADA" w:rsidP="00441B6F">
      <w:pPr>
        <w:pStyle w:val="Body"/>
        <w:spacing w:after="0"/>
        <w:rPr>
          <w:rFonts w:ascii="Arial" w:hAnsi="Arial" w:cs="Arial"/>
        </w:rPr>
      </w:pPr>
    </w:p>
    <w:p w14:paraId="22E96ADB" w14:textId="0750A4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FEDAA9" w14:textId="77777777" w:rsidR="00A13897" w:rsidRPr="00FB3A86" w:rsidRDefault="00A13897" w:rsidP="00441B6F">
      <w:pPr>
        <w:pStyle w:val="AbstHead"/>
        <w:spacing w:after="0"/>
        <w:jc w:val="both"/>
        <w:rPr>
          <w:rFonts w:ascii="Arial" w:hAnsi="Arial" w:cs="Arial"/>
        </w:rPr>
      </w:pPr>
    </w:p>
    <w:p w14:paraId="3AF3D58C" w14:textId="62A06883"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2.1 Preparation of methionine solution and MOLE</w:t>
      </w:r>
    </w:p>
    <w:p w14:paraId="37543686" w14:textId="77777777" w:rsidR="00A13897" w:rsidRPr="00A13897" w:rsidRDefault="00A13897" w:rsidP="00A13897">
      <w:pPr>
        <w:jc w:val="both"/>
        <w:rPr>
          <w:rFonts w:ascii="Arial" w:hAnsi="Arial" w:cs="Arial"/>
        </w:rPr>
      </w:pPr>
      <w:r w:rsidRPr="00A13897">
        <w:rPr>
          <w:rFonts w:ascii="Arial" w:hAnsi="Arial" w:cs="Arial"/>
        </w:rPr>
        <w:t xml:space="preserve">Methionine solutions for </w:t>
      </w:r>
      <w:r w:rsidRPr="00A13897">
        <w:rPr>
          <w:rFonts w:ascii="Arial" w:hAnsi="Arial" w:cs="Arial"/>
          <w:i/>
          <w:iCs/>
        </w:rPr>
        <w:t>in ovo</w:t>
      </w:r>
      <w:r w:rsidRPr="00A13897">
        <w:rPr>
          <w:rFonts w:ascii="Arial" w:hAnsi="Arial" w:cs="Arial"/>
        </w:rPr>
        <w:t xml:space="preserve"> administration were prepared by dissolving 450, 600, and 750 mg of feed-grade DL-methionine (PROMOIS, 99% purity) in 30 mL of normal saline so as to get injectant solutions of 15, 20 and 25 mg per ml. The solutions were filtered through a Millipore MCE membrane (0.22 µm) and warmed in a water bath at 35°C prior to injection (Nayak, 2015).</w:t>
      </w:r>
    </w:p>
    <w:p w14:paraId="78F6BCC2" w14:textId="77777777" w:rsidR="00A13897" w:rsidRPr="00A13897" w:rsidRDefault="00A13897" w:rsidP="00A13897">
      <w:pPr>
        <w:jc w:val="both"/>
        <w:rPr>
          <w:rFonts w:ascii="Arial" w:hAnsi="Arial" w:cs="Arial"/>
        </w:rPr>
      </w:pPr>
    </w:p>
    <w:p w14:paraId="34BC8447" w14:textId="77777777" w:rsidR="00A13897" w:rsidRPr="00A13897" w:rsidRDefault="00A13897" w:rsidP="00A13897">
      <w:pPr>
        <w:jc w:val="both"/>
        <w:rPr>
          <w:rFonts w:ascii="Arial" w:hAnsi="Arial" w:cs="Arial"/>
        </w:rPr>
      </w:pPr>
      <w:r w:rsidRPr="00A13897">
        <w:rPr>
          <w:rFonts w:ascii="Arial" w:hAnsi="Arial" w:cs="Arial"/>
          <w:i/>
          <w:iCs/>
        </w:rPr>
        <w:t>Moringa oleifera</w:t>
      </w:r>
      <w:r w:rsidRPr="00A13897">
        <w:rPr>
          <w:rFonts w:ascii="Arial" w:hAnsi="Arial" w:cs="Arial"/>
        </w:rPr>
        <w:t xml:space="preserve"> leaf extract (MOLE) was prepared following the protocol of Nŉanle </w:t>
      </w:r>
      <w:r w:rsidRPr="00A13897">
        <w:rPr>
          <w:rFonts w:ascii="Arial" w:hAnsi="Arial" w:cs="Arial"/>
          <w:i/>
          <w:iCs/>
        </w:rPr>
        <w:t>et al</w:t>
      </w:r>
      <w:r w:rsidRPr="00A13897">
        <w:rPr>
          <w:rFonts w:ascii="Arial" w:hAnsi="Arial" w:cs="Arial"/>
        </w:rPr>
        <w:t xml:space="preserve">. (2017). For </w:t>
      </w:r>
      <w:r w:rsidRPr="00A13897">
        <w:rPr>
          <w:rFonts w:ascii="Arial" w:hAnsi="Arial" w:cs="Arial"/>
          <w:i/>
          <w:iCs/>
        </w:rPr>
        <w:t>in ovo</w:t>
      </w:r>
      <w:r w:rsidRPr="00A13897">
        <w:rPr>
          <w:rFonts w:ascii="Arial" w:hAnsi="Arial" w:cs="Arial"/>
        </w:rPr>
        <w:t xml:space="preserve"> injection, 4, 8, and 12 mg of dried MOLE extract were dissolved in 40 mL of normal saline to obtain the working concentrations of 100, 200 and 300 µg per mL.</w:t>
      </w:r>
    </w:p>
    <w:p w14:paraId="65A1CE93" w14:textId="77777777" w:rsidR="00A13897" w:rsidRPr="00A13897" w:rsidRDefault="00A13897" w:rsidP="00A13897">
      <w:pPr>
        <w:jc w:val="both"/>
        <w:rPr>
          <w:rFonts w:ascii="Arial" w:hAnsi="Arial" w:cs="Arial"/>
        </w:rPr>
      </w:pPr>
    </w:p>
    <w:p w14:paraId="3F2B6A37" w14:textId="120FF8F7" w:rsidR="00A13897" w:rsidRPr="00A13897" w:rsidRDefault="00A13897" w:rsidP="00A13897">
      <w:pPr>
        <w:jc w:val="both"/>
        <w:rPr>
          <w:rFonts w:ascii="Arial" w:hAnsi="Arial" w:cs="Arial"/>
          <w:b/>
          <w:bCs/>
          <w:sz w:val="22"/>
          <w:szCs w:val="22"/>
        </w:rPr>
      </w:pPr>
      <w:r>
        <w:rPr>
          <w:rFonts w:ascii="Arial" w:hAnsi="Arial" w:cs="Arial"/>
          <w:b/>
          <w:bCs/>
          <w:i/>
          <w:iCs/>
          <w:sz w:val="22"/>
          <w:szCs w:val="22"/>
        </w:rPr>
        <w:t xml:space="preserve">2.2 </w:t>
      </w:r>
      <w:r w:rsidRPr="00A13897">
        <w:rPr>
          <w:rFonts w:ascii="Arial" w:hAnsi="Arial" w:cs="Arial"/>
          <w:b/>
          <w:bCs/>
          <w:i/>
          <w:iCs/>
          <w:sz w:val="22"/>
          <w:szCs w:val="22"/>
        </w:rPr>
        <w:t>In ovo</w:t>
      </w:r>
      <w:r w:rsidRPr="00A13897">
        <w:rPr>
          <w:rFonts w:ascii="Arial" w:hAnsi="Arial" w:cs="Arial"/>
          <w:b/>
          <w:bCs/>
          <w:sz w:val="22"/>
          <w:szCs w:val="22"/>
        </w:rPr>
        <w:t xml:space="preserve"> Injection Procedure</w:t>
      </w:r>
    </w:p>
    <w:p w14:paraId="7F969253" w14:textId="77777777" w:rsidR="00A13897" w:rsidRPr="00A13897" w:rsidRDefault="00A13897" w:rsidP="00A13897">
      <w:pPr>
        <w:jc w:val="both"/>
        <w:rPr>
          <w:rFonts w:ascii="Arial" w:hAnsi="Arial" w:cs="Arial"/>
        </w:rPr>
      </w:pPr>
      <w:r w:rsidRPr="00A13897">
        <w:rPr>
          <w:rFonts w:ascii="Arial" w:hAnsi="Arial" w:cs="Arial"/>
        </w:rPr>
        <w:t>The study was conducted in the hatchery of the Poultry Research Station, Madhavaram, Chennai. A total of 900 hatching eggs weighing 12.50 ± 0.50 g were collected from a 25-week-old Japanese quail flock. Eggs were incubated in a setter at 37.8°C with 60% relative humidity, and subsequently transferred to a hatcher set at 37°C with 85% relative humidity.</w:t>
      </w:r>
    </w:p>
    <w:p w14:paraId="065D4F78" w14:textId="77777777" w:rsidR="00A13897" w:rsidRPr="00A13897" w:rsidRDefault="00A13897" w:rsidP="00A13897">
      <w:pPr>
        <w:jc w:val="both"/>
        <w:rPr>
          <w:rFonts w:ascii="Arial" w:hAnsi="Arial" w:cs="Arial"/>
        </w:rPr>
      </w:pPr>
    </w:p>
    <w:p w14:paraId="4E786BE5" w14:textId="590094E7" w:rsidR="00A13897" w:rsidRPr="00A13897" w:rsidRDefault="00A13897" w:rsidP="00A13897">
      <w:pPr>
        <w:jc w:val="both"/>
        <w:rPr>
          <w:rFonts w:ascii="Arial" w:hAnsi="Arial" w:cs="Arial"/>
        </w:rPr>
      </w:pPr>
      <w:r w:rsidRPr="00A13897">
        <w:rPr>
          <w:rFonts w:ascii="Arial" w:hAnsi="Arial" w:cs="Arial"/>
        </w:rPr>
        <w:t>On the 14</w:t>
      </w:r>
      <w:r w:rsidRPr="00A13897">
        <w:rPr>
          <w:rFonts w:ascii="Arial" w:hAnsi="Arial" w:cs="Arial"/>
          <w:vertAlign w:val="superscript"/>
        </w:rPr>
        <w:t>th</w:t>
      </w:r>
      <w:r w:rsidRPr="00A13897">
        <w:rPr>
          <w:rFonts w:ascii="Arial" w:hAnsi="Arial" w:cs="Arial"/>
        </w:rPr>
        <w:t xml:space="preserve"> day of incubation, eggs were candled to identify live embryonated eggs. Live eggs were randomly allocated to seven treatment groups (100 eggs per treatment). During candling, the injection site was marked, after which the eggshell surface was disinfected with a 70% ethanol swab. A small hole was drilled at the marked site using an eggshell driller.</w:t>
      </w:r>
    </w:p>
    <w:p w14:paraId="1B67106D" w14:textId="77777777" w:rsidR="00A13897" w:rsidRPr="00A13897" w:rsidRDefault="00A13897" w:rsidP="00A13897">
      <w:pPr>
        <w:jc w:val="both"/>
        <w:rPr>
          <w:rFonts w:ascii="Arial" w:hAnsi="Arial" w:cs="Arial"/>
        </w:rPr>
      </w:pPr>
    </w:p>
    <w:p w14:paraId="7CCFFFD6" w14:textId="1ED99CF7" w:rsidR="00A13897" w:rsidRPr="00A13897" w:rsidRDefault="00A13897" w:rsidP="00A13897">
      <w:pPr>
        <w:jc w:val="both"/>
        <w:rPr>
          <w:rFonts w:ascii="Arial" w:hAnsi="Arial" w:cs="Arial"/>
        </w:rPr>
      </w:pPr>
      <w:r w:rsidRPr="00A13897">
        <w:rPr>
          <w:rFonts w:ascii="Arial" w:hAnsi="Arial" w:cs="Arial"/>
        </w:rPr>
        <w:t>Each egg was injected into the amniotic cavity with 0.1 mL of the respective treatment solution using a 26-gauge needle: T1: 0.9% normal saline (sham control); T2: Methionine @ 1.5 mg; T3: Methionine @ 2 mg; T4: Methionine @ 2.5 mg; T5: MOLE @ 10 µg; T6: MOLE @ 20 µg and T7: MOLE @ 30 µg.</w:t>
      </w:r>
    </w:p>
    <w:p w14:paraId="3589CD93" w14:textId="77777777" w:rsidR="00A13897" w:rsidRPr="00A13897" w:rsidRDefault="00A13897" w:rsidP="00A13897">
      <w:pPr>
        <w:jc w:val="both"/>
        <w:rPr>
          <w:rFonts w:ascii="Arial" w:hAnsi="Arial" w:cs="Arial"/>
        </w:rPr>
      </w:pPr>
    </w:p>
    <w:p w14:paraId="5296B82A" w14:textId="77777777" w:rsidR="00A13897" w:rsidRPr="00A13897" w:rsidRDefault="00A13897" w:rsidP="00A13897">
      <w:pPr>
        <w:jc w:val="both"/>
        <w:rPr>
          <w:rFonts w:ascii="Arial" w:hAnsi="Arial" w:cs="Arial"/>
        </w:rPr>
      </w:pPr>
      <w:r w:rsidRPr="00A13897">
        <w:rPr>
          <w:rFonts w:ascii="Arial" w:hAnsi="Arial" w:cs="Arial"/>
        </w:rPr>
        <w:t>Following injection, the perforation was sealed with synthetic glue, and incubation continued until hatch. On day 17, after completion of hatching, the number of hatched chicks per treatment was recorded and hatchability (%) was calculated. Chicks were weighed individually to determine hatch weight, wing-banded, and transferred to the brooding shed. Post-hatch mortality was recorded up to 7 days of age.</w:t>
      </w:r>
    </w:p>
    <w:p w14:paraId="7B24142C" w14:textId="05133DE0" w:rsidR="00A13897" w:rsidRPr="00A13897" w:rsidRDefault="00A13897" w:rsidP="00A13897">
      <w:pPr>
        <w:jc w:val="both"/>
        <w:rPr>
          <w:rFonts w:ascii="Arial" w:hAnsi="Arial" w:cs="Arial"/>
          <w:b/>
          <w:bCs/>
          <w:sz w:val="22"/>
          <w:szCs w:val="22"/>
        </w:rPr>
      </w:pPr>
      <w:r w:rsidRPr="00A13897">
        <w:rPr>
          <w:rFonts w:ascii="Arial" w:hAnsi="Arial" w:cs="Arial"/>
          <w:b/>
          <w:bCs/>
          <w:sz w:val="22"/>
          <w:szCs w:val="22"/>
        </w:rPr>
        <w:t>2.3 Statistical Analysis</w:t>
      </w:r>
    </w:p>
    <w:p w14:paraId="3226D1EC" w14:textId="77777777" w:rsidR="00A13897" w:rsidRPr="00A13897" w:rsidRDefault="00A13897" w:rsidP="00A13897">
      <w:pPr>
        <w:jc w:val="both"/>
        <w:rPr>
          <w:rFonts w:ascii="Arial" w:hAnsi="Arial" w:cs="Arial"/>
        </w:rPr>
      </w:pPr>
      <w:r w:rsidRPr="00A13897">
        <w:rPr>
          <w:rFonts w:ascii="Arial" w:hAnsi="Arial" w:cs="Arial"/>
        </w:rPr>
        <w:t>Data pertaining to hatchability, chick weight, and post-hatch mortality were analyzed using Analysis of Variance (ANOVA) following the procedures of Snedecor and Cochran (1990). Significant differences among treatment means were determined using Duncan’s Multiple Range Test (DMRT) as modified by Kramer (1956).</w:t>
      </w:r>
    </w:p>
    <w:p w14:paraId="71BA6488" w14:textId="77777777" w:rsidR="00790ADA" w:rsidRPr="00FB3A86" w:rsidRDefault="00790ADA" w:rsidP="00441B6F">
      <w:pPr>
        <w:pStyle w:val="Body"/>
        <w:spacing w:after="0"/>
        <w:rPr>
          <w:rFonts w:ascii="Arial" w:hAnsi="Arial" w:cs="Arial"/>
        </w:rPr>
      </w:pPr>
    </w:p>
    <w:p w14:paraId="16AFBAB5" w14:textId="0DC101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r w:rsidR="00A13897">
        <w:rPr>
          <w:rFonts w:ascii="Arial" w:hAnsi="Arial" w:cs="Arial"/>
        </w:rPr>
        <w:t xml:space="preserve"> and discussion</w:t>
      </w:r>
    </w:p>
    <w:p w14:paraId="33F5FBE4" w14:textId="25CFC7FC" w:rsidR="00A13897" w:rsidRDefault="00A13897" w:rsidP="00441B6F">
      <w:pPr>
        <w:pStyle w:val="Head1"/>
        <w:spacing w:after="0"/>
        <w:jc w:val="both"/>
        <w:rPr>
          <w:rFonts w:ascii="Arial" w:hAnsi="Arial" w:cs="Arial"/>
        </w:rPr>
      </w:pPr>
      <w:r>
        <w:rPr>
          <w:rFonts w:ascii="Arial" w:hAnsi="Arial" w:cs="Arial"/>
        </w:rPr>
        <w:t>3.1 results</w:t>
      </w:r>
    </w:p>
    <w:p w14:paraId="0D516F4C" w14:textId="77777777" w:rsid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The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different doses of methionine and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on hatchability, chick weight, and post-hatch mortality (0–7 days) are presented in Table 1.</w:t>
      </w:r>
    </w:p>
    <w:p w14:paraId="2D82449F" w14:textId="77777777" w:rsidR="007E5BE7" w:rsidRDefault="007E5BE7" w:rsidP="007E5BE7">
      <w:pPr>
        <w:pBdr>
          <w:between w:val="single" w:sz="4" w:space="1" w:color="auto"/>
        </w:pBdr>
        <w:rPr>
          <w:rFonts w:ascii="Times New Roman" w:hAnsi="Times New Roman"/>
          <w:b/>
          <w:bCs/>
        </w:rPr>
      </w:pPr>
      <w:r w:rsidRPr="007E5BE7">
        <w:rPr>
          <w:rFonts w:ascii="Times New Roman" w:hAnsi="Times New Roman"/>
          <w:b/>
          <w:bCs/>
        </w:rPr>
        <w:t xml:space="preserve">Table 1. Hatchability, chick weight and post-hatch mortality of Japanese quails as influenced by different doses of methionine and </w:t>
      </w:r>
      <w:r w:rsidRPr="007E5BE7">
        <w:rPr>
          <w:rFonts w:ascii="Times New Roman" w:hAnsi="Times New Roman"/>
          <w:b/>
          <w:bCs/>
          <w:i/>
          <w:iCs/>
        </w:rPr>
        <w:t>Moringa oleifera</w:t>
      </w:r>
      <w:r w:rsidRPr="007E5BE7">
        <w:rPr>
          <w:rFonts w:ascii="Times New Roman" w:hAnsi="Times New Roman"/>
          <w:b/>
          <w:bCs/>
        </w:rPr>
        <w:t xml:space="preserve"> leaf extract (MOLE) (Mean ± SE) </w:t>
      </w:r>
    </w:p>
    <w:p w14:paraId="41B1C267" w14:textId="77777777" w:rsidR="00A06962" w:rsidRPr="007E5BE7" w:rsidRDefault="00A06962" w:rsidP="007E5BE7">
      <w:pPr>
        <w:pBdr>
          <w:between w:val="single" w:sz="4" w:space="1" w:color="auto"/>
        </w:pBdr>
        <w:rPr>
          <w:rFonts w:ascii="Times New Roman" w:hAnsi="Times New Roman"/>
          <w:b/>
          <w:bCs/>
        </w:rPr>
      </w:pPr>
    </w:p>
    <w:tbl>
      <w:tblPr>
        <w:tblStyle w:val="TableGrid"/>
        <w:tblpPr w:leftFromText="181" w:rightFromText="181" w:vertAnchor="text" w:horzAnchor="margin" w:tblpY="1"/>
        <w:tblW w:w="8815" w:type="dxa"/>
        <w:tblLook w:val="04A0" w:firstRow="1" w:lastRow="0" w:firstColumn="1" w:lastColumn="0" w:noHBand="0" w:noVBand="1"/>
      </w:tblPr>
      <w:tblGrid>
        <w:gridCol w:w="3055"/>
        <w:gridCol w:w="1890"/>
        <w:gridCol w:w="1710"/>
        <w:gridCol w:w="2160"/>
      </w:tblGrid>
      <w:tr w:rsidR="007E5BE7" w:rsidRPr="00F47978" w14:paraId="06820DF1" w14:textId="77777777" w:rsidTr="007E5BE7">
        <w:trPr>
          <w:trHeight w:val="326"/>
        </w:trPr>
        <w:tc>
          <w:tcPr>
            <w:tcW w:w="3055" w:type="dxa"/>
            <w:hideMark/>
          </w:tcPr>
          <w:p w14:paraId="798F4B0B"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Treatment</w:t>
            </w:r>
          </w:p>
        </w:tc>
        <w:tc>
          <w:tcPr>
            <w:tcW w:w="1890" w:type="dxa"/>
            <w:hideMark/>
          </w:tcPr>
          <w:p w14:paraId="093EE98C"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Hatchability (%)</w:t>
            </w:r>
          </w:p>
          <w:p w14:paraId="4D925FC6" w14:textId="77777777" w:rsidR="007E5BE7" w:rsidRPr="00F47978" w:rsidRDefault="007E5BE7" w:rsidP="00414DC1">
            <w:pPr>
              <w:jc w:val="center"/>
              <w:rPr>
                <w:rFonts w:ascii="Times New Roman" w:hAnsi="Times New Roman"/>
                <w:b/>
                <w:bCs/>
              </w:rPr>
            </w:pPr>
            <w:r w:rsidRPr="00F47978">
              <w:rPr>
                <w:rFonts w:ascii="Times New Roman" w:hAnsi="Times New Roman"/>
                <w:b/>
                <w:bCs/>
              </w:rPr>
              <w:t>(n=100)</w:t>
            </w:r>
          </w:p>
        </w:tc>
        <w:tc>
          <w:tcPr>
            <w:tcW w:w="1710" w:type="dxa"/>
          </w:tcPr>
          <w:p w14:paraId="03710673" w14:textId="77777777" w:rsidR="007E5BE7" w:rsidRPr="00F47978" w:rsidRDefault="007E5BE7" w:rsidP="00414DC1">
            <w:pPr>
              <w:jc w:val="center"/>
              <w:rPr>
                <w:rFonts w:ascii="Times New Roman" w:hAnsi="Times New Roman"/>
                <w:b/>
                <w:bCs/>
                <w:lang w:val="en-IN"/>
              </w:rPr>
            </w:pPr>
            <w:r w:rsidRPr="00F47978">
              <w:rPr>
                <w:rFonts w:ascii="Times New Roman" w:hAnsi="Times New Roman"/>
                <w:b/>
                <w:bCs/>
                <w:lang w:val="en-IN"/>
              </w:rPr>
              <w:t>Chick weight (g)</w:t>
            </w:r>
          </w:p>
        </w:tc>
        <w:tc>
          <w:tcPr>
            <w:tcW w:w="2160" w:type="dxa"/>
            <w:hideMark/>
          </w:tcPr>
          <w:p w14:paraId="22112340" w14:textId="77777777" w:rsidR="007E5BE7" w:rsidRPr="00F47978" w:rsidRDefault="007E5BE7" w:rsidP="00414DC1">
            <w:pPr>
              <w:jc w:val="center"/>
              <w:rPr>
                <w:rFonts w:ascii="Times New Roman" w:hAnsi="Times New Roman"/>
                <w:b/>
                <w:bCs/>
              </w:rPr>
            </w:pPr>
            <w:r w:rsidRPr="00F47978">
              <w:rPr>
                <w:rFonts w:ascii="Times New Roman" w:hAnsi="Times New Roman"/>
                <w:b/>
                <w:bCs/>
                <w:lang w:val="en-IN"/>
              </w:rPr>
              <w:t>Post-hatch mortality (%) (0 – 7 days)</w:t>
            </w:r>
          </w:p>
        </w:tc>
      </w:tr>
      <w:tr w:rsidR="007E5BE7" w:rsidRPr="00F47978" w14:paraId="5C84BFF3" w14:textId="77777777" w:rsidTr="007E5BE7">
        <w:trPr>
          <w:trHeight w:val="191"/>
        </w:trPr>
        <w:tc>
          <w:tcPr>
            <w:tcW w:w="3055" w:type="dxa"/>
            <w:hideMark/>
          </w:tcPr>
          <w:p w14:paraId="465D9929" w14:textId="77777777" w:rsidR="007E5BE7" w:rsidRPr="00F47978" w:rsidRDefault="007E5BE7" w:rsidP="00414DC1">
            <w:pPr>
              <w:rPr>
                <w:rFonts w:ascii="Times New Roman" w:hAnsi="Times New Roman"/>
              </w:rPr>
            </w:pPr>
            <w:r w:rsidRPr="00F47978">
              <w:rPr>
                <w:rFonts w:ascii="Times New Roman" w:hAnsi="Times New Roman"/>
                <w:lang w:val="en-IN"/>
              </w:rPr>
              <w:t>T1 - Sham control - 0.9% saline</w:t>
            </w:r>
          </w:p>
        </w:tc>
        <w:tc>
          <w:tcPr>
            <w:tcW w:w="1890" w:type="dxa"/>
            <w:hideMark/>
          </w:tcPr>
          <w:p w14:paraId="0FC9A618"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5F5A549"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9.07</w:t>
            </w:r>
            <w:r w:rsidRPr="00F47978">
              <w:rPr>
                <w:rFonts w:ascii="Times New Roman" w:hAnsi="Times New Roman"/>
                <w:vertAlign w:val="superscript"/>
                <w:lang w:val="en-IN"/>
              </w:rPr>
              <w:t xml:space="preserve">ab </w:t>
            </w:r>
            <w:r w:rsidRPr="00F47978">
              <w:rPr>
                <w:rFonts w:ascii="Times New Roman" w:hAnsi="Times New Roman"/>
                <w:lang w:val="en-IN"/>
              </w:rPr>
              <w:t>± 0.08</w:t>
            </w:r>
          </w:p>
        </w:tc>
        <w:tc>
          <w:tcPr>
            <w:tcW w:w="2160" w:type="dxa"/>
            <w:hideMark/>
          </w:tcPr>
          <w:p w14:paraId="7BD2AEB1" w14:textId="77777777" w:rsidR="007E5BE7" w:rsidRPr="00F47978" w:rsidRDefault="007E5BE7" w:rsidP="00414DC1">
            <w:pPr>
              <w:jc w:val="center"/>
              <w:rPr>
                <w:rFonts w:ascii="Times New Roman" w:hAnsi="Times New Roman"/>
              </w:rPr>
            </w:pPr>
            <w:r w:rsidRPr="00F47978">
              <w:rPr>
                <w:rFonts w:ascii="Times New Roman" w:hAnsi="Times New Roman"/>
              </w:rPr>
              <w:t>5.06</w:t>
            </w:r>
            <w:r w:rsidRPr="00F47978">
              <w:rPr>
                <w:rFonts w:ascii="Times New Roman" w:hAnsi="Times New Roman"/>
                <w:vertAlign w:val="superscript"/>
                <w:lang w:val="en-IN"/>
              </w:rPr>
              <w:t>b</w:t>
            </w:r>
            <w:r w:rsidRPr="00F47978">
              <w:rPr>
                <w:rFonts w:ascii="Times New Roman" w:hAnsi="Times New Roman"/>
              </w:rPr>
              <w:t xml:space="preserve"> ± 2.48</w:t>
            </w:r>
          </w:p>
        </w:tc>
      </w:tr>
      <w:tr w:rsidR="007E5BE7" w:rsidRPr="00F47978" w14:paraId="685EF15D" w14:textId="77777777" w:rsidTr="007E5BE7">
        <w:trPr>
          <w:trHeight w:val="191"/>
        </w:trPr>
        <w:tc>
          <w:tcPr>
            <w:tcW w:w="3055" w:type="dxa"/>
            <w:hideMark/>
          </w:tcPr>
          <w:p w14:paraId="6BC4ACA9" w14:textId="77777777" w:rsidR="007E5BE7" w:rsidRPr="00F47978" w:rsidRDefault="007E5BE7" w:rsidP="00414DC1">
            <w:pPr>
              <w:rPr>
                <w:rFonts w:ascii="Times New Roman" w:hAnsi="Times New Roman"/>
              </w:rPr>
            </w:pPr>
            <w:r w:rsidRPr="00F47978">
              <w:rPr>
                <w:rFonts w:ascii="Times New Roman" w:hAnsi="Times New Roman"/>
                <w:lang w:val="en-IN"/>
              </w:rPr>
              <w:t>T2 - Methionine – 1.5 mg/egg</w:t>
            </w:r>
          </w:p>
        </w:tc>
        <w:tc>
          <w:tcPr>
            <w:tcW w:w="1890" w:type="dxa"/>
            <w:hideMark/>
          </w:tcPr>
          <w:p w14:paraId="7320B1FF" w14:textId="77777777" w:rsidR="007E5BE7" w:rsidRPr="00F47978" w:rsidRDefault="007E5BE7" w:rsidP="00414DC1">
            <w:pPr>
              <w:jc w:val="center"/>
              <w:rPr>
                <w:rFonts w:ascii="Times New Roman" w:hAnsi="Times New Roman"/>
              </w:rPr>
            </w:pPr>
            <w:r w:rsidRPr="00F47978">
              <w:rPr>
                <w:rFonts w:ascii="Times New Roman" w:hAnsi="Times New Roman"/>
                <w:lang w:val="en-IN"/>
              </w:rPr>
              <w:t>82.00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4859855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8.87</w:t>
            </w:r>
            <w:r w:rsidRPr="00F47978">
              <w:rPr>
                <w:rFonts w:ascii="Times New Roman" w:hAnsi="Times New Roman"/>
                <w:vertAlign w:val="superscript"/>
                <w:lang w:val="en-IN"/>
              </w:rPr>
              <w:t xml:space="preserve">bc </w:t>
            </w:r>
            <w:r w:rsidRPr="00F47978">
              <w:rPr>
                <w:rFonts w:ascii="Times New Roman" w:hAnsi="Times New Roman"/>
                <w:lang w:val="en-IN"/>
              </w:rPr>
              <w:t>± 0.08</w:t>
            </w:r>
          </w:p>
        </w:tc>
        <w:tc>
          <w:tcPr>
            <w:tcW w:w="2160" w:type="dxa"/>
            <w:hideMark/>
          </w:tcPr>
          <w:p w14:paraId="2D5D1E44" w14:textId="77777777" w:rsidR="007E5BE7" w:rsidRPr="00F47978" w:rsidRDefault="007E5BE7" w:rsidP="00414DC1">
            <w:pPr>
              <w:jc w:val="center"/>
              <w:rPr>
                <w:rFonts w:ascii="Times New Roman" w:hAnsi="Times New Roman"/>
              </w:rPr>
            </w:pPr>
            <w:r w:rsidRPr="00F47978">
              <w:rPr>
                <w:rFonts w:ascii="Times New Roman" w:hAnsi="Times New Roman"/>
              </w:rPr>
              <w:t>8.54</w:t>
            </w:r>
            <w:r w:rsidRPr="00F47978">
              <w:rPr>
                <w:rFonts w:ascii="Times New Roman" w:hAnsi="Times New Roman"/>
                <w:vertAlign w:val="superscript"/>
                <w:lang w:val="en-IN"/>
              </w:rPr>
              <w:t>b</w:t>
            </w:r>
            <w:r w:rsidRPr="00F47978">
              <w:rPr>
                <w:rFonts w:ascii="Times New Roman" w:hAnsi="Times New Roman"/>
              </w:rPr>
              <w:t xml:space="preserve"> ± 3.1</w:t>
            </w:r>
          </w:p>
        </w:tc>
      </w:tr>
      <w:tr w:rsidR="007E5BE7" w:rsidRPr="00F47978" w14:paraId="1BC599D0" w14:textId="77777777" w:rsidTr="007E5BE7">
        <w:trPr>
          <w:trHeight w:val="191"/>
        </w:trPr>
        <w:tc>
          <w:tcPr>
            <w:tcW w:w="3055" w:type="dxa"/>
            <w:hideMark/>
          </w:tcPr>
          <w:p w14:paraId="1D5E74BF" w14:textId="77777777" w:rsidR="007E5BE7" w:rsidRPr="00F47978" w:rsidRDefault="007E5BE7" w:rsidP="00414DC1">
            <w:pPr>
              <w:rPr>
                <w:rFonts w:ascii="Times New Roman" w:hAnsi="Times New Roman"/>
              </w:rPr>
            </w:pPr>
            <w:r w:rsidRPr="00F47978">
              <w:rPr>
                <w:rFonts w:ascii="Times New Roman" w:hAnsi="Times New Roman"/>
                <w:lang w:val="en-IN"/>
              </w:rPr>
              <w:t>T3 - Methionine - 2 mg/egg</w:t>
            </w:r>
          </w:p>
        </w:tc>
        <w:tc>
          <w:tcPr>
            <w:tcW w:w="1890" w:type="dxa"/>
            <w:hideMark/>
          </w:tcPr>
          <w:p w14:paraId="4BB195CF" w14:textId="77777777" w:rsidR="007E5BE7" w:rsidRPr="00F47978" w:rsidRDefault="007E5BE7" w:rsidP="00414DC1">
            <w:pPr>
              <w:jc w:val="center"/>
              <w:rPr>
                <w:rFonts w:ascii="Times New Roman" w:hAnsi="Times New Roman"/>
              </w:rPr>
            </w:pPr>
            <w:r w:rsidRPr="00F47978">
              <w:rPr>
                <w:rFonts w:ascii="Times New Roman" w:hAnsi="Times New Roman"/>
                <w:lang w:val="en-IN"/>
              </w:rPr>
              <w:t>85.00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76CCF88B"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8.77</w:t>
            </w:r>
            <w:r w:rsidRPr="00F47978">
              <w:rPr>
                <w:rFonts w:ascii="Times New Roman" w:hAnsi="Times New Roman"/>
                <w:vertAlign w:val="superscript"/>
                <w:lang w:val="en-IN"/>
              </w:rPr>
              <w:t xml:space="preserve">c </w:t>
            </w:r>
            <w:r w:rsidRPr="00F47978">
              <w:rPr>
                <w:rFonts w:ascii="Times New Roman" w:hAnsi="Times New Roman"/>
                <w:lang w:val="en-IN"/>
              </w:rPr>
              <w:t>± 0.08</w:t>
            </w:r>
          </w:p>
        </w:tc>
        <w:tc>
          <w:tcPr>
            <w:tcW w:w="2160" w:type="dxa"/>
            <w:hideMark/>
          </w:tcPr>
          <w:p w14:paraId="3067DE3D" w14:textId="77777777" w:rsidR="007E5BE7" w:rsidRPr="00F47978" w:rsidRDefault="007E5BE7" w:rsidP="00414DC1">
            <w:pPr>
              <w:jc w:val="center"/>
              <w:rPr>
                <w:rFonts w:ascii="Times New Roman" w:hAnsi="Times New Roman"/>
              </w:rPr>
            </w:pPr>
            <w:r w:rsidRPr="00F47978">
              <w:rPr>
                <w:rFonts w:ascii="Times New Roman" w:hAnsi="Times New Roman"/>
              </w:rPr>
              <w:t>7.06</w:t>
            </w:r>
            <w:r w:rsidRPr="00F47978">
              <w:rPr>
                <w:rFonts w:ascii="Times New Roman" w:hAnsi="Times New Roman"/>
                <w:vertAlign w:val="superscript"/>
                <w:lang w:val="en-IN"/>
              </w:rPr>
              <w:t>b</w:t>
            </w:r>
            <w:r w:rsidRPr="00F47978">
              <w:rPr>
                <w:rFonts w:ascii="Times New Roman" w:hAnsi="Times New Roman"/>
              </w:rPr>
              <w:t xml:space="preserve"> ± 2.79</w:t>
            </w:r>
          </w:p>
        </w:tc>
      </w:tr>
      <w:tr w:rsidR="007E5BE7" w:rsidRPr="00F47978" w14:paraId="39713DBB" w14:textId="77777777" w:rsidTr="007E5BE7">
        <w:trPr>
          <w:trHeight w:val="191"/>
        </w:trPr>
        <w:tc>
          <w:tcPr>
            <w:tcW w:w="3055" w:type="dxa"/>
            <w:hideMark/>
          </w:tcPr>
          <w:p w14:paraId="06AA7744" w14:textId="77777777" w:rsidR="007E5BE7" w:rsidRPr="00F47978" w:rsidRDefault="007E5BE7" w:rsidP="00414DC1">
            <w:pPr>
              <w:rPr>
                <w:rFonts w:ascii="Times New Roman" w:hAnsi="Times New Roman"/>
              </w:rPr>
            </w:pPr>
            <w:r w:rsidRPr="00F47978">
              <w:rPr>
                <w:rFonts w:ascii="Times New Roman" w:hAnsi="Times New Roman"/>
                <w:lang w:val="en-IN"/>
              </w:rPr>
              <w:t>T4 - Methionine – 2.5 mg/egg</w:t>
            </w:r>
          </w:p>
        </w:tc>
        <w:tc>
          <w:tcPr>
            <w:tcW w:w="1890" w:type="dxa"/>
            <w:hideMark/>
          </w:tcPr>
          <w:p w14:paraId="54AE0FBE" w14:textId="77777777" w:rsidR="007E5BE7" w:rsidRPr="00F47978" w:rsidRDefault="007E5BE7" w:rsidP="00414DC1">
            <w:pPr>
              <w:jc w:val="center"/>
              <w:rPr>
                <w:rFonts w:ascii="Times New Roman" w:hAnsi="Times New Roman"/>
              </w:rPr>
            </w:pPr>
            <w:r w:rsidRPr="00F47978">
              <w:rPr>
                <w:rFonts w:ascii="Times New Roman" w:hAnsi="Times New Roman"/>
                <w:lang w:val="en-IN"/>
              </w:rPr>
              <w:t>84.00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349ED406"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8.66</w:t>
            </w:r>
            <w:r w:rsidRPr="00F47978">
              <w:rPr>
                <w:rFonts w:ascii="Times New Roman" w:hAnsi="Times New Roman"/>
                <w:vertAlign w:val="superscript"/>
                <w:lang w:val="en-IN"/>
              </w:rPr>
              <w:t xml:space="preserve">cd </w:t>
            </w:r>
            <w:r w:rsidRPr="00F47978">
              <w:rPr>
                <w:rFonts w:ascii="Times New Roman" w:hAnsi="Times New Roman"/>
                <w:lang w:val="en-IN"/>
              </w:rPr>
              <w:t>± 0.07</w:t>
            </w:r>
          </w:p>
        </w:tc>
        <w:tc>
          <w:tcPr>
            <w:tcW w:w="2160" w:type="dxa"/>
            <w:hideMark/>
          </w:tcPr>
          <w:p w14:paraId="4C38C884" w14:textId="77777777" w:rsidR="007E5BE7" w:rsidRPr="00F47978" w:rsidRDefault="007E5BE7" w:rsidP="00414DC1">
            <w:pPr>
              <w:jc w:val="center"/>
              <w:rPr>
                <w:rFonts w:ascii="Times New Roman" w:hAnsi="Times New Roman"/>
              </w:rPr>
            </w:pPr>
            <w:r w:rsidRPr="00F47978">
              <w:rPr>
                <w:rFonts w:ascii="Times New Roman" w:hAnsi="Times New Roman"/>
              </w:rPr>
              <w:t>9.52</w:t>
            </w:r>
            <w:r w:rsidRPr="00F47978">
              <w:rPr>
                <w:rFonts w:ascii="Times New Roman" w:hAnsi="Times New Roman"/>
                <w:vertAlign w:val="superscript"/>
                <w:lang w:val="en-IN"/>
              </w:rPr>
              <w:t>b</w:t>
            </w:r>
            <w:r w:rsidRPr="00F47978">
              <w:rPr>
                <w:rFonts w:ascii="Times New Roman" w:hAnsi="Times New Roman"/>
              </w:rPr>
              <w:t xml:space="preserve"> ± 3.22</w:t>
            </w:r>
          </w:p>
        </w:tc>
      </w:tr>
      <w:tr w:rsidR="007E5BE7" w:rsidRPr="00F47978" w14:paraId="68184600" w14:textId="77777777" w:rsidTr="007E5BE7">
        <w:trPr>
          <w:trHeight w:val="131"/>
        </w:trPr>
        <w:tc>
          <w:tcPr>
            <w:tcW w:w="3055" w:type="dxa"/>
            <w:hideMark/>
          </w:tcPr>
          <w:p w14:paraId="4859F73D" w14:textId="77777777" w:rsidR="007E5BE7" w:rsidRPr="00F47978" w:rsidRDefault="007E5BE7" w:rsidP="00414DC1">
            <w:pPr>
              <w:rPr>
                <w:rFonts w:ascii="Times New Roman" w:hAnsi="Times New Roman"/>
              </w:rPr>
            </w:pPr>
            <w:r w:rsidRPr="00F47978">
              <w:rPr>
                <w:rFonts w:ascii="Times New Roman" w:hAnsi="Times New Roman"/>
                <w:lang w:val="en-IN"/>
              </w:rPr>
              <w:t>T5 - MOLE - 10 µg/egg</w:t>
            </w:r>
          </w:p>
        </w:tc>
        <w:tc>
          <w:tcPr>
            <w:tcW w:w="1890" w:type="dxa"/>
            <w:hideMark/>
          </w:tcPr>
          <w:p w14:paraId="3E6EC3DD" w14:textId="77777777" w:rsidR="007E5BE7" w:rsidRPr="00F47978" w:rsidRDefault="007E5BE7" w:rsidP="00414DC1">
            <w:pPr>
              <w:jc w:val="center"/>
              <w:rPr>
                <w:rFonts w:ascii="Times New Roman" w:hAnsi="Times New Roman"/>
              </w:rPr>
            </w:pPr>
            <w:r w:rsidRPr="00F47978">
              <w:rPr>
                <w:rFonts w:ascii="Times New Roman" w:hAnsi="Times New Roman"/>
                <w:lang w:val="en-IN"/>
              </w:rPr>
              <w:t>65.00</w:t>
            </w:r>
            <w:r w:rsidRPr="00F47978">
              <w:rPr>
                <w:rFonts w:ascii="Times New Roman" w:hAnsi="Times New Roman"/>
                <w:vertAlign w:val="superscript"/>
                <w:lang w:val="en-IN"/>
              </w:rPr>
              <w:t>b</w:t>
            </w:r>
            <w:r w:rsidRPr="00F47978">
              <w:rPr>
                <w:rFonts w:ascii="Times New Roman" w:hAnsi="Times New Roman"/>
                <w:lang w:val="en-IN"/>
              </w:rPr>
              <w:t xml:space="preserve"> ± 5.00</w:t>
            </w:r>
          </w:p>
        </w:tc>
        <w:tc>
          <w:tcPr>
            <w:tcW w:w="1710" w:type="dxa"/>
          </w:tcPr>
          <w:p w14:paraId="3A5CD3E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8.61</w:t>
            </w:r>
            <w:r w:rsidRPr="00F47978">
              <w:rPr>
                <w:rFonts w:ascii="Times New Roman" w:hAnsi="Times New Roman"/>
                <w:vertAlign w:val="superscript"/>
                <w:lang w:val="en-IN"/>
              </w:rPr>
              <w:t xml:space="preserve">cd </w:t>
            </w:r>
            <w:r w:rsidRPr="00F47978">
              <w:rPr>
                <w:rFonts w:ascii="Times New Roman" w:hAnsi="Times New Roman"/>
                <w:lang w:val="en-IN"/>
              </w:rPr>
              <w:t>± 0.15</w:t>
            </w:r>
          </w:p>
        </w:tc>
        <w:tc>
          <w:tcPr>
            <w:tcW w:w="2160" w:type="dxa"/>
            <w:hideMark/>
          </w:tcPr>
          <w:p w14:paraId="163AC806" w14:textId="77777777" w:rsidR="007E5BE7" w:rsidRPr="00F47978" w:rsidRDefault="007E5BE7" w:rsidP="00414DC1">
            <w:pPr>
              <w:jc w:val="center"/>
              <w:rPr>
                <w:rFonts w:ascii="Times New Roman" w:hAnsi="Times New Roman"/>
              </w:rPr>
            </w:pPr>
            <w:r w:rsidRPr="00F47978">
              <w:rPr>
                <w:rFonts w:ascii="Times New Roman" w:hAnsi="Times New Roman"/>
              </w:rPr>
              <w:t>21.54</w:t>
            </w:r>
            <w:r w:rsidRPr="00F47978">
              <w:rPr>
                <w:rFonts w:ascii="Times New Roman" w:hAnsi="Times New Roman"/>
                <w:vertAlign w:val="superscript"/>
                <w:lang w:val="en-IN"/>
              </w:rPr>
              <w:t>a</w:t>
            </w:r>
            <w:r w:rsidRPr="00F47978">
              <w:rPr>
                <w:rFonts w:ascii="Times New Roman" w:hAnsi="Times New Roman"/>
              </w:rPr>
              <w:t xml:space="preserve"> ± 5.14</w:t>
            </w:r>
          </w:p>
        </w:tc>
      </w:tr>
      <w:tr w:rsidR="007E5BE7" w:rsidRPr="00F47978" w14:paraId="3B63461C" w14:textId="77777777" w:rsidTr="007E5BE7">
        <w:trPr>
          <w:trHeight w:val="272"/>
        </w:trPr>
        <w:tc>
          <w:tcPr>
            <w:tcW w:w="3055" w:type="dxa"/>
            <w:hideMark/>
          </w:tcPr>
          <w:p w14:paraId="06425435" w14:textId="77777777" w:rsidR="007E5BE7" w:rsidRPr="00F47978" w:rsidRDefault="007E5BE7" w:rsidP="00414DC1">
            <w:pPr>
              <w:rPr>
                <w:rFonts w:ascii="Times New Roman" w:hAnsi="Times New Roman"/>
              </w:rPr>
            </w:pPr>
            <w:r w:rsidRPr="00F47978">
              <w:rPr>
                <w:rFonts w:ascii="Times New Roman" w:hAnsi="Times New Roman"/>
                <w:lang w:val="en-IN"/>
              </w:rPr>
              <w:t>T6 - MOLE - 20 µg/egg</w:t>
            </w:r>
          </w:p>
        </w:tc>
        <w:tc>
          <w:tcPr>
            <w:tcW w:w="1890" w:type="dxa"/>
            <w:hideMark/>
          </w:tcPr>
          <w:p w14:paraId="39A51F70" w14:textId="77777777" w:rsidR="007E5BE7" w:rsidRPr="00F47978" w:rsidRDefault="007E5BE7" w:rsidP="00414DC1">
            <w:pPr>
              <w:jc w:val="center"/>
              <w:rPr>
                <w:rFonts w:ascii="Times New Roman" w:hAnsi="Times New Roman"/>
              </w:rPr>
            </w:pPr>
            <w:r w:rsidRPr="00F47978">
              <w:rPr>
                <w:rFonts w:ascii="Times New Roman" w:hAnsi="Times New Roman"/>
                <w:lang w:val="en-IN"/>
              </w:rPr>
              <w:t>74.00</w:t>
            </w:r>
            <w:r w:rsidRPr="00F47978">
              <w:rPr>
                <w:rFonts w:ascii="Times New Roman" w:hAnsi="Times New Roman"/>
                <w:vertAlign w:val="superscript"/>
                <w:lang w:val="en-IN"/>
              </w:rPr>
              <w:t>ab</w:t>
            </w:r>
            <w:r w:rsidRPr="00F47978">
              <w:rPr>
                <w:rFonts w:ascii="Times New Roman" w:hAnsi="Times New Roman"/>
                <w:lang w:val="en-IN"/>
              </w:rPr>
              <w:t xml:space="preserve"> ± 4.00</w:t>
            </w:r>
          </w:p>
        </w:tc>
        <w:tc>
          <w:tcPr>
            <w:tcW w:w="1710" w:type="dxa"/>
          </w:tcPr>
          <w:p w14:paraId="0EB3EFA5"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9.18</w:t>
            </w:r>
            <w:r w:rsidRPr="00F47978">
              <w:rPr>
                <w:rFonts w:ascii="Times New Roman" w:hAnsi="Times New Roman"/>
                <w:vertAlign w:val="superscript"/>
                <w:lang w:val="en-IN"/>
              </w:rPr>
              <w:t xml:space="preserve">a </w:t>
            </w:r>
            <w:r w:rsidRPr="00F47978">
              <w:rPr>
                <w:rFonts w:ascii="Times New Roman" w:hAnsi="Times New Roman"/>
                <w:lang w:val="en-IN"/>
              </w:rPr>
              <w:t>± 0.08</w:t>
            </w:r>
          </w:p>
        </w:tc>
        <w:tc>
          <w:tcPr>
            <w:tcW w:w="2160" w:type="dxa"/>
            <w:hideMark/>
          </w:tcPr>
          <w:p w14:paraId="27FD4C42" w14:textId="77777777" w:rsidR="007E5BE7" w:rsidRPr="00F47978" w:rsidRDefault="007E5BE7" w:rsidP="00414DC1">
            <w:pPr>
              <w:jc w:val="center"/>
              <w:rPr>
                <w:rFonts w:ascii="Times New Roman" w:hAnsi="Times New Roman"/>
              </w:rPr>
            </w:pPr>
            <w:r w:rsidRPr="00F47978">
              <w:rPr>
                <w:rFonts w:ascii="Times New Roman" w:hAnsi="Times New Roman"/>
              </w:rPr>
              <w:t>20.27</w:t>
            </w:r>
            <w:r w:rsidRPr="00F47978">
              <w:rPr>
                <w:rFonts w:ascii="Times New Roman" w:hAnsi="Times New Roman"/>
                <w:vertAlign w:val="superscript"/>
                <w:lang w:val="en-IN"/>
              </w:rPr>
              <w:t>a</w:t>
            </w:r>
            <w:r w:rsidRPr="00F47978">
              <w:rPr>
                <w:rFonts w:ascii="Times New Roman" w:hAnsi="Times New Roman"/>
              </w:rPr>
              <w:t xml:space="preserve"> ± 4.71</w:t>
            </w:r>
          </w:p>
        </w:tc>
      </w:tr>
      <w:tr w:rsidR="007E5BE7" w:rsidRPr="00F47978" w14:paraId="0A4ADB1A" w14:textId="77777777" w:rsidTr="007E5BE7">
        <w:trPr>
          <w:trHeight w:val="145"/>
        </w:trPr>
        <w:tc>
          <w:tcPr>
            <w:tcW w:w="3055" w:type="dxa"/>
            <w:hideMark/>
          </w:tcPr>
          <w:p w14:paraId="6A857A9C" w14:textId="77777777" w:rsidR="007E5BE7" w:rsidRPr="00F47978" w:rsidRDefault="007E5BE7" w:rsidP="00414DC1">
            <w:pPr>
              <w:rPr>
                <w:rFonts w:ascii="Times New Roman" w:hAnsi="Times New Roman"/>
              </w:rPr>
            </w:pPr>
            <w:r w:rsidRPr="00F47978">
              <w:rPr>
                <w:rFonts w:ascii="Times New Roman" w:hAnsi="Times New Roman"/>
                <w:lang w:val="en-IN"/>
              </w:rPr>
              <w:t>T7 - MOLE - 30 µg/egg</w:t>
            </w:r>
          </w:p>
        </w:tc>
        <w:tc>
          <w:tcPr>
            <w:tcW w:w="1890" w:type="dxa"/>
            <w:hideMark/>
          </w:tcPr>
          <w:p w14:paraId="1DBD95BB" w14:textId="77777777" w:rsidR="007E5BE7" w:rsidRPr="00F47978" w:rsidRDefault="007E5BE7" w:rsidP="00414DC1">
            <w:pPr>
              <w:jc w:val="center"/>
              <w:rPr>
                <w:rFonts w:ascii="Times New Roman" w:hAnsi="Times New Roman"/>
              </w:rPr>
            </w:pPr>
            <w:r w:rsidRPr="00F47978">
              <w:rPr>
                <w:rFonts w:ascii="Times New Roman" w:hAnsi="Times New Roman"/>
                <w:lang w:val="en-IN"/>
              </w:rPr>
              <w:t>79.00</w:t>
            </w:r>
            <w:r w:rsidRPr="00F47978">
              <w:rPr>
                <w:rFonts w:ascii="Times New Roman" w:hAnsi="Times New Roman"/>
                <w:vertAlign w:val="superscript"/>
                <w:lang w:val="en-IN"/>
              </w:rPr>
              <w:t>a</w:t>
            </w:r>
            <w:r w:rsidRPr="00F47978">
              <w:rPr>
                <w:rFonts w:ascii="Times New Roman" w:hAnsi="Times New Roman"/>
                <w:lang w:val="en-IN"/>
              </w:rPr>
              <w:t xml:space="preserve"> ± 4.00</w:t>
            </w:r>
          </w:p>
        </w:tc>
        <w:tc>
          <w:tcPr>
            <w:tcW w:w="1710" w:type="dxa"/>
          </w:tcPr>
          <w:p w14:paraId="0D25DF5C" w14:textId="77777777" w:rsidR="007E5BE7" w:rsidRPr="00F47978" w:rsidRDefault="007E5BE7" w:rsidP="00414DC1">
            <w:pPr>
              <w:jc w:val="center"/>
              <w:rPr>
                <w:rFonts w:ascii="Times New Roman" w:hAnsi="Times New Roman"/>
                <w:lang w:val="en-IN"/>
              </w:rPr>
            </w:pPr>
            <w:r w:rsidRPr="00F47978">
              <w:rPr>
                <w:rFonts w:ascii="Times New Roman" w:hAnsi="Times New Roman"/>
                <w:lang w:val="en-IN"/>
              </w:rPr>
              <w:t>8.41</w:t>
            </w:r>
            <w:r w:rsidRPr="00F47978">
              <w:rPr>
                <w:rFonts w:ascii="Times New Roman" w:hAnsi="Times New Roman"/>
                <w:vertAlign w:val="superscript"/>
                <w:lang w:val="en-IN"/>
              </w:rPr>
              <w:t xml:space="preserve">d </w:t>
            </w:r>
            <w:r w:rsidRPr="00F47978">
              <w:rPr>
                <w:rFonts w:ascii="Times New Roman" w:hAnsi="Times New Roman"/>
                <w:lang w:val="en-IN"/>
              </w:rPr>
              <w:t>± 0.08</w:t>
            </w:r>
          </w:p>
        </w:tc>
        <w:tc>
          <w:tcPr>
            <w:tcW w:w="2160" w:type="dxa"/>
            <w:hideMark/>
          </w:tcPr>
          <w:p w14:paraId="00F67749" w14:textId="77777777" w:rsidR="007E5BE7" w:rsidRPr="00F47978" w:rsidRDefault="007E5BE7" w:rsidP="00414DC1">
            <w:pPr>
              <w:jc w:val="center"/>
              <w:rPr>
                <w:rFonts w:ascii="Times New Roman" w:hAnsi="Times New Roman"/>
              </w:rPr>
            </w:pPr>
            <w:r w:rsidRPr="00F47978">
              <w:rPr>
                <w:rFonts w:ascii="Times New Roman" w:hAnsi="Times New Roman"/>
              </w:rPr>
              <w:t>15.19</w:t>
            </w:r>
            <w:r w:rsidRPr="00F47978">
              <w:rPr>
                <w:rFonts w:ascii="Times New Roman" w:hAnsi="Times New Roman"/>
                <w:vertAlign w:val="superscript"/>
                <w:lang w:val="en-IN"/>
              </w:rPr>
              <w:t>ab</w:t>
            </w:r>
            <w:r w:rsidRPr="00F47978">
              <w:rPr>
                <w:rFonts w:ascii="Times New Roman" w:hAnsi="Times New Roman"/>
              </w:rPr>
              <w:t xml:space="preserve"> ± 4.06</w:t>
            </w:r>
          </w:p>
        </w:tc>
      </w:tr>
      <w:tr w:rsidR="007E5BE7" w:rsidRPr="00F33205" w14:paraId="5BA7C9E7" w14:textId="77777777" w:rsidTr="007E5BE7">
        <w:trPr>
          <w:trHeight w:val="304"/>
        </w:trPr>
        <w:tc>
          <w:tcPr>
            <w:tcW w:w="3055" w:type="dxa"/>
            <w:hideMark/>
          </w:tcPr>
          <w:p w14:paraId="74C43508" w14:textId="77777777" w:rsidR="007E5BE7" w:rsidRPr="00F47978" w:rsidRDefault="007E5BE7" w:rsidP="00414DC1">
            <w:pPr>
              <w:jc w:val="center"/>
              <w:rPr>
                <w:rFonts w:ascii="Times New Roman" w:hAnsi="Times New Roman"/>
              </w:rPr>
            </w:pPr>
            <w:r w:rsidRPr="00F47978">
              <w:rPr>
                <w:rFonts w:ascii="Times New Roman" w:hAnsi="Times New Roman"/>
              </w:rPr>
              <w:t>F value</w:t>
            </w:r>
          </w:p>
        </w:tc>
        <w:tc>
          <w:tcPr>
            <w:tcW w:w="1890" w:type="dxa"/>
            <w:hideMark/>
          </w:tcPr>
          <w:p w14:paraId="26336F47" w14:textId="77777777" w:rsidR="007E5BE7" w:rsidRPr="00F47978" w:rsidRDefault="007E5BE7" w:rsidP="00414DC1">
            <w:pPr>
              <w:jc w:val="center"/>
              <w:rPr>
                <w:rFonts w:ascii="Times New Roman" w:hAnsi="Times New Roman"/>
              </w:rPr>
            </w:pPr>
            <w:r w:rsidRPr="00F47978">
              <w:rPr>
                <w:rFonts w:ascii="Times New Roman" w:hAnsi="Times New Roman"/>
                <w:b/>
                <w:bCs/>
              </w:rPr>
              <w:t>2.859</w:t>
            </w:r>
            <w:r w:rsidRPr="00F47978">
              <w:rPr>
                <w:rFonts w:ascii="Times New Roman" w:hAnsi="Times New Roman"/>
                <w:b/>
                <w:bCs/>
                <w:lang w:val="en-IN"/>
              </w:rPr>
              <w:t>*</w:t>
            </w:r>
          </w:p>
        </w:tc>
        <w:tc>
          <w:tcPr>
            <w:tcW w:w="1710" w:type="dxa"/>
          </w:tcPr>
          <w:p w14:paraId="1E40C04D" w14:textId="77777777" w:rsidR="007E5BE7" w:rsidRPr="00F47978" w:rsidRDefault="007E5BE7" w:rsidP="00414DC1">
            <w:pPr>
              <w:jc w:val="center"/>
              <w:rPr>
                <w:rFonts w:ascii="Times New Roman" w:hAnsi="Times New Roman"/>
                <w:b/>
                <w:bCs/>
                <w:vertAlign w:val="superscript"/>
                <w:lang w:val="en-IN"/>
              </w:rPr>
            </w:pPr>
            <w:r w:rsidRPr="00F47978">
              <w:rPr>
                <w:rFonts w:ascii="Times New Roman" w:hAnsi="Times New Roman"/>
                <w:b/>
                <w:bCs/>
                <w:lang w:val="en-IN"/>
              </w:rPr>
              <w:t>8.554</w:t>
            </w:r>
            <w:r w:rsidRPr="00F47978">
              <w:rPr>
                <w:rFonts w:ascii="Times New Roman" w:hAnsi="Times New Roman"/>
                <w:b/>
                <w:bCs/>
                <w:vertAlign w:val="superscript"/>
                <w:lang w:val="en-IN"/>
              </w:rPr>
              <w:t>**</w:t>
            </w:r>
          </w:p>
        </w:tc>
        <w:tc>
          <w:tcPr>
            <w:tcW w:w="2160" w:type="dxa"/>
            <w:hideMark/>
          </w:tcPr>
          <w:p w14:paraId="351E04B8" w14:textId="77777777" w:rsidR="007E5BE7" w:rsidRPr="00847268" w:rsidRDefault="007E5BE7" w:rsidP="00414DC1">
            <w:pPr>
              <w:jc w:val="center"/>
              <w:rPr>
                <w:rFonts w:ascii="Times New Roman" w:hAnsi="Times New Roman"/>
              </w:rPr>
            </w:pPr>
            <w:r w:rsidRPr="00F47978">
              <w:rPr>
                <w:rFonts w:ascii="Times New Roman" w:hAnsi="Times New Roman"/>
                <w:b/>
                <w:bCs/>
              </w:rPr>
              <w:t>3.076</w:t>
            </w:r>
            <w:r w:rsidRPr="00F47978">
              <w:rPr>
                <w:rFonts w:ascii="Times New Roman" w:hAnsi="Times New Roman"/>
                <w:b/>
                <w:bCs/>
                <w:lang w:val="en-IN"/>
              </w:rPr>
              <w:t>*</w:t>
            </w:r>
          </w:p>
        </w:tc>
      </w:tr>
    </w:tbl>
    <w:p w14:paraId="59E1262C" w14:textId="77777777" w:rsidR="007E5BE7" w:rsidRPr="00A13897" w:rsidRDefault="007E5BE7" w:rsidP="00A13897">
      <w:pPr>
        <w:spacing w:before="100" w:beforeAutospacing="1" w:after="100" w:afterAutospacing="1"/>
        <w:jc w:val="both"/>
        <w:rPr>
          <w:rFonts w:ascii="Arial" w:hAnsi="Arial" w:cs="Arial"/>
          <w:lang w:val="en-IN" w:eastAsia="en-IN" w:bidi="ta-IN"/>
        </w:rPr>
      </w:pPr>
    </w:p>
    <w:p w14:paraId="0827794D"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Hatchability percentage differed significantly (P&lt;0.05) among the treatments. The highest hatchability was observed in the T3 group (85.00%), followed closely by T4 (84.00%), T2 (82.00%), and both T1 and T7 (79.00%). Hatchability in T5 (65.00%) was significantly lower than in all other groups except T6 (74.00%), to which it was statistically comparable.</w:t>
      </w:r>
    </w:p>
    <w:p w14:paraId="6D652569" w14:textId="77777777" w:rsidR="00A13897" w:rsidRPr="00A13897" w:rsidRDefault="00A13897" w:rsidP="00A13897">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Chick weight varied significantly (P&lt;0.01) among treatments. The highest hatch weight was recorded in T6 (9.18 g) the lowest hatch weights was observed in T3 (</w:t>
      </w:r>
      <w:r w:rsidRPr="00A13897">
        <w:rPr>
          <w:rFonts w:ascii="Arial" w:hAnsi="Arial" w:cs="Arial"/>
          <w:lang w:val="en-IN"/>
        </w:rPr>
        <w:t xml:space="preserve">8.77 g) and </w:t>
      </w:r>
      <w:r w:rsidRPr="00A13897">
        <w:rPr>
          <w:rFonts w:ascii="Arial" w:hAnsi="Arial" w:cs="Arial"/>
          <w:lang w:val="en-IN" w:eastAsia="en-IN" w:bidi="ta-IN"/>
        </w:rPr>
        <w:t>T7 (8.41 g).</w:t>
      </w:r>
    </w:p>
    <w:p w14:paraId="571692E1" w14:textId="2C3593F3" w:rsidR="00A13897" w:rsidRPr="00A13897" w:rsidRDefault="00A13897" w:rsidP="00A13897">
      <w:pPr>
        <w:pStyle w:val="Head1"/>
        <w:spacing w:after="0"/>
        <w:jc w:val="both"/>
        <w:rPr>
          <w:rFonts w:ascii="Arial" w:hAnsi="Arial" w:cs="Arial"/>
          <w:b w:val="0"/>
          <w:bCs/>
          <w:sz w:val="20"/>
        </w:rPr>
      </w:pPr>
      <w:r w:rsidRPr="00A13897">
        <w:rPr>
          <w:rFonts w:ascii="Arial" w:hAnsi="Arial" w:cs="Arial"/>
          <w:b w:val="0"/>
          <w:bCs/>
          <w:caps w:val="0"/>
          <w:sz w:val="20"/>
          <w:lang w:val="en-IN" w:eastAsia="en-IN" w:bidi="ta-IN"/>
        </w:rPr>
        <w:t>Post-hatch mortality (0–7 days) also differed significantly (p&lt;0.05). Lower mortality was recorded in the control and methionine-treated groups (t1: 5.06%; t4: 7.06%; t2: 8.54% and t3: 9.52%) compared with mole at 10 µg (t5: 21.54%) and mole at 20 µg (t6: 20.27%). Mortality in t7 (15.19%) was intermediate and statistically comparable to other mole-treated and methionine-treated groups.</w:t>
      </w:r>
    </w:p>
    <w:p w14:paraId="6E9A6A9F" w14:textId="77777777" w:rsidR="00790ADA" w:rsidRDefault="00790ADA" w:rsidP="00441B6F">
      <w:pPr>
        <w:pStyle w:val="Head1"/>
        <w:spacing w:after="0"/>
        <w:jc w:val="both"/>
        <w:rPr>
          <w:rFonts w:ascii="Arial" w:hAnsi="Arial" w:cs="Arial"/>
        </w:rPr>
      </w:pPr>
    </w:p>
    <w:p w14:paraId="5B8D344C" w14:textId="531C3288" w:rsidR="00A30C8D" w:rsidRDefault="00A13897" w:rsidP="00A30C8D">
      <w:pPr>
        <w:spacing w:before="100" w:beforeAutospacing="1" w:after="100" w:afterAutospacing="1"/>
        <w:jc w:val="both"/>
        <w:rPr>
          <w:rFonts w:ascii="Arial" w:hAnsi="Arial" w:cs="Arial"/>
          <w:lang w:val="en-IN" w:eastAsia="en-IN" w:bidi="ta-IN"/>
        </w:rPr>
      </w:pPr>
      <w:r w:rsidRPr="00A13897">
        <w:rPr>
          <w:rFonts w:ascii="Arial" w:hAnsi="Arial" w:cs="Arial"/>
          <w:lang w:val="en-IN" w:eastAsia="en-IN" w:bidi="ta-IN"/>
        </w:rPr>
        <w:t xml:space="preserve">In the present study, the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w:t>
      </w:r>
      <w:r w:rsidRPr="00A13897">
        <w:rPr>
          <w:rFonts w:ascii="Arial" w:hAnsi="Arial" w:cs="Arial"/>
          <w:i/>
          <w:iCs/>
          <w:lang w:val="en-IN" w:eastAsia="en-IN" w:bidi="ta-IN"/>
        </w:rPr>
        <w:t>Moringa oleifera</w:t>
      </w:r>
      <w:r w:rsidRPr="00A13897">
        <w:rPr>
          <w:rFonts w:ascii="Arial" w:hAnsi="Arial" w:cs="Arial"/>
          <w:lang w:val="en-IN" w:eastAsia="en-IN" w:bidi="ta-IN"/>
        </w:rPr>
        <w:t xml:space="preserve"> leaf extract (MOLE) at 10 µg per egg significantly (P&lt;0.05) reduced hatchability compared to the sham control (0.9% saline), all methionine-treated groups, and MOLE at 30 µg. These findings indicate that lower doses of MOLE may exert an adverse effect on embryonic viability in Japanese quails.</w:t>
      </w:r>
    </w:p>
    <w:p w14:paraId="7BCB6CF6" w14:textId="77777777" w:rsidR="00A30C8D" w:rsidRPr="00A13897" w:rsidRDefault="00A30C8D" w:rsidP="00A30C8D">
      <w:pPr>
        <w:spacing w:before="100" w:beforeAutospacing="1" w:after="100" w:afterAutospacing="1"/>
        <w:jc w:val="both"/>
        <w:rPr>
          <w:rFonts w:ascii="Arial" w:hAnsi="Arial" w:cs="Arial"/>
          <w:lang w:val="en-IN" w:eastAsia="en-IN" w:bidi="ta-IN"/>
        </w:rPr>
      </w:pPr>
    </w:p>
    <w:p w14:paraId="14AFED71"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commentRangeStart w:id="1"/>
      <w:r w:rsidRPr="00A13897">
        <w:rPr>
          <w:rFonts w:ascii="Arial" w:hAnsi="Arial" w:cs="Arial"/>
          <w:lang w:val="en-IN" w:eastAsia="en-IN" w:bidi="ta-IN"/>
        </w:rPr>
        <w:t>The</w:t>
      </w:r>
      <w:commentRangeEnd w:id="1"/>
      <w:r w:rsidR="00A30C8D">
        <w:rPr>
          <w:rStyle w:val="CommentReference"/>
          <w:rFonts w:ascii="Times New Roman" w:hAnsi="Times New Roman"/>
          <w:lang w:val="nb-NO" w:eastAsia="nb-NO"/>
        </w:rPr>
        <w:commentReference w:id="1"/>
      </w:r>
      <w:r w:rsidRPr="00A13897">
        <w:rPr>
          <w:rFonts w:ascii="Arial" w:hAnsi="Arial" w:cs="Arial"/>
          <w:lang w:val="en-IN" w:eastAsia="en-IN" w:bidi="ta-IN"/>
        </w:rPr>
        <w:t xml:space="preserve"> results of this study are partially consistent with reports by Mottaghitalab and Shafeeimanesh (2015), who found that </w:t>
      </w:r>
      <w:r w:rsidRPr="00A13897">
        <w:rPr>
          <w:rFonts w:ascii="Arial" w:hAnsi="Arial" w:cs="Arial"/>
          <w:i/>
          <w:iCs/>
          <w:lang w:val="en-IN" w:eastAsia="en-IN" w:bidi="ta-IN"/>
        </w:rPr>
        <w:t>in ovo</w:t>
      </w:r>
      <w:r w:rsidRPr="00A13897">
        <w:rPr>
          <w:rFonts w:ascii="Arial" w:hAnsi="Arial" w:cs="Arial"/>
          <w:lang w:val="en-IN" w:eastAsia="en-IN" w:bidi="ta-IN"/>
        </w:rPr>
        <w:t xml:space="preserve"> administration of pyridoxine (vitamin B6), methionine, or their combination on day 18 of incubation did not significantly influence hatchability of broiler chicken breeder eggs. Similarly, Fardost </w:t>
      </w:r>
      <w:r w:rsidRPr="00A13897">
        <w:rPr>
          <w:rFonts w:ascii="Arial" w:hAnsi="Arial" w:cs="Arial"/>
          <w:i/>
          <w:iCs/>
          <w:lang w:val="en-IN" w:eastAsia="en-IN" w:bidi="ta-IN"/>
        </w:rPr>
        <w:t>et al</w:t>
      </w:r>
      <w:r w:rsidRPr="00A13897">
        <w:rPr>
          <w:rFonts w:ascii="Arial" w:hAnsi="Arial" w:cs="Arial"/>
          <w:lang w:val="en-IN" w:eastAsia="en-IN" w:bidi="ta-IN"/>
        </w:rPr>
        <w:t xml:space="preserve">. (2019) observed no </w:t>
      </w:r>
      <w:r w:rsidRPr="00A13897">
        <w:rPr>
          <w:rFonts w:ascii="Arial" w:hAnsi="Arial" w:cs="Arial"/>
          <w:lang w:val="en-IN" w:eastAsia="en-IN" w:bidi="ta-IN"/>
        </w:rPr>
        <w:lastRenderedPageBreak/>
        <w:t xml:space="preserve">significant effect of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L-methionine at different concentrations (0.19–1.14%) on hatchability of broiler breeder eggs. Groff-Urayama </w:t>
      </w:r>
      <w:r w:rsidRPr="00A13897">
        <w:rPr>
          <w:rFonts w:ascii="Arial" w:hAnsi="Arial" w:cs="Arial"/>
          <w:i/>
          <w:iCs/>
          <w:lang w:val="en-IN" w:eastAsia="en-IN" w:bidi="ta-IN"/>
        </w:rPr>
        <w:t>et al</w:t>
      </w:r>
      <w:r w:rsidRPr="00A13897">
        <w:rPr>
          <w:rFonts w:ascii="Arial" w:hAnsi="Arial" w:cs="Arial"/>
          <w:lang w:val="en-IN" w:eastAsia="en-IN" w:bidi="ta-IN"/>
        </w:rPr>
        <w:t>. (2019) also reported no significant change in hatch rate of Cobb500 broiler eggs injected with 20 or 30 mg of methionine compared with saline controls.</w:t>
      </w:r>
    </w:p>
    <w:p w14:paraId="3C34C3EB" w14:textId="77777777" w:rsidR="00A13897" w:rsidRPr="00A13897" w:rsidRDefault="00A13897" w:rsidP="00A13897">
      <w:pPr>
        <w:spacing w:before="100" w:beforeAutospacing="1" w:after="100" w:afterAutospacing="1"/>
        <w:ind w:firstLine="720"/>
        <w:jc w:val="both"/>
        <w:rPr>
          <w:rFonts w:ascii="Arial" w:hAnsi="Arial" w:cs="Arial"/>
          <w:lang w:val="en-IN" w:eastAsia="en-IN" w:bidi="ta-IN"/>
        </w:rPr>
      </w:pPr>
      <w:r w:rsidRPr="00A13897">
        <w:rPr>
          <w:rFonts w:ascii="Arial" w:hAnsi="Arial" w:cs="Arial"/>
          <w:lang w:val="en-IN" w:eastAsia="en-IN" w:bidi="ta-IN"/>
        </w:rPr>
        <w:t xml:space="preserve">In contrast, several studies have reported negative or positive effects of </w:t>
      </w:r>
      <w:r w:rsidRPr="00A13897">
        <w:rPr>
          <w:rFonts w:ascii="Arial" w:hAnsi="Arial" w:cs="Arial"/>
          <w:i/>
          <w:iCs/>
          <w:lang w:val="en-IN" w:eastAsia="en-IN" w:bidi="ta-IN"/>
        </w:rPr>
        <w:t>in ovo</w:t>
      </w:r>
      <w:r w:rsidRPr="00A13897">
        <w:rPr>
          <w:rFonts w:ascii="Arial" w:hAnsi="Arial" w:cs="Arial"/>
          <w:lang w:val="en-IN" w:eastAsia="en-IN" w:bidi="ta-IN"/>
        </w:rPr>
        <w:t xml:space="preserve"> methionine administration on hatchability. Coskun </w:t>
      </w:r>
      <w:r w:rsidRPr="00A13897">
        <w:rPr>
          <w:rFonts w:ascii="Arial" w:hAnsi="Arial" w:cs="Arial"/>
          <w:i/>
          <w:iCs/>
          <w:lang w:val="en-IN" w:eastAsia="en-IN" w:bidi="ta-IN"/>
        </w:rPr>
        <w:t>et al</w:t>
      </w:r>
      <w:r w:rsidRPr="00A13897">
        <w:rPr>
          <w:rFonts w:ascii="Arial" w:hAnsi="Arial" w:cs="Arial"/>
          <w:lang w:val="en-IN" w:eastAsia="en-IN" w:bidi="ta-IN"/>
        </w:rPr>
        <w:t xml:space="preserve">. (2014) demonstrated that </w:t>
      </w:r>
      <w:r w:rsidRPr="00A13897">
        <w:rPr>
          <w:rFonts w:ascii="Arial" w:hAnsi="Arial" w:cs="Arial"/>
          <w:i/>
          <w:iCs/>
          <w:lang w:val="en-IN" w:eastAsia="en-IN" w:bidi="ta-IN"/>
        </w:rPr>
        <w:t>in ovo</w:t>
      </w:r>
      <w:r w:rsidRPr="00A13897">
        <w:rPr>
          <w:rFonts w:ascii="Arial" w:hAnsi="Arial" w:cs="Arial"/>
          <w:lang w:val="en-IN" w:eastAsia="en-IN" w:bidi="ta-IN"/>
        </w:rPr>
        <w:t xml:space="preserve"> injection of DL-methionine (50 µL/1000 µL) on day 16 significantly (P&lt;0.05) reduced hatchability to 84.74% compared with 90.29% in saline-injected controls. Youssef </w:t>
      </w:r>
      <w:r w:rsidRPr="00A13897">
        <w:rPr>
          <w:rFonts w:ascii="Arial" w:hAnsi="Arial" w:cs="Arial"/>
          <w:i/>
          <w:iCs/>
          <w:lang w:val="en-IN" w:eastAsia="en-IN" w:bidi="ta-IN"/>
        </w:rPr>
        <w:t>et al</w:t>
      </w:r>
      <w:r w:rsidRPr="00A13897">
        <w:rPr>
          <w:rFonts w:ascii="Arial" w:hAnsi="Arial" w:cs="Arial"/>
          <w:lang w:val="en-IN" w:eastAsia="en-IN" w:bidi="ta-IN"/>
        </w:rPr>
        <w:t xml:space="preserve">. (2017) similarly recorded a reduction in hatchability following methionine injection (78.33%) compared to uninjected controls (88.33%). Conversely, Ge </w:t>
      </w:r>
      <w:r w:rsidRPr="00A13897">
        <w:rPr>
          <w:rFonts w:ascii="Arial" w:hAnsi="Arial" w:cs="Arial"/>
          <w:i/>
          <w:iCs/>
          <w:lang w:val="en-IN" w:eastAsia="en-IN" w:bidi="ta-IN"/>
        </w:rPr>
        <w:t>et al</w:t>
      </w:r>
      <w:r w:rsidRPr="00A13897">
        <w:rPr>
          <w:rFonts w:ascii="Arial" w:hAnsi="Arial" w:cs="Arial"/>
          <w:lang w:val="en-IN" w:eastAsia="en-IN" w:bidi="ta-IN"/>
        </w:rPr>
        <w:t xml:space="preserve">. (2025) reported an improvement in hatchability in broiler breeders’ eggs injected with 3.5 mg L-methionine per egg. Hassan </w:t>
      </w:r>
      <w:r w:rsidRPr="00A13897">
        <w:rPr>
          <w:rFonts w:ascii="Arial" w:hAnsi="Arial" w:cs="Arial"/>
          <w:i/>
          <w:iCs/>
          <w:lang w:val="en-IN" w:eastAsia="en-IN" w:bidi="ta-IN"/>
        </w:rPr>
        <w:t>et al</w:t>
      </w:r>
      <w:r w:rsidRPr="00A13897">
        <w:rPr>
          <w:rFonts w:ascii="Arial" w:hAnsi="Arial" w:cs="Arial"/>
          <w:lang w:val="en-IN" w:eastAsia="en-IN" w:bidi="ta-IN"/>
        </w:rPr>
        <w:t xml:space="preserve">. (2025) also observed significantly (P&lt;0.05) improved hatchability in Maamaura chickens injected with iron methionine nanoparticles at 25 ppm. With respect to MOLE, Nŉanle </w:t>
      </w:r>
      <w:r w:rsidRPr="00A13897">
        <w:rPr>
          <w:rFonts w:ascii="Arial" w:hAnsi="Arial" w:cs="Arial"/>
          <w:i/>
          <w:iCs/>
          <w:lang w:val="en-IN" w:eastAsia="en-IN" w:bidi="ta-IN"/>
        </w:rPr>
        <w:t>et al</w:t>
      </w:r>
      <w:r w:rsidRPr="00A13897">
        <w:rPr>
          <w:rFonts w:ascii="Arial" w:hAnsi="Arial" w:cs="Arial"/>
          <w:lang w:val="en-IN" w:eastAsia="en-IN" w:bidi="ta-IN"/>
        </w:rPr>
        <w:t xml:space="preserve">. (2017) reported a significant increase in hatchability following </w:t>
      </w:r>
      <w:r w:rsidRPr="00A13897">
        <w:rPr>
          <w:rFonts w:ascii="Arial" w:hAnsi="Arial" w:cs="Arial"/>
          <w:i/>
          <w:iCs/>
          <w:lang w:val="en-IN" w:eastAsia="en-IN" w:bidi="ta-IN"/>
        </w:rPr>
        <w:t>in ovo</w:t>
      </w:r>
      <w:r w:rsidRPr="00A13897">
        <w:rPr>
          <w:rFonts w:ascii="Arial" w:hAnsi="Arial" w:cs="Arial"/>
          <w:lang w:val="en-IN" w:eastAsia="en-IN" w:bidi="ta-IN"/>
        </w:rPr>
        <w:t xml:space="preserve"> inoculation in chicken eggs, which contrasts with the reduced hatchability observed at the 10 µg level in the present study.</w:t>
      </w:r>
    </w:p>
    <w:p w14:paraId="50E09AA0" w14:textId="343EB125" w:rsidR="00A13897" w:rsidRPr="00A13897" w:rsidRDefault="00A13897" w:rsidP="00A13897">
      <w:pPr>
        <w:pStyle w:val="Head1"/>
        <w:spacing w:after="0"/>
        <w:jc w:val="both"/>
        <w:rPr>
          <w:rFonts w:ascii="Arial" w:hAnsi="Arial" w:cs="Arial"/>
          <w:b w:val="0"/>
          <w:sz w:val="20"/>
        </w:rPr>
      </w:pPr>
      <w:r w:rsidRPr="00A13897">
        <w:rPr>
          <w:rFonts w:ascii="Arial" w:hAnsi="Arial" w:cs="Arial"/>
          <w:b w:val="0"/>
          <w:caps w:val="0"/>
          <w:sz w:val="20"/>
          <w:lang w:val="en-IN" w:eastAsia="en-IN" w:bidi="ta-IN"/>
        </w:rPr>
        <w:t xml:space="preserve">Regarding post-hatch mortality, the findings of this study were not in agreement with </w:t>
      </w:r>
      <w:r w:rsidR="00E6275D" w:rsidRPr="00A13897">
        <w:rPr>
          <w:rFonts w:ascii="Arial" w:hAnsi="Arial" w:cs="Arial"/>
          <w:b w:val="0"/>
          <w:caps w:val="0"/>
          <w:sz w:val="20"/>
          <w:lang w:val="en-IN" w:eastAsia="en-IN" w:bidi="ta-IN"/>
        </w:rPr>
        <w:t xml:space="preserve">Idowu </w:t>
      </w:r>
      <w:r w:rsidRPr="00A13897">
        <w:rPr>
          <w:rFonts w:ascii="Arial" w:hAnsi="Arial" w:cs="Arial"/>
          <w:b w:val="0"/>
          <w:i/>
          <w:iCs/>
          <w:caps w:val="0"/>
          <w:sz w:val="20"/>
          <w:lang w:val="en-IN" w:eastAsia="en-IN" w:bidi="ta-IN"/>
        </w:rPr>
        <w:t>et al</w:t>
      </w:r>
      <w:r w:rsidRPr="00A13897">
        <w:rPr>
          <w:rFonts w:ascii="Arial" w:hAnsi="Arial" w:cs="Arial"/>
          <w:b w:val="0"/>
          <w:caps w:val="0"/>
          <w:sz w:val="20"/>
          <w:lang w:val="en-IN" w:eastAsia="en-IN" w:bidi="ta-IN"/>
        </w:rPr>
        <w:t xml:space="preserve">. (2024), who reported higher livability in guinea fowl chicks following </w:t>
      </w:r>
      <w:r w:rsidRPr="00A13897">
        <w:rPr>
          <w:rFonts w:ascii="Arial" w:hAnsi="Arial" w:cs="Arial"/>
          <w:b w:val="0"/>
          <w:i/>
          <w:iCs/>
          <w:caps w:val="0"/>
          <w:sz w:val="20"/>
          <w:lang w:val="en-IN" w:eastAsia="en-IN" w:bidi="ta-IN"/>
        </w:rPr>
        <w:t>in ovo</w:t>
      </w:r>
      <w:r w:rsidRPr="00A13897">
        <w:rPr>
          <w:rFonts w:ascii="Arial" w:hAnsi="Arial" w:cs="Arial"/>
          <w:b w:val="0"/>
          <w:caps w:val="0"/>
          <w:sz w:val="20"/>
          <w:lang w:val="en-IN" w:eastAsia="en-IN" w:bidi="ta-IN"/>
        </w:rPr>
        <w:t xml:space="preserve"> injection of methionine. Likewise, </w:t>
      </w:r>
      <w:r w:rsidR="00E6275D" w:rsidRPr="00A13897">
        <w:rPr>
          <w:rFonts w:ascii="Arial" w:hAnsi="Arial" w:cs="Arial"/>
          <w:b w:val="0"/>
          <w:caps w:val="0"/>
          <w:sz w:val="20"/>
          <w:lang w:val="en-IN" w:eastAsia="en-IN" w:bidi="ta-IN"/>
        </w:rPr>
        <w:t>Al</w:t>
      </w:r>
      <w:r w:rsidRPr="00A13897">
        <w:rPr>
          <w:rFonts w:ascii="Arial" w:hAnsi="Arial" w:cs="Arial"/>
          <w:b w:val="0"/>
          <w:caps w:val="0"/>
          <w:sz w:val="20"/>
          <w:lang w:val="en-IN" w:eastAsia="en-IN" w:bidi="ta-IN"/>
        </w:rPr>
        <w:t>-</w:t>
      </w:r>
      <w:r w:rsidR="00E6275D" w:rsidRPr="00A13897">
        <w:rPr>
          <w:rFonts w:ascii="Arial" w:hAnsi="Arial" w:cs="Arial"/>
          <w:b w:val="0"/>
          <w:caps w:val="0"/>
          <w:sz w:val="20"/>
          <w:lang w:val="en-IN" w:eastAsia="en-IN" w:bidi="ta-IN"/>
        </w:rPr>
        <w:t xml:space="preserve">Hatheel </w:t>
      </w:r>
      <w:r w:rsidRPr="00A13897">
        <w:rPr>
          <w:rFonts w:ascii="Arial" w:hAnsi="Arial" w:cs="Arial"/>
          <w:b w:val="0"/>
          <w:caps w:val="0"/>
          <w:sz w:val="20"/>
          <w:lang w:val="en-IN" w:eastAsia="en-IN" w:bidi="ta-IN"/>
        </w:rPr>
        <w:t xml:space="preserve">and </w:t>
      </w:r>
      <w:r w:rsidR="00E6275D" w:rsidRPr="00A13897">
        <w:rPr>
          <w:rFonts w:ascii="Arial" w:hAnsi="Arial" w:cs="Arial"/>
          <w:b w:val="0"/>
          <w:caps w:val="0"/>
          <w:sz w:val="20"/>
          <w:lang w:val="en-IN" w:eastAsia="en-IN" w:bidi="ta-IN"/>
        </w:rPr>
        <w:t xml:space="preserve">Ibrahim </w:t>
      </w:r>
      <w:r w:rsidRPr="00A13897">
        <w:rPr>
          <w:rFonts w:ascii="Arial" w:hAnsi="Arial" w:cs="Arial"/>
          <w:b w:val="0"/>
          <w:caps w:val="0"/>
          <w:sz w:val="20"/>
          <w:lang w:val="en-IN" w:eastAsia="en-IN" w:bidi="ta-IN"/>
        </w:rPr>
        <w:t xml:space="preserve">(2022) found no significant difference in mortality between mole-injected and control groups in broiler breeder eggs. The elevated mortality observed in the lower </w:t>
      </w:r>
      <w:r w:rsidR="00E6275D" w:rsidRPr="00A13897">
        <w:rPr>
          <w:rFonts w:ascii="Arial" w:hAnsi="Arial" w:cs="Arial"/>
          <w:b w:val="0"/>
          <w:caps w:val="0"/>
          <w:sz w:val="20"/>
          <w:lang w:val="en-IN" w:eastAsia="en-IN" w:bidi="ta-IN"/>
        </w:rPr>
        <w:t xml:space="preserve">MOLE </w:t>
      </w:r>
      <w:r w:rsidRPr="00A13897">
        <w:rPr>
          <w:rFonts w:ascii="Arial" w:hAnsi="Arial" w:cs="Arial"/>
          <w:b w:val="0"/>
          <w:caps w:val="0"/>
          <w:sz w:val="20"/>
          <w:lang w:val="en-IN" w:eastAsia="en-IN" w:bidi="ta-IN"/>
        </w:rPr>
        <w:t>doses in the present study may therefore reflect species-specific sensitivity, dose-dependent effects, or differences in extract composition.</w:t>
      </w:r>
    </w:p>
    <w:p w14:paraId="662E1C7A" w14:textId="77777777" w:rsidR="00790ADA" w:rsidRPr="00A13897" w:rsidRDefault="00790ADA" w:rsidP="00441B6F">
      <w:pPr>
        <w:pStyle w:val="Body"/>
        <w:spacing w:after="0"/>
        <w:rPr>
          <w:rFonts w:ascii="Arial" w:hAnsi="Arial" w:cs="Arial"/>
        </w:rPr>
      </w:pPr>
    </w:p>
    <w:p w14:paraId="1207601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FFD4DA8" w14:textId="77777777" w:rsidR="00790ADA" w:rsidRPr="00FB3A86" w:rsidRDefault="00790ADA" w:rsidP="00441B6F">
      <w:pPr>
        <w:pStyle w:val="ConcHead"/>
        <w:spacing w:after="0"/>
        <w:jc w:val="both"/>
        <w:rPr>
          <w:rFonts w:ascii="Arial" w:hAnsi="Arial" w:cs="Arial"/>
        </w:rPr>
      </w:pPr>
    </w:p>
    <w:p w14:paraId="47F3E8EF" w14:textId="77777777" w:rsidR="00E6275D" w:rsidRPr="00E6275D" w:rsidRDefault="00E6275D" w:rsidP="00E6275D">
      <w:pPr>
        <w:jc w:val="both"/>
        <w:rPr>
          <w:rFonts w:ascii="Arial" w:hAnsi="Arial" w:cs="Arial"/>
          <w:lang w:val="en-IN" w:eastAsia="en-IN" w:bidi="ta-IN"/>
        </w:rPr>
      </w:pPr>
      <w:r w:rsidRPr="00E6275D">
        <w:rPr>
          <w:rFonts w:ascii="Arial" w:hAnsi="Arial" w:cs="Arial"/>
          <w:lang w:val="en-IN" w:eastAsia="en-IN" w:bidi="ta-IN"/>
        </w:rPr>
        <w:t xml:space="preserve">The present study demonstrated that </w:t>
      </w:r>
      <w:r w:rsidRPr="00E6275D">
        <w:rPr>
          <w:rFonts w:ascii="Arial" w:hAnsi="Arial" w:cs="Arial"/>
          <w:i/>
          <w:iCs/>
          <w:lang w:val="en-IN" w:eastAsia="en-IN" w:bidi="ta-IN"/>
        </w:rPr>
        <w:t>in ovo</w:t>
      </w:r>
      <w:r w:rsidRPr="00E6275D">
        <w:rPr>
          <w:rFonts w:ascii="Arial" w:hAnsi="Arial" w:cs="Arial"/>
          <w:lang w:val="en-IN" w:eastAsia="en-IN" w:bidi="ta-IN"/>
        </w:rPr>
        <w:t xml:space="preserve"> administration of methionine and </w:t>
      </w:r>
      <w:r w:rsidRPr="00E6275D">
        <w:rPr>
          <w:rFonts w:ascii="Arial" w:hAnsi="Arial" w:cs="Arial"/>
          <w:i/>
          <w:iCs/>
          <w:lang w:val="en-IN" w:eastAsia="en-IN" w:bidi="ta-IN"/>
        </w:rPr>
        <w:t>Moringa oleifera</w:t>
      </w:r>
      <w:r w:rsidRPr="00E6275D">
        <w:rPr>
          <w:rFonts w:ascii="Arial" w:hAnsi="Arial" w:cs="Arial"/>
          <w:lang w:val="en-IN" w:eastAsia="en-IN" w:bidi="ta-IN"/>
        </w:rPr>
        <w:t xml:space="preserve"> leaf extract (MOLE) influences hatchability, chick weight, and early post-hatch survival in Japanese quails. Among the doses tested, methionine at 2.5 mg per egg and MOLE at 30 µg per egg were identified as safe levels that did not adversely affect hatchability or post-hatch viability. Lower MOLE doses, particularly 10 µg, negatively impacted embryonic survival. These findings provide dose-specific guidance for the safe use of methionine and MOLE in in ovo feeding protocols for Japanese quails.</w:t>
      </w:r>
    </w:p>
    <w:p w14:paraId="516BAADD" w14:textId="77777777" w:rsidR="00790ADA" w:rsidRPr="00E6275D" w:rsidRDefault="00790ADA" w:rsidP="00441B6F">
      <w:pPr>
        <w:pStyle w:val="Body"/>
        <w:spacing w:after="0"/>
        <w:rPr>
          <w:rFonts w:ascii="Arial" w:hAnsi="Arial" w:cs="Arial"/>
          <w:lang w:val="en-IN"/>
        </w:rPr>
      </w:pPr>
    </w:p>
    <w:p w14:paraId="56B52635" w14:textId="77777777" w:rsidR="00860000" w:rsidRDefault="00860000" w:rsidP="00441B6F">
      <w:pPr>
        <w:pStyle w:val="ReferHead"/>
        <w:spacing w:after="0"/>
        <w:jc w:val="both"/>
        <w:rPr>
          <w:rFonts w:ascii="Arial" w:hAnsi="Arial" w:cs="Arial"/>
        </w:rPr>
      </w:pPr>
    </w:p>
    <w:p w14:paraId="7E879EC9" w14:textId="77777777" w:rsidR="00B01FCD" w:rsidRDefault="00B01FCD" w:rsidP="00441B6F">
      <w:pPr>
        <w:pStyle w:val="ReferHead"/>
        <w:spacing w:after="0"/>
        <w:jc w:val="both"/>
        <w:rPr>
          <w:rFonts w:ascii="Arial" w:hAnsi="Arial" w:cs="Arial"/>
        </w:rPr>
      </w:pPr>
      <w:commentRangeStart w:id="2"/>
      <w:r w:rsidRPr="00FB3A86">
        <w:rPr>
          <w:rFonts w:ascii="Arial" w:hAnsi="Arial" w:cs="Arial"/>
        </w:rPr>
        <w:t>References</w:t>
      </w:r>
      <w:commentRangeEnd w:id="2"/>
      <w:r w:rsidR="00E53FD0">
        <w:rPr>
          <w:rStyle w:val="CommentReference"/>
          <w:rFonts w:ascii="Times New Roman" w:hAnsi="Times New Roman"/>
          <w:b w:val="0"/>
          <w:caps w:val="0"/>
          <w:lang w:val="nb-NO" w:eastAsia="nb-NO"/>
        </w:rPr>
        <w:commentReference w:id="2"/>
      </w:r>
    </w:p>
    <w:p w14:paraId="20393B0F" w14:textId="77777777" w:rsidR="00E6275D" w:rsidRPr="001100F8" w:rsidRDefault="00E6275D" w:rsidP="001100F8">
      <w:pPr>
        <w:tabs>
          <w:tab w:val="left" w:pos="567"/>
        </w:tabs>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Al-Hatheel, H.D. and B.M. Ibrahim, 2022. Effect of injected different concentrations of </w:t>
      </w:r>
      <w:r w:rsidRPr="001100F8">
        <w:rPr>
          <w:rFonts w:ascii="Times New Roman" w:hAnsi="Times New Roman"/>
          <w:color w:val="222222"/>
          <w:shd w:val="clear" w:color="auto" w:fill="FFFFFF"/>
        </w:rPr>
        <w:tab/>
        <w:t xml:space="preserve">alcoholic extract of </w:t>
      </w:r>
      <w:r w:rsidRPr="001100F8">
        <w:rPr>
          <w:rFonts w:ascii="Times New Roman" w:hAnsi="Times New Roman"/>
          <w:i/>
          <w:color w:val="222222"/>
          <w:shd w:val="clear" w:color="auto" w:fill="FFFFFF"/>
        </w:rPr>
        <w:t>Moringa oleifera</w:t>
      </w:r>
      <w:r w:rsidRPr="001100F8">
        <w:rPr>
          <w:rFonts w:ascii="Times New Roman" w:hAnsi="Times New Roman"/>
          <w:color w:val="222222"/>
          <w:shd w:val="clear" w:color="auto" w:fill="FFFFFF"/>
        </w:rPr>
        <w:t xml:space="preserve"> leaves powder in hatching eggs of advanced age </w:t>
      </w:r>
      <w:r w:rsidRPr="001100F8">
        <w:rPr>
          <w:rFonts w:ascii="Times New Roman" w:hAnsi="Times New Roman"/>
          <w:color w:val="222222"/>
          <w:shd w:val="clear" w:color="auto" w:fill="FFFFFF"/>
        </w:rPr>
        <w:tab/>
        <w:t>of broiler breeders on productive performance and carcasses of broiler chickens. </w:t>
      </w:r>
      <w:r w:rsidRPr="001100F8">
        <w:rPr>
          <w:rFonts w:ascii="Times New Roman" w:hAnsi="Times New Roman"/>
          <w:i/>
          <w:iCs/>
          <w:color w:val="222222"/>
          <w:shd w:val="clear" w:color="auto" w:fill="FFFFFF"/>
        </w:rPr>
        <w:t xml:space="preserve">Iraqi </w:t>
      </w:r>
      <w:r w:rsidRPr="001100F8">
        <w:rPr>
          <w:rFonts w:ascii="Times New Roman" w:hAnsi="Times New Roman"/>
          <w:i/>
          <w:iCs/>
          <w:color w:val="222222"/>
          <w:shd w:val="clear" w:color="auto" w:fill="FFFFFF"/>
        </w:rPr>
        <w:tab/>
        <w:t>Journal of Market Research and Consumer Protection</w:t>
      </w:r>
      <w:r w:rsidRPr="001100F8">
        <w:rPr>
          <w:rFonts w:ascii="Times New Roman" w:hAnsi="Times New Roman"/>
          <w:color w:val="222222"/>
          <w:shd w:val="clear" w:color="auto" w:fill="FFFFFF"/>
        </w:rPr>
        <w:t xml:space="preserve">. </w:t>
      </w:r>
      <w:r w:rsidRPr="001100F8">
        <w:rPr>
          <w:rFonts w:ascii="Times New Roman" w:hAnsi="Times New Roman"/>
          <w:b/>
          <w:iCs/>
          <w:color w:val="222222"/>
          <w:shd w:val="clear" w:color="auto" w:fill="FFFFFF"/>
        </w:rPr>
        <w:t>14</w:t>
      </w:r>
      <w:r w:rsidRPr="001100F8">
        <w:rPr>
          <w:rFonts w:ascii="Times New Roman" w:hAnsi="Times New Roman"/>
          <w:color w:val="222222"/>
          <w:shd w:val="clear" w:color="auto" w:fill="FFFFFF"/>
        </w:rPr>
        <w:t>(1): 15-25.</w:t>
      </w:r>
    </w:p>
    <w:p w14:paraId="4E9B5F3A" w14:textId="10823A56" w:rsidR="00E6275D" w:rsidRPr="001100F8" w:rsidRDefault="00D028EC" w:rsidP="001100F8">
      <w:pPr>
        <w:tabs>
          <w:tab w:val="left" w:pos="567"/>
        </w:tabs>
        <w:ind w:left="360"/>
        <w:jc w:val="both"/>
        <w:rPr>
          <w:rFonts w:ascii="Times New Roman" w:hAnsi="Times New Roman"/>
        </w:rPr>
      </w:pPr>
      <w:r w:rsidRPr="001100F8">
        <w:rPr>
          <w:rFonts w:ascii="Times New Roman" w:hAnsi="Times New Roman"/>
          <w:color w:val="222222"/>
          <w:shd w:val="clear" w:color="auto" w:fill="FFFFFF"/>
        </w:rPr>
        <w:t xml:space="preserve">Coşkun, İ., Erener, G., Şahin, A., Karadavut, U., Altop, A., &amp; Okur, A. A. (2014). Impacts of in ovo feeding of DL-methionine on hatchability and chick weight. Turkish Journal of Agriculture - Food Science and Technology, 2(1), 47–50. </w:t>
      </w:r>
      <w:hyperlink r:id="rId16" w:history="1">
        <w:r w:rsidRPr="001100F8">
          <w:rPr>
            <w:rStyle w:val="Hyperlink"/>
            <w:rFonts w:ascii="Times New Roman" w:hAnsi="Times New Roman"/>
            <w:shd w:val="clear" w:color="auto" w:fill="FFFFFF"/>
          </w:rPr>
          <w:t>https://doi.org/10.24925/turjaf.v2i1.47-50.64</w:t>
        </w:r>
      </w:hyperlink>
      <w:r w:rsidRPr="001100F8">
        <w:rPr>
          <w:rFonts w:ascii="Times New Roman" w:hAnsi="Times New Roman"/>
          <w:color w:val="222222"/>
          <w:shd w:val="clear" w:color="auto" w:fill="FFFFFF"/>
        </w:rPr>
        <w:t xml:space="preserve"> </w:t>
      </w:r>
    </w:p>
    <w:p w14:paraId="39A1176D" w14:textId="135E3C53" w:rsidR="00E6275D" w:rsidRPr="001100F8" w:rsidRDefault="006208D0" w:rsidP="001100F8">
      <w:pPr>
        <w:tabs>
          <w:tab w:val="left" w:pos="567"/>
        </w:tabs>
        <w:ind w:left="360"/>
        <w:jc w:val="both"/>
        <w:rPr>
          <w:rFonts w:ascii="Times New Roman" w:hAnsi="Times New Roman"/>
        </w:rPr>
      </w:pPr>
      <w:r w:rsidRPr="001100F8">
        <w:rPr>
          <w:rFonts w:ascii="Times New Roman" w:hAnsi="Times New Roman"/>
          <w:color w:val="222222"/>
          <w:shd w:val="clear" w:color="auto" w:fill="FFFFFF"/>
        </w:rPr>
        <w:t xml:space="preserve">Das, R., Mishra, P., &amp; Jha, R. (2021). In ovo Feeding as a Tool for Improving Performance and Gut Health of Poultry: A Review. Frontiers in Veterinary Science, 8, 754246. </w:t>
      </w:r>
      <w:hyperlink r:id="rId17" w:history="1">
        <w:r w:rsidRPr="001100F8">
          <w:rPr>
            <w:rStyle w:val="Hyperlink"/>
            <w:rFonts w:ascii="Times New Roman" w:hAnsi="Times New Roman"/>
            <w:shd w:val="clear" w:color="auto" w:fill="FFFFFF"/>
          </w:rPr>
          <w:t>https://doi.org/10.3389/fvets.2021.754246</w:t>
        </w:r>
      </w:hyperlink>
      <w:r w:rsidRPr="001100F8">
        <w:rPr>
          <w:rFonts w:ascii="Times New Roman" w:hAnsi="Times New Roman"/>
          <w:color w:val="222222"/>
          <w:shd w:val="clear" w:color="auto" w:fill="FFFFFF"/>
        </w:rPr>
        <w:t xml:space="preserve"> </w:t>
      </w:r>
    </w:p>
    <w:p w14:paraId="740C84E4" w14:textId="6232D0BE" w:rsidR="00E6275D" w:rsidRPr="001100F8" w:rsidRDefault="00B47C87" w:rsidP="001100F8">
      <w:pPr>
        <w:tabs>
          <w:tab w:val="left" w:pos="567"/>
        </w:tabs>
        <w:ind w:left="360"/>
        <w:jc w:val="both"/>
        <w:rPr>
          <w:rFonts w:ascii="Times New Roman" w:hAnsi="Times New Roman"/>
        </w:rPr>
      </w:pPr>
      <w:r w:rsidRPr="001100F8">
        <w:rPr>
          <w:rFonts w:ascii="Times New Roman" w:hAnsi="Times New Roman"/>
          <w:color w:val="222222"/>
          <w:shd w:val="clear" w:color="auto" w:fill="FFFFFF"/>
        </w:rPr>
        <w:t xml:space="preserve">Doughari, J. H., Pukuma, M. S., &amp; De, N. (2007). Antibacterial effects of Balanites aegyptiaca L. Drel. and Moringa oleifera Lam. on Salmonella typhi. African Journal of Biotechnology, 6(19), 2212-2215. </w:t>
      </w:r>
      <w:hyperlink r:id="rId18" w:history="1">
        <w:r w:rsidRPr="001100F8">
          <w:rPr>
            <w:rStyle w:val="Hyperlink"/>
            <w:rFonts w:ascii="Times New Roman" w:hAnsi="Times New Roman"/>
            <w:shd w:val="clear" w:color="auto" w:fill="FFFFFF"/>
          </w:rPr>
          <w:t>https://doi.org/10.5897/AJB2007.000-2346</w:t>
        </w:r>
      </w:hyperlink>
      <w:r w:rsidRPr="001100F8">
        <w:rPr>
          <w:rFonts w:ascii="Times New Roman" w:hAnsi="Times New Roman"/>
          <w:color w:val="222222"/>
          <w:shd w:val="clear" w:color="auto" w:fill="FFFFFF"/>
        </w:rPr>
        <w:t xml:space="preserve"> </w:t>
      </w:r>
    </w:p>
    <w:p w14:paraId="1F5305EF" w14:textId="77777777" w:rsidR="00E6275D" w:rsidRPr="001100F8" w:rsidRDefault="00E6275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Fardost, B., M. Ebrahimi, G. Moghaddam, M. Olyaee, M. Adib Moradi and S. Alijani, 2019. The effect of </w:t>
      </w:r>
      <w:r w:rsidRPr="001100F8">
        <w:rPr>
          <w:rFonts w:ascii="Times New Roman" w:hAnsi="Times New Roman"/>
          <w:i/>
          <w:iCs/>
          <w:color w:val="222222"/>
          <w:shd w:val="clear" w:color="auto" w:fill="FFFFFF"/>
        </w:rPr>
        <w:t>in ovo</w:t>
      </w:r>
      <w:r w:rsidRPr="001100F8">
        <w:rPr>
          <w:rFonts w:ascii="Times New Roman" w:hAnsi="Times New Roman"/>
          <w:color w:val="222222"/>
          <w:shd w:val="clear" w:color="auto" w:fill="FFFFFF"/>
        </w:rPr>
        <w:t xml:space="preserve"> feeding of L- methionine on carcass traits, small intestine morphology, and blood metabolites of day-old broiler chicks. </w:t>
      </w:r>
      <w:r w:rsidRPr="001100F8">
        <w:rPr>
          <w:rFonts w:ascii="Times New Roman" w:hAnsi="Times New Roman"/>
          <w:i/>
          <w:iCs/>
          <w:color w:val="222222"/>
        </w:rPr>
        <w:t>Animal Science Research</w:t>
      </w:r>
      <w:r w:rsidRPr="001100F8">
        <w:rPr>
          <w:rFonts w:ascii="Times New Roman" w:hAnsi="Times New Roman"/>
          <w:color w:val="222222"/>
          <w:shd w:val="clear" w:color="auto" w:fill="FFFFFF"/>
        </w:rPr>
        <w:t>. 29(1): 175-188.</w:t>
      </w:r>
      <w:r w:rsidRPr="001100F8">
        <w:rPr>
          <w:rFonts w:ascii="Times New Roman" w:hAnsi="Times New Roman"/>
          <w:color w:val="222222"/>
          <w:shd w:val="clear" w:color="auto" w:fill="FFFFFF"/>
          <w:cs/>
        </w:rPr>
        <w:t>‎</w:t>
      </w:r>
    </w:p>
    <w:p w14:paraId="4F1752E7" w14:textId="5678FA1F" w:rsidR="00E6275D" w:rsidRPr="001100F8" w:rsidRDefault="00CD411A"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lastRenderedPageBreak/>
        <w:t xml:space="preserve">Ge, H., Huang, Z., Feng, J., &amp; Zhang, M. (2025). In Ovo Feeding of Arginine, Leucine, and Methionine in Broiler Breeders' Eggs During Summer: Effects on Hatchability and Chick Oxidation, Inflammation, and Apoptosis. Animals, 15(13), 1930. </w:t>
      </w:r>
      <w:hyperlink r:id="rId19" w:history="1">
        <w:r w:rsidRPr="001100F8">
          <w:rPr>
            <w:rStyle w:val="Hyperlink"/>
            <w:rFonts w:ascii="Times New Roman" w:hAnsi="Times New Roman"/>
            <w:shd w:val="clear" w:color="auto" w:fill="FFFFFF"/>
          </w:rPr>
          <w:t>https://doi.org/10.3390/ani15131930</w:t>
        </w:r>
      </w:hyperlink>
      <w:r w:rsidRPr="001100F8">
        <w:rPr>
          <w:rFonts w:ascii="Times New Roman" w:hAnsi="Times New Roman"/>
          <w:color w:val="222222"/>
          <w:shd w:val="clear" w:color="auto" w:fill="FFFFFF"/>
        </w:rPr>
        <w:t xml:space="preserve"> </w:t>
      </w:r>
    </w:p>
    <w:p w14:paraId="4CD440C8" w14:textId="7EAE75C3" w:rsidR="00E6275D" w:rsidRPr="001100F8" w:rsidRDefault="00327B14"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Groff-Urayama, P., Padilha, J., Einsfeld, S., Pertile, S., Gorges, M., de Andrade, M., &amp; Takahashi, S. (2019). Performance, intestinal morphometry, and incubation parameters of broiler chickens submitted to in ovo feeding with different techniques and amino acids. Canadian Journal of Animal Science, 99(4), 732-740. </w:t>
      </w:r>
      <w:hyperlink r:id="rId20" w:history="1">
        <w:r w:rsidRPr="001100F8">
          <w:rPr>
            <w:rStyle w:val="Hyperlink"/>
            <w:rFonts w:ascii="Times New Roman" w:hAnsi="Times New Roman"/>
            <w:shd w:val="clear" w:color="auto" w:fill="FFFFFF"/>
          </w:rPr>
          <w:t>https://doi.org/10.1139/CJAS-2018-0131</w:t>
        </w:r>
      </w:hyperlink>
      <w:r w:rsidRPr="001100F8">
        <w:rPr>
          <w:rFonts w:ascii="Times New Roman" w:hAnsi="Times New Roman"/>
          <w:color w:val="222222"/>
          <w:shd w:val="clear" w:color="auto" w:fill="FFFFFF"/>
        </w:rPr>
        <w:t xml:space="preserve"> </w:t>
      </w:r>
    </w:p>
    <w:p w14:paraId="05C622D5" w14:textId="577EE0DF" w:rsidR="00E6275D" w:rsidRPr="001100F8" w:rsidRDefault="00B030B8"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Hassan, M. S., Rizk, Y. S., Alsied, E. A., Abdelrazik, S. G., Mohammed, R. A., Eisaa, W. H., &amp; Eid, K. M. A. (2022). The Effect of Using Iron Nanoparticles or Iron Methionine by In Ovo Injection or As a Dietary Supplement on The Productive and Physiological Performance of Mamoura Chicken Strain. *Research Journal of Science – RJS*, *3*(2), 15-24. </w:t>
      </w:r>
      <w:hyperlink r:id="rId21" w:history="1">
        <w:r w:rsidRPr="001100F8">
          <w:rPr>
            <w:rStyle w:val="Hyperlink"/>
            <w:rFonts w:ascii="Times New Roman" w:hAnsi="Times New Roman"/>
            <w:shd w:val="clear" w:color="auto" w:fill="FFFFFF"/>
          </w:rPr>
          <w:t>https://www.researchgate.net/publication/368870000_The_Effect_of_Using_Iron_Nanoparticles_or_Iron_Methionine_by_In_Ovo_Injection_or_As_a_Dietary_Supplement_on_The_Productive_and_Physiological_Performance_of_Mamoura_Chicken_Strain</w:t>
        </w:r>
      </w:hyperlink>
      <w:r w:rsidRPr="001100F8">
        <w:rPr>
          <w:rFonts w:ascii="Times New Roman" w:hAnsi="Times New Roman"/>
          <w:color w:val="222222"/>
          <w:shd w:val="clear" w:color="auto" w:fill="FFFFFF"/>
        </w:rPr>
        <w:t xml:space="preserve"> </w:t>
      </w:r>
    </w:p>
    <w:p w14:paraId="1D33079E" w14:textId="2A14190D" w:rsidR="00E6275D" w:rsidRPr="001100F8" w:rsidRDefault="007C47A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Idowu, O. P. A., Adeyeye, E. A., Kareem, D. U., Iyanda, A. I., Amos, O. S. E., Rotimi, A. T., Sogunle, O. M., &amp; Idowu, O. M. O. (2024). Effect of in ovo injection of lysine and methionine on hatching traits and growth performance of guinea fowl. Nigerian Journal of Animal Production. </w:t>
      </w:r>
      <w:hyperlink r:id="rId22" w:history="1">
        <w:r w:rsidRPr="001100F8">
          <w:rPr>
            <w:rStyle w:val="Hyperlink"/>
            <w:rFonts w:ascii="Times New Roman" w:hAnsi="Times New Roman"/>
            <w:shd w:val="clear" w:color="auto" w:fill="FFFFFF"/>
          </w:rPr>
          <w:t>https://doi.org/10.51791/njap.vi.5868</w:t>
        </w:r>
      </w:hyperlink>
      <w:r w:rsidRPr="001100F8">
        <w:rPr>
          <w:rFonts w:ascii="Times New Roman" w:hAnsi="Times New Roman"/>
          <w:color w:val="222222"/>
          <w:shd w:val="clear" w:color="auto" w:fill="FFFFFF"/>
        </w:rPr>
        <w:t xml:space="preserve"> </w:t>
      </w:r>
    </w:p>
    <w:p w14:paraId="49B801C1" w14:textId="6C9BB3E6" w:rsidR="00E6275D" w:rsidRPr="001100F8" w:rsidRDefault="005E4A83" w:rsidP="001100F8">
      <w:pPr>
        <w:ind w:left="360"/>
        <w:jc w:val="both"/>
        <w:rPr>
          <w:rFonts w:ascii="Times New Roman" w:hAnsi="Times New Roman"/>
        </w:rPr>
      </w:pPr>
      <w:r w:rsidRPr="001100F8">
        <w:rPr>
          <w:rFonts w:ascii="Times New Roman" w:hAnsi="Times New Roman"/>
          <w:color w:val="222222"/>
          <w:shd w:val="clear" w:color="auto" w:fill="FFFFFF"/>
        </w:rPr>
        <w:t xml:space="preserve">Kramer, C. Y. (1956). Extension of multiple range tests to group means with unequal numbers of replications. Biometrics, 12(3), 307–310. </w:t>
      </w:r>
      <w:hyperlink r:id="rId23" w:history="1">
        <w:r w:rsidRPr="001100F8">
          <w:rPr>
            <w:rStyle w:val="Hyperlink"/>
            <w:rFonts w:ascii="Times New Roman" w:hAnsi="Times New Roman"/>
            <w:shd w:val="clear" w:color="auto" w:fill="FFFFFF"/>
          </w:rPr>
          <w:t>https://doi.org/10.2307/3001469</w:t>
        </w:r>
      </w:hyperlink>
      <w:r w:rsidRPr="001100F8">
        <w:rPr>
          <w:rFonts w:ascii="Times New Roman" w:hAnsi="Times New Roman"/>
          <w:color w:val="222222"/>
          <w:shd w:val="clear" w:color="auto" w:fill="FFFFFF"/>
        </w:rPr>
        <w:t xml:space="preserve"> </w:t>
      </w:r>
    </w:p>
    <w:p w14:paraId="33281C49" w14:textId="197DFA3F" w:rsidR="00E6275D" w:rsidRPr="001100F8" w:rsidRDefault="00E46806" w:rsidP="001100F8">
      <w:pPr>
        <w:ind w:left="360"/>
        <w:jc w:val="both"/>
        <w:rPr>
          <w:rFonts w:ascii="Times New Roman" w:hAnsi="Times New Roman"/>
        </w:rPr>
      </w:pPr>
      <w:r w:rsidRPr="001100F8">
        <w:rPr>
          <w:rFonts w:ascii="Times New Roman" w:hAnsi="Times New Roman"/>
          <w:color w:val="222222"/>
          <w:shd w:val="clear" w:color="auto" w:fill="FFFFFF"/>
        </w:rPr>
        <w:t xml:space="preserve">Kucharska-Gaca, J., Kowalska, E., &amp; Dębowska, M. (2017). In ovo feeding – technology of the future – a review. Annals of Animal Science, 17(4), 979–992. </w:t>
      </w:r>
      <w:hyperlink r:id="rId24" w:history="1">
        <w:r w:rsidRPr="001100F8">
          <w:rPr>
            <w:rStyle w:val="Hyperlink"/>
            <w:rFonts w:ascii="Times New Roman" w:hAnsi="Times New Roman"/>
            <w:shd w:val="clear" w:color="auto" w:fill="FFFFFF"/>
          </w:rPr>
          <w:t>https://doi.org/10.1515/aoas-2017-0004</w:t>
        </w:r>
      </w:hyperlink>
      <w:r w:rsidRPr="001100F8">
        <w:rPr>
          <w:rFonts w:ascii="Times New Roman" w:hAnsi="Times New Roman"/>
          <w:color w:val="222222"/>
          <w:shd w:val="clear" w:color="auto" w:fill="FFFFFF"/>
        </w:rPr>
        <w:t xml:space="preserve"> </w:t>
      </w:r>
      <w:r w:rsidR="00E6275D" w:rsidRPr="001100F8">
        <w:rPr>
          <w:rFonts w:ascii="Times New Roman" w:hAnsi="Times New Roman"/>
        </w:rPr>
        <w:t xml:space="preserve"> </w:t>
      </w:r>
    </w:p>
    <w:p w14:paraId="24D1E7D3" w14:textId="2BFE449C" w:rsidR="00E6275D" w:rsidRPr="001100F8" w:rsidRDefault="00AA58A7" w:rsidP="001100F8">
      <w:pPr>
        <w:ind w:left="360"/>
        <w:jc w:val="both"/>
        <w:rPr>
          <w:rFonts w:ascii="Times New Roman" w:hAnsi="Times New Roman"/>
        </w:rPr>
      </w:pPr>
      <w:r w:rsidRPr="001100F8">
        <w:rPr>
          <w:rFonts w:ascii="Times New Roman" w:hAnsi="Times New Roman"/>
        </w:rPr>
        <w:t xml:space="preserve">Lösch, U., Schranner, I., Wanke, R., &amp; Jürgens, L. (1986). The chicken egg, an antibody source. Zentralblatt für Veterinärmedizin, Reihe B, 33(8), 609-619. </w:t>
      </w:r>
      <w:hyperlink r:id="rId25" w:history="1">
        <w:r w:rsidRPr="001100F8">
          <w:rPr>
            <w:rStyle w:val="Hyperlink"/>
            <w:rFonts w:ascii="Times New Roman" w:hAnsi="Times New Roman"/>
          </w:rPr>
          <w:t>https://doi.org/10.1111/j.1439-0450.1986.tb00076.x</w:t>
        </w:r>
      </w:hyperlink>
      <w:r w:rsidRPr="001100F8">
        <w:rPr>
          <w:rFonts w:ascii="Times New Roman" w:hAnsi="Times New Roman"/>
        </w:rPr>
        <w:t xml:space="preserve"> </w:t>
      </w:r>
    </w:p>
    <w:p w14:paraId="23B7522F" w14:textId="77777777" w:rsidR="00E6275D" w:rsidRPr="001100F8" w:rsidRDefault="00E6275D"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Mottaghitalab, M. and Y. Shafeeimanesh, 2015. Effects of </w:t>
      </w:r>
      <w:r w:rsidRPr="001100F8">
        <w:rPr>
          <w:rFonts w:ascii="Times New Roman" w:hAnsi="Times New Roman"/>
          <w:i/>
          <w:color w:val="222222"/>
          <w:shd w:val="clear" w:color="auto" w:fill="FFFFFF"/>
        </w:rPr>
        <w:t>in-ovo</w:t>
      </w:r>
      <w:r w:rsidRPr="001100F8">
        <w:rPr>
          <w:rFonts w:ascii="Times New Roman" w:hAnsi="Times New Roman"/>
          <w:color w:val="222222"/>
          <w:shd w:val="clear" w:color="auto" w:fill="FFFFFF"/>
        </w:rPr>
        <w:t xml:space="preserve"> injection of pyridoxine, methionine and their combination on hatchability, chick hatch weight and production traits in broiler breeder eggs. </w:t>
      </w:r>
      <w:r w:rsidRPr="001100F8">
        <w:rPr>
          <w:rFonts w:ascii="Times New Roman" w:hAnsi="Times New Roman"/>
          <w:i/>
          <w:iCs/>
          <w:color w:val="222222"/>
        </w:rPr>
        <w:t>Animal Production Research</w:t>
      </w:r>
      <w:r w:rsidRPr="001100F8">
        <w:rPr>
          <w:rFonts w:ascii="Times New Roman" w:hAnsi="Times New Roman"/>
          <w:color w:val="222222"/>
          <w:shd w:val="clear" w:color="auto" w:fill="FFFFFF"/>
        </w:rPr>
        <w:t>. </w:t>
      </w:r>
      <w:r w:rsidRPr="001100F8">
        <w:rPr>
          <w:rFonts w:ascii="Times New Roman" w:hAnsi="Times New Roman"/>
          <w:b/>
          <w:iCs/>
          <w:color w:val="222222"/>
        </w:rPr>
        <w:t>4</w:t>
      </w:r>
      <w:r w:rsidRPr="001100F8">
        <w:rPr>
          <w:rFonts w:ascii="Times New Roman" w:hAnsi="Times New Roman"/>
          <w:color w:val="222222"/>
          <w:shd w:val="clear" w:color="auto" w:fill="FFFFFF"/>
        </w:rPr>
        <w:t>(3): 57-66.</w:t>
      </w:r>
    </w:p>
    <w:p w14:paraId="4AD8A852" w14:textId="77777777" w:rsidR="00E6275D" w:rsidRPr="001100F8" w:rsidRDefault="00E6275D" w:rsidP="001100F8">
      <w:pPr>
        <w:ind w:left="360"/>
        <w:jc w:val="both"/>
        <w:rPr>
          <w:rFonts w:ascii="Times New Roman" w:hAnsi="Times New Roman"/>
        </w:rPr>
      </w:pPr>
      <w:r w:rsidRPr="001100F8">
        <w:rPr>
          <w:rFonts w:ascii="Times New Roman" w:hAnsi="Times New Roman"/>
          <w:color w:val="222222"/>
          <w:shd w:val="clear" w:color="auto" w:fill="FFFFFF"/>
        </w:rPr>
        <w:t>Nayak</w:t>
      </w:r>
      <w:r w:rsidRPr="001100F8">
        <w:rPr>
          <w:rFonts w:ascii="Times New Roman" w:hAnsi="Times New Roman"/>
        </w:rPr>
        <w:t xml:space="preserve">, N., 2015. Impact of </w:t>
      </w:r>
      <w:r w:rsidRPr="001100F8">
        <w:rPr>
          <w:rFonts w:ascii="Times New Roman" w:hAnsi="Times New Roman"/>
          <w:i/>
          <w:iCs/>
        </w:rPr>
        <w:t>in ovo</w:t>
      </w:r>
      <w:r w:rsidRPr="001100F8">
        <w:rPr>
          <w:rFonts w:ascii="Times New Roman" w:hAnsi="Times New Roman"/>
        </w:rPr>
        <w:t xml:space="preserve"> arginine and tryptophan nutrition on commercial broiler performance (Doctoral dissertation, TANUVAS, Chennai). </w:t>
      </w:r>
    </w:p>
    <w:p w14:paraId="74BE240F" w14:textId="7D793240" w:rsidR="00E6275D" w:rsidRPr="001100F8" w:rsidRDefault="00D0651B" w:rsidP="001100F8">
      <w:pPr>
        <w:ind w:left="360"/>
        <w:jc w:val="both"/>
        <w:rPr>
          <w:rFonts w:ascii="Times New Roman" w:hAnsi="Times New Roman"/>
        </w:rPr>
      </w:pPr>
      <w:r w:rsidRPr="001100F8">
        <w:rPr>
          <w:rFonts w:ascii="Times New Roman" w:hAnsi="Times New Roman"/>
          <w:color w:val="222222"/>
          <w:shd w:val="clear" w:color="auto" w:fill="FFFFFF"/>
        </w:rPr>
        <w:t xml:space="preserve">Nazmy, S. E., Hassan, B. H., Alnidawi, N. A. A., Elhalwagi, A., Elhamid, E. M. A., &amp; Farid, M. (2016). Biochemical studies on Moringa oleifera leaves extract. Journal of Biology, Agriculture and Healthcare, 6(16), 33-42. </w:t>
      </w:r>
      <w:hyperlink r:id="rId26" w:history="1">
        <w:r w:rsidRPr="001100F8">
          <w:rPr>
            <w:rStyle w:val="Hyperlink"/>
            <w:rFonts w:ascii="Times New Roman" w:hAnsi="Times New Roman"/>
            <w:shd w:val="clear" w:color="auto" w:fill="FFFFFF"/>
          </w:rPr>
          <w:t>https://www.iiste.org/Journals/index.php/JBAH/article/view/33090</w:t>
        </w:r>
      </w:hyperlink>
      <w:r w:rsidRPr="001100F8">
        <w:rPr>
          <w:rFonts w:ascii="Times New Roman" w:hAnsi="Times New Roman"/>
          <w:color w:val="222222"/>
          <w:shd w:val="clear" w:color="auto" w:fill="FFFFFF"/>
        </w:rPr>
        <w:t xml:space="preserve"> </w:t>
      </w:r>
    </w:p>
    <w:p w14:paraId="3D7A3E39" w14:textId="45423A26" w:rsidR="00E6275D" w:rsidRPr="001100F8" w:rsidRDefault="00632FCA" w:rsidP="001100F8">
      <w:pPr>
        <w:ind w:left="360"/>
        <w:jc w:val="both"/>
        <w:rPr>
          <w:rFonts w:ascii="Times New Roman" w:hAnsi="Times New Roman"/>
        </w:rPr>
      </w:pPr>
      <w:r w:rsidRPr="001100F8">
        <w:rPr>
          <w:rFonts w:ascii="Times New Roman" w:hAnsi="Times New Roman"/>
          <w:color w:val="222222"/>
          <w:shd w:val="clear" w:color="auto" w:fill="FFFFFF"/>
        </w:rPr>
        <w:t xml:space="preserve">N'nanle, O., Tété-Bénissan, A., Tona, K., Teteh, A., Voemesse, K., Decuypere, E., &amp; Gbeassor, M. (2017). Effect of in ovo inoculation of Moringa oleifera leaves extract on hatchability and chicken growth performance. European Poultry Science, 81. </w:t>
      </w:r>
      <w:hyperlink r:id="rId27" w:history="1">
        <w:r w:rsidRPr="001100F8">
          <w:rPr>
            <w:rStyle w:val="Hyperlink"/>
            <w:rFonts w:ascii="Times New Roman" w:hAnsi="Times New Roman"/>
            <w:shd w:val="clear" w:color="auto" w:fill="FFFFFF"/>
          </w:rPr>
          <w:t>https://doi.org/10.1399/eps.2017.213</w:t>
        </w:r>
      </w:hyperlink>
      <w:r w:rsidRPr="001100F8">
        <w:rPr>
          <w:rFonts w:ascii="Times New Roman" w:hAnsi="Times New Roman"/>
          <w:color w:val="222222"/>
          <w:shd w:val="clear" w:color="auto" w:fill="FFFFFF"/>
        </w:rPr>
        <w:t xml:space="preserve"> </w:t>
      </w:r>
    </w:p>
    <w:p w14:paraId="15B1E468" w14:textId="70C9C1D4" w:rsidR="00E6275D" w:rsidRPr="001100F8" w:rsidRDefault="00EF05C1" w:rsidP="001100F8">
      <w:pPr>
        <w:ind w:left="360"/>
        <w:jc w:val="both"/>
        <w:rPr>
          <w:rFonts w:ascii="Times New Roman" w:hAnsi="Times New Roman"/>
        </w:rPr>
      </w:pPr>
      <w:r w:rsidRPr="001100F8">
        <w:rPr>
          <w:rFonts w:ascii="Times New Roman" w:hAnsi="Times New Roman"/>
          <w:color w:val="222222"/>
          <w:shd w:val="clear" w:color="auto" w:fill="FFFFFF"/>
        </w:rPr>
        <w:t xml:space="preserve">Snedecor, G. W., &amp; Cochran, W. G. (1989). Statistical methods (8th ed.). Iowa State University Press. </w:t>
      </w:r>
    </w:p>
    <w:p w14:paraId="64941922" w14:textId="7DEF7FE8" w:rsidR="00E6275D" w:rsidRPr="001100F8" w:rsidRDefault="00A01F24" w:rsidP="001100F8">
      <w:pPr>
        <w:ind w:left="360"/>
        <w:jc w:val="both"/>
        <w:rPr>
          <w:rFonts w:ascii="Times New Roman" w:hAnsi="Times New Roman"/>
        </w:rPr>
      </w:pPr>
      <w:r w:rsidRPr="001100F8">
        <w:rPr>
          <w:rFonts w:ascii="Times New Roman" w:hAnsi="Times New Roman"/>
          <w:color w:val="222222"/>
          <w:shd w:val="clear" w:color="auto" w:fill="FFFFFF"/>
          <w:lang w:val="pt-BR"/>
        </w:rPr>
        <w:t xml:space="preserve">Teixeira, E. M. B., Carvalho, M. R. B., Neves, V. A., Silva, M. A., &amp; Arantes-Pereira, L. (2014). Chemical characteristics and fractionation of proteins from Moringa oleifera Lam. leaves. Food Chemistry, 147, 51-54. </w:t>
      </w:r>
      <w:hyperlink r:id="rId28" w:history="1">
        <w:r w:rsidRPr="001100F8">
          <w:rPr>
            <w:rStyle w:val="Hyperlink"/>
            <w:rFonts w:ascii="Times New Roman" w:hAnsi="Times New Roman"/>
            <w:shd w:val="clear" w:color="auto" w:fill="FFFFFF"/>
            <w:lang w:val="pt-BR"/>
          </w:rPr>
          <w:t>https://doi.org/10.1016/j.foodchem.2013.09.135</w:t>
        </w:r>
      </w:hyperlink>
      <w:r w:rsidRPr="001100F8">
        <w:rPr>
          <w:rFonts w:ascii="Times New Roman" w:hAnsi="Times New Roman"/>
          <w:color w:val="222222"/>
          <w:shd w:val="clear" w:color="auto" w:fill="FFFFFF"/>
          <w:lang w:val="pt-BR"/>
        </w:rPr>
        <w:t xml:space="preserve"> </w:t>
      </w:r>
    </w:p>
    <w:p w14:paraId="209525C3" w14:textId="714BC572" w:rsidR="00E6275D" w:rsidRPr="001100F8" w:rsidRDefault="008F203A" w:rsidP="001100F8">
      <w:pPr>
        <w:ind w:left="360"/>
        <w:jc w:val="both"/>
        <w:rPr>
          <w:rFonts w:ascii="Times New Roman" w:hAnsi="Times New Roman"/>
        </w:rPr>
      </w:pPr>
      <w:r w:rsidRPr="001100F8">
        <w:rPr>
          <w:rFonts w:ascii="Times New Roman" w:hAnsi="Times New Roman"/>
          <w:color w:val="222222"/>
          <w:shd w:val="clear" w:color="auto" w:fill="FFFFFF"/>
        </w:rPr>
        <w:t xml:space="preserve">Waterland, R. A. (2006). Assessing the effects of high methionine intake on DNA methylation. Journal of Nutrition, 136(6 Suppl), 1706S–1710S. </w:t>
      </w:r>
      <w:hyperlink r:id="rId29" w:history="1">
        <w:r w:rsidRPr="001100F8">
          <w:rPr>
            <w:rStyle w:val="Hyperlink"/>
            <w:rFonts w:ascii="Times New Roman" w:hAnsi="Times New Roman"/>
            <w:shd w:val="clear" w:color="auto" w:fill="FFFFFF"/>
          </w:rPr>
          <w:t>https://doi.org/10.1093/jn/136.6.1706S</w:t>
        </w:r>
      </w:hyperlink>
      <w:r w:rsidRPr="001100F8">
        <w:rPr>
          <w:rFonts w:ascii="Times New Roman" w:hAnsi="Times New Roman"/>
          <w:color w:val="222222"/>
          <w:shd w:val="clear" w:color="auto" w:fill="FFFFFF"/>
        </w:rPr>
        <w:t xml:space="preserve"> </w:t>
      </w:r>
    </w:p>
    <w:p w14:paraId="14D67FB6" w14:textId="277EA43F" w:rsidR="00E6275D" w:rsidRPr="001100F8" w:rsidRDefault="006D3941" w:rsidP="001100F8">
      <w:pPr>
        <w:ind w:left="360"/>
        <w:jc w:val="both"/>
        <w:rPr>
          <w:rFonts w:ascii="Times New Roman" w:hAnsi="Times New Roman"/>
        </w:rPr>
      </w:pPr>
      <w:r w:rsidRPr="001100F8">
        <w:rPr>
          <w:rFonts w:ascii="Times New Roman" w:hAnsi="Times New Roman"/>
          <w:color w:val="222222"/>
          <w:shd w:val="clear" w:color="auto" w:fill="FFFFFF"/>
        </w:rPr>
        <w:t xml:space="preserve">Xie, M., Hou, S. S., Huang, W., &amp; Fan, H. P. (2007). Effect of excess methionine and methionine hydroxy analogue on growth performance and plasma homocysteine of growing Pekin ducks. *Poultry Science*, *86*(9), 1995-1999. </w:t>
      </w:r>
      <w:hyperlink r:id="rId30" w:history="1">
        <w:r w:rsidRPr="001100F8">
          <w:rPr>
            <w:rStyle w:val="Hyperlink"/>
            <w:rFonts w:ascii="Times New Roman" w:hAnsi="Times New Roman"/>
            <w:shd w:val="clear" w:color="auto" w:fill="FFFFFF"/>
          </w:rPr>
          <w:t>https://doi.org/10.1093/ps/86.9.1995</w:t>
        </w:r>
      </w:hyperlink>
      <w:r w:rsidRPr="001100F8">
        <w:rPr>
          <w:rFonts w:ascii="Times New Roman" w:hAnsi="Times New Roman"/>
          <w:color w:val="222222"/>
          <w:shd w:val="clear" w:color="auto" w:fill="FFFFFF"/>
        </w:rPr>
        <w:t xml:space="preserve"> </w:t>
      </w:r>
    </w:p>
    <w:p w14:paraId="03EE22BE" w14:textId="20890037" w:rsidR="00E6275D" w:rsidRPr="001100F8" w:rsidRDefault="002D581C" w:rsidP="001100F8">
      <w:pPr>
        <w:ind w:left="360"/>
        <w:jc w:val="both"/>
        <w:rPr>
          <w:rFonts w:ascii="Times New Roman" w:hAnsi="Times New Roman"/>
          <w:color w:val="222222"/>
          <w:shd w:val="clear" w:color="auto" w:fill="FFFFFF"/>
        </w:rPr>
      </w:pPr>
      <w:r w:rsidRPr="001100F8">
        <w:rPr>
          <w:rFonts w:ascii="Times New Roman" w:hAnsi="Times New Roman"/>
          <w:color w:val="222222"/>
          <w:shd w:val="clear" w:color="auto" w:fill="FFFFFF"/>
        </w:rPr>
        <w:t xml:space="preserve">Youssef, S. F., Abd El-Halim, H. A. H., Wahba, F. A., &amp; Abd El-Maged, M. H. (2017). Effect of in ovo methionine, glutamine, carnitine or betaine injection on hatchability, growth performance and physiological state. Egyptian Poultry Science Journal, 37(4), 1273-1287. </w:t>
      </w:r>
      <w:hyperlink r:id="rId31" w:history="1">
        <w:r w:rsidRPr="001100F8">
          <w:rPr>
            <w:rStyle w:val="Hyperlink"/>
            <w:rFonts w:ascii="Times New Roman" w:hAnsi="Times New Roman"/>
            <w:shd w:val="clear" w:color="auto" w:fill="FFFFFF"/>
          </w:rPr>
          <w:t>https://www.researchgate.net/publication/321990000_EFFECT_OF_IN_OVO_METHIONINE_</w:t>
        </w:r>
        <w:r w:rsidRPr="001100F8">
          <w:rPr>
            <w:rStyle w:val="Hyperlink"/>
            <w:rFonts w:ascii="Times New Roman" w:hAnsi="Times New Roman"/>
            <w:shd w:val="clear" w:color="auto" w:fill="FFFFFF"/>
          </w:rPr>
          <w:lastRenderedPageBreak/>
          <w:t>GLUTAMINE_CARNITINE_OR_BETAINE_INJECTION_ON_HATCHABILITY_GROWTH_PERFORMANCE_AND_PHYSIOLOGICAL_STATE</w:t>
        </w:r>
      </w:hyperlink>
      <w:r w:rsidRPr="001100F8">
        <w:rPr>
          <w:rFonts w:ascii="Times New Roman" w:hAnsi="Times New Roman"/>
          <w:color w:val="222222"/>
          <w:shd w:val="clear" w:color="auto" w:fill="FFFFFF"/>
        </w:rPr>
        <w:t xml:space="preserve"> </w:t>
      </w:r>
    </w:p>
    <w:bookmarkEnd w:id="0"/>
    <w:p w14:paraId="33E37590" w14:textId="77777777" w:rsidR="00790ADA" w:rsidRPr="00FB3A86" w:rsidRDefault="00790ADA" w:rsidP="00441B6F">
      <w:pPr>
        <w:pStyle w:val="ReferHead"/>
        <w:spacing w:after="0"/>
        <w:jc w:val="both"/>
        <w:rPr>
          <w:rFonts w:ascii="Arial" w:hAnsi="Arial" w:cs="Arial"/>
        </w:rPr>
      </w:pPr>
    </w:p>
    <w:sectPr w:rsidR="00790ADA" w:rsidRPr="00FB3A86" w:rsidSect="00E6275D">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User" w:date="2025-12-28T06:44:00Z" w:initials="WU">
    <w:p w14:paraId="312DC683" w14:textId="000904BA" w:rsidR="00A30C8D" w:rsidRDefault="00A30C8D">
      <w:pPr>
        <w:pStyle w:val="CommentText"/>
      </w:pPr>
      <w:r>
        <w:rPr>
          <w:rStyle w:val="CommentReference"/>
        </w:rPr>
        <w:annotationRef/>
      </w:r>
      <w:r>
        <w:t>Insert 3.2 Discussion</w:t>
      </w:r>
    </w:p>
  </w:comment>
  <w:comment w:id="2" w:author="Windows User" w:date="2025-12-28T06:46:00Z" w:initials="WU">
    <w:p w14:paraId="4CE339E3" w14:textId="46243912" w:rsidR="00E53FD0" w:rsidRDefault="00E53FD0">
      <w:pPr>
        <w:pStyle w:val="CommentText"/>
      </w:pPr>
      <w:r>
        <w:rPr>
          <w:rStyle w:val="CommentReference"/>
        </w:rPr>
        <w:annotationRef/>
      </w:r>
      <w:r>
        <w:t>Review the referencing format</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2DC683" w15:done="0"/>
  <w15:commentEx w15:paraId="4CE339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9FA3C" w14:textId="77777777" w:rsidR="008933D3" w:rsidRDefault="008933D3" w:rsidP="00C37E61">
      <w:r>
        <w:separator/>
      </w:r>
    </w:p>
  </w:endnote>
  <w:endnote w:type="continuationSeparator" w:id="0">
    <w:p w14:paraId="53780761" w14:textId="77777777" w:rsidR="008933D3" w:rsidRDefault="008933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C6AC" w14:textId="77777777" w:rsidR="007316CE" w:rsidRDefault="00731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16CB" w14:textId="01E0089F" w:rsidR="00C37E61" w:rsidRPr="00BF4856" w:rsidRDefault="00C37E61" w:rsidP="00BF48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C741B" w14:textId="77777777" w:rsidR="009E048A" w:rsidRDefault="009E048A">
    <w:pPr>
      <w:pStyle w:val="Footer"/>
      <w:rPr>
        <w:rFonts w:ascii="Arial" w:hAnsi="Arial" w:cs="Arial"/>
        <w:sz w:val="16"/>
      </w:rPr>
    </w:pPr>
  </w:p>
  <w:p w14:paraId="4A9F18D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897CB9" w14:textId="77777777" w:rsidR="009E048A" w:rsidRDefault="009E048A">
    <w:pPr>
      <w:pStyle w:val="Footer"/>
      <w:rPr>
        <w:rFonts w:ascii="Arial" w:hAnsi="Arial" w:cs="Arial"/>
        <w:sz w:val="16"/>
      </w:rPr>
    </w:pPr>
  </w:p>
  <w:p w14:paraId="3982A60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73447" w14:textId="77777777" w:rsidR="008933D3" w:rsidRDefault="008933D3" w:rsidP="00C37E61">
      <w:r>
        <w:separator/>
      </w:r>
    </w:p>
  </w:footnote>
  <w:footnote w:type="continuationSeparator" w:id="0">
    <w:p w14:paraId="2F903B9A" w14:textId="77777777" w:rsidR="008933D3" w:rsidRDefault="008933D3"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0AD0A" w14:textId="2ECF739F" w:rsidR="007316CE" w:rsidRDefault="008933D3">
    <w:pPr>
      <w:pStyle w:val="Header"/>
    </w:pPr>
    <w:r>
      <w:rPr>
        <w:noProof/>
      </w:rPr>
      <w:pict w14:anchorId="0D7A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42E6" w14:textId="3D61D36B" w:rsidR="007316CE" w:rsidRDefault="008933D3">
    <w:pPr>
      <w:pStyle w:val="Header"/>
    </w:pPr>
    <w:r>
      <w:rPr>
        <w:noProof/>
      </w:rPr>
      <w:pict w14:anchorId="7B992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D521" w14:textId="0E00F5A6" w:rsidR="00296529" w:rsidRPr="00296529" w:rsidRDefault="008933D3" w:rsidP="00296529">
    <w:pPr>
      <w:ind w:left="2160"/>
      <w:jc w:val="center"/>
      <w:rPr>
        <w:rFonts w:ascii="Times New Roman" w:eastAsia="Calibri" w:hAnsi="Times New Roman"/>
        <w:i/>
        <w:sz w:val="18"/>
        <w:szCs w:val="22"/>
      </w:rPr>
    </w:pPr>
    <w:r>
      <w:rPr>
        <w:noProof/>
      </w:rPr>
      <w:pict w14:anchorId="08C5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96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211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D561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949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B61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812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08A05D"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41C8F"/>
    <w:multiLevelType w:val="hybridMultilevel"/>
    <w:tmpl w:val="941EC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E33"/>
    <w:rsid w:val="000D689F"/>
    <w:rsid w:val="000D7433"/>
    <w:rsid w:val="000E7B7B"/>
    <w:rsid w:val="000E7D62"/>
    <w:rsid w:val="00103357"/>
    <w:rsid w:val="001100F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581C"/>
    <w:rsid w:val="002E0D56"/>
    <w:rsid w:val="00300EBE"/>
    <w:rsid w:val="0030738B"/>
    <w:rsid w:val="00315186"/>
    <w:rsid w:val="00327B14"/>
    <w:rsid w:val="00332EC7"/>
    <w:rsid w:val="0033343E"/>
    <w:rsid w:val="003512C2"/>
    <w:rsid w:val="00371FB6"/>
    <w:rsid w:val="003763C1"/>
    <w:rsid w:val="00376BBE"/>
    <w:rsid w:val="0039224F"/>
    <w:rsid w:val="0039361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4A83"/>
    <w:rsid w:val="005E5539"/>
    <w:rsid w:val="00602BF5"/>
    <w:rsid w:val="00617FDD"/>
    <w:rsid w:val="006208D0"/>
    <w:rsid w:val="00632FCA"/>
    <w:rsid w:val="00633614"/>
    <w:rsid w:val="00633F68"/>
    <w:rsid w:val="00636EB2"/>
    <w:rsid w:val="006375B8"/>
    <w:rsid w:val="00650117"/>
    <w:rsid w:val="0066510A"/>
    <w:rsid w:val="00673F9F"/>
    <w:rsid w:val="00686953"/>
    <w:rsid w:val="00687DEA"/>
    <w:rsid w:val="00687E67"/>
    <w:rsid w:val="006967F7"/>
    <w:rsid w:val="006A250C"/>
    <w:rsid w:val="006B21D3"/>
    <w:rsid w:val="006B57D0"/>
    <w:rsid w:val="006D30FF"/>
    <w:rsid w:val="006D3941"/>
    <w:rsid w:val="006D6940"/>
    <w:rsid w:val="006F11EC"/>
    <w:rsid w:val="0070082C"/>
    <w:rsid w:val="00702854"/>
    <w:rsid w:val="007316CE"/>
    <w:rsid w:val="007369E6"/>
    <w:rsid w:val="00746E59"/>
    <w:rsid w:val="00754C9A"/>
    <w:rsid w:val="0075599A"/>
    <w:rsid w:val="00761D52"/>
    <w:rsid w:val="0077749E"/>
    <w:rsid w:val="00790ADA"/>
    <w:rsid w:val="007C47AD"/>
    <w:rsid w:val="007D2288"/>
    <w:rsid w:val="007D76EE"/>
    <w:rsid w:val="007E088F"/>
    <w:rsid w:val="007E5BE7"/>
    <w:rsid w:val="007F7B32"/>
    <w:rsid w:val="00804BC2"/>
    <w:rsid w:val="0081431A"/>
    <w:rsid w:val="0083216F"/>
    <w:rsid w:val="00860000"/>
    <w:rsid w:val="00863BD3"/>
    <w:rsid w:val="008641ED"/>
    <w:rsid w:val="00866D66"/>
    <w:rsid w:val="008671C6"/>
    <w:rsid w:val="00875803"/>
    <w:rsid w:val="008933D3"/>
    <w:rsid w:val="008B459E"/>
    <w:rsid w:val="008E13AE"/>
    <w:rsid w:val="008E1506"/>
    <w:rsid w:val="008E710C"/>
    <w:rsid w:val="008F203A"/>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0D0C"/>
    <w:rsid w:val="00A01F24"/>
    <w:rsid w:val="00A03B96"/>
    <w:rsid w:val="00A05B19"/>
    <w:rsid w:val="00A06962"/>
    <w:rsid w:val="00A1134E"/>
    <w:rsid w:val="00A13897"/>
    <w:rsid w:val="00A24E7E"/>
    <w:rsid w:val="00A258C3"/>
    <w:rsid w:val="00A30C8D"/>
    <w:rsid w:val="00A347C0"/>
    <w:rsid w:val="00A51431"/>
    <w:rsid w:val="00A539AD"/>
    <w:rsid w:val="00A94063"/>
    <w:rsid w:val="00AA58A7"/>
    <w:rsid w:val="00AA6219"/>
    <w:rsid w:val="00AA74E0"/>
    <w:rsid w:val="00AB703F"/>
    <w:rsid w:val="00AC6BB8"/>
    <w:rsid w:val="00AE008F"/>
    <w:rsid w:val="00B01FCD"/>
    <w:rsid w:val="00B030B8"/>
    <w:rsid w:val="00B1776C"/>
    <w:rsid w:val="00B47C87"/>
    <w:rsid w:val="00B52583"/>
    <w:rsid w:val="00B52896"/>
    <w:rsid w:val="00B95236"/>
    <w:rsid w:val="00B96BD9"/>
    <w:rsid w:val="00BA1B01"/>
    <w:rsid w:val="00BA2641"/>
    <w:rsid w:val="00BB37AA"/>
    <w:rsid w:val="00BC53A0"/>
    <w:rsid w:val="00BE62AD"/>
    <w:rsid w:val="00BE7E2A"/>
    <w:rsid w:val="00BF121F"/>
    <w:rsid w:val="00BF1F80"/>
    <w:rsid w:val="00BF4856"/>
    <w:rsid w:val="00C166EF"/>
    <w:rsid w:val="00C17EB0"/>
    <w:rsid w:val="00C27F5F"/>
    <w:rsid w:val="00C30A0F"/>
    <w:rsid w:val="00C37E61"/>
    <w:rsid w:val="00C70F1B"/>
    <w:rsid w:val="00C71A47"/>
    <w:rsid w:val="00C7464C"/>
    <w:rsid w:val="00C85588"/>
    <w:rsid w:val="00CD411A"/>
    <w:rsid w:val="00CD6755"/>
    <w:rsid w:val="00CD6856"/>
    <w:rsid w:val="00CE0089"/>
    <w:rsid w:val="00CE793C"/>
    <w:rsid w:val="00CF193C"/>
    <w:rsid w:val="00D028EC"/>
    <w:rsid w:val="00D0651B"/>
    <w:rsid w:val="00D173F1"/>
    <w:rsid w:val="00D74CB0"/>
    <w:rsid w:val="00D8295D"/>
    <w:rsid w:val="00DA203D"/>
    <w:rsid w:val="00DC2A65"/>
    <w:rsid w:val="00DE15F0"/>
    <w:rsid w:val="00DE5663"/>
    <w:rsid w:val="00DE78AA"/>
    <w:rsid w:val="00E053D0"/>
    <w:rsid w:val="00E15994"/>
    <w:rsid w:val="00E3114E"/>
    <w:rsid w:val="00E31A70"/>
    <w:rsid w:val="00E35B02"/>
    <w:rsid w:val="00E43FA9"/>
    <w:rsid w:val="00E46806"/>
    <w:rsid w:val="00E53FD0"/>
    <w:rsid w:val="00E6275D"/>
    <w:rsid w:val="00E66496"/>
    <w:rsid w:val="00E66B35"/>
    <w:rsid w:val="00E66E10"/>
    <w:rsid w:val="00E769F6"/>
    <w:rsid w:val="00E8407C"/>
    <w:rsid w:val="00E84F3C"/>
    <w:rsid w:val="00EA012C"/>
    <w:rsid w:val="00EC6A55"/>
    <w:rsid w:val="00ED0288"/>
    <w:rsid w:val="00EE52CB"/>
    <w:rsid w:val="00EF05C1"/>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941E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028EC"/>
    <w:pPr>
      <w:ind w:left="720"/>
      <w:contextualSpacing/>
    </w:pPr>
  </w:style>
  <w:style w:type="paragraph" w:styleId="CommentSubject">
    <w:name w:val="annotation subject"/>
    <w:basedOn w:val="CommentText"/>
    <w:next w:val="CommentText"/>
    <w:link w:val="CommentSubjectChar"/>
    <w:semiHidden/>
    <w:unhideWhenUsed/>
    <w:rsid w:val="00A30C8D"/>
    <w:rPr>
      <w:rFonts w:ascii="Helvetica" w:hAnsi="Helvetica"/>
      <w:b/>
      <w:bCs/>
      <w:lang w:val="en-US" w:eastAsia="en-US"/>
    </w:rPr>
  </w:style>
  <w:style w:type="character" w:customStyle="1" w:styleId="CommentSubjectChar">
    <w:name w:val="Comment Subject Char"/>
    <w:basedOn w:val="CommentTextChar"/>
    <w:link w:val="CommentSubject"/>
    <w:semiHidden/>
    <w:rsid w:val="00A30C8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897/AJB2007.000-2346" TargetMode="External"/><Relationship Id="rId26" Type="http://schemas.openxmlformats.org/officeDocument/2006/relationships/hyperlink" Target="https://www.iiste.org/Journals/index.php/JBAH/article/view/33090" TargetMode="External"/><Relationship Id="rId3" Type="http://schemas.openxmlformats.org/officeDocument/2006/relationships/styles" Target="styles.xml"/><Relationship Id="rId21" Type="http://schemas.openxmlformats.org/officeDocument/2006/relationships/hyperlink" Target="https://www.researchgate.net/publication/368870000_The_Effect_of_Using_Iron_Nanoparticles_or_Iron_Methionine_by_In_Ovo_Injection_or_As_a_Dietary_Supplement_on_The_Productive_and_Physiological_Performance_of_Mamoura_Chicken_Stra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vets.2021.754246" TargetMode="External"/><Relationship Id="rId25" Type="http://schemas.openxmlformats.org/officeDocument/2006/relationships/hyperlink" Target="https://doi.org/10.1111/j.1439-0450.1986.tb00076.x"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24925/turjaf.v2i1.47-50.64" TargetMode="External"/><Relationship Id="rId20" Type="http://schemas.openxmlformats.org/officeDocument/2006/relationships/hyperlink" Target="https://doi.org/10.1139/CJAS-2018-0131" TargetMode="External"/><Relationship Id="rId29" Type="http://schemas.openxmlformats.org/officeDocument/2006/relationships/hyperlink" Target="https://doi.org/10.1093/jn/136.6.1706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15/aoas-2017-00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307/3001469" TargetMode="External"/><Relationship Id="rId28" Type="http://schemas.openxmlformats.org/officeDocument/2006/relationships/hyperlink" Target="https://doi.org/10.1016/j.foodchem.2013.09.135" TargetMode="External"/><Relationship Id="rId10" Type="http://schemas.openxmlformats.org/officeDocument/2006/relationships/footer" Target="footer1.xml"/><Relationship Id="rId19" Type="http://schemas.openxmlformats.org/officeDocument/2006/relationships/hyperlink" Target="https://doi.org/10.3390/ani15131930" TargetMode="External"/><Relationship Id="rId31" Type="http://schemas.openxmlformats.org/officeDocument/2006/relationships/hyperlink" Target="https://www.researchgate.net/publication/321990000_EFFECT_OF_IN_OVO_METHIONINE_GLUTAMINE_CARNITINE_OR_BETAINE_INJECTION_ON_HATCHABILITY_GROWTH_PERFORMANCE_AND_PHYSIOLOGICAL_STAT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51791/njap.vi.5868" TargetMode="External"/><Relationship Id="rId27" Type="http://schemas.openxmlformats.org/officeDocument/2006/relationships/hyperlink" Target="https://doi.org/10.1399/eps.2017.213" TargetMode="External"/><Relationship Id="rId30" Type="http://schemas.openxmlformats.org/officeDocument/2006/relationships/hyperlink" Target="https://doi.org/10.1093/ps/86.9.19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CFC3-0830-4B80-BC87-E378792A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6</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30</cp:revision>
  <cp:lastPrinted>1999-07-06T11:00:00Z</cp:lastPrinted>
  <dcterms:created xsi:type="dcterms:W3CDTF">2025-11-29T03:31:00Z</dcterms:created>
  <dcterms:modified xsi:type="dcterms:W3CDTF">2025-12-28T05:46:00Z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545f6cfd-5b91-4a6d-9910-0552af5c3e0f</vt:lpwstr>
  </property>
</Properties>
</file>