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E2175" w14:textId="77777777" w:rsidR="00053221" w:rsidRDefault="002970B4">
      <w:pPr>
        <w:spacing w:after="0" w:line="240" w:lineRule="auto"/>
        <w:jc w:val="center"/>
        <w:rPr>
          <w:rFonts w:ascii="Times New Roman" w:hAnsi="Times New Roman"/>
          <w:b/>
          <w:i/>
          <w:iCs/>
          <w:color w:val="000000" w:themeColor="text1"/>
          <w:sz w:val="24"/>
          <w:szCs w:val="24"/>
        </w:rPr>
      </w:pPr>
      <w:r>
        <w:rPr>
          <w:rFonts w:ascii="Times New Roman" w:hAnsi="Times New Roman"/>
          <w:b/>
          <w:color w:val="000000" w:themeColor="text1"/>
          <w:sz w:val="24"/>
          <w:szCs w:val="24"/>
        </w:rPr>
        <w:t xml:space="preserve">An Investigation of the Proximate Composition, Phytochemical Constituents and Antioxidant Properties of </w:t>
      </w:r>
      <w:r>
        <w:rPr>
          <w:rFonts w:ascii="Times New Roman" w:hAnsi="Times New Roman"/>
          <w:b/>
          <w:i/>
          <w:iCs/>
          <w:color w:val="000000" w:themeColor="text1"/>
          <w:sz w:val="24"/>
          <w:szCs w:val="24"/>
        </w:rPr>
        <w:t>Eupatorium Odoratum (</w:t>
      </w:r>
      <w:proofErr w:type="spellStart"/>
      <w:r>
        <w:rPr>
          <w:rFonts w:ascii="Times New Roman" w:hAnsi="Times New Roman"/>
          <w:b/>
          <w:i/>
          <w:iCs/>
          <w:color w:val="000000" w:themeColor="text1"/>
          <w:sz w:val="24"/>
          <w:szCs w:val="24"/>
        </w:rPr>
        <w:t>Obiar</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Ofu</w:t>
      </w:r>
      <w:proofErr w:type="spellEnd"/>
      <w:r>
        <w:rPr>
          <w:rFonts w:ascii="Times New Roman" w:hAnsi="Times New Roman"/>
          <w:b/>
          <w:i/>
          <w:iCs/>
          <w:color w:val="000000" w:themeColor="text1"/>
          <w:sz w:val="24"/>
          <w:szCs w:val="24"/>
        </w:rPr>
        <w:t>)</w:t>
      </w:r>
    </w:p>
    <w:p w14:paraId="0CD63037" w14:textId="77777777" w:rsidR="00053221" w:rsidRDefault="00053221">
      <w:pPr>
        <w:spacing w:after="0" w:line="240" w:lineRule="auto"/>
        <w:jc w:val="center"/>
        <w:rPr>
          <w:rFonts w:ascii="Times New Roman" w:hAnsi="Times New Roman"/>
          <w:b/>
          <w:i/>
          <w:iCs/>
          <w:color w:val="000000" w:themeColor="text1"/>
          <w:sz w:val="24"/>
          <w:szCs w:val="24"/>
        </w:rPr>
      </w:pPr>
    </w:p>
    <w:p w14:paraId="54B51EF4" w14:textId="77777777" w:rsidR="00607AE1" w:rsidRDefault="00607AE1" w:rsidP="00006E22">
      <w:pPr>
        <w:spacing w:after="0" w:line="240" w:lineRule="auto"/>
        <w:jc w:val="both"/>
        <w:rPr>
          <w:rFonts w:ascii="Times New Roman" w:hAnsi="Times New Roman"/>
          <w:b/>
          <w:color w:val="000000" w:themeColor="text1"/>
          <w:sz w:val="24"/>
          <w:szCs w:val="24"/>
        </w:rPr>
      </w:pPr>
    </w:p>
    <w:p w14:paraId="69836271" w14:textId="43C0C0E6" w:rsidR="00006E22" w:rsidRDefault="00006E22" w:rsidP="00006E22">
      <w:pPr>
        <w:spacing w:after="0" w:line="240" w:lineRule="auto"/>
        <w:jc w:val="both"/>
        <w:rPr>
          <w:rFonts w:ascii="Times New Roman" w:hAnsi="Times New Roman"/>
          <w:b/>
          <w:color w:val="000000" w:themeColor="text1"/>
          <w:sz w:val="24"/>
          <w:szCs w:val="24"/>
        </w:rPr>
      </w:pPr>
      <w:r w:rsidRPr="00006E22">
        <w:rPr>
          <w:rFonts w:ascii="Times New Roman" w:hAnsi="Times New Roman"/>
          <w:b/>
          <w:color w:val="000000" w:themeColor="text1"/>
          <w:sz w:val="24"/>
          <w:szCs w:val="24"/>
        </w:rPr>
        <w:tab/>
      </w:r>
    </w:p>
    <w:p w14:paraId="70647552" w14:textId="77777777" w:rsidR="00053221" w:rsidRDefault="00053221">
      <w:pPr>
        <w:spacing w:after="0" w:line="240" w:lineRule="auto"/>
        <w:jc w:val="both"/>
        <w:rPr>
          <w:rFonts w:ascii="Times New Roman" w:hAnsi="Times New Roman"/>
          <w:b/>
          <w:color w:val="000000" w:themeColor="text1"/>
          <w:sz w:val="24"/>
          <w:szCs w:val="24"/>
        </w:rPr>
      </w:pPr>
    </w:p>
    <w:p w14:paraId="58F5B6AF" w14:textId="77777777" w:rsidR="00053221" w:rsidRDefault="002970B4">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14:paraId="656E46FE" w14:textId="21BF4674" w:rsidR="00053221" w:rsidRDefault="002970B4">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study examined the nutritional composition, phytochemical makeup, and antioxidant properties of </w:t>
      </w:r>
      <w:r>
        <w:rPr>
          <w:rFonts w:ascii="Times New Roman" w:hAnsi="Times New Roman"/>
          <w:bCs/>
          <w:i/>
          <w:iCs/>
          <w:color w:val="000000" w:themeColor="text1"/>
          <w:sz w:val="24"/>
          <w:szCs w:val="24"/>
        </w:rPr>
        <w:t>Eupatorium odoratum</w:t>
      </w:r>
      <w:r>
        <w:rPr>
          <w:rFonts w:ascii="Times New Roman" w:hAnsi="Times New Roman"/>
          <w:bCs/>
          <w:color w:val="000000" w:themeColor="text1"/>
          <w:sz w:val="24"/>
          <w:szCs w:val="24"/>
        </w:rPr>
        <w:t xml:space="preserve"> to assess its nutritional value and bioactive potential. The proximate analysis showed that carbohydrates made up the largest part at 36.067%, followed by crude fat at 23.738%. Moderate levels of crude protein at 18.1% and moisture at 13.233% were observed, while ash and crude fiber were 5.027% and 3.835%, respectively. The phytochemical analysis identified several bioactive compounds with hesperidin, gallocatechin, epicatechin, and naringin occuring in high concentrations, artemetin, apigenin, genistein, and silymarin were found in moderate concentrations, while ellagic acid, retusin, and isorhamnetin were not detected. Antioxidant tests indicated that </w:t>
      </w:r>
      <w:r>
        <w:rPr>
          <w:rFonts w:ascii="Times New Roman" w:hAnsi="Times New Roman"/>
          <w:bCs/>
          <w:i/>
          <w:iCs/>
          <w:color w:val="000000" w:themeColor="text1"/>
          <w:sz w:val="24"/>
          <w:szCs w:val="24"/>
        </w:rPr>
        <w:t>E. odoratum</w:t>
      </w:r>
      <w:r>
        <w:rPr>
          <w:rFonts w:ascii="Times New Roman" w:hAnsi="Times New Roman"/>
          <w:bCs/>
          <w:color w:val="000000" w:themeColor="text1"/>
          <w:sz w:val="24"/>
          <w:szCs w:val="24"/>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There was however strong DPPH scavenging activity and increased FRAP inhibition at higher concentrations. The findings </w:t>
      </w:r>
      <w:r w:rsidR="002408E1">
        <w:rPr>
          <w:rFonts w:ascii="Times New Roman" w:hAnsi="Times New Roman"/>
          <w:bCs/>
          <w:color w:val="000000" w:themeColor="text1"/>
          <w:sz w:val="24"/>
          <w:szCs w:val="24"/>
        </w:rPr>
        <w:t>show that</w:t>
      </w:r>
      <w:r>
        <w:rPr>
          <w:rFonts w:ascii="Times New Roman" w:hAnsi="Times New Roman"/>
          <w:bCs/>
          <w:color w:val="000000" w:themeColor="text1"/>
          <w:sz w:val="24"/>
          <w:szCs w:val="24"/>
        </w:rPr>
        <w:t xml:space="preserve"> </w:t>
      </w:r>
      <w:r>
        <w:rPr>
          <w:rFonts w:ascii="Times New Roman" w:hAnsi="Times New Roman"/>
          <w:bCs/>
          <w:i/>
          <w:iCs/>
          <w:color w:val="000000" w:themeColor="text1"/>
          <w:sz w:val="24"/>
          <w:szCs w:val="24"/>
        </w:rPr>
        <w:t>Eupatorium Odratum</w:t>
      </w:r>
      <w:r>
        <w:rPr>
          <w:rFonts w:ascii="Times New Roman" w:hAnsi="Times New Roman"/>
          <w:bCs/>
          <w:color w:val="000000" w:themeColor="text1"/>
          <w:sz w:val="24"/>
          <w:szCs w:val="24"/>
        </w:rPr>
        <w:t xml:space="preserve"> has nutritional and phytochemical constituents as well as </w:t>
      </w:r>
      <w:r w:rsidR="002408E1">
        <w:rPr>
          <w:rFonts w:ascii="Times New Roman" w:hAnsi="Times New Roman"/>
          <w:bCs/>
          <w:color w:val="000000" w:themeColor="text1"/>
          <w:sz w:val="24"/>
          <w:szCs w:val="24"/>
        </w:rPr>
        <w:t>an</w:t>
      </w:r>
      <w:r>
        <w:rPr>
          <w:rFonts w:ascii="Times New Roman" w:hAnsi="Times New Roman"/>
          <w:bCs/>
          <w:color w:val="000000" w:themeColor="text1"/>
          <w:sz w:val="24"/>
          <w:szCs w:val="24"/>
        </w:rPr>
        <w:t xml:space="preserve"> antioxidant capacity which makes it a natural source of bioactive compounds for health-related purposes.</w:t>
      </w:r>
    </w:p>
    <w:p w14:paraId="52A65BEF" w14:textId="77777777" w:rsidR="00053221" w:rsidRDefault="00053221">
      <w:pPr>
        <w:spacing w:after="0" w:line="240" w:lineRule="auto"/>
        <w:jc w:val="both"/>
        <w:rPr>
          <w:rFonts w:ascii="Times New Roman" w:hAnsi="Times New Roman"/>
          <w:bCs/>
          <w:color w:val="000000" w:themeColor="text1"/>
          <w:sz w:val="24"/>
          <w:szCs w:val="24"/>
        </w:rPr>
      </w:pPr>
    </w:p>
    <w:p w14:paraId="5321BB9C" w14:textId="77777777" w:rsidR="00053221" w:rsidRDefault="002970B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r>
        <w:rPr>
          <w:rFonts w:ascii="Times New Roman" w:hAnsi="Times New Roman" w:cs="Times New Roman"/>
          <w:bCs/>
          <w:color w:val="000000" w:themeColor="text1"/>
          <w:sz w:val="24"/>
          <w:szCs w:val="24"/>
        </w:rPr>
        <w:t xml:space="preserve">Proximate, Phytochemical, Antioxidant, </w:t>
      </w:r>
      <w:r>
        <w:rPr>
          <w:rFonts w:ascii="Times New Roman" w:hAnsi="Times New Roman" w:cs="Times New Roman"/>
          <w:bCs/>
          <w:i/>
          <w:iCs/>
          <w:color w:val="000000" w:themeColor="text1"/>
          <w:sz w:val="24"/>
          <w:szCs w:val="24"/>
        </w:rPr>
        <w:t xml:space="preserve">Eupatorium Odoratum, </w:t>
      </w:r>
      <w:r>
        <w:rPr>
          <w:rFonts w:ascii="Times New Roman" w:hAnsi="Times New Roman" w:cs="Times New Roman"/>
          <w:bCs/>
          <w:color w:val="000000" w:themeColor="text1"/>
          <w:sz w:val="24"/>
          <w:szCs w:val="24"/>
        </w:rPr>
        <w:t>Inhibitory</w:t>
      </w:r>
      <w:r>
        <w:rPr>
          <w:rFonts w:ascii="Times New Roman" w:hAnsi="Times New Roman" w:cs="Times New Roman"/>
          <w:b/>
          <w:color w:val="000000" w:themeColor="text1"/>
          <w:sz w:val="24"/>
          <w:szCs w:val="24"/>
        </w:rPr>
        <w:tab/>
      </w:r>
    </w:p>
    <w:p w14:paraId="50273D11" w14:textId="77777777" w:rsidR="00053221" w:rsidRDefault="002970B4">
      <w:pPr>
        <w:spacing w:line="360" w:lineRule="auto"/>
        <w:ind w:left="120" w:hangingChars="50" w:hanging="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0C5E9683" w14:textId="77777777" w:rsidR="00053221" w:rsidRDefault="002970B4">
      <w:pPr>
        <w:numPr>
          <w:ilvl w:val="0"/>
          <w:numId w:val="2"/>
        </w:numPr>
        <w:spacing w:before="80" w:after="8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 Introduction</w:t>
      </w:r>
    </w:p>
    <w:p w14:paraId="23C0D132" w14:textId="77777777" w:rsidR="00053221" w:rsidRDefault="002970B4">
      <w:pPr>
        <w:pStyle w:val="NormalWeb"/>
        <w:spacing w:before="80" w:beforeAutospacing="0" w:after="80" w:afterAutospacing="0"/>
        <w:jc w:val="both"/>
        <w:rPr>
          <w:rFonts w:eastAsia="SimSun"/>
        </w:rPr>
      </w:pPr>
      <w:r>
        <w:rPr>
          <w:rStyle w:val="Emphasis"/>
          <w:rFonts w:eastAsia="SimSun"/>
        </w:rPr>
        <w:t>Eupatorium odoratum</w:t>
      </w:r>
      <w:r>
        <w:rPr>
          <w:rFonts w:eastAsia="SimSun"/>
        </w:rPr>
        <w:t xml:space="preserve">, commonly known as Siam weed, is a fast-growing perennial herb of the family </w:t>
      </w:r>
      <w:r>
        <w:rPr>
          <w:rFonts w:eastAsia="SimSun"/>
          <w:i/>
          <w:iCs/>
        </w:rPr>
        <w:t>Asteraceae</w:t>
      </w:r>
      <w:r>
        <w:rPr>
          <w:rFonts w:eastAsia="SimSun"/>
        </w:rPr>
        <w:t xml:space="preserve"> that is native to the tropical Americas but now widely invasive across Africa, Asia, and the Pacific Islands (</w:t>
      </w:r>
      <w:r w:rsidRPr="00EF5874">
        <w:rPr>
          <w:rFonts w:eastAsia="SimSun"/>
          <w:color w:val="222222"/>
          <w:shd w:val="clear" w:color="auto" w:fill="FFFFFF"/>
        </w:rPr>
        <w:t>Tiamiyu &amp; Okunlade, 2020</w:t>
      </w:r>
      <w:r>
        <w:rPr>
          <w:rFonts w:eastAsia="SimSun"/>
        </w:rPr>
        <w:t>). Although it poses significant ecological challenges due to its rapid growth, prolific seed production, and allelopathic effects, the plant is extensively used in traditional medicine for the treatment of wounds, burns, skin infections, and inflammatory conditions (</w:t>
      </w:r>
      <w:r w:rsidRPr="00EF5874">
        <w:rPr>
          <w:rFonts w:eastAsia="SimSun"/>
          <w:color w:val="222222"/>
          <w:shd w:val="clear" w:color="auto" w:fill="FFFFFF"/>
        </w:rPr>
        <w:t>Ali-Seyed &amp; Vijayaraghavan, 2019</w:t>
      </w:r>
      <w:r>
        <w:rPr>
          <w:rFonts w:eastAsia="SimSun"/>
        </w:rPr>
        <w:t xml:space="preserve">). </w:t>
      </w:r>
    </w:p>
    <w:p w14:paraId="37262815" w14:textId="33106D2E" w:rsidR="00053221" w:rsidRDefault="002970B4">
      <w:pPr>
        <w:pStyle w:val="NormalWeb"/>
        <w:spacing w:before="80" w:beforeAutospacing="0" w:after="80" w:afterAutospacing="0"/>
        <w:jc w:val="both"/>
      </w:pPr>
      <w:r>
        <w:t>Proximate composition is essential for evaluating the nutritional potential of plant materials. Parameters such as moisture and ash contents inform shelf life and mineral composition, respectively (</w:t>
      </w:r>
      <w:r w:rsidRPr="00EF5874">
        <w:rPr>
          <w:rFonts w:eastAsia="SimSun"/>
          <w:color w:val="222222"/>
          <w:shd w:val="clear" w:color="auto" w:fill="FFFFFF"/>
        </w:rPr>
        <w:t>Garuba et al., 2018</w:t>
      </w:r>
      <w:r>
        <w:t xml:space="preserve">), while protein, fat, and crude fiber levels are important indicators of dietary value and digestive health </w:t>
      </w:r>
      <w:r w:rsidRPr="00EF5874">
        <w:t>(</w:t>
      </w:r>
      <w:r w:rsidRPr="00EF5874">
        <w:rPr>
          <w:rFonts w:eastAsia="SimSun"/>
          <w:color w:val="222222"/>
          <w:shd w:val="clear" w:color="auto" w:fill="FFFFFF"/>
        </w:rPr>
        <w:t>Li &amp; Komarek, 2017</w:t>
      </w:r>
      <w:r w:rsidRPr="00EF5874">
        <w:t>).</w:t>
      </w:r>
      <w:r>
        <w:t xml:space="preserve"> These attributes suggest that </w:t>
      </w:r>
      <w:r>
        <w:rPr>
          <w:rStyle w:val="Emphasis"/>
        </w:rPr>
        <w:t>E. odoratum</w:t>
      </w:r>
      <w:r>
        <w:t xml:space="preserve"> may contribute to addressing nutritional deficiencies in resource-limited settings (</w:t>
      </w:r>
      <w:proofErr w:type="spellStart"/>
      <w:r w:rsidRPr="00EF5874">
        <w:rPr>
          <w:rFonts w:eastAsia="SimSun"/>
          <w:color w:val="222222"/>
          <w:highlight w:val="yellow"/>
          <w:shd w:val="clear" w:color="auto" w:fill="FFFFFF"/>
        </w:rPr>
        <w:t>Ogechukwu</w:t>
      </w:r>
      <w:proofErr w:type="spellEnd"/>
      <w:r w:rsidRPr="00EF5874">
        <w:rPr>
          <w:rFonts w:eastAsia="SimSun"/>
          <w:color w:val="222222"/>
          <w:highlight w:val="yellow"/>
          <w:shd w:val="clear" w:color="auto" w:fill="FFFFFF"/>
        </w:rPr>
        <w:t xml:space="preserve"> &amp; Okoye, 2017</w:t>
      </w:r>
      <w:bookmarkStart w:id="0" w:name="_GoBack"/>
      <w:bookmarkEnd w:id="0"/>
      <w:r>
        <w:t>). Phytochemicals, including alkaloids, flavonoids, tannins, saponins, terpenoids, phenolics, and essential oils, are largely responsible for the therapeutic properties of medicinal plants (</w:t>
      </w:r>
      <w:r w:rsidRPr="00EF5874">
        <w:t>Samarin &amp; Nusrat, 2009; Okigbo et al., 2009</w:t>
      </w:r>
      <w:r>
        <w:t xml:space="preserve">). Flavonoids are notable for their antioxidant activity and role in mitigating oxidative stress and </w:t>
      </w:r>
      <w:r>
        <w:lastRenderedPageBreak/>
        <w:t xml:space="preserve">chronic diseases </w:t>
      </w:r>
      <w:r>
        <w:rPr>
          <w:sz w:val="16"/>
          <w:szCs w:val="16"/>
        </w:rPr>
        <w:t>(</w:t>
      </w:r>
      <w:r w:rsidRPr="00EF5874">
        <w:rPr>
          <w:rFonts w:eastAsia="SimSun"/>
          <w:color w:val="222222"/>
          <w:shd w:val="clear" w:color="auto" w:fill="FFFFFF"/>
        </w:rPr>
        <w:t>Sharifi-Rad</w:t>
      </w:r>
      <w:r w:rsidRPr="00EF5874">
        <w:t xml:space="preserve"> et al.,</w:t>
      </w:r>
      <w:r w:rsidRPr="00EF5874">
        <w:rPr>
          <w:sz w:val="16"/>
          <w:szCs w:val="16"/>
        </w:rPr>
        <w:t xml:space="preserve"> </w:t>
      </w:r>
      <w:r w:rsidRPr="00EF5874">
        <w:t>2020</w:t>
      </w:r>
      <w:r>
        <w:t>), while alkaloids exhibit diverse pharmacological effects, including analgesic and antimalarial activities (</w:t>
      </w:r>
      <w:r w:rsidR="00F03ED6" w:rsidRPr="00EF5874">
        <w:rPr>
          <w:rFonts w:eastAsia="SimSun"/>
          <w:color w:val="222222"/>
          <w:shd w:val="clear" w:color="auto" w:fill="FFFFFF"/>
        </w:rPr>
        <w:t>Uzor, 2020</w:t>
      </w:r>
      <w:r>
        <w:t>).</w:t>
      </w:r>
    </w:p>
    <w:p w14:paraId="4DDC7AF4" w14:textId="6714F99B" w:rsidR="00053221" w:rsidRDefault="002970B4">
      <w:pPr>
        <w:pStyle w:val="NormalWeb"/>
        <w:spacing w:before="0" w:beforeAutospacing="0" w:after="0" w:afterAutospacing="0"/>
        <w:jc w:val="both"/>
      </w:pPr>
      <w:r>
        <w:t>Medicinal plants remain a significant source of bioactive compounds with antimicrobial, antiviral, anticancer, antioxidant, and enzyme-inhibitory activities (</w:t>
      </w:r>
      <w:r w:rsidRPr="00EF5874">
        <w:rPr>
          <w:rFonts w:eastAsia="SimSun"/>
          <w:color w:val="222222"/>
          <w:shd w:val="clear" w:color="auto" w:fill="FFFFFF"/>
        </w:rPr>
        <w:t>Dar et al., 2023</w:t>
      </w:r>
      <w:r>
        <w:t xml:space="preserve">). </w:t>
      </w:r>
      <w:r>
        <w:rPr>
          <w:rStyle w:val="Emphasis"/>
        </w:rPr>
        <w:t>E. odoratum</w:t>
      </w:r>
      <w:r>
        <w:t xml:space="preserve"> has been traditionally employed for wound healing and inflammatory conditions and has demonstrated a broad spectrum of biological activities, including antimicrobial, anti-inflammatory, antidiabetic, and antioxidant effects (</w:t>
      </w:r>
      <w:r w:rsidRPr="00EF5874">
        <w:rPr>
          <w:rFonts w:eastAsia="SimSun"/>
          <w:color w:val="222222"/>
          <w:shd w:val="clear" w:color="auto" w:fill="FFFFFF"/>
        </w:rPr>
        <w:t xml:space="preserve">Vijayaraghavan </w:t>
      </w:r>
      <w:r w:rsidRPr="00EF5874">
        <w:t>et al., 2017</w:t>
      </w:r>
      <w:r>
        <w:t>). Antioxidants, which neutralize free radicals and prevent oxidative damage, play a critical role in these effects (</w:t>
      </w:r>
      <w:r w:rsidRPr="00EF5874">
        <w:rPr>
          <w:rFonts w:eastAsia="SimSun"/>
          <w:color w:val="222222"/>
          <w:shd w:val="clear" w:color="auto" w:fill="FFFFFF"/>
        </w:rPr>
        <w:t xml:space="preserve">Chaudhary </w:t>
      </w:r>
      <w:r w:rsidR="00F03ED6" w:rsidRPr="00EF5874">
        <w:rPr>
          <w:rFonts w:eastAsia="SimSun"/>
          <w:color w:val="222222"/>
          <w:shd w:val="clear" w:color="auto" w:fill="FFFFFF"/>
        </w:rPr>
        <w:t>et al.</w:t>
      </w:r>
      <w:r w:rsidRPr="00EF5874">
        <w:rPr>
          <w:rFonts w:eastAsia="SimSun"/>
          <w:color w:val="222222"/>
          <w:shd w:val="clear" w:color="auto" w:fill="FFFFFF"/>
        </w:rPr>
        <w:t xml:space="preserve"> 2023</w:t>
      </w:r>
      <w:r>
        <w:rPr>
          <w:rFonts w:ascii="Arial" w:eastAsia="SimSun" w:hAnsi="Arial" w:cs="Arial"/>
          <w:color w:val="222222"/>
          <w:sz w:val="19"/>
          <w:szCs w:val="19"/>
          <w:shd w:val="clear" w:color="auto" w:fill="FFFFFF"/>
        </w:rPr>
        <w:t>).</w:t>
      </w:r>
    </w:p>
    <w:p w14:paraId="1E65CDDE" w14:textId="77777777" w:rsidR="00053221" w:rsidRDefault="002970B4">
      <w:pPr>
        <w:pStyle w:val="NormalWeb"/>
        <w:spacing w:before="0" w:beforeAutospacing="0" w:after="0" w:afterAutospacing="0"/>
        <w:jc w:val="both"/>
      </w:pPr>
      <w:r>
        <w:t xml:space="preserve">This study aims to bridge traditional knowledge and scientific evidence by evaluating the proximate composition, phytochemical profile, and antioxidant properties of </w:t>
      </w:r>
      <w:r>
        <w:rPr>
          <w:rStyle w:val="Emphasis"/>
        </w:rPr>
        <w:t>Eupatorium odoratum</w:t>
      </w:r>
      <w:r>
        <w:t>. Such findings may validate its ethnomedicinal uses, support the development of natural therapeutic or nutritional products, and inform sustainable approaches.</w:t>
      </w:r>
    </w:p>
    <w:p w14:paraId="42976E5A" w14:textId="77777777" w:rsidR="00053221" w:rsidRDefault="00053221">
      <w:pPr>
        <w:spacing w:after="0" w:line="240" w:lineRule="auto"/>
        <w:jc w:val="both"/>
        <w:rPr>
          <w:rFonts w:ascii="Times New Roman" w:hAnsi="Times New Roman" w:cs="Times New Roman"/>
          <w:b/>
          <w:bCs/>
          <w:sz w:val="24"/>
          <w:szCs w:val="24"/>
        </w:rPr>
      </w:pPr>
    </w:p>
    <w:p w14:paraId="46714F1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Method</w:t>
      </w:r>
    </w:p>
    <w:p w14:paraId="03F3B10C" w14:textId="77777777" w:rsidR="00053221" w:rsidRDefault="002970B4">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2.1 Collection and Identification</w:t>
      </w:r>
    </w:p>
    <w:p w14:paraId="36DBD9B9" w14:textId="77777777" w:rsidR="00053221" w:rsidRDefault="002970B4">
      <w:pPr>
        <w:spacing w:after="8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plant sample used in this study was collected from Agbani, Nkanu West Local Government Area, Enugu State. The plant was identified and authenticated by Prof. C. E. Eze of the Department of Applied Biology and Biotechnology, Enugu State University of Science and Technology, Enugu State, Nigeria.</w:t>
      </w:r>
    </w:p>
    <w:p w14:paraId="2B3C692C" w14:textId="77777777" w:rsidR="00053221" w:rsidRDefault="002970B4">
      <w:pPr>
        <w:spacing w:line="360" w:lineRule="auto"/>
        <w:jc w:val="both"/>
        <w:rPr>
          <w:rFonts w:ascii="Times New Roman" w:hAnsi="Times New Roman" w:cs="Times New Roman"/>
          <w:sz w:val="24"/>
          <w:szCs w:val="24"/>
        </w:rPr>
      </w:pPr>
      <w:r>
        <w:rPr>
          <w:rFonts w:ascii="Times New Roman" w:hAnsi="Times New Roman" w:cs="Times New Roman"/>
          <w:b/>
          <w:sz w:val="24"/>
          <w:szCs w:val="24"/>
        </w:rPr>
        <w:t>2.2 Preparation of Plant material</w:t>
      </w:r>
    </w:p>
    <w:p w14:paraId="479B8417" w14:textId="77777777" w:rsidR="00053221" w:rsidRDefault="002970B4">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The plant sample was taken to the Department of Biochemistry laboratory, Enugu State University of Science and Technology, where the leaves were separated from the stalks, washed, and air-dried at room temperature for 2–3 days. The dried sample was then ground into powder and stored in a clean, dry, airtight container until further analysis</w:t>
      </w:r>
      <w:r>
        <w:rPr>
          <w:rFonts w:ascii="Times New Roman" w:hAnsi="Times New Roman" w:cs="Times New Roman"/>
          <w:sz w:val="24"/>
          <w:szCs w:val="24"/>
        </w:rPr>
        <w:t>.</w:t>
      </w:r>
    </w:p>
    <w:p w14:paraId="34274EA8" w14:textId="0A19341F" w:rsidR="00053221" w:rsidRDefault="002970B4" w:rsidP="00FE2732">
      <w:pPr>
        <w:spacing w:line="240" w:lineRule="auto"/>
        <w:jc w:val="both"/>
        <w:rPr>
          <w:rFonts w:ascii="Times New Roman" w:hAnsi="Times New Roman" w:cs="Times New Roman"/>
          <w:b/>
          <w:bCs/>
          <w:sz w:val="24"/>
          <w:szCs w:val="24"/>
        </w:rPr>
      </w:pPr>
      <w:r w:rsidRPr="00FE2732">
        <w:rPr>
          <w:rFonts w:ascii="Times New Roman" w:hAnsi="Times New Roman" w:cs="Times New Roman"/>
          <w:b/>
          <w:bCs/>
          <w:sz w:val="24"/>
          <w:szCs w:val="24"/>
          <w:highlight w:val="yellow"/>
        </w:rPr>
        <w:t>3.</w:t>
      </w:r>
      <w:r w:rsidR="00FE2732" w:rsidRPr="00FE2732">
        <w:rPr>
          <w:rFonts w:ascii="Times New Roman" w:hAnsi="Times New Roman" w:cs="Times New Roman"/>
          <w:b/>
          <w:bCs/>
          <w:sz w:val="24"/>
          <w:szCs w:val="24"/>
          <w:highlight w:val="yellow"/>
        </w:rPr>
        <w:t>0</w:t>
      </w:r>
      <w:r>
        <w:rPr>
          <w:rFonts w:ascii="Times New Roman" w:hAnsi="Times New Roman" w:cs="Times New Roman"/>
          <w:b/>
          <w:bCs/>
          <w:sz w:val="24"/>
          <w:szCs w:val="24"/>
        </w:rPr>
        <w:t xml:space="preserve"> Methods</w:t>
      </w:r>
    </w:p>
    <w:p w14:paraId="630156E0" w14:textId="68EC3D64" w:rsidR="00053221" w:rsidRDefault="00FE2732">
      <w:pPr>
        <w:spacing w:after="0" w:line="360" w:lineRule="auto"/>
        <w:jc w:val="both"/>
        <w:rPr>
          <w:rFonts w:ascii="Times New Roman" w:hAnsi="Times New Roman" w:cs="Times New Roman"/>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w:t>
      </w:r>
      <w:r w:rsidR="002970B4">
        <w:rPr>
          <w:rFonts w:ascii="Times New Roman" w:hAnsi="Times New Roman" w:cs="Times New Roman"/>
          <w:b/>
          <w:bCs/>
          <w:sz w:val="24"/>
          <w:szCs w:val="24"/>
        </w:rPr>
        <w:t xml:space="preserve"> Proximate Analysis</w:t>
      </w:r>
    </w:p>
    <w:p w14:paraId="456EB308" w14:textId="175B8838" w:rsidR="00053221" w:rsidRDefault="00FE2732">
      <w:pPr>
        <w:spacing w:after="0" w:line="360" w:lineRule="auto"/>
        <w:jc w:val="both"/>
        <w:rPr>
          <w:rFonts w:ascii="Times New Roman" w:hAnsi="Times New Roman" w:cs="Times New Roman"/>
          <w:b/>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.1.1</w:t>
      </w:r>
      <w:r w:rsidR="002970B4">
        <w:rPr>
          <w:rFonts w:ascii="Times New Roman" w:hAnsi="Times New Roman" w:cs="Times New Roman"/>
          <w:b/>
          <w:bCs/>
          <w:sz w:val="24"/>
          <w:szCs w:val="24"/>
        </w:rPr>
        <w:t xml:space="preserve"> </w:t>
      </w:r>
      <w:r w:rsidR="002970B4">
        <w:rPr>
          <w:rFonts w:ascii="Times New Roman" w:hAnsi="Times New Roman" w:cs="Times New Roman"/>
          <w:b/>
          <w:caps/>
          <w:sz w:val="24"/>
          <w:szCs w:val="24"/>
        </w:rPr>
        <w:t>m</w:t>
      </w:r>
      <w:r w:rsidR="002970B4">
        <w:rPr>
          <w:rFonts w:ascii="Times New Roman" w:hAnsi="Times New Roman" w:cs="Times New Roman"/>
          <w:b/>
          <w:sz w:val="24"/>
          <w:szCs w:val="24"/>
        </w:rPr>
        <w:t>oisture</w:t>
      </w:r>
      <w:r w:rsidR="002970B4">
        <w:rPr>
          <w:rFonts w:ascii="Times New Roman" w:hAnsi="Times New Roman" w:cs="Times New Roman"/>
          <w:b/>
          <w:caps/>
          <w:sz w:val="24"/>
          <w:szCs w:val="24"/>
        </w:rPr>
        <w:t xml:space="preserve"> c</w:t>
      </w:r>
      <w:r w:rsidR="002970B4">
        <w:rPr>
          <w:rFonts w:ascii="Times New Roman" w:hAnsi="Times New Roman" w:cs="Times New Roman"/>
          <w:b/>
          <w:sz w:val="24"/>
          <w:szCs w:val="24"/>
        </w:rPr>
        <w:t xml:space="preserve">ontent </w:t>
      </w:r>
    </w:p>
    <w:p w14:paraId="42D703B6" w14:textId="77777777" w:rsidR="00053221" w:rsidRDefault="002970B4">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Moisture content was determined using the method described by </w:t>
      </w:r>
      <w:r w:rsidRPr="00EF5874">
        <w:rPr>
          <w:rFonts w:ascii="Times New Roman" w:eastAsia="SimSun" w:hAnsi="Times New Roman" w:cs="Times New Roman"/>
          <w:sz w:val="24"/>
          <w:szCs w:val="24"/>
        </w:rPr>
        <w:t>AOAC (1995</w:t>
      </w:r>
      <w:r>
        <w:rPr>
          <w:rFonts w:ascii="Times New Roman" w:eastAsia="SimSun" w:hAnsi="Times New Roman" w:cs="Times New Roman"/>
          <w:sz w:val="24"/>
          <w:szCs w:val="24"/>
        </w:rPr>
        <w:t>). A clean Petri dish was washed and oven-dried, after which approximately 2 g of the sample was weighed into it. The initial weight of the Petri dish and sample was recorded. The dish containing the sample was then placed in an oven and heated at 105 °C for 2 hours, cooled, and weighed. Heating was continued for an additional 1 hour intervals until a constant weight was obtained. The final constant weight was recorded and used for moisture content determination.</w:t>
      </w:r>
    </w:p>
    <w:p w14:paraId="4DB633BC" w14:textId="77777777" w:rsidR="00053221" w:rsidRDefault="00053221">
      <w:pPr>
        <w:spacing w:after="0" w:line="240" w:lineRule="auto"/>
        <w:jc w:val="both"/>
        <w:rPr>
          <w:rFonts w:ascii="Times New Roman" w:eastAsia="SimSun" w:hAnsi="Times New Roman" w:cs="Times New Roman"/>
          <w:sz w:val="24"/>
          <w:szCs w:val="24"/>
        </w:rPr>
      </w:pPr>
    </w:p>
    <w:p w14:paraId="61EB8C3C" w14:textId="77777777" w:rsidR="00053221" w:rsidRDefault="00053221">
      <w:pPr>
        <w:spacing w:after="0" w:line="240" w:lineRule="auto"/>
        <w:jc w:val="both"/>
        <w:rPr>
          <w:rFonts w:ascii="Times New Roman" w:eastAsia="SimSun" w:hAnsi="Times New Roman" w:cs="Times New Roman"/>
          <w:sz w:val="24"/>
          <w:szCs w:val="24"/>
        </w:rPr>
      </w:pPr>
    </w:p>
    <w:p w14:paraId="246FCAF1" w14:textId="77777777" w:rsidR="00053221" w:rsidRDefault="00053221">
      <w:pPr>
        <w:spacing w:after="0" w:line="240" w:lineRule="auto"/>
        <w:jc w:val="both"/>
        <w:rPr>
          <w:rFonts w:ascii="Times New Roman" w:eastAsia="SimSun" w:hAnsi="Times New Roman" w:cs="Times New Roman"/>
          <w:sz w:val="24"/>
          <w:szCs w:val="24"/>
        </w:rPr>
      </w:pPr>
    </w:p>
    <w:p w14:paraId="6FC93DA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52A386" wp14:editId="34581E40">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….Eqn</w:t>
                            </w:r>
                            <w:proofErr w:type="gramEnd"/>
                            <w:r>
                              <w:rPr>
                                <w:rFonts w:ascii="Times New Roman" w:hAnsi="Times New Roman" w:cs="Times New Roman"/>
                                <w:sz w:val="24"/>
                                <w:szCs w:val="24"/>
                              </w:rPr>
                              <w:t xml:space="preserve">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wps:txbx>
                      <wps:bodyPr upright="1"/>
                    </wps:wsp>
                  </a:graphicData>
                </a:graphic>
              </wp:anchor>
            </w:drawing>
          </mc:Choice>
          <mc:Fallback>
            <w:pict>
              <v:rect w14:anchorId="2352A386" id="Rectangles 5" o:spid="_x0000_s1026" style="position:absolute;left:0;text-align:left;margin-left:12.65pt;margin-top:4.55pt;width:397.1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" stroked="f">
                <v:textbo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proofErr w:type="gramStart"/>
                      <w:r>
                        <w:rPr>
                          <w:rFonts w:ascii="Times New Roman" w:hAnsi="Times New Roman" w:cs="Times New Roman"/>
                          <w:sz w:val="24"/>
                          <w:szCs w:val="24"/>
                        </w:rPr>
                        <w:t>….Eqn</w:t>
                      </w:r>
                      <w:proofErr w:type="gramEnd"/>
                      <w:r>
                        <w:rPr>
                          <w:rFonts w:ascii="Times New Roman" w:hAnsi="Times New Roman" w:cs="Times New Roman"/>
                          <w:sz w:val="24"/>
                          <w:szCs w:val="24"/>
                        </w:rPr>
                        <w:t xml:space="preserve">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v:textbox>
              </v:rect>
            </w:pict>
          </mc:Fallback>
        </mc:AlternateContent>
      </w:r>
    </w:p>
    <w:p w14:paraId="164F92D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8D5D89" wp14:editId="514A13E8">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4DE8186" id="_x0000_t32" coordsize="21600,21600" o:spt="32" o:oned="t" path="m,l21600,21600e" filled="f">
                <v:path arrowok="t" fillok="f" o:connecttype="none"/>
                <o:lock v:ext="edit" shapetype="t"/>
              </v:shapetype>
              <v:shape id="Straight Arrow Connector 6" o:spid="_x0000_s1026" type="#_x0000_t32" style="position:absolute;left:0;text-align:left;margin-left:158.85pt;margin-top:2.4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"/>
            </w:pict>
          </mc:Fallback>
        </mc:AlternateContent>
      </w:r>
    </w:p>
    <w:p w14:paraId="05C184D9"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122F87"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petri-dish and sample before drying</w:t>
      </w:r>
    </w:p>
    <w:p w14:paraId="10B63ED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 of petri-dish and sample after drying.   </w:t>
      </w:r>
    </w:p>
    <w:p w14:paraId="3A947346" w14:textId="2563BDBB" w:rsidR="00053221" w:rsidRDefault="00FE2732">
      <w:pPr>
        <w:spacing w:after="0" w:line="360" w:lineRule="auto"/>
        <w:jc w:val="both"/>
        <w:rPr>
          <w:rFonts w:ascii="Times New Roman" w:hAnsi="Times New Roman" w:cs="Times New Roman"/>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1.2</w:t>
      </w:r>
      <w:r>
        <w:rPr>
          <w:rFonts w:ascii="Times New Roman" w:hAnsi="Times New Roman" w:cs="Times New Roman"/>
          <w:b/>
          <w:sz w:val="24"/>
          <w:szCs w:val="24"/>
        </w:rPr>
        <w:t xml:space="preserve"> </w:t>
      </w:r>
      <w:r w:rsidR="002970B4">
        <w:rPr>
          <w:rFonts w:ascii="Times New Roman" w:hAnsi="Times New Roman" w:cs="Times New Roman"/>
          <w:b/>
          <w:sz w:val="24"/>
          <w:szCs w:val="24"/>
        </w:rPr>
        <w:t xml:space="preserve">Ash content </w:t>
      </w:r>
      <w:r w:rsidR="002970B4">
        <w:rPr>
          <w:rFonts w:ascii="Times New Roman" w:hAnsi="Times New Roman" w:cs="Times New Roman"/>
          <w:sz w:val="24"/>
          <w:szCs w:val="24"/>
        </w:rPr>
        <w:t>(AOAC, 1995)</w:t>
      </w:r>
    </w:p>
    <w:p w14:paraId="6C1729BB" w14:textId="77777777" w:rsidR="00053221" w:rsidRDefault="002970B4">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Ash content was determined using the method described by AOAC (1995). An empty platinum crucible was washed, dried, and weighed. Approximately 2 g of the sample was placed in the crucible and incinerated in a muffle furnace at 550 °C for 3 hours. After ashing, the crucible was cooled in a desiccator and reweighed.</w:t>
      </w:r>
    </w:p>
    <w:p w14:paraId="4FA8DAF3"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Calculations</w:t>
      </w:r>
    </w:p>
    <w:p w14:paraId="1BE48B6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21EA7B88" wp14:editId="3B91D87D">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21EA7B88" id="Group 4" o:spid="_x0000_s1027" style="position:absolute;left:0;text-align:left;margin-left:5.1pt;margin-top:4.15pt;width:395.65pt;height:38pt;z-index:251661312" coordorigin="1542,4007" coordsize="7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">
                <v:rect id="Rectangles 1" o:spid="_x0000_s1028" style="position:absolute;left:1542;top:4007;width:791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textbo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v:textbox>
                </v:rect>
                <v:shape id="Straight Arrow Connector 2" o:spid="_x0000_s1029" type="#_x0000_t32" style="position:absolute;left:3770;top:4357;width:9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30" type="#_x0000_t32" style="position:absolute;left:5124;top:4357;width: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mc:Fallback>
        </mc:AlternateContent>
      </w:r>
    </w:p>
    <w:p w14:paraId="29C489D8" w14:textId="77777777" w:rsidR="00053221" w:rsidRDefault="00053221">
      <w:pPr>
        <w:spacing w:after="0" w:line="360" w:lineRule="auto"/>
        <w:jc w:val="both"/>
        <w:rPr>
          <w:rFonts w:ascii="Times New Roman" w:hAnsi="Times New Roman" w:cs="Times New Roman"/>
          <w:sz w:val="24"/>
          <w:szCs w:val="24"/>
        </w:rPr>
      </w:pPr>
    </w:p>
    <w:p w14:paraId="73E8E960"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494DF3C6" w14:textId="43AC933E"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0811B0">
        <w:rPr>
          <w:rFonts w:ascii="Times New Roman" w:hAnsi="Times New Roman" w:cs="Times New Roman"/>
          <w:sz w:val="24"/>
          <w:szCs w:val="24"/>
        </w:rPr>
        <w:t>= Weight</w:t>
      </w:r>
      <w:r>
        <w:rPr>
          <w:rFonts w:ascii="Times New Roman" w:hAnsi="Times New Roman" w:cs="Times New Roman"/>
          <w:sz w:val="24"/>
          <w:szCs w:val="24"/>
        </w:rPr>
        <w:t xml:space="preserve"> of platinum crucible and sample before burning</w:t>
      </w:r>
    </w:p>
    <w:p w14:paraId="4E8DBBFC"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2E719035" w14:textId="77777777" w:rsidR="00053221" w:rsidRDefault="00053221">
      <w:pPr>
        <w:spacing w:after="0" w:line="360" w:lineRule="auto"/>
        <w:jc w:val="both"/>
        <w:rPr>
          <w:rFonts w:ascii="Times New Roman" w:hAnsi="Times New Roman" w:cs="Times New Roman"/>
          <w:b/>
          <w:bCs/>
          <w:sz w:val="24"/>
          <w:szCs w:val="24"/>
        </w:rPr>
      </w:pPr>
    </w:p>
    <w:p w14:paraId="55B61D0A" w14:textId="6C37096B" w:rsidR="00053221" w:rsidRDefault="00FE2732">
      <w:pPr>
        <w:spacing w:after="0" w:line="360" w:lineRule="auto"/>
        <w:jc w:val="both"/>
        <w:rPr>
          <w:rFonts w:ascii="Times New Roman" w:hAnsi="Times New Roman" w:cs="Times New Roman"/>
          <w:b/>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.1.3</w:t>
      </w:r>
      <w:r w:rsidR="002970B4">
        <w:rPr>
          <w:rFonts w:ascii="Times New Roman" w:hAnsi="Times New Roman" w:cs="Times New Roman"/>
          <w:b/>
          <w:bCs/>
          <w:sz w:val="24"/>
          <w:szCs w:val="24"/>
        </w:rPr>
        <w:t xml:space="preserve"> </w:t>
      </w:r>
      <w:r w:rsidR="002970B4">
        <w:rPr>
          <w:rFonts w:ascii="Times New Roman" w:hAnsi="Times New Roman" w:cs="Times New Roman"/>
          <w:b/>
          <w:sz w:val="24"/>
          <w:szCs w:val="24"/>
        </w:rPr>
        <w:t>Crude Fibre</w:t>
      </w:r>
    </w:p>
    <w:p w14:paraId="4684F607" w14:textId="77777777" w:rsidR="00053221" w:rsidRDefault="002970B4">
      <w:pPr>
        <w:spacing w:after="0" w:line="240" w:lineRule="auto"/>
        <w:jc w:val="both"/>
        <w:rPr>
          <w:rFonts w:ascii="Times New Roman" w:hAnsi="Times New Roman" w:cs="Times New Roman"/>
          <w:b/>
          <w:bCs/>
          <w:sz w:val="24"/>
          <w:szCs w:val="24"/>
        </w:rPr>
      </w:pPr>
      <w:r>
        <w:rPr>
          <w:rFonts w:ascii="Times New Roman" w:hAnsi="Times New Roman"/>
          <w:sz w:val="24"/>
          <w:szCs w:val="24"/>
        </w:rPr>
        <w:t>Crude Fiber determination was carried out using the AOAC (1995)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 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75DF4BDF" w14:textId="77777777" w:rsidR="00053221" w:rsidRDefault="002970B4">
      <w:pPr>
        <w:spacing w:after="0" w:line="360" w:lineRule="auto"/>
        <w:jc w:val="both"/>
        <w:rPr>
          <w:rFonts w:ascii="Times New Roman" w:hAnsi="Times New Roman" w:cs="Times New Roman"/>
          <w:bCs/>
          <w:sz w:val="24"/>
          <w:szCs w:val="24"/>
        </w:rPr>
      </w:pPr>
      <m:oMath>
        <m:r>
          <m:rPr>
            <m:nor/>
          </m:rPr>
          <w:rPr>
            <w:rFonts w:ascii="Cambria Math" w:hAnsi="Cambria Math" w:cs="Times New Roman"/>
            <w:b/>
            <w:sz w:val="24"/>
            <w:szCs w:val="24"/>
          </w:rPr>
          <m:t xml:space="preserve">% </m:t>
        </m:r>
        <m:r>
          <m:rPr>
            <m:nor/>
          </m:rPr>
          <w:rPr>
            <w:rFonts w:ascii="Cambria Math" w:hAnsi="Cambria Math" w:cs="Times New Roman"/>
            <w:sz w:val="24"/>
            <w:szCs w:val="24"/>
          </w:rPr>
          <m:t>Crude Fibre=</m:t>
        </m:r>
        <m:f>
          <m:fPr>
            <m:ctrlPr>
              <w:rPr>
                <w:rFonts w:ascii="Cambria Math" w:hAnsi="Cambria Math" w:cs="Times New Roman"/>
                <w:bCs/>
                <w:sz w:val="24"/>
                <w:szCs w:val="24"/>
              </w:rPr>
            </m:ctrlPr>
          </m:fPr>
          <m:num>
            <m:r>
              <m:rPr>
                <m:nor/>
              </m:rPr>
              <w:rPr>
                <w:rFonts w:ascii="Cambria Math" w:hAnsi="Cambria Math" w:cs="Times New Roman"/>
                <w:sz w:val="24"/>
                <w:szCs w:val="24"/>
              </w:rPr>
              <m:t>Weight of Fibre</m:t>
            </m:r>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100</m:t>
        </m:r>
      </m:oMath>
      <w:r>
        <w:rPr>
          <w:rFonts w:hAnsi="Cambria Math"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Eqn</w:t>
      </w:r>
      <w:proofErr w:type="spellEnd"/>
      <w:proofErr w:type="gramEnd"/>
      <w:r>
        <w:rPr>
          <w:rFonts w:ascii="Times New Roman" w:hAnsi="Times New Roman" w:cs="Times New Roman"/>
          <w:sz w:val="24"/>
          <w:szCs w:val="24"/>
        </w:rPr>
        <w:t xml:space="preserve"> 3</w:t>
      </w:r>
    </w:p>
    <w:p w14:paraId="126EA858" w14:textId="39738095" w:rsidR="00053221" w:rsidRDefault="00FE2732">
      <w:pPr>
        <w:spacing w:after="0" w:line="360" w:lineRule="auto"/>
        <w:jc w:val="both"/>
        <w:rPr>
          <w:rFonts w:ascii="Times New Roman" w:hAnsi="Times New Roman" w:cs="Times New Roman"/>
          <w:b/>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1.4</w:t>
      </w:r>
      <w:r w:rsidR="002970B4">
        <w:rPr>
          <w:rFonts w:ascii="Times New Roman" w:hAnsi="Times New Roman" w:cs="Times New Roman"/>
          <w:b/>
          <w:bCs/>
          <w:sz w:val="24"/>
          <w:szCs w:val="24"/>
        </w:rPr>
        <w:t xml:space="preserve"> </w:t>
      </w:r>
      <w:r w:rsidR="002970B4">
        <w:rPr>
          <w:rFonts w:ascii="Times New Roman" w:hAnsi="Times New Roman" w:cs="Times New Roman"/>
          <w:b/>
          <w:sz w:val="24"/>
          <w:szCs w:val="24"/>
        </w:rPr>
        <w:t>Crude fat</w:t>
      </w:r>
    </w:p>
    <w:p w14:paraId="3A3CF50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The crude fat was determined using Soxhlet extraction method which involves continuously extracting a food sample with a non-polar organic solvent, such as petroleum ether, for approximately 1 hour or more. To perform the extraction, dry 250ml clean boiling flasks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     </w:t>
      </w:r>
    </w:p>
    <w:p w14:paraId="4F913588" w14:textId="77777777" w:rsidR="00053221" w:rsidRDefault="00053221">
      <w:pPr>
        <w:spacing w:after="0" w:line="240" w:lineRule="auto"/>
        <w:jc w:val="both"/>
        <w:rPr>
          <w:rFonts w:ascii="Times New Roman" w:hAnsi="Times New Roman"/>
          <w:sz w:val="24"/>
          <w:szCs w:val="24"/>
        </w:rPr>
      </w:pPr>
    </w:p>
    <w:p w14:paraId="10BF856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m:oMath>
        <m:r>
          <m:rPr>
            <m:sty m:val="bi"/>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b/>
                    <w:i/>
                    <w:sz w:val="24"/>
                    <w:szCs w:val="24"/>
                  </w:rPr>
                </m:ctrlPr>
              </m:dPr>
              <m:e>
                <m:r>
                  <m:rPr>
                    <m:nor/>
                  </m:rPr>
                  <w:rPr>
                    <w:rFonts w:ascii="Cambria Math" w:hAnsi="Cambria Math" w:cs="Times New Roman"/>
                    <w:sz w:val="24"/>
                    <w:szCs w:val="24"/>
                  </w:rPr>
                  <m:t>Weight of Flask+Oil</m:t>
                </m:r>
                <m:ctrlPr>
                  <w:rPr>
                    <w:rFonts w:ascii="Cambria Math" w:hAnsi="Cambria Math" w:cs="Times New Roman"/>
                    <w:sz w:val="24"/>
                    <w:szCs w:val="24"/>
                  </w:rPr>
                </m:ctrlPr>
              </m:e>
            </m:d>
            <m:r>
              <m:rPr>
                <m:nor/>
              </m:rPr>
              <w:rPr>
                <w:rFonts w:ascii="Cambria Math" w:hAnsi="Cambria Math" w:cs="Times New Roman"/>
                <w:sz w:val="24"/>
                <w:szCs w:val="24"/>
              </w:rPr>
              <m:t>-</m:t>
            </m:r>
            <m:d>
              <m:dPr>
                <m:ctrlPr>
                  <w:rPr>
                    <w:rFonts w:ascii="Cambria Math" w:hAnsi="Cambria Math" w:cs="Times New Roman"/>
                    <w:i/>
                    <w:sz w:val="24"/>
                    <w:szCs w:val="24"/>
                  </w:rPr>
                </m:ctrlPr>
              </m:dPr>
              <m:e>
                <m:r>
                  <m:rPr>
                    <m:nor/>
                  </m:rPr>
                  <w:rPr>
                    <w:rFonts w:ascii="Cambria Math" w:hAnsi="Cambria Math" w:cs="Times New Roman"/>
                    <w:sz w:val="24"/>
                    <w:szCs w:val="24"/>
                  </w:rPr>
                  <m:t>Weight of Flask</m:t>
                </m:r>
                <m:ctrlPr>
                  <w:rPr>
                    <w:rFonts w:ascii="Cambria Math" w:hAnsi="Cambria Math" w:cs="Times New Roman"/>
                    <w:sz w:val="24"/>
                    <w:szCs w:val="24"/>
                  </w:rPr>
                </m:ctrlPr>
              </m:e>
            </m: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x 100 </m:t>
        </m:r>
      </m:oMath>
      <w:r>
        <w:rPr>
          <w:rFonts w:hAnsi="Cambria Math" w:cs="Times New Roman"/>
          <w:sz w:val="24"/>
          <w:szCs w:val="24"/>
        </w:rPr>
        <w:t xml:space="preserve">              </w:t>
      </w:r>
      <w:r>
        <w:rPr>
          <w:rFonts w:ascii="Times New Roman" w:hAnsi="Times New Roman" w:cs="Times New Roman"/>
          <w:sz w:val="24"/>
          <w:szCs w:val="24"/>
        </w:rPr>
        <w:t xml:space="preserve">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4</w:t>
      </w:r>
    </w:p>
    <w:p w14:paraId="1E6CFEC8" w14:textId="77777777" w:rsidR="00053221" w:rsidRDefault="00053221">
      <w:pPr>
        <w:spacing w:after="0" w:line="360" w:lineRule="auto"/>
        <w:jc w:val="both"/>
        <w:rPr>
          <w:rFonts w:ascii="Times New Roman" w:hAnsi="Times New Roman" w:cs="Times New Roman"/>
          <w:b/>
          <w:bCs/>
          <w:sz w:val="24"/>
          <w:szCs w:val="24"/>
        </w:rPr>
      </w:pPr>
    </w:p>
    <w:p w14:paraId="56771400" w14:textId="3340A980" w:rsidR="00053221" w:rsidRDefault="00FE2732">
      <w:pPr>
        <w:spacing w:after="0" w:line="360" w:lineRule="auto"/>
        <w:jc w:val="both"/>
        <w:rPr>
          <w:rFonts w:ascii="Times New Roman" w:hAnsi="Times New Roman" w:cs="Times New Roman"/>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.1.5</w:t>
      </w:r>
      <w:r w:rsidR="002970B4">
        <w:rPr>
          <w:rFonts w:ascii="Times New Roman" w:hAnsi="Times New Roman" w:cs="Times New Roman"/>
          <w:b/>
          <w:bCs/>
          <w:sz w:val="24"/>
          <w:szCs w:val="24"/>
        </w:rPr>
        <w:t xml:space="preserve"> </w:t>
      </w:r>
      <w:r w:rsidR="002970B4">
        <w:rPr>
          <w:rFonts w:ascii="Times New Roman" w:hAnsi="Times New Roman" w:cs="Times New Roman"/>
          <w:sz w:val="24"/>
          <w:szCs w:val="24"/>
        </w:rPr>
        <w:t>Cr</w:t>
      </w:r>
      <w:r w:rsidR="002970B4">
        <w:rPr>
          <w:rFonts w:ascii="Times New Roman" w:hAnsi="Times New Roman" w:cs="Times New Roman"/>
          <w:b/>
          <w:sz w:val="24"/>
          <w:szCs w:val="24"/>
        </w:rPr>
        <w:t>ude Proteins</w:t>
      </w:r>
    </w:p>
    <w:p w14:paraId="31471992"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Crude protein determination was carried out using the AOAC (1995) method. The process involved weighing exactly 0.5g of the sample into a 30ml </w:t>
      </w:r>
      <w:proofErr w:type="spellStart"/>
      <w:r>
        <w:rPr>
          <w:rFonts w:ascii="Times New Roman" w:hAnsi="Times New Roman"/>
          <w:sz w:val="24"/>
          <w:szCs w:val="24"/>
        </w:rPr>
        <w:t>Kjeldahl</w:t>
      </w:r>
      <w:proofErr w:type="spellEnd"/>
      <w:r>
        <w:rPr>
          <w:rFonts w:ascii="Times New Roman" w:hAnsi="Times New Roman"/>
          <w:sz w:val="24"/>
          <w:szCs w:val="24"/>
        </w:rPr>
        <w:t xml:space="preserve"> flask, taking care not to touch the sides of the flask. The flask was then stoppered and </w:t>
      </w:r>
      <w:r>
        <w:rPr>
          <w:rFonts w:ascii="Times New Roman" w:hAnsi="Times New Roman"/>
          <w:sz w:val="24"/>
          <w:szCs w:val="24"/>
        </w:rPr>
        <w:lastRenderedPageBreak/>
        <w:t xml:space="preserve">shaken, followed by the addition of 0.5g of </w:t>
      </w:r>
      <w:proofErr w:type="spellStart"/>
      <w:r>
        <w:rPr>
          <w:rFonts w:ascii="Times New Roman" w:hAnsi="Times New Roman"/>
          <w:sz w:val="24"/>
          <w:szCs w:val="24"/>
        </w:rPr>
        <w:t>Kjeldahl</w:t>
      </w:r>
      <w:proofErr w:type="spellEnd"/>
      <w:r>
        <w:rPr>
          <w:rFonts w:ascii="Times New Roman" w:hAnsi="Times New Roman"/>
          <w:sz w:val="24"/>
          <w:szCs w:val="24"/>
        </w:rPr>
        <w:t xml:space="preserve"> catalyst mixture. The mixture was heated cautiously in a digestion rack until a clear solution was obtained.</w:t>
      </w:r>
    </w:p>
    <w:p w14:paraId="0FACBA27"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After digestion, the solution was allowed to stand for 30 minutes and cool. It was then made up to 100ml with distilled water to prevent caking. A 5ml aliquot was transferred to the </w:t>
      </w:r>
      <w:proofErr w:type="spellStart"/>
      <w:r>
        <w:rPr>
          <w:rFonts w:ascii="Times New Roman" w:hAnsi="Times New Roman"/>
          <w:sz w:val="24"/>
          <w:szCs w:val="24"/>
        </w:rPr>
        <w:t>Kjeldahl</w:t>
      </w:r>
      <w:proofErr w:type="spellEnd"/>
      <w:r>
        <w:rPr>
          <w:rFonts w:ascii="Times New Roman" w:hAnsi="Times New Roman"/>
          <w:sz w:val="24"/>
          <w:szCs w:val="24"/>
        </w:rPr>
        <w:t xml:space="preserve"> distillation apparatus, followed by 5ml of 40% sodium hydroxide.</w:t>
      </w:r>
    </w:p>
    <w:p w14:paraId="706E21E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4C17ED3E" w14:textId="77777777" w:rsidR="00053221" w:rsidRDefault="00053221">
      <w:pPr>
        <w:spacing w:after="0" w:line="240" w:lineRule="auto"/>
        <w:jc w:val="both"/>
        <w:rPr>
          <w:rFonts w:ascii="Times New Roman" w:hAnsi="Times New Roman"/>
          <w:sz w:val="24"/>
          <w:szCs w:val="24"/>
        </w:rPr>
      </w:pPr>
    </w:p>
    <w:p w14:paraId="4CF5384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Calculations</w:t>
      </w:r>
      <w:r>
        <w:rPr>
          <w:rFonts w:ascii="Times New Roman" w:hAnsi="Times New Roman" w:cs="Times New Roman"/>
          <w:sz w:val="24"/>
          <w:szCs w:val="24"/>
        </w:rPr>
        <w:t xml:space="preserve">  </w:t>
      </w:r>
    </w:p>
    <w:p w14:paraId="767C7340" w14:textId="77777777" w:rsidR="00053221" w:rsidRDefault="002970B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Nitrogen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 x 14 x 4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5</w:t>
      </w:r>
    </w:p>
    <w:p w14:paraId="1F5E435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Protein  =</w:t>
      </w:r>
      <w:proofErr w:type="gramEnd"/>
      <w:r>
        <w:rPr>
          <w:rFonts w:ascii="Times New Roman" w:hAnsi="Times New Roman" w:cs="Times New Roman"/>
          <w:sz w:val="24"/>
          <w:szCs w:val="24"/>
        </w:rPr>
        <w:t xml:space="preserve"> % Nitrogen x 6.25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6</w:t>
      </w:r>
    </w:p>
    <w:p w14:paraId="7E49C8B3" w14:textId="7595E8E5" w:rsidR="00053221" w:rsidRDefault="00FE2732">
      <w:pPr>
        <w:spacing w:after="0" w:line="360" w:lineRule="auto"/>
        <w:jc w:val="both"/>
        <w:rPr>
          <w:rFonts w:ascii="Times New Roman" w:hAnsi="Times New Roman" w:cs="Times New Roman"/>
          <w:b/>
          <w:sz w:val="24"/>
          <w:szCs w:val="24"/>
        </w:rPr>
      </w:pPr>
      <w:r w:rsidRPr="00FE2732">
        <w:rPr>
          <w:rFonts w:ascii="Times New Roman" w:hAnsi="Times New Roman" w:cs="Times New Roman"/>
          <w:b/>
          <w:bCs/>
          <w:sz w:val="24"/>
          <w:szCs w:val="24"/>
          <w:highlight w:val="yellow"/>
        </w:rPr>
        <w:t>3</w:t>
      </w:r>
      <w:r w:rsidR="002970B4" w:rsidRPr="00FE2732">
        <w:rPr>
          <w:rFonts w:ascii="Times New Roman" w:hAnsi="Times New Roman" w:cs="Times New Roman"/>
          <w:b/>
          <w:bCs/>
          <w:sz w:val="24"/>
          <w:szCs w:val="24"/>
          <w:highlight w:val="yellow"/>
        </w:rPr>
        <w:t>.1.6</w:t>
      </w:r>
      <w:r w:rsidR="002970B4">
        <w:rPr>
          <w:rFonts w:ascii="Times New Roman" w:hAnsi="Times New Roman" w:cs="Times New Roman"/>
          <w:b/>
          <w:bCs/>
          <w:sz w:val="24"/>
          <w:szCs w:val="24"/>
        </w:rPr>
        <w:t xml:space="preserve"> </w:t>
      </w:r>
      <w:r w:rsidR="002970B4">
        <w:rPr>
          <w:rFonts w:ascii="Times New Roman" w:hAnsi="Times New Roman" w:cs="Times New Roman"/>
          <w:b/>
          <w:sz w:val="24"/>
          <w:szCs w:val="24"/>
        </w:rPr>
        <w:t>Carbohydrate Determination</w:t>
      </w:r>
    </w:p>
    <w:p w14:paraId="6FA57D66" w14:textId="77777777" w:rsidR="00053221" w:rsidRDefault="002970B4">
      <w:pPr>
        <w:spacing w:after="0" w:line="360" w:lineRule="auto"/>
        <w:jc w:val="both"/>
        <w:rPr>
          <w:b/>
          <w:bCs/>
        </w:rPr>
      </w:pPr>
      <w:r>
        <w:rPr>
          <w:rFonts w:ascii="Times New Roman" w:hAnsi="Times New Roman" w:cs="Times New Roman"/>
          <w:sz w:val="24"/>
          <w:szCs w:val="24"/>
        </w:rPr>
        <w:t>% Carbohydrate = 100 – (% Protein + % Moisture + % Ash + % Fat + % Fibre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Eqn7</w:t>
      </w:r>
    </w:p>
    <w:p w14:paraId="3AC8B45B" w14:textId="7491E079" w:rsidR="00053221" w:rsidRDefault="00FE2732">
      <w:pPr>
        <w:pStyle w:val="NormalWeb"/>
        <w:shd w:val="clear" w:color="auto" w:fill="FFFFFF"/>
        <w:spacing w:before="0" w:beforeAutospacing="0" w:after="120" w:afterAutospacing="0" w:line="360" w:lineRule="auto"/>
        <w:jc w:val="both"/>
        <w:rPr>
          <w:b/>
          <w:color w:val="000000" w:themeColor="text1"/>
        </w:rPr>
      </w:pPr>
      <w:r w:rsidRPr="00FE2732">
        <w:rPr>
          <w:b/>
          <w:bCs/>
          <w:highlight w:val="yellow"/>
        </w:rPr>
        <w:t>3</w:t>
      </w:r>
      <w:r w:rsidR="002970B4" w:rsidRPr="00FE2732">
        <w:rPr>
          <w:b/>
          <w:bCs/>
          <w:highlight w:val="yellow"/>
        </w:rPr>
        <w:t>.2</w:t>
      </w:r>
      <w:r w:rsidR="002970B4">
        <w:rPr>
          <w:b/>
          <w:bCs/>
        </w:rPr>
        <w:t xml:space="preserve"> </w:t>
      </w:r>
      <w:r w:rsidR="002970B4">
        <w:rPr>
          <w:b/>
          <w:color w:val="000000" w:themeColor="text1"/>
        </w:rPr>
        <w:t>Phytochemical Analysis</w:t>
      </w:r>
    </w:p>
    <w:p w14:paraId="40BBDC1A" w14:textId="0C6C9154" w:rsidR="00053221" w:rsidRDefault="00FE2732">
      <w:pPr>
        <w:spacing w:after="80"/>
        <w:rPr>
          <w:rFonts w:ascii="Times New Roman" w:hAnsi="Times New Roman" w:cs="Times New Roman"/>
          <w:b/>
          <w:sz w:val="24"/>
          <w:szCs w:val="24"/>
        </w:rPr>
      </w:pPr>
      <w:r w:rsidRPr="00FE2732">
        <w:rPr>
          <w:rFonts w:ascii="Times New Roman" w:hAnsi="Times New Roman" w:cs="Times New Roman"/>
          <w:b/>
          <w:sz w:val="24"/>
          <w:szCs w:val="24"/>
          <w:highlight w:val="yellow"/>
        </w:rPr>
        <w:t>3</w:t>
      </w:r>
      <w:r w:rsidR="002970B4" w:rsidRPr="00FE2732">
        <w:rPr>
          <w:rFonts w:ascii="Times New Roman" w:hAnsi="Times New Roman" w:cs="Times New Roman"/>
          <w:b/>
          <w:sz w:val="24"/>
          <w:szCs w:val="24"/>
          <w:highlight w:val="yellow"/>
        </w:rPr>
        <w:t>.2.1</w:t>
      </w:r>
      <w:r w:rsidR="002970B4">
        <w:rPr>
          <w:rFonts w:ascii="Times New Roman" w:hAnsi="Times New Roman" w:cs="Times New Roman"/>
          <w:b/>
          <w:sz w:val="24"/>
          <w:szCs w:val="24"/>
        </w:rPr>
        <w:t xml:space="preserve"> Extraction of Phytochemicals</w:t>
      </w:r>
    </w:p>
    <w:p w14:paraId="01F7B182" w14:textId="77777777" w:rsidR="00053221" w:rsidRDefault="002970B4">
      <w:pPr>
        <w:spacing w:after="80"/>
        <w:jc w:val="both"/>
        <w:rPr>
          <w:rFonts w:ascii="Times New Roman" w:hAnsi="Times New Roman"/>
          <w:sz w:val="24"/>
          <w:szCs w:val="24"/>
        </w:rPr>
      </w:pPr>
      <w:r>
        <w:rPr>
          <w:rFonts w:ascii="Times New Roman" w:hAnsi="Times New Roman"/>
          <w:sz w:val="24"/>
          <w:szCs w:val="24"/>
        </w:rPr>
        <w:t>The extraction process involved weighing 0.2g of extract and transferring it to a test tube, followed by the addition of 15ml of ethanol and 10 ml of 50% m/v potassium hydroxide. The mixture was allowed to react in a water bath at 60°C for 3 hours. 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 The ethanol solvent was evaporated, and the sample was solubilized in 1000μl of pyridine. A 200μl aliquot was then transferred to a vial for analysis.</w:t>
      </w:r>
    </w:p>
    <w:p w14:paraId="16617676" w14:textId="1426C4FE" w:rsidR="00053221" w:rsidRDefault="00FE2732">
      <w:pPr>
        <w:spacing w:after="80"/>
        <w:jc w:val="both"/>
        <w:rPr>
          <w:rFonts w:ascii="Times New Roman" w:hAnsi="Times New Roman" w:cs="Times New Roman"/>
          <w:b/>
          <w:sz w:val="24"/>
          <w:szCs w:val="24"/>
        </w:rPr>
      </w:pPr>
      <w:r w:rsidRPr="00FE2732">
        <w:rPr>
          <w:rFonts w:ascii="Times New Roman" w:hAnsi="Times New Roman" w:cs="Times New Roman"/>
          <w:b/>
          <w:sz w:val="24"/>
          <w:szCs w:val="24"/>
          <w:highlight w:val="yellow"/>
        </w:rPr>
        <w:t>3.</w:t>
      </w:r>
      <w:r w:rsidR="002970B4" w:rsidRPr="00FE2732">
        <w:rPr>
          <w:rFonts w:ascii="Times New Roman" w:hAnsi="Times New Roman" w:cs="Times New Roman"/>
          <w:b/>
          <w:sz w:val="24"/>
          <w:szCs w:val="24"/>
          <w:highlight w:val="yellow"/>
        </w:rPr>
        <w:t>2.2</w:t>
      </w:r>
      <w:r w:rsidR="002970B4">
        <w:rPr>
          <w:rFonts w:ascii="Times New Roman" w:hAnsi="Times New Roman" w:cs="Times New Roman"/>
          <w:b/>
          <w:sz w:val="24"/>
          <w:szCs w:val="24"/>
        </w:rPr>
        <w:t xml:space="preserve"> Quantification by GC-FID</w:t>
      </w:r>
    </w:p>
    <w:p w14:paraId="340A431E"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analysis of phytochemicals was performed on an Agilent 6890 Gas Chromatograph equipped with a Flame Ionization Detector (FID) and a RESTEK 15m MXT-1 column (15m x 250μm x 0.15μm). The injector temperature was set at 280°C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2μL of sample and a linear velocity of 30 cm/s, using Helium 5.0 </w:t>
      </w:r>
      <w:proofErr w:type="spellStart"/>
      <w:proofErr w:type="gramStart"/>
      <w:r>
        <w:rPr>
          <w:rFonts w:ascii="Times New Roman" w:hAnsi="Times New Roman"/>
          <w:sz w:val="24"/>
          <w:szCs w:val="24"/>
        </w:rPr>
        <w:t>pa.s</w:t>
      </w:r>
      <w:proofErr w:type="spellEnd"/>
      <w:proofErr w:type="gramEnd"/>
      <w:r>
        <w:rPr>
          <w:rFonts w:ascii="Times New Roman" w:hAnsi="Times New Roman"/>
          <w:sz w:val="24"/>
          <w:szCs w:val="24"/>
        </w:rPr>
        <w:t xml:space="preserve"> as the carrier gas at a flow rate of 40 mL/min. The oven temperature was initially set at 201°C, then heated to 330°C at a rate of 3°C/min, and held at this temperature for 5 minutes. The detector operated at a temperature of 320°C. Phytochemicals were quantified by comparing the ratio of the area and mass of the internal standard to the area of the identified phytochemicals, with concentrations expressed in </w:t>
      </w:r>
      <w:proofErr w:type="spellStart"/>
      <w:r>
        <w:rPr>
          <w:rFonts w:ascii="Times New Roman" w:hAnsi="Times New Roman"/>
          <w:sz w:val="24"/>
          <w:szCs w:val="24"/>
        </w:rPr>
        <w:t>μg</w:t>
      </w:r>
      <w:proofErr w:type="spellEnd"/>
      <w:r>
        <w:rPr>
          <w:rFonts w:ascii="Times New Roman" w:hAnsi="Times New Roman"/>
          <w:sz w:val="24"/>
          <w:szCs w:val="24"/>
        </w:rPr>
        <w:t>/g.</w:t>
      </w:r>
    </w:p>
    <w:p w14:paraId="08BDB3DD" w14:textId="04722368" w:rsidR="00053221" w:rsidRDefault="00FE2732">
      <w:pPr>
        <w:autoSpaceDE w:val="0"/>
        <w:autoSpaceDN w:val="0"/>
        <w:adjustRightInd w:val="0"/>
        <w:spacing w:after="80" w:line="360" w:lineRule="auto"/>
        <w:jc w:val="both"/>
        <w:rPr>
          <w:rFonts w:ascii="Times New Roman" w:hAnsi="Times New Roman" w:cs="Times New Roman"/>
          <w:b/>
          <w:bCs/>
          <w:color w:val="000000"/>
          <w:sz w:val="24"/>
          <w:szCs w:val="24"/>
        </w:rPr>
      </w:pPr>
      <w:r w:rsidRPr="00FE2732">
        <w:rPr>
          <w:rFonts w:ascii="Times New Roman" w:hAnsi="Times New Roman" w:cs="Times New Roman"/>
          <w:b/>
          <w:bCs/>
          <w:color w:val="000000"/>
          <w:sz w:val="24"/>
          <w:szCs w:val="24"/>
          <w:highlight w:val="yellow"/>
        </w:rPr>
        <w:t>3</w:t>
      </w:r>
      <w:r w:rsidR="002970B4" w:rsidRPr="00FE2732">
        <w:rPr>
          <w:rFonts w:ascii="Times New Roman" w:hAnsi="Times New Roman" w:cs="Times New Roman"/>
          <w:b/>
          <w:bCs/>
          <w:color w:val="000000"/>
          <w:sz w:val="24"/>
          <w:szCs w:val="24"/>
          <w:highlight w:val="yellow"/>
        </w:rPr>
        <w:t>.2.3</w:t>
      </w:r>
      <w:r w:rsidR="002970B4">
        <w:rPr>
          <w:rFonts w:ascii="Times New Roman" w:hAnsi="Times New Roman" w:cs="Times New Roman"/>
          <w:b/>
          <w:bCs/>
          <w:color w:val="000000"/>
          <w:sz w:val="24"/>
          <w:szCs w:val="24"/>
        </w:rPr>
        <w:t xml:space="preserve"> DPPH Spectrophotometric Assay</w:t>
      </w:r>
    </w:p>
    <w:p w14:paraId="70A9D037"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scavenging ability of the natural antioxidants in the leaves towards the stable free radical DPPH was measured using the method of </w:t>
      </w:r>
      <w:proofErr w:type="spellStart"/>
      <w:r w:rsidRPr="00EF5874">
        <w:rPr>
          <w:rFonts w:ascii="Times New Roman" w:hAnsi="Times New Roman"/>
          <w:sz w:val="24"/>
          <w:szCs w:val="24"/>
        </w:rPr>
        <w:t>Mensor</w:t>
      </w:r>
      <w:proofErr w:type="spellEnd"/>
      <w:r w:rsidRPr="00EF5874">
        <w:rPr>
          <w:rFonts w:ascii="Times New Roman" w:hAnsi="Times New Roman"/>
          <w:sz w:val="24"/>
          <w:szCs w:val="24"/>
        </w:rPr>
        <w:t xml:space="preserve"> et al. (2001</w:t>
      </w:r>
      <w:r>
        <w:rPr>
          <w:rFonts w:ascii="Times New Roman" w:hAnsi="Times New Roman"/>
          <w:sz w:val="24"/>
          <w:szCs w:val="24"/>
        </w:rPr>
        <w:t xml:space="preserve">). The assay </w:t>
      </w:r>
      <w:r>
        <w:rPr>
          <w:rFonts w:ascii="Times New Roman" w:hAnsi="Times New Roman"/>
          <w:sz w:val="24"/>
          <w:szCs w:val="24"/>
        </w:rPr>
        <w:lastRenderedPageBreak/>
        <w:t xml:space="preserve">involved adding 20μl of leaf sample to 0.5ml of 0.1mM methanolic DPPH solution and 0.48ml of methanol, followed by incubation at room temperature for 30 minutes. Methanol served as the blank, while DPPH in methanol without the leaf sample served as the positive control, and butylated hydroxytoluene (BHT) was used as a reference standard. After incubation, the </w:t>
      </w:r>
      <w:proofErr w:type="spellStart"/>
      <w:r>
        <w:rPr>
          <w:rFonts w:ascii="Times New Roman" w:hAnsi="Times New Roman"/>
          <w:sz w:val="24"/>
          <w:szCs w:val="24"/>
        </w:rPr>
        <w:t>discolouration</w:t>
      </w:r>
      <w:proofErr w:type="spellEnd"/>
      <w:r>
        <w:rPr>
          <w:rFonts w:ascii="Times New Roman" w:hAnsi="Times New Roman"/>
          <w:sz w:val="24"/>
          <w:szCs w:val="24"/>
        </w:rPr>
        <w:t xml:space="preserve"> of the purple </w:t>
      </w:r>
      <w:proofErr w:type="spellStart"/>
      <w:r>
        <w:rPr>
          <w:rFonts w:ascii="Times New Roman" w:hAnsi="Times New Roman"/>
          <w:sz w:val="24"/>
          <w:szCs w:val="24"/>
        </w:rPr>
        <w:t>colour</w:t>
      </w:r>
      <w:proofErr w:type="spellEnd"/>
      <w:r>
        <w:rPr>
          <w:rFonts w:ascii="Times New Roman" w:hAnsi="Times New Roman"/>
          <w:sz w:val="24"/>
          <w:szCs w:val="24"/>
        </w:rPr>
        <w:t xml:space="preserve"> was measured at 518nm using a spectrophotometer (</w:t>
      </w:r>
      <w:proofErr w:type="spellStart"/>
      <w:r>
        <w:rPr>
          <w:rFonts w:ascii="Times New Roman" w:hAnsi="Times New Roman"/>
          <w:sz w:val="24"/>
          <w:szCs w:val="24"/>
        </w:rPr>
        <w:t>Genesys</w:t>
      </w:r>
      <w:proofErr w:type="spellEnd"/>
      <w:r>
        <w:rPr>
          <w:rFonts w:ascii="Times New Roman" w:hAnsi="Times New Roman"/>
          <w:sz w:val="24"/>
          <w:szCs w:val="24"/>
        </w:rPr>
        <w:t xml:space="preserve"> 10-S, USA). The radical scavenging activity was calculated </w:t>
      </w:r>
      <w:proofErr w:type="spellStart"/>
      <w:proofErr w:type="gramStart"/>
      <w:r>
        <w:rPr>
          <w:rFonts w:ascii="Times New Roman" w:hAnsi="Times New Roman"/>
          <w:sz w:val="24"/>
          <w:szCs w:val="24"/>
        </w:rPr>
        <w:t>accordingly.</w:t>
      </w:r>
      <w:r>
        <w:rPr>
          <w:rFonts w:ascii="Times New Roman" w:hAnsi="Times New Roman" w:cs="Times New Roman"/>
          <w:sz w:val="24"/>
          <w:szCs w:val="24"/>
        </w:rPr>
        <w:t>Scavenging</w:t>
      </w:r>
      <w:proofErr w:type="spellEnd"/>
      <w:proofErr w:type="gramEnd"/>
      <w:r>
        <w:rPr>
          <w:rFonts w:ascii="Times New Roman" w:hAnsi="Times New Roman" w:cs="Times New Roman"/>
          <w:sz w:val="24"/>
          <w:szCs w:val="24"/>
        </w:rPr>
        <w:t xml:space="preserve"> activity % = 100 - (A518 (sample) - A518 (blank)) × 100 / A518 (blank)</w:t>
      </w:r>
    </w:p>
    <w:p w14:paraId="3DA5D141" w14:textId="77777777" w:rsidR="00053221" w:rsidRDefault="00053221">
      <w:pPr>
        <w:spacing w:after="80" w:line="240" w:lineRule="auto"/>
        <w:jc w:val="both"/>
        <w:rPr>
          <w:rFonts w:ascii="Times New Roman" w:hAnsi="Times New Roman" w:cs="Times New Roman"/>
          <w:sz w:val="24"/>
          <w:szCs w:val="24"/>
        </w:rPr>
      </w:pPr>
    </w:p>
    <w:p w14:paraId="1D598D72" w14:textId="303EDA9F" w:rsidR="00053221" w:rsidRDefault="00FE2732">
      <w:pPr>
        <w:spacing w:after="80" w:line="360" w:lineRule="auto"/>
        <w:rPr>
          <w:rFonts w:ascii="Times New Roman" w:hAnsi="Times New Roman" w:cs="Times New Roman"/>
          <w:sz w:val="24"/>
          <w:szCs w:val="24"/>
        </w:rPr>
      </w:pPr>
      <w:r w:rsidRPr="00FE2732">
        <w:rPr>
          <w:rFonts w:ascii="Times New Roman" w:hAnsi="Times New Roman" w:cs="Times New Roman"/>
          <w:b/>
          <w:bCs/>
          <w:color w:val="000000"/>
          <w:sz w:val="24"/>
          <w:szCs w:val="24"/>
          <w:highlight w:val="yellow"/>
        </w:rPr>
        <w:t>3</w:t>
      </w:r>
      <w:r w:rsidR="002970B4" w:rsidRPr="00FE2732">
        <w:rPr>
          <w:rFonts w:ascii="Times New Roman" w:hAnsi="Times New Roman" w:cs="Times New Roman"/>
          <w:b/>
          <w:bCs/>
          <w:color w:val="000000"/>
          <w:sz w:val="24"/>
          <w:szCs w:val="24"/>
          <w:highlight w:val="yellow"/>
        </w:rPr>
        <w:t>.2.4</w:t>
      </w:r>
      <w:r w:rsidR="002970B4">
        <w:rPr>
          <w:rFonts w:ascii="Times New Roman" w:hAnsi="Times New Roman" w:cs="Times New Roman"/>
          <w:b/>
          <w:bCs/>
          <w:color w:val="000000"/>
          <w:sz w:val="24"/>
          <w:szCs w:val="24"/>
        </w:rPr>
        <w:t xml:space="preserve"> Nitric Oxide Scavenging Activity Assay</w:t>
      </w:r>
    </w:p>
    <w:p w14:paraId="0F94184C"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 Control tubes were prepared without the leaf sample. The absorbance was measured at 546nm against a reagent blank using a spectrophotometer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w:t>
      </w:r>
    </w:p>
    <w:p w14:paraId="3F74D2D5"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7FC90A32" w14:textId="37D748B0" w:rsidR="00053221" w:rsidRDefault="00FE2732">
      <w:pPr>
        <w:autoSpaceDE w:val="0"/>
        <w:autoSpaceDN w:val="0"/>
        <w:adjustRightInd w:val="0"/>
        <w:spacing w:after="80" w:line="360" w:lineRule="auto"/>
        <w:jc w:val="both"/>
        <w:rPr>
          <w:rFonts w:ascii="Times New Roman" w:hAnsi="Times New Roman" w:cs="Times New Roman"/>
          <w:b/>
          <w:bCs/>
          <w:color w:val="000000"/>
          <w:sz w:val="24"/>
          <w:szCs w:val="24"/>
        </w:rPr>
      </w:pPr>
      <w:r w:rsidRPr="00FE2732">
        <w:rPr>
          <w:rFonts w:ascii="Times New Roman" w:hAnsi="Times New Roman" w:cs="Times New Roman"/>
          <w:b/>
          <w:bCs/>
          <w:color w:val="000000"/>
          <w:sz w:val="24"/>
          <w:szCs w:val="24"/>
          <w:highlight w:val="yellow"/>
        </w:rPr>
        <w:t>3</w:t>
      </w:r>
      <w:r w:rsidR="002970B4" w:rsidRPr="00FE2732">
        <w:rPr>
          <w:rFonts w:ascii="Times New Roman" w:hAnsi="Times New Roman" w:cs="Times New Roman"/>
          <w:b/>
          <w:bCs/>
          <w:color w:val="000000"/>
          <w:sz w:val="24"/>
          <w:szCs w:val="24"/>
          <w:highlight w:val="yellow"/>
        </w:rPr>
        <w:t>.2.5</w:t>
      </w:r>
      <w:r w:rsidR="002970B4">
        <w:rPr>
          <w:rFonts w:ascii="Times New Roman" w:hAnsi="Times New Roman" w:cs="Times New Roman"/>
          <w:b/>
          <w:bCs/>
          <w:color w:val="000000"/>
          <w:sz w:val="24"/>
          <w:szCs w:val="24"/>
        </w:rPr>
        <w:t xml:space="preserve"> Hydroxyl Radical Scavenging Activity Assay</w:t>
      </w:r>
    </w:p>
    <w:p w14:paraId="5E9911AE"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 xml:space="preserve">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 After incubation, 1.0ml of TBA was added, and the mixture was heated at 95°C for 20 minutes to develop the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The TBARS formation was measured </w:t>
      </w:r>
      <w:proofErr w:type="spellStart"/>
      <w:r>
        <w:rPr>
          <w:rFonts w:ascii="Times New Roman" w:hAnsi="Times New Roman"/>
          <w:color w:val="000000"/>
          <w:sz w:val="24"/>
          <w:szCs w:val="24"/>
        </w:rPr>
        <w:t>spectrophotometrically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 at 532nm against an appropriate blank. The hydroxyl radical scavenging activity was determined by comparing the absorbance of the control with that of the sample-treated groups. The per cent TBARS production for the positive control (H2O2) was fixed at 100%, and the relative per cent TBARS was calculated for the sample-treated groups.</w:t>
      </w:r>
    </w:p>
    <w:p w14:paraId="3148213F"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373029FB" w14:textId="4BF9F72D" w:rsidR="00053221" w:rsidRDefault="00FE2732">
      <w:pPr>
        <w:autoSpaceDE w:val="0"/>
        <w:autoSpaceDN w:val="0"/>
        <w:adjustRightInd w:val="0"/>
        <w:spacing w:after="80" w:line="360" w:lineRule="auto"/>
        <w:jc w:val="both"/>
        <w:rPr>
          <w:rFonts w:ascii="Times New Roman" w:hAnsi="Times New Roman" w:cs="Times New Roman"/>
          <w:b/>
          <w:iCs/>
          <w:sz w:val="24"/>
          <w:szCs w:val="24"/>
        </w:rPr>
      </w:pPr>
      <w:r w:rsidRPr="00FE2732">
        <w:rPr>
          <w:rFonts w:ascii="Times New Roman" w:hAnsi="Times New Roman" w:cs="Times New Roman"/>
          <w:b/>
          <w:iCs/>
          <w:sz w:val="24"/>
          <w:szCs w:val="24"/>
          <w:highlight w:val="yellow"/>
        </w:rPr>
        <w:t>3</w:t>
      </w:r>
      <w:r w:rsidR="002970B4" w:rsidRPr="00FE2732">
        <w:rPr>
          <w:rFonts w:ascii="Times New Roman" w:hAnsi="Times New Roman" w:cs="Times New Roman"/>
          <w:b/>
          <w:iCs/>
          <w:sz w:val="24"/>
          <w:szCs w:val="24"/>
          <w:highlight w:val="yellow"/>
        </w:rPr>
        <w:t>.2.6</w:t>
      </w:r>
      <w:r w:rsidR="002970B4">
        <w:rPr>
          <w:rFonts w:ascii="Times New Roman" w:hAnsi="Times New Roman" w:cs="Times New Roman"/>
          <w:b/>
          <w:iCs/>
          <w:sz w:val="24"/>
          <w:szCs w:val="24"/>
        </w:rPr>
        <w:t xml:space="preserve"> Ferric Reducing Antioxidant Activity Assay</w:t>
      </w:r>
    </w:p>
    <w:p w14:paraId="4DC74F96" w14:textId="77777777" w:rsidR="00053221" w:rsidRDefault="002970B4">
      <w:pPr>
        <w:pStyle w:val="NormalWeb"/>
        <w:shd w:val="clear" w:color="auto" w:fill="FFFFFF"/>
        <w:spacing w:before="0" w:beforeAutospacing="0" w:after="80" w:afterAutospacing="0"/>
        <w:jc w:val="both"/>
        <w:rPr>
          <w:b/>
          <w:color w:val="000000" w:themeColor="text1"/>
        </w:rPr>
      </w:pPr>
      <w:r>
        <w:t xml:space="preserve">The reducing property of the extracts was determined using the method of </w:t>
      </w:r>
      <w:r w:rsidRPr="00EF5874">
        <w:t>Pulido et al. (2000)</w:t>
      </w:r>
      <w:r>
        <w:t>. The assay involved mixing 0.25ml of extract with 0.25ml of 200mM sodium phosphate buffer (pH 6.6) and 0.25ml of 1% potassium ferrocyanide, followed by incubation at 50°C for 20 minutes. After incubation, 0.25ml of 10% trichloroacetic acid was added, and the mixture was centrifuged at 2000rpm for 10 minutes. A 1ml aliquot of the supernatant was mixed with 1ml of distilled water and 0.2ml of ferric chloride, and the absorbance was measured at 700nm.</w:t>
      </w:r>
    </w:p>
    <w:p w14:paraId="7244F951"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B1D91BC"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186CB623" w14:textId="58628773" w:rsidR="00053221" w:rsidRDefault="00FE2732">
      <w:pPr>
        <w:pStyle w:val="NormalWeb"/>
        <w:shd w:val="clear" w:color="auto" w:fill="FFFFFF"/>
        <w:spacing w:before="0" w:beforeAutospacing="0" w:after="80" w:afterAutospacing="0" w:line="360" w:lineRule="auto"/>
        <w:jc w:val="both"/>
        <w:rPr>
          <w:b/>
          <w:color w:val="000000" w:themeColor="text1"/>
        </w:rPr>
      </w:pPr>
      <w:r w:rsidRPr="00FE2732">
        <w:rPr>
          <w:b/>
          <w:color w:val="000000" w:themeColor="text1"/>
          <w:highlight w:val="yellow"/>
        </w:rPr>
        <w:t>4</w:t>
      </w:r>
      <w:r w:rsidR="002970B4" w:rsidRPr="00FE2732">
        <w:rPr>
          <w:b/>
          <w:color w:val="000000" w:themeColor="text1"/>
          <w:highlight w:val="yellow"/>
        </w:rPr>
        <w:t>.0</w:t>
      </w:r>
      <w:r w:rsidR="002970B4">
        <w:rPr>
          <w:b/>
          <w:color w:val="000000" w:themeColor="text1"/>
        </w:rPr>
        <w:t xml:space="preserve"> Results</w:t>
      </w:r>
    </w:p>
    <w:p w14:paraId="1D941237" w14:textId="75BDFFC6" w:rsidR="00053221" w:rsidRDefault="00FE2732">
      <w:pPr>
        <w:pStyle w:val="NormalWeb"/>
        <w:shd w:val="clear" w:color="auto" w:fill="FFFFFF"/>
        <w:spacing w:before="0" w:beforeAutospacing="0" w:after="80" w:afterAutospacing="0" w:line="360" w:lineRule="auto"/>
        <w:jc w:val="both"/>
        <w:rPr>
          <w:b/>
          <w:color w:val="000000" w:themeColor="text1"/>
        </w:rPr>
      </w:pPr>
      <w:r w:rsidRPr="00FE2732">
        <w:rPr>
          <w:b/>
          <w:color w:val="000000" w:themeColor="text1"/>
          <w:highlight w:val="yellow"/>
        </w:rPr>
        <w:t>4</w:t>
      </w:r>
      <w:r w:rsidR="002970B4" w:rsidRPr="00FE2732">
        <w:rPr>
          <w:b/>
          <w:color w:val="000000" w:themeColor="text1"/>
          <w:highlight w:val="yellow"/>
        </w:rPr>
        <w:t>.1</w:t>
      </w:r>
      <w:r w:rsidR="002970B4">
        <w:rPr>
          <w:b/>
          <w:color w:val="000000" w:themeColor="text1"/>
        </w:rPr>
        <w:t xml:space="preserve"> Proximate Analysis</w:t>
      </w:r>
    </w:p>
    <w:p w14:paraId="548B95FB" w14:textId="77777777" w:rsidR="00053221" w:rsidRDefault="002970B4">
      <w:pPr>
        <w:pStyle w:val="NormalWeb"/>
        <w:shd w:val="clear" w:color="auto" w:fill="FFFFFF"/>
        <w:spacing w:before="0" w:beforeAutospacing="0" w:after="80" w:afterAutospacing="0"/>
        <w:jc w:val="both"/>
        <w:rPr>
          <w:b/>
          <w:color w:val="000000" w:themeColor="text1"/>
        </w:rPr>
      </w:pPr>
      <w:r>
        <w:rPr>
          <w:color w:val="000000" w:themeColor="text1"/>
        </w:rPr>
        <w:lastRenderedPageBreak/>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A059B66"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1 Proximate composition of </w:t>
      </w:r>
      <w:r>
        <w:rPr>
          <w:b/>
          <w:i/>
          <w:color w:val="000000" w:themeColor="text1"/>
        </w:rPr>
        <w:t>Eupatorium odoratum</w:t>
      </w:r>
    </w:p>
    <w:tbl>
      <w:tblPr>
        <w:tblStyle w:val="LightShading"/>
        <w:tblW w:w="0" w:type="auto"/>
        <w:tblLook w:val="04A0" w:firstRow="1" w:lastRow="0" w:firstColumn="1" w:lastColumn="0" w:noHBand="0" w:noVBand="1"/>
      </w:tblPr>
      <w:tblGrid>
        <w:gridCol w:w="4614"/>
        <w:gridCol w:w="3908"/>
      </w:tblGrid>
      <w:tr w:rsidR="00053221" w14:paraId="1069FCD8" w14:textId="77777777" w:rsidTr="0005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14274A09"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Proximate parameter </w:t>
            </w:r>
          </w:p>
        </w:tc>
        <w:tc>
          <w:tcPr>
            <w:tcW w:w="3908" w:type="dxa"/>
          </w:tcPr>
          <w:p w14:paraId="424FF4AA" w14:textId="77777777" w:rsidR="00053221" w:rsidRDefault="002970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Compositions (%)</w:t>
            </w:r>
          </w:p>
        </w:tc>
      </w:tr>
      <w:tr w:rsidR="00053221" w14:paraId="17A787C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D15B13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protein </w:t>
            </w:r>
          </w:p>
        </w:tc>
        <w:tc>
          <w:tcPr>
            <w:tcW w:w="3908" w:type="dxa"/>
            <w:tcBorders>
              <w:right w:val="nil"/>
            </w:tcBorders>
          </w:tcPr>
          <w:p w14:paraId="543BDD5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w:t>
            </w:r>
          </w:p>
        </w:tc>
      </w:tr>
      <w:tr w:rsidR="00053221" w14:paraId="15821100" w14:textId="77777777" w:rsidTr="00053221">
        <w:trPr>
          <w:trHeight w:val="603"/>
        </w:trPr>
        <w:tc>
          <w:tcPr>
            <w:cnfStyle w:val="001000000000" w:firstRow="0" w:lastRow="0" w:firstColumn="1" w:lastColumn="0" w:oddVBand="0" w:evenVBand="0" w:oddHBand="0" w:evenHBand="0" w:firstRowFirstColumn="0" w:firstRowLastColumn="0" w:lastRowFirstColumn="0" w:lastRowLastColumn="0"/>
            <w:tcW w:w="4614" w:type="dxa"/>
          </w:tcPr>
          <w:p w14:paraId="1110E571"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Moisture  </w:t>
            </w:r>
          </w:p>
        </w:tc>
        <w:tc>
          <w:tcPr>
            <w:tcW w:w="3908" w:type="dxa"/>
          </w:tcPr>
          <w:p w14:paraId="503ED51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13.233</w:t>
            </w:r>
          </w:p>
        </w:tc>
      </w:tr>
      <w:tr w:rsidR="00053221" w14:paraId="524BFBA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39D2FC9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Ash </w:t>
            </w:r>
          </w:p>
        </w:tc>
        <w:tc>
          <w:tcPr>
            <w:tcW w:w="3908" w:type="dxa"/>
            <w:tcBorders>
              <w:right w:val="nil"/>
            </w:tcBorders>
          </w:tcPr>
          <w:p w14:paraId="6E30697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5.027</w:t>
            </w:r>
          </w:p>
        </w:tc>
      </w:tr>
      <w:tr w:rsidR="00053221" w14:paraId="5D275FDD" w14:textId="77777777" w:rsidTr="00053221">
        <w:tc>
          <w:tcPr>
            <w:cnfStyle w:val="001000000000" w:firstRow="0" w:lastRow="0" w:firstColumn="1" w:lastColumn="0" w:oddVBand="0" w:evenVBand="0" w:oddHBand="0" w:evenHBand="0" w:firstRowFirstColumn="0" w:firstRowLastColumn="0" w:lastRowFirstColumn="0" w:lastRowLastColumn="0"/>
            <w:tcW w:w="4614" w:type="dxa"/>
          </w:tcPr>
          <w:p w14:paraId="48026A0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fat</w:t>
            </w:r>
          </w:p>
        </w:tc>
        <w:tc>
          <w:tcPr>
            <w:tcW w:w="3908" w:type="dxa"/>
          </w:tcPr>
          <w:p w14:paraId="1FAA23AD"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23.738</w:t>
            </w:r>
          </w:p>
        </w:tc>
      </w:tr>
      <w:tr w:rsidR="00053221" w14:paraId="398F7F56"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A958E1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3908" w:type="dxa"/>
            <w:tcBorders>
              <w:right w:val="nil"/>
            </w:tcBorders>
          </w:tcPr>
          <w:p w14:paraId="66788B93"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3.835</w:t>
            </w:r>
          </w:p>
        </w:tc>
      </w:tr>
      <w:tr w:rsidR="00053221" w14:paraId="0CFA90F6" w14:textId="77777777" w:rsidTr="00053221">
        <w:trPr>
          <w:trHeight w:val="210"/>
        </w:trPr>
        <w:tc>
          <w:tcPr>
            <w:cnfStyle w:val="001000000000" w:firstRow="0" w:lastRow="0" w:firstColumn="1" w:lastColumn="0" w:oddVBand="0" w:evenVBand="0" w:oddHBand="0" w:evenHBand="0" w:firstRowFirstColumn="0" w:firstRowLastColumn="0" w:lastRowFirstColumn="0" w:lastRowLastColumn="0"/>
            <w:tcW w:w="4614" w:type="dxa"/>
          </w:tcPr>
          <w:p w14:paraId="5114E686"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Carbohydrate </w:t>
            </w:r>
          </w:p>
        </w:tc>
        <w:tc>
          <w:tcPr>
            <w:tcW w:w="3908" w:type="dxa"/>
          </w:tcPr>
          <w:p w14:paraId="29DC8C2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36.067</w:t>
            </w:r>
          </w:p>
        </w:tc>
      </w:tr>
    </w:tbl>
    <w:p w14:paraId="0397F574"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652B0335" wp14:editId="3E26F340">
            <wp:extent cx="5336540" cy="4869815"/>
            <wp:effectExtent l="0" t="0" r="1651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8"/>
                    <a:stretch>
                      <a:fillRect/>
                    </a:stretch>
                  </pic:blipFill>
                  <pic:spPr>
                    <a:xfrm>
                      <a:off x="0" y="0"/>
                      <a:ext cx="5336540" cy="4869815"/>
                    </a:xfrm>
                    <a:prstGeom prst="rect">
                      <a:avLst/>
                    </a:prstGeom>
                    <a:noFill/>
                    <a:ln>
                      <a:noFill/>
                    </a:ln>
                  </pic:spPr>
                </pic:pic>
              </a:graphicData>
            </a:graphic>
          </wp:inline>
        </w:drawing>
      </w:r>
    </w:p>
    <w:p w14:paraId="77B00C93" w14:textId="33039167" w:rsidR="00053221"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lastRenderedPageBreak/>
        <w:t xml:space="preserve">Fig 1: </w:t>
      </w:r>
      <w:r w:rsidR="00383658">
        <w:rPr>
          <w:b/>
          <w:color w:val="000000" w:themeColor="text1"/>
        </w:rPr>
        <w:t xml:space="preserve">Composition (%) of </w:t>
      </w:r>
      <w:r w:rsidR="006F5FD2">
        <w:rPr>
          <w:b/>
          <w:color w:val="000000" w:themeColor="text1"/>
        </w:rPr>
        <w:t>N</w:t>
      </w:r>
      <w:r w:rsidR="00A210D1">
        <w:rPr>
          <w:b/>
          <w:color w:val="000000" w:themeColor="text1"/>
        </w:rPr>
        <w:t xml:space="preserve">utrient </w:t>
      </w:r>
      <w:r w:rsidR="006F5FD2">
        <w:rPr>
          <w:b/>
          <w:color w:val="000000" w:themeColor="text1"/>
        </w:rPr>
        <w:t>C</w:t>
      </w:r>
      <w:r w:rsidR="00A210D1">
        <w:rPr>
          <w:b/>
          <w:color w:val="000000" w:themeColor="text1"/>
        </w:rPr>
        <w:t>ontent</w:t>
      </w:r>
      <w:r w:rsidR="00FD5D17">
        <w:rPr>
          <w:b/>
          <w:color w:val="000000" w:themeColor="text1"/>
        </w:rPr>
        <w:t xml:space="preserve"> </w:t>
      </w:r>
    </w:p>
    <w:p w14:paraId="37DF4E67" w14:textId="0A8D977B" w:rsidR="00053221" w:rsidRDefault="00FE2732">
      <w:pPr>
        <w:pStyle w:val="NormalWeb"/>
        <w:shd w:val="clear" w:color="auto" w:fill="FFFFFF"/>
        <w:spacing w:before="0" w:beforeAutospacing="0" w:after="120" w:afterAutospacing="0" w:line="360" w:lineRule="auto"/>
        <w:jc w:val="both"/>
        <w:rPr>
          <w:b/>
          <w:color w:val="000000" w:themeColor="text1"/>
        </w:rPr>
      </w:pPr>
      <w:r w:rsidRPr="00FE2732">
        <w:rPr>
          <w:b/>
          <w:color w:val="000000" w:themeColor="text1"/>
          <w:highlight w:val="yellow"/>
        </w:rPr>
        <w:t>4</w:t>
      </w:r>
      <w:r w:rsidR="002970B4" w:rsidRPr="00FE2732">
        <w:rPr>
          <w:b/>
          <w:color w:val="000000" w:themeColor="text1"/>
          <w:highlight w:val="yellow"/>
        </w:rPr>
        <w:t>.2</w:t>
      </w:r>
      <w:r w:rsidR="002970B4">
        <w:rPr>
          <w:b/>
          <w:color w:val="000000" w:themeColor="text1"/>
        </w:rPr>
        <w:t xml:space="preserve"> Phytochemical Analysis</w:t>
      </w:r>
    </w:p>
    <w:p w14:paraId="0CCF8795" w14:textId="77777777" w:rsidR="00053221" w:rsidRDefault="002970B4">
      <w:pPr>
        <w:pStyle w:val="NormalWeb"/>
        <w:shd w:val="clear" w:color="auto" w:fill="FFFFFF"/>
        <w:spacing w:before="0" w:beforeAutospacing="0" w:after="120" w:afterAutospacing="0"/>
        <w:jc w:val="both"/>
        <w:rPr>
          <w:b/>
          <w:color w:val="000000" w:themeColor="text1"/>
        </w:rPr>
      </w:pPr>
      <w:r>
        <w:rPr>
          <w:color w:val="000000" w:themeColor="text1"/>
        </w:rPr>
        <w:t xml:space="preserve">The phytochemical analysis shows a diverse range of concentrations among the compounds. Hesperidin, </w:t>
      </w:r>
      <w:proofErr w:type="spellStart"/>
      <w:r>
        <w:rPr>
          <w:color w:val="000000" w:themeColor="text1"/>
        </w:rPr>
        <w:t>Gallocatechin</w:t>
      </w:r>
      <w:proofErr w:type="spellEnd"/>
      <w:r>
        <w:rPr>
          <w:color w:val="000000" w:themeColor="text1"/>
        </w:rPr>
        <w:t xml:space="preserve">, Epicatechin, and Naringin exhibit the highest concentrations, indicating their potential dominant presence in the sample. Compounds such as Artemetin, </w:t>
      </w:r>
      <w:proofErr w:type="spellStart"/>
      <w:r>
        <w:rPr>
          <w:color w:val="000000" w:themeColor="text1"/>
        </w:rPr>
        <w:t>Apigenin</w:t>
      </w:r>
      <w:proofErr w:type="spellEnd"/>
      <w:r>
        <w:rPr>
          <w:color w:val="000000" w:themeColor="text1"/>
        </w:rPr>
        <w:t xml:space="preserve">, Genistein, and </w:t>
      </w:r>
      <w:proofErr w:type="spellStart"/>
      <w:r>
        <w:rPr>
          <w:color w:val="000000" w:themeColor="text1"/>
        </w:rPr>
        <w:t>Silymarin</w:t>
      </w:r>
      <w:proofErr w:type="spellEnd"/>
      <w:r>
        <w:rPr>
          <w:color w:val="000000" w:themeColor="text1"/>
        </w:rPr>
        <w:t xml:space="preserve"> are present in moderate amounts, while Ellagic acid, Retusin, Isorhamnetin, and </w:t>
      </w:r>
      <w:proofErr w:type="spellStart"/>
      <w:r>
        <w:rPr>
          <w:color w:val="000000" w:themeColor="text1"/>
        </w:rPr>
        <w:t>Apigenin</w:t>
      </w:r>
      <w:proofErr w:type="spellEnd"/>
      <w:r>
        <w:rPr>
          <w:color w:val="000000" w:themeColor="text1"/>
        </w:rPr>
        <w:t xml:space="preserve"> are notably absent. </w:t>
      </w:r>
    </w:p>
    <w:p w14:paraId="10912185"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ABF9C3F"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13D9E7D1"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99F08F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552846AC"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52C04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4C4282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2 Phytochemical Content of </w:t>
      </w:r>
      <w:r>
        <w:rPr>
          <w:b/>
          <w:i/>
          <w:color w:val="000000" w:themeColor="text1"/>
        </w:rPr>
        <w:t>Eupatorium odoratum</w:t>
      </w:r>
    </w:p>
    <w:tbl>
      <w:tblPr>
        <w:tblStyle w:val="LightShading"/>
        <w:tblW w:w="8604" w:type="dxa"/>
        <w:tblLook w:val="04A0" w:firstRow="1" w:lastRow="0" w:firstColumn="1" w:lastColumn="0" w:noHBand="0" w:noVBand="1"/>
      </w:tblPr>
      <w:tblGrid>
        <w:gridCol w:w="4839"/>
        <w:gridCol w:w="3765"/>
      </w:tblGrid>
      <w:tr w:rsidR="00053221" w14:paraId="0BC5651F" w14:textId="77777777" w:rsidTr="00053221">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39" w:type="dxa"/>
          </w:tcPr>
          <w:p w14:paraId="7443F4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Phytochemicals</w:t>
            </w:r>
          </w:p>
        </w:tc>
        <w:tc>
          <w:tcPr>
            <w:tcW w:w="3765" w:type="dxa"/>
          </w:tcPr>
          <w:p w14:paraId="6E13E1AC" w14:textId="77777777" w:rsidR="00053221" w:rsidRDefault="002970B4">
            <w:pPr>
              <w:pStyle w:val="NormalWeb"/>
              <w:shd w:val="clear" w:color="auto" w:fill="FFFFFF"/>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Concentration (ppm)</w:t>
            </w:r>
          </w:p>
        </w:tc>
      </w:tr>
      <w:tr w:rsidR="00053221" w14:paraId="56A0E533"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EC4FD73"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Artemetin</w:t>
            </w:r>
          </w:p>
        </w:tc>
        <w:tc>
          <w:tcPr>
            <w:tcW w:w="3765" w:type="dxa"/>
            <w:tcBorders>
              <w:right w:val="nil"/>
            </w:tcBorders>
          </w:tcPr>
          <w:p w14:paraId="563BFE8A"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2.71852 </w:t>
            </w:r>
          </w:p>
        </w:tc>
      </w:tr>
      <w:tr w:rsidR="00053221" w14:paraId="16DFE86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7585B309"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Ellagic acid</w:t>
            </w:r>
          </w:p>
        </w:tc>
        <w:tc>
          <w:tcPr>
            <w:tcW w:w="3765" w:type="dxa"/>
          </w:tcPr>
          <w:p w14:paraId="2532547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45AB75A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6E3523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Retusin</w:t>
            </w:r>
          </w:p>
        </w:tc>
        <w:tc>
          <w:tcPr>
            <w:tcW w:w="3765" w:type="dxa"/>
            <w:tcBorders>
              <w:right w:val="nil"/>
            </w:tcBorders>
          </w:tcPr>
          <w:p w14:paraId="79D6EF69"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1A01AC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CD275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Naringenin</w:t>
            </w:r>
          </w:p>
        </w:tc>
        <w:tc>
          <w:tcPr>
            <w:tcW w:w="3765" w:type="dxa"/>
          </w:tcPr>
          <w:p w14:paraId="226BEE4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0.33692 </w:t>
            </w:r>
          </w:p>
        </w:tc>
      </w:tr>
      <w:tr w:rsidR="00053221" w14:paraId="5A7BE2F5"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63095CC"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Vanillic</w:t>
            </w:r>
            <w:proofErr w:type="spellEnd"/>
          </w:p>
        </w:tc>
        <w:tc>
          <w:tcPr>
            <w:tcW w:w="3765" w:type="dxa"/>
            <w:tcBorders>
              <w:right w:val="nil"/>
            </w:tcBorders>
          </w:tcPr>
          <w:p w14:paraId="60EF617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0.29927 </w:t>
            </w:r>
          </w:p>
        </w:tc>
      </w:tr>
      <w:tr w:rsidR="00053221" w14:paraId="01143412"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BEB61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Pr>
          <w:p w14:paraId="785C1EB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2.10073</w:t>
            </w:r>
          </w:p>
        </w:tc>
      </w:tr>
      <w:tr w:rsidR="00053221" w14:paraId="7D58685E"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F1E504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48FBC243"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1.38139 </w:t>
            </w:r>
          </w:p>
        </w:tc>
      </w:tr>
      <w:tr w:rsidR="00053221" w14:paraId="5AF55DD1"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3A8CAC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Isorhamnetin</w:t>
            </w:r>
          </w:p>
        </w:tc>
        <w:tc>
          <w:tcPr>
            <w:tcW w:w="3765" w:type="dxa"/>
          </w:tcPr>
          <w:p w14:paraId="3D78B64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3C275E7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21CF23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Maricetin</w:t>
            </w:r>
            <w:proofErr w:type="spellEnd"/>
          </w:p>
        </w:tc>
        <w:tc>
          <w:tcPr>
            <w:tcW w:w="3765" w:type="dxa"/>
            <w:tcBorders>
              <w:right w:val="nil"/>
            </w:tcBorders>
          </w:tcPr>
          <w:p w14:paraId="7B85194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0.38775 </w:t>
            </w:r>
          </w:p>
        </w:tc>
      </w:tr>
      <w:tr w:rsidR="00053221" w14:paraId="57D40587"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D607C9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Pr>
          <w:p w14:paraId="0999440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0F9D18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BE4FA56"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Daidzein</w:t>
            </w:r>
          </w:p>
        </w:tc>
        <w:tc>
          <w:tcPr>
            <w:tcW w:w="3765" w:type="dxa"/>
            <w:tcBorders>
              <w:right w:val="nil"/>
            </w:tcBorders>
          </w:tcPr>
          <w:p w14:paraId="1A649D78"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0.34652 </w:t>
            </w:r>
          </w:p>
        </w:tc>
      </w:tr>
      <w:tr w:rsidR="00053221" w14:paraId="030C68E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AE8B03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Genistein</w:t>
            </w:r>
          </w:p>
        </w:tc>
        <w:tc>
          <w:tcPr>
            <w:tcW w:w="3765" w:type="dxa"/>
          </w:tcPr>
          <w:p w14:paraId="3BBDFFD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2.28520 </w:t>
            </w:r>
          </w:p>
        </w:tc>
      </w:tr>
      <w:tr w:rsidR="00053221" w14:paraId="3AADED8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E20DCD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Borders>
              <w:right w:val="nil"/>
            </w:tcBorders>
          </w:tcPr>
          <w:p w14:paraId="1DC571D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1A0DA55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3D7DF709"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Reveratrol</w:t>
            </w:r>
            <w:proofErr w:type="spellEnd"/>
          </w:p>
        </w:tc>
        <w:tc>
          <w:tcPr>
            <w:tcW w:w="3765" w:type="dxa"/>
          </w:tcPr>
          <w:p w14:paraId="247AE771"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0.44023 </w:t>
            </w:r>
          </w:p>
        </w:tc>
      </w:tr>
      <w:tr w:rsidR="00053221" w14:paraId="021317B8"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88D5C9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Lunamarin</w:t>
            </w:r>
            <w:proofErr w:type="spellEnd"/>
          </w:p>
        </w:tc>
        <w:tc>
          <w:tcPr>
            <w:tcW w:w="3765" w:type="dxa"/>
            <w:tcBorders>
              <w:right w:val="nil"/>
            </w:tcBorders>
          </w:tcPr>
          <w:p w14:paraId="0225E01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1.24481 </w:t>
            </w:r>
          </w:p>
        </w:tc>
      </w:tr>
      <w:tr w:rsidR="00053221" w14:paraId="3C7F85D7"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3181B242"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Gallocatechin</w:t>
            </w:r>
            <w:proofErr w:type="spellEnd"/>
          </w:p>
        </w:tc>
        <w:tc>
          <w:tcPr>
            <w:tcW w:w="3765" w:type="dxa"/>
          </w:tcPr>
          <w:p w14:paraId="57A0523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12.66056 </w:t>
            </w:r>
          </w:p>
        </w:tc>
      </w:tr>
      <w:tr w:rsidR="00053221" w14:paraId="50B3808F"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33E4B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lastRenderedPageBreak/>
              <w:t>Epicatechin</w:t>
            </w:r>
          </w:p>
        </w:tc>
        <w:tc>
          <w:tcPr>
            <w:tcW w:w="3765" w:type="dxa"/>
            <w:tcBorders>
              <w:right w:val="nil"/>
            </w:tcBorders>
          </w:tcPr>
          <w:p w14:paraId="07F1576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14.97124</w:t>
            </w:r>
          </w:p>
        </w:tc>
      </w:tr>
      <w:tr w:rsidR="00053221" w14:paraId="76E1E31A"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1157D2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Naringin</w:t>
            </w:r>
          </w:p>
        </w:tc>
        <w:tc>
          <w:tcPr>
            <w:tcW w:w="3765" w:type="dxa"/>
          </w:tcPr>
          <w:p w14:paraId="714172E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12.58438</w:t>
            </w:r>
          </w:p>
        </w:tc>
      </w:tr>
      <w:tr w:rsidR="00053221" w14:paraId="758321CC"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2D25EE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6B8F5A2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17.07985 </w:t>
            </w:r>
          </w:p>
        </w:tc>
      </w:tr>
      <w:tr w:rsidR="00053221" w14:paraId="2799311E" w14:textId="77777777" w:rsidTr="00053221">
        <w:trPr>
          <w:trHeight w:val="429"/>
        </w:trPr>
        <w:tc>
          <w:tcPr>
            <w:cnfStyle w:val="001000000000" w:firstRow="0" w:lastRow="0" w:firstColumn="1" w:lastColumn="0" w:oddVBand="0" w:evenVBand="0" w:oddHBand="0" w:evenHBand="0" w:firstRowFirstColumn="0" w:firstRowLastColumn="0" w:lastRowFirstColumn="0" w:lastRowLastColumn="0"/>
            <w:tcW w:w="4839" w:type="dxa"/>
          </w:tcPr>
          <w:p w14:paraId="42B48A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Silymarin</w:t>
            </w:r>
          </w:p>
        </w:tc>
        <w:tc>
          <w:tcPr>
            <w:tcW w:w="3765" w:type="dxa"/>
          </w:tcPr>
          <w:p w14:paraId="233E499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2.71710</w:t>
            </w:r>
          </w:p>
        </w:tc>
      </w:tr>
    </w:tbl>
    <w:p w14:paraId="3AFE25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43005513"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774EC6C6" wp14:editId="242C82AE">
            <wp:extent cx="5307330" cy="4144645"/>
            <wp:effectExtent l="0" t="0" r="7620" b="825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9"/>
                    <a:stretch>
                      <a:fillRect/>
                    </a:stretch>
                  </pic:blipFill>
                  <pic:spPr>
                    <a:xfrm>
                      <a:off x="0" y="0"/>
                      <a:ext cx="5307330" cy="4144645"/>
                    </a:xfrm>
                    <a:prstGeom prst="rect">
                      <a:avLst/>
                    </a:prstGeom>
                    <a:noFill/>
                    <a:ln>
                      <a:noFill/>
                    </a:ln>
                  </pic:spPr>
                </pic:pic>
              </a:graphicData>
            </a:graphic>
          </wp:inline>
        </w:drawing>
      </w:r>
    </w:p>
    <w:p w14:paraId="7ECC8B0C" w14:textId="77777777" w:rsidR="00EC4614"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t>Fig 2: Sum of concentration (ppm) by Phytochemicals</w:t>
      </w:r>
    </w:p>
    <w:p w14:paraId="07FF40B3" w14:textId="7BAAD5E8" w:rsidR="00053221" w:rsidRDefault="00FE2732">
      <w:pPr>
        <w:spacing w:line="360" w:lineRule="auto"/>
        <w:rPr>
          <w:rFonts w:ascii="Times New Roman" w:hAnsi="Times New Roman" w:cs="Times New Roman"/>
          <w:b/>
          <w:bCs/>
          <w:color w:val="000000"/>
          <w:sz w:val="24"/>
          <w:szCs w:val="24"/>
        </w:rPr>
      </w:pPr>
      <w:r w:rsidRPr="00FE2732">
        <w:rPr>
          <w:rFonts w:ascii="Times New Roman" w:hAnsi="Times New Roman" w:cs="Times New Roman"/>
          <w:b/>
          <w:sz w:val="24"/>
          <w:szCs w:val="24"/>
          <w:highlight w:val="yellow"/>
        </w:rPr>
        <w:t>4</w:t>
      </w:r>
      <w:r w:rsidR="002970B4" w:rsidRPr="00FE2732">
        <w:rPr>
          <w:rFonts w:ascii="Times New Roman" w:hAnsi="Times New Roman" w:cs="Times New Roman"/>
          <w:b/>
          <w:sz w:val="24"/>
          <w:szCs w:val="24"/>
          <w:highlight w:val="yellow"/>
        </w:rPr>
        <w:t>.3</w:t>
      </w:r>
      <w:r w:rsidR="002970B4">
        <w:rPr>
          <w:rFonts w:ascii="Times New Roman" w:hAnsi="Times New Roman" w:cs="Times New Roman"/>
          <w:b/>
          <w:sz w:val="24"/>
          <w:szCs w:val="24"/>
        </w:rPr>
        <w:t xml:space="preserve"> </w:t>
      </w:r>
      <w:r w:rsidR="002970B4">
        <w:rPr>
          <w:rFonts w:ascii="Times New Roman" w:hAnsi="Times New Roman" w:cs="Times New Roman"/>
          <w:b/>
          <w:bCs/>
          <w:color w:val="000000"/>
          <w:sz w:val="24"/>
          <w:szCs w:val="24"/>
        </w:rPr>
        <w:t xml:space="preserve">Nitric Oxide Scavenging Activity </w:t>
      </w:r>
    </w:p>
    <w:p w14:paraId="6661D7E2"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significantly 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in scavenging nitric oxide, especially at higher concentrations.</w:t>
      </w:r>
    </w:p>
    <w:p w14:paraId="52A3F688" w14:textId="21B67993"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r w:rsidR="00B95B32">
        <w:rPr>
          <w:rFonts w:ascii="Times New Roman" w:hAnsi="Times New Roman" w:cs="Times New Roman"/>
          <w:b/>
          <w:sz w:val="24"/>
          <w:szCs w:val="24"/>
        </w:rPr>
        <w:t>3 Nitric</w:t>
      </w:r>
      <w:r>
        <w:rPr>
          <w:rFonts w:ascii="Times New Roman" w:hAnsi="Times New Roman" w:cs="Times New Roman"/>
          <w:b/>
          <w:bCs/>
          <w:color w:val="000000"/>
          <w:sz w:val="24"/>
          <w:szCs w:val="24"/>
        </w:rPr>
        <w:t xml:space="preserve"> Oxide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47B5EAE"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7359BCA" w14:textId="77777777" w:rsidR="00053221" w:rsidRDefault="00053221">
            <w:pPr>
              <w:spacing w:after="0" w:line="360" w:lineRule="auto"/>
              <w:rPr>
                <w:rFonts w:ascii="Times New Roman" w:eastAsiaTheme="minorHAnsi" w:hAnsi="Times New Roman" w:cs="Times New Roman"/>
                <w:b w:val="0"/>
                <w:bCs w:val="0"/>
                <w:sz w:val="24"/>
                <w:szCs w:val="24"/>
              </w:rPr>
            </w:pPr>
          </w:p>
          <w:p w14:paraId="5EA69329"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3768729F"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3D0218BA"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44AD22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BEBFB2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070EB4A7"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2.601</w:t>
            </w:r>
          </w:p>
        </w:tc>
        <w:tc>
          <w:tcPr>
            <w:tcW w:w="3240" w:type="dxa"/>
            <w:tcBorders>
              <w:right w:val="nil"/>
            </w:tcBorders>
          </w:tcPr>
          <w:p w14:paraId="5A3527F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1.794</w:t>
            </w:r>
          </w:p>
        </w:tc>
      </w:tr>
      <w:tr w:rsidR="00053221" w14:paraId="51264600"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56DB89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20mg/ml</w:t>
            </w:r>
          </w:p>
        </w:tc>
        <w:tc>
          <w:tcPr>
            <w:tcW w:w="3330" w:type="dxa"/>
            <w:vAlign w:val="bottom"/>
          </w:tcPr>
          <w:p w14:paraId="5D4FC4E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2.339</w:t>
            </w:r>
          </w:p>
        </w:tc>
        <w:tc>
          <w:tcPr>
            <w:tcW w:w="3240" w:type="dxa"/>
          </w:tcPr>
          <w:p w14:paraId="5841033E"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3.327</w:t>
            </w:r>
          </w:p>
        </w:tc>
      </w:tr>
      <w:tr w:rsidR="00053221" w14:paraId="41C4A70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44585E1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D1E8E5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2.177</w:t>
            </w:r>
          </w:p>
        </w:tc>
        <w:tc>
          <w:tcPr>
            <w:tcW w:w="3240" w:type="dxa"/>
            <w:tcBorders>
              <w:right w:val="nil"/>
            </w:tcBorders>
          </w:tcPr>
          <w:p w14:paraId="684889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4.778</w:t>
            </w:r>
          </w:p>
        </w:tc>
      </w:tr>
      <w:tr w:rsidR="00053221" w14:paraId="2309093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304852D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619DFA4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2.419</w:t>
            </w:r>
          </w:p>
        </w:tc>
        <w:tc>
          <w:tcPr>
            <w:tcW w:w="3240" w:type="dxa"/>
          </w:tcPr>
          <w:p w14:paraId="0496AA1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5.565</w:t>
            </w:r>
          </w:p>
        </w:tc>
      </w:tr>
    </w:tbl>
    <w:p w14:paraId="2CB2F499" w14:textId="77777777" w:rsidR="00053221" w:rsidRDefault="00053221">
      <w:pPr>
        <w:spacing w:line="360" w:lineRule="auto"/>
        <w:rPr>
          <w:rFonts w:ascii="Times New Roman" w:hAnsi="Times New Roman" w:cs="Times New Roman"/>
          <w:b/>
          <w:sz w:val="24"/>
          <w:szCs w:val="24"/>
        </w:rPr>
      </w:pPr>
    </w:p>
    <w:p w14:paraId="685E49DA" w14:textId="77777777" w:rsidR="00053221" w:rsidRDefault="002970B4">
      <w:pPr>
        <w:spacing w:line="360" w:lineRule="auto"/>
        <w:rPr>
          <w:rFonts w:ascii="Times New Roman" w:hAnsi="Times New Roman" w:cs="Times New Roman"/>
          <w:b/>
          <w:sz w:val="24"/>
          <w:szCs w:val="24"/>
        </w:rPr>
      </w:pPr>
      <w:r>
        <w:rPr>
          <w:noProof/>
        </w:rPr>
        <w:drawing>
          <wp:inline distT="0" distB="0" distL="114300" distR="114300" wp14:anchorId="5A9E24A7" wp14:editId="7FF0F388">
            <wp:extent cx="5527040" cy="4907280"/>
            <wp:effectExtent l="0" t="0" r="1651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0"/>
                    <a:stretch>
                      <a:fillRect/>
                    </a:stretch>
                  </pic:blipFill>
                  <pic:spPr>
                    <a:xfrm>
                      <a:off x="0" y="0"/>
                      <a:ext cx="5527040" cy="4907280"/>
                    </a:xfrm>
                    <a:prstGeom prst="rect">
                      <a:avLst/>
                    </a:prstGeom>
                    <a:noFill/>
                    <a:ln>
                      <a:noFill/>
                    </a:ln>
                  </pic:spPr>
                </pic:pic>
              </a:graphicData>
            </a:graphic>
          </wp:inline>
        </w:drawing>
      </w:r>
    </w:p>
    <w:p w14:paraId="044419D9" w14:textId="3E41F8BE"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Fig 3:</w:t>
      </w:r>
      <w:r w:rsidR="00245DD7">
        <w:rPr>
          <w:rFonts w:ascii="Times New Roman" w:hAnsi="Times New Roman" w:cs="Times New Roman"/>
          <w:b/>
          <w:sz w:val="24"/>
          <w:szCs w:val="24"/>
        </w:rPr>
        <w:t xml:space="preserve"> </w:t>
      </w:r>
      <w:r w:rsidR="00245DD7" w:rsidRPr="00245DD7">
        <w:rPr>
          <w:rFonts w:ascii="Times New Roman" w:hAnsi="Times New Roman" w:cs="Times New Roman"/>
          <w:b/>
          <w:bCs/>
          <w:color w:val="000000"/>
          <w:sz w:val="24"/>
          <w:szCs w:val="24"/>
        </w:rPr>
        <w:t xml:space="preserve">Nitric Oxide Scavenging Activity for the </w:t>
      </w:r>
      <w:r w:rsidR="00AA77EA">
        <w:rPr>
          <w:rFonts w:ascii="Times New Roman" w:hAnsi="Times New Roman" w:cs="Times New Roman"/>
          <w:b/>
          <w:bCs/>
          <w:color w:val="000000"/>
          <w:sz w:val="24"/>
          <w:szCs w:val="24"/>
        </w:rPr>
        <w:t>C</w:t>
      </w:r>
      <w:r w:rsidR="00245DD7" w:rsidRPr="00245DD7">
        <w:rPr>
          <w:rFonts w:ascii="Times New Roman" w:hAnsi="Times New Roman" w:cs="Times New Roman"/>
          <w:b/>
          <w:bCs/>
          <w:color w:val="000000"/>
          <w:sz w:val="24"/>
          <w:szCs w:val="24"/>
        </w:rPr>
        <w:t>oncentration</w:t>
      </w:r>
      <w:r w:rsidR="00016B2B">
        <w:rPr>
          <w:rFonts w:ascii="Times New Roman" w:hAnsi="Times New Roman" w:cs="Times New Roman"/>
          <w:b/>
          <w:bCs/>
          <w:color w:val="000000"/>
          <w:sz w:val="24"/>
          <w:szCs w:val="24"/>
        </w:rPr>
        <w:t xml:space="preserve"> </w:t>
      </w:r>
      <w:r w:rsidR="00016B2B" w:rsidRPr="00016B2B">
        <w:rPr>
          <w:rFonts w:ascii="Times New Roman" w:eastAsiaTheme="minorHAnsi" w:hAnsi="Times New Roman" w:cs="Times New Roman"/>
          <w:b/>
          <w:bCs/>
          <w:sz w:val="24"/>
          <w:szCs w:val="24"/>
        </w:rPr>
        <w:t>(</w:t>
      </w:r>
      <w:proofErr w:type="spellStart"/>
      <w:r w:rsidR="00016B2B" w:rsidRPr="00016B2B">
        <w:rPr>
          <w:rFonts w:ascii="Times New Roman" w:eastAsiaTheme="minorHAnsi" w:hAnsi="Times New Roman" w:cs="Times New Roman"/>
          <w:b/>
          <w:bCs/>
          <w:sz w:val="24"/>
          <w:szCs w:val="24"/>
        </w:rPr>
        <w:t>ug</w:t>
      </w:r>
      <w:proofErr w:type="spellEnd"/>
      <w:r w:rsidR="00016B2B" w:rsidRPr="00016B2B">
        <w:rPr>
          <w:rFonts w:ascii="Times New Roman" w:eastAsiaTheme="minorHAnsi" w:hAnsi="Times New Roman" w:cs="Times New Roman"/>
          <w:b/>
          <w:bCs/>
          <w:sz w:val="24"/>
          <w:szCs w:val="24"/>
        </w:rPr>
        <w:t>/ml)</w:t>
      </w:r>
      <w:r w:rsidR="00245DD7" w:rsidRPr="00245DD7">
        <w:rPr>
          <w:rFonts w:ascii="Times New Roman" w:hAnsi="Times New Roman" w:cs="Times New Roman"/>
          <w:b/>
          <w:bCs/>
          <w:color w:val="000000"/>
          <w:sz w:val="24"/>
          <w:szCs w:val="24"/>
        </w:rPr>
        <w:t xml:space="preserve"> of </w:t>
      </w:r>
      <w:r w:rsidR="00245DD7" w:rsidRPr="00245DD7">
        <w:rPr>
          <w:rFonts w:ascii="Times New Roman" w:hAnsi="Times New Roman" w:cs="Times New Roman"/>
          <w:b/>
          <w:bCs/>
          <w:i/>
          <w:sz w:val="24"/>
          <w:szCs w:val="24"/>
        </w:rPr>
        <w:t>Eupatorium odoratum</w:t>
      </w:r>
      <w:r w:rsidR="00245DD7" w:rsidRPr="00245DD7">
        <w:rPr>
          <w:rFonts w:ascii="Times New Roman" w:hAnsi="Times New Roman" w:cs="Times New Roman"/>
          <w:b/>
          <w:bCs/>
          <w:sz w:val="24"/>
          <w:szCs w:val="24"/>
        </w:rPr>
        <w:t xml:space="preserve"> and </w:t>
      </w:r>
      <w:r w:rsidR="00245DD7" w:rsidRPr="00245DD7">
        <w:rPr>
          <w:rFonts w:ascii="Times New Roman" w:eastAsiaTheme="minorHAnsi" w:hAnsi="Times New Roman" w:cs="Times New Roman"/>
          <w:b/>
          <w:bCs/>
          <w:sz w:val="24"/>
          <w:szCs w:val="24"/>
        </w:rPr>
        <w:t>Gallic acid</w:t>
      </w:r>
      <w:r w:rsidR="00245DD7">
        <w:rPr>
          <w:rFonts w:ascii="Times New Roman" w:eastAsiaTheme="minorHAnsi" w:hAnsi="Times New Roman" w:cs="Times New Roman"/>
          <w:sz w:val="24"/>
          <w:szCs w:val="24"/>
        </w:rPr>
        <w:t xml:space="preserve"> </w:t>
      </w:r>
    </w:p>
    <w:p w14:paraId="43A051A7" w14:textId="22496423" w:rsidR="00053221" w:rsidRDefault="00FE2732">
      <w:pPr>
        <w:spacing w:line="360" w:lineRule="auto"/>
        <w:rPr>
          <w:rFonts w:ascii="Times New Roman" w:hAnsi="Times New Roman" w:cs="Times New Roman"/>
          <w:b/>
          <w:bCs/>
          <w:color w:val="000000"/>
          <w:sz w:val="24"/>
          <w:szCs w:val="24"/>
        </w:rPr>
      </w:pPr>
      <w:r w:rsidRPr="00FE2732">
        <w:rPr>
          <w:rFonts w:ascii="Times New Roman" w:hAnsi="Times New Roman" w:cs="Times New Roman"/>
          <w:b/>
          <w:sz w:val="24"/>
          <w:szCs w:val="24"/>
          <w:highlight w:val="yellow"/>
        </w:rPr>
        <w:t>4</w:t>
      </w:r>
      <w:r w:rsidR="002970B4" w:rsidRPr="00FE2732">
        <w:rPr>
          <w:rFonts w:ascii="Times New Roman" w:hAnsi="Times New Roman" w:cs="Times New Roman"/>
          <w:b/>
          <w:sz w:val="24"/>
          <w:szCs w:val="24"/>
          <w:highlight w:val="yellow"/>
        </w:rPr>
        <w:t>.4</w:t>
      </w:r>
      <w:r w:rsidR="002970B4">
        <w:rPr>
          <w:rFonts w:ascii="Times New Roman" w:hAnsi="Times New Roman" w:cs="Times New Roman"/>
          <w:b/>
          <w:sz w:val="24"/>
          <w:szCs w:val="24"/>
        </w:rPr>
        <w:t xml:space="preserve"> </w:t>
      </w:r>
      <w:r w:rsidR="002970B4">
        <w:rPr>
          <w:rFonts w:ascii="Times New Roman" w:hAnsi="Times New Roman" w:cs="Times New Roman"/>
          <w:b/>
          <w:bCs/>
          <w:color w:val="000000"/>
          <w:sz w:val="24"/>
          <w:szCs w:val="24"/>
        </w:rPr>
        <w:t xml:space="preserve">ABTS Scavenging Activity </w:t>
      </w:r>
    </w:p>
    <w:p w14:paraId="786959DE"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Eupatorium Odoratum</w:t>
      </w:r>
      <w:r>
        <w:rPr>
          <w:rFonts w:ascii="Times New Roman" w:hAnsi="Times New Roman" w:cs="Times New Roman"/>
          <w:sz w:val="24"/>
          <w:szCs w:val="24"/>
        </w:rPr>
        <w:t xml:space="preserve"> indicate its potent in scavenging ABTS radicals especially at higher concentration.</w:t>
      </w:r>
    </w:p>
    <w:p w14:paraId="7CA9908E"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color w:val="000000"/>
          <w:sz w:val="24"/>
          <w:szCs w:val="24"/>
        </w:rPr>
        <w:t xml:space="preserve">ABTS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37EC3B00"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101BA1FB" w14:textId="77777777" w:rsidR="00053221" w:rsidRDefault="00053221">
            <w:pPr>
              <w:spacing w:after="0" w:line="360" w:lineRule="auto"/>
              <w:rPr>
                <w:rFonts w:ascii="Times New Roman" w:eastAsiaTheme="minorHAnsi" w:hAnsi="Times New Roman" w:cs="Times New Roman"/>
                <w:b w:val="0"/>
                <w:bCs w:val="0"/>
                <w:sz w:val="24"/>
                <w:szCs w:val="24"/>
              </w:rPr>
            </w:pPr>
          </w:p>
          <w:p w14:paraId="0F21E0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21AFFD7A"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779C0802"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F212BA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CA035A7"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293752E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c>
          <w:tcPr>
            <w:tcW w:w="3240" w:type="dxa"/>
            <w:tcBorders>
              <w:right w:val="nil"/>
            </w:tcBorders>
          </w:tcPr>
          <w:p w14:paraId="4A7394D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r>
      <w:tr w:rsidR="00053221" w14:paraId="6530198A"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4693BC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2CB50068"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77.667</w:t>
            </w:r>
          </w:p>
        </w:tc>
        <w:tc>
          <w:tcPr>
            <w:tcW w:w="3240" w:type="dxa"/>
          </w:tcPr>
          <w:p w14:paraId="36DD5C7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78.667</w:t>
            </w:r>
          </w:p>
        </w:tc>
      </w:tr>
      <w:tr w:rsidR="00053221" w14:paraId="1D2432A9"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0150AF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F716DC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78.500</w:t>
            </w:r>
          </w:p>
        </w:tc>
        <w:tc>
          <w:tcPr>
            <w:tcW w:w="3240" w:type="dxa"/>
            <w:tcBorders>
              <w:right w:val="nil"/>
            </w:tcBorders>
          </w:tcPr>
          <w:p w14:paraId="0D8E0A0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r w:rsidR="00053221" w14:paraId="7A3DE6B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10B8336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0597F85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75.167</w:t>
            </w:r>
          </w:p>
        </w:tc>
        <w:tc>
          <w:tcPr>
            <w:tcW w:w="3240" w:type="dxa"/>
          </w:tcPr>
          <w:p w14:paraId="321F6A4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bl>
    <w:p w14:paraId="33CA1C9E" w14:textId="77777777" w:rsidR="00053221" w:rsidRDefault="00053221">
      <w:pPr>
        <w:spacing w:line="360" w:lineRule="auto"/>
        <w:rPr>
          <w:rFonts w:ascii="Times New Roman" w:hAnsi="Times New Roman" w:cs="Times New Roman"/>
          <w:b/>
          <w:sz w:val="24"/>
          <w:szCs w:val="24"/>
        </w:rPr>
      </w:pPr>
    </w:p>
    <w:p w14:paraId="6BB8B8EE" w14:textId="77777777" w:rsidR="00053221" w:rsidRDefault="002970B4">
      <w:pPr>
        <w:spacing w:line="360" w:lineRule="auto"/>
        <w:rPr>
          <w:rFonts w:ascii="Times New Roman" w:hAnsi="Times New Roman" w:cs="Times New Roman"/>
          <w:b/>
          <w:sz w:val="24"/>
          <w:szCs w:val="24"/>
        </w:rPr>
      </w:pPr>
      <w:r>
        <w:rPr>
          <w:noProof/>
        </w:rPr>
        <w:drawing>
          <wp:inline distT="0" distB="0" distL="114300" distR="114300" wp14:anchorId="59BB9294" wp14:editId="0BF32072">
            <wp:extent cx="5364480" cy="4107180"/>
            <wp:effectExtent l="0" t="0" r="7620" b="76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1"/>
                    <a:stretch>
                      <a:fillRect/>
                    </a:stretch>
                  </pic:blipFill>
                  <pic:spPr>
                    <a:xfrm>
                      <a:off x="0" y="0"/>
                      <a:ext cx="5364480" cy="4107180"/>
                    </a:xfrm>
                    <a:prstGeom prst="rect">
                      <a:avLst/>
                    </a:prstGeom>
                    <a:noFill/>
                    <a:ln>
                      <a:noFill/>
                    </a:ln>
                  </pic:spPr>
                </pic:pic>
              </a:graphicData>
            </a:graphic>
          </wp:inline>
        </w:drawing>
      </w:r>
    </w:p>
    <w:p w14:paraId="289B7301" w14:textId="77777777" w:rsidR="007A67A9" w:rsidRDefault="007A67A9">
      <w:pPr>
        <w:spacing w:line="360" w:lineRule="auto"/>
        <w:rPr>
          <w:rFonts w:ascii="Times New Roman" w:hAnsi="Times New Roman" w:cs="Times New Roman"/>
          <w:b/>
          <w:sz w:val="24"/>
          <w:szCs w:val="24"/>
        </w:rPr>
      </w:pPr>
    </w:p>
    <w:p w14:paraId="43BBF742" w14:textId="77777777" w:rsidR="00FE1B8B" w:rsidRDefault="007A67A9" w:rsidP="00FE1B8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4: </w:t>
      </w:r>
      <w:r w:rsidR="00FE1B8B">
        <w:rPr>
          <w:rFonts w:ascii="Times New Roman" w:hAnsi="Times New Roman" w:cs="Times New Roman"/>
          <w:b/>
          <w:bCs/>
          <w:color w:val="000000"/>
          <w:sz w:val="24"/>
          <w:szCs w:val="24"/>
        </w:rPr>
        <w:t xml:space="preserve">ABTS Scavenging Activity </w:t>
      </w:r>
      <w:r w:rsidR="00FE1B8B" w:rsidRPr="00245DD7">
        <w:rPr>
          <w:rFonts w:ascii="Times New Roman" w:hAnsi="Times New Roman" w:cs="Times New Roman"/>
          <w:b/>
          <w:bCs/>
          <w:color w:val="000000"/>
          <w:sz w:val="24"/>
          <w:szCs w:val="24"/>
        </w:rPr>
        <w:t xml:space="preserve">for the </w:t>
      </w:r>
      <w:r w:rsidR="00FE1B8B">
        <w:rPr>
          <w:rFonts w:ascii="Times New Roman" w:hAnsi="Times New Roman" w:cs="Times New Roman"/>
          <w:b/>
          <w:bCs/>
          <w:color w:val="000000"/>
          <w:sz w:val="24"/>
          <w:szCs w:val="24"/>
        </w:rPr>
        <w:t>C</w:t>
      </w:r>
      <w:r w:rsidR="00FE1B8B" w:rsidRPr="00245DD7">
        <w:rPr>
          <w:rFonts w:ascii="Times New Roman" w:hAnsi="Times New Roman" w:cs="Times New Roman"/>
          <w:b/>
          <w:bCs/>
          <w:color w:val="000000"/>
          <w:sz w:val="24"/>
          <w:szCs w:val="24"/>
        </w:rPr>
        <w:t>oncentration</w:t>
      </w:r>
      <w:r w:rsidR="00FE1B8B">
        <w:rPr>
          <w:rFonts w:ascii="Times New Roman" w:hAnsi="Times New Roman" w:cs="Times New Roman"/>
          <w:b/>
          <w:bCs/>
          <w:color w:val="000000"/>
          <w:sz w:val="24"/>
          <w:szCs w:val="24"/>
        </w:rPr>
        <w:t xml:space="preserve"> </w:t>
      </w:r>
      <w:r w:rsidR="00FE1B8B" w:rsidRPr="00016B2B">
        <w:rPr>
          <w:rFonts w:ascii="Times New Roman" w:eastAsiaTheme="minorHAnsi" w:hAnsi="Times New Roman" w:cs="Times New Roman"/>
          <w:b/>
          <w:bCs/>
          <w:sz w:val="24"/>
          <w:szCs w:val="24"/>
        </w:rPr>
        <w:t>(</w:t>
      </w:r>
      <w:proofErr w:type="spellStart"/>
      <w:r w:rsidR="00FE1B8B" w:rsidRPr="00016B2B">
        <w:rPr>
          <w:rFonts w:ascii="Times New Roman" w:eastAsiaTheme="minorHAnsi" w:hAnsi="Times New Roman" w:cs="Times New Roman"/>
          <w:b/>
          <w:bCs/>
          <w:sz w:val="24"/>
          <w:szCs w:val="24"/>
        </w:rPr>
        <w:t>ug</w:t>
      </w:r>
      <w:proofErr w:type="spellEnd"/>
      <w:r w:rsidR="00FE1B8B" w:rsidRPr="00016B2B">
        <w:rPr>
          <w:rFonts w:ascii="Times New Roman" w:eastAsiaTheme="minorHAnsi" w:hAnsi="Times New Roman" w:cs="Times New Roman"/>
          <w:b/>
          <w:bCs/>
          <w:sz w:val="24"/>
          <w:szCs w:val="24"/>
        </w:rPr>
        <w:t>/ml)</w:t>
      </w:r>
      <w:r w:rsidR="00FE1B8B" w:rsidRPr="00245DD7">
        <w:rPr>
          <w:rFonts w:ascii="Times New Roman" w:hAnsi="Times New Roman" w:cs="Times New Roman"/>
          <w:b/>
          <w:bCs/>
          <w:color w:val="000000"/>
          <w:sz w:val="24"/>
          <w:szCs w:val="24"/>
        </w:rPr>
        <w:t xml:space="preserve"> of </w:t>
      </w:r>
      <w:r w:rsidR="00FE1B8B" w:rsidRPr="00245DD7">
        <w:rPr>
          <w:rFonts w:ascii="Times New Roman" w:hAnsi="Times New Roman" w:cs="Times New Roman"/>
          <w:b/>
          <w:bCs/>
          <w:i/>
          <w:sz w:val="24"/>
          <w:szCs w:val="24"/>
        </w:rPr>
        <w:t>Eupatorium odoratum</w:t>
      </w:r>
      <w:r w:rsidR="00FE1B8B" w:rsidRPr="00245DD7">
        <w:rPr>
          <w:rFonts w:ascii="Times New Roman" w:hAnsi="Times New Roman" w:cs="Times New Roman"/>
          <w:b/>
          <w:bCs/>
          <w:sz w:val="24"/>
          <w:szCs w:val="24"/>
        </w:rPr>
        <w:t xml:space="preserve"> and </w:t>
      </w:r>
      <w:r w:rsidR="00FE1B8B" w:rsidRPr="00245DD7">
        <w:rPr>
          <w:rFonts w:ascii="Times New Roman" w:eastAsiaTheme="minorHAnsi" w:hAnsi="Times New Roman" w:cs="Times New Roman"/>
          <w:b/>
          <w:bCs/>
          <w:sz w:val="24"/>
          <w:szCs w:val="24"/>
        </w:rPr>
        <w:t>Gallic acid</w:t>
      </w:r>
      <w:r w:rsidR="00FE1B8B">
        <w:rPr>
          <w:rFonts w:ascii="Times New Roman" w:eastAsiaTheme="minorHAnsi" w:hAnsi="Times New Roman" w:cs="Times New Roman"/>
          <w:sz w:val="24"/>
          <w:szCs w:val="24"/>
        </w:rPr>
        <w:t xml:space="preserve"> </w:t>
      </w:r>
    </w:p>
    <w:p w14:paraId="6E97C09B" w14:textId="1D097F30" w:rsidR="007A67A9" w:rsidRDefault="007A67A9">
      <w:pPr>
        <w:spacing w:line="360" w:lineRule="auto"/>
        <w:rPr>
          <w:rFonts w:ascii="Times New Roman" w:hAnsi="Times New Roman" w:cs="Times New Roman"/>
          <w:b/>
          <w:sz w:val="24"/>
          <w:szCs w:val="24"/>
        </w:rPr>
      </w:pPr>
    </w:p>
    <w:p w14:paraId="4EC4F2F1" w14:textId="224FEB35" w:rsidR="00053221" w:rsidRDefault="00FE2732">
      <w:pPr>
        <w:spacing w:line="360" w:lineRule="auto"/>
        <w:rPr>
          <w:rFonts w:ascii="Times New Roman" w:hAnsi="Times New Roman" w:cs="Times New Roman"/>
          <w:b/>
          <w:bCs/>
          <w:color w:val="000000"/>
          <w:sz w:val="24"/>
          <w:szCs w:val="24"/>
        </w:rPr>
      </w:pPr>
      <w:r w:rsidRPr="00FE2732">
        <w:rPr>
          <w:rFonts w:ascii="Times New Roman" w:hAnsi="Times New Roman" w:cs="Times New Roman"/>
          <w:b/>
          <w:sz w:val="24"/>
          <w:szCs w:val="24"/>
          <w:highlight w:val="yellow"/>
        </w:rPr>
        <w:t>4</w:t>
      </w:r>
      <w:r w:rsidR="002970B4" w:rsidRPr="00FE2732">
        <w:rPr>
          <w:rFonts w:ascii="Times New Roman" w:hAnsi="Times New Roman" w:cs="Times New Roman"/>
          <w:b/>
          <w:sz w:val="24"/>
          <w:szCs w:val="24"/>
          <w:highlight w:val="yellow"/>
        </w:rPr>
        <w:t>.5</w:t>
      </w:r>
      <w:r w:rsidR="002970B4">
        <w:rPr>
          <w:rFonts w:ascii="Times New Roman" w:hAnsi="Times New Roman" w:cs="Times New Roman"/>
          <w:b/>
          <w:sz w:val="24"/>
          <w:szCs w:val="24"/>
        </w:rPr>
        <w:t xml:space="preserve"> </w:t>
      </w:r>
      <w:r w:rsidR="002970B4">
        <w:rPr>
          <w:rFonts w:ascii="Times New Roman" w:hAnsi="Times New Roman" w:cs="Times New Roman"/>
          <w:b/>
          <w:color w:val="000000"/>
          <w:sz w:val="24"/>
          <w:szCs w:val="24"/>
        </w:rPr>
        <w:t>Hydroxyl Radical</w:t>
      </w:r>
      <w:r w:rsidR="002970B4">
        <w:rPr>
          <w:rFonts w:ascii="Times New Roman" w:hAnsi="Times New Roman" w:cs="Times New Roman"/>
          <w:color w:val="000000"/>
          <w:sz w:val="24"/>
          <w:szCs w:val="24"/>
        </w:rPr>
        <w:t xml:space="preserve"> </w:t>
      </w:r>
      <w:r w:rsidR="002970B4">
        <w:rPr>
          <w:rFonts w:ascii="Times New Roman" w:hAnsi="Times New Roman" w:cs="Times New Roman"/>
          <w:b/>
          <w:bCs/>
          <w:color w:val="000000"/>
          <w:sz w:val="24"/>
          <w:szCs w:val="24"/>
        </w:rPr>
        <w:t>Scavenging Activity</w:t>
      </w:r>
    </w:p>
    <w:p w14:paraId="74A8F278"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lastRenderedPageBreak/>
        <w:t>Eupatorium Odoratum</w:t>
      </w:r>
      <w:r>
        <w:rPr>
          <w:rFonts w:ascii="Times New Roman" w:hAnsi="Times New Roman" w:cs="Times New Roman"/>
          <w:sz w:val="24"/>
          <w:szCs w:val="24"/>
        </w:rPr>
        <w:t xml:space="preserve"> has activity but Gallic acid is more effective in scavenging hydroxyl radicals, particularly at higher concentrations.</w:t>
      </w:r>
    </w:p>
    <w:p w14:paraId="106AED84"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5 H</w:t>
      </w:r>
      <w:r>
        <w:rPr>
          <w:rFonts w:ascii="Times New Roman" w:hAnsi="Times New Roman" w:cs="Times New Roman"/>
          <w:b/>
          <w:color w:val="000000"/>
          <w:sz w:val="24"/>
          <w:szCs w:val="24"/>
        </w:rPr>
        <w:t>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8B2D09F"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126A79C" w14:textId="77777777" w:rsidR="00053221" w:rsidRDefault="00053221">
            <w:pPr>
              <w:spacing w:after="0" w:line="360" w:lineRule="auto"/>
              <w:rPr>
                <w:rFonts w:ascii="Times New Roman" w:eastAsiaTheme="minorHAnsi" w:hAnsi="Times New Roman" w:cs="Times New Roman"/>
                <w:b w:val="0"/>
                <w:bCs w:val="0"/>
                <w:sz w:val="24"/>
                <w:szCs w:val="24"/>
              </w:rPr>
            </w:pPr>
          </w:p>
          <w:p w14:paraId="72F8F08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53303166"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7AE40578"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32D71D8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1EFA195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7BAACD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60.674</w:t>
            </w:r>
          </w:p>
        </w:tc>
        <w:tc>
          <w:tcPr>
            <w:tcW w:w="3240" w:type="dxa"/>
            <w:tcBorders>
              <w:right w:val="nil"/>
            </w:tcBorders>
          </w:tcPr>
          <w:p w14:paraId="628F69B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60.294</w:t>
            </w:r>
          </w:p>
        </w:tc>
      </w:tr>
      <w:tr w:rsidR="00053221" w14:paraId="3177B517"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19540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55DFFFB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66.479</w:t>
            </w:r>
          </w:p>
        </w:tc>
        <w:tc>
          <w:tcPr>
            <w:tcW w:w="3240" w:type="dxa"/>
          </w:tcPr>
          <w:p w14:paraId="0D6331B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68.199</w:t>
            </w:r>
          </w:p>
        </w:tc>
      </w:tr>
      <w:tr w:rsidR="00053221" w14:paraId="1509684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86B0B3F"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1D9B4C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61.423</w:t>
            </w:r>
          </w:p>
        </w:tc>
        <w:tc>
          <w:tcPr>
            <w:tcW w:w="3240" w:type="dxa"/>
            <w:tcBorders>
              <w:right w:val="nil"/>
            </w:tcBorders>
          </w:tcPr>
          <w:p w14:paraId="69C711F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69.669</w:t>
            </w:r>
          </w:p>
        </w:tc>
      </w:tr>
      <w:tr w:rsidR="00053221" w14:paraId="1F33208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4F352ED"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25C118BA"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62.734</w:t>
            </w:r>
          </w:p>
        </w:tc>
        <w:tc>
          <w:tcPr>
            <w:tcW w:w="3240" w:type="dxa"/>
          </w:tcPr>
          <w:p w14:paraId="7BDE6E1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76.471</w:t>
            </w:r>
          </w:p>
        </w:tc>
      </w:tr>
    </w:tbl>
    <w:p w14:paraId="0772EA48" w14:textId="77777777" w:rsidR="00053221" w:rsidRDefault="00053221">
      <w:pPr>
        <w:spacing w:line="360" w:lineRule="auto"/>
        <w:rPr>
          <w:rFonts w:ascii="Times New Roman" w:hAnsi="Times New Roman" w:cs="Times New Roman"/>
          <w:b/>
          <w:sz w:val="24"/>
          <w:szCs w:val="24"/>
        </w:rPr>
      </w:pPr>
    </w:p>
    <w:p w14:paraId="5E927178" w14:textId="77777777" w:rsidR="00053221" w:rsidRDefault="00053221">
      <w:pPr>
        <w:spacing w:line="360" w:lineRule="auto"/>
        <w:rPr>
          <w:rFonts w:ascii="Times New Roman" w:hAnsi="Times New Roman" w:cs="Times New Roman"/>
          <w:b/>
          <w:sz w:val="24"/>
          <w:szCs w:val="24"/>
        </w:rPr>
      </w:pPr>
    </w:p>
    <w:p w14:paraId="3317F3F8" w14:textId="77777777" w:rsidR="00053221" w:rsidRDefault="00053221">
      <w:pPr>
        <w:spacing w:line="360" w:lineRule="auto"/>
        <w:rPr>
          <w:rFonts w:ascii="Times New Roman" w:hAnsi="Times New Roman" w:cs="Times New Roman"/>
          <w:b/>
          <w:sz w:val="24"/>
          <w:szCs w:val="24"/>
        </w:rPr>
      </w:pPr>
    </w:p>
    <w:p w14:paraId="38F72FBC" w14:textId="34604ACA" w:rsidR="00053221" w:rsidRDefault="00FE2732">
      <w:pPr>
        <w:spacing w:line="360" w:lineRule="auto"/>
        <w:rPr>
          <w:rFonts w:ascii="Times New Roman" w:hAnsi="Times New Roman" w:cs="Times New Roman"/>
          <w:b/>
          <w:sz w:val="24"/>
          <w:szCs w:val="24"/>
        </w:rPr>
      </w:pPr>
      <w:r w:rsidRPr="00FE2732">
        <w:rPr>
          <w:rFonts w:ascii="Times New Roman" w:hAnsi="Times New Roman" w:cs="Times New Roman"/>
          <w:b/>
          <w:sz w:val="24"/>
          <w:szCs w:val="24"/>
          <w:highlight w:val="yellow"/>
        </w:rPr>
        <w:t>4.6</w:t>
      </w:r>
      <w:r>
        <w:rPr>
          <w:rFonts w:ascii="Times New Roman" w:hAnsi="Times New Roman" w:cs="Times New Roman"/>
          <w:b/>
          <w:sz w:val="24"/>
          <w:szCs w:val="24"/>
        </w:rPr>
        <w:t xml:space="preserve"> DPPH</w:t>
      </w:r>
      <w:r w:rsidR="002970B4">
        <w:rPr>
          <w:rFonts w:ascii="Times New Roman" w:hAnsi="Times New Roman" w:cs="Times New Roman"/>
          <w:b/>
          <w:sz w:val="24"/>
          <w:szCs w:val="24"/>
        </w:rPr>
        <w:t xml:space="preserve"> Scavenging Activity</w:t>
      </w:r>
    </w:p>
    <w:p w14:paraId="7DEF1370"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Eupatorium Odoratum</w:t>
      </w:r>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is potent but less effective than BHT in scavenging DPPH radicals.</w:t>
      </w:r>
    </w:p>
    <w:p w14:paraId="57C9AF37"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6 DPPH Scavenging   Activity</w:t>
      </w:r>
    </w:p>
    <w:tbl>
      <w:tblPr>
        <w:tblStyle w:val="LightShading"/>
        <w:tblW w:w="9180" w:type="dxa"/>
        <w:tblLook w:val="04A0" w:firstRow="1" w:lastRow="0" w:firstColumn="1" w:lastColumn="0" w:noHBand="0" w:noVBand="1"/>
      </w:tblPr>
      <w:tblGrid>
        <w:gridCol w:w="4338"/>
        <w:gridCol w:w="4842"/>
      </w:tblGrid>
      <w:tr w:rsidR="00053221" w14:paraId="0651CD2A" w14:textId="77777777" w:rsidTr="00053221">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8" w:type="dxa"/>
          </w:tcPr>
          <w:p w14:paraId="6F53B0D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4842" w:type="dxa"/>
          </w:tcPr>
          <w:p w14:paraId="78B3019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scavenging activity</w:t>
            </w:r>
          </w:p>
        </w:tc>
      </w:tr>
      <w:tr w:rsidR="00053221" w14:paraId="60D3443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3871B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4842" w:type="dxa"/>
            <w:tcBorders>
              <w:right w:val="nil"/>
            </w:tcBorders>
            <w:vAlign w:val="bottom"/>
          </w:tcPr>
          <w:p w14:paraId="0F70435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92.893</w:t>
            </w:r>
          </w:p>
        </w:tc>
      </w:tr>
      <w:tr w:rsidR="00053221" w14:paraId="3663F58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23ED620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4842" w:type="dxa"/>
            <w:vAlign w:val="bottom"/>
          </w:tcPr>
          <w:p w14:paraId="64D765A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92.804</w:t>
            </w:r>
          </w:p>
        </w:tc>
      </w:tr>
      <w:tr w:rsidR="00053221" w14:paraId="68E8E1D5"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3CF6D4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4842" w:type="dxa"/>
            <w:tcBorders>
              <w:right w:val="nil"/>
            </w:tcBorders>
            <w:vAlign w:val="bottom"/>
          </w:tcPr>
          <w:p w14:paraId="379EF9F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92.982</w:t>
            </w:r>
          </w:p>
        </w:tc>
      </w:tr>
      <w:tr w:rsidR="00053221" w14:paraId="6B85EC24"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492C857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4842" w:type="dxa"/>
            <w:vAlign w:val="bottom"/>
          </w:tcPr>
          <w:p w14:paraId="4C080A7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93.844</w:t>
            </w:r>
          </w:p>
        </w:tc>
      </w:tr>
      <w:tr w:rsidR="00053221" w14:paraId="2E71BFB3" w14:textId="77777777" w:rsidTr="00053221">
        <w:trPr>
          <w:trHeight w:val="333"/>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C0FF6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Reference (BHT) BH</w:t>
            </w:r>
          </w:p>
        </w:tc>
        <w:tc>
          <w:tcPr>
            <w:tcW w:w="4842" w:type="dxa"/>
            <w:tcBorders>
              <w:right w:val="nil"/>
            </w:tcBorders>
          </w:tcPr>
          <w:p w14:paraId="0613535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98.501</w:t>
            </w:r>
          </w:p>
        </w:tc>
      </w:tr>
    </w:tbl>
    <w:p w14:paraId="5CD3F03F" w14:textId="77777777" w:rsidR="00053221" w:rsidRDefault="00053221">
      <w:pPr>
        <w:spacing w:line="360" w:lineRule="auto"/>
        <w:rPr>
          <w:rFonts w:ascii="Times New Roman" w:hAnsi="Times New Roman" w:cs="Times New Roman"/>
          <w:b/>
          <w:sz w:val="24"/>
          <w:szCs w:val="24"/>
        </w:rPr>
      </w:pPr>
    </w:p>
    <w:p w14:paraId="49B47FE5" w14:textId="77777777" w:rsidR="00053221" w:rsidRDefault="002970B4">
      <w:pPr>
        <w:spacing w:line="360" w:lineRule="auto"/>
        <w:rPr>
          <w:rFonts w:ascii="Times New Roman" w:hAnsi="Times New Roman" w:cs="Times New Roman"/>
          <w:b/>
          <w:sz w:val="24"/>
          <w:szCs w:val="24"/>
        </w:rPr>
      </w:pPr>
      <w:r>
        <w:rPr>
          <w:noProof/>
        </w:rPr>
        <w:lastRenderedPageBreak/>
        <w:drawing>
          <wp:inline distT="0" distB="0" distL="114300" distR="114300" wp14:anchorId="09305F61" wp14:editId="1FC7B4ED">
            <wp:extent cx="5783580" cy="4116705"/>
            <wp:effectExtent l="0" t="0" r="7620" b="171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2"/>
                    <a:stretch>
                      <a:fillRect/>
                    </a:stretch>
                  </pic:blipFill>
                  <pic:spPr>
                    <a:xfrm>
                      <a:off x="0" y="0"/>
                      <a:ext cx="5783580" cy="4116705"/>
                    </a:xfrm>
                    <a:prstGeom prst="rect">
                      <a:avLst/>
                    </a:prstGeom>
                    <a:noFill/>
                    <a:ln>
                      <a:noFill/>
                    </a:ln>
                  </pic:spPr>
                </pic:pic>
              </a:graphicData>
            </a:graphic>
          </wp:inline>
        </w:drawing>
      </w:r>
    </w:p>
    <w:p w14:paraId="2C9B5A52" w14:textId="77777777" w:rsidR="007A67A9" w:rsidRDefault="007A67A9">
      <w:pPr>
        <w:spacing w:line="360" w:lineRule="auto"/>
        <w:rPr>
          <w:rFonts w:ascii="Times New Roman" w:hAnsi="Times New Roman" w:cs="Times New Roman"/>
          <w:b/>
          <w:sz w:val="24"/>
          <w:szCs w:val="24"/>
        </w:rPr>
      </w:pPr>
    </w:p>
    <w:p w14:paraId="5EE4C55E" w14:textId="77777777"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5: Eupatorium Odoratum % scavenging activity </w:t>
      </w:r>
    </w:p>
    <w:p w14:paraId="09748F3A" w14:textId="77777777" w:rsidR="00053221" w:rsidRDefault="00053221">
      <w:pPr>
        <w:spacing w:line="360" w:lineRule="auto"/>
        <w:rPr>
          <w:rFonts w:ascii="Times New Roman" w:hAnsi="Times New Roman" w:cs="Times New Roman"/>
          <w:b/>
          <w:sz w:val="24"/>
          <w:szCs w:val="24"/>
        </w:rPr>
      </w:pPr>
    </w:p>
    <w:p w14:paraId="57A76302" w14:textId="77777777" w:rsidR="00053221" w:rsidRDefault="00053221">
      <w:pPr>
        <w:spacing w:line="360" w:lineRule="auto"/>
        <w:rPr>
          <w:rFonts w:ascii="Times New Roman" w:hAnsi="Times New Roman" w:cs="Times New Roman"/>
          <w:b/>
          <w:sz w:val="24"/>
          <w:szCs w:val="24"/>
        </w:rPr>
      </w:pPr>
    </w:p>
    <w:p w14:paraId="4B8E33BE" w14:textId="46F8531D" w:rsidR="00053221" w:rsidRDefault="00FE2732">
      <w:pPr>
        <w:spacing w:line="360" w:lineRule="auto"/>
        <w:rPr>
          <w:rFonts w:ascii="Times New Roman" w:hAnsi="Times New Roman" w:cs="Times New Roman"/>
          <w:b/>
          <w:sz w:val="24"/>
          <w:szCs w:val="24"/>
        </w:rPr>
      </w:pPr>
      <w:r w:rsidRPr="00FE2732">
        <w:rPr>
          <w:rFonts w:ascii="Times New Roman" w:hAnsi="Times New Roman" w:cs="Times New Roman"/>
          <w:b/>
          <w:sz w:val="24"/>
          <w:szCs w:val="24"/>
          <w:highlight w:val="yellow"/>
        </w:rPr>
        <w:t>4</w:t>
      </w:r>
      <w:r w:rsidR="00382CED" w:rsidRPr="00FE2732">
        <w:rPr>
          <w:rFonts w:ascii="Times New Roman" w:hAnsi="Times New Roman" w:cs="Times New Roman"/>
          <w:b/>
          <w:sz w:val="24"/>
          <w:szCs w:val="24"/>
          <w:highlight w:val="yellow"/>
        </w:rPr>
        <w:t>.7</w:t>
      </w:r>
      <w:r w:rsidR="00382CED">
        <w:rPr>
          <w:rFonts w:ascii="Times New Roman" w:hAnsi="Times New Roman" w:cs="Times New Roman"/>
          <w:b/>
          <w:sz w:val="24"/>
          <w:szCs w:val="24"/>
        </w:rPr>
        <w:t xml:space="preserve"> FRAP</w:t>
      </w:r>
      <w:r w:rsidR="002970B4">
        <w:rPr>
          <w:rFonts w:ascii="Times New Roman" w:hAnsi="Times New Roman" w:cs="Times New Roman"/>
          <w:b/>
          <w:sz w:val="24"/>
          <w:szCs w:val="24"/>
        </w:rPr>
        <w:t xml:space="preserve"> inhibition</w:t>
      </w:r>
    </w:p>
    <w:p w14:paraId="2963EF12" w14:textId="77777777" w:rsidR="00053221" w:rsidRDefault="002970B4">
      <w:pPr>
        <w:spacing w:line="240" w:lineRule="auto"/>
        <w:jc w:val="both"/>
        <w:rPr>
          <w:rFonts w:ascii="Times New Roman" w:hAnsi="Times New Roman" w:cs="Times New Roman"/>
          <w:b/>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FRAP inhibitory effect but not stronger than</w:t>
      </w:r>
      <w:r>
        <w:rPr>
          <w:rStyle w:val="Emphasis"/>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p>
    <w:p w14:paraId="79D7405B" w14:textId="77777777" w:rsidR="00053221" w:rsidRDefault="002970B4">
      <w:pPr>
        <w:spacing w:after="0" w:line="360" w:lineRule="auto"/>
        <w:rPr>
          <w:rFonts w:ascii="Times New Roman" w:hAnsi="Times New Roman" w:cs="Times New Roman"/>
          <w:b/>
          <w:sz w:val="24"/>
          <w:szCs w:val="24"/>
        </w:rPr>
      </w:pPr>
      <w:r>
        <w:rPr>
          <w:rFonts w:ascii="Times New Roman" w:hAnsi="Times New Roman" w:cs="Times New Roman"/>
          <w:b/>
          <w:sz w:val="24"/>
          <w:szCs w:val="24"/>
        </w:rPr>
        <w:t>Table 7 FRAP inhibition</w:t>
      </w:r>
    </w:p>
    <w:tbl>
      <w:tblPr>
        <w:tblStyle w:val="LightShading"/>
        <w:tblW w:w="9244" w:type="dxa"/>
        <w:tblLayout w:type="fixed"/>
        <w:tblLook w:val="04A0" w:firstRow="1" w:lastRow="0" w:firstColumn="1" w:lastColumn="0" w:noHBand="0" w:noVBand="1"/>
      </w:tblPr>
      <w:tblGrid>
        <w:gridCol w:w="3607"/>
        <w:gridCol w:w="3194"/>
        <w:gridCol w:w="2443"/>
      </w:tblGrid>
      <w:tr w:rsidR="00053221" w14:paraId="3D0CE920" w14:textId="77777777" w:rsidTr="00053221">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7" w:type="dxa"/>
          </w:tcPr>
          <w:p w14:paraId="51CCD373"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Concentration of extract </w:t>
            </w:r>
          </w:p>
        </w:tc>
        <w:tc>
          <w:tcPr>
            <w:tcW w:w="3194" w:type="dxa"/>
          </w:tcPr>
          <w:p w14:paraId="39D8CE4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Eupatorium Odoratum</w:t>
            </w:r>
            <w:r>
              <w:rPr>
                <w:rFonts w:ascii="Times New Roman" w:eastAsiaTheme="minorHAnsi" w:hAnsi="Times New Roman" w:cs="Times New Roman"/>
                <w:sz w:val="24"/>
                <w:szCs w:val="24"/>
              </w:rPr>
              <w:t xml:space="preserve"> % inhibition</w:t>
            </w:r>
          </w:p>
        </w:tc>
        <w:tc>
          <w:tcPr>
            <w:tcW w:w="2443" w:type="dxa"/>
          </w:tcPr>
          <w:p w14:paraId="4D6F2C8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 inhibition</w:t>
            </w:r>
          </w:p>
        </w:tc>
      </w:tr>
      <w:tr w:rsidR="00053221" w14:paraId="4874F820"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33584A8A"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194" w:type="dxa"/>
            <w:tcBorders>
              <w:right w:val="nil"/>
            </w:tcBorders>
            <w:vAlign w:val="bottom"/>
          </w:tcPr>
          <w:p w14:paraId="5D3068C6"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44.094</w:t>
            </w:r>
          </w:p>
        </w:tc>
        <w:tc>
          <w:tcPr>
            <w:tcW w:w="2443" w:type="dxa"/>
            <w:tcBorders>
              <w:right w:val="nil"/>
            </w:tcBorders>
            <w:vAlign w:val="bottom"/>
          </w:tcPr>
          <w:p w14:paraId="253049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79.527</w:t>
            </w:r>
          </w:p>
        </w:tc>
      </w:tr>
      <w:tr w:rsidR="00053221" w14:paraId="64B8AF17"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4A5FD23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194" w:type="dxa"/>
            <w:vAlign w:val="bottom"/>
          </w:tcPr>
          <w:p w14:paraId="59108C1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51.968</w:t>
            </w:r>
          </w:p>
        </w:tc>
        <w:tc>
          <w:tcPr>
            <w:tcW w:w="2443" w:type="dxa"/>
            <w:vAlign w:val="bottom"/>
          </w:tcPr>
          <w:p w14:paraId="6ADABE0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80.577</w:t>
            </w:r>
          </w:p>
        </w:tc>
      </w:tr>
      <w:tr w:rsidR="00053221" w14:paraId="0504DD13"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1C21E724"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40mg/ml</w:t>
            </w:r>
          </w:p>
        </w:tc>
        <w:tc>
          <w:tcPr>
            <w:tcW w:w="3194" w:type="dxa"/>
            <w:tcBorders>
              <w:right w:val="nil"/>
            </w:tcBorders>
            <w:vAlign w:val="bottom"/>
          </w:tcPr>
          <w:p w14:paraId="5BAD052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60.630</w:t>
            </w:r>
          </w:p>
        </w:tc>
        <w:tc>
          <w:tcPr>
            <w:tcW w:w="2443" w:type="dxa"/>
            <w:tcBorders>
              <w:right w:val="nil"/>
            </w:tcBorders>
            <w:vAlign w:val="bottom"/>
          </w:tcPr>
          <w:p w14:paraId="17AA8D8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85.564</w:t>
            </w:r>
          </w:p>
        </w:tc>
      </w:tr>
      <w:tr w:rsidR="00053221" w14:paraId="4C15845B"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26A1D1A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194" w:type="dxa"/>
            <w:vAlign w:val="bottom"/>
          </w:tcPr>
          <w:p w14:paraId="28F4026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70.341</w:t>
            </w:r>
          </w:p>
        </w:tc>
        <w:tc>
          <w:tcPr>
            <w:tcW w:w="2443" w:type="dxa"/>
            <w:vAlign w:val="bottom"/>
          </w:tcPr>
          <w:p w14:paraId="340C048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84.514</w:t>
            </w:r>
          </w:p>
        </w:tc>
      </w:tr>
    </w:tbl>
    <w:p w14:paraId="70837970"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7ED6AA7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C57270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rPr>
        <w:drawing>
          <wp:inline distT="0" distB="0" distL="114300" distR="114300" wp14:anchorId="4B74B3C6" wp14:editId="57219E4D">
            <wp:extent cx="5783580" cy="4107180"/>
            <wp:effectExtent l="0" t="0" r="762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13"/>
                    <a:stretch>
                      <a:fillRect/>
                    </a:stretch>
                  </pic:blipFill>
                  <pic:spPr>
                    <a:xfrm>
                      <a:off x="0" y="0"/>
                      <a:ext cx="5783580" cy="4107180"/>
                    </a:xfrm>
                    <a:prstGeom prst="rect">
                      <a:avLst/>
                    </a:prstGeom>
                    <a:noFill/>
                    <a:ln>
                      <a:noFill/>
                    </a:ln>
                  </pic:spPr>
                </pic:pic>
              </a:graphicData>
            </a:graphic>
          </wp:inline>
        </w:drawing>
      </w:r>
    </w:p>
    <w:p w14:paraId="19E1EC0A" w14:textId="0B6CB929" w:rsidR="00F86E28" w:rsidRPr="00F86E28" w:rsidRDefault="0036195F" w:rsidP="00F86E28">
      <w:pPr>
        <w:rPr>
          <w:rFonts w:ascii="Times New Roman" w:hAnsi="Times New Roman" w:cs="Times New Roman"/>
          <w:b/>
          <w:sz w:val="24"/>
          <w:szCs w:val="24"/>
        </w:rPr>
      </w:pPr>
      <w:r>
        <w:rPr>
          <w:b/>
          <w:color w:val="000000" w:themeColor="text1"/>
        </w:rPr>
        <w:t xml:space="preserve">Fig 6: </w:t>
      </w:r>
      <w:r w:rsidR="00F86E28" w:rsidRPr="00F86E28">
        <w:rPr>
          <w:rFonts w:ascii="Times New Roman" w:hAnsi="Times New Roman" w:cs="Times New Roman"/>
          <w:b/>
          <w:sz w:val="24"/>
          <w:szCs w:val="24"/>
        </w:rPr>
        <w:t xml:space="preserve">FRAP inhibition (%) of </w:t>
      </w:r>
      <w:r w:rsidR="00F86E28" w:rsidRPr="00F86E28">
        <w:rPr>
          <w:rFonts w:ascii="Times New Roman" w:eastAsiaTheme="minorHAnsi" w:hAnsi="Times New Roman" w:cs="Times New Roman"/>
          <w:b/>
          <w:i/>
          <w:sz w:val="24"/>
          <w:szCs w:val="24"/>
        </w:rPr>
        <w:t>Eupatorium Odoratum</w:t>
      </w:r>
      <w:r w:rsidR="00F86E28" w:rsidRPr="00F86E28">
        <w:rPr>
          <w:rFonts w:ascii="Times New Roman" w:eastAsiaTheme="minorHAnsi" w:hAnsi="Times New Roman" w:cs="Times New Roman"/>
          <w:b/>
          <w:sz w:val="24"/>
          <w:szCs w:val="24"/>
        </w:rPr>
        <w:t xml:space="preserve"> </w:t>
      </w:r>
      <w:r w:rsidR="00F86E28" w:rsidRPr="00F86E28">
        <w:rPr>
          <w:rFonts w:ascii="Times New Roman" w:hAnsi="Times New Roman" w:cs="Times New Roman"/>
          <w:b/>
          <w:sz w:val="24"/>
          <w:szCs w:val="24"/>
        </w:rPr>
        <w:t xml:space="preserve">and </w:t>
      </w:r>
      <w:r w:rsidR="00F86E28" w:rsidRPr="00F86E28">
        <w:rPr>
          <w:rFonts w:ascii="Times New Roman" w:eastAsiaTheme="minorHAnsi" w:hAnsi="Times New Roman" w:cs="Times New Roman"/>
          <w:b/>
          <w:sz w:val="24"/>
          <w:szCs w:val="24"/>
        </w:rPr>
        <w:t xml:space="preserve">Gallic acid </w:t>
      </w:r>
    </w:p>
    <w:p w14:paraId="067FD749" w14:textId="0B290032" w:rsidR="00053221" w:rsidRDefault="00053221">
      <w:pPr>
        <w:pStyle w:val="NormalWeb"/>
        <w:shd w:val="clear" w:color="auto" w:fill="FFFFFF"/>
        <w:spacing w:before="0" w:beforeAutospacing="0" w:after="120" w:afterAutospacing="0" w:line="360" w:lineRule="auto"/>
        <w:jc w:val="both"/>
        <w:rPr>
          <w:b/>
          <w:color w:val="000000" w:themeColor="text1"/>
        </w:rPr>
      </w:pPr>
    </w:p>
    <w:p w14:paraId="7172CC68"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C189728" w14:textId="728E2C69" w:rsidR="00053221" w:rsidRDefault="00FE2732">
      <w:pPr>
        <w:pStyle w:val="NormalWeb"/>
        <w:shd w:val="clear" w:color="auto" w:fill="FFFFFF"/>
        <w:spacing w:before="0" w:beforeAutospacing="0" w:after="80" w:afterAutospacing="0" w:line="360" w:lineRule="auto"/>
        <w:jc w:val="both"/>
        <w:rPr>
          <w:b/>
          <w:color w:val="000000" w:themeColor="text1"/>
        </w:rPr>
      </w:pPr>
      <w:r w:rsidRPr="00FE2732">
        <w:rPr>
          <w:b/>
          <w:color w:val="000000" w:themeColor="text1"/>
          <w:highlight w:val="yellow"/>
        </w:rPr>
        <w:t>5</w:t>
      </w:r>
      <w:r>
        <w:rPr>
          <w:b/>
          <w:color w:val="000000" w:themeColor="text1"/>
          <w:highlight w:val="yellow"/>
        </w:rPr>
        <w:t>.</w:t>
      </w:r>
      <w:r w:rsidR="002970B4">
        <w:rPr>
          <w:b/>
          <w:color w:val="000000" w:themeColor="text1"/>
        </w:rPr>
        <w:t xml:space="preserve"> Discussion </w:t>
      </w:r>
    </w:p>
    <w:p w14:paraId="366BD098" w14:textId="185B92FD" w:rsidR="00053221" w:rsidRDefault="002970B4">
      <w:pPr>
        <w:pStyle w:val="NormalWeb"/>
        <w:spacing w:before="80" w:beforeAutospacing="0" w:after="80" w:afterAutospacing="0"/>
        <w:jc w:val="both"/>
      </w:pPr>
      <w:r>
        <w:t xml:space="preserve">This study evaluated the proximate and phytochemical composition of </w:t>
      </w:r>
      <w:r>
        <w:rPr>
          <w:rStyle w:val="Emphasis"/>
        </w:rPr>
        <w:t>Eupatorium odoratum</w:t>
      </w:r>
      <w:r>
        <w:t xml:space="preserve"> as well as the antioxidant properties, in order to elucidate its nutritional profile, bioactive constituents, and potential health and therapeutic benefits. The proximate analysis demonstrated that crude protein accounted for 18.1% of the sample. Protein is fundamental to tissue repair, enzyme synthesis, muscle development, and immune function, as it supplies essential amino acids required for numerous physiological processes (</w:t>
      </w:r>
      <w:r w:rsidRPr="00EF5874">
        <w:rPr>
          <w:rFonts w:eastAsia="SimSun"/>
          <w:color w:val="222222"/>
          <w:shd w:val="clear" w:color="auto" w:fill="FFFFFF"/>
        </w:rPr>
        <w:t>Kelly &amp; Pearce, 2020</w:t>
      </w:r>
      <w:r w:rsidR="00FF2B31">
        <w:t>). The</w:t>
      </w:r>
      <w:r>
        <w:t xml:space="preserve"> moisture content was 13.233%, a level that is particularly relevant to shelf life and vulnerability to microbial spoilage. Reduced moisture content is associated with limited microbial growth and improved storage stability (</w:t>
      </w:r>
      <w:r w:rsidRPr="00EF5874">
        <w:rPr>
          <w:rFonts w:eastAsia="SimSun"/>
          <w:color w:val="222222"/>
          <w:shd w:val="clear" w:color="auto" w:fill="FFFFFF"/>
        </w:rPr>
        <w:t>Chen</w:t>
      </w:r>
      <w:r w:rsidRPr="00EF5874">
        <w:t xml:space="preserve"> et al., 2018</w:t>
      </w:r>
      <w:r>
        <w:t xml:space="preserve">). Ash content, an indicator of total mineral composition and an important contributor to bone health, fluid </w:t>
      </w:r>
      <w:r>
        <w:lastRenderedPageBreak/>
        <w:t>regulation, and enzymatic activity (</w:t>
      </w:r>
      <w:r w:rsidRPr="00EF5874">
        <w:rPr>
          <w:rFonts w:eastAsia="SimSun"/>
          <w:color w:val="222222"/>
          <w:shd w:val="clear" w:color="auto" w:fill="FFFFFF"/>
        </w:rPr>
        <w:t>Momoh et al.</w:t>
      </w:r>
      <w:r w:rsidRPr="00EF5874">
        <w:rPr>
          <w:rFonts w:ascii="Arial" w:eastAsia="SimSun" w:hAnsi="Arial" w:cs="Arial"/>
          <w:color w:val="222222"/>
          <w:sz w:val="19"/>
          <w:szCs w:val="19"/>
          <w:shd w:val="clear" w:color="auto" w:fill="FFFFFF"/>
        </w:rPr>
        <w:t>,</w:t>
      </w:r>
      <w:r w:rsidRPr="00EF5874">
        <w:t xml:space="preserve"> 2024</w:t>
      </w:r>
      <w:r>
        <w:t>), was recorded at 5.027%. Crude fat constituted 23.738% of the sample, indicating a relatively high lipid content. Dietary fats are essential for energy provision, maintenance of cell membrane integrity, and absorption of fat-soluble vitamins (</w:t>
      </w:r>
      <w:r w:rsidRPr="00EF5874">
        <w:rPr>
          <w:rFonts w:eastAsia="SimSun"/>
          <w:color w:val="222222"/>
          <w:shd w:val="clear" w:color="auto" w:fill="FFFFFF"/>
        </w:rPr>
        <w:t>Stevens, 2021</w:t>
      </w:r>
      <w:r>
        <w:rPr>
          <w:rFonts w:ascii="Arial" w:eastAsia="SimSun" w:hAnsi="Arial" w:cs="Arial"/>
          <w:color w:val="222222"/>
          <w:sz w:val="19"/>
          <w:szCs w:val="19"/>
          <w:shd w:val="clear" w:color="auto" w:fill="FFFFFF"/>
        </w:rPr>
        <w:t>)</w:t>
      </w:r>
      <w:r>
        <w:t>). Crude fibre content was 3.835%, underscoring its role in promoting digestive health and reducing the risk of constipation and certain chronic diseases (</w:t>
      </w:r>
      <w:r w:rsidRPr="00EF5874">
        <w:rPr>
          <w:rFonts w:eastAsia="SimSun"/>
          <w:color w:val="222222"/>
          <w:shd w:val="clear" w:color="auto" w:fill="FFFFFF"/>
        </w:rPr>
        <w:t>Oyegoke et al., 2024</w:t>
      </w:r>
      <w:r>
        <w:t>). Carbohydrates represented the largest proportion at 36.067%, highlighting their role as the primary energy source for metabolic processes, particularly brain and muscle activity (</w:t>
      </w:r>
      <w:r w:rsidRPr="00EF5874">
        <w:rPr>
          <w:rFonts w:eastAsia="SimSun"/>
          <w:color w:val="222222"/>
          <w:shd w:val="clear" w:color="auto" w:fill="FFFFFF"/>
        </w:rPr>
        <w:t>Arshad et al.,</w:t>
      </w:r>
      <w:r w:rsidRPr="00EF5874">
        <w:t xml:space="preserve"> 2025</w:t>
      </w:r>
      <w:r>
        <w:t>).  Phytochemical screening revealed the presence of several bioactive compounds with established health-promoting properties. Phytochemicals are naturally occurring plant metabolites known for their diverse biological activities. Hesperidin was present at the highest concentration (17.07985 ppm) and is recognized for its antioxidant, anti-inflammatory, and antiviral effects (</w:t>
      </w:r>
      <w:r w:rsidRPr="00EF5874">
        <w:rPr>
          <w:rFonts w:eastAsia="SimSun"/>
          <w:color w:val="222222"/>
          <w:shd w:val="clear" w:color="auto" w:fill="FFFFFF"/>
        </w:rPr>
        <w:t>Zhang</w:t>
      </w:r>
      <w:r w:rsidRPr="00EF5874">
        <w:t xml:space="preserve"> et al., 2024</w:t>
      </w:r>
      <w:r>
        <w:t>). Other notable compounds included gallocatechin (12.66056 ppm) and epicatechin (14.97124 ppm), both flavonoids associated with the reduction of oxidative damage and enhancement of cardiovascular health (</w:t>
      </w:r>
      <w:r w:rsidRPr="00EF5874">
        <w:t>Yang et al., 2001</w:t>
      </w:r>
      <w:r>
        <w:t>). Naringin (12.58438 ppm), a flavanone glycoside, has been reported to exhibit anti-carcinogenic and neuroprotective properties (</w:t>
      </w:r>
      <w:r w:rsidRPr="00EF5874">
        <w:t>Cirmi et al., 2016</w:t>
      </w:r>
      <w:r>
        <w:t>). The appreciable levels of these phytochemicals suggest significant therapeutic potential, particularly in the management of oxidative stress and its associated disorders.</w:t>
      </w:r>
    </w:p>
    <w:p w14:paraId="612E22BF" w14:textId="77777777" w:rsidR="00053221" w:rsidRDefault="002970B4">
      <w:pPr>
        <w:pStyle w:val="NormalWeb"/>
        <w:spacing w:before="60" w:beforeAutospacing="0" w:after="0" w:afterAutospacing="0"/>
        <w:jc w:val="both"/>
      </w:pPr>
      <w:r>
        <w:t>Antioxidants function by scavenging and neutralizing free radicals (</w:t>
      </w:r>
      <w:r w:rsidRPr="00AD6BC6">
        <w:rPr>
          <w:highlight w:val="yellow"/>
        </w:rPr>
        <w:t>Salkadi, 2020</w:t>
      </w:r>
      <w:r>
        <w:t>). Free radicals are unstable molecules generated as a result of environmental exposure and physiological stress (</w:t>
      </w:r>
      <w:r w:rsidRPr="00EF5874">
        <w:t>Chaudhary et al., 2023</w:t>
      </w:r>
      <w:r>
        <w:t>). When inadequately neutralized, they induce oxidative stress, leading to cellular damage and disruption of normal physiological functions (</w:t>
      </w:r>
      <w:r w:rsidRPr="00EF5874">
        <w:t>Pizzino et al., 2017</w:t>
      </w:r>
      <w:r>
        <w:t>).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w:t>
      </w:r>
      <w:r w:rsidRPr="00EF5874">
        <w:t>Jomova et al., 2023</w:t>
      </w:r>
      <w:r>
        <w:t>). Consequently, diets rich in antioxidants have been shown to lower the risk of chronic diseases such as cardiovascular disorders and certain cancers by mitigating oxidative damage (</w:t>
      </w:r>
      <w:r w:rsidRPr="00EF5874">
        <w:t>Ayoka et al., 2022</w:t>
      </w:r>
      <w:r>
        <w:t xml:space="preserve">). </w:t>
      </w:r>
      <w:r>
        <w:rPr>
          <w:rStyle w:val="Emphasis"/>
        </w:rPr>
        <w:t>Eupatorium odoratum</w:t>
      </w:r>
      <w:r>
        <w:t>, has a long history of use in traditional medicine, and recent investigations have confirmed its notable antioxidant potential (</w:t>
      </w:r>
      <w:r w:rsidRPr="00EF5874">
        <w:t>Tiamiyu &amp; Okunlade, 2020</w:t>
      </w:r>
      <w:r>
        <w:t>).</w:t>
      </w:r>
    </w:p>
    <w:p w14:paraId="41F7D6D3" w14:textId="77777777" w:rsidR="00053221" w:rsidRDefault="002970B4">
      <w:pPr>
        <w:pStyle w:val="NormalWeb"/>
        <w:spacing w:before="60" w:beforeAutospacing="0" w:afterAutospacing="0"/>
        <w:jc w:val="both"/>
      </w:pPr>
      <w:r>
        <w:t xml:space="preserve">The antioxidant assays conducted in this study revealed that </w:t>
      </w:r>
      <w:r>
        <w:rPr>
          <w:rStyle w:val="Emphasis"/>
        </w:rPr>
        <w:t>E. odoratum</w:t>
      </w:r>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Emphasis"/>
        </w:rPr>
        <w:t>E. odoratum</w:t>
      </w:r>
      <w:r>
        <w:t xml:space="preserve"> is less potent than standard reference antioxidants, it nonetheless possesses considerable natural antioxidant activity, especially when applied at higher concentrations. Comparable findings have been reported in earlier studies, which noted that </w:t>
      </w:r>
      <w:r>
        <w:rPr>
          <w:rStyle w:val="Emphasis"/>
        </w:rPr>
        <w:t>E. odoratum</w:t>
      </w:r>
      <w:r>
        <w:t xml:space="preserve"> exhibits antioxidant effects but is generally less effective than gallic acid (</w:t>
      </w:r>
      <w:r w:rsidRPr="00AD6BC6">
        <w:rPr>
          <w:rFonts w:eastAsia="SimSun"/>
          <w:color w:val="222222"/>
          <w:highlight w:val="yellow"/>
          <w:shd w:val="clear" w:color="auto" w:fill="FFFFFF"/>
        </w:rPr>
        <w:t>Razzivina et al</w:t>
      </w:r>
      <w:r w:rsidRPr="00AD6BC6">
        <w:rPr>
          <w:rFonts w:ascii="Arial" w:eastAsia="SimSun" w:hAnsi="Arial" w:cs="Arial"/>
          <w:color w:val="222222"/>
          <w:sz w:val="19"/>
          <w:szCs w:val="19"/>
          <w:highlight w:val="yellow"/>
          <w:shd w:val="clear" w:color="auto" w:fill="FFFFFF"/>
        </w:rPr>
        <w:t>.</w:t>
      </w:r>
      <w:r w:rsidRPr="00AD6BC6">
        <w:rPr>
          <w:highlight w:val="yellow"/>
        </w:rPr>
        <w:t>, 2024</w:t>
      </w:r>
      <w:r>
        <w:t>), and that synthetic antioxidants such as BHT often outperform natural plant extracts. The observed dose-dependent FRAP response is also consistent with reports on other naturally derived compounds.</w:t>
      </w:r>
    </w:p>
    <w:p w14:paraId="5BF92388" w14:textId="77777777" w:rsidR="00053221" w:rsidRDefault="002970B4">
      <w:pPr>
        <w:pStyle w:val="NormalWeb"/>
        <w:jc w:val="both"/>
      </w:pPr>
      <w:r>
        <w:t xml:space="preserve">This study provides meaningful insight into the nutritional composition, phytochemical profile, and antioxidant properties of </w:t>
      </w:r>
      <w:r>
        <w:rPr>
          <w:rStyle w:val="Emphasis"/>
        </w:rPr>
        <w:t>Eupatorium odoratum</w:t>
      </w:r>
      <w:r>
        <w:t xml:space="preserve">. The findings support its potential application as a natural antioxidant source while </w:t>
      </w:r>
      <w:r>
        <w:lastRenderedPageBreak/>
        <w:t>underscoring the importance of comparative evaluations between natural extracts and synthetic antioxidants in determining efficacy.</w:t>
      </w:r>
    </w:p>
    <w:p w14:paraId="7FD51229" w14:textId="1367D265" w:rsidR="00053221" w:rsidRDefault="00FE2732">
      <w:pPr>
        <w:pStyle w:val="NormalWeb"/>
        <w:jc w:val="both"/>
        <w:rPr>
          <w:b/>
          <w:bCs/>
        </w:rPr>
      </w:pPr>
      <w:r>
        <w:rPr>
          <w:b/>
          <w:color w:val="000000" w:themeColor="text1"/>
          <w:highlight w:val="yellow"/>
        </w:rPr>
        <w:t>6.</w:t>
      </w:r>
      <w:r>
        <w:rPr>
          <w:b/>
          <w:color w:val="000000" w:themeColor="text1"/>
        </w:rPr>
        <w:t xml:space="preserve"> </w:t>
      </w:r>
      <w:r w:rsidR="002970B4">
        <w:rPr>
          <w:b/>
          <w:bCs/>
        </w:rPr>
        <w:t>Conclusion</w:t>
      </w:r>
    </w:p>
    <w:p w14:paraId="2C26B578" w14:textId="77777777" w:rsidR="00053221" w:rsidRDefault="002970B4">
      <w:pPr>
        <w:pStyle w:val="NormalWeb"/>
        <w:jc w:val="both"/>
      </w:pPr>
      <w:r>
        <w:rPr>
          <w:rStyle w:val="Emphasis"/>
          <w:rFonts w:eastAsia="SimSun"/>
        </w:rPr>
        <w:t>Eupatorium odoratum</w:t>
      </w:r>
      <w:r>
        <w:rPr>
          <w:rFonts w:eastAsia="SimSun"/>
        </w:rPr>
        <w:t xml:space="preserve"> demonstrates significant nutritional and antioxidant potential, characterized by high carbohydrate and crude fat contents, moderate protein levels, low moisture. The plant contains important bioactive phytochemicals, notably hesperidin, gallocatechin, epicatechin, and naringin, which are associated with antioxidant and health-protective effects. Antioxidant assays confirmed its ability to scavenge multiple free radicals in a concentration-dependent manner, although its activity was lower than standard antioxidants. The findings support the plant’s traditional medicinal use and highlight its potential as a natural source of antioxidants.</w:t>
      </w:r>
    </w:p>
    <w:p w14:paraId="640C78C2" w14:textId="2CD2CC7B" w:rsidR="00053221" w:rsidRDefault="00FE2732">
      <w:pPr>
        <w:adjustRightInd w:val="0"/>
        <w:ind w:left="442" w:hangingChars="200" w:hanging="442"/>
        <w:jc w:val="both"/>
      </w:pPr>
      <w:r>
        <w:rPr>
          <w:b/>
          <w:color w:val="000000" w:themeColor="text1"/>
          <w:highlight w:val="yellow"/>
        </w:rPr>
        <w:t>7.</w:t>
      </w:r>
      <w:r>
        <w:rPr>
          <w:b/>
          <w:color w:val="000000" w:themeColor="text1"/>
        </w:rPr>
        <w:t xml:space="preserve"> </w:t>
      </w:r>
      <w:r w:rsidR="002970B4">
        <w:rPr>
          <w:rFonts w:ascii="Times New Roman" w:hAnsi="Times New Roman" w:cs="Times New Roman"/>
          <w:b/>
          <w:bCs/>
          <w:sz w:val="24"/>
          <w:szCs w:val="24"/>
        </w:rPr>
        <w:t>References</w:t>
      </w:r>
    </w:p>
    <w:p w14:paraId="4D81A535" w14:textId="2E173C4E" w:rsidR="00053221" w:rsidRPr="00855D7D" w:rsidRDefault="0060023B"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Ali-</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&amp; Vijayaraghavan, K. (2019). Nutraceuticals for wound healing: a special focus on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as guardian of health with broad spectrum of biological activities. In R. C. Gupta, A. Srivastava, &amp; R. </w:t>
      </w:r>
      <w:proofErr w:type="spellStart"/>
      <w:r w:rsidRPr="00855D7D">
        <w:rPr>
          <w:rFonts w:ascii="Times New Roman" w:eastAsia="SimSun" w:hAnsi="Times New Roman" w:cs="Times New Roman"/>
          <w:color w:val="222222"/>
          <w:sz w:val="24"/>
          <w:szCs w:val="24"/>
          <w:shd w:val="clear" w:color="auto" w:fill="FFFFFF"/>
        </w:rPr>
        <w:t>Lall</w:t>
      </w:r>
      <w:proofErr w:type="spellEnd"/>
      <w:r w:rsidRPr="00855D7D">
        <w:rPr>
          <w:rFonts w:ascii="Times New Roman" w:eastAsia="SimSun" w:hAnsi="Times New Roman" w:cs="Times New Roman"/>
          <w:color w:val="222222"/>
          <w:sz w:val="24"/>
          <w:szCs w:val="24"/>
          <w:shd w:val="clear" w:color="auto" w:fill="FFFFFF"/>
        </w:rPr>
        <w:t xml:space="preserve"> (Eds.), Nutraceuticals in Veterinary Medicine (pp. 541-562). Springer International Publishing. </w:t>
      </w:r>
      <w:hyperlink r:id="rId14" w:history="1">
        <w:r w:rsidRPr="00855D7D">
          <w:rPr>
            <w:rStyle w:val="Hyperlink"/>
            <w:rFonts w:ascii="Times New Roman" w:eastAsia="SimSun" w:hAnsi="Times New Roman" w:cs="Times New Roman"/>
            <w:sz w:val="24"/>
            <w:szCs w:val="24"/>
            <w:shd w:val="clear" w:color="auto" w:fill="FFFFFF"/>
          </w:rPr>
          <w:t>https://doi.org/10.1007/978-3-030-04624-8_36</w:t>
        </w:r>
      </w:hyperlink>
      <w:r w:rsidRPr="00855D7D">
        <w:rPr>
          <w:rFonts w:ascii="Times New Roman" w:eastAsia="SimSun" w:hAnsi="Times New Roman" w:cs="Times New Roman"/>
          <w:color w:val="222222"/>
          <w:sz w:val="24"/>
          <w:szCs w:val="24"/>
          <w:shd w:val="clear" w:color="auto" w:fill="FFFFFF"/>
        </w:rPr>
        <w:t xml:space="preserve"> </w:t>
      </w:r>
    </w:p>
    <w:p w14:paraId="01ABD054" w14:textId="5EC01019" w:rsidR="00053221" w:rsidRPr="006F575B" w:rsidRDefault="006A59E4" w:rsidP="00855D7D">
      <w:pPr>
        <w:pStyle w:val="NormalWeb"/>
        <w:shd w:val="clear" w:color="auto" w:fill="FFFFFF"/>
        <w:adjustRightInd w:val="0"/>
        <w:spacing w:before="0" w:beforeAutospacing="0" w:after="0" w:afterAutospacing="0"/>
        <w:jc w:val="both"/>
        <w:rPr>
          <w:rFonts w:eastAsiaTheme="minorHAnsi"/>
          <w:color w:val="000000" w:themeColor="text1"/>
          <w:highlight w:val="yellow"/>
        </w:rPr>
      </w:pPr>
      <w:proofErr w:type="spellStart"/>
      <w:r w:rsidRPr="006F575B">
        <w:rPr>
          <w:rFonts w:eastAsia="SimSun"/>
          <w:color w:val="222222"/>
          <w:highlight w:val="yellow"/>
          <w:shd w:val="clear" w:color="auto" w:fill="FFFFFF"/>
        </w:rPr>
        <w:t>Alkadi</w:t>
      </w:r>
      <w:proofErr w:type="spellEnd"/>
      <w:r w:rsidRPr="006F575B">
        <w:rPr>
          <w:rFonts w:eastAsia="SimSun"/>
          <w:color w:val="222222"/>
          <w:highlight w:val="yellow"/>
          <w:shd w:val="clear" w:color="auto" w:fill="FFFFFF"/>
        </w:rPr>
        <w:t xml:space="preserve">, H. (2020). A review on free radicals and antioxidants. Infectious Disorders-Drug Targets, 20(1), 16-26. </w:t>
      </w:r>
      <w:hyperlink r:id="rId15" w:history="1">
        <w:r w:rsidRPr="006F575B">
          <w:rPr>
            <w:rStyle w:val="Hyperlink"/>
            <w:rFonts w:eastAsia="SimSun"/>
            <w:highlight w:val="yellow"/>
            <w:shd w:val="clear" w:color="auto" w:fill="FFFFFF"/>
          </w:rPr>
          <w:t>https://doi.org/10.2174/1871526518666180628124323</w:t>
        </w:r>
      </w:hyperlink>
      <w:r w:rsidRPr="006F575B">
        <w:rPr>
          <w:rFonts w:eastAsia="SimSun"/>
          <w:color w:val="222222"/>
          <w:highlight w:val="yellow"/>
          <w:shd w:val="clear" w:color="auto" w:fill="FFFFFF"/>
        </w:rPr>
        <w:t xml:space="preserve"> </w:t>
      </w:r>
    </w:p>
    <w:p w14:paraId="3763D379" w14:textId="04C0F3D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6F575B">
        <w:rPr>
          <w:rFonts w:ascii="Times New Roman" w:eastAsia="SimSun" w:hAnsi="Times New Roman" w:cs="Times New Roman"/>
          <w:color w:val="222222"/>
          <w:sz w:val="24"/>
          <w:szCs w:val="24"/>
          <w:highlight w:val="yellow"/>
          <w:shd w:val="clear" w:color="auto" w:fill="FFFFFF"/>
        </w:rPr>
        <w:t>AOAC International. (1990). *Official methods of analysis* (15th ed.). Arlington, VA: Author</w:t>
      </w:r>
      <w:r w:rsidRPr="00855D7D">
        <w:rPr>
          <w:rFonts w:ascii="Times New Roman" w:eastAsia="SimSun" w:hAnsi="Times New Roman" w:cs="Times New Roman"/>
          <w:color w:val="222222"/>
          <w:sz w:val="24"/>
          <w:szCs w:val="24"/>
          <w:shd w:val="clear" w:color="auto" w:fill="FFFFFF"/>
        </w:rPr>
        <w:t xml:space="preserve">. </w:t>
      </w:r>
    </w:p>
    <w:p w14:paraId="0BB4A234" w14:textId="2E8F13A1"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Arshad, M. T., Maqsood, S., </w:t>
      </w:r>
      <w:proofErr w:type="spellStart"/>
      <w:r w:rsidRPr="00855D7D">
        <w:rPr>
          <w:rFonts w:ascii="Times New Roman" w:eastAsia="SimSun" w:hAnsi="Times New Roman" w:cs="Times New Roman"/>
          <w:color w:val="222222"/>
          <w:sz w:val="24"/>
          <w:szCs w:val="24"/>
          <w:shd w:val="clear" w:color="auto" w:fill="FFFFFF"/>
        </w:rPr>
        <w:t>Altalhi</w:t>
      </w:r>
      <w:proofErr w:type="spellEnd"/>
      <w:r w:rsidRPr="00855D7D">
        <w:rPr>
          <w:rFonts w:ascii="Times New Roman" w:eastAsia="SimSun" w:hAnsi="Times New Roman" w:cs="Times New Roman"/>
          <w:color w:val="222222"/>
          <w:sz w:val="24"/>
          <w:szCs w:val="24"/>
          <w:shd w:val="clear" w:color="auto" w:fill="FFFFFF"/>
        </w:rPr>
        <w:t xml:space="preserve">, R., </w:t>
      </w:r>
      <w:proofErr w:type="spellStart"/>
      <w:r w:rsidRPr="00855D7D">
        <w:rPr>
          <w:rFonts w:ascii="Times New Roman" w:eastAsia="SimSun" w:hAnsi="Times New Roman" w:cs="Times New Roman"/>
          <w:color w:val="222222"/>
          <w:sz w:val="24"/>
          <w:szCs w:val="24"/>
          <w:shd w:val="clear" w:color="auto" w:fill="FFFFFF"/>
        </w:rPr>
        <w:t>Shamlan</w:t>
      </w:r>
      <w:proofErr w:type="spellEnd"/>
      <w:r w:rsidRPr="00855D7D">
        <w:rPr>
          <w:rFonts w:ascii="Times New Roman" w:eastAsia="SimSun" w:hAnsi="Times New Roman" w:cs="Times New Roman"/>
          <w:color w:val="222222"/>
          <w:sz w:val="24"/>
          <w:szCs w:val="24"/>
          <w:shd w:val="clear" w:color="auto" w:fill="FFFFFF"/>
        </w:rPr>
        <w:t xml:space="preserve">, G., Mohamed Ahmed, I. A., Ikram, A., &amp; Abdullahi, M. A. (2025). Role of Dietary Carbohydrates in Cognitive Function: A Review. Food Science &amp; Nutrition, 13(7), e70516. </w:t>
      </w:r>
      <w:hyperlink r:id="rId16" w:history="1">
        <w:r w:rsidRPr="00855D7D">
          <w:rPr>
            <w:rStyle w:val="Hyperlink"/>
            <w:rFonts w:ascii="Times New Roman" w:eastAsia="SimSun" w:hAnsi="Times New Roman" w:cs="Times New Roman"/>
            <w:sz w:val="24"/>
            <w:szCs w:val="24"/>
            <w:shd w:val="clear" w:color="auto" w:fill="FFFFFF"/>
          </w:rPr>
          <w:t>https://doi.org/10.1002/fsn3.70516</w:t>
        </w:r>
      </w:hyperlink>
      <w:r w:rsidRPr="00855D7D">
        <w:rPr>
          <w:rFonts w:ascii="Times New Roman" w:eastAsia="SimSun" w:hAnsi="Times New Roman" w:cs="Times New Roman"/>
          <w:color w:val="222222"/>
          <w:sz w:val="24"/>
          <w:szCs w:val="24"/>
          <w:shd w:val="clear" w:color="auto" w:fill="FFFFFF"/>
        </w:rPr>
        <w:t xml:space="preserve"> </w:t>
      </w:r>
    </w:p>
    <w:p w14:paraId="2BBF55D2" w14:textId="4B3C3CB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Ayoka, T. O., Ezema, B. O., Eze, C. N., &amp; Nnadi, C. O. (2022). Antioxidants for the Prevention and Treatment of Non-communicable Diseases. Journal of Exploratory Research in Pharmacology, 7(3), 179-189. </w:t>
      </w:r>
      <w:hyperlink r:id="rId17" w:history="1">
        <w:r w:rsidRPr="00855D7D">
          <w:rPr>
            <w:rStyle w:val="Hyperlink"/>
            <w:rFonts w:ascii="Times New Roman" w:eastAsia="SimSun" w:hAnsi="Times New Roman" w:cs="Times New Roman"/>
            <w:sz w:val="24"/>
            <w:szCs w:val="24"/>
            <w:shd w:val="clear" w:color="auto" w:fill="FFFFFF"/>
            <w:lang w:val="es-US"/>
          </w:rPr>
          <w:t>https://doi.org/10.14218/JERP.2022.00028</w:t>
        </w:r>
      </w:hyperlink>
      <w:r w:rsidRPr="00855D7D">
        <w:rPr>
          <w:rFonts w:ascii="Times New Roman" w:eastAsia="SimSun" w:hAnsi="Times New Roman" w:cs="Times New Roman"/>
          <w:color w:val="222222"/>
          <w:sz w:val="24"/>
          <w:szCs w:val="24"/>
          <w:shd w:val="clear" w:color="auto" w:fill="FFFFFF"/>
          <w:lang w:val="es-US"/>
        </w:rPr>
        <w:t xml:space="preserve"> </w:t>
      </w:r>
    </w:p>
    <w:p w14:paraId="664C2437" w14:textId="22BED299"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Chaudhary, P., Janmeda, P., Docea, A. O., Yeskaliyeva, B., Abdull Razis, A. F., Modu, B., Calina, D., &amp; Sharifi-Rad, J. (2023). Oxidative stress, free radicals and antioxidants: potential crosstalk in the pathophysiology of human diseases. Frontiers in Chemistry, 11, 1158198. </w:t>
      </w:r>
      <w:hyperlink r:id="rId18" w:history="1">
        <w:r w:rsidRPr="00855D7D">
          <w:rPr>
            <w:rStyle w:val="Hyperlink"/>
            <w:rFonts w:ascii="Times New Roman" w:eastAsia="SimSun" w:hAnsi="Times New Roman" w:cs="Times New Roman"/>
            <w:sz w:val="24"/>
            <w:szCs w:val="24"/>
            <w:shd w:val="clear" w:color="auto" w:fill="FFFFFF"/>
          </w:rPr>
          <w:t>https://doi.org/10.3389/fchem.2023.1158198</w:t>
        </w:r>
      </w:hyperlink>
      <w:r w:rsidRPr="00855D7D">
        <w:rPr>
          <w:rFonts w:ascii="Times New Roman" w:eastAsia="SimSun" w:hAnsi="Times New Roman" w:cs="Times New Roman"/>
          <w:color w:val="222222"/>
          <w:sz w:val="24"/>
          <w:szCs w:val="24"/>
          <w:shd w:val="clear" w:color="auto" w:fill="FFFFFF"/>
        </w:rPr>
        <w:t xml:space="preserve"> </w:t>
      </w:r>
    </w:p>
    <w:p w14:paraId="12164466" w14:textId="237C072A"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Chen, Y. C., Hsu, Y. C., &amp; Wang, C. T. (2018). Effects of storage environment on the moisture content and microbial growth of food waste. Journal of Environmental Management, 214, 192-196. </w:t>
      </w:r>
      <w:hyperlink r:id="rId19" w:history="1">
        <w:r w:rsidRPr="00855D7D">
          <w:rPr>
            <w:rStyle w:val="Hyperlink"/>
            <w:rFonts w:ascii="Times New Roman" w:eastAsia="SimSun" w:hAnsi="Times New Roman" w:cs="Times New Roman"/>
            <w:sz w:val="24"/>
            <w:szCs w:val="24"/>
            <w:shd w:val="clear" w:color="auto" w:fill="FFFFFF"/>
          </w:rPr>
          <w:t>https://doi.org/10.1016/j.jenvman.2018.03.009</w:t>
        </w:r>
      </w:hyperlink>
      <w:r w:rsidRPr="00855D7D">
        <w:rPr>
          <w:rFonts w:ascii="Times New Roman" w:eastAsia="SimSun" w:hAnsi="Times New Roman" w:cs="Times New Roman"/>
          <w:color w:val="222222"/>
          <w:sz w:val="24"/>
          <w:szCs w:val="24"/>
          <w:shd w:val="clear" w:color="auto" w:fill="FFFFFF"/>
        </w:rPr>
        <w:t xml:space="preserve"> </w:t>
      </w:r>
    </w:p>
    <w:p w14:paraId="7B4ABE8A" w14:textId="3B81BFFC"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r w:rsidRPr="006A59E4">
        <w:rPr>
          <w:rFonts w:eastAsiaTheme="minorHAnsi"/>
          <w:color w:val="000000" w:themeColor="text1"/>
        </w:rPr>
        <w:t xml:space="preserve">Cirmi, S., Ferlazzo, N., Lombardo, G. E., Maugeri, A., Calapai, G., Gangemi, S., &amp; Navarra, M. (2016). Neurodegenerative diseases: Might citrus flavonoids play a protective role? Molecules, 21(10), 1312. </w:t>
      </w:r>
      <w:hyperlink r:id="rId20" w:history="1">
        <w:r w:rsidRPr="00971DF7">
          <w:rPr>
            <w:rStyle w:val="Hyperlink"/>
            <w:rFonts w:eastAsiaTheme="minorHAnsi"/>
          </w:rPr>
          <w:t>https://doi.org/10.3390/molecules21101312</w:t>
        </w:r>
      </w:hyperlink>
      <w:r>
        <w:rPr>
          <w:rFonts w:eastAsiaTheme="minorHAnsi"/>
          <w:color w:val="000000" w:themeColor="text1"/>
        </w:rPr>
        <w:t xml:space="preserve"> </w:t>
      </w:r>
    </w:p>
    <w:p w14:paraId="7D7CAAE4" w14:textId="6B0DD06D"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lastRenderedPageBreak/>
        <w:t xml:space="preserve">Dar, R. A., Shahnawaz, M., Ahanger, M. A., &amp; Majid, I. U. (2023). Exploring the diverse bioactive compounds from medicinal plants: a review. Journal of Phytopharmacology, 12(3), 189-195. </w:t>
      </w:r>
      <w:hyperlink r:id="rId21" w:history="1">
        <w:r w:rsidRPr="00855D7D">
          <w:rPr>
            <w:rStyle w:val="Hyperlink"/>
            <w:rFonts w:ascii="Times New Roman" w:eastAsia="SimSun" w:hAnsi="Times New Roman" w:cs="Times New Roman"/>
            <w:sz w:val="24"/>
            <w:szCs w:val="24"/>
            <w:shd w:val="clear" w:color="auto" w:fill="FFFFFF"/>
          </w:rPr>
          <w:t>https://doi.org/10.31254/phyto.2023.12307</w:t>
        </w:r>
      </w:hyperlink>
      <w:r w:rsidRPr="00855D7D">
        <w:rPr>
          <w:rFonts w:ascii="Times New Roman" w:eastAsia="SimSun" w:hAnsi="Times New Roman" w:cs="Times New Roman"/>
          <w:color w:val="222222"/>
          <w:sz w:val="24"/>
          <w:szCs w:val="24"/>
          <w:shd w:val="clear" w:color="auto" w:fill="FFFFFF"/>
        </w:rPr>
        <w:t xml:space="preserve"> </w:t>
      </w:r>
    </w:p>
    <w:p w14:paraId="32B4E949" w14:textId="19F01774"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Garuba, T., Mustapha, O. T., &amp; </w:t>
      </w:r>
      <w:proofErr w:type="spellStart"/>
      <w:r w:rsidRPr="00855D7D">
        <w:rPr>
          <w:rFonts w:ascii="Times New Roman" w:eastAsia="SimSun" w:hAnsi="Times New Roman" w:cs="Times New Roman"/>
          <w:color w:val="222222"/>
          <w:sz w:val="24"/>
          <w:szCs w:val="24"/>
          <w:shd w:val="clear" w:color="auto" w:fill="FFFFFF"/>
        </w:rPr>
        <w:t>Oyeyiola</w:t>
      </w:r>
      <w:proofErr w:type="spellEnd"/>
      <w:r w:rsidRPr="00855D7D">
        <w:rPr>
          <w:rFonts w:ascii="Times New Roman" w:eastAsia="SimSun" w:hAnsi="Times New Roman" w:cs="Times New Roman"/>
          <w:color w:val="222222"/>
          <w:sz w:val="24"/>
          <w:szCs w:val="24"/>
          <w:shd w:val="clear" w:color="auto" w:fill="FFFFFF"/>
        </w:rPr>
        <w:t>, G. P. (2018). Shelf life and proximate composition of tomato (</w:t>
      </w:r>
      <w:proofErr w:type="spellStart"/>
      <w:r w:rsidRPr="00855D7D">
        <w:rPr>
          <w:rFonts w:ascii="Times New Roman" w:eastAsia="SimSun" w:hAnsi="Times New Roman" w:cs="Times New Roman"/>
          <w:color w:val="222222"/>
          <w:sz w:val="24"/>
          <w:szCs w:val="24"/>
          <w:shd w:val="clear" w:color="auto" w:fill="FFFFFF"/>
        </w:rPr>
        <w:t>Solanum</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lycopersicum</w:t>
      </w:r>
      <w:proofErr w:type="spellEnd"/>
      <w:r w:rsidRPr="00855D7D">
        <w:rPr>
          <w:rFonts w:ascii="Times New Roman" w:eastAsia="SimSun" w:hAnsi="Times New Roman" w:cs="Times New Roman"/>
          <w:color w:val="222222"/>
          <w:sz w:val="24"/>
          <w:szCs w:val="24"/>
          <w:shd w:val="clear" w:color="auto" w:fill="FFFFFF"/>
        </w:rPr>
        <w:t xml:space="preserve"> L.) fruits as influenced by storage methods. Ceylon Journal of Science, 47(4). </w:t>
      </w:r>
      <w:hyperlink r:id="rId22" w:history="1">
        <w:r w:rsidRPr="00855D7D">
          <w:rPr>
            <w:rStyle w:val="Hyperlink"/>
            <w:rFonts w:ascii="Times New Roman" w:eastAsia="SimSun" w:hAnsi="Times New Roman" w:cs="Times New Roman"/>
            <w:sz w:val="24"/>
            <w:szCs w:val="24"/>
            <w:shd w:val="clear" w:color="auto" w:fill="FFFFFF"/>
          </w:rPr>
          <w:t>https://doi.org/10.4038/cjs.v47i4.7557</w:t>
        </w:r>
      </w:hyperlink>
      <w:r w:rsidRPr="00855D7D">
        <w:rPr>
          <w:rFonts w:ascii="Times New Roman" w:eastAsia="SimSun" w:hAnsi="Times New Roman" w:cs="Times New Roman"/>
          <w:color w:val="222222"/>
          <w:sz w:val="24"/>
          <w:szCs w:val="24"/>
          <w:shd w:val="clear" w:color="auto" w:fill="FFFFFF"/>
        </w:rPr>
        <w:t xml:space="preserve"> </w:t>
      </w:r>
    </w:p>
    <w:p w14:paraId="6166641E" w14:textId="1F6730EF"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Jomova</w:t>
      </w:r>
      <w:proofErr w:type="spellEnd"/>
      <w:r w:rsidRPr="00855D7D">
        <w:rPr>
          <w:rFonts w:ascii="Times New Roman" w:eastAsia="SimSun" w:hAnsi="Times New Roman" w:cs="Times New Roman"/>
          <w:color w:val="222222"/>
          <w:sz w:val="24"/>
          <w:szCs w:val="24"/>
          <w:shd w:val="clear" w:color="auto" w:fill="FFFFFF"/>
        </w:rPr>
        <w:t xml:space="preserve">, K., </w:t>
      </w:r>
      <w:proofErr w:type="spellStart"/>
      <w:r w:rsidRPr="00855D7D">
        <w:rPr>
          <w:rFonts w:ascii="Times New Roman" w:eastAsia="SimSun" w:hAnsi="Times New Roman" w:cs="Times New Roman"/>
          <w:color w:val="222222"/>
          <w:sz w:val="24"/>
          <w:szCs w:val="24"/>
          <w:shd w:val="clear" w:color="auto" w:fill="FFFFFF"/>
        </w:rPr>
        <w:t>Raptova</w:t>
      </w:r>
      <w:proofErr w:type="spellEnd"/>
      <w:r w:rsidRPr="00855D7D">
        <w:rPr>
          <w:rFonts w:ascii="Times New Roman" w:eastAsia="SimSun" w:hAnsi="Times New Roman" w:cs="Times New Roman"/>
          <w:color w:val="222222"/>
          <w:sz w:val="24"/>
          <w:szCs w:val="24"/>
          <w:shd w:val="clear" w:color="auto" w:fill="FFFFFF"/>
        </w:rPr>
        <w:t xml:space="preserve">, R., Alomar, S. Y., </w:t>
      </w:r>
      <w:proofErr w:type="spellStart"/>
      <w:r w:rsidRPr="00855D7D">
        <w:rPr>
          <w:rFonts w:ascii="Times New Roman" w:eastAsia="SimSun" w:hAnsi="Times New Roman" w:cs="Times New Roman"/>
          <w:color w:val="222222"/>
          <w:sz w:val="24"/>
          <w:szCs w:val="24"/>
          <w:shd w:val="clear" w:color="auto" w:fill="FFFFFF"/>
        </w:rPr>
        <w:t>Alwasel</w:t>
      </w:r>
      <w:proofErr w:type="spellEnd"/>
      <w:r w:rsidRPr="00855D7D">
        <w:rPr>
          <w:rFonts w:ascii="Times New Roman" w:eastAsia="SimSun" w:hAnsi="Times New Roman" w:cs="Times New Roman"/>
          <w:color w:val="222222"/>
          <w:sz w:val="24"/>
          <w:szCs w:val="24"/>
          <w:shd w:val="clear" w:color="auto" w:fill="FFFFFF"/>
        </w:rPr>
        <w:t xml:space="preserve">, S. H., </w:t>
      </w:r>
      <w:proofErr w:type="spellStart"/>
      <w:r w:rsidRPr="00855D7D">
        <w:rPr>
          <w:rFonts w:ascii="Times New Roman" w:eastAsia="SimSun" w:hAnsi="Times New Roman" w:cs="Times New Roman"/>
          <w:color w:val="222222"/>
          <w:sz w:val="24"/>
          <w:szCs w:val="24"/>
          <w:shd w:val="clear" w:color="auto" w:fill="FFFFFF"/>
        </w:rPr>
        <w:t>Nepovimova</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Kuca</w:t>
      </w:r>
      <w:proofErr w:type="spellEnd"/>
      <w:r w:rsidRPr="00855D7D">
        <w:rPr>
          <w:rFonts w:ascii="Times New Roman" w:eastAsia="SimSun" w:hAnsi="Times New Roman" w:cs="Times New Roman"/>
          <w:color w:val="222222"/>
          <w:sz w:val="24"/>
          <w:szCs w:val="24"/>
          <w:shd w:val="clear" w:color="auto" w:fill="FFFFFF"/>
        </w:rPr>
        <w:t xml:space="preserve">, K., &amp; </w:t>
      </w:r>
      <w:proofErr w:type="spellStart"/>
      <w:r w:rsidRPr="00855D7D">
        <w:rPr>
          <w:rFonts w:ascii="Times New Roman" w:eastAsia="SimSun" w:hAnsi="Times New Roman" w:cs="Times New Roman"/>
          <w:color w:val="222222"/>
          <w:sz w:val="24"/>
          <w:szCs w:val="24"/>
          <w:shd w:val="clear" w:color="auto" w:fill="FFFFFF"/>
        </w:rPr>
        <w:t>Valko</w:t>
      </w:r>
      <w:proofErr w:type="spellEnd"/>
      <w:r w:rsidRPr="00855D7D">
        <w:rPr>
          <w:rFonts w:ascii="Times New Roman" w:eastAsia="SimSun" w:hAnsi="Times New Roman" w:cs="Times New Roman"/>
          <w:color w:val="222222"/>
          <w:sz w:val="24"/>
          <w:szCs w:val="24"/>
          <w:shd w:val="clear" w:color="auto" w:fill="FFFFFF"/>
        </w:rPr>
        <w:t xml:space="preserve">, M. (2023). Reactive oxygen species, toxicity, oxidative stress, and antioxidants: chronic diseases and aging. Archives of Toxicology, 97(10), 2499-2574. </w:t>
      </w:r>
      <w:hyperlink r:id="rId23" w:history="1">
        <w:r w:rsidRPr="00855D7D">
          <w:rPr>
            <w:rStyle w:val="Hyperlink"/>
            <w:rFonts w:ascii="Times New Roman" w:eastAsia="SimSun" w:hAnsi="Times New Roman" w:cs="Times New Roman"/>
            <w:sz w:val="24"/>
            <w:szCs w:val="24"/>
            <w:shd w:val="clear" w:color="auto" w:fill="FFFFFF"/>
          </w:rPr>
          <w:t>https://doi.org/10.1007/s00204-023-03562-9</w:t>
        </w:r>
      </w:hyperlink>
      <w:r w:rsidRPr="00855D7D">
        <w:rPr>
          <w:rFonts w:ascii="Times New Roman" w:eastAsia="SimSun" w:hAnsi="Times New Roman" w:cs="Times New Roman"/>
          <w:color w:val="222222"/>
          <w:sz w:val="24"/>
          <w:szCs w:val="24"/>
          <w:shd w:val="clear" w:color="auto" w:fill="FFFFFF"/>
        </w:rPr>
        <w:t xml:space="preserve"> </w:t>
      </w:r>
    </w:p>
    <w:p w14:paraId="301BC17E" w14:textId="2C28DF4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Kelly, B., &amp; Pearce, E. L. (2020). Amino Assets: How Amino Acids Support Immunity. Cell Metabolism, 32(2), 154-175. </w:t>
      </w:r>
      <w:hyperlink r:id="rId24" w:history="1">
        <w:r w:rsidRPr="00855D7D">
          <w:rPr>
            <w:rStyle w:val="Hyperlink"/>
            <w:rFonts w:ascii="Times New Roman" w:eastAsia="SimSun" w:hAnsi="Times New Roman" w:cs="Times New Roman"/>
            <w:sz w:val="24"/>
            <w:szCs w:val="24"/>
            <w:shd w:val="clear" w:color="auto" w:fill="FFFFFF"/>
          </w:rPr>
          <w:t>https://doi.org/10.1016/j.cmet.2020.06.010</w:t>
        </w:r>
      </w:hyperlink>
      <w:r w:rsidRPr="00855D7D">
        <w:rPr>
          <w:rFonts w:ascii="Times New Roman" w:eastAsia="SimSun" w:hAnsi="Times New Roman" w:cs="Times New Roman"/>
          <w:color w:val="222222"/>
          <w:sz w:val="24"/>
          <w:szCs w:val="24"/>
          <w:shd w:val="clear" w:color="auto" w:fill="FFFFFF"/>
        </w:rPr>
        <w:t xml:space="preserve"> </w:t>
      </w:r>
    </w:p>
    <w:p w14:paraId="33DADC83" w14:textId="2EEEFE96"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Li, Y. O., &amp; Komarek, A. R. (2017). Dietary </w:t>
      </w:r>
      <w:proofErr w:type="spellStart"/>
      <w:r w:rsidRPr="00855D7D">
        <w:rPr>
          <w:rFonts w:ascii="Times New Roman" w:eastAsia="SimSun" w:hAnsi="Times New Roman" w:cs="Times New Roman"/>
          <w:color w:val="222222"/>
          <w:sz w:val="24"/>
          <w:szCs w:val="24"/>
          <w:shd w:val="clear" w:color="auto" w:fill="FFFFFF"/>
        </w:rPr>
        <w:t>fibre</w:t>
      </w:r>
      <w:proofErr w:type="spellEnd"/>
      <w:r w:rsidRPr="00855D7D">
        <w:rPr>
          <w:rFonts w:ascii="Times New Roman" w:eastAsia="SimSun" w:hAnsi="Times New Roman" w:cs="Times New Roman"/>
          <w:color w:val="222222"/>
          <w:sz w:val="24"/>
          <w:szCs w:val="24"/>
          <w:shd w:val="clear" w:color="auto" w:fill="FFFFFF"/>
        </w:rPr>
        <w:t xml:space="preserve"> basics: Health, nutrition, analysis, and applications. Food Quality and Safety. </w:t>
      </w:r>
      <w:hyperlink r:id="rId25" w:history="1">
        <w:r w:rsidRPr="00855D7D">
          <w:rPr>
            <w:rStyle w:val="Hyperlink"/>
            <w:rFonts w:ascii="Times New Roman" w:eastAsia="SimSun" w:hAnsi="Times New Roman" w:cs="Times New Roman"/>
            <w:sz w:val="24"/>
            <w:szCs w:val="24"/>
            <w:shd w:val="clear" w:color="auto" w:fill="FFFFFF"/>
          </w:rPr>
          <w:t>https://doi.org/10.1093/fqs/fyx007</w:t>
        </w:r>
      </w:hyperlink>
      <w:r w:rsidRPr="00855D7D">
        <w:rPr>
          <w:rFonts w:ascii="Times New Roman" w:eastAsia="SimSun" w:hAnsi="Times New Roman" w:cs="Times New Roman"/>
          <w:color w:val="222222"/>
          <w:sz w:val="24"/>
          <w:szCs w:val="24"/>
          <w:shd w:val="clear" w:color="auto" w:fill="FFFFFF"/>
        </w:rPr>
        <w:t xml:space="preserve"> </w:t>
      </w:r>
    </w:p>
    <w:p w14:paraId="6E4A49FB" w14:textId="58A6E07A" w:rsidR="00053221" w:rsidRPr="00855D7D" w:rsidRDefault="006A59E4" w:rsidP="00855D7D">
      <w:pPr>
        <w:adjustRightInd w:val="0"/>
        <w:jc w:val="both"/>
        <w:rPr>
          <w:rFonts w:ascii="Times New Roman" w:eastAsiaTheme="minorHAnsi" w:hAnsi="Times New Roman" w:cs="Times New Roman"/>
          <w:color w:val="000000" w:themeColor="text1"/>
          <w:sz w:val="24"/>
          <w:szCs w:val="24"/>
        </w:rPr>
      </w:pPr>
      <w:r w:rsidRPr="00855D7D">
        <w:rPr>
          <w:rFonts w:ascii="Times New Roman" w:eastAsia="SimSun" w:hAnsi="Times New Roman" w:cs="Times New Roman"/>
          <w:color w:val="222222"/>
          <w:sz w:val="24"/>
          <w:szCs w:val="24"/>
          <w:shd w:val="clear" w:color="auto" w:fill="FFFFFF"/>
          <w:lang w:val="es-US"/>
        </w:rPr>
        <w:t xml:space="preserve">Mensor, L. L., Menezes, F. S., Leitão, G. G., Reis, A. S., Santos, T. C. D., Coube, C. S., &amp; Leitão, S. G. (2001). Screening of Brazilian plant extracts for antioxidant activity by the use of DPPH free radical method. Phytotherapy Research. </w:t>
      </w:r>
      <w:hyperlink r:id="rId26" w:history="1">
        <w:r w:rsidRPr="00855D7D">
          <w:rPr>
            <w:rStyle w:val="Hyperlink"/>
            <w:rFonts w:ascii="Times New Roman" w:eastAsia="SimSun" w:hAnsi="Times New Roman" w:cs="Times New Roman"/>
            <w:sz w:val="24"/>
            <w:szCs w:val="24"/>
            <w:shd w:val="clear" w:color="auto" w:fill="FFFFFF"/>
            <w:lang w:val="es-US"/>
          </w:rPr>
          <w:t>https://doi.org/10.1002/ptr.687</w:t>
        </w:r>
      </w:hyperlink>
      <w:r w:rsidRPr="00855D7D">
        <w:rPr>
          <w:rFonts w:ascii="Times New Roman" w:eastAsia="SimSun" w:hAnsi="Times New Roman" w:cs="Times New Roman"/>
          <w:color w:val="222222"/>
          <w:sz w:val="24"/>
          <w:szCs w:val="24"/>
          <w:shd w:val="clear" w:color="auto" w:fill="FFFFFF"/>
          <w:lang w:val="es-US"/>
        </w:rPr>
        <w:t xml:space="preserve"> </w:t>
      </w:r>
    </w:p>
    <w:p w14:paraId="33050B75" w14:textId="691256B8"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Momoh, T. B., Appah, J., Onwumere, G. B., &amp; Dan, V. M. Y. (2024). Assessment of phytochemical, mineral and proximate contents of African black night shade (Solanum nigrum) used for bone fracture treatment by traditional bone healers in Ogodo, Ankpa Kogi State, Nigeria. Journal of Applied Sciences and Environmental Management, 28(11B Supplementary), 3917-3922. </w:t>
      </w:r>
      <w:hyperlink r:id="rId27" w:history="1">
        <w:r w:rsidRPr="00855D7D">
          <w:rPr>
            <w:rStyle w:val="Hyperlink"/>
            <w:rFonts w:ascii="Times New Roman" w:eastAsia="SimSun" w:hAnsi="Times New Roman" w:cs="Times New Roman"/>
            <w:sz w:val="24"/>
            <w:szCs w:val="24"/>
            <w:shd w:val="clear" w:color="auto" w:fill="FFFFFF"/>
          </w:rPr>
          <w:t>https://www.ajol.info/index.php/jasem</w:t>
        </w:r>
      </w:hyperlink>
      <w:r w:rsidRPr="00855D7D">
        <w:rPr>
          <w:rFonts w:ascii="Times New Roman" w:eastAsia="SimSun" w:hAnsi="Times New Roman" w:cs="Times New Roman"/>
          <w:color w:val="222222"/>
          <w:sz w:val="24"/>
          <w:szCs w:val="24"/>
          <w:shd w:val="clear" w:color="auto" w:fill="FFFFFF"/>
        </w:rPr>
        <w:t xml:space="preserve"> </w:t>
      </w:r>
    </w:p>
    <w:p w14:paraId="63956949" w14:textId="62D2F95D"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441C0D">
        <w:rPr>
          <w:rFonts w:ascii="Times New Roman" w:eastAsia="SimSun" w:hAnsi="Times New Roman" w:cs="Times New Roman"/>
          <w:color w:val="222222"/>
          <w:sz w:val="24"/>
          <w:szCs w:val="24"/>
          <w:highlight w:val="yellow"/>
          <w:shd w:val="clear" w:color="auto" w:fill="FFFFFF"/>
        </w:rPr>
        <w:t xml:space="preserve">Oraka, C. O., &amp; Okoye, J. I. (2017). Effect of heat processing treatments on the nutrient and anti-nutrient contents of lima bean (Phaseolus lunatus) flour. International Journal of Food Science and Nutrition, 2(3), 13-17. </w:t>
      </w:r>
      <w:hyperlink r:id="rId28" w:history="1">
        <w:r w:rsidRPr="00441C0D">
          <w:rPr>
            <w:rStyle w:val="Hyperlink"/>
            <w:rFonts w:ascii="Times New Roman" w:eastAsia="SimSun" w:hAnsi="Times New Roman" w:cs="Times New Roman"/>
            <w:sz w:val="24"/>
            <w:szCs w:val="24"/>
            <w:highlight w:val="yellow"/>
            <w:shd w:val="clear" w:color="auto" w:fill="FFFFFF"/>
          </w:rPr>
          <w:t>https://www.foodsciencejournal.com/archives/2017/vol2/issue3/2-3-13-17.pdf</w:t>
        </w:r>
      </w:hyperlink>
      <w:r w:rsidRPr="00855D7D">
        <w:rPr>
          <w:rFonts w:ascii="Times New Roman" w:eastAsia="SimSun" w:hAnsi="Times New Roman" w:cs="Times New Roman"/>
          <w:color w:val="222222"/>
          <w:sz w:val="24"/>
          <w:szCs w:val="24"/>
          <w:shd w:val="clear" w:color="auto" w:fill="FFFFFF"/>
        </w:rPr>
        <w:t xml:space="preserve"> </w:t>
      </w:r>
    </w:p>
    <w:p w14:paraId="75F4F0EE" w14:textId="3D6E02D6"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Okigbo, R. N., Anuagasi, C. L., &amp; Amadi, J. E. (2009). Advances in selected medicinal and aromatic plants indigenous to Africa. Journal of Medicinal Plants Research, 3(2), 86-95. </w:t>
      </w:r>
      <w:hyperlink r:id="rId29" w:history="1">
        <w:r w:rsidRPr="00855D7D">
          <w:rPr>
            <w:rStyle w:val="Hyperlink"/>
            <w:rFonts w:ascii="Times New Roman" w:eastAsia="SimSun" w:hAnsi="Times New Roman" w:cs="Times New Roman"/>
            <w:sz w:val="24"/>
            <w:szCs w:val="24"/>
            <w:shd w:val="clear" w:color="auto" w:fill="FFFFFF"/>
          </w:rPr>
          <w:t>http://www.academicjournals.org/JMPR</w:t>
        </w:r>
      </w:hyperlink>
      <w:r w:rsidRPr="00855D7D">
        <w:rPr>
          <w:rFonts w:ascii="Times New Roman" w:eastAsia="SimSun" w:hAnsi="Times New Roman" w:cs="Times New Roman"/>
          <w:color w:val="222222"/>
          <w:sz w:val="24"/>
          <w:szCs w:val="24"/>
          <w:shd w:val="clear" w:color="auto" w:fill="FFFFFF"/>
        </w:rPr>
        <w:t xml:space="preserve"> </w:t>
      </w:r>
    </w:p>
    <w:p w14:paraId="50CBCB61" w14:textId="49B313CD"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Oyegoke, R. A., Oladele, J. O., Oladele, O. T., &amp; Oladiji, A. T. (2024). Role of Dietary Fibre and Phytonutrients in Human Health and Nutrition. In A. T. Oladiji (Ed.), Nutrition and Diet in Health: Principles and Applications (pp. 121-147). CRC Press. </w:t>
      </w:r>
      <w:hyperlink r:id="rId30" w:history="1">
        <w:r w:rsidRPr="00855D7D">
          <w:rPr>
            <w:rStyle w:val="Hyperlink"/>
            <w:rFonts w:ascii="Times New Roman" w:eastAsia="SimSun" w:hAnsi="Times New Roman" w:cs="Times New Roman"/>
            <w:sz w:val="24"/>
            <w:szCs w:val="24"/>
            <w:shd w:val="clear" w:color="auto" w:fill="FFFFFF"/>
          </w:rPr>
          <w:t>https://doi.org/10.1201/9781003361497-12</w:t>
        </w:r>
      </w:hyperlink>
      <w:r w:rsidRPr="00855D7D">
        <w:rPr>
          <w:rFonts w:ascii="Times New Roman" w:eastAsia="SimSun" w:hAnsi="Times New Roman" w:cs="Times New Roman"/>
          <w:color w:val="222222"/>
          <w:sz w:val="24"/>
          <w:szCs w:val="24"/>
          <w:shd w:val="clear" w:color="auto" w:fill="FFFFFF"/>
        </w:rPr>
        <w:t xml:space="preserve"> </w:t>
      </w:r>
    </w:p>
    <w:p w14:paraId="354617E3" w14:textId="1BD8FD6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lastRenderedPageBreak/>
        <w:t xml:space="preserve">Pizzino, G., </w:t>
      </w:r>
      <w:proofErr w:type="spellStart"/>
      <w:r w:rsidRPr="00855D7D">
        <w:rPr>
          <w:rFonts w:ascii="Times New Roman" w:eastAsia="SimSun" w:hAnsi="Times New Roman" w:cs="Times New Roman"/>
          <w:color w:val="222222"/>
          <w:sz w:val="24"/>
          <w:szCs w:val="24"/>
          <w:shd w:val="clear" w:color="auto" w:fill="FFFFFF"/>
        </w:rPr>
        <w:t>Irrera</w:t>
      </w:r>
      <w:proofErr w:type="spellEnd"/>
      <w:r w:rsidRPr="00855D7D">
        <w:rPr>
          <w:rFonts w:ascii="Times New Roman" w:eastAsia="SimSun" w:hAnsi="Times New Roman" w:cs="Times New Roman"/>
          <w:color w:val="222222"/>
          <w:sz w:val="24"/>
          <w:szCs w:val="24"/>
          <w:shd w:val="clear" w:color="auto" w:fill="FFFFFF"/>
        </w:rPr>
        <w:t xml:space="preserve">, N., </w:t>
      </w:r>
      <w:proofErr w:type="spellStart"/>
      <w:r w:rsidRPr="00855D7D">
        <w:rPr>
          <w:rFonts w:ascii="Times New Roman" w:eastAsia="SimSun" w:hAnsi="Times New Roman" w:cs="Times New Roman"/>
          <w:color w:val="222222"/>
          <w:sz w:val="24"/>
          <w:szCs w:val="24"/>
          <w:shd w:val="clear" w:color="auto" w:fill="FFFFFF"/>
        </w:rPr>
        <w:t>Cucinotta</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Pallio</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Mannino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Arcoraci</w:t>
      </w:r>
      <w:proofErr w:type="spellEnd"/>
      <w:r w:rsidRPr="00855D7D">
        <w:rPr>
          <w:rFonts w:ascii="Times New Roman" w:eastAsia="SimSun" w:hAnsi="Times New Roman" w:cs="Times New Roman"/>
          <w:color w:val="222222"/>
          <w:sz w:val="24"/>
          <w:szCs w:val="24"/>
          <w:shd w:val="clear" w:color="auto" w:fill="FFFFFF"/>
        </w:rPr>
        <w:t xml:space="preserve">, V., </w:t>
      </w:r>
      <w:proofErr w:type="spellStart"/>
      <w:r w:rsidRPr="00855D7D">
        <w:rPr>
          <w:rFonts w:ascii="Times New Roman" w:eastAsia="SimSun" w:hAnsi="Times New Roman" w:cs="Times New Roman"/>
          <w:color w:val="222222"/>
          <w:sz w:val="24"/>
          <w:szCs w:val="24"/>
          <w:shd w:val="clear" w:color="auto" w:fill="FFFFFF"/>
        </w:rPr>
        <w:t>Squadrito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Altavilla</w:t>
      </w:r>
      <w:proofErr w:type="spellEnd"/>
      <w:r w:rsidRPr="00855D7D">
        <w:rPr>
          <w:rFonts w:ascii="Times New Roman" w:eastAsia="SimSun" w:hAnsi="Times New Roman" w:cs="Times New Roman"/>
          <w:color w:val="222222"/>
          <w:sz w:val="24"/>
          <w:szCs w:val="24"/>
          <w:shd w:val="clear" w:color="auto" w:fill="FFFFFF"/>
        </w:rPr>
        <w:t xml:space="preserve">, D., &amp; </w:t>
      </w:r>
      <w:proofErr w:type="spellStart"/>
      <w:r w:rsidRPr="00855D7D">
        <w:rPr>
          <w:rFonts w:ascii="Times New Roman" w:eastAsia="SimSun" w:hAnsi="Times New Roman" w:cs="Times New Roman"/>
          <w:color w:val="222222"/>
          <w:sz w:val="24"/>
          <w:szCs w:val="24"/>
          <w:shd w:val="clear" w:color="auto" w:fill="FFFFFF"/>
        </w:rPr>
        <w:t>Bitto</w:t>
      </w:r>
      <w:proofErr w:type="spellEnd"/>
      <w:r w:rsidRPr="00855D7D">
        <w:rPr>
          <w:rFonts w:ascii="Times New Roman" w:eastAsia="SimSun" w:hAnsi="Times New Roman" w:cs="Times New Roman"/>
          <w:color w:val="222222"/>
          <w:sz w:val="24"/>
          <w:szCs w:val="24"/>
          <w:shd w:val="clear" w:color="auto" w:fill="FFFFFF"/>
        </w:rPr>
        <w:t xml:space="preserve">, A. (2017). Oxidative stress: Harms and benefits for human health. Oxidative Medicine and Cellular Longevity. </w:t>
      </w:r>
      <w:hyperlink r:id="rId31" w:history="1">
        <w:r w:rsidRPr="00855D7D">
          <w:rPr>
            <w:rStyle w:val="Hyperlink"/>
            <w:rFonts w:ascii="Times New Roman" w:eastAsia="SimSun" w:hAnsi="Times New Roman" w:cs="Times New Roman"/>
            <w:sz w:val="24"/>
            <w:szCs w:val="24"/>
            <w:shd w:val="clear" w:color="auto" w:fill="FFFFFF"/>
          </w:rPr>
          <w:t>https://doi.org/10.1155/2017/8416763</w:t>
        </w:r>
      </w:hyperlink>
      <w:r w:rsidRPr="00855D7D">
        <w:rPr>
          <w:rFonts w:ascii="Times New Roman" w:eastAsia="SimSun" w:hAnsi="Times New Roman" w:cs="Times New Roman"/>
          <w:color w:val="222222"/>
          <w:sz w:val="24"/>
          <w:szCs w:val="24"/>
          <w:shd w:val="clear" w:color="auto" w:fill="FFFFFF"/>
        </w:rPr>
        <w:t xml:space="preserve"> </w:t>
      </w:r>
    </w:p>
    <w:p w14:paraId="5D0F3C86" w14:textId="35EDAB5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Pulido, R., Bravo, L., &amp; Saura-Calixto, F. (2000). Antioxidant activity of dietary polyphenols as determined by a modified ferric reducing/antioxidant power assay. Journal of Agricultural and Food Chemistry, 48(8), 3396-3402. </w:t>
      </w:r>
      <w:hyperlink r:id="rId32" w:history="1">
        <w:r w:rsidRPr="00855D7D">
          <w:rPr>
            <w:rStyle w:val="Hyperlink"/>
            <w:rFonts w:ascii="Times New Roman" w:eastAsia="SimSun" w:hAnsi="Times New Roman" w:cs="Times New Roman"/>
            <w:sz w:val="24"/>
            <w:szCs w:val="24"/>
            <w:shd w:val="clear" w:color="auto" w:fill="FFFFFF"/>
            <w:lang w:val="es-US"/>
          </w:rPr>
          <w:t>https://doi.org/10.1021/jf9913458</w:t>
        </w:r>
      </w:hyperlink>
      <w:r w:rsidRPr="00855D7D">
        <w:rPr>
          <w:rFonts w:ascii="Times New Roman" w:eastAsia="SimSun" w:hAnsi="Times New Roman" w:cs="Times New Roman"/>
          <w:color w:val="222222"/>
          <w:sz w:val="24"/>
          <w:szCs w:val="24"/>
          <w:shd w:val="clear" w:color="auto" w:fill="FFFFFF"/>
          <w:lang w:val="es-US"/>
        </w:rPr>
        <w:t xml:space="preserve"> </w:t>
      </w:r>
    </w:p>
    <w:p w14:paraId="2C91D173" w14:textId="634828E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Razzivina, V., Vasiljeva, A., Kronberga, A., Skudrins, G., Nakurte, I., Zogota, M., Mezaka, I., Pugovics, O., Grinberga, S., Dambrova, M., &amp; Sile, I. (2024). Phenolic Content and Anti-Inflammatory Activity of Cultivated and Wild-Type Galium odoratum Extracts in Murine Bone Marrow-Derived Macrophages. Antioxidants, 13(12), 1447. </w:t>
      </w:r>
      <w:hyperlink r:id="rId33" w:history="1">
        <w:r w:rsidRPr="00855D7D">
          <w:rPr>
            <w:rStyle w:val="Hyperlink"/>
            <w:rFonts w:ascii="Times New Roman" w:eastAsia="SimSun" w:hAnsi="Times New Roman" w:cs="Times New Roman"/>
            <w:sz w:val="24"/>
            <w:szCs w:val="24"/>
            <w:shd w:val="clear" w:color="auto" w:fill="FFFFFF"/>
          </w:rPr>
          <w:t>https://doi.org/10.3390/antiox13121447</w:t>
        </w:r>
      </w:hyperlink>
      <w:r w:rsidRPr="00855D7D">
        <w:rPr>
          <w:rFonts w:ascii="Times New Roman" w:eastAsia="SimSun" w:hAnsi="Times New Roman" w:cs="Times New Roman"/>
          <w:color w:val="222222"/>
          <w:sz w:val="24"/>
          <w:szCs w:val="24"/>
          <w:shd w:val="clear" w:color="auto" w:fill="FFFFFF"/>
        </w:rPr>
        <w:t xml:space="preserve"> </w:t>
      </w:r>
    </w:p>
    <w:p w14:paraId="711CEA69" w14:textId="04C91F85" w:rsidR="00053221" w:rsidRPr="00855D7D" w:rsidRDefault="006A59E4" w:rsidP="00855D7D">
      <w:pPr>
        <w:adjustRightInd w:val="0"/>
        <w:jc w:val="both"/>
        <w:rPr>
          <w:rFonts w:ascii="Times New Roman" w:eastAsia="Times New Roman" w:hAnsi="Times New Roman" w:cs="Times New Roman"/>
          <w:iCs/>
          <w:color w:val="000000" w:themeColor="text1"/>
          <w:sz w:val="24"/>
          <w:szCs w:val="24"/>
        </w:rPr>
      </w:pPr>
      <w:r w:rsidRPr="00855D7D">
        <w:rPr>
          <w:rFonts w:ascii="Times New Roman" w:eastAsia="Times New Roman" w:hAnsi="Times New Roman" w:cs="Times New Roman"/>
          <w:iCs/>
          <w:color w:val="000000" w:themeColor="text1"/>
          <w:sz w:val="24"/>
          <w:szCs w:val="24"/>
        </w:rPr>
        <w:t xml:space="preserve">Samarin, S., &amp; Nusrat, A. (2009). Regulation of epithelial apical junctional complex by Rho family GTPases. Frontiers in Bioscience (Landmark Edition), 14(3), 1129–1142. </w:t>
      </w:r>
      <w:hyperlink r:id="rId34" w:history="1">
        <w:r w:rsidRPr="00855D7D">
          <w:rPr>
            <w:rStyle w:val="Hyperlink"/>
            <w:rFonts w:ascii="Times New Roman" w:eastAsia="Times New Roman" w:hAnsi="Times New Roman" w:cs="Times New Roman"/>
            <w:iCs/>
            <w:sz w:val="24"/>
            <w:szCs w:val="24"/>
          </w:rPr>
          <w:t>https://doi.org/10.2741/3298</w:t>
        </w:r>
      </w:hyperlink>
      <w:r w:rsidRPr="00855D7D">
        <w:rPr>
          <w:rFonts w:ascii="Times New Roman" w:eastAsia="Times New Roman" w:hAnsi="Times New Roman" w:cs="Times New Roman"/>
          <w:iCs/>
          <w:color w:val="000000" w:themeColor="text1"/>
          <w:sz w:val="24"/>
          <w:szCs w:val="24"/>
        </w:rPr>
        <w:t xml:space="preserve"> </w:t>
      </w:r>
      <w:r w:rsidR="002970B4" w:rsidRPr="00855D7D">
        <w:rPr>
          <w:rFonts w:ascii="Times New Roman" w:eastAsia="Times New Roman" w:hAnsi="Times New Roman" w:cs="Times New Roman"/>
          <w:iCs/>
          <w:color w:val="000000" w:themeColor="text1"/>
          <w:sz w:val="24"/>
          <w:szCs w:val="24"/>
        </w:rPr>
        <w:t> </w:t>
      </w:r>
    </w:p>
    <w:p w14:paraId="7D59C2D7" w14:textId="420468F0"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Sharifi-Rad, M., Anil Kumar, N. V., Zucca, P., Varoni, E. M., Dini, L., </w:t>
      </w:r>
      <w:proofErr w:type="spellStart"/>
      <w:r w:rsidRPr="00855D7D">
        <w:rPr>
          <w:rFonts w:ascii="Times New Roman" w:eastAsia="SimSun" w:hAnsi="Times New Roman" w:cs="Times New Roman"/>
          <w:color w:val="222222"/>
          <w:sz w:val="24"/>
          <w:szCs w:val="24"/>
          <w:shd w:val="clear" w:color="auto" w:fill="FFFFFF"/>
        </w:rPr>
        <w:t>Panzarini</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Rajkovic</w:t>
      </w:r>
      <w:proofErr w:type="spellEnd"/>
      <w:r w:rsidRPr="00855D7D">
        <w:rPr>
          <w:rFonts w:ascii="Times New Roman" w:eastAsia="SimSun" w:hAnsi="Times New Roman" w:cs="Times New Roman"/>
          <w:color w:val="222222"/>
          <w:sz w:val="24"/>
          <w:szCs w:val="24"/>
          <w:shd w:val="clear" w:color="auto" w:fill="FFFFFF"/>
        </w:rPr>
        <w:t xml:space="preserve">, J., </w:t>
      </w:r>
      <w:proofErr w:type="spellStart"/>
      <w:r w:rsidRPr="00855D7D">
        <w:rPr>
          <w:rFonts w:ascii="Times New Roman" w:eastAsia="SimSun" w:hAnsi="Times New Roman" w:cs="Times New Roman"/>
          <w:color w:val="222222"/>
          <w:sz w:val="24"/>
          <w:szCs w:val="24"/>
          <w:shd w:val="clear" w:color="auto" w:fill="FFFFFF"/>
        </w:rPr>
        <w:t>Tsouh</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Fokou</w:t>
      </w:r>
      <w:proofErr w:type="spellEnd"/>
      <w:r w:rsidRPr="00855D7D">
        <w:rPr>
          <w:rFonts w:ascii="Times New Roman" w:eastAsia="SimSun" w:hAnsi="Times New Roman" w:cs="Times New Roman"/>
          <w:color w:val="222222"/>
          <w:sz w:val="24"/>
          <w:szCs w:val="24"/>
          <w:shd w:val="clear" w:color="auto" w:fill="FFFFFF"/>
        </w:rPr>
        <w:t xml:space="preserve">, P. V., </w:t>
      </w:r>
      <w:proofErr w:type="spellStart"/>
      <w:r w:rsidRPr="00855D7D">
        <w:rPr>
          <w:rFonts w:ascii="Times New Roman" w:eastAsia="SimSun" w:hAnsi="Times New Roman" w:cs="Times New Roman"/>
          <w:color w:val="222222"/>
          <w:sz w:val="24"/>
          <w:szCs w:val="24"/>
          <w:shd w:val="clear" w:color="auto" w:fill="FFFFFF"/>
        </w:rPr>
        <w:t>Azzini</w:t>
      </w:r>
      <w:proofErr w:type="spellEnd"/>
      <w:r w:rsidRPr="00855D7D">
        <w:rPr>
          <w:rFonts w:ascii="Times New Roman" w:eastAsia="SimSun" w:hAnsi="Times New Roman" w:cs="Times New Roman"/>
          <w:color w:val="222222"/>
          <w:sz w:val="24"/>
          <w:szCs w:val="24"/>
          <w:shd w:val="clear" w:color="auto" w:fill="FFFFFF"/>
        </w:rPr>
        <w:t xml:space="preserve">, E., Peluso, I., Mishra, A. P., Nigam, M., El </w:t>
      </w:r>
      <w:proofErr w:type="spellStart"/>
      <w:r w:rsidRPr="00855D7D">
        <w:rPr>
          <w:rFonts w:ascii="Times New Roman" w:eastAsia="SimSun" w:hAnsi="Times New Roman" w:cs="Times New Roman"/>
          <w:color w:val="222222"/>
          <w:sz w:val="24"/>
          <w:szCs w:val="24"/>
          <w:shd w:val="clear" w:color="auto" w:fill="FFFFFF"/>
        </w:rPr>
        <w:t>Rayess</w:t>
      </w:r>
      <w:proofErr w:type="spellEnd"/>
      <w:r w:rsidRPr="00855D7D">
        <w:rPr>
          <w:rFonts w:ascii="Times New Roman" w:eastAsia="SimSun" w:hAnsi="Times New Roman" w:cs="Times New Roman"/>
          <w:color w:val="222222"/>
          <w:sz w:val="24"/>
          <w:szCs w:val="24"/>
          <w:shd w:val="clear" w:color="auto" w:fill="FFFFFF"/>
        </w:rPr>
        <w:t xml:space="preserve">, Y., El </w:t>
      </w:r>
      <w:proofErr w:type="spellStart"/>
      <w:r w:rsidRPr="00855D7D">
        <w:rPr>
          <w:rFonts w:ascii="Times New Roman" w:eastAsia="SimSun" w:hAnsi="Times New Roman" w:cs="Times New Roman"/>
          <w:color w:val="222222"/>
          <w:sz w:val="24"/>
          <w:szCs w:val="24"/>
          <w:shd w:val="clear" w:color="auto" w:fill="FFFFFF"/>
        </w:rPr>
        <w:t>Beyrouthy</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Polito</w:t>
      </w:r>
      <w:proofErr w:type="spellEnd"/>
      <w:r w:rsidRPr="00855D7D">
        <w:rPr>
          <w:rFonts w:ascii="Times New Roman" w:eastAsia="SimSun" w:hAnsi="Times New Roman" w:cs="Times New Roman"/>
          <w:color w:val="222222"/>
          <w:sz w:val="24"/>
          <w:szCs w:val="24"/>
          <w:shd w:val="clear" w:color="auto" w:fill="FFFFFF"/>
        </w:rPr>
        <w:t xml:space="preserve">, L., </w:t>
      </w:r>
      <w:proofErr w:type="spellStart"/>
      <w:r w:rsidRPr="00855D7D">
        <w:rPr>
          <w:rFonts w:ascii="Times New Roman" w:eastAsia="SimSun" w:hAnsi="Times New Roman" w:cs="Times New Roman"/>
          <w:color w:val="222222"/>
          <w:sz w:val="24"/>
          <w:szCs w:val="24"/>
          <w:shd w:val="clear" w:color="auto" w:fill="FFFFFF"/>
        </w:rPr>
        <w:t>Iriti</w:t>
      </w:r>
      <w:proofErr w:type="spellEnd"/>
      <w:r w:rsidRPr="00855D7D">
        <w:rPr>
          <w:rFonts w:ascii="Times New Roman" w:eastAsia="SimSun" w:hAnsi="Times New Roman" w:cs="Times New Roman"/>
          <w:color w:val="222222"/>
          <w:sz w:val="24"/>
          <w:szCs w:val="24"/>
          <w:shd w:val="clear" w:color="auto" w:fill="FFFFFF"/>
        </w:rPr>
        <w:t xml:space="preserve">, M., Martins, N., Martorell, M., </w:t>
      </w:r>
      <w:proofErr w:type="spellStart"/>
      <w:r w:rsidRPr="00855D7D">
        <w:rPr>
          <w:rFonts w:ascii="Times New Roman" w:eastAsia="SimSun" w:hAnsi="Times New Roman" w:cs="Times New Roman"/>
          <w:color w:val="222222"/>
          <w:sz w:val="24"/>
          <w:szCs w:val="24"/>
          <w:shd w:val="clear" w:color="auto" w:fill="FFFFFF"/>
        </w:rPr>
        <w:t>Docea</w:t>
      </w:r>
      <w:proofErr w:type="spellEnd"/>
      <w:r w:rsidRPr="00855D7D">
        <w:rPr>
          <w:rFonts w:ascii="Times New Roman" w:eastAsia="SimSun" w:hAnsi="Times New Roman" w:cs="Times New Roman"/>
          <w:color w:val="222222"/>
          <w:sz w:val="24"/>
          <w:szCs w:val="24"/>
          <w:shd w:val="clear" w:color="auto" w:fill="FFFFFF"/>
        </w:rPr>
        <w:t xml:space="preserve">, A. O., Setzer, W. N., </w:t>
      </w:r>
      <w:proofErr w:type="spellStart"/>
      <w:r w:rsidRPr="00855D7D">
        <w:rPr>
          <w:rFonts w:ascii="Times New Roman" w:eastAsia="SimSun" w:hAnsi="Times New Roman" w:cs="Times New Roman"/>
          <w:color w:val="222222"/>
          <w:sz w:val="24"/>
          <w:szCs w:val="24"/>
          <w:shd w:val="clear" w:color="auto" w:fill="FFFFFF"/>
        </w:rPr>
        <w:t>Calina</w:t>
      </w:r>
      <w:proofErr w:type="spellEnd"/>
      <w:r w:rsidRPr="00855D7D">
        <w:rPr>
          <w:rFonts w:ascii="Times New Roman" w:eastAsia="SimSun" w:hAnsi="Times New Roman" w:cs="Times New Roman"/>
          <w:color w:val="222222"/>
          <w:sz w:val="24"/>
          <w:szCs w:val="24"/>
          <w:shd w:val="clear" w:color="auto" w:fill="FFFFFF"/>
        </w:rPr>
        <w:t xml:space="preserve">, D., Cho, W. C., &amp; Sharifi-Rad, J. (2020). Lifestyle, oxidative stress, and antioxidants: back and forth in the pathophysiology of chronic diseases. Frontiers in Physiology, 11, 694. </w:t>
      </w:r>
      <w:hyperlink r:id="rId35" w:history="1">
        <w:r w:rsidRPr="00855D7D">
          <w:rPr>
            <w:rStyle w:val="Hyperlink"/>
            <w:rFonts w:ascii="Times New Roman" w:eastAsia="SimSun" w:hAnsi="Times New Roman" w:cs="Times New Roman"/>
            <w:sz w:val="24"/>
            <w:szCs w:val="24"/>
            <w:shd w:val="clear" w:color="auto" w:fill="FFFFFF"/>
          </w:rPr>
          <w:t>https://doi.org/10.3389/fphys.2020.00694</w:t>
        </w:r>
      </w:hyperlink>
      <w:r w:rsidRPr="00855D7D">
        <w:rPr>
          <w:rFonts w:ascii="Times New Roman" w:eastAsia="SimSun" w:hAnsi="Times New Roman" w:cs="Times New Roman"/>
          <w:color w:val="222222"/>
          <w:sz w:val="24"/>
          <w:szCs w:val="24"/>
          <w:shd w:val="clear" w:color="auto" w:fill="FFFFFF"/>
        </w:rPr>
        <w:t xml:space="preserve"> </w:t>
      </w:r>
    </w:p>
    <w:p w14:paraId="7794A651" w14:textId="598ED523"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Stevens, S. L. (2021). Fat-soluble vitamins. Nursing Clinics of North America, 56(1), 33-45. </w:t>
      </w:r>
      <w:hyperlink r:id="rId36" w:history="1">
        <w:r w:rsidRPr="00855D7D">
          <w:rPr>
            <w:rStyle w:val="Hyperlink"/>
            <w:rFonts w:ascii="Times New Roman" w:eastAsia="SimSun" w:hAnsi="Times New Roman" w:cs="Times New Roman"/>
            <w:sz w:val="24"/>
            <w:szCs w:val="24"/>
            <w:shd w:val="clear" w:color="auto" w:fill="FFFFFF"/>
          </w:rPr>
          <w:t>https://doi.org/10.1016/j.cnur.2020.10.003</w:t>
        </w:r>
      </w:hyperlink>
      <w:r w:rsidRPr="00855D7D">
        <w:rPr>
          <w:rFonts w:ascii="Times New Roman" w:eastAsia="SimSun" w:hAnsi="Times New Roman" w:cs="Times New Roman"/>
          <w:color w:val="222222"/>
          <w:sz w:val="24"/>
          <w:szCs w:val="24"/>
          <w:shd w:val="clear" w:color="auto" w:fill="FFFFFF"/>
        </w:rPr>
        <w:t xml:space="preserve"> </w:t>
      </w:r>
    </w:p>
    <w:p w14:paraId="1CBD6724" w14:textId="5DE3BE1D" w:rsidR="00053221" w:rsidRPr="00855D7D" w:rsidRDefault="000D17F0"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Tiamiyu, A. M., &amp; Okunlade, O. A. (2020). Benefits and detriments of Siam weed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review. Biochemistry and Biotechnology Research, 8(2), 21-28. </w:t>
      </w:r>
      <w:hyperlink r:id="rId37" w:history="1">
        <w:r w:rsidRPr="00855D7D">
          <w:rPr>
            <w:rStyle w:val="Hyperlink"/>
            <w:rFonts w:ascii="Times New Roman" w:eastAsia="SimSun" w:hAnsi="Times New Roman" w:cs="Times New Roman"/>
            <w:sz w:val="24"/>
            <w:szCs w:val="24"/>
            <w:shd w:val="clear" w:color="auto" w:fill="FFFFFF"/>
          </w:rPr>
          <w:t>https://netjournals.org/journals/BBR/BBR_Abstract/2020/14_08_20/Tiamiyu_and_Okunlade.php</w:t>
        </w:r>
      </w:hyperlink>
      <w:r w:rsidRPr="00855D7D">
        <w:rPr>
          <w:rFonts w:ascii="Times New Roman" w:eastAsia="SimSun" w:hAnsi="Times New Roman" w:cs="Times New Roman"/>
          <w:color w:val="222222"/>
          <w:sz w:val="24"/>
          <w:szCs w:val="24"/>
          <w:shd w:val="clear" w:color="auto" w:fill="FFFFFF"/>
        </w:rPr>
        <w:t xml:space="preserve"> </w:t>
      </w:r>
    </w:p>
    <w:p w14:paraId="292A9158" w14:textId="476FA4FE" w:rsidR="00053221" w:rsidRPr="00855D7D" w:rsidRDefault="000D17F0"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Uzor</w:t>
      </w:r>
      <w:proofErr w:type="spellEnd"/>
      <w:r w:rsidRPr="00855D7D">
        <w:rPr>
          <w:rFonts w:ascii="Times New Roman" w:eastAsia="SimSun" w:hAnsi="Times New Roman" w:cs="Times New Roman"/>
          <w:color w:val="222222"/>
          <w:sz w:val="24"/>
          <w:szCs w:val="24"/>
          <w:shd w:val="clear" w:color="auto" w:fill="FFFFFF"/>
        </w:rPr>
        <w:t xml:space="preserve">, P. F. (2020). Alkaloids from plants with antimalarial activity: A review of recent studies. Evidence-Based Complementary and Alternative Medicine. </w:t>
      </w:r>
      <w:hyperlink r:id="rId38" w:history="1">
        <w:r w:rsidRPr="00855D7D">
          <w:rPr>
            <w:rStyle w:val="Hyperlink"/>
            <w:rFonts w:ascii="Times New Roman" w:eastAsia="SimSun" w:hAnsi="Times New Roman" w:cs="Times New Roman"/>
            <w:sz w:val="24"/>
            <w:szCs w:val="24"/>
            <w:shd w:val="clear" w:color="auto" w:fill="FFFFFF"/>
          </w:rPr>
          <w:t>https://doi.org/10.1155/2020/8749083</w:t>
        </w:r>
      </w:hyperlink>
      <w:r w:rsidRPr="00855D7D">
        <w:rPr>
          <w:rFonts w:ascii="Times New Roman" w:eastAsia="SimSun" w:hAnsi="Times New Roman" w:cs="Times New Roman"/>
          <w:color w:val="222222"/>
          <w:sz w:val="24"/>
          <w:szCs w:val="24"/>
          <w:shd w:val="clear" w:color="auto" w:fill="FFFFFF"/>
        </w:rPr>
        <w:t xml:space="preserve"> </w:t>
      </w:r>
    </w:p>
    <w:p w14:paraId="61169876" w14:textId="3C8AFC75" w:rsidR="00053221" w:rsidRPr="00855D7D" w:rsidRDefault="000D17F0" w:rsidP="00855D7D">
      <w:pPr>
        <w:adjustRightInd w:val="0"/>
        <w:jc w:val="both"/>
        <w:rPr>
          <w:rFonts w:ascii="Times New Roman" w:hAnsi="Times New Roman" w:cs="Times New Roman"/>
          <w:color w:val="000000" w:themeColor="text1"/>
          <w:sz w:val="24"/>
          <w:szCs w:val="24"/>
        </w:rPr>
      </w:pPr>
      <w:r w:rsidRPr="00855D7D">
        <w:rPr>
          <w:rFonts w:ascii="Times New Roman" w:eastAsia="SimSun" w:hAnsi="Times New Roman" w:cs="Times New Roman"/>
          <w:color w:val="222222"/>
          <w:sz w:val="24"/>
          <w:szCs w:val="24"/>
          <w:shd w:val="clear" w:color="auto" w:fill="FFFFFF"/>
        </w:rPr>
        <w:t xml:space="preserve">Vijayaraghavan, K., Rajkumar, J., Bukhari, S. N. A., Al-Sayed, B., &amp; </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 (2017).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neglected weed with a wide spectrum of pharmacological activities (Review). Molecular Medicine Reports, 15(3), 1007-1016. </w:t>
      </w:r>
      <w:hyperlink r:id="rId39" w:history="1">
        <w:r w:rsidRPr="00855D7D">
          <w:rPr>
            <w:rStyle w:val="Hyperlink"/>
            <w:rFonts w:ascii="Times New Roman" w:eastAsia="SimSun" w:hAnsi="Times New Roman" w:cs="Times New Roman"/>
            <w:sz w:val="24"/>
            <w:szCs w:val="24"/>
            <w:shd w:val="clear" w:color="auto" w:fill="FFFFFF"/>
          </w:rPr>
          <w:t>https://doi.org/10.3892/mmr.2017.6133</w:t>
        </w:r>
      </w:hyperlink>
      <w:r w:rsidRPr="00855D7D">
        <w:rPr>
          <w:rFonts w:ascii="Times New Roman" w:eastAsia="SimSun" w:hAnsi="Times New Roman" w:cs="Times New Roman"/>
          <w:color w:val="222222"/>
          <w:sz w:val="24"/>
          <w:szCs w:val="24"/>
          <w:shd w:val="clear" w:color="auto" w:fill="FFFFFF"/>
        </w:rPr>
        <w:t xml:space="preserve"> </w:t>
      </w:r>
    </w:p>
    <w:p w14:paraId="3AE3C940" w14:textId="488BC18A" w:rsidR="00053221" w:rsidRDefault="000D17F0" w:rsidP="00855D7D">
      <w:pPr>
        <w:pStyle w:val="NormalWeb"/>
        <w:shd w:val="clear" w:color="auto" w:fill="FFFFFF"/>
        <w:adjustRightInd w:val="0"/>
        <w:spacing w:before="0" w:beforeAutospacing="0" w:after="0" w:afterAutospacing="0"/>
        <w:jc w:val="both"/>
        <w:rPr>
          <w:rFonts w:eastAsiaTheme="minorHAnsi"/>
          <w:color w:val="000000" w:themeColor="text1"/>
        </w:rPr>
      </w:pPr>
      <w:r w:rsidRPr="000D17F0">
        <w:rPr>
          <w:rFonts w:eastAsiaTheme="minorHAnsi"/>
          <w:color w:val="000000" w:themeColor="text1"/>
        </w:rPr>
        <w:lastRenderedPageBreak/>
        <w:t xml:space="preserve">Yang, C. S., Landau, J. M., Huang, M. T., &amp; Newmark, H. L. (2001). Inhibition of carcinogenesis by dietary polyphenolic compounds. Annual Review of Nutrition, 21(1), 381-406. </w:t>
      </w:r>
      <w:hyperlink r:id="rId40" w:history="1">
        <w:r w:rsidRPr="00971DF7">
          <w:rPr>
            <w:rStyle w:val="Hyperlink"/>
            <w:rFonts w:eastAsiaTheme="minorHAnsi"/>
          </w:rPr>
          <w:t>https://doi.org/10.1146/annurev.nutr.21.1.381</w:t>
        </w:r>
      </w:hyperlink>
      <w:r>
        <w:rPr>
          <w:rFonts w:eastAsiaTheme="minorHAnsi"/>
          <w:color w:val="000000" w:themeColor="text1"/>
        </w:rPr>
        <w:t xml:space="preserve"> </w:t>
      </w:r>
    </w:p>
    <w:p w14:paraId="348CB6F5" w14:textId="77777777" w:rsidR="00441C0D" w:rsidRDefault="00441C0D" w:rsidP="00855D7D">
      <w:pPr>
        <w:pStyle w:val="NormalWeb"/>
        <w:shd w:val="clear" w:color="auto" w:fill="FFFFFF"/>
        <w:adjustRightInd w:val="0"/>
        <w:spacing w:before="0" w:beforeAutospacing="0" w:after="0" w:afterAutospacing="0"/>
        <w:jc w:val="both"/>
        <w:rPr>
          <w:rFonts w:eastAsiaTheme="minorHAnsi"/>
          <w:color w:val="000000" w:themeColor="text1"/>
        </w:rPr>
      </w:pPr>
    </w:p>
    <w:p w14:paraId="4FAC62AF" w14:textId="718E9CF1"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Zhang, P., Zhang, S., Hu, H., Hu, T., Shi, K., Xu, Y., Xu, G., Hu, H., &amp; Pan, S. (2024). Synthesis and evaluation of novel hesperidin selenium-enriched derivatives as potential anti-inflammatory and antioxidant agents. Food Bioscience, 58, 103651. </w:t>
      </w:r>
      <w:hyperlink r:id="rId41" w:history="1">
        <w:r w:rsidRPr="00855D7D">
          <w:rPr>
            <w:rStyle w:val="Hyperlink"/>
            <w:rFonts w:ascii="Times New Roman" w:eastAsia="SimSun" w:hAnsi="Times New Roman" w:cs="Times New Roman"/>
            <w:sz w:val="24"/>
            <w:szCs w:val="24"/>
            <w:shd w:val="clear" w:color="auto" w:fill="FFFFFF"/>
          </w:rPr>
          <w:t>https://doi.org/10.1016/j.fbio.2024.103651</w:t>
        </w:r>
      </w:hyperlink>
      <w:r w:rsidRPr="00855D7D">
        <w:rPr>
          <w:rFonts w:ascii="Times New Roman" w:eastAsia="SimSun" w:hAnsi="Times New Roman" w:cs="Times New Roman"/>
          <w:color w:val="222222"/>
          <w:sz w:val="24"/>
          <w:szCs w:val="24"/>
          <w:shd w:val="clear" w:color="auto" w:fill="FFFFFF"/>
        </w:rPr>
        <w:t xml:space="preserve"> </w:t>
      </w:r>
    </w:p>
    <w:sectPr w:rsidR="00053221" w:rsidRPr="00855D7D">
      <w:headerReference w:type="even" r:id="rId42"/>
      <w:headerReference w:type="default" r:id="rId43"/>
      <w:footerReference w:type="even" r:id="rId44"/>
      <w:footerReference w:type="default" r:id="rId45"/>
      <w:headerReference w:type="first" r:id="rId46"/>
      <w:footerReference w:type="first" r:id="rId4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1EDA" w14:textId="77777777" w:rsidR="00741D12" w:rsidRDefault="00741D12">
      <w:pPr>
        <w:spacing w:line="240" w:lineRule="auto"/>
      </w:pPr>
      <w:r>
        <w:separator/>
      </w:r>
    </w:p>
  </w:endnote>
  <w:endnote w:type="continuationSeparator" w:id="0">
    <w:p w14:paraId="349C70A7" w14:textId="77777777" w:rsidR="00741D12" w:rsidRDefault="00741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10F6" w14:textId="77777777" w:rsidR="00607AE1" w:rsidRDefault="00607A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3DB9" w14:textId="77777777" w:rsidR="00607AE1" w:rsidRDefault="00607A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74417" w14:textId="77777777" w:rsidR="00607AE1" w:rsidRDefault="00607A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400C" w14:textId="77777777" w:rsidR="00741D12" w:rsidRDefault="00741D12">
      <w:pPr>
        <w:spacing w:after="0"/>
      </w:pPr>
      <w:r>
        <w:separator/>
      </w:r>
    </w:p>
  </w:footnote>
  <w:footnote w:type="continuationSeparator" w:id="0">
    <w:p w14:paraId="592AE95B" w14:textId="77777777" w:rsidR="00741D12" w:rsidRDefault="00741D1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A462" w14:textId="0F533BDC" w:rsidR="00607AE1" w:rsidRDefault="00741D12">
    <w:pPr>
      <w:pStyle w:val="Header"/>
    </w:pPr>
    <w:r>
      <w:rPr>
        <w:noProof/>
      </w:rPr>
      <w:pict w14:anchorId="3BF05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6B05" w14:textId="4E8516C6" w:rsidR="00607AE1" w:rsidRDefault="00741D12">
    <w:pPr>
      <w:pStyle w:val="Header"/>
    </w:pPr>
    <w:r>
      <w:rPr>
        <w:noProof/>
      </w:rPr>
      <w:pict w14:anchorId="6F3E9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FA88" w14:textId="0BFD3D38" w:rsidR="00607AE1" w:rsidRDefault="00741D12">
    <w:pPr>
      <w:pStyle w:val="Header"/>
    </w:pPr>
    <w:r>
      <w:rPr>
        <w:noProof/>
      </w:rPr>
      <w:pict w14:anchorId="3BE6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695613"/>
    <w:multiLevelType w:val="singleLevel"/>
    <w:tmpl w:val="F6695613"/>
    <w:lvl w:ilvl="0">
      <w:start w:val="1"/>
      <w:numFmt w:val="decimal"/>
      <w:suff w:val="space"/>
      <w:lvlText w:val="%1."/>
      <w:lvlJc w:val="left"/>
    </w:lvl>
  </w:abstractNum>
  <w:abstractNum w:abstractNumId="1" w15:restartNumberingAfterBreak="0">
    <w:nsid w:val="06DE27C3"/>
    <w:multiLevelType w:val="hybridMultilevel"/>
    <w:tmpl w:val="33908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4FFD7"/>
    <w:multiLevelType w:val="singleLevel"/>
    <w:tmpl w:val="37C4FFD7"/>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QwMTQyNjQxtDQytDBT0lEKTi0uzszPAykwrAUA3fJHeSwAAAA="/>
  </w:docVars>
  <w:rsids>
    <w:rsidRoot w:val="4C6B3395"/>
    <w:rsid w:val="00006E22"/>
    <w:rsid w:val="0001440D"/>
    <w:rsid w:val="00016B2B"/>
    <w:rsid w:val="0003407D"/>
    <w:rsid w:val="00053221"/>
    <w:rsid w:val="000811B0"/>
    <w:rsid w:val="000D17F0"/>
    <w:rsid w:val="001818D4"/>
    <w:rsid w:val="002408E1"/>
    <w:rsid w:val="00245DD7"/>
    <w:rsid w:val="002970B4"/>
    <w:rsid w:val="002A0C34"/>
    <w:rsid w:val="003433AD"/>
    <w:rsid w:val="0036195F"/>
    <w:rsid w:val="00382CED"/>
    <w:rsid w:val="00383658"/>
    <w:rsid w:val="00441C0D"/>
    <w:rsid w:val="005A2E8C"/>
    <w:rsid w:val="005B294F"/>
    <w:rsid w:val="0060023B"/>
    <w:rsid w:val="00607AE1"/>
    <w:rsid w:val="006A59E4"/>
    <w:rsid w:val="006F575B"/>
    <w:rsid w:val="006F5FD2"/>
    <w:rsid w:val="00741D12"/>
    <w:rsid w:val="007826F0"/>
    <w:rsid w:val="007A67A9"/>
    <w:rsid w:val="007E5CEE"/>
    <w:rsid w:val="00855D7D"/>
    <w:rsid w:val="008F7D61"/>
    <w:rsid w:val="00A210D1"/>
    <w:rsid w:val="00AA77EA"/>
    <w:rsid w:val="00AD6BC6"/>
    <w:rsid w:val="00B4626E"/>
    <w:rsid w:val="00B95B32"/>
    <w:rsid w:val="00EC4614"/>
    <w:rsid w:val="00EF5874"/>
    <w:rsid w:val="00F03ED6"/>
    <w:rsid w:val="00F70B57"/>
    <w:rsid w:val="00F86E28"/>
    <w:rsid w:val="00FB26A8"/>
    <w:rsid w:val="00FD0081"/>
    <w:rsid w:val="00FD5D17"/>
    <w:rsid w:val="00FE1B8B"/>
    <w:rsid w:val="00FE2732"/>
    <w:rsid w:val="00FF2B31"/>
    <w:rsid w:val="010D3DB2"/>
    <w:rsid w:val="052F4EB1"/>
    <w:rsid w:val="07AF6A0D"/>
    <w:rsid w:val="09B64070"/>
    <w:rsid w:val="103E674F"/>
    <w:rsid w:val="13AF658D"/>
    <w:rsid w:val="150F5F24"/>
    <w:rsid w:val="19153BC5"/>
    <w:rsid w:val="19226886"/>
    <w:rsid w:val="1CED701D"/>
    <w:rsid w:val="1DB5784A"/>
    <w:rsid w:val="20224202"/>
    <w:rsid w:val="21E671AD"/>
    <w:rsid w:val="25EC640A"/>
    <w:rsid w:val="261944C4"/>
    <w:rsid w:val="26756DB7"/>
    <w:rsid w:val="285E0DDD"/>
    <w:rsid w:val="2B971D19"/>
    <w:rsid w:val="2C0B0D71"/>
    <w:rsid w:val="2EDB3A61"/>
    <w:rsid w:val="330F581F"/>
    <w:rsid w:val="35B20571"/>
    <w:rsid w:val="35BA4CD3"/>
    <w:rsid w:val="3A033624"/>
    <w:rsid w:val="3A6C33D5"/>
    <w:rsid w:val="3F642776"/>
    <w:rsid w:val="407C78BE"/>
    <w:rsid w:val="41984C81"/>
    <w:rsid w:val="4413278F"/>
    <w:rsid w:val="449B0637"/>
    <w:rsid w:val="45E95E81"/>
    <w:rsid w:val="488711C2"/>
    <w:rsid w:val="4C6B3395"/>
    <w:rsid w:val="55F81265"/>
    <w:rsid w:val="58E069D8"/>
    <w:rsid w:val="59251D47"/>
    <w:rsid w:val="5927409B"/>
    <w:rsid w:val="5A1F6067"/>
    <w:rsid w:val="5BC2034D"/>
    <w:rsid w:val="5E593D4D"/>
    <w:rsid w:val="609D00CB"/>
    <w:rsid w:val="61104A3E"/>
    <w:rsid w:val="63066C80"/>
    <w:rsid w:val="63D17BFE"/>
    <w:rsid w:val="66466C2F"/>
    <w:rsid w:val="696D181C"/>
    <w:rsid w:val="6D702240"/>
    <w:rsid w:val="763D4278"/>
    <w:rsid w:val="76C05B19"/>
    <w:rsid w:val="7AF745AA"/>
    <w:rsid w:val="7B9947F7"/>
    <w:rsid w:val="7C605BD5"/>
    <w:rsid w:val="7C6C3589"/>
    <w:rsid w:val="7CC30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265D77"/>
  <w15:docId w15:val="{EFD5821A-8B50-4E6E-BC55-414FCE6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8B"/>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pic-highlight">
    <w:name w:val="topic-highlight"/>
    <w:basedOn w:val="DefaultParagraphFont"/>
    <w:qFormat/>
  </w:style>
  <w:style w:type="paragraph" w:customStyle="1" w:styleId="p">
    <w:name w:val="p"/>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006E22"/>
    <w:rPr>
      <w:color w:val="605E5C"/>
      <w:shd w:val="clear" w:color="auto" w:fill="E1DFDD"/>
    </w:rPr>
  </w:style>
  <w:style w:type="paragraph" w:styleId="ListParagraph">
    <w:name w:val="List Paragraph"/>
    <w:basedOn w:val="Normal"/>
    <w:uiPriority w:val="99"/>
    <w:unhideWhenUsed/>
    <w:rsid w:val="0060023B"/>
    <w:pPr>
      <w:ind w:left="720"/>
      <w:contextualSpacing/>
    </w:pPr>
  </w:style>
  <w:style w:type="paragraph" w:styleId="Header">
    <w:name w:val="header"/>
    <w:basedOn w:val="Normal"/>
    <w:link w:val="HeaderChar"/>
    <w:rsid w:val="00607AE1"/>
    <w:pPr>
      <w:tabs>
        <w:tab w:val="center" w:pos="4680"/>
        <w:tab w:val="right" w:pos="9360"/>
      </w:tabs>
      <w:spacing w:after="0" w:line="240" w:lineRule="auto"/>
    </w:pPr>
  </w:style>
  <w:style w:type="character" w:customStyle="1" w:styleId="HeaderChar">
    <w:name w:val="Header Char"/>
    <w:basedOn w:val="DefaultParagraphFont"/>
    <w:link w:val="Header"/>
    <w:rsid w:val="00607AE1"/>
    <w:rPr>
      <w:rFonts w:asciiTheme="minorHAnsi" w:eastAsiaTheme="minorEastAsia" w:hAnsiTheme="minorHAnsi" w:cstheme="minorBidi"/>
      <w:sz w:val="22"/>
      <w:szCs w:val="22"/>
      <w:lang w:val="en-US" w:eastAsia="en-US"/>
    </w:rPr>
  </w:style>
  <w:style w:type="paragraph" w:styleId="Footer">
    <w:name w:val="footer"/>
    <w:basedOn w:val="Normal"/>
    <w:link w:val="FooterChar"/>
    <w:rsid w:val="00607AE1"/>
    <w:pPr>
      <w:tabs>
        <w:tab w:val="center" w:pos="4680"/>
        <w:tab w:val="right" w:pos="9360"/>
      </w:tabs>
      <w:spacing w:after="0" w:line="240" w:lineRule="auto"/>
    </w:pPr>
  </w:style>
  <w:style w:type="character" w:customStyle="1" w:styleId="FooterChar">
    <w:name w:val="Footer Char"/>
    <w:basedOn w:val="DefaultParagraphFont"/>
    <w:link w:val="Footer"/>
    <w:rsid w:val="00607AE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89/fchem.2023.1158198" TargetMode="External"/><Relationship Id="rId26" Type="http://schemas.openxmlformats.org/officeDocument/2006/relationships/hyperlink" Target="https://doi.org/10.1002/ptr.687" TargetMode="External"/><Relationship Id="rId39" Type="http://schemas.openxmlformats.org/officeDocument/2006/relationships/hyperlink" Target="https://doi.org/10.3892/mmr.2017.6133" TargetMode="External"/><Relationship Id="rId3" Type="http://schemas.openxmlformats.org/officeDocument/2006/relationships/styles" Target="styles.xml"/><Relationship Id="rId21" Type="http://schemas.openxmlformats.org/officeDocument/2006/relationships/hyperlink" Target="https://doi.org/10.31254/phyto.2023.12307" TargetMode="External"/><Relationship Id="rId34" Type="http://schemas.openxmlformats.org/officeDocument/2006/relationships/hyperlink" Target="https://doi.org/10.2741/329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4218/JERP.2022.00028" TargetMode="External"/><Relationship Id="rId25" Type="http://schemas.openxmlformats.org/officeDocument/2006/relationships/hyperlink" Target="https://doi.org/10.1093/fqs/fyx007" TargetMode="External"/><Relationship Id="rId33" Type="http://schemas.openxmlformats.org/officeDocument/2006/relationships/hyperlink" Target="https://doi.org/10.3390/antiox13121447" TargetMode="External"/><Relationship Id="rId38" Type="http://schemas.openxmlformats.org/officeDocument/2006/relationships/hyperlink" Target="https://doi.org/10.1155/2020/8749083"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fsn3.70516" TargetMode="External"/><Relationship Id="rId20" Type="http://schemas.openxmlformats.org/officeDocument/2006/relationships/hyperlink" Target="https://doi.org/10.3390/molecules21101312" TargetMode="External"/><Relationship Id="rId29" Type="http://schemas.openxmlformats.org/officeDocument/2006/relationships/hyperlink" Target="http://www.academicjournals.org/JMPR" TargetMode="External"/><Relationship Id="rId41" Type="http://schemas.openxmlformats.org/officeDocument/2006/relationships/hyperlink" Target="https://doi.org/10.1016/j.fbio.2024.1036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cmet.2020.06.010" TargetMode="External"/><Relationship Id="rId32" Type="http://schemas.openxmlformats.org/officeDocument/2006/relationships/hyperlink" Target="https://doi.org/10.1021/jf9913458" TargetMode="External"/><Relationship Id="rId37" Type="http://schemas.openxmlformats.org/officeDocument/2006/relationships/hyperlink" Target="https://netjournals.org/journals/BBR/BBR_Abstract/2020/14_08_20/Tiamiyu_and_Okunlade.php" TargetMode="External"/><Relationship Id="rId40" Type="http://schemas.openxmlformats.org/officeDocument/2006/relationships/hyperlink" Target="https://doi.org/10.1146/annurev.nutr.21.1.38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174/1871526518666180628124323" TargetMode="External"/><Relationship Id="rId23" Type="http://schemas.openxmlformats.org/officeDocument/2006/relationships/hyperlink" Target="https://doi.org/10.1007/s00204-023-03562-9" TargetMode="External"/><Relationship Id="rId28" Type="http://schemas.openxmlformats.org/officeDocument/2006/relationships/hyperlink" Target="https://www.foodsciencejournal.com/archives/2017/vol2/issue3/2-3-13-17.pdf" TargetMode="External"/><Relationship Id="rId36" Type="http://schemas.openxmlformats.org/officeDocument/2006/relationships/hyperlink" Target="https://doi.org/10.1016/j.cnur.2020.10.003"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16/j.jenvman.2018.03.009" TargetMode="External"/><Relationship Id="rId31" Type="http://schemas.openxmlformats.org/officeDocument/2006/relationships/hyperlink" Target="https://doi.org/10.1155/2017/841676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030-04624-8_36" TargetMode="External"/><Relationship Id="rId22" Type="http://schemas.openxmlformats.org/officeDocument/2006/relationships/hyperlink" Target="https://doi.org/10.4038/cjs.v47i4.7557" TargetMode="External"/><Relationship Id="rId27" Type="http://schemas.openxmlformats.org/officeDocument/2006/relationships/hyperlink" Target="https://www.ajol.info/index.php/jasem" TargetMode="External"/><Relationship Id="rId30" Type="http://schemas.openxmlformats.org/officeDocument/2006/relationships/hyperlink" Target="https://doi.org/10.1201/9781003361497-12" TargetMode="External"/><Relationship Id="rId35" Type="http://schemas.openxmlformats.org/officeDocument/2006/relationships/hyperlink" Target="https://doi.org/10.3389/fphys.2020.0069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18</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Compu City</cp:lastModifiedBy>
  <cp:revision>28</cp:revision>
  <dcterms:created xsi:type="dcterms:W3CDTF">2025-12-13T03:16:00Z</dcterms:created>
  <dcterms:modified xsi:type="dcterms:W3CDTF">2025-12-27T19:24:00Z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y fmtid="{D5CDD505-2E9C-101B-9397-08002B2CF9AE}" pid="4" name="GrammarlyDocumentId">
    <vt:lpwstr>116178f3-67b9-4358-9e28-916548dae745</vt:lpwstr>
  </property>
</Properties>
</file>