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1760" w14:textId="77777777" w:rsidR="00DC5759" w:rsidRDefault="00DC5759" w:rsidP="009C40B5">
      <w:pPr>
        <w:jc w:val="center"/>
        <w:rPr>
          <w:rFonts w:ascii="Arial" w:hAnsi="Arial" w:cs="Arial"/>
          <w:b/>
          <w:bCs/>
          <w:color w:val="000000" w:themeColor="text1"/>
          <w:sz w:val="36"/>
          <w:szCs w:val="36"/>
          <w:lang w:val="en-GB"/>
        </w:rPr>
      </w:pPr>
      <w:r w:rsidRPr="00DC5759">
        <w:rPr>
          <w:rFonts w:ascii="Arial" w:hAnsi="Arial" w:cs="Arial"/>
          <w:b/>
          <w:bCs/>
          <w:color w:val="000000" w:themeColor="text1"/>
          <w:sz w:val="36"/>
          <w:szCs w:val="36"/>
          <w:lang w:val="en-GB"/>
        </w:rPr>
        <w:t>Original Research Article</w:t>
      </w:r>
    </w:p>
    <w:p w14:paraId="2B267074" w14:textId="77777777" w:rsidR="009C40B5" w:rsidRPr="009C40B5" w:rsidRDefault="009C40B5" w:rsidP="009C40B5">
      <w:pPr>
        <w:jc w:val="center"/>
        <w:rPr>
          <w:rFonts w:ascii="Arial" w:hAnsi="Arial" w:cs="Arial"/>
          <w:b/>
          <w:bCs/>
          <w:color w:val="000000" w:themeColor="text1"/>
          <w:sz w:val="36"/>
          <w:szCs w:val="36"/>
        </w:rPr>
      </w:pPr>
      <w:r w:rsidRPr="009C40B5">
        <w:rPr>
          <w:rFonts w:ascii="Arial" w:hAnsi="Arial" w:cs="Arial"/>
          <w:b/>
          <w:bCs/>
          <w:color w:val="000000" w:themeColor="text1"/>
          <w:sz w:val="36"/>
          <w:szCs w:val="36"/>
        </w:rPr>
        <w:t xml:space="preserve">Extraction and Characterization of Oils from </w:t>
      </w:r>
      <w:proofErr w:type="spellStart"/>
      <w:r w:rsidRPr="009C40B5">
        <w:rPr>
          <w:rFonts w:ascii="Arial" w:hAnsi="Arial" w:cs="Arial"/>
          <w:b/>
          <w:bCs/>
          <w:i/>
          <w:iCs/>
          <w:color w:val="000000" w:themeColor="text1"/>
          <w:sz w:val="36"/>
          <w:szCs w:val="36"/>
        </w:rPr>
        <w:t>Cussonia</w:t>
      </w:r>
      <w:proofErr w:type="spellEnd"/>
      <w:r w:rsidRPr="009C40B5">
        <w:rPr>
          <w:rFonts w:ascii="Arial" w:hAnsi="Arial" w:cs="Arial"/>
          <w:b/>
          <w:bCs/>
          <w:i/>
          <w:iCs/>
          <w:color w:val="000000" w:themeColor="text1"/>
          <w:sz w:val="36"/>
          <w:szCs w:val="36"/>
        </w:rPr>
        <w:t xml:space="preserve"> </w:t>
      </w:r>
      <w:proofErr w:type="spellStart"/>
      <w:r w:rsidRPr="009C40B5">
        <w:rPr>
          <w:rFonts w:ascii="Arial" w:hAnsi="Arial" w:cs="Arial"/>
          <w:b/>
          <w:bCs/>
          <w:i/>
          <w:iCs/>
          <w:color w:val="000000" w:themeColor="text1"/>
          <w:sz w:val="36"/>
          <w:szCs w:val="36"/>
        </w:rPr>
        <w:t>bateri</w:t>
      </w:r>
      <w:proofErr w:type="spellEnd"/>
      <w:r w:rsidRPr="009C40B5">
        <w:rPr>
          <w:rFonts w:ascii="Arial" w:hAnsi="Arial" w:cs="Arial"/>
          <w:b/>
          <w:bCs/>
          <w:color w:val="000000" w:themeColor="text1"/>
          <w:sz w:val="36"/>
          <w:szCs w:val="36"/>
        </w:rPr>
        <w:t xml:space="preserve"> (Jansa) and </w:t>
      </w:r>
      <w:r w:rsidRPr="009C40B5">
        <w:rPr>
          <w:rFonts w:ascii="Arial" w:hAnsi="Arial" w:cs="Arial"/>
          <w:b/>
          <w:bCs/>
          <w:i/>
          <w:iCs/>
          <w:color w:val="000000" w:themeColor="text1"/>
          <w:sz w:val="36"/>
          <w:szCs w:val="36"/>
        </w:rPr>
        <w:t xml:space="preserve">Chrysobalanus </w:t>
      </w:r>
      <w:proofErr w:type="spellStart"/>
      <w:r w:rsidRPr="009C40B5">
        <w:rPr>
          <w:rFonts w:ascii="Arial" w:hAnsi="Arial" w:cs="Arial"/>
          <w:b/>
          <w:bCs/>
          <w:i/>
          <w:iCs/>
          <w:color w:val="000000" w:themeColor="text1"/>
          <w:sz w:val="36"/>
          <w:szCs w:val="36"/>
        </w:rPr>
        <w:t>icaco</w:t>
      </w:r>
      <w:proofErr w:type="spellEnd"/>
      <w:r w:rsidRPr="009C40B5">
        <w:rPr>
          <w:rFonts w:ascii="Arial" w:hAnsi="Arial" w:cs="Arial"/>
          <w:b/>
          <w:bCs/>
          <w:color w:val="000000" w:themeColor="text1"/>
          <w:sz w:val="36"/>
          <w:szCs w:val="36"/>
        </w:rPr>
        <w:t xml:space="preserve"> (</w:t>
      </w:r>
      <w:proofErr w:type="spellStart"/>
      <w:r w:rsidRPr="009C40B5">
        <w:rPr>
          <w:rFonts w:ascii="Arial" w:hAnsi="Arial" w:cs="Arial"/>
          <w:b/>
          <w:bCs/>
          <w:color w:val="000000" w:themeColor="text1"/>
          <w:sz w:val="36"/>
          <w:szCs w:val="36"/>
        </w:rPr>
        <w:t>Omillo</w:t>
      </w:r>
      <w:proofErr w:type="spellEnd"/>
      <w:r w:rsidRPr="009C40B5">
        <w:rPr>
          <w:rFonts w:ascii="Arial" w:hAnsi="Arial" w:cs="Arial"/>
          <w:b/>
          <w:bCs/>
          <w:color w:val="000000" w:themeColor="text1"/>
          <w:sz w:val="36"/>
          <w:szCs w:val="36"/>
        </w:rPr>
        <w:t>) Seeds</w:t>
      </w:r>
    </w:p>
    <w:p w14:paraId="7CB4DCEA" w14:textId="77777777" w:rsidR="00A258C3" w:rsidRPr="009C40B5" w:rsidRDefault="00A258C3" w:rsidP="00441B6F">
      <w:pPr>
        <w:pStyle w:val="Author"/>
        <w:spacing w:line="240" w:lineRule="auto"/>
        <w:jc w:val="both"/>
        <w:rPr>
          <w:rFonts w:ascii="Arial" w:hAnsi="Arial" w:cs="Arial"/>
          <w:sz w:val="36"/>
          <w:szCs w:val="36"/>
        </w:rPr>
      </w:pPr>
    </w:p>
    <w:p w14:paraId="418C07DA" w14:textId="77777777" w:rsidR="00F26063" w:rsidRPr="009C40B5" w:rsidRDefault="00F26063" w:rsidP="00F26063">
      <w:pPr>
        <w:jc w:val="center"/>
        <w:rPr>
          <w:rFonts w:ascii="Arial" w:hAnsi="Arial" w:cs="Arial"/>
          <w:i/>
          <w:color w:val="000000" w:themeColor="text1"/>
        </w:rPr>
      </w:pPr>
    </w:p>
    <w:p w14:paraId="34160000" w14:textId="77777777" w:rsidR="00B01FCD" w:rsidRPr="00FB3A86" w:rsidRDefault="00F573C8" w:rsidP="00441B6F">
      <w:pPr>
        <w:pStyle w:val="Copyright"/>
        <w:spacing w:after="0" w:line="240" w:lineRule="auto"/>
        <w:jc w:val="both"/>
        <w:rPr>
          <w:rFonts w:ascii="Arial" w:hAnsi="Arial" w:cs="Arial"/>
        </w:rPr>
        <w:sectPr w:rsidR="00B01FCD" w:rsidRPr="00FB3A86" w:rsidSect="00925B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4C0F80" wp14:editId="73FB6D1A">
                <wp:extent cx="5303520" cy="635"/>
                <wp:effectExtent l="11430" t="17780" r="9525" b="10795"/>
                <wp:docPr id="1822779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0F1C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B0AD69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F6C20C" w14:textId="77777777" w:rsidTr="001E44FE">
        <w:tc>
          <w:tcPr>
            <w:tcW w:w="9576" w:type="dxa"/>
            <w:shd w:val="clear" w:color="auto" w:fill="F2F2F2"/>
          </w:tcPr>
          <w:p w14:paraId="79D84456" w14:textId="77777777" w:rsidR="00BA1B01" w:rsidRDefault="00BA1B01" w:rsidP="00441B6F">
            <w:pPr>
              <w:pStyle w:val="Body"/>
              <w:spacing w:after="0"/>
              <w:rPr>
                <w:rFonts w:ascii="Arial" w:hAnsi="Arial" w:cs="Arial"/>
                <w:color w:val="000000" w:themeColor="text1"/>
                <w:sz w:val="24"/>
                <w:szCs w:val="24"/>
              </w:rPr>
            </w:pPr>
            <w:r w:rsidRPr="00BA1B01">
              <w:rPr>
                <w:rFonts w:ascii="Arial" w:eastAsia="Calibri" w:hAnsi="Arial" w:cs="Arial"/>
                <w:b/>
                <w:szCs w:val="22"/>
              </w:rPr>
              <w:t xml:space="preserve">Aims: </w:t>
            </w:r>
            <w:r w:rsidR="009C40B5">
              <w:rPr>
                <w:rFonts w:ascii="Arial" w:hAnsi="Arial" w:cs="Arial"/>
                <w:color w:val="000000" w:themeColor="text1"/>
              </w:rPr>
              <w:t>To</w:t>
            </w:r>
            <w:r w:rsidR="009C40B5" w:rsidRPr="009C40B5">
              <w:rPr>
                <w:rFonts w:ascii="Arial" w:hAnsi="Arial" w:cs="Arial"/>
                <w:color w:val="000000" w:themeColor="text1"/>
              </w:rPr>
              <w:t xml:space="preserve"> extract and character</w:t>
            </w:r>
            <w:r w:rsidR="009C40B5">
              <w:rPr>
                <w:rFonts w:ascii="Arial" w:hAnsi="Arial" w:cs="Arial"/>
                <w:color w:val="000000" w:themeColor="text1"/>
              </w:rPr>
              <w:t xml:space="preserve">ize </w:t>
            </w:r>
            <w:r w:rsidR="009C40B5" w:rsidRPr="009C40B5">
              <w:rPr>
                <w:rFonts w:ascii="Arial" w:hAnsi="Arial" w:cs="Arial"/>
                <w:color w:val="000000" w:themeColor="text1"/>
              </w:rPr>
              <w:t xml:space="preserve">oils obtained from </w:t>
            </w:r>
            <w:proofErr w:type="spellStart"/>
            <w:r w:rsidR="009C40B5" w:rsidRPr="009C40B5">
              <w:rPr>
                <w:rFonts w:ascii="Arial" w:hAnsi="Arial" w:cs="Arial"/>
                <w:i/>
                <w:iCs/>
                <w:color w:val="000000" w:themeColor="text1"/>
              </w:rPr>
              <w:t>Cussonia</w:t>
            </w:r>
            <w:proofErr w:type="spellEnd"/>
            <w:r w:rsidR="009C40B5" w:rsidRPr="009C40B5">
              <w:rPr>
                <w:rFonts w:ascii="Arial" w:hAnsi="Arial" w:cs="Arial"/>
                <w:i/>
                <w:iCs/>
                <w:color w:val="000000" w:themeColor="text1"/>
              </w:rPr>
              <w:t xml:space="preserve"> </w:t>
            </w:r>
            <w:proofErr w:type="spellStart"/>
            <w:r w:rsidR="009C40B5" w:rsidRPr="009C40B5">
              <w:rPr>
                <w:rFonts w:ascii="Arial" w:hAnsi="Arial" w:cs="Arial"/>
                <w:i/>
                <w:iCs/>
                <w:color w:val="000000" w:themeColor="text1"/>
              </w:rPr>
              <w:t>bateri</w:t>
            </w:r>
            <w:proofErr w:type="spellEnd"/>
            <w:r w:rsidR="009C40B5" w:rsidRPr="009C40B5">
              <w:rPr>
                <w:rFonts w:ascii="Arial" w:hAnsi="Arial" w:cs="Arial"/>
                <w:color w:val="000000" w:themeColor="text1"/>
              </w:rPr>
              <w:t xml:space="preserve"> (Jansa) and </w:t>
            </w:r>
            <w:r w:rsidR="009C40B5" w:rsidRPr="009C40B5">
              <w:rPr>
                <w:rFonts w:ascii="Arial" w:hAnsi="Arial" w:cs="Arial"/>
                <w:i/>
                <w:iCs/>
                <w:color w:val="000000" w:themeColor="text1"/>
              </w:rPr>
              <w:t xml:space="preserve">Chrysobalanus </w:t>
            </w:r>
            <w:proofErr w:type="spellStart"/>
            <w:r w:rsidR="009C40B5" w:rsidRPr="009C40B5">
              <w:rPr>
                <w:rFonts w:ascii="Arial" w:hAnsi="Arial" w:cs="Arial"/>
                <w:i/>
                <w:iCs/>
                <w:color w:val="000000" w:themeColor="text1"/>
              </w:rPr>
              <w:t>icaco</w:t>
            </w:r>
            <w:proofErr w:type="spellEnd"/>
            <w:r w:rsidR="009C40B5" w:rsidRPr="009C40B5">
              <w:rPr>
                <w:rFonts w:ascii="Arial" w:hAnsi="Arial" w:cs="Arial"/>
                <w:color w:val="000000" w:themeColor="text1"/>
              </w:rPr>
              <w:t xml:space="preserve"> (</w:t>
            </w:r>
            <w:proofErr w:type="spellStart"/>
            <w:r w:rsidR="009C40B5" w:rsidRPr="009C40B5">
              <w:rPr>
                <w:rFonts w:ascii="Arial" w:hAnsi="Arial" w:cs="Arial"/>
                <w:color w:val="000000" w:themeColor="text1"/>
              </w:rPr>
              <w:t>Omillo</w:t>
            </w:r>
            <w:proofErr w:type="spellEnd"/>
            <w:r w:rsidR="009C40B5" w:rsidRPr="009C40B5">
              <w:rPr>
                <w:rFonts w:ascii="Arial" w:hAnsi="Arial" w:cs="Arial"/>
                <w:color w:val="000000" w:themeColor="text1"/>
              </w:rPr>
              <w:t>) seeds.</w:t>
            </w:r>
            <w:r w:rsidR="009C40B5" w:rsidRPr="00370D41">
              <w:rPr>
                <w:rFonts w:ascii="Arial" w:hAnsi="Arial" w:cs="Arial"/>
                <w:color w:val="000000" w:themeColor="text1"/>
                <w:sz w:val="24"/>
                <w:szCs w:val="24"/>
              </w:rPr>
              <w:t xml:space="preserve"> </w:t>
            </w:r>
          </w:p>
          <w:p w14:paraId="78C28861" w14:textId="77777777" w:rsidR="009C40B5" w:rsidRDefault="009C40B5" w:rsidP="009C40B5">
            <w:pPr>
              <w:jc w:val="both"/>
              <w:rPr>
                <w:rFonts w:ascii="Arial" w:hAnsi="Arial" w:cs="Arial"/>
                <w:color w:val="000000" w:themeColor="text1"/>
                <w:lang w:val="en-GB"/>
              </w:rPr>
            </w:pPr>
            <w:r w:rsidRPr="005A4BAB">
              <w:rPr>
                <w:rFonts w:ascii="Arial" w:hAnsi="Arial" w:cs="Arial"/>
                <w:b/>
                <w:bCs/>
                <w:color w:val="000000" w:themeColor="text1"/>
                <w:lang w:val="en-GB"/>
              </w:rPr>
              <w:t>Place and Duration of Study</w:t>
            </w:r>
            <w:r w:rsidRPr="005A4BAB">
              <w:rPr>
                <w:rFonts w:ascii="Arial" w:hAnsi="Arial" w:cs="Arial"/>
                <w:color w:val="000000" w:themeColor="text1"/>
                <w:lang w:val="en-GB"/>
              </w:rPr>
              <w:t xml:space="preserve">: </w:t>
            </w:r>
            <w:proofErr w:type="spellStart"/>
            <w:r w:rsidRPr="009C40B5">
              <w:rPr>
                <w:rFonts w:ascii="Arial" w:hAnsi="Arial" w:cs="Arial"/>
                <w:color w:val="000000" w:themeColor="text1"/>
              </w:rPr>
              <w:t>Biochem</w:t>
            </w:r>
            <w:proofErr w:type="spellEnd"/>
            <w:r w:rsidRPr="009C40B5">
              <w:rPr>
                <w:rFonts w:ascii="Arial" w:hAnsi="Arial" w:cs="Arial"/>
                <w:color w:val="000000" w:themeColor="text1"/>
              </w:rPr>
              <w:t xml:space="preserve"> Analytics Laboratory, Enugu</w:t>
            </w:r>
            <w:r w:rsidRPr="005A4BAB">
              <w:rPr>
                <w:rFonts w:ascii="Arial" w:hAnsi="Arial" w:cs="Arial"/>
                <w:color w:val="000000" w:themeColor="text1"/>
                <w:lang w:val="en-GB"/>
              </w:rPr>
              <w:t>, June 20</w:t>
            </w:r>
            <w:r w:rsidRPr="005A4BAB">
              <w:rPr>
                <w:rFonts w:ascii="Arial" w:hAnsi="Arial" w:cs="Arial"/>
                <w:color w:val="000000" w:themeColor="text1"/>
              </w:rPr>
              <w:t>24</w:t>
            </w:r>
            <w:r w:rsidRPr="005A4BAB">
              <w:rPr>
                <w:rFonts w:ascii="Arial" w:hAnsi="Arial" w:cs="Arial"/>
                <w:color w:val="000000" w:themeColor="text1"/>
                <w:lang w:val="en-GB"/>
              </w:rPr>
              <w:t xml:space="preserve"> to June 202</w:t>
            </w:r>
            <w:r w:rsidRPr="005A4BAB">
              <w:rPr>
                <w:rFonts w:ascii="Arial" w:hAnsi="Arial" w:cs="Arial"/>
                <w:color w:val="000000" w:themeColor="text1"/>
              </w:rPr>
              <w:t>5</w:t>
            </w:r>
            <w:r w:rsidRPr="005A4BAB">
              <w:rPr>
                <w:rFonts w:ascii="Arial" w:hAnsi="Arial" w:cs="Arial"/>
                <w:color w:val="000000" w:themeColor="text1"/>
                <w:lang w:val="en-GB"/>
              </w:rPr>
              <w:t xml:space="preserve">. </w:t>
            </w:r>
          </w:p>
          <w:p w14:paraId="59F6FC3B" w14:textId="77777777" w:rsidR="006026D0" w:rsidRPr="00BA1B01" w:rsidRDefault="006026D0" w:rsidP="006026D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Mention the design of the study here</w:t>
            </w:r>
            <w:r w:rsidRPr="00BA1B01">
              <w:rPr>
                <w:rFonts w:ascii="Arial" w:eastAsia="Calibri" w:hAnsi="Arial" w:cs="Arial"/>
                <w:szCs w:val="22"/>
              </w:rPr>
              <w:t>.</w:t>
            </w:r>
          </w:p>
          <w:p w14:paraId="73373B2C" w14:textId="77777777" w:rsidR="009C40B5" w:rsidRPr="005A4BAB" w:rsidRDefault="009C40B5" w:rsidP="009C40B5">
            <w:pPr>
              <w:jc w:val="both"/>
              <w:rPr>
                <w:rFonts w:ascii="Arial" w:hAnsi="Arial" w:cs="Arial"/>
                <w:color w:val="000000" w:themeColor="text1"/>
              </w:rPr>
            </w:pPr>
            <w:r w:rsidRPr="005A4BAB">
              <w:rPr>
                <w:rFonts w:ascii="Arial" w:hAnsi="Arial" w:cs="Arial"/>
                <w:b/>
                <w:bCs/>
                <w:color w:val="000000" w:themeColor="text1"/>
                <w:lang w:val="en-GB"/>
              </w:rPr>
              <w:t>Methodology</w:t>
            </w:r>
            <w:r w:rsidRPr="005A4BAB">
              <w:rPr>
                <w:rFonts w:ascii="Arial" w:hAnsi="Arial" w:cs="Arial"/>
                <w:color w:val="000000" w:themeColor="text1"/>
                <w:lang w:val="en-GB"/>
              </w:rPr>
              <w:t xml:space="preserve">: </w:t>
            </w:r>
            <w:r w:rsidRPr="005A4BAB">
              <w:rPr>
                <w:rFonts w:ascii="Arial" w:hAnsi="Arial" w:cs="Arial"/>
                <w:color w:val="000000" w:themeColor="text1"/>
              </w:rPr>
              <w:t>The oils were extracted using the Soxhlet method with n-hexane as solvent and characterized for key physicochemical properties including oil yield, density, viscosity, acid value, saponification value, iodine value, and moisture content. Fourier Transform Infrared (FTIR) spectroscopy, Gas Chromatography–Mass Spectrometry (GC–MS), were employed to determine functional groups and chemical composition.</w:t>
            </w:r>
            <w:r w:rsidRPr="005A4BAB">
              <w:rPr>
                <w:rFonts w:ascii="Arial" w:hAnsi="Arial" w:cs="Arial"/>
                <w:color w:val="000000" w:themeColor="text1"/>
                <w:lang w:val="en-GB"/>
              </w:rPr>
              <w:t xml:space="preserve"> </w:t>
            </w:r>
          </w:p>
          <w:p w14:paraId="28E5FBB9" w14:textId="77777777" w:rsidR="00505F06" w:rsidRPr="00BA1B01" w:rsidRDefault="009C40B5" w:rsidP="006026D0">
            <w:pPr>
              <w:jc w:val="both"/>
              <w:rPr>
                <w:rFonts w:ascii="Arial" w:eastAsia="Calibri" w:hAnsi="Arial" w:cs="Arial"/>
                <w:szCs w:val="22"/>
              </w:rPr>
            </w:pPr>
            <w:commentRangeStart w:id="0"/>
            <w:r w:rsidRPr="005A4BAB">
              <w:rPr>
                <w:rFonts w:ascii="Arial" w:hAnsi="Arial" w:cs="Arial"/>
                <w:b/>
                <w:bCs/>
                <w:color w:val="000000" w:themeColor="text1"/>
                <w:lang w:val="en-GB"/>
              </w:rPr>
              <w:t>Results</w:t>
            </w:r>
            <w:r w:rsidRPr="005A4BAB">
              <w:rPr>
                <w:rFonts w:ascii="Arial" w:hAnsi="Arial" w:cs="Arial"/>
                <w:color w:val="000000" w:themeColor="text1"/>
                <w:lang w:val="en-GB"/>
              </w:rPr>
              <w:t xml:space="preserve">: </w:t>
            </w:r>
            <w:r w:rsidRPr="005A4BAB">
              <w:rPr>
                <w:rFonts w:ascii="Arial" w:hAnsi="Arial" w:cs="Arial"/>
                <w:color w:val="000000" w:themeColor="text1"/>
              </w:rPr>
              <w:t xml:space="preserve">The results revealed that </w:t>
            </w:r>
            <w:r w:rsidR="006026D0" w:rsidRPr="006026D0">
              <w:rPr>
                <w:rFonts w:ascii="Arial" w:hAnsi="Arial" w:cs="Arial"/>
                <w:color w:val="000000" w:themeColor="text1"/>
              </w:rPr>
              <w:t xml:space="preserve">Jansa seeds yielded significantly more oil (50.21%) than </w:t>
            </w:r>
            <w:proofErr w:type="spellStart"/>
            <w:r w:rsidR="006026D0" w:rsidRPr="006026D0">
              <w:rPr>
                <w:rFonts w:ascii="Arial" w:hAnsi="Arial" w:cs="Arial"/>
                <w:color w:val="000000" w:themeColor="text1"/>
              </w:rPr>
              <w:t>Omillo</w:t>
            </w:r>
            <w:proofErr w:type="spellEnd"/>
            <w:r w:rsidR="006026D0" w:rsidRPr="006026D0">
              <w:rPr>
                <w:rFonts w:ascii="Arial" w:hAnsi="Arial" w:cs="Arial"/>
                <w:color w:val="000000" w:themeColor="text1"/>
              </w:rPr>
              <w:t xml:space="preserve"> seeds (10.77%)</w:t>
            </w:r>
            <w:r w:rsidR="006026D0">
              <w:rPr>
                <w:rFonts w:ascii="Arial" w:hAnsi="Arial" w:cs="Arial"/>
                <w:color w:val="000000" w:themeColor="text1"/>
              </w:rPr>
              <w:t xml:space="preserve">. </w:t>
            </w:r>
            <w:r w:rsidR="006026D0" w:rsidRPr="006026D0">
              <w:rPr>
                <w:rFonts w:ascii="Arial" w:hAnsi="Arial" w:cs="Arial"/>
                <w:color w:val="000000" w:themeColor="text1"/>
              </w:rPr>
              <w:t>FTIR spectroscopy confirmed the presence of key functional groups—O–H, C=O, and C–H vibrations—commonly found in triglycerides and fatty acid esters. These spectral features were consistent with GC–MS results, which identified fatty acid methyl esters and aliphatic compounds as the dominant constituents in both oils</w:t>
            </w:r>
            <w:r w:rsidR="006026D0">
              <w:rPr>
                <w:rFonts w:ascii="Arial" w:hAnsi="Arial" w:cs="Arial"/>
                <w:color w:val="000000" w:themeColor="text1"/>
              </w:rPr>
              <w:t>.</w:t>
            </w:r>
            <w:commentRangeEnd w:id="0"/>
            <w:r w:rsidR="00256005">
              <w:rPr>
                <w:rStyle w:val="CommentReference"/>
                <w:rFonts w:ascii="Times New Roman" w:hAnsi="Times New Roman"/>
                <w:lang w:val="nb-NO" w:eastAsia="nb-NO"/>
              </w:rPr>
              <w:commentReference w:id="0"/>
            </w:r>
          </w:p>
        </w:tc>
      </w:tr>
    </w:tbl>
    <w:p w14:paraId="2A7F1808" w14:textId="77777777" w:rsidR="00636EB2" w:rsidRDefault="00636EB2" w:rsidP="00441B6F">
      <w:pPr>
        <w:pStyle w:val="Body"/>
        <w:spacing w:after="0"/>
        <w:rPr>
          <w:rFonts w:ascii="Arial" w:hAnsi="Arial" w:cs="Arial"/>
          <w:i/>
        </w:rPr>
      </w:pPr>
    </w:p>
    <w:p w14:paraId="68C9C44B" w14:textId="77777777" w:rsidR="006026D0" w:rsidRPr="006026D0" w:rsidRDefault="00A24E7E" w:rsidP="006026D0">
      <w:pPr>
        <w:jc w:val="both"/>
        <w:rPr>
          <w:rFonts w:ascii="Arial" w:hAnsi="Arial" w:cs="Arial"/>
          <w:i/>
        </w:rPr>
      </w:pPr>
      <w:r>
        <w:rPr>
          <w:rFonts w:ascii="Arial" w:hAnsi="Arial" w:cs="Arial"/>
          <w:i/>
        </w:rPr>
        <w:t xml:space="preserve">Keywords: </w:t>
      </w:r>
      <w:r w:rsidR="006026D0" w:rsidRPr="006026D0">
        <w:rPr>
          <w:rFonts w:ascii="Arial" w:hAnsi="Arial" w:cs="Arial"/>
          <w:i/>
        </w:rPr>
        <w:t xml:space="preserve">Jansa oil, </w:t>
      </w:r>
      <w:proofErr w:type="spellStart"/>
      <w:r w:rsidR="006026D0" w:rsidRPr="006026D0">
        <w:rPr>
          <w:rFonts w:ascii="Arial" w:hAnsi="Arial" w:cs="Arial"/>
          <w:i/>
        </w:rPr>
        <w:t>Omillo</w:t>
      </w:r>
      <w:proofErr w:type="spellEnd"/>
      <w:r w:rsidR="006026D0" w:rsidRPr="006026D0">
        <w:rPr>
          <w:rFonts w:ascii="Arial" w:hAnsi="Arial" w:cs="Arial"/>
          <w:i/>
        </w:rPr>
        <w:t xml:space="preserve"> oil, physicochemical characterization, GC–MS, FTIR </w:t>
      </w:r>
    </w:p>
    <w:p w14:paraId="1F7C65D6" w14:textId="77777777" w:rsidR="00790ADA" w:rsidRDefault="00790ADA" w:rsidP="00441B6F">
      <w:pPr>
        <w:pStyle w:val="Body"/>
        <w:spacing w:after="0"/>
        <w:rPr>
          <w:rFonts w:ascii="Arial" w:hAnsi="Arial" w:cs="Arial"/>
          <w:i/>
        </w:rPr>
      </w:pPr>
    </w:p>
    <w:p w14:paraId="025B8E80" w14:textId="77777777" w:rsidR="0024282C" w:rsidRDefault="0024282C" w:rsidP="00441B6F">
      <w:pPr>
        <w:pStyle w:val="Body"/>
        <w:spacing w:after="0"/>
        <w:rPr>
          <w:rFonts w:ascii="Arial" w:hAnsi="Arial" w:cs="Arial"/>
          <w:i/>
          <w:sz w:val="18"/>
        </w:rPr>
      </w:pPr>
    </w:p>
    <w:p w14:paraId="0D766A1E" w14:textId="77777777" w:rsidR="00505F06" w:rsidRPr="00A24E7E" w:rsidRDefault="00505F06" w:rsidP="00441B6F">
      <w:pPr>
        <w:pStyle w:val="Body"/>
        <w:spacing w:after="0"/>
        <w:rPr>
          <w:rFonts w:ascii="Arial" w:hAnsi="Arial" w:cs="Arial"/>
          <w:i/>
        </w:rPr>
      </w:pPr>
    </w:p>
    <w:p w14:paraId="12D1BB6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0FE365" w14:textId="77777777" w:rsidR="00790ADA" w:rsidRPr="00FB3A86" w:rsidRDefault="00790ADA" w:rsidP="00441B6F">
      <w:pPr>
        <w:pStyle w:val="AbstHead"/>
        <w:spacing w:after="0"/>
        <w:jc w:val="both"/>
        <w:rPr>
          <w:rFonts w:ascii="Arial" w:hAnsi="Arial" w:cs="Arial"/>
        </w:rPr>
      </w:pPr>
    </w:p>
    <w:p w14:paraId="63936644" w14:textId="77777777" w:rsidR="006026D0" w:rsidRPr="00546379" w:rsidRDefault="006026D0" w:rsidP="006026D0">
      <w:pPr>
        <w:spacing w:after="160" w:line="278" w:lineRule="auto"/>
        <w:jc w:val="both"/>
        <w:rPr>
          <w:rFonts w:ascii="Arial" w:hAnsi="Arial" w:cs="Arial"/>
        </w:rPr>
      </w:pPr>
      <w:r w:rsidRPr="00546379">
        <w:rPr>
          <w:rFonts w:ascii="Arial" w:hAnsi="Arial" w:cs="Arial"/>
        </w:rPr>
        <w:t>The growing demand for plant-derived oils has spurred research into alternative, underutilized botanical sources beyond conventional edible oils. This demand is intensified by the expanding applications of vegetable oils in food, pharmaceutical formulations, cosmetics, surfactants, and biofuels. As global concern increases regarding the competition between food and industrial uses of edible oils, attention is turning toward non-edible and unconventional seeds as sustainable substitutes. In many developing regions, particularly in Africa, numerous oil-bearing seeds remain underexplored despite their traditional use by local communities.</w:t>
      </w:r>
    </w:p>
    <w:p w14:paraId="28C730F8" w14:textId="77777777" w:rsidR="006026D0" w:rsidRPr="00546379" w:rsidRDefault="006026D0" w:rsidP="006026D0">
      <w:pPr>
        <w:spacing w:after="160" w:line="278" w:lineRule="auto"/>
        <w:jc w:val="both"/>
        <w:rPr>
          <w:rFonts w:ascii="Arial" w:hAnsi="Arial" w:cs="Arial"/>
        </w:rPr>
      </w:pPr>
      <w:r w:rsidRPr="00546379">
        <w:rPr>
          <w:rFonts w:ascii="Arial" w:hAnsi="Arial" w:cs="Arial"/>
        </w:rPr>
        <w:t xml:space="preserve">Oil characteristics such as iodine value, saponification value, refractive index, density, and viscosity determine suitability for nutritional, industrial, or cosmetic purposes. Comprehensive characterization using Fourier-transform infrared (FTIR) spectroscopy and Gas Chromatography–Mass Spectrometry (GC–MS) has become essential for identifying functional groups, determining molecular structures, and profiling fatty acids in seed oils. However, scientific information on </w:t>
      </w:r>
      <w:r w:rsidRPr="00546379">
        <w:rPr>
          <w:rFonts w:ascii="Arial" w:hAnsi="Arial" w:cs="Arial"/>
          <w:i/>
          <w:iCs/>
        </w:rPr>
        <w:t>Jansa</w:t>
      </w:r>
      <w:r w:rsidRPr="00546379">
        <w:rPr>
          <w:rFonts w:ascii="Arial" w:hAnsi="Arial" w:cs="Arial"/>
        </w:rPr>
        <w:t xml:space="preserve"> and </w:t>
      </w:r>
      <w:proofErr w:type="spellStart"/>
      <w:r w:rsidRPr="00546379">
        <w:rPr>
          <w:rFonts w:ascii="Arial" w:hAnsi="Arial" w:cs="Arial"/>
          <w:i/>
          <w:iCs/>
        </w:rPr>
        <w:t>Omillo</w:t>
      </w:r>
      <w:proofErr w:type="spellEnd"/>
      <w:r w:rsidRPr="00546379">
        <w:rPr>
          <w:rFonts w:ascii="Arial" w:hAnsi="Arial" w:cs="Arial"/>
        </w:rPr>
        <w:t xml:space="preserve"> seeds remains non-existent despite their availability. This study seeks to address this gap by evaluating the physicochemical, FTIR, and GC–MS characteristics of oils extracted from these two seeds.</w:t>
      </w:r>
    </w:p>
    <w:p w14:paraId="7CAE7401" w14:textId="77777777" w:rsidR="006026D0" w:rsidRPr="00546379" w:rsidRDefault="006026D0" w:rsidP="006026D0">
      <w:pPr>
        <w:spacing w:after="160" w:line="278" w:lineRule="auto"/>
        <w:jc w:val="both"/>
        <w:rPr>
          <w:rFonts w:ascii="Arial" w:hAnsi="Arial" w:cs="Arial"/>
        </w:rPr>
      </w:pPr>
      <w:r w:rsidRPr="00546379">
        <w:rPr>
          <w:rFonts w:ascii="Arial" w:hAnsi="Arial" w:cs="Arial"/>
        </w:rPr>
        <w:lastRenderedPageBreak/>
        <w:t xml:space="preserve">A broad range of studies have investigated the physicochemical and fatty acid properties of both edible and non-edible seed oils. Abdul-Hammed et al. (2020) documented variations in viscosity, density, saponification values, and iodine values among refined vegetable oils, highlighting the influence of refining and processing techniques. Adejumo and Adekoya (2023) analyzed </w:t>
      </w:r>
      <w:proofErr w:type="spellStart"/>
      <w:r w:rsidRPr="00546379">
        <w:rPr>
          <w:rFonts w:ascii="Arial" w:hAnsi="Arial" w:cs="Arial"/>
          <w:i/>
          <w:iCs/>
        </w:rPr>
        <w:t>Telfairia</w:t>
      </w:r>
      <w:proofErr w:type="spellEnd"/>
      <w:r w:rsidRPr="00546379">
        <w:rPr>
          <w:rFonts w:ascii="Arial" w:hAnsi="Arial" w:cs="Arial"/>
          <w:i/>
          <w:iCs/>
        </w:rPr>
        <w:t xml:space="preserve"> occidentalis</w:t>
      </w:r>
      <w:r w:rsidRPr="00546379">
        <w:rPr>
          <w:rFonts w:ascii="Arial" w:hAnsi="Arial" w:cs="Arial"/>
        </w:rPr>
        <w:t xml:space="preserve"> seed oil and reported nutritionally rich fatty acids and antioxidant capacity, demonstrating the value of indigenous seeds.</w:t>
      </w:r>
    </w:p>
    <w:p w14:paraId="4BA5495E" w14:textId="77777777" w:rsidR="006026D0" w:rsidRPr="00546379" w:rsidRDefault="006026D0" w:rsidP="006026D0">
      <w:pPr>
        <w:spacing w:after="160" w:line="278" w:lineRule="auto"/>
        <w:jc w:val="both"/>
        <w:rPr>
          <w:rFonts w:ascii="Arial" w:hAnsi="Arial" w:cs="Arial"/>
        </w:rPr>
      </w:pPr>
      <w:r w:rsidRPr="00546379">
        <w:rPr>
          <w:rFonts w:ascii="Arial" w:hAnsi="Arial" w:cs="Arial"/>
        </w:rPr>
        <w:t xml:space="preserve">Temperature-dependent </w:t>
      </w:r>
      <w:commentRangeStart w:id="1"/>
      <w:proofErr w:type="spellStart"/>
      <w:r w:rsidRPr="00546379">
        <w:rPr>
          <w:rFonts w:ascii="Arial" w:hAnsi="Arial" w:cs="Arial"/>
        </w:rPr>
        <w:t>behaviour</w:t>
      </w:r>
      <w:commentRangeEnd w:id="1"/>
      <w:proofErr w:type="spellEnd"/>
      <w:r w:rsidR="00D14A4F">
        <w:rPr>
          <w:rStyle w:val="CommentReference"/>
          <w:rFonts w:ascii="Times New Roman" w:hAnsi="Times New Roman"/>
          <w:lang w:val="nb-NO" w:eastAsia="nb-NO"/>
        </w:rPr>
        <w:commentReference w:id="1"/>
      </w:r>
      <w:r w:rsidRPr="00546379">
        <w:rPr>
          <w:rFonts w:ascii="Arial" w:hAnsi="Arial" w:cs="Arial"/>
        </w:rPr>
        <w:t xml:space="preserve"> of oils has also been widely studied. Ado et al. (2025) reported that the properties of </w:t>
      </w:r>
      <w:r w:rsidRPr="00546379">
        <w:rPr>
          <w:rFonts w:ascii="Arial" w:hAnsi="Arial" w:cs="Arial"/>
          <w:i/>
          <w:iCs/>
        </w:rPr>
        <w:t>Helianthus annuus</w:t>
      </w:r>
      <w:r w:rsidRPr="00546379">
        <w:rPr>
          <w:rFonts w:ascii="Arial" w:hAnsi="Arial" w:cs="Arial"/>
        </w:rPr>
        <w:t xml:space="preserve"> and </w:t>
      </w:r>
      <w:r w:rsidRPr="00546379">
        <w:rPr>
          <w:rFonts w:ascii="Arial" w:hAnsi="Arial" w:cs="Arial"/>
          <w:i/>
          <w:iCs/>
        </w:rPr>
        <w:t>Sesamum indicum</w:t>
      </w:r>
      <w:r w:rsidRPr="00546379">
        <w:rPr>
          <w:rFonts w:ascii="Arial" w:hAnsi="Arial" w:cs="Arial"/>
        </w:rPr>
        <w:t xml:space="preserve"> oils vary significantly with temperature, indicating the sensitivity of seed lipids to processing conditions. Moringa seed oil, widely compared with olive oil, has been characterized by various researchers (Ajab et al., 2024; Anwar &amp; Rashid, 2007), who noted excellent oxidative stability and </w:t>
      </w:r>
      <w:proofErr w:type="spellStart"/>
      <w:r w:rsidRPr="00546379">
        <w:rPr>
          <w:rFonts w:ascii="Arial" w:hAnsi="Arial" w:cs="Arial"/>
        </w:rPr>
        <w:t>favourable</w:t>
      </w:r>
      <w:proofErr w:type="spellEnd"/>
      <w:r w:rsidRPr="00546379">
        <w:rPr>
          <w:rFonts w:ascii="Arial" w:hAnsi="Arial" w:cs="Arial"/>
        </w:rPr>
        <w:t xml:space="preserve"> fatty acid compositions.</w:t>
      </w:r>
    </w:p>
    <w:p w14:paraId="1EFC707E" w14:textId="77777777" w:rsidR="006026D0" w:rsidRPr="00546379" w:rsidRDefault="006026D0" w:rsidP="006026D0">
      <w:pPr>
        <w:spacing w:after="160" w:line="278" w:lineRule="auto"/>
        <w:jc w:val="both"/>
        <w:rPr>
          <w:rFonts w:ascii="Arial" w:hAnsi="Arial" w:cs="Arial"/>
        </w:rPr>
      </w:pPr>
      <w:r w:rsidRPr="00546379">
        <w:rPr>
          <w:rFonts w:ascii="Arial" w:hAnsi="Arial" w:cs="Arial"/>
        </w:rPr>
        <w:t xml:space="preserve">Aremu et al. (2015) reviewed physicochemical profiles of Nigerian plant seed oils, highlighting their high saponification values and moderate unsaturation. </w:t>
      </w:r>
      <w:proofErr w:type="spellStart"/>
      <w:r w:rsidRPr="00546379">
        <w:rPr>
          <w:rFonts w:ascii="Arial" w:hAnsi="Arial" w:cs="Arial"/>
        </w:rPr>
        <w:t>Interesterified</w:t>
      </w:r>
      <w:proofErr w:type="spellEnd"/>
      <w:r w:rsidRPr="00546379">
        <w:rPr>
          <w:rFonts w:ascii="Arial" w:hAnsi="Arial" w:cs="Arial"/>
        </w:rPr>
        <w:t xml:space="preserve"> vegetable oils have been shown to exhibit enhanced functional properties (Aslam et al., 2021), demonstrating how chemical modification can improve industrial applicability.</w:t>
      </w:r>
    </w:p>
    <w:p w14:paraId="55746757" w14:textId="77777777" w:rsidR="006026D0" w:rsidRPr="00546379" w:rsidRDefault="006026D0" w:rsidP="006026D0">
      <w:pPr>
        <w:spacing w:after="160" w:line="278" w:lineRule="auto"/>
        <w:jc w:val="both"/>
        <w:rPr>
          <w:rFonts w:ascii="Arial" w:hAnsi="Arial" w:cs="Arial"/>
        </w:rPr>
      </w:pPr>
      <w:r w:rsidRPr="00546379">
        <w:rPr>
          <w:rFonts w:ascii="Arial" w:hAnsi="Arial" w:cs="Arial"/>
        </w:rPr>
        <w:t xml:space="preserve">Recent studies continue to expand the characterization of less-common seeds. Cervera </w:t>
      </w:r>
      <w:proofErr w:type="spellStart"/>
      <w:r w:rsidRPr="00546379">
        <w:rPr>
          <w:rFonts w:ascii="Arial" w:hAnsi="Arial" w:cs="Arial"/>
        </w:rPr>
        <w:t>Chiner</w:t>
      </w:r>
      <w:proofErr w:type="spellEnd"/>
      <w:r w:rsidRPr="00546379">
        <w:rPr>
          <w:rFonts w:ascii="Arial" w:hAnsi="Arial" w:cs="Arial"/>
        </w:rPr>
        <w:t xml:space="preserve"> et al. (2024) studied Moringa seed oils and reported saponification values of 187–219 mg KOH/g and iodine values of 67–85 g I</w:t>
      </w:r>
      <w:r w:rsidRPr="00546379">
        <w:rPr>
          <w:rFonts w:ascii="Cambria Math" w:hAnsi="Cambria Math" w:cs="Cambria Math"/>
        </w:rPr>
        <w:t>₂</w:t>
      </w:r>
      <w:r w:rsidRPr="00546379">
        <w:rPr>
          <w:rFonts w:ascii="Arial" w:hAnsi="Arial" w:cs="Arial"/>
        </w:rPr>
        <w:t xml:space="preserve">/100 g. Eze et al. (2025) characterized </w:t>
      </w:r>
      <w:r w:rsidRPr="00546379">
        <w:rPr>
          <w:rFonts w:ascii="Arial" w:hAnsi="Arial" w:cs="Arial"/>
          <w:i/>
          <w:iCs/>
        </w:rPr>
        <w:t>Calliandra surinamensis</w:t>
      </w:r>
      <w:r w:rsidRPr="00546379">
        <w:rPr>
          <w:rFonts w:ascii="Arial" w:hAnsi="Arial" w:cs="Arial"/>
        </w:rPr>
        <w:t xml:space="preserve"> seed oil and confirmed moderate unsaturation. Ichu and Nwakanma (2019) provided broad ranges for saponification values (5.58–249.90 mg KOH/g) and refractive indices (1.4578–1.4773) across several edible-oil brands.</w:t>
      </w:r>
    </w:p>
    <w:p w14:paraId="6DAD5F13" w14:textId="77777777" w:rsidR="006026D0" w:rsidRPr="00546379" w:rsidRDefault="006026D0" w:rsidP="006026D0">
      <w:pPr>
        <w:spacing w:after="160" w:line="278" w:lineRule="auto"/>
        <w:jc w:val="both"/>
        <w:rPr>
          <w:rFonts w:ascii="Arial" w:hAnsi="Arial" w:cs="Arial"/>
        </w:rPr>
      </w:pPr>
      <w:r w:rsidRPr="00546379">
        <w:rPr>
          <w:rFonts w:ascii="Arial" w:hAnsi="Arial" w:cs="Arial"/>
        </w:rPr>
        <w:t>Other notable studies include analyses of African elemi fruit (Kiin Kabari et al., 2020), sunflower oil (</w:t>
      </w:r>
      <w:proofErr w:type="spellStart"/>
      <w:r w:rsidRPr="00546379">
        <w:rPr>
          <w:rFonts w:ascii="Arial" w:hAnsi="Arial" w:cs="Arial"/>
        </w:rPr>
        <w:t>Oguche</w:t>
      </w:r>
      <w:proofErr w:type="spellEnd"/>
      <w:r w:rsidRPr="00546379">
        <w:rPr>
          <w:rFonts w:ascii="Arial" w:hAnsi="Arial" w:cs="Arial"/>
        </w:rPr>
        <w:t>, 2021), underutilized seeds (</w:t>
      </w:r>
      <w:proofErr w:type="spellStart"/>
      <w:r w:rsidRPr="00546379">
        <w:rPr>
          <w:rFonts w:ascii="Arial" w:hAnsi="Arial" w:cs="Arial"/>
        </w:rPr>
        <w:t>Owheruo</w:t>
      </w:r>
      <w:proofErr w:type="spellEnd"/>
      <w:r w:rsidRPr="00546379">
        <w:rPr>
          <w:rFonts w:ascii="Arial" w:hAnsi="Arial" w:cs="Arial"/>
        </w:rPr>
        <w:t xml:space="preserve"> et al., 2024), and common edible seeds (Moshood et al., 2022). Muhammad et al. (2023) characterized four indigenous oils and reported densities of 1.021–1.029 kg/m³ and saponification values between 140.25 and 155.68 mg KOH/g. Additional investigations on </w:t>
      </w:r>
      <w:r w:rsidRPr="00546379">
        <w:rPr>
          <w:rFonts w:ascii="Arial" w:hAnsi="Arial" w:cs="Arial"/>
          <w:i/>
          <w:iCs/>
        </w:rPr>
        <w:t>Khaya senegalensis</w:t>
      </w:r>
      <w:r w:rsidRPr="00546379">
        <w:rPr>
          <w:rFonts w:ascii="Arial" w:hAnsi="Arial" w:cs="Arial"/>
        </w:rPr>
        <w:t xml:space="preserve"> (</w:t>
      </w:r>
      <w:proofErr w:type="spellStart"/>
      <w:r w:rsidRPr="00546379">
        <w:rPr>
          <w:rFonts w:ascii="Arial" w:hAnsi="Arial" w:cs="Arial"/>
        </w:rPr>
        <w:t>Oginni</w:t>
      </w:r>
      <w:proofErr w:type="spellEnd"/>
      <w:r w:rsidRPr="00546379">
        <w:rPr>
          <w:rFonts w:ascii="Arial" w:hAnsi="Arial" w:cs="Arial"/>
        </w:rPr>
        <w:t xml:space="preserve"> et al., 2024), </w:t>
      </w:r>
      <w:proofErr w:type="spellStart"/>
      <w:r w:rsidRPr="00546379">
        <w:rPr>
          <w:rFonts w:ascii="Arial" w:hAnsi="Arial" w:cs="Arial"/>
          <w:i/>
          <w:iCs/>
        </w:rPr>
        <w:t>Neocarya</w:t>
      </w:r>
      <w:proofErr w:type="spellEnd"/>
      <w:r w:rsidRPr="00546379">
        <w:rPr>
          <w:rFonts w:ascii="Arial" w:hAnsi="Arial" w:cs="Arial"/>
          <w:i/>
          <w:iCs/>
        </w:rPr>
        <w:t xml:space="preserve"> macrophylla</w:t>
      </w:r>
      <w:r w:rsidRPr="00546379">
        <w:rPr>
          <w:rFonts w:ascii="Arial" w:hAnsi="Arial" w:cs="Arial"/>
        </w:rPr>
        <w:t xml:space="preserve"> (Rufai et al., 2023), </w:t>
      </w:r>
      <w:r w:rsidRPr="00546379">
        <w:rPr>
          <w:rFonts w:ascii="Arial" w:hAnsi="Arial" w:cs="Arial"/>
          <w:i/>
          <w:iCs/>
        </w:rPr>
        <w:t xml:space="preserve">Strychnos </w:t>
      </w:r>
      <w:proofErr w:type="spellStart"/>
      <w:r w:rsidRPr="00546379">
        <w:rPr>
          <w:rFonts w:ascii="Arial" w:hAnsi="Arial" w:cs="Arial"/>
          <w:i/>
          <w:iCs/>
        </w:rPr>
        <w:t>pungens</w:t>
      </w:r>
      <w:proofErr w:type="spellEnd"/>
      <w:r w:rsidRPr="00546379">
        <w:rPr>
          <w:rFonts w:ascii="Arial" w:hAnsi="Arial" w:cs="Arial"/>
        </w:rPr>
        <w:t xml:space="preserve"> (</w:t>
      </w:r>
      <w:proofErr w:type="spellStart"/>
      <w:r w:rsidRPr="00546379">
        <w:rPr>
          <w:rFonts w:ascii="Arial" w:hAnsi="Arial" w:cs="Arial"/>
        </w:rPr>
        <w:t>Zimudzi</w:t>
      </w:r>
      <w:proofErr w:type="spellEnd"/>
      <w:r w:rsidRPr="00546379">
        <w:rPr>
          <w:rFonts w:ascii="Arial" w:hAnsi="Arial" w:cs="Arial"/>
        </w:rPr>
        <w:t xml:space="preserve"> &amp; </w:t>
      </w:r>
      <w:proofErr w:type="spellStart"/>
      <w:r w:rsidRPr="00546379">
        <w:rPr>
          <w:rFonts w:ascii="Arial" w:hAnsi="Arial" w:cs="Arial"/>
        </w:rPr>
        <w:t>Zharare</w:t>
      </w:r>
      <w:proofErr w:type="spellEnd"/>
      <w:r w:rsidRPr="00546379">
        <w:rPr>
          <w:rFonts w:ascii="Arial" w:hAnsi="Arial" w:cs="Arial"/>
        </w:rPr>
        <w:t>, 2024), and other underutilized seeds (</w:t>
      </w:r>
      <w:proofErr w:type="spellStart"/>
      <w:r w:rsidRPr="00546379">
        <w:rPr>
          <w:rFonts w:ascii="Arial" w:hAnsi="Arial" w:cs="Arial"/>
        </w:rPr>
        <w:t>Za’aku</w:t>
      </w:r>
      <w:proofErr w:type="spellEnd"/>
      <w:r w:rsidRPr="00546379">
        <w:rPr>
          <w:rFonts w:ascii="Arial" w:hAnsi="Arial" w:cs="Arial"/>
        </w:rPr>
        <w:t xml:space="preserve"> et al., 2024; Popoola &amp; Haruna, 2024) reinforce the growing interest in alternative seed oils.</w:t>
      </w:r>
    </w:p>
    <w:p w14:paraId="2F256060" w14:textId="77777777" w:rsidR="006026D0" w:rsidRPr="00546379" w:rsidRDefault="006026D0" w:rsidP="006026D0">
      <w:pPr>
        <w:spacing w:after="160" w:line="278" w:lineRule="auto"/>
        <w:jc w:val="both"/>
        <w:rPr>
          <w:rFonts w:ascii="Arial" w:hAnsi="Arial" w:cs="Arial"/>
        </w:rPr>
      </w:pPr>
      <w:r w:rsidRPr="00546379">
        <w:rPr>
          <w:rFonts w:ascii="Arial" w:hAnsi="Arial" w:cs="Arial"/>
        </w:rPr>
        <w:t xml:space="preserve">Despite extensive research on many plant seeds, no studies have reported on the physicochemical or chemical properties of Jansa and </w:t>
      </w:r>
      <w:proofErr w:type="spellStart"/>
      <w:r w:rsidRPr="00546379">
        <w:rPr>
          <w:rFonts w:ascii="Arial" w:hAnsi="Arial" w:cs="Arial"/>
        </w:rPr>
        <w:t>Omillo</w:t>
      </w:r>
      <w:proofErr w:type="spellEnd"/>
      <w:r w:rsidRPr="00546379">
        <w:rPr>
          <w:rFonts w:ascii="Arial" w:hAnsi="Arial" w:cs="Arial"/>
        </w:rPr>
        <w:t xml:space="preserve"> seed oils, indicating a significant research gap this study aims to fill.</w:t>
      </w:r>
    </w:p>
    <w:p w14:paraId="47EF221C" w14:textId="77777777" w:rsidR="00790ADA" w:rsidRPr="00FB3A86" w:rsidRDefault="00790ADA" w:rsidP="00441B6F">
      <w:pPr>
        <w:pStyle w:val="Body"/>
        <w:spacing w:after="0"/>
        <w:rPr>
          <w:rFonts w:ascii="Arial" w:hAnsi="Arial" w:cs="Arial"/>
        </w:rPr>
      </w:pPr>
    </w:p>
    <w:p w14:paraId="3BFC60D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1BFBAF" w14:textId="77777777" w:rsidR="00790ADA" w:rsidRPr="00FB3A86" w:rsidRDefault="00790ADA" w:rsidP="00441B6F">
      <w:pPr>
        <w:pStyle w:val="AbstHead"/>
        <w:spacing w:after="0"/>
        <w:jc w:val="both"/>
        <w:rPr>
          <w:rFonts w:ascii="Arial" w:hAnsi="Arial" w:cs="Arial"/>
        </w:rPr>
      </w:pPr>
    </w:p>
    <w:p w14:paraId="389351C6" w14:textId="77777777"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2.1 Materials</w:t>
      </w:r>
    </w:p>
    <w:p w14:paraId="06B4F3AC" w14:textId="77777777"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All reagents used were of analytical grade. Equipment employed included a Soxhlet extractor, hot air oven, viscometer, FTIR spectrometer, digital balance, refractometer, muffle furnace, and GC–MS </w:t>
      </w:r>
      <w:proofErr w:type="spellStart"/>
      <w:r w:rsidRPr="00003CA3">
        <w:rPr>
          <w:rFonts w:ascii="Arial" w:hAnsi="Arial" w:cs="Arial"/>
          <w:color w:val="000000" w:themeColor="text1"/>
        </w:rPr>
        <w:t>analyser</w:t>
      </w:r>
      <w:proofErr w:type="spellEnd"/>
      <w:r w:rsidRPr="00003CA3">
        <w:rPr>
          <w:rFonts w:ascii="Arial" w:hAnsi="Arial" w:cs="Arial"/>
          <w:color w:val="000000" w:themeColor="text1"/>
        </w:rPr>
        <w:t>. Glassware used were Pyrex products.</w:t>
      </w:r>
    </w:p>
    <w:p w14:paraId="66F4BFAF" w14:textId="77777777"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2.2 Sample Collection and Preparation</w:t>
      </w:r>
    </w:p>
    <w:p w14:paraId="566A913D" w14:textId="77777777"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Raw seeds of </w:t>
      </w:r>
      <w:proofErr w:type="spellStart"/>
      <w:r w:rsidRPr="00003CA3">
        <w:rPr>
          <w:rFonts w:ascii="Arial" w:hAnsi="Arial" w:cs="Arial"/>
          <w:i/>
          <w:iCs/>
          <w:color w:val="000000" w:themeColor="text1"/>
        </w:rPr>
        <w:t>Cussonia</w:t>
      </w:r>
      <w:proofErr w:type="spellEnd"/>
      <w:r w:rsidRPr="00003CA3">
        <w:rPr>
          <w:rFonts w:ascii="Arial" w:hAnsi="Arial" w:cs="Arial"/>
          <w:i/>
          <w:iCs/>
          <w:color w:val="000000" w:themeColor="text1"/>
        </w:rPr>
        <w:t xml:space="preserve"> </w:t>
      </w:r>
      <w:proofErr w:type="spellStart"/>
      <w:r w:rsidRPr="00003CA3">
        <w:rPr>
          <w:rFonts w:ascii="Arial" w:hAnsi="Arial" w:cs="Arial"/>
          <w:i/>
          <w:iCs/>
          <w:color w:val="000000" w:themeColor="text1"/>
        </w:rPr>
        <w:t>bateri</w:t>
      </w:r>
      <w:proofErr w:type="spellEnd"/>
      <w:r w:rsidRPr="00003CA3">
        <w:rPr>
          <w:rFonts w:ascii="Arial" w:hAnsi="Arial" w:cs="Arial"/>
          <w:color w:val="000000" w:themeColor="text1"/>
        </w:rPr>
        <w:t xml:space="preserve"> (Jansa) and </w:t>
      </w:r>
      <w:r w:rsidRPr="00003CA3">
        <w:rPr>
          <w:rFonts w:ascii="Arial" w:hAnsi="Arial" w:cs="Arial"/>
          <w:i/>
          <w:iCs/>
          <w:color w:val="000000" w:themeColor="text1"/>
        </w:rPr>
        <w:t xml:space="preserve">Chrysobalanus </w:t>
      </w:r>
      <w:proofErr w:type="spellStart"/>
      <w:r w:rsidRPr="00003CA3">
        <w:rPr>
          <w:rFonts w:ascii="Arial" w:hAnsi="Arial" w:cs="Arial"/>
          <w:i/>
          <w:iCs/>
          <w:color w:val="000000" w:themeColor="text1"/>
        </w:rPr>
        <w:t>icaco</w:t>
      </w:r>
      <w:proofErr w:type="spellEnd"/>
      <w:r w:rsidRPr="00003CA3">
        <w:rPr>
          <w:rFonts w:ascii="Arial" w:hAnsi="Arial" w:cs="Arial"/>
          <w:color w:val="000000" w:themeColor="text1"/>
        </w:rPr>
        <w:t xml:space="preserv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were obtained from local markets in Enugu, Nigeria. The seeds were sun-dried, ground with an industrial blender, </w:t>
      </w:r>
      <w:r w:rsidRPr="00003CA3">
        <w:rPr>
          <w:rFonts w:ascii="Arial" w:hAnsi="Arial" w:cs="Arial"/>
          <w:color w:val="000000" w:themeColor="text1"/>
        </w:rPr>
        <w:lastRenderedPageBreak/>
        <w:t xml:space="preserve">and sieved through a 500 µm mesh. The processed samples were stored in airtight containers and transported to the </w:t>
      </w:r>
      <w:proofErr w:type="spellStart"/>
      <w:r w:rsidRPr="00003CA3">
        <w:rPr>
          <w:rFonts w:ascii="Arial" w:hAnsi="Arial" w:cs="Arial"/>
          <w:color w:val="000000" w:themeColor="text1"/>
        </w:rPr>
        <w:t>Biochem</w:t>
      </w:r>
      <w:proofErr w:type="spellEnd"/>
      <w:r w:rsidRPr="00003CA3">
        <w:rPr>
          <w:rFonts w:ascii="Arial" w:hAnsi="Arial" w:cs="Arial"/>
          <w:color w:val="000000" w:themeColor="text1"/>
        </w:rPr>
        <w:t xml:space="preserve"> Analytics Laboratory, Enugu, for analysis.</w:t>
      </w:r>
    </w:p>
    <w:p w14:paraId="5152A3E1" w14:textId="77777777"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2.3 Oil Extraction </w:t>
      </w:r>
    </w:p>
    <w:p w14:paraId="6A65DCF5" w14:textId="77777777"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Oil extraction was carried out using the Soxhlet apparatus with n-hexane as solvent. About 50 g of each powdered sample was loaded into the extraction thimble and refluxed for 6 hours at 45°C. The solvent was recovered using a rotary evaporator, and the extracted oil was dried at 105°C to remove residual moisture and stored in amber bottles.</w:t>
      </w:r>
      <w:r w:rsidRPr="00003CA3">
        <w:rPr>
          <w:rFonts w:ascii="Arial" w:hAnsi="Arial" w:cs="Arial"/>
          <w:color w:val="000000" w:themeColor="text1"/>
        </w:rPr>
        <w:br/>
        <w:t xml:space="preserve">The </w:t>
      </w:r>
      <w:r w:rsidRPr="00003CA3">
        <w:rPr>
          <w:rFonts w:ascii="Arial" w:hAnsi="Arial" w:cs="Arial"/>
          <w:b/>
          <w:bCs/>
          <w:color w:val="000000" w:themeColor="text1"/>
        </w:rPr>
        <w:t>percentage oil yield</w:t>
      </w:r>
      <w:r w:rsidRPr="00003CA3">
        <w:rPr>
          <w:rFonts w:ascii="Arial" w:hAnsi="Arial" w:cs="Arial"/>
          <w:color w:val="000000" w:themeColor="text1"/>
        </w:rPr>
        <w:t xml:space="preserve"> was calculated using Equation (1):</w:t>
      </w:r>
    </w:p>
    <w:p w14:paraId="60DA8442" w14:textId="77777777" w:rsidR="0019728E" w:rsidRPr="00003CA3" w:rsidRDefault="0019728E" w:rsidP="0019728E">
      <w:pPr>
        <w:jc w:val="both"/>
        <w:rPr>
          <w:rFonts w:ascii="Arial" w:eastAsiaTheme="minorEastAsia" w:hAnsi="Arial" w:cs="Arial"/>
          <w:color w:val="000000" w:themeColor="text1"/>
        </w:rPr>
      </w:pPr>
      <m:oMath>
        <m:r>
          <w:rPr>
            <w:rFonts w:ascii="Cambria Math" w:hAnsi="Cambria Math" w:cs="Arial"/>
            <w:color w:val="000000" w:themeColor="text1"/>
          </w:rPr>
          <m:t>(%)</m:t>
        </m:r>
        <m:r>
          <m:rPr>
            <m:sty m:val="p"/>
          </m:rPr>
          <w:rPr>
            <w:rFonts w:ascii="Cambria Math" w:hAnsi="Cambria Math" w:cs="Arial"/>
            <w:color w:val="000000" w:themeColor="text1"/>
          </w:rPr>
          <m:t>Oil yield</m:t>
        </m:r>
        <m:r>
          <w:rPr>
            <w:rFonts w:ascii="Cambria Math" w:hAnsi="Cambria Math" w:cs="Arial"/>
            <w:color w:val="000000" w:themeColor="text1"/>
          </w:rPr>
          <m:t>=</m:t>
        </m:r>
        <m:f>
          <m:fPr>
            <m:ctrlPr>
              <w:rPr>
                <w:rFonts w:ascii="Cambria Math" w:hAnsi="Cambria Math" w:cs="Arial"/>
                <w:i/>
                <w:iCs/>
                <w:color w:val="000000" w:themeColor="text1"/>
              </w:rPr>
            </m:ctrlPr>
          </m:fPr>
          <m:num>
            <m:r>
              <m:rPr>
                <m:sty m:val="p"/>
              </m:rPr>
              <w:rPr>
                <w:rFonts w:ascii="Cambria Math" w:hAnsi="Cambria Math" w:cs="Arial"/>
                <w:color w:val="000000" w:themeColor="text1"/>
              </w:rPr>
              <m:t>Weight of extracted oil</m:t>
            </m:r>
          </m:num>
          <m:den>
            <m:r>
              <m:rPr>
                <m:sty m:val="p"/>
              </m:rPr>
              <w:rPr>
                <w:rFonts w:ascii="Cambria Math" w:hAnsi="Cambria Math" w:cs="Arial"/>
                <w:color w:val="000000" w:themeColor="text1"/>
              </w:rPr>
              <m:t>Weight of seed sample</m:t>
            </m:r>
          </m:den>
        </m:f>
        <m:r>
          <w:rPr>
            <w:rFonts w:ascii="Cambria Math" w:hAnsi="Cambria Math" w:cs="Arial"/>
            <w:color w:val="000000" w:themeColor="text1"/>
          </w:rPr>
          <m:t>×100</m:t>
        </m:r>
        <m:r>
          <m:rPr>
            <m:sty m:val="p"/>
          </m:rPr>
          <w:rPr>
            <w:rFonts w:ascii="Cambria Math" w:hAnsi="Cambria Math" w:cs="Arial"/>
            <w:color w:val="000000" w:themeColor="text1"/>
          </w:rPr>
          <m:t xml:space="preserve"> </m:t>
        </m:r>
      </m:oMath>
      <w:r w:rsidRPr="00003CA3">
        <w:rPr>
          <w:rFonts w:ascii="Arial" w:eastAsiaTheme="minorEastAsia" w:hAnsi="Arial" w:cs="Arial"/>
          <w:color w:val="000000" w:themeColor="text1"/>
        </w:rPr>
        <w:tab/>
      </w:r>
      <w:r w:rsidRPr="00003CA3">
        <w:rPr>
          <w:rFonts w:ascii="Arial" w:eastAsiaTheme="minorEastAsia" w:hAnsi="Arial" w:cs="Arial"/>
          <w:color w:val="000000" w:themeColor="text1"/>
        </w:rPr>
        <w:tab/>
      </w:r>
    </w:p>
    <w:p w14:paraId="3A10CF57" w14:textId="77777777"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Physicochemical parameters were determined following AOAC (2016) protocols.</w:t>
      </w:r>
    </w:p>
    <w:p w14:paraId="31EEFDA5" w14:textId="77777777" w:rsidR="0019728E" w:rsidRPr="00003CA3" w:rsidRDefault="0019728E" w:rsidP="0019728E">
      <w:pPr>
        <w:jc w:val="both"/>
        <w:rPr>
          <w:rFonts w:ascii="Arial" w:eastAsiaTheme="minorEastAsia" w:hAnsi="Arial" w:cs="Arial"/>
          <w:b/>
          <w:bCs/>
          <w:color w:val="000000" w:themeColor="text1"/>
          <w:sz w:val="22"/>
          <w:szCs w:val="22"/>
        </w:rPr>
      </w:pPr>
      <w:r w:rsidRPr="00003CA3">
        <w:rPr>
          <w:rFonts w:ascii="Arial" w:eastAsiaTheme="minorEastAsia" w:hAnsi="Arial" w:cs="Arial"/>
          <w:b/>
          <w:bCs/>
          <w:color w:val="000000" w:themeColor="text1"/>
          <w:sz w:val="22"/>
          <w:szCs w:val="22"/>
        </w:rPr>
        <w:t>2.4 Characterization</w:t>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p>
    <w:p w14:paraId="38856FE5" w14:textId="77777777"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 xml:space="preserve">FTIR spectra were recorded on a Shimadzu </w:t>
      </w:r>
      <w:proofErr w:type="spellStart"/>
      <w:r w:rsidRPr="00003CA3">
        <w:rPr>
          <w:rFonts w:ascii="Arial" w:hAnsi="Arial" w:cs="Arial"/>
          <w:color w:val="000000" w:themeColor="text1"/>
        </w:rPr>
        <w:t>IRSpirit</w:t>
      </w:r>
      <w:proofErr w:type="spellEnd"/>
      <w:r w:rsidRPr="00003CA3">
        <w:rPr>
          <w:rFonts w:ascii="Arial" w:hAnsi="Arial" w:cs="Arial"/>
          <w:color w:val="000000" w:themeColor="text1"/>
        </w:rPr>
        <w:t xml:space="preserve"> FTIR spectrometer with an ATR accessory over a wavenumber range of 4000–400 cm</w:t>
      </w:r>
      <w:r w:rsidRPr="00003CA3">
        <w:rPr>
          <w:rFonts w:ascii="Cambria Math" w:hAnsi="Cambria Math" w:cs="Cambria Math"/>
          <w:color w:val="000000" w:themeColor="text1"/>
        </w:rPr>
        <w:t>⁻</w:t>
      </w:r>
      <w:r w:rsidRPr="00003CA3">
        <w:rPr>
          <w:rFonts w:ascii="Arial" w:hAnsi="Arial" w:cs="Arial"/>
          <w:color w:val="000000" w:themeColor="text1"/>
        </w:rPr>
        <w:t>¹, at a resolution of 4 cm</w:t>
      </w:r>
      <w:r w:rsidRPr="00003CA3">
        <w:rPr>
          <w:rFonts w:ascii="Cambria Math" w:hAnsi="Cambria Math" w:cs="Cambria Math"/>
          <w:color w:val="000000" w:themeColor="text1"/>
        </w:rPr>
        <w:t>⁻</w:t>
      </w:r>
      <w:r w:rsidRPr="00003CA3">
        <w:rPr>
          <w:rFonts w:ascii="Arial" w:hAnsi="Arial" w:cs="Arial"/>
          <w:color w:val="000000" w:themeColor="text1"/>
        </w:rPr>
        <w:t>¹ with 32 scan accumulations</w:t>
      </w:r>
      <w:r w:rsidRPr="00003CA3">
        <w:rPr>
          <w:rFonts w:ascii="Arial" w:hAnsi="Arial" w:cs="Arial"/>
          <w:b/>
          <w:bCs/>
          <w:color w:val="000000" w:themeColor="text1"/>
        </w:rPr>
        <w:tab/>
      </w:r>
    </w:p>
    <w:p w14:paraId="72226C92" w14:textId="77777777"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GC–MS analysis was conducted using an Agilent 7890A gas chromatograph coupled with a 5975C mass spectrometer, equipped with an HP-5MS capillary column (30 m × 0.25 mm × 0.25 µm) and helium as the carrier gas at 1.0 mL/min; a 1 µL </w:t>
      </w:r>
      <w:proofErr w:type="spellStart"/>
      <w:r w:rsidRPr="00003CA3">
        <w:rPr>
          <w:rFonts w:ascii="Arial" w:hAnsi="Arial" w:cs="Arial"/>
          <w:color w:val="000000" w:themeColor="text1"/>
        </w:rPr>
        <w:t>splitless</w:t>
      </w:r>
      <w:proofErr w:type="spellEnd"/>
      <w:r w:rsidRPr="00003CA3">
        <w:rPr>
          <w:rFonts w:ascii="Arial" w:hAnsi="Arial" w:cs="Arial"/>
          <w:color w:val="000000" w:themeColor="text1"/>
        </w:rPr>
        <w:t xml:space="preserve"> injection was performed, with the oven temperature programmed from 50 °C (2 min) to 300 °C at 10 °C/min, and compounds were identified by matching mass spectra to the NIST library.</w:t>
      </w:r>
    </w:p>
    <w:p w14:paraId="2DAC08B6" w14:textId="77777777" w:rsidR="00A03B96" w:rsidRDefault="00A03B96" w:rsidP="00441B6F">
      <w:pPr>
        <w:pStyle w:val="Body"/>
        <w:spacing w:after="0"/>
        <w:rPr>
          <w:rFonts w:ascii="Arial" w:hAnsi="Arial" w:cs="Arial"/>
        </w:rPr>
      </w:pPr>
    </w:p>
    <w:p w14:paraId="3BD708B5" w14:textId="77777777" w:rsidR="00A03B96" w:rsidRDefault="00A03B96" w:rsidP="00441B6F">
      <w:pPr>
        <w:pStyle w:val="Body"/>
        <w:spacing w:after="0"/>
        <w:rPr>
          <w:rFonts w:ascii="Arial" w:hAnsi="Arial" w:cs="Arial"/>
        </w:rPr>
      </w:pPr>
    </w:p>
    <w:p w14:paraId="4375D262" w14:textId="77777777" w:rsidR="00790ADA" w:rsidRPr="00FB3A86" w:rsidRDefault="00790ADA" w:rsidP="00441B6F">
      <w:pPr>
        <w:pStyle w:val="Body"/>
        <w:spacing w:after="0"/>
        <w:rPr>
          <w:rFonts w:ascii="Arial" w:hAnsi="Arial" w:cs="Arial"/>
        </w:rPr>
      </w:pPr>
    </w:p>
    <w:p w14:paraId="1A14D02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81ED6A" w14:textId="77777777" w:rsidR="00790ADA" w:rsidRPr="00FB3A86" w:rsidRDefault="00790ADA" w:rsidP="00441B6F">
      <w:pPr>
        <w:pStyle w:val="Head1"/>
        <w:spacing w:after="0"/>
        <w:jc w:val="both"/>
        <w:rPr>
          <w:rFonts w:ascii="Arial" w:hAnsi="Arial" w:cs="Arial"/>
        </w:rPr>
      </w:pPr>
    </w:p>
    <w:p w14:paraId="327DCA69" w14:textId="77777777" w:rsidR="00F527C7" w:rsidRPr="00E531FB" w:rsidRDefault="00F527C7" w:rsidP="00F527C7">
      <w:pPr>
        <w:jc w:val="both"/>
        <w:rPr>
          <w:rFonts w:ascii="Arial" w:hAnsi="Arial" w:cs="Arial"/>
          <w:b/>
          <w:bCs/>
          <w:color w:val="000000" w:themeColor="text1"/>
        </w:rPr>
      </w:pPr>
      <w:r w:rsidRPr="00E531FB">
        <w:rPr>
          <w:rFonts w:ascii="Arial" w:hAnsi="Arial" w:cs="Arial"/>
          <w:b/>
          <w:bCs/>
          <w:color w:val="000000" w:themeColor="text1"/>
        </w:rPr>
        <w:t>3.1 Physicochemical Characterization</w:t>
      </w:r>
    </w:p>
    <w:p w14:paraId="1ECADBE3" w14:textId="77777777" w:rsidR="000C0DD1" w:rsidRPr="00466055" w:rsidRDefault="000C0DD1" w:rsidP="000C0DD1">
      <w:pPr>
        <w:spacing w:after="200" w:line="276" w:lineRule="auto"/>
        <w:jc w:val="both"/>
        <w:rPr>
          <w:rFonts w:ascii="Arial" w:hAnsi="Arial" w:cs="Arial"/>
          <w:color w:val="000000" w:themeColor="text1"/>
        </w:rPr>
      </w:pPr>
      <w:r w:rsidRPr="005629EC">
        <w:rPr>
          <w:rFonts w:ascii="Arial" w:hAnsi="Arial" w:cs="Arial"/>
          <w:color w:val="000000" w:themeColor="text1"/>
        </w:rPr>
        <w:t xml:space="preserve">The key physical and chemical properties of the extracted oils are summarized in Table 1, alongside benchmark values from similar non-edible oils found in literature. With an oil yield of 50.21%, Jansa oil shows a notably high lipid content—well within the typical range of 20–55% for non-edible seed oils. This suggests that </w:t>
      </w:r>
      <w:proofErr w:type="spellStart"/>
      <w:r w:rsidRPr="005629EC">
        <w:rPr>
          <w:rFonts w:ascii="Arial" w:hAnsi="Arial" w:cs="Arial"/>
          <w:i/>
          <w:iCs/>
          <w:color w:val="000000" w:themeColor="text1"/>
        </w:rPr>
        <w:t>Cussonia</w:t>
      </w:r>
      <w:proofErr w:type="spellEnd"/>
      <w:r w:rsidRPr="005629EC">
        <w:rPr>
          <w:rFonts w:ascii="Arial" w:hAnsi="Arial" w:cs="Arial"/>
          <w:i/>
          <w:iCs/>
          <w:color w:val="000000" w:themeColor="text1"/>
        </w:rPr>
        <w:t xml:space="preserve"> </w:t>
      </w:r>
      <w:proofErr w:type="spellStart"/>
      <w:r w:rsidRPr="005629EC">
        <w:rPr>
          <w:rFonts w:ascii="Arial" w:hAnsi="Arial" w:cs="Arial"/>
          <w:i/>
          <w:iCs/>
          <w:color w:val="000000" w:themeColor="text1"/>
        </w:rPr>
        <w:t>bateri</w:t>
      </w:r>
      <w:proofErr w:type="spellEnd"/>
      <w:r w:rsidRPr="005629EC">
        <w:rPr>
          <w:rFonts w:ascii="Arial" w:hAnsi="Arial" w:cs="Arial"/>
          <w:color w:val="000000" w:themeColor="text1"/>
        </w:rPr>
        <w:t xml:space="preserve"> seeds could be a strong candidate for biodiesel production, especially since they don’t compete with food-grade oil sources</w:t>
      </w:r>
      <w:r>
        <w:rPr>
          <w:rFonts w:ascii="Arial" w:hAnsi="Arial" w:cs="Arial"/>
          <w:color w:val="000000" w:themeColor="text1"/>
        </w:rPr>
        <w:t>.</w:t>
      </w:r>
    </w:p>
    <w:p w14:paraId="676260B7" w14:textId="77777777" w:rsidR="000C0DD1" w:rsidRPr="00466055" w:rsidRDefault="000C0DD1" w:rsidP="000C0DD1">
      <w:pPr>
        <w:spacing w:after="160" w:line="278" w:lineRule="auto"/>
        <w:rPr>
          <w:rFonts w:ascii="Arial" w:hAnsi="Arial" w:cs="Arial"/>
        </w:rPr>
      </w:pPr>
      <w:r w:rsidRPr="00466055">
        <w:rPr>
          <w:rFonts w:ascii="Arial" w:hAnsi="Arial" w:cs="Arial"/>
          <w:b/>
          <w:bCs/>
        </w:rPr>
        <w:t>Refractive Index (RI):</w:t>
      </w:r>
      <w:r w:rsidRPr="00466055">
        <w:rPr>
          <w:rFonts w:ascii="Arial" w:hAnsi="Arial" w:cs="Arial"/>
        </w:rPr>
        <w:t xml:space="preserve"> </w:t>
      </w:r>
      <w:r w:rsidRPr="00466055">
        <w:rPr>
          <w:rFonts w:ascii="Arial" w:hAnsi="Arial" w:cs="Arial"/>
        </w:rPr>
        <w:br/>
        <w:t xml:space="preserve">The refractive index reflects oil purity and unsaturation. Jansa oil (1.5015) and </w:t>
      </w:r>
      <w:proofErr w:type="spellStart"/>
      <w:r w:rsidRPr="00466055">
        <w:rPr>
          <w:rFonts w:ascii="Arial" w:hAnsi="Arial" w:cs="Arial"/>
        </w:rPr>
        <w:t>Omillo</w:t>
      </w:r>
      <w:proofErr w:type="spellEnd"/>
      <w:r w:rsidRPr="00466055">
        <w:rPr>
          <w:rFonts w:ascii="Arial" w:hAnsi="Arial" w:cs="Arial"/>
        </w:rPr>
        <w:t xml:space="preserve"> oil (1.4892) </w:t>
      </w:r>
      <w:commentRangeStart w:id="2"/>
      <w:r w:rsidRPr="00466055">
        <w:rPr>
          <w:rFonts w:ascii="Arial" w:hAnsi="Arial" w:cs="Arial"/>
        </w:rPr>
        <w:t xml:space="preserve">fall within the typical range for vegetable oils (≈1.45–1.48), </w:t>
      </w:r>
      <w:commentRangeEnd w:id="2"/>
      <w:r w:rsidR="00895421">
        <w:rPr>
          <w:rStyle w:val="CommentReference"/>
          <w:rFonts w:ascii="Times New Roman" w:hAnsi="Times New Roman"/>
          <w:lang w:val="nb-NO" w:eastAsia="nb-NO"/>
        </w:rPr>
        <w:commentReference w:id="2"/>
      </w:r>
      <w:r w:rsidRPr="00466055">
        <w:rPr>
          <w:rFonts w:ascii="Arial" w:hAnsi="Arial" w:cs="Arial"/>
        </w:rPr>
        <w:t xml:space="preserve">comparable to pumpkin, sesame, almond, sunflower, and </w:t>
      </w:r>
      <w:r w:rsidRPr="00466055">
        <w:rPr>
          <w:rFonts w:ascii="Arial" w:hAnsi="Arial" w:cs="Arial"/>
          <w:i/>
          <w:iCs/>
        </w:rPr>
        <w:t>Balanites aegyptiaca</w:t>
      </w:r>
      <w:r w:rsidRPr="00466055">
        <w:rPr>
          <w:rFonts w:ascii="Arial" w:hAnsi="Arial" w:cs="Arial"/>
        </w:rPr>
        <w:t xml:space="preserve"> seed oils. Jansa’s slightly higher RI suggests greater unsaturation, consistent with its higher iodine value.</w:t>
      </w:r>
    </w:p>
    <w:p w14:paraId="442530BC" w14:textId="77777777" w:rsidR="000C0DD1" w:rsidRPr="00466055" w:rsidRDefault="000C0DD1" w:rsidP="000C0DD1">
      <w:pPr>
        <w:spacing w:after="160" w:line="278" w:lineRule="auto"/>
        <w:rPr>
          <w:rFonts w:ascii="Arial" w:hAnsi="Arial" w:cs="Arial"/>
        </w:rPr>
      </w:pPr>
      <w:r w:rsidRPr="00466055">
        <w:rPr>
          <w:rFonts w:ascii="Arial" w:hAnsi="Arial" w:cs="Arial"/>
          <w:b/>
          <w:bCs/>
        </w:rPr>
        <w:t>Viscosity (VS):</w:t>
      </w:r>
      <w:r w:rsidRPr="00466055">
        <w:rPr>
          <w:rFonts w:ascii="Arial" w:hAnsi="Arial" w:cs="Arial"/>
        </w:rPr>
        <w:t xml:space="preserve"> </w:t>
      </w:r>
      <w:r w:rsidRPr="00466055">
        <w:rPr>
          <w:rFonts w:ascii="Arial" w:hAnsi="Arial" w:cs="Arial"/>
        </w:rPr>
        <w:br/>
        <w:t xml:space="preserve">Jansa (152.63) and </w:t>
      </w:r>
      <w:proofErr w:type="spellStart"/>
      <w:r w:rsidRPr="00466055">
        <w:rPr>
          <w:rFonts w:ascii="Arial" w:hAnsi="Arial" w:cs="Arial"/>
        </w:rPr>
        <w:t>Omillo</w:t>
      </w:r>
      <w:proofErr w:type="spellEnd"/>
      <w:r w:rsidRPr="00466055">
        <w:rPr>
          <w:rFonts w:ascii="Arial" w:hAnsi="Arial" w:cs="Arial"/>
        </w:rPr>
        <w:t xml:space="preserve"> (147.82) oils exhibit viscosities higher than many common edible oils (pumpkin, sunflower, sesame), though lower than almond oil (302.39). Elevated viscosity is linked to longer-chain fatty acids and stronger intermolecular forces. While this may limit direct use as fuel, it enhances suitability for lubricants and cosmetic formulations.</w:t>
      </w:r>
    </w:p>
    <w:p w14:paraId="61CB777C" w14:textId="77777777" w:rsidR="000C0DD1" w:rsidRPr="00466055" w:rsidRDefault="000C0DD1" w:rsidP="000C0DD1">
      <w:pPr>
        <w:spacing w:after="160" w:line="278" w:lineRule="auto"/>
        <w:rPr>
          <w:rFonts w:ascii="Arial" w:hAnsi="Arial" w:cs="Arial"/>
        </w:rPr>
      </w:pPr>
      <w:r w:rsidRPr="00466055">
        <w:rPr>
          <w:rFonts w:ascii="Arial" w:hAnsi="Arial" w:cs="Arial"/>
          <w:b/>
          <w:bCs/>
        </w:rPr>
        <w:t>Iodine Value (IV):</w:t>
      </w:r>
      <w:r w:rsidRPr="00466055">
        <w:rPr>
          <w:rFonts w:ascii="Arial" w:hAnsi="Arial" w:cs="Arial"/>
        </w:rPr>
        <w:t xml:space="preserve"> </w:t>
      </w:r>
      <w:r w:rsidRPr="00466055">
        <w:rPr>
          <w:rFonts w:ascii="Arial" w:hAnsi="Arial" w:cs="Arial"/>
        </w:rPr>
        <w:br/>
        <w:t>Both oils—Jansa (102.11 g I</w:t>
      </w:r>
      <w:r w:rsidRPr="00466055">
        <w:rPr>
          <w:rFonts w:ascii="Cambria Math" w:hAnsi="Cambria Math" w:cs="Cambria Math"/>
        </w:rPr>
        <w:t>₂</w:t>
      </w:r>
      <w:r w:rsidRPr="00466055">
        <w:rPr>
          <w:rFonts w:ascii="Arial" w:hAnsi="Arial" w:cs="Arial"/>
        </w:rPr>
        <w:t xml:space="preserve">/100 g) and </w:t>
      </w:r>
      <w:proofErr w:type="spellStart"/>
      <w:r w:rsidRPr="00466055">
        <w:rPr>
          <w:rFonts w:ascii="Arial" w:hAnsi="Arial" w:cs="Arial"/>
        </w:rPr>
        <w:t>Omillo</w:t>
      </w:r>
      <w:proofErr w:type="spellEnd"/>
      <w:r w:rsidRPr="00466055">
        <w:rPr>
          <w:rFonts w:ascii="Arial" w:hAnsi="Arial" w:cs="Arial"/>
        </w:rPr>
        <w:t xml:space="preserve"> (98.34 g I</w:t>
      </w:r>
      <w:r w:rsidRPr="00466055">
        <w:rPr>
          <w:rFonts w:ascii="Cambria Math" w:hAnsi="Cambria Math" w:cs="Cambria Math"/>
        </w:rPr>
        <w:t>₂</w:t>
      </w:r>
      <w:r w:rsidRPr="00466055">
        <w:rPr>
          <w:rFonts w:ascii="Arial" w:hAnsi="Arial" w:cs="Arial"/>
        </w:rPr>
        <w:t xml:space="preserve">/100 g)—are classified as semi-drying, similar to groundnut, sunflower, sesame, and </w:t>
      </w:r>
      <w:r w:rsidRPr="00466055">
        <w:rPr>
          <w:rFonts w:ascii="Arial" w:hAnsi="Arial" w:cs="Arial"/>
          <w:i/>
          <w:iCs/>
        </w:rPr>
        <w:t>Khaya senegalensis</w:t>
      </w:r>
      <w:r w:rsidRPr="00466055">
        <w:rPr>
          <w:rFonts w:ascii="Arial" w:hAnsi="Arial" w:cs="Arial"/>
        </w:rPr>
        <w:t xml:space="preserve"> seed oils. Their IVs exceed those of coconut and melon seed oils but remain below highly unsaturated oils like moringa (155). This indicates moderate oxidative susceptibility and versatility for edible and industrial uses.</w:t>
      </w:r>
    </w:p>
    <w:p w14:paraId="55B3AC0F" w14:textId="77777777" w:rsidR="000C0DD1" w:rsidRPr="00466055" w:rsidRDefault="000C0DD1" w:rsidP="000C0DD1">
      <w:pPr>
        <w:spacing w:after="160" w:line="278" w:lineRule="auto"/>
        <w:rPr>
          <w:rFonts w:ascii="Arial" w:hAnsi="Arial" w:cs="Arial"/>
        </w:rPr>
      </w:pPr>
      <w:r w:rsidRPr="00466055">
        <w:rPr>
          <w:rFonts w:ascii="Arial" w:hAnsi="Arial" w:cs="Arial"/>
          <w:b/>
          <w:bCs/>
        </w:rPr>
        <w:lastRenderedPageBreak/>
        <w:t>Saponification Value (SV):</w:t>
      </w:r>
      <w:r w:rsidRPr="00466055">
        <w:rPr>
          <w:rFonts w:ascii="Arial" w:hAnsi="Arial" w:cs="Arial"/>
        </w:rPr>
        <w:t xml:space="preserve"> </w:t>
      </w:r>
      <w:r w:rsidRPr="00466055">
        <w:rPr>
          <w:rFonts w:ascii="Arial" w:hAnsi="Arial" w:cs="Arial"/>
        </w:rPr>
        <w:br/>
        <w:t xml:space="preserve">Jansa (238.74 mg KOH/g) and </w:t>
      </w:r>
      <w:proofErr w:type="spellStart"/>
      <w:r w:rsidRPr="00466055">
        <w:rPr>
          <w:rFonts w:ascii="Arial" w:hAnsi="Arial" w:cs="Arial"/>
        </w:rPr>
        <w:t>Omillo</w:t>
      </w:r>
      <w:proofErr w:type="spellEnd"/>
      <w:r w:rsidRPr="00466055">
        <w:rPr>
          <w:rFonts w:ascii="Arial" w:hAnsi="Arial" w:cs="Arial"/>
        </w:rPr>
        <w:t xml:space="preserve"> (232.65 mg KOH/g) show relatively high saponification values, pointing to shorter-chain fatty acids. These values, comparable to jatropha and cashew nut oils, highlight their potential in soap, shampoo, and cosmetic production.</w:t>
      </w:r>
    </w:p>
    <w:p w14:paraId="68DC9762" w14:textId="77777777" w:rsidR="000C0DD1" w:rsidRPr="00466055" w:rsidRDefault="000C0DD1" w:rsidP="000C0DD1">
      <w:pPr>
        <w:spacing w:after="160" w:line="278" w:lineRule="auto"/>
        <w:rPr>
          <w:rFonts w:ascii="Arial" w:hAnsi="Arial" w:cs="Arial"/>
        </w:rPr>
      </w:pPr>
      <w:r w:rsidRPr="00466055">
        <w:rPr>
          <w:rFonts w:ascii="Arial" w:hAnsi="Arial" w:cs="Arial"/>
          <w:b/>
          <w:bCs/>
        </w:rPr>
        <w:t>Acid Value (AV) &amp; Free Fatty Acids (FFA):</w:t>
      </w:r>
      <w:r w:rsidRPr="00466055">
        <w:rPr>
          <w:rFonts w:ascii="Arial" w:hAnsi="Arial" w:cs="Arial"/>
        </w:rPr>
        <w:t xml:space="preserve"> </w:t>
      </w:r>
      <w:r w:rsidRPr="00466055">
        <w:rPr>
          <w:rFonts w:ascii="Arial" w:hAnsi="Arial" w:cs="Arial"/>
        </w:rPr>
        <w:br/>
        <w:t xml:space="preserve">Jansa (AV = 11.11 mg KOH/g; FFA = 5.56%) and </w:t>
      </w:r>
      <w:proofErr w:type="spellStart"/>
      <w:r w:rsidRPr="00466055">
        <w:rPr>
          <w:rFonts w:ascii="Arial" w:hAnsi="Arial" w:cs="Arial"/>
        </w:rPr>
        <w:t>Omillo</w:t>
      </w:r>
      <w:proofErr w:type="spellEnd"/>
      <w:r w:rsidRPr="00466055">
        <w:rPr>
          <w:rFonts w:ascii="Arial" w:hAnsi="Arial" w:cs="Arial"/>
        </w:rPr>
        <w:t xml:space="preserve"> (AV = 9.87 mg KOH/g; FFA = 4.92%) record higher levels than refined edible oils such as sunflower and sesame, but are similar to castor and jatropha oils. These elevated values suggest refining is necessary for edible use, though they remain acceptable for industrial applications, particularly biodiesel after esterification.</w:t>
      </w:r>
    </w:p>
    <w:p w14:paraId="71A885EE" w14:textId="77777777" w:rsidR="000C0DD1" w:rsidRPr="005629EC" w:rsidRDefault="000C0DD1" w:rsidP="000C0DD1">
      <w:pPr>
        <w:spacing w:after="160" w:line="278" w:lineRule="auto"/>
        <w:rPr>
          <w:rFonts w:ascii="Arial" w:hAnsi="Arial" w:cs="Arial"/>
        </w:rPr>
      </w:pPr>
      <w:r w:rsidRPr="00466055">
        <w:rPr>
          <w:rFonts w:ascii="Arial" w:hAnsi="Arial" w:cs="Arial"/>
          <w:b/>
          <w:bCs/>
        </w:rPr>
        <w:t xml:space="preserve">Density (Ds) </w:t>
      </w:r>
      <w:r w:rsidRPr="00466055">
        <w:rPr>
          <w:rFonts w:ascii="Arial" w:hAnsi="Arial" w:cs="Arial"/>
        </w:rPr>
        <w:br/>
        <w:t xml:space="preserve">The densities of Jansa (0.905 g/cm³) and </w:t>
      </w:r>
      <w:proofErr w:type="spellStart"/>
      <w:r w:rsidRPr="00466055">
        <w:rPr>
          <w:rFonts w:ascii="Arial" w:hAnsi="Arial" w:cs="Arial"/>
        </w:rPr>
        <w:t>Omillo</w:t>
      </w:r>
      <w:proofErr w:type="spellEnd"/>
      <w:r w:rsidRPr="00466055">
        <w:rPr>
          <w:rFonts w:ascii="Arial" w:hAnsi="Arial" w:cs="Arial"/>
        </w:rPr>
        <w:t xml:space="preserve"> (0.912 g/cm³) align with typical vegetable oils (0.88–0.93 g/cm³), ensuring compatibility with existing processing systems. </w:t>
      </w:r>
    </w:p>
    <w:p w14:paraId="6926FAE9" w14:textId="77777777" w:rsidR="00790ADA" w:rsidRDefault="000C0DD1" w:rsidP="000C0DD1">
      <w:pPr>
        <w:pStyle w:val="Body"/>
        <w:spacing w:after="0"/>
        <w:rPr>
          <w:rFonts w:ascii="Arial" w:hAnsi="Arial" w:cs="Arial"/>
        </w:rPr>
      </w:pPr>
      <w:r w:rsidRPr="00466055">
        <w:rPr>
          <w:rFonts w:ascii="Arial" w:hAnsi="Arial" w:cs="Arial"/>
        </w:rPr>
        <w:t xml:space="preserve">Jansa and </w:t>
      </w:r>
      <w:proofErr w:type="spellStart"/>
      <w:r w:rsidRPr="00466055">
        <w:rPr>
          <w:rFonts w:ascii="Arial" w:hAnsi="Arial" w:cs="Arial"/>
        </w:rPr>
        <w:t>Omillo</w:t>
      </w:r>
      <w:proofErr w:type="spellEnd"/>
      <w:r w:rsidRPr="00466055">
        <w:rPr>
          <w:rFonts w:ascii="Arial" w:hAnsi="Arial" w:cs="Arial"/>
        </w:rPr>
        <w:t xml:space="preserve"> oils demonstrate favorable physicochemical characteristics compared to established seed oils. Their moderate unsaturation, high saponification values, and appropriate density highlight strong potential for industrial and biofuel applications. However, their relatively high acid and FFA levels necessitate refining before edible use. Collectively, these findings position Jansa and </w:t>
      </w:r>
      <w:proofErr w:type="spellStart"/>
      <w:r w:rsidRPr="00466055">
        <w:rPr>
          <w:rFonts w:ascii="Arial" w:hAnsi="Arial" w:cs="Arial"/>
        </w:rPr>
        <w:t>Omillo</w:t>
      </w:r>
      <w:proofErr w:type="spellEnd"/>
      <w:r w:rsidRPr="00466055">
        <w:rPr>
          <w:rFonts w:ascii="Arial" w:hAnsi="Arial" w:cs="Arial"/>
        </w:rPr>
        <w:t xml:space="preserve"> oils as promising non-conventional oil resources with significant application prospects</w:t>
      </w:r>
    </w:p>
    <w:p w14:paraId="1774BBCD" w14:textId="77777777" w:rsidR="000C0DD1" w:rsidRDefault="000C0DD1" w:rsidP="000C0DD1">
      <w:pPr>
        <w:pStyle w:val="Body"/>
        <w:spacing w:after="0"/>
        <w:rPr>
          <w:rFonts w:ascii="Arial" w:hAnsi="Arial" w:cs="Arial"/>
        </w:rPr>
      </w:pPr>
    </w:p>
    <w:p w14:paraId="74556450" w14:textId="77777777" w:rsidR="000C0DD1" w:rsidRDefault="000C0DD1" w:rsidP="000C0DD1">
      <w:pPr>
        <w:pStyle w:val="Body"/>
        <w:spacing w:after="0"/>
        <w:rPr>
          <w:rFonts w:ascii="Arial" w:hAnsi="Arial" w:cs="Arial"/>
        </w:rPr>
      </w:pPr>
    </w:p>
    <w:p w14:paraId="0AF63DC9" w14:textId="77777777" w:rsidR="000C0DD1" w:rsidRDefault="000C0DD1" w:rsidP="000C0DD1">
      <w:pPr>
        <w:pStyle w:val="Body"/>
        <w:spacing w:after="0"/>
        <w:rPr>
          <w:rFonts w:ascii="Arial" w:hAnsi="Arial" w:cs="Arial"/>
        </w:rPr>
      </w:pPr>
    </w:p>
    <w:p w14:paraId="23AD1114" w14:textId="77777777" w:rsidR="000C0DD1" w:rsidRDefault="000C0DD1" w:rsidP="000C0DD1">
      <w:pPr>
        <w:pStyle w:val="Body"/>
        <w:spacing w:after="0"/>
        <w:rPr>
          <w:rFonts w:ascii="Arial" w:hAnsi="Arial" w:cs="Arial"/>
        </w:rPr>
      </w:pPr>
    </w:p>
    <w:p w14:paraId="4174E390" w14:textId="77777777" w:rsidR="000C0DD1" w:rsidRDefault="000C0DD1" w:rsidP="000C0DD1">
      <w:pPr>
        <w:pStyle w:val="Body"/>
        <w:spacing w:after="0"/>
        <w:rPr>
          <w:rFonts w:ascii="Arial" w:hAnsi="Arial" w:cs="Arial"/>
        </w:rPr>
      </w:pPr>
    </w:p>
    <w:p w14:paraId="3C4AE71A" w14:textId="77777777" w:rsidR="000C0DD1" w:rsidRDefault="000C0DD1" w:rsidP="000C0DD1">
      <w:pPr>
        <w:pStyle w:val="Body"/>
        <w:spacing w:after="0"/>
        <w:rPr>
          <w:rFonts w:ascii="Arial" w:hAnsi="Arial" w:cs="Arial"/>
        </w:rPr>
        <w:sectPr w:rsidR="000C0DD1" w:rsidSect="00925BB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tbl>
      <w:tblPr>
        <w:tblpPr w:leftFromText="180" w:rightFromText="180" w:vertAnchor="page" w:horzAnchor="margin" w:tblpXSpec="center" w:tblpY="2341"/>
        <w:tblW w:w="14850" w:type="dxa"/>
        <w:tblLook w:val="04A0" w:firstRow="1" w:lastRow="0" w:firstColumn="1" w:lastColumn="0" w:noHBand="0" w:noVBand="1"/>
      </w:tblPr>
      <w:tblGrid>
        <w:gridCol w:w="3652"/>
        <w:gridCol w:w="1517"/>
        <w:gridCol w:w="826"/>
        <w:gridCol w:w="827"/>
        <w:gridCol w:w="828"/>
        <w:gridCol w:w="828"/>
        <w:gridCol w:w="827"/>
        <w:gridCol w:w="719"/>
        <w:gridCol w:w="719"/>
        <w:gridCol w:w="791"/>
        <w:gridCol w:w="828"/>
        <w:gridCol w:w="2488"/>
      </w:tblGrid>
      <w:tr w:rsidR="00A755E8" w:rsidRPr="00A755E8" w14:paraId="12D0A902" w14:textId="77777777" w:rsidTr="00A755E8">
        <w:trPr>
          <w:trHeight w:hRule="exact" w:val="283"/>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090977B" w14:textId="77777777" w:rsidR="00A755E8" w:rsidRPr="00A755E8" w:rsidRDefault="00A755E8" w:rsidP="00A755E8">
            <w:pPr>
              <w:jc w:val="center"/>
              <w:rPr>
                <w:rFonts w:ascii="Arial" w:hAnsi="Arial" w:cs="Arial"/>
                <w:b/>
                <w:bCs/>
                <w:color w:val="000000"/>
                <w:sz w:val="18"/>
                <w:szCs w:val="18"/>
              </w:rPr>
            </w:pPr>
            <w:bookmarkStart w:id="3" w:name="_Hlk217922561"/>
            <w:r w:rsidRPr="00A755E8">
              <w:rPr>
                <w:rFonts w:ascii="Arial" w:hAnsi="Arial" w:cs="Arial"/>
                <w:b/>
                <w:bCs/>
                <w:color w:val="000000"/>
                <w:sz w:val="18"/>
                <w:szCs w:val="18"/>
              </w:rPr>
              <w:lastRenderedPageBreak/>
              <w:t>Plant Seed / Family</w:t>
            </w:r>
          </w:p>
        </w:tc>
        <w:tc>
          <w:tcPr>
            <w:tcW w:w="1517" w:type="dxa"/>
            <w:tcBorders>
              <w:top w:val="single" w:sz="4" w:space="0" w:color="auto"/>
              <w:left w:val="nil"/>
              <w:bottom w:val="single" w:sz="4" w:space="0" w:color="auto"/>
              <w:right w:val="single" w:sz="4" w:space="0" w:color="auto"/>
            </w:tcBorders>
            <w:noWrap/>
            <w:vAlign w:val="center"/>
            <w:hideMark/>
          </w:tcPr>
          <w:p w14:paraId="661004A6"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RI</w:t>
            </w:r>
          </w:p>
        </w:tc>
        <w:tc>
          <w:tcPr>
            <w:tcW w:w="0" w:type="auto"/>
            <w:tcBorders>
              <w:top w:val="single" w:sz="4" w:space="0" w:color="auto"/>
              <w:left w:val="nil"/>
              <w:bottom w:val="single" w:sz="4" w:space="0" w:color="auto"/>
              <w:right w:val="single" w:sz="4" w:space="0" w:color="auto"/>
            </w:tcBorders>
            <w:noWrap/>
            <w:vAlign w:val="center"/>
            <w:hideMark/>
          </w:tcPr>
          <w:p w14:paraId="0F8F52A3"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SG</w:t>
            </w:r>
          </w:p>
        </w:tc>
        <w:tc>
          <w:tcPr>
            <w:tcW w:w="0" w:type="auto"/>
            <w:tcBorders>
              <w:top w:val="single" w:sz="4" w:space="0" w:color="auto"/>
              <w:left w:val="nil"/>
              <w:bottom w:val="single" w:sz="4" w:space="0" w:color="auto"/>
              <w:right w:val="single" w:sz="4" w:space="0" w:color="auto"/>
            </w:tcBorders>
            <w:noWrap/>
            <w:vAlign w:val="center"/>
            <w:hideMark/>
          </w:tcPr>
          <w:p w14:paraId="0861F423"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VS</w:t>
            </w:r>
          </w:p>
        </w:tc>
        <w:tc>
          <w:tcPr>
            <w:tcW w:w="828" w:type="dxa"/>
            <w:tcBorders>
              <w:top w:val="single" w:sz="4" w:space="0" w:color="auto"/>
              <w:left w:val="nil"/>
              <w:bottom w:val="single" w:sz="4" w:space="0" w:color="auto"/>
              <w:right w:val="single" w:sz="4" w:space="0" w:color="auto"/>
            </w:tcBorders>
            <w:noWrap/>
            <w:vAlign w:val="center"/>
            <w:hideMark/>
          </w:tcPr>
          <w:p w14:paraId="30DF89AE"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IV </w:t>
            </w:r>
          </w:p>
        </w:tc>
        <w:tc>
          <w:tcPr>
            <w:tcW w:w="828" w:type="dxa"/>
            <w:tcBorders>
              <w:top w:val="single" w:sz="4" w:space="0" w:color="auto"/>
              <w:left w:val="nil"/>
              <w:bottom w:val="single" w:sz="4" w:space="0" w:color="auto"/>
              <w:right w:val="single" w:sz="4" w:space="0" w:color="auto"/>
            </w:tcBorders>
            <w:noWrap/>
            <w:vAlign w:val="center"/>
            <w:hideMark/>
          </w:tcPr>
          <w:p w14:paraId="0AB19D13"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SV </w:t>
            </w:r>
          </w:p>
        </w:tc>
        <w:tc>
          <w:tcPr>
            <w:tcW w:w="0" w:type="auto"/>
            <w:tcBorders>
              <w:top w:val="single" w:sz="4" w:space="0" w:color="auto"/>
              <w:left w:val="nil"/>
              <w:bottom w:val="single" w:sz="4" w:space="0" w:color="auto"/>
              <w:right w:val="single" w:sz="4" w:space="0" w:color="auto"/>
            </w:tcBorders>
            <w:noWrap/>
            <w:vAlign w:val="center"/>
            <w:hideMark/>
          </w:tcPr>
          <w:p w14:paraId="5AE3929B"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PV</w:t>
            </w:r>
          </w:p>
        </w:tc>
        <w:tc>
          <w:tcPr>
            <w:tcW w:w="0" w:type="auto"/>
            <w:tcBorders>
              <w:top w:val="single" w:sz="4" w:space="0" w:color="auto"/>
              <w:left w:val="nil"/>
              <w:bottom w:val="single" w:sz="4" w:space="0" w:color="auto"/>
              <w:right w:val="single" w:sz="4" w:space="0" w:color="auto"/>
            </w:tcBorders>
            <w:noWrap/>
            <w:vAlign w:val="center"/>
            <w:hideMark/>
          </w:tcPr>
          <w:p w14:paraId="677C20B1"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AV</w:t>
            </w:r>
          </w:p>
        </w:tc>
        <w:tc>
          <w:tcPr>
            <w:tcW w:w="0" w:type="auto"/>
            <w:tcBorders>
              <w:top w:val="single" w:sz="4" w:space="0" w:color="auto"/>
              <w:left w:val="nil"/>
              <w:bottom w:val="single" w:sz="4" w:space="0" w:color="auto"/>
              <w:right w:val="single" w:sz="4" w:space="0" w:color="auto"/>
            </w:tcBorders>
            <w:noWrap/>
            <w:vAlign w:val="center"/>
            <w:hideMark/>
          </w:tcPr>
          <w:p w14:paraId="1FFF2515"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Ds</w:t>
            </w:r>
          </w:p>
        </w:tc>
        <w:tc>
          <w:tcPr>
            <w:tcW w:w="791" w:type="dxa"/>
            <w:tcBorders>
              <w:top w:val="single" w:sz="4" w:space="0" w:color="auto"/>
              <w:left w:val="nil"/>
              <w:bottom w:val="single" w:sz="4" w:space="0" w:color="auto"/>
              <w:right w:val="single" w:sz="4" w:space="0" w:color="auto"/>
            </w:tcBorders>
            <w:noWrap/>
            <w:vAlign w:val="center"/>
            <w:hideMark/>
          </w:tcPr>
          <w:p w14:paraId="1A3E56FF"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FFA </w:t>
            </w:r>
          </w:p>
        </w:tc>
        <w:tc>
          <w:tcPr>
            <w:tcW w:w="828" w:type="dxa"/>
            <w:tcBorders>
              <w:top w:val="single" w:sz="4" w:space="0" w:color="auto"/>
              <w:left w:val="nil"/>
              <w:bottom w:val="single" w:sz="4" w:space="0" w:color="auto"/>
              <w:right w:val="single" w:sz="4" w:space="0" w:color="auto"/>
            </w:tcBorders>
            <w:noWrap/>
            <w:vAlign w:val="center"/>
            <w:hideMark/>
          </w:tcPr>
          <w:p w14:paraId="649C293C"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EV</w:t>
            </w:r>
          </w:p>
        </w:tc>
        <w:tc>
          <w:tcPr>
            <w:tcW w:w="2488" w:type="dxa"/>
            <w:tcBorders>
              <w:top w:val="single" w:sz="4" w:space="0" w:color="auto"/>
              <w:left w:val="nil"/>
              <w:bottom w:val="single" w:sz="4" w:space="0" w:color="auto"/>
              <w:right w:val="single" w:sz="4" w:space="0" w:color="auto"/>
            </w:tcBorders>
            <w:vAlign w:val="center"/>
          </w:tcPr>
          <w:p w14:paraId="55E6D044" w14:textId="77777777"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Reference</w:t>
            </w:r>
          </w:p>
        </w:tc>
      </w:tr>
      <w:tr w:rsidR="00A755E8" w:rsidRPr="00A755E8" w14:paraId="7126C162"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14:paraId="69F05F35" w14:textId="77777777" w:rsidR="00A755E8" w:rsidRPr="00236C5A" w:rsidRDefault="00A755E8" w:rsidP="00A755E8">
            <w:pPr>
              <w:jc w:val="both"/>
              <w:rPr>
                <w:rFonts w:ascii="Arial" w:hAnsi="Arial" w:cs="Arial"/>
                <w:b/>
                <w:bCs/>
                <w:color w:val="000000"/>
                <w:sz w:val="18"/>
                <w:szCs w:val="18"/>
              </w:rPr>
            </w:pPr>
            <w:r w:rsidRPr="00236C5A">
              <w:rPr>
                <w:rFonts w:ascii="Arial" w:hAnsi="Arial" w:cs="Arial"/>
                <w:b/>
                <w:bCs/>
                <w:color w:val="000000"/>
                <w:sz w:val="18"/>
                <w:szCs w:val="18"/>
              </w:rPr>
              <w:t>Jansa Oil</w:t>
            </w:r>
          </w:p>
        </w:tc>
        <w:tc>
          <w:tcPr>
            <w:tcW w:w="1517" w:type="dxa"/>
            <w:tcBorders>
              <w:top w:val="nil"/>
              <w:left w:val="nil"/>
              <w:bottom w:val="single" w:sz="4" w:space="0" w:color="auto"/>
              <w:right w:val="single" w:sz="4" w:space="0" w:color="auto"/>
            </w:tcBorders>
            <w:noWrap/>
            <w:vAlign w:val="center"/>
          </w:tcPr>
          <w:p w14:paraId="458157E9"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1.5015</w:t>
            </w:r>
          </w:p>
        </w:tc>
        <w:tc>
          <w:tcPr>
            <w:tcW w:w="0" w:type="auto"/>
            <w:tcBorders>
              <w:top w:val="nil"/>
              <w:left w:val="nil"/>
              <w:bottom w:val="single" w:sz="4" w:space="0" w:color="auto"/>
              <w:right w:val="single" w:sz="4" w:space="0" w:color="auto"/>
            </w:tcBorders>
            <w:noWrap/>
            <w:vAlign w:val="center"/>
          </w:tcPr>
          <w:p w14:paraId="0E164F74" w14:textId="77777777"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14:paraId="08F2C566"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152.63</w:t>
            </w:r>
          </w:p>
        </w:tc>
        <w:tc>
          <w:tcPr>
            <w:tcW w:w="828" w:type="dxa"/>
            <w:tcBorders>
              <w:top w:val="nil"/>
              <w:left w:val="nil"/>
              <w:bottom w:val="single" w:sz="4" w:space="0" w:color="auto"/>
              <w:right w:val="single" w:sz="4" w:space="0" w:color="auto"/>
            </w:tcBorders>
            <w:noWrap/>
            <w:vAlign w:val="center"/>
          </w:tcPr>
          <w:p w14:paraId="648B8CA1"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102.11</w:t>
            </w:r>
          </w:p>
        </w:tc>
        <w:tc>
          <w:tcPr>
            <w:tcW w:w="828" w:type="dxa"/>
            <w:tcBorders>
              <w:top w:val="nil"/>
              <w:left w:val="nil"/>
              <w:bottom w:val="single" w:sz="4" w:space="0" w:color="auto"/>
              <w:right w:val="single" w:sz="4" w:space="0" w:color="auto"/>
            </w:tcBorders>
            <w:noWrap/>
            <w:vAlign w:val="center"/>
          </w:tcPr>
          <w:p w14:paraId="589EEDA1"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238.74</w:t>
            </w:r>
          </w:p>
        </w:tc>
        <w:tc>
          <w:tcPr>
            <w:tcW w:w="0" w:type="auto"/>
            <w:tcBorders>
              <w:top w:val="nil"/>
              <w:left w:val="nil"/>
              <w:bottom w:val="single" w:sz="4" w:space="0" w:color="auto"/>
              <w:right w:val="single" w:sz="4" w:space="0" w:color="auto"/>
            </w:tcBorders>
            <w:noWrap/>
            <w:vAlign w:val="center"/>
          </w:tcPr>
          <w:p w14:paraId="640F1DF7" w14:textId="77777777"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14:paraId="32FD7CD3"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11.11</w:t>
            </w:r>
          </w:p>
        </w:tc>
        <w:tc>
          <w:tcPr>
            <w:tcW w:w="0" w:type="auto"/>
            <w:tcBorders>
              <w:top w:val="nil"/>
              <w:left w:val="nil"/>
              <w:bottom w:val="single" w:sz="4" w:space="0" w:color="auto"/>
              <w:right w:val="single" w:sz="4" w:space="0" w:color="auto"/>
            </w:tcBorders>
            <w:noWrap/>
            <w:vAlign w:val="center"/>
          </w:tcPr>
          <w:p w14:paraId="41AA7A4D"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0.905</w:t>
            </w:r>
          </w:p>
        </w:tc>
        <w:tc>
          <w:tcPr>
            <w:tcW w:w="791" w:type="dxa"/>
            <w:tcBorders>
              <w:top w:val="nil"/>
              <w:left w:val="nil"/>
              <w:bottom w:val="single" w:sz="4" w:space="0" w:color="auto"/>
              <w:right w:val="single" w:sz="4" w:space="0" w:color="auto"/>
            </w:tcBorders>
            <w:noWrap/>
            <w:vAlign w:val="center"/>
          </w:tcPr>
          <w:p w14:paraId="4422B909"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5.56</w:t>
            </w:r>
          </w:p>
        </w:tc>
        <w:tc>
          <w:tcPr>
            <w:tcW w:w="828" w:type="dxa"/>
            <w:tcBorders>
              <w:top w:val="nil"/>
              <w:left w:val="nil"/>
              <w:bottom w:val="single" w:sz="4" w:space="0" w:color="auto"/>
              <w:right w:val="single" w:sz="4" w:space="0" w:color="auto"/>
            </w:tcBorders>
            <w:noWrap/>
            <w:vAlign w:val="center"/>
          </w:tcPr>
          <w:p w14:paraId="032158AD" w14:textId="77777777"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14:paraId="3153A67C" w14:textId="77777777"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14:paraId="63066835"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14:paraId="76D5B161" w14:textId="77777777" w:rsidR="00A755E8" w:rsidRPr="00236C5A" w:rsidRDefault="00A755E8" w:rsidP="00A755E8">
            <w:pPr>
              <w:jc w:val="both"/>
              <w:rPr>
                <w:rFonts w:ascii="Arial" w:hAnsi="Arial" w:cs="Arial"/>
                <w:b/>
                <w:bCs/>
                <w:color w:val="000000"/>
                <w:sz w:val="18"/>
                <w:szCs w:val="18"/>
              </w:rPr>
            </w:pPr>
            <w:proofErr w:type="spellStart"/>
            <w:r w:rsidRPr="00236C5A">
              <w:rPr>
                <w:rFonts w:ascii="Arial" w:hAnsi="Arial" w:cs="Arial"/>
                <w:b/>
                <w:bCs/>
                <w:color w:val="000000"/>
                <w:sz w:val="18"/>
                <w:szCs w:val="18"/>
              </w:rPr>
              <w:t>Omillo</w:t>
            </w:r>
            <w:proofErr w:type="spellEnd"/>
            <w:r w:rsidRPr="00236C5A">
              <w:rPr>
                <w:rFonts w:ascii="Arial" w:hAnsi="Arial" w:cs="Arial"/>
                <w:b/>
                <w:bCs/>
                <w:color w:val="000000"/>
                <w:sz w:val="18"/>
                <w:szCs w:val="18"/>
              </w:rPr>
              <w:t xml:space="preserve"> Oil</w:t>
            </w:r>
          </w:p>
        </w:tc>
        <w:tc>
          <w:tcPr>
            <w:tcW w:w="1517" w:type="dxa"/>
            <w:tcBorders>
              <w:top w:val="nil"/>
              <w:left w:val="nil"/>
              <w:bottom w:val="single" w:sz="4" w:space="0" w:color="auto"/>
              <w:right w:val="single" w:sz="4" w:space="0" w:color="auto"/>
            </w:tcBorders>
            <w:noWrap/>
            <w:vAlign w:val="center"/>
          </w:tcPr>
          <w:p w14:paraId="7F02BBEA"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1.4892</w:t>
            </w:r>
          </w:p>
        </w:tc>
        <w:tc>
          <w:tcPr>
            <w:tcW w:w="0" w:type="auto"/>
            <w:tcBorders>
              <w:top w:val="nil"/>
              <w:left w:val="nil"/>
              <w:bottom w:val="single" w:sz="4" w:space="0" w:color="auto"/>
              <w:right w:val="single" w:sz="4" w:space="0" w:color="auto"/>
            </w:tcBorders>
            <w:noWrap/>
            <w:vAlign w:val="center"/>
          </w:tcPr>
          <w:p w14:paraId="26EFEC95" w14:textId="77777777"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14:paraId="5D53CB3F"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147.82</w:t>
            </w:r>
          </w:p>
        </w:tc>
        <w:tc>
          <w:tcPr>
            <w:tcW w:w="828" w:type="dxa"/>
            <w:tcBorders>
              <w:top w:val="nil"/>
              <w:left w:val="nil"/>
              <w:bottom w:val="single" w:sz="4" w:space="0" w:color="auto"/>
              <w:right w:val="single" w:sz="4" w:space="0" w:color="auto"/>
            </w:tcBorders>
            <w:noWrap/>
            <w:vAlign w:val="center"/>
          </w:tcPr>
          <w:p w14:paraId="72A915C9"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98.34</w:t>
            </w:r>
          </w:p>
        </w:tc>
        <w:tc>
          <w:tcPr>
            <w:tcW w:w="828" w:type="dxa"/>
            <w:tcBorders>
              <w:top w:val="nil"/>
              <w:left w:val="nil"/>
              <w:bottom w:val="single" w:sz="4" w:space="0" w:color="auto"/>
              <w:right w:val="single" w:sz="4" w:space="0" w:color="auto"/>
            </w:tcBorders>
            <w:noWrap/>
            <w:vAlign w:val="center"/>
          </w:tcPr>
          <w:p w14:paraId="5BB5C16B"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232.65</w:t>
            </w:r>
          </w:p>
        </w:tc>
        <w:tc>
          <w:tcPr>
            <w:tcW w:w="0" w:type="auto"/>
            <w:tcBorders>
              <w:top w:val="nil"/>
              <w:left w:val="nil"/>
              <w:bottom w:val="single" w:sz="4" w:space="0" w:color="auto"/>
              <w:right w:val="single" w:sz="4" w:space="0" w:color="auto"/>
            </w:tcBorders>
            <w:noWrap/>
            <w:vAlign w:val="center"/>
          </w:tcPr>
          <w:p w14:paraId="66CA1A62" w14:textId="77777777"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14:paraId="72630CBF"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9.87</w:t>
            </w:r>
          </w:p>
        </w:tc>
        <w:tc>
          <w:tcPr>
            <w:tcW w:w="0" w:type="auto"/>
            <w:tcBorders>
              <w:top w:val="nil"/>
              <w:left w:val="nil"/>
              <w:bottom w:val="single" w:sz="4" w:space="0" w:color="auto"/>
              <w:right w:val="single" w:sz="4" w:space="0" w:color="auto"/>
            </w:tcBorders>
            <w:noWrap/>
            <w:vAlign w:val="center"/>
          </w:tcPr>
          <w:p w14:paraId="5CECF1D9"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0.912</w:t>
            </w:r>
          </w:p>
        </w:tc>
        <w:tc>
          <w:tcPr>
            <w:tcW w:w="791" w:type="dxa"/>
            <w:tcBorders>
              <w:top w:val="nil"/>
              <w:left w:val="nil"/>
              <w:bottom w:val="single" w:sz="4" w:space="0" w:color="auto"/>
              <w:right w:val="single" w:sz="4" w:space="0" w:color="auto"/>
            </w:tcBorders>
            <w:noWrap/>
            <w:vAlign w:val="center"/>
          </w:tcPr>
          <w:p w14:paraId="0906F26B" w14:textId="77777777"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4.92</w:t>
            </w:r>
          </w:p>
        </w:tc>
        <w:tc>
          <w:tcPr>
            <w:tcW w:w="828" w:type="dxa"/>
            <w:tcBorders>
              <w:top w:val="nil"/>
              <w:left w:val="nil"/>
              <w:bottom w:val="single" w:sz="4" w:space="0" w:color="auto"/>
              <w:right w:val="single" w:sz="4" w:space="0" w:color="auto"/>
            </w:tcBorders>
            <w:noWrap/>
            <w:vAlign w:val="center"/>
          </w:tcPr>
          <w:p w14:paraId="6A8EAB84" w14:textId="77777777"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14:paraId="7E56CD14" w14:textId="77777777"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14:paraId="46CE9DB3"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07D8A17C" w14:textId="77777777" w:rsidR="00A755E8" w:rsidRPr="00A755E8" w:rsidRDefault="00A755E8" w:rsidP="00A755E8">
            <w:pPr>
              <w:rPr>
                <w:rFonts w:ascii="Arial" w:hAnsi="Arial" w:cs="Arial"/>
                <w:sz w:val="18"/>
                <w:szCs w:val="18"/>
              </w:rPr>
            </w:pPr>
            <w:r w:rsidRPr="00A755E8">
              <w:rPr>
                <w:rFonts w:ascii="Arial" w:hAnsi="Arial" w:cs="Arial"/>
                <w:sz w:val="18"/>
                <w:szCs w:val="18"/>
              </w:rPr>
              <w:t>Castor seed oil (</w:t>
            </w:r>
            <w:r w:rsidRPr="00A755E8">
              <w:rPr>
                <w:rFonts w:ascii="Arial" w:hAnsi="Arial" w:cs="Arial"/>
                <w:i/>
                <w:iCs/>
                <w:sz w:val="18"/>
                <w:szCs w:val="18"/>
              </w:rPr>
              <w:t>Ricinus communis</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1CB7B890"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1.792</w:t>
            </w:r>
          </w:p>
        </w:tc>
        <w:tc>
          <w:tcPr>
            <w:tcW w:w="0" w:type="auto"/>
            <w:tcBorders>
              <w:top w:val="nil"/>
              <w:left w:val="nil"/>
              <w:bottom w:val="single" w:sz="4" w:space="0" w:color="auto"/>
              <w:right w:val="single" w:sz="4" w:space="0" w:color="auto"/>
            </w:tcBorders>
            <w:noWrap/>
            <w:vAlign w:val="center"/>
            <w:hideMark/>
          </w:tcPr>
          <w:p w14:paraId="4F302DB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06570201"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0.43</w:t>
            </w:r>
          </w:p>
        </w:tc>
        <w:tc>
          <w:tcPr>
            <w:tcW w:w="828" w:type="dxa"/>
            <w:tcBorders>
              <w:top w:val="nil"/>
              <w:left w:val="nil"/>
              <w:bottom w:val="single" w:sz="4" w:space="0" w:color="auto"/>
              <w:right w:val="single" w:sz="4" w:space="0" w:color="auto"/>
            </w:tcBorders>
            <w:noWrap/>
            <w:vAlign w:val="center"/>
            <w:hideMark/>
          </w:tcPr>
          <w:p w14:paraId="52F49423"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58.64</w:t>
            </w:r>
          </w:p>
        </w:tc>
        <w:tc>
          <w:tcPr>
            <w:tcW w:w="828" w:type="dxa"/>
            <w:tcBorders>
              <w:top w:val="nil"/>
              <w:left w:val="nil"/>
              <w:bottom w:val="single" w:sz="4" w:space="0" w:color="auto"/>
              <w:right w:val="single" w:sz="4" w:space="0" w:color="auto"/>
            </w:tcBorders>
            <w:noWrap/>
            <w:vAlign w:val="center"/>
            <w:hideMark/>
          </w:tcPr>
          <w:p w14:paraId="0BE3F043"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180.77</w:t>
            </w:r>
          </w:p>
        </w:tc>
        <w:tc>
          <w:tcPr>
            <w:tcW w:w="0" w:type="auto"/>
            <w:tcBorders>
              <w:top w:val="nil"/>
              <w:left w:val="nil"/>
              <w:bottom w:val="single" w:sz="4" w:space="0" w:color="auto"/>
              <w:right w:val="single" w:sz="4" w:space="0" w:color="auto"/>
            </w:tcBorders>
            <w:noWrap/>
            <w:vAlign w:val="center"/>
            <w:hideMark/>
          </w:tcPr>
          <w:p w14:paraId="4285033F"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158.64</w:t>
            </w:r>
          </w:p>
        </w:tc>
        <w:tc>
          <w:tcPr>
            <w:tcW w:w="0" w:type="auto"/>
            <w:tcBorders>
              <w:top w:val="nil"/>
              <w:left w:val="nil"/>
              <w:bottom w:val="single" w:sz="4" w:space="0" w:color="auto"/>
              <w:right w:val="single" w:sz="4" w:space="0" w:color="auto"/>
            </w:tcBorders>
            <w:noWrap/>
            <w:vAlign w:val="center"/>
            <w:hideMark/>
          </w:tcPr>
          <w:p w14:paraId="03DA579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14.8</w:t>
            </w:r>
          </w:p>
        </w:tc>
        <w:tc>
          <w:tcPr>
            <w:tcW w:w="0" w:type="auto"/>
            <w:tcBorders>
              <w:top w:val="nil"/>
              <w:left w:val="nil"/>
              <w:bottom w:val="single" w:sz="4" w:space="0" w:color="auto"/>
              <w:right w:val="single" w:sz="4" w:space="0" w:color="auto"/>
            </w:tcBorders>
            <w:noWrap/>
            <w:vAlign w:val="center"/>
            <w:hideMark/>
          </w:tcPr>
          <w:p w14:paraId="6A5FDFB3"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0.948</w:t>
            </w:r>
          </w:p>
        </w:tc>
        <w:tc>
          <w:tcPr>
            <w:tcW w:w="791" w:type="dxa"/>
            <w:tcBorders>
              <w:top w:val="nil"/>
              <w:left w:val="nil"/>
              <w:bottom w:val="single" w:sz="4" w:space="0" w:color="auto"/>
              <w:right w:val="single" w:sz="4" w:space="0" w:color="auto"/>
            </w:tcBorders>
            <w:noWrap/>
            <w:vAlign w:val="center"/>
            <w:hideMark/>
          </w:tcPr>
          <w:p w14:paraId="7B15C2A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7.4</w:t>
            </w:r>
          </w:p>
        </w:tc>
        <w:tc>
          <w:tcPr>
            <w:tcW w:w="828" w:type="dxa"/>
            <w:tcBorders>
              <w:top w:val="nil"/>
              <w:left w:val="nil"/>
              <w:bottom w:val="single" w:sz="4" w:space="0" w:color="auto"/>
              <w:right w:val="single" w:sz="4" w:space="0" w:color="auto"/>
            </w:tcBorders>
            <w:noWrap/>
            <w:vAlign w:val="center"/>
            <w:hideMark/>
          </w:tcPr>
          <w:p w14:paraId="0CDA28D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165.97</w:t>
            </w:r>
          </w:p>
        </w:tc>
        <w:tc>
          <w:tcPr>
            <w:tcW w:w="2488" w:type="dxa"/>
            <w:tcBorders>
              <w:top w:val="nil"/>
              <w:left w:val="nil"/>
              <w:bottom w:val="single" w:sz="4" w:space="0" w:color="auto"/>
              <w:right w:val="single" w:sz="4" w:space="0" w:color="auto"/>
            </w:tcBorders>
            <w:vAlign w:val="center"/>
          </w:tcPr>
          <w:p w14:paraId="285E5AD0"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Nangbes</w:t>
            </w:r>
            <w:proofErr w:type="spellEnd"/>
            <w:r w:rsidRPr="00A755E8">
              <w:rPr>
                <w:rFonts w:ascii="Arial" w:hAnsi="Arial" w:cs="Arial"/>
                <w:sz w:val="18"/>
                <w:szCs w:val="18"/>
              </w:rPr>
              <w:t xml:space="preserve"> et al., (2013)</w:t>
            </w:r>
          </w:p>
        </w:tc>
      </w:tr>
      <w:tr w:rsidR="00A755E8" w:rsidRPr="00A755E8" w14:paraId="33D4F6BA"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7F84C872" w14:textId="77777777"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occidentalis</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240AB740"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1.461</w:t>
            </w:r>
          </w:p>
        </w:tc>
        <w:tc>
          <w:tcPr>
            <w:tcW w:w="0" w:type="auto"/>
            <w:tcBorders>
              <w:top w:val="nil"/>
              <w:left w:val="nil"/>
              <w:bottom w:val="single" w:sz="4" w:space="0" w:color="auto"/>
              <w:right w:val="single" w:sz="4" w:space="0" w:color="auto"/>
            </w:tcBorders>
            <w:noWrap/>
            <w:vAlign w:val="center"/>
            <w:hideMark/>
          </w:tcPr>
          <w:p w14:paraId="4A24D33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14:paraId="01C7AAF8"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44.7</w:t>
            </w:r>
          </w:p>
        </w:tc>
        <w:tc>
          <w:tcPr>
            <w:tcW w:w="828" w:type="dxa"/>
            <w:tcBorders>
              <w:top w:val="nil"/>
              <w:left w:val="nil"/>
              <w:bottom w:val="single" w:sz="4" w:space="0" w:color="auto"/>
              <w:right w:val="single" w:sz="4" w:space="0" w:color="auto"/>
            </w:tcBorders>
            <w:noWrap/>
            <w:vAlign w:val="center"/>
            <w:hideMark/>
          </w:tcPr>
          <w:p w14:paraId="63F6923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15.8</w:t>
            </w:r>
          </w:p>
        </w:tc>
        <w:tc>
          <w:tcPr>
            <w:tcW w:w="828" w:type="dxa"/>
            <w:tcBorders>
              <w:top w:val="nil"/>
              <w:left w:val="nil"/>
              <w:bottom w:val="single" w:sz="4" w:space="0" w:color="auto"/>
              <w:right w:val="single" w:sz="4" w:space="0" w:color="auto"/>
            </w:tcBorders>
            <w:noWrap/>
            <w:vAlign w:val="center"/>
            <w:hideMark/>
          </w:tcPr>
          <w:p w14:paraId="0554CCB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187</w:t>
            </w:r>
          </w:p>
        </w:tc>
        <w:tc>
          <w:tcPr>
            <w:tcW w:w="0" w:type="auto"/>
            <w:tcBorders>
              <w:top w:val="nil"/>
              <w:left w:val="nil"/>
              <w:bottom w:val="single" w:sz="4" w:space="0" w:color="auto"/>
              <w:right w:val="single" w:sz="4" w:space="0" w:color="auto"/>
            </w:tcBorders>
            <w:noWrap/>
            <w:vAlign w:val="center"/>
            <w:hideMark/>
          </w:tcPr>
          <w:p w14:paraId="213F16F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0C611DA9"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62.6</w:t>
            </w:r>
          </w:p>
        </w:tc>
        <w:tc>
          <w:tcPr>
            <w:tcW w:w="0" w:type="auto"/>
            <w:tcBorders>
              <w:top w:val="nil"/>
              <w:left w:val="nil"/>
              <w:bottom w:val="single" w:sz="4" w:space="0" w:color="auto"/>
              <w:right w:val="single" w:sz="4" w:space="0" w:color="auto"/>
            </w:tcBorders>
            <w:noWrap/>
            <w:vAlign w:val="center"/>
            <w:hideMark/>
          </w:tcPr>
          <w:p w14:paraId="04BB8FA6"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14:paraId="2A829013" w14:textId="77777777" w:rsidR="00A755E8" w:rsidRPr="00A755E8" w:rsidRDefault="00A755E8" w:rsidP="00A755E8">
            <w:pPr>
              <w:rPr>
                <w:rFonts w:ascii="Arial" w:hAnsi="Arial" w:cs="Arial"/>
                <w:sz w:val="18"/>
                <w:szCs w:val="18"/>
              </w:rPr>
            </w:pPr>
            <w:r w:rsidRPr="00A755E8">
              <w:rPr>
                <w:rFonts w:ascii="Arial" w:hAnsi="Arial" w:cs="Arial"/>
                <w:sz w:val="18"/>
                <w:szCs w:val="18"/>
              </w:rPr>
              <w:t>31.49ᵃ</w:t>
            </w:r>
          </w:p>
        </w:tc>
        <w:tc>
          <w:tcPr>
            <w:tcW w:w="828" w:type="dxa"/>
            <w:tcBorders>
              <w:top w:val="nil"/>
              <w:left w:val="nil"/>
              <w:bottom w:val="single" w:sz="4" w:space="0" w:color="auto"/>
              <w:right w:val="single" w:sz="4" w:space="0" w:color="auto"/>
            </w:tcBorders>
            <w:noWrap/>
            <w:vAlign w:val="center"/>
            <w:hideMark/>
          </w:tcPr>
          <w:p w14:paraId="6DDDE84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124.4</w:t>
            </w:r>
          </w:p>
        </w:tc>
        <w:tc>
          <w:tcPr>
            <w:tcW w:w="2488" w:type="dxa"/>
            <w:tcBorders>
              <w:top w:val="nil"/>
              <w:left w:val="nil"/>
              <w:bottom w:val="single" w:sz="4" w:space="0" w:color="auto"/>
              <w:right w:val="single" w:sz="4" w:space="0" w:color="auto"/>
            </w:tcBorders>
            <w:vAlign w:val="center"/>
          </w:tcPr>
          <w:p w14:paraId="75255258"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Bwade</w:t>
            </w:r>
            <w:proofErr w:type="spellEnd"/>
            <w:r w:rsidRPr="00A755E8">
              <w:rPr>
                <w:rFonts w:ascii="Arial" w:hAnsi="Arial" w:cs="Arial"/>
                <w:sz w:val="18"/>
                <w:szCs w:val="18"/>
              </w:rPr>
              <w:t xml:space="preserve"> et al., 2013</w:t>
            </w:r>
          </w:p>
        </w:tc>
      </w:tr>
      <w:tr w:rsidR="00A755E8" w:rsidRPr="00A755E8" w14:paraId="1C1216D4"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0C0A01AF" w14:textId="77777777"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occidentalis</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76EF4E51"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1.476</w:t>
            </w:r>
          </w:p>
        </w:tc>
        <w:tc>
          <w:tcPr>
            <w:tcW w:w="0" w:type="auto"/>
            <w:tcBorders>
              <w:top w:val="nil"/>
              <w:left w:val="nil"/>
              <w:bottom w:val="single" w:sz="4" w:space="0" w:color="auto"/>
              <w:right w:val="single" w:sz="4" w:space="0" w:color="auto"/>
            </w:tcBorders>
            <w:noWrap/>
            <w:vAlign w:val="center"/>
            <w:hideMark/>
          </w:tcPr>
          <w:p w14:paraId="559C7F0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0" w:type="auto"/>
            <w:tcBorders>
              <w:top w:val="nil"/>
              <w:left w:val="nil"/>
              <w:bottom w:val="single" w:sz="4" w:space="0" w:color="auto"/>
              <w:right w:val="single" w:sz="4" w:space="0" w:color="auto"/>
            </w:tcBorders>
            <w:noWrap/>
            <w:vAlign w:val="center"/>
            <w:hideMark/>
          </w:tcPr>
          <w:p w14:paraId="6FC1DDE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119</w:t>
            </w:r>
          </w:p>
        </w:tc>
        <w:tc>
          <w:tcPr>
            <w:tcW w:w="828" w:type="dxa"/>
            <w:tcBorders>
              <w:top w:val="nil"/>
              <w:left w:val="nil"/>
              <w:bottom w:val="single" w:sz="4" w:space="0" w:color="auto"/>
              <w:right w:val="single" w:sz="4" w:space="0" w:color="auto"/>
            </w:tcBorders>
            <w:noWrap/>
            <w:vAlign w:val="center"/>
            <w:hideMark/>
          </w:tcPr>
          <w:p w14:paraId="7B6B9147"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123.83</w:t>
            </w:r>
          </w:p>
        </w:tc>
        <w:tc>
          <w:tcPr>
            <w:tcW w:w="828" w:type="dxa"/>
            <w:tcBorders>
              <w:top w:val="nil"/>
              <w:left w:val="nil"/>
              <w:bottom w:val="single" w:sz="4" w:space="0" w:color="auto"/>
              <w:right w:val="single" w:sz="4" w:space="0" w:color="auto"/>
            </w:tcBorders>
            <w:noWrap/>
            <w:vAlign w:val="center"/>
            <w:hideMark/>
          </w:tcPr>
          <w:p w14:paraId="68B15C62"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162.69</w:t>
            </w:r>
          </w:p>
        </w:tc>
        <w:tc>
          <w:tcPr>
            <w:tcW w:w="0" w:type="auto"/>
            <w:tcBorders>
              <w:top w:val="nil"/>
              <w:left w:val="nil"/>
              <w:bottom w:val="single" w:sz="4" w:space="0" w:color="auto"/>
              <w:right w:val="single" w:sz="4" w:space="0" w:color="auto"/>
            </w:tcBorders>
            <w:noWrap/>
            <w:vAlign w:val="center"/>
            <w:hideMark/>
          </w:tcPr>
          <w:p w14:paraId="773204B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54EC2757"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4.77</w:t>
            </w:r>
          </w:p>
        </w:tc>
        <w:tc>
          <w:tcPr>
            <w:tcW w:w="0" w:type="auto"/>
            <w:tcBorders>
              <w:top w:val="nil"/>
              <w:left w:val="nil"/>
              <w:bottom w:val="single" w:sz="4" w:space="0" w:color="auto"/>
              <w:right w:val="single" w:sz="4" w:space="0" w:color="auto"/>
            </w:tcBorders>
            <w:noWrap/>
            <w:vAlign w:val="center"/>
            <w:hideMark/>
          </w:tcPr>
          <w:p w14:paraId="02AE1172"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791" w:type="dxa"/>
            <w:tcBorders>
              <w:top w:val="nil"/>
              <w:left w:val="nil"/>
              <w:bottom w:val="single" w:sz="4" w:space="0" w:color="auto"/>
              <w:right w:val="single" w:sz="4" w:space="0" w:color="auto"/>
            </w:tcBorders>
            <w:noWrap/>
            <w:vAlign w:val="center"/>
            <w:hideMark/>
          </w:tcPr>
          <w:p w14:paraId="6ADFF7E9" w14:textId="77777777" w:rsidR="00A755E8" w:rsidRPr="00A755E8" w:rsidRDefault="00A755E8" w:rsidP="00A755E8">
            <w:pPr>
              <w:rPr>
                <w:rFonts w:ascii="Arial" w:hAnsi="Arial" w:cs="Arial"/>
                <w:sz w:val="18"/>
                <w:szCs w:val="18"/>
              </w:rPr>
            </w:pPr>
            <w:r w:rsidRPr="00A755E8">
              <w:rPr>
                <w:rFonts w:ascii="Arial" w:hAnsi="Arial" w:cs="Arial"/>
                <w:sz w:val="18"/>
                <w:szCs w:val="18"/>
              </w:rPr>
              <w:t>2.40ᵃ</w:t>
            </w:r>
          </w:p>
        </w:tc>
        <w:tc>
          <w:tcPr>
            <w:tcW w:w="828" w:type="dxa"/>
            <w:tcBorders>
              <w:top w:val="nil"/>
              <w:left w:val="nil"/>
              <w:bottom w:val="single" w:sz="4" w:space="0" w:color="auto"/>
              <w:right w:val="single" w:sz="4" w:space="0" w:color="auto"/>
            </w:tcBorders>
            <w:noWrap/>
            <w:vAlign w:val="center"/>
            <w:hideMark/>
          </w:tcPr>
          <w:p w14:paraId="2D369A03"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157.92</w:t>
            </w:r>
          </w:p>
        </w:tc>
        <w:tc>
          <w:tcPr>
            <w:tcW w:w="2488" w:type="dxa"/>
            <w:tcBorders>
              <w:top w:val="nil"/>
              <w:left w:val="nil"/>
              <w:bottom w:val="single" w:sz="4" w:space="0" w:color="auto"/>
              <w:right w:val="single" w:sz="4" w:space="0" w:color="auto"/>
            </w:tcBorders>
            <w:vAlign w:val="center"/>
          </w:tcPr>
          <w:p w14:paraId="22BF32F1"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Nwabanne</w:t>
            </w:r>
            <w:proofErr w:type="spellEnd"/>
            <w:r w:rsidRPr="00A755E8">
              <w:rPr>
                <w:rFonts w:ascii="Arial" w:hAnsi="Arial" w:cs="Arial"/>
                <w:sz w:val="18"/>
                <w:szCs w:val="18"/>
              </w:rPr>
              <w:t>, 2012</w:t>
            </w:r>
          </w:p>
        </w:tc>
      </w:tr>
      <w:tr w:rsidR="00A755E8" w:rsidRPr="00A755E8" w14:paraId="71D58EB0"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7D027D3B" w14:textId="77777777" w:rsidR="00A755E8" w:rsidRPr="00A755E8" w:rsidRDefault="00A755E8" w:rsidP="00A755E8">
            <w:pPr>
              <w:rPr>
                <w:rFonts w:ascii="Arial" w:hAnsi="Arial" w:cs="Arial"/>
                <w:sz w:val="18"/>
                <w:szCs w:val="18"/>
              </w:rPr>
            </w:pPr>
            <w:r w:rsidRPr="00A755E8">
              <w:rPr>
                <w:rFonts w:ascii="Arial" w:hAnsi="Arial" w:cs="Arial"/>
                <w:sz w:val="18"/>
                <w:szCs w:val="18"/>
              </w:rPr>
              <w:t>Cashew nut seed oil (</w:t>
            </w:r>
            <w:r w:rsidRPr="00A755E8">
              <w:rPr>
                <w:rFonts w:ascii="Arial" w:hAnsi="Arial" w:cs="Arial"/>
                <w:i/>
                <w:iCs/>
                <w:sz w:val="18"/>
                <w:szCs w:val="18"/>
              </w:rPr>
              <w:t>Anacardium occidentale</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638B45CE"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1.42</w:t>
            </w:r>
          </w:p>
        </w:tc>
        <w:tc>
          <w:tcPr>
            <w:tcW w:w="0" w:type="auto"/>
            <w:tcBorders>
              <w:top w:val="nil"/>
              <w:left w:val="nil"/>
              <w:bottom w:val="single" w:sz="4" w:space="0" w:color="auto"/>
              <w:right w:val="single" w:sz="4" w:space="0" w:color="auto"/>
            </w:tcBorders>
            <w:noWrap/>
            <w:vAlign w:val="center"/>
            <w:hideMark/>
          </w:tcPr>
          <w:p w14:paraId="7101D5F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0.906</w:t>
            </w:r>
          </w:p>
        </w:tc>
        <w:tc>
          <w:tcPr>
            <w:tcW w:w="0" w:type="auto"/>
            <w:tcBorders>
              <w:top w:val="nil"/>
              <w:left w:val="nil"/>
              <w:bottom w:val="single" w:sz="4" w:space="0" w:color="auto"/>
              <w:right w:val="single" w:sz="4" w:space="0" w:color="auto"/>
            </w:tcBorders>
            <w:noWrap/>
            <w:vAlign w:val="center"/>
            <w:hideMark/>
          </w:tcPr>
          <w:p w14:paraId="6E7A2E4F"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14:paraId="604F74E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50.61</w:t>
            </w:r>
          </w:p>
        </w:tc>
        <w:tc>
          <w:tcPr>
            <w:tcW w:w="828" w:type="dxa"/>
            <w:tcBorders>
              <w:top w:val="nil"/>
              <w:left w:val="nil"/>
              <w:bottom w:val="single" w:sz="4" w:space="0" w:color="auto"/>
              <w:right w:val="single" w:sz="4" w:space="0" w:color="auto"/>
            </w:tcBorders>
            <w:noWrap/>
            <w:vAlign w:val="center"/>
            <w:hideMark/>
          </w:tcPr>
          <w:p w14:paraId="6345750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212</w:t>
            </w:r>
          </w:p>
        </w:tc>
        <w:tc>
          <w:tcPr>
            <w:tcW w:w="0" w:type="auto"/>
            <w:tcBorders>
              <w:top w:val="nil"/>
              <w:left w:val="nil"/>
              <w:bottom w:val="single" w:sz="4" w:space="0" w:color="auto"/>
              <w:right w:val="single" w:sz="4" w:space="0" w:color="auto"/>
            </w:tcBorders>
            <w:noWrap/>
            <w:vAlign w:val="center"/>
            <w:hideMark/>
          </w:tcPr>
          <w:p w14:paraId="7AA83C1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10.58</w:t>
            </w:r>
          </w:p>
        </w:tc>
        <w:tc>
          <w:tcPr>
            <w:tcW w:w="0" w:type="auto"/>
            <w:tcBorders>
              <w:top w:val="nil"/>
              <w:left w:val="nil"/>
              <w:bottom w:val="single" w:sz="4" w:space="0" w:color="auto"/>
              <w:right w:val="single" w:sz="4" w:space="0" w:color="auto"/>
            </w:tcBorders>
            <w:noWrap/>
            <w:vAlign w:val="center"/>
            <w:hideMark/>
          </w:tcPr>
          <w:p w14:paraId="23169D1F"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0" w:type="auto"/>
            <w:tcBorders>
              <w:top w:val="nil"/>
              <w:left w:val="nil"/>
              <w:bottom w:val="single" w:sz="4" w:space="0" w:color="auto"/>
              <w:right w:val="single" w:sz="4" w:space="0" w:color="auto"/>
            </w:tcBorders>
            <w:noWrap/>
            <w:vAlign w:val="center"/>
            <w:hideMark/>
          </w:tcPr>
          <w:p w14:paraId="3596627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14:paraId="654D2009"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828" w:type="dxa"/>
            <w:tcBorders>
              <w:top w:val="nil"/>
              <w:left w:val="nil"/>
              <w:bottom w:val="single" w:sz="4" w:space="0" w:color="auto"/>
              <w:right w:val="single" w:sz="4" w:space="0" w:color="auto"/>
            </w:tcBorders>
            <w:noWrap/>
            <w:vAlign w:val="center"/>
            <w:hideMark/>
          </w:tcPr>
          <w:p w14:paraId="5AD2F62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209.76</w:t>
            </w:r>
          </w:p>
        </w:tc>
        <w:tc>
          <w:tcPr>
            <w:tcW w:w="2488" w:type="dxa"/>
            <w:tcBorders>
              <w:top w:val="nil"/>
              <w:left w:val="nil"/>
              <w:bottom w:val="single" w:sz="4" w:space="0" w:color="auto"/>
              <w:right w:val="single" w:sz="4" w:space="0" w:color="auto"/>
            </w:tcBorders>
            <w:vAlign w:val="center"/>
          </w:tcPr>
          <w:p w14:paraId="6A3AEE51" w14:textId="77777777" w:rsidR="00A755E8" w:rsidRPr="00A755E8" w:rsidRDefault="00A755E8" w:rsidP="00A755E8">
            <w:pPr>
              <w:rPr>
                <w:rFonts w:ascii="Arial" w:hAnsi="Arial" w:cs="Arial"/>
                <w:sz w:val="18"/>
                <w:szCs w:val="18"/>
              </w:rPr>
            </w:pPr>
            <w:r w:rsidRPr="00A755E8">
              <w:rPr>
                <w:rFonts w:ascii="Arial" w:hAnsi="Arial" w:cs="Arial"/>
                <w:sz w:val="18"/>
                <w:szCs w:val="18"/>
              </w:rPr>
              <w:t xml:space="preserve">Aremu &amp; </w:t>
            </w:r>
            <w:proofErr w:type="spellStart"/>
            <w:r w:rsidRPr="00A755E8">
              <w:rPr>
                <w:rFonts w:ascii="Arial" w:hAnsi="Arial" w:cs="Arial"/>
                <w:sz w:val="18"/>
                <w:szCs w:val="18"/>
              </w:rPr>
              <w:t>Akinwumi</w:t>
            </w:r>
            <w:proofErr w:type="spellEnd"/>
            <w:r w:rsidRPr="00A755E8">
              <w:rPr>
                <w:rFonts w:ascii="Arial" w:hAnsi="Arial" w:cs="Arial"/>
                <w:sz w:val="18"/>
                <w:szCs w:val="18"/>
              </w:rPr>
              <w:t>, 2014</w:t>
            </w:r>
          </w:p>
        </w:tc>
      </w:tr>
      <w:tr w:rsidR="00A755E8" w:rsidRPr="00A755E8" w14:paraId="492AAC0E"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28CFDA0B" w14:textId="77777777" w:rsidR="00A755E8" w:rsidRPr="00A755E8" w:rsidRDefault="00A755E8" w:rsidP="00A755E8">
            <w:pPr>
              <w:rPr>
                <w:rFonts w:ascii="Arial" w:hAnsi="Arial" w:cs="Arial"/>
                <w:sz w:val="18"/>
                <w:szCs w:val="18"/>
              </w:rPr>
            </w:pPr>
            <w:r w:rsidRPr="00A755E8">
              <w:rPr>
                <w:rFonts w:ascii="Arial" w:hAnsi="Arial" w:cs="Arial"/>
                <w:sz w:val="18"/>
                <w:szCs w:val="18"/>
              </w:rPr>
              <w:t>Jatropha seed oil (</w:t>
            </w:r>
            <w:r w:rsidRPr="00A755E8">
              <w:rPr>
                <w:rFonts w:ascii="Arial" w:hAnsi="Arial" w:cs="Arial"/>
                <w:i/>
                <w:iCs/>
                <w:sz w:val="18"/>
                <w:szCs w:val="18"/>
              </w:rPr>
              <w:t xml:space="preserve">Jatropha </w:t>
            </w:r>
            <w:proofErr w:type="spellStart"/>
            <w:r w:rsidRPr="00A755E8">
              <w:rPr>
                <w:rFonts w:ascii="Arial" w:hAnsi="Arial" w:cs="Arial"/>
                <w:i/>
                <w:iCs/>
                <w:sz w:val="18"/>
                <w:szCs w:val="18"/>
              </w:rPr>
              <w:t>curcas</w:t>
            </w:r>
            <w:proofErr w:type="spellEnd"/>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14:paraId="48ECA53F"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398C4624"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0.896</w:t>
            </w:r>
          </w:p>
        </w:tc>
        <w:tc>
          <w:tcPr>
            <w:tcW w:w="0" w:type="auto"/>
            <w:tcBorders>
              <w:top w:val="nil"/>
              <w:left w:val="nil"/>
              <w:bottom w:val="single" w:sz="4" w:space="0" w:color="auto"/>
              <w:right w:val="single" w:sz="4" w:space="0" w:color="auto"/>
            </w:tcBorders>
            <w:noWrap/>
            <w:vAlign w:val="center"/>
            <w:hideMark/>
          </w:tcPr>
          <w:p w14:paraId="556BAE44"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76.18</w:t>
            </w:r>
          </w:p>
        </w:tc>
        <w:tc>
          <w:tcPr>
            <w:tcW w:w="828" w:type="dxa"/>
            <w:tcBorders>
              <w:top w:val="nil"/>
              <w:left w:val="nil"/>
              <w:bottom w:val="single" w:sz="4" w:space="0" w:color="auto"/>
              <w:right w:val="single" w:sz="4" w:space="0" w:color="auto"/>
            </w:tcBorders>
            <w:noWrap/>
            <w:vAlign w:val="center"/>
            <w:hideMark/>
          </w:tcPr>
          <w:p w14:paraId="1F0942B8"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26.09</w:t>
            </w:r>
          </w:p>
        </w:tc>
        <w:tc>
          <w:tcPr>
            <w:tcW w:w="828" w:type="dxa"/>
            <w:tcBorders>
              <w:top w:val="nil"/>
              <w:left w:val="nil"/>
              <w:bottom w:val="single" w:sz="4" w:space="0" w:color="auto"/>
              <w:right w:val="single" w:sz="4" w:space="0" w:color="auto"/>
            </w:tcBorders>
            <w:noWrap/>
            <w:vAlign w:val="center"/>
            <w:hideMark/>
          </w:tcPr>
          <w:p w14:paraId="4151426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230.71</w:t>
            </w:r>
          </w:p>
        </w:tc>
        <w:tc>
          <w:tcPr>
            <w:tcW w:w="0" w:type="auto"/>
            <w:tcBorders>
              <w:top w:val="nil"/>
              <w:left w:val="nil"/>
              <w:bottom w:val="single" w:sz="4" w:space="0" w:color="auto"/>
              <w:right w:val="single" w:sz="4" w:space="0" w:color="auto"/>
            </w:tcBorders>
            <w:noWrap/>
            <w:vAlign w:val="center"/>
            <w:hideMark/>
          </w:tcPr>
          <w:p w14:paraId="656DD7D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44</w:t>
            </w:r>
          </w:p>
        </w:tc>
        <w:tc>
          <w:tcPr>
            <w:tcW w:w="0" w:type="auto"/>
            <w:tcBorders>
              <w:top w:val="nil"/>
              <w:left w:val="nil"/>
              <w:bottom w:val="single" w:sz="4" w:space="0" w:color="auto"/>
              <w:right w:val="single" w:sz="4" w:space="0" w:color="auto"/>
            </w:tcBorders>
            <w:noWrap/>
            <w:vAlign w:val="center"/>
            <w:hideMark/>
          </w:tcPr>
          <w:p w14:paraId="41FE2C32"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23.87</w:t>
            </w:r>
          </w:p>
        </w:tc>
        <w:tc>
          <w:tcPr>
            <w:tcW w:w="0" w:type="auto"/>
            <w:tcBorders>
              <w:top w:val="nil"/>
              <w:left w:val="nil"/>
              <w:bottom w:val="single" w:sz="4" w:space="0" w:color="auto"/>
              <w:right w:val="single" w:sz="4" w:space="0" w:color="auto"/>
            </w:tcBorders>
            <w:noWrap/>
            <w:vAlign w:val="center"/>
            <w:hideMark/>
          </w:tcPr>
          <w:p w14:paraId="4EF252E1"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0.881</w:t>
            </w:r>
          </w:p>
        </w:tc>
        <w:tc>
          <w:tcPr>
            <w:tcW w:w="791" w:type="dxa"/>
            <w:tcBorders>
              <w:top w:val="nil"/>
              <w:left w:val="nil"/>
              <w:bottom w:val="single" w:sz="4" w:space="0" w:color="auto"/>
              <w:right w:val="single" w:sz="4" w:space="0" w:color="auto"/>
            </w:tcBorders>
            <w:noWrap/>
            <w:vAlign w:val="center"/>
            <w:hideMark/>
          </w:tcPr>
          <w:p w14:paraId="41625DF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11.94</w:t>
            </w:r>
          </w:p>
        </w:tc>
        <w:tc>
          <w:tcPr>
            <w:tcW w:w="828" w:type="dxa"/>
            <w:tcBorders>
              <w:top w:val="nil"/>
              <w:left w:val="nil"/>
              <w:bottom w:val="single" w:sz="4" w:space="0" w:color="auto"/>
              <w:right w:val="single" w:sz="4" w:space="0" w:color="auto"/>
            </w:tcBorders>
            <w:noWrap/>
            <w:vAlign w:val="center"/>
            <w:hideMark/>
          </w:tcPr>
          <w:p w14:paraId="75BC0A4C"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206.84</w:t>
            </w:r>
          </w:p>
        </w:tc>
        <w:tc>
          <w:tcPr>
            <w:tcW w:w="2488" w:type="dxa"/>
            <w:tcBorders>
              <w:top w:val="nil"/>
              <w:left w:val="nil"/>
              <w:bottom w:val="single" w:sz="4" w:space="0" w:color="auto"/>
              <w:right w:val="single" w:sz="4" w:space="0" w:color="auto"/>
            </w:tcBorders>
            <w:vAlign w:val="center"/>
          </w:tcPr>
          <w:p w14:paraId="49E3F494"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Belewu</w:t>
            </w:r>
            <w:proofErr w:type="spellEnd"/>
            <w:r w:rsidRPr="00A755E8">
              <w:rPr>
                <w:rFonts w:ascii="Arial" w:hAnsi="Arial" w:cs="Arial"/>
                <w:sz w:val="18"/>
                <w:szCs w:val="18"/>
              </w:rPr>
              <w:t xml:space="preserve"> et al., 2010</w:t>
            </w:r>
          </w:p>
        </w:tc>
      </w:tr>
      <w:tr w:rsidR="00A755E8" w:rsidRPr="00A755E8" w14:paraId="14A32F42"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05176A35" w14:textId="77777777" w:rsidR="00A755E8" w:rsidRPr="00A755E8" w:rsidRDefault="00A755E8" w:rsidP="00A755E8">
            <w:pPr>
              <w:rPr>
                <w:rFonts w:ascii="Arial" w:hAnsi="Arial" w:cs="Arial"/>
                <w:sz w:val="18"/>
                <w:szCs w:val="18"/>
              </w:rPr>
            </w:pPr>
            <w:r w:rsidRPr="00A755E8">
              <w:rPr>
                <w:rFonts w:ascii="Arial" w:hAnsi="Arial" w:cs="Arial"/>
                <w:sz w:val="18"/>
                <w:szCs w:val="18"/>
              </w:rPr>
              <w:t>Sesame seed oil (</w:t>
            </w:r>
            <w:r w:rsidRPr="00A755E8">
              <w:rPr>
                <w:rFonts w:ascii="Arial" w:hAnsi="Arial" w:cs="Arial"/>
                <w:i/>
                <w:iCs/>
                <w:sz w:val="18"/>
                <w:szCs w:val="18"/>
              </w:rPr>
              <w:t>Sesamum indicum</w:t>
            </w:r>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14:paraId="6E5233E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1.464</w:t>
            </w:r>
          </w:p>
        </w:tc>
        <w:tc>
          <w:tcPr>
            <w:tcW w:w="0" w:type="auto"/>
            <w:tcBorders>
              <w:top w:val="nil"/>
              <w:left w:val="nil"/>
              <w:bottom w:val="single" w:sz="4" w:space="0" w:color="auto"/>
              <w:right w:val="single" w:sz="4" w:space="0" w:color="auto"/>
            </w:tcBorders>
            <w:noWrap/>
            <w:vAlign w:val="center"/>
            <w:hideMark/>
          </w:tcPr>
          <w:p w14:paraId="629E8ED8"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14:paraId="77DAD19A"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14:paraId="20A7F8AF"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106</w:t>
            </w:r>
          </w:p>
        </w:tc>
        <w:tc>
          <w:tcPr>
            <w:tcW w:w="828" w:type="dxa"/>
            <w:tcBorders>
              <w:top w:val="nil"/>
              <w:left w:val="nil"/>
              <w:bottom w:val="single" w:sz="4" w:space="0" w:color="auto"/>
              <w:right w:val="single" w:sz="4" w:space="0" w:color="auto"/>
            </w:tcBorders>
            <w:noWrap/>
            <w:vAlign w:val="center"/>
            <w:hideMark/>
          </w:tcPr>
          <w:p w14:paraId="66FC0F3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189.54</w:t>
            </w:r>
          </w:p>
        </w:tc>
        <w:tc>
          <w:tcPr>
            <w:tcW w:w="0" w:type="auto"/>
            <w:tcBorders>
              <w:top w:val="nil"/>
              <w:left w:val="nil"/>
              <w:bottom w:val="single" w:sz="4" w:space="0" w:color="auto"/>
              <w:right w:val="single" w:sz="4" w:space="0" w:color="auto"/>
            </w:tcBorders>
            <w:noWrap/>
            <w:vAlign w:val="center"/>
            <w:hideMark/>
          </w:tcPr>
          <w:p w14:paraId="6EE183CE"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1.8</w:t>
            </w:r>
          </w:p>
        </w:tc>
        <w:tc>
          <w:tcPr>
            <w:tcW w:w="0" w:type="auto"/>
            <w:tcBorders>
              <w:top w:val="nil"/>
              <w:left w:val="nil"/>
              <w:bottom w:val="single" w:sz="4" w:space="0" w:color="auto"/>
              <w:right w:val="single" w:sz="4" w:space="0" w:color="auto"/>
            </w:tcBorders>
            <w:noWrap/>
            <w:vAlign w:val="center"/>
            <w:hideMark/>
          </w:tcPr>
          <w:p w14:paraId="5C8A5E3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0.49</w:t>
            </w:r>
          </w:p>
        </w:tc>
        <w:tc>
          <w:tcPr>
            <w:tcW w:w="0" w:type="auto"/>
            <w:tcBorders>
              <w:top w:val="nil"/>
              <w:left w:val="nil"/>
              <w:bottom w:val="single" w:sz="4" w:space="0" w:color="auto"/>
              <w:right w:val="single" w:sz="4" w:space="0" w:color="auto"/>
            </w:tcBorders>
            <w:noWrap/>
            <w:vAlign w:val="center"/>
            <w:hideMark/>
          </w:tcPr>
          <w:p w14:paraId="434D1881"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14:paraId="7FB1F35D" w14:textId="77777777" w:rsidR="00A755E8" w:rsidRPr="00A755E8" w:rsidRDefault="00A755E8" w:rsidP="00A755E8">
            <w:pPr>
              <w:rPr>
                <w:rFonts w:ascii="Arial" w:hAnsi="Arial" w:cs="Arial"/>
                <w:sz w:val="18"/>
                <w:szCs w:val="18"/>
              </w:rPr>
            </w:pPr>
            <w:r w:rsidRPr="00A755E8">
              <w:rPr>
                <w:rFonts w:ascii="Arial" w:hAnsi="Arial" w:cs="Arial"/>
                <w:sz w:val="18"/>
                <w:szCs w:val="18"/>
              </w:rPr>
              <w:t>0.25ᵃ</w:t>
            </w:r>
          </w:p>
        </w:tc>
        <w:tc>
          <w:tcPr>
            <w:tcW w:w="828" w:type="dxa"/>
            <w:tcBorders>
              <w:top w:val="nil"/>
              <w:left w:val="nil"/>
              <w:bottom w:val="single" w:sz="4" w:space="0" w:color="auto"/>
              <w:right w:val="single" w:sz="4" w:space="0" w:color="auto"/>
            </w:tcBorders>
            <w:noWrap/>
            <w:vAlign w:val="center"/>
            <w:hideMark/>
          </w:tcPr>
          <w:p w14:paraId="68D22334"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189.05</w:t>
            </w:r>
          </w:p>
        </w:tc>
        <w:tc>
          <w:tcPr>
            <w:tcW w:w="2488" w:type="dxa"/>
            <w:tcBorders>
              <w:top w:val="nil"/>
              <w:left w:val="nil"/>
              <w:bottom w:val="single" w:sz="4" w:space="0" w:color="auto"/>
              <w:right w:val="single" w:sz="4" w:space="0" w:color="auto"/>
            </w:tcBorders>
            <w:vAlign w:val="center"/>
          </w:tcPr>
          <w:p w14:paraId="609D7BCC" w14:textId="77777777" w:rsidR="00A755E8" w:rsidRPr="00A755E8" w:rsidRDefault="00A755E8" w:rsidP="00A755E8">
            <w:pPr>
              <w:rPr>
                <w:rFonts w:ascii="Arial" w:hAnsi="Arial" w:cs="Arial"/>
                <w:sz w:val="18"/>
                <w:szCs w:val="18"/>
              </w:rPr>
            </w:pPr>
            <w:r w:rsidRPr="00A755E8">
              <w:rPr>
                <w:rFonts w:ascii="Arial" w:hAnsi="Arial" w:cs="Arial"/>
                <w:sz w:val="18"/>
                <w:szCs w:val="18"/>
              </w:rPr>
              <w:t>Njoku et al., 2010</w:t>
            </w:r>
          </w:p>
        </w:tc>
      </w:tr>
      <w:tr w:rsidR="00A755E8" w:rsidRPr="00A755E8" w14:paraId="2BD2AF67"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14:paraId="5358AAE7" w14:textId="77777777" w:rsidR="00A755E8" w:rsidRPr="00A755E8" w:rsidRDefault="00A755E8" w:rsidP="00A755E8">
            <w:pPr>
              <w:rPr>
                <w:rFonts w:ascii="Arial" w:hAnsi="Arial" w:cs="Arial"/>
                <w:sz w:val="18"/>
                <w:szCs w:val="18"/>
              </w:rPr>
            </w:pPr>
            <w:r w:rsidRPr="00A755E8">
              <w:rPr>
                <w:rFonts w:ascii="Arial" w:hAnsi="Arial" w:cs="Arial"/>
                <w:sz w:val="18"/>
                <w:szCs w:val="18"/>
              </w:rPr>
              <w:t>Almond seed oil (</w:t>
            </w:r>
            <w:r w:rsidRPr="00A755E8">
              <w:rPr>
                <w:rFonts w:ascii="Arial" w:hAnsi="Arial" w:cs="Arial"/>
                <w:i/>
                <w:iCs/>
                <w:sz w:val="18"/>
                <w:szCs w:val="18"/>
              </w:rPr>
              <w:t xml:space="preserve">Prunus </w:t>
            </w:r>
            <w:proofErr w:type="spellStart"/>
            <w:r w:rsidRPr="00A755E8">
              <w:rPr>
                <w:rFonts w:ascii="Arial" w:hAnsi="Arial" w:cs="Arial"/>
                <w:i/>
                <w:iCs/>
                <w:sz w:val="18"/>
                <w:szCs w:val="18"/>
              </w:rPr>
              <w:t>amygdalus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0BA1350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1.46</w:t>
            </w:r>
          </w:p>
        </w:tc>
        <w:tc>
          <w:tcPr>
            <w:tcW w:w="0" w:type="auto"/>
            <w:tcBorders>
              <w:top w:val="nil"/>
              <w:left w:val="nil"/>
              <w:bottom w:val="single" w:sz="4" w:space="0" w:color="auto"/>
              <w:right w:val="single" w:sz="4" w:space="0" w:color="auto"/>
            </w:tcBorders>
            <w:noWrap/>
            <w:vAlign w:val="center"/>
            <w:hideMark/>
          </w:tcPr>
          <w:p w14:paraId="427C814C"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3D791115"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302.39</w:t>
            </w:r>
          </w:p>
        </w:tc>
        <w:tc>
          <w:tcPr>
            <w:tcW w:w="828" w:type="dxa"/>
            <w:tcBorders>
              <w:top w:val="nil"/>
              <w:left w:val="nil"/>
              <w:bottom w:val="single" w:sz="4" w:space="0" w:color="auto"/>
              <w:right w:val="single" w:sz="4" w:space="0" w:color="auto"/>
            </w:tcBorders>
            <w:noWrap/>
            <w:vAlign w:val="center"/>
            <w:hideMark/>
          </w:tcPr>
          <w:p w14:paraId="68912F9D"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12.46</w:t>
            </w:r>
          </w:p>
        </w:tc>
        <w:tc>
          <w:tcPr>
            <w:tcW w:w="828" w:type="dxa"/>
            <w:tcBorders>
              <w:top w:val="nil"/>
              <w:left w:val="nil"/>
              <w:bottom w:val="single" w:sz="4" w:space="0" w:color="auto"/>
              <w:right w:val="single" w:sz="4" w:space="0" w:color="auto"/>
            </w:tcBorders>
            <w:noWrap/>
            <w:vAlign w:val="center"/>
            <w:hideMark/>
          </w:tcPr>
          <w:p w14:paraId="24DC83D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151.55</w:t>
            </w:r>
          </w:p>
        </w:tc>
        <w:tc>
          <w:tcPr>
            <w:tcW w:w="0" w:type="auto"/>
            <w:tcBorders>
              <w:top w:val="nil"/>
              <w:left w:val="nil"/>
              <w:bottom w:val="single" w:sz="4" w:space="0" w:color="auto"/>
              <w:right w:val="single" w:sz="4" w:space="0" w:color="auto"/>
            </w:tcBorders>
            <w:noWrap/>
            <w:vAlign w:val="center"/>
            <w:hideMark/>
          </w:tcPr>
          <w:p w14:paraId="3ABA6E80"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2.25</w:t>
            </w:r>
          </w:p>
        </w:tc>
        <w:tc>
          <w:tcPr>
            <w:tcW w:w="0" w:type="auto"/>
            <w:tcBorders>
              <w:top w:val="nil"/>
              <w:left w:val="nil"/>
              <w:bottom w:val="single" w:sz="4" w:space="0" w:color="auto"/>
              <w:right w:val="single" w:sz="4" w:space="0" w:color="auto"/>
            </w:tcBorders>
            <w:noWrap/>
            <w:vAlign w:val="center"/>
            <w:hideMark/>
          </w:tcPr>
          <w:p w14:paraId="1D2E0276"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40.14</w:t>
            </w:r>
          </w:p>
        </w:tc>
        <w:tc>
          <w:tcPr>
            <w:tcW w:w="0" w:type="auto"/>
            <w:tcBorders>
              <w:top w:val="nil"/>
              <w:left w:val="nil"/>
              <w:bottom w:val="single" w:sz="4" w:space="0" w:color="auto"/>
              <w:right w:val="single" w:sz="4" w:space="0" w:color="auto"/>
            </w:tcBorders>
            <w:noWrap/>
            <w:vAlign w:val="center"/>
            <w:hideMark/>
          </w:tcPr>
          <w:p w14:paraId="09213A2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14:paraId="5AC13A2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20.05</w:t>
            </w:r>
          </w:p>
        </w:tc>
        <w:tc>
          <w:tcPr>
            <w:tcW w:w="828" w:type="dxa"/>
            <w:tcBorders>
              <w:top w:val="nil"/>
              <w:left w:val="nil"/>
              <w:bottom w:val="single" w:sz="4" w:space="0" w:color="auto"/>
              <w:right w:val="single" w:sz="4" w:space="0" w:color="auto"/>
            </w:tcBorders>
            <w:noWrap/>
            <w:vAlign w:val="center"/>
            <w:hideMark/>
          </w:tcPr>
          <w:p w14:paraId="41E16674"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111.41</w:t>
            </w:r>
          </w:p>
        </w:tc>
        <w:tc>
          <w:tcPr>
            <w:tcW w:w="2488" w:type="dxa"/>
            <w:tcBorders>
              <w:top w:val="nil"/>
              <w:left w:val="nil"/>
              <w:bottom w:val="single" w:sz="4" w:space="0" w:color="auto"/>
              <w:right w:val="single" w:sz="4" w:space="0" w:color="auto"/>
            </w:tcBorders>
            <w:vAlign w:val="center"/>
          </w:tcPr>
          <w:p w14:paraId="7F243A04"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Ogunsuyi</w:t>
            </w:r>
            <w:proofErr w:type="spellEnd"/>
            <w:r w:rsidRPr="00A755E8">
              <w:rPr>
                <w:rFonts w:ascii="Arial" w:hAnsi="Arial" w:cs="Arial"/>
                <w:sz w:val="18"/>
                <w:szCs w:val="18"/>
              </w:rPr>
              <w:t xml:space="preserve"> &amp; Daramola, 2013</w:t>
            </w:r>
          </w:p>
        </w:tc>
      </w:tr>
      <w:tr w:rsidR="00A755E8" w:rsidRPr="00A755E8" w14:paraId="7F59FC49"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14:paraId="4C9FD750" w14:textId="77777777" w:rsidR="00A755E8" w:rsidRPr="00A755E8" w:rsidRDefault="00A755E8" w:rsidP="00A755E8">
            <w:pPr>
              <w:rPr>
                <w:rFonts w:ascii="Arial" w:hAnsi="Arial" w:cs="Arial"/>
                <w:sz w:val="18"/>
                <w:szCs w:val="18"/>
              </w:rPr>
            </w:pPr>
            <w:r w:rsidRPr="00A755E8">
              <w:rPr>
                <w:rFonts w:ascii="Arial" w:hAnsi="Arial" w:cs="Arial"/>
                <w:sz w:val="18"/>
                <w:szCs w:val="18"/>
              </w:rPr>
              <w:t>Groundnut seed oil (</w:t>
            </w:r>
            <w:r w:rsidRPr="00A755E8">
              <w:rPr>
                <w:rFonts w:ascii="Arial" w:hAnsi="Arial" w:cs="Arial"/>
                <w:i/>
                <w:iCs/>
                <w:sz w:val="18"/>
                <w:szCs w:val="18"/>
              </w:rPr>
              <w:t>Arachis hypogaea</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2B13EA2F"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0.147</w:t>
            </w:r>
          </w:p>
        </w:tc>
        <w:tc>
          <w:tcPr>
            <w:tcW w:w="0" w:type="auto"/>
            <w:tcBorders>
              <w:top w:val="nil"/>
              <w:left w:val="nil"/>
              <w:bottom w:val="single" w:sz="4" w:space="0" w:color="auto"/>
              <w:right w:val="single" w:sz="4" w:space="0" w:color="auto"/>
            </w:tcBorders>
            <w:noWrap/>
            <w:vAlign w:val="center"/>
            <w:hideMark/>
          </w:tcPr>
          <w:p w14:paraId="360BE9E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14:paraId="02196B83"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14:paraId="243E283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100.7</w:t>
            </w:r>
          </w:p>
        </w:tc>
        <w:tc>
          <w:tcPr>
            <w:tcW w:w="828" w:type="dxa"/>
            <w:tcBorders>
              <w:top w:val="nil"/>
              <w:left w:val="nil"/>
              <w:bottom w:val="single" w:sz="4" w:space="0" w:color="auto"/>
              <w:right w:val="single" w:sz="4" w:space="0" w:color="auto"/>
            </w:tcBorders>
            <w:noWrap/>
            <w:vAlign w:val="center"/>
            <w:hideMark/>
          </w:tcPr>
          <w:p w14:paraId="7F9A1648"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170</w:t>
            </w:r>
          </w:p>
        </w:tc>
        <w:tc>
          <w:tcPr>
            <w:tcW w:w="0" w:type="auto"/>
            <w:tcBorders>
              <w:top w:val="nil"/>
              <w:left w:val="nil"/>
              <w:bottom w:val="single" w:sz="4" w:space="0" w:color="auto"/>
              <w:right w:val="single" w:sz="4" w:space="0" w:color="auto"/>
            </w:tcBorders>
            <w:noWrap/>
            <w:vAlign w:val="center"/>
            <w:hideMark/>
          </w:tcPr>
          <w:p w14:paraId="5555B780"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0.47</w:t>
            </w:r>
          </w:p>
        </w:tc>
        <w:tc>
          <w:tcPr>
            <w:tcW w:w="0" w:type="auto"/>
            <w:tcBorders>
              <w:top w:val="nil"/>
              <w:left w:val="nil"/>
              <w:bottom w:val="single" w:sz="4" w:space="0" w:color="auto"/>
              <w:right w:val="single" w:sz="4" w:space="0" w:color="auto"/>
            </w:tcBorders>
            <w:noWrap/>
            <w:vAlign w:val="center"/>
            <w:hideMark/>
          </w:tcPr>
          <w:p w14:paraId="546D8057"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2.52</w:t>
            </w:r>
          </w:p>
        </w:tc>
        <w:tc>
          <w:tcPr>
            <w:tcW w:w="0" w:type="auto"/>
            <w:tcBorders>
              <w:top w:val="nil"/>
              <w:left w:val="nil"/>
              <w:bottom w:val="single" w:sz="4" w:space="0" w:color="auto"/>
              <w:right w:val="single" w:sz="4" w:space="0" w:color="auto"/>
            </w:tcBorders>
            <w:noWrap/>
            <w:vAlign w:val="center"/>
            <w:hideMark/>
          </w:tcPr>
          <w:p w14:paraId="07E17774"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14:paraId="6FB05B8E"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1.26</w:t>
            </w:r>
          </w:p>
        </w:tc>
        <w:tc>
          <w:tcPr>
            <w:tcW w:w="828" w:type="dxa"/>
            <w:tcBorders>
              <w:top w:val="nil"/>
              <w:left w:val="nil"/>
              <w:bottom w:val="single" w:sz="4" w:space="0" w:color="auto"/>
              <w:right w:val="single" w:sz="4" w:space="0" w:color="auto"/>
            </w:tcBorders>
            <w:noWrap/>
            <w:vAlign w:val="center"/>
            <w:hideMark/>
          </w:tcPr>
          <w:p w14:paraId="5BB53C30"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167.48</w:t>
            </w:r>
          </w:p>
        </w:tc>
        <w:tc>
          <w:tcPr>
            <w:tcW w:w="2488" w:type="dxa"/>
            <w:tcBorders>
              <w:top w:val="nil"/>
              <w:left w:val="nil"/>
              <w:bottom w:val="single" w:sz="4" w:space="0" w:color="auto"/>
              <w:right w:val="single" w:sz="4" w:space="0" w:color="auto"/>
            </w:tcBorders>
            <w:vAlign w:val="center"/>
          </w:tcPr>
          <w:p w14:paraId="52D2E2F7" w14:textId="77777777" w:rsidR="00A755E8" w:rsidRPr="00A755E8" w:rsidRDefault="00A755E8" w:rsidP="00A755E8">
            <w:pPr>
              <w:rPr>
                <w:rFonts w:ascii="Arial" w:hAnsi="Arial" w:cs="Arial"/>
                <w:sz w:val="18"/>
                <w:szCs w:val="18"/>
              </w:rPr>
            </w:pPr>
            <w:r w:rsidRPr="00A755E8">
              <w:rPr>
                <w:rFonts w:ascii="Arial" w:hAnsi="Arial" w:cs="Arial"/>
                <w:sz w:val="18"/>
                <w:szCs w:val="18"/>
              </w:rPr>
              <w:t>Ayoola &amp; Adeyeye (2010)</w:t>
            </w:r>
          </w:p>
        </w:tc>
      </w:tr>
      <w:tr w:rsidR="00A755E8" w:rsidRPr="00A755E8" w14:paraId="704495FC" w14:textId="77777777"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14:paraId="3A308590" w14:textId="77777777" w:rsidR="00A755E8" w:rsidRPr="00A755E8" w:rsidRDefault="00A755E8" w:rsidP="00A755E8">
            <w:pPr>
              <w:rPr>
                <w:rFonts w:ascii="Arial" w:hAnsi="Arial" w:cs="Arial"/>
                <w:sz w:val="18"/>
                <w:szCs w:val="18"/>
              </w:rPr>
            </w:pPr>
            <w:r w:rsidRPr="00A755E8">
              <w:rPr>
                <w:rFonts w:ascii="Arial" w:hAnsi="Arial" w:cs="Arial"/>
                <w:sz w:val="18"/>
                <w:szCs w:val="18"/>
              </w:rPr>
              <w:t>Melon seed oil (</w:t>
            </w:r>
            <w:r w:rsidRPr="00A755E8">
              <w:rPr>
                <w:rFonts w:ascii="Arial" w:hAnsi="Arial" w:cs="Arial"/>
                <w:i/>
                <w:iCs/>
                <w:sz w:val="18"/>
                <w:szCs w:val="18"/>
              </w:rPr>
              <w:t>Cucurbitaceae</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14:paraId="7280C7B1"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1.47</w:t>
            </w:r>
          </w:p>
        </w:tc>
        <w:tc>
          <w:tcPr>
            <w:tcW w:w="0" w:type="auto"/>
            <w:tcBorders>
              <w:top w:val="nil"/>
              <w:left w:val="nil"/>
              <w:bottom w:val="single" w:sz="4" w:space="0" w:color="auto"/>
              <w:right w:val="single" w:sz="4" w:space="0" w:color="auto"/>
            </w:tcBorders>
            <w:noWrap/>
            <w:vAlign w:val="center"/>
            <w:hideMark/>
          </w:tcPr>
          <w:p w14:paraId="5179BE19"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1.51</w:t>
            </w:r>
          </w:p>
        </w:tc>
        <w:tc>
          <w:tcPr>
            <w:tcW w:w="0" w:type="auto"/>
            <w:tcBorders>
              <w:top w:val="nil"/>
              <w:left w:val="nil"/>
              <w:bottom w:val="single" w:sz="4" w:space="0" w:color="auto"/>
              <w:right w:val="single" w:sz="4" w:space="0" w:color="auto"/>
            </w:tcBorders>
            <w:noWrap/>
            <w:vAlign w:val="center"/>
            <w:hideMark/>
          </w:tcPr>
          <w:p w14:paraId="467E950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14:paraId="0128267B"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3.45</w:t>
            </w:r>
          </w:p>
        </w:tc>
        <w:tc>
          <w:tcPr>
            <w:tcW w:w="828" w:type="dxa"/>
            <w:tcBorders>
              <w:top w:val="nil"/>
              <w:left w:val="nil"/>
              <w:bottom w:val="single" w:sz="4" w:space="0" w:color="auto"/>
              <w:right w:val="single" w:sz="4" w:space="0" w:color="auto"/>
            </w:tcBorders>
            <w:noWrap/>
            <w:vAlign w:val="center"/>
            <w:hideMark/>
          </w:tcPr>
          <w:p w14:paraId="7C58F69A"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8</w:t>
            </w:r>
          </w:p>
        </w:tc>
        <w:tc>
          <w:tcPr>
            <w:tcW w:w="0" w:type="auto"/>
            <w:tcBorders>
              <w:top w:val="nil"/>
              <w:left w:val="nil"/>
              <w:bottom w:val="single" w:sz="4" w:space="0" w:color="auto"/>
              <w:right w:val="single" w:sz="4" w:space="0" w:color="auto"/>
            </w:tcBorders>
            <w:noWrap/>
            <w:vAlign w:val="center"/>
            <w:hideMark/>
          </w:tcPr>
          <w:p w14:paraId="7BF95B71"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1.72</w:t>
            </w:r>
          </w:p>
        </w:tc>
        <w:tc>
          <w:tcPr>
            <w:tcW w:w="0" w:type="auto"/>
            <w:tcBorders>
              <w:top w:val="nil"/>
              <w:left w:val="nil"/>
              <w:bottom w:val="single" w:sz="4" w:space="0" w:color="auto"/>
              <w:right w:val="single" w:sz="4" w:space="0" w:color="auto"/>
            </w:tcBorders>
            <w:noWrap/>
            <w:vAlign w:val="center"/>
            <w:hideMark/>
          </w:tcPr>
          <w:p w14:paraId="28360034" w14:textId="77777777" w:rsidR="00A755E8" w:rsidRPr="00A755E8" w:rsidRDefault="00A755E8" w:rsidP="00A755E8">
            <w:pPr>
              <w:jc w:val="right"/>
              <w:rPr>
                <w:rFonts w:ascii="Arial" w:hAnsi="Arial" w:cs="Arial"/>
                <w:sz w:val="18"/>
                <w:szCs w:val="18"/>
              </w:rPr>
            </w:pPr>
            <w:r w:rsidRPr="00A755E8">
              <w:rPr>
                <w:rFonts w:ascii="Arial" w:hAnsi="Arial" w:cs="Arial"/>
                <w:sz w:val="18"/>
                <w:szCs w:val="18"/>
              </w:rPr>
              <w:t>8.02</w:t>
            </w:r>
          </w:p>
        </w:tc>
        <w:tc>
          <w:tcPr>
            <w:tcW w:w="0" w:type="auto"/>
            <w:tcBorders>
              <w:top w:val="nil"/>
              <w:left w:val="nil"/>
              <w:bottom w:val="single" w:sz="4" w:space="0" w:color="auto"/>
              <w:right w:val="single" w:sz="4" w:space="0" w:color="auto"/>
            </w:tcBorders>
            <w:noWrap/>
            <w:vAlign w:val="center"/>
            <w:hideMark/>
          </w:tcPr>
          <w:p w14:paraId="3AB29200"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14:paraId="6F97CBEF" w14:textId="77777777" w:rsidR="00A755E8" w:rsidRPr="00A755E8" w:rsidRDefault="00A755E8" w:rsidP="00A755E8">
            <w:pPr>
              <w:rPr>
                <w:rFonts w:ascii="Arial" w:hAnsi="Arial" w:cs="Arial"/>
                <w:sz w:val="18"/>
                <w:szCs w:val="18"/>
              </w:rPr>
            </w:pPr>
            <w:r w:rsidRPr="00A755E8">
              <w:rPr>
                <w:rFonts w:ascii="Arial" w:hAnsi="Arial" w:cs="Arial"/>
                <w:sz w:val="18"/>
                <w:szCs w:val="18"/>
              </w:rPr>
              <w:t>4.03ᵃ</w:t>
            </w:r>
          </w:p>
        </w:tc>
        <w:tc>
          <w:tcPr>
            <w:tcW w:w="828" w:type="dxa"/>
            <w:tcBorders>
              <w:top w:val="nil"/>
              <w:left w:val="nil"/>
              <w:bottom w:val="single" w:sz="4" w:space="0" w:color="auto"/>
              <w:right w:val="single" w:sz="4" w:space="0" w:color="auto"/>
            </w:tcBorders>
            <w:noWrap/>
            <w:vAlign w:val="center"/>
            <w:hideMark/>
          </w:tcPr>
          <w:p w14:paraId="2D778A0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5DF738A2" w14:textId="77777777" w:rsidR="00A755E8" w:rsidRPr="00A755E8" w:rsidRDefault="00A755E8" w:rsidP="00A755E8">
            <w:pPr>
              <w:rPr>
                <w:rFonts w:ascii="Arial" w:hAnsi="Arial" w:cs="Arial"/>
                <w:sz w:val="18"/>
                <w:szCs w:val="18"/>
              </w:rPr>
            </w:pPr>
            <w:proofErr w:type="spellStart"/>
            <w:r w:rsidRPr="00A755E8">
              <w:rPr>
                <w:rFonts w:ascii="Arial" w:hAnsi="Arial" w:cs="Arial"/>
                <w:sz w:val="18"/>
                <w:szCs w:val="18"/>
              </w:rPr>
              <w:t>Akpambang</w:t>
            </w:r>
            <w:proofErr w:type="spellEnd"/>
            <w:r w:rsidRPr="00A755E8">
              <w:rPr>
                <w:rFonts w:ascii="Arial" w:hAnsi="Arial" w:cs="Arial"/>
                <w:sz w:val="18"/>
                <w:szCs w:val="18"/>
              </w:rPr>
              <w:t xml:space="preserve"> et al., (2008)</w:t>
            </w:r>
          </w:p>
        </w:tc>
      </w:tr>
      <w:tr w:rsidR="00A755E8" w:rsidRPr="00A755E8" w14:paraId="2F17F781"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123ADD69"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Helianthus annuus </w:t>
            </w:r>
          </w:p>
        </w:tc>
        <w:tc>
          <w:tcPr>
            <w:tcW w:w="1517" w:type="dxa"/>
            <w:tcBorders>
              <w:top w:val="nil"/>
              <w:left w:val="nil"/>
              <w:bottom w:val="single" w:sz="4" w:space="0" w:color="auto"/>
              <w:right w:val="single" w:sz="4" w:space="0" w:color="auto"/>
            </w:tcBorders>
            <w:hideMark/>
          </w:tcPr>
          <w:p w14:paraId="774CB82B"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55423E35"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0.912</w:t>
            </w:r>
          </w:p>
        </w:tc>
        <w:tc>
          <w:tcPr>
            <w:tcW w:w="0" w:type="auto"/>
            <w:tcBorders>
              <w:top w:val="nil"/>
              <w:left w:val="nil"/>
              <w:bottom w:val="single" w:sz="4" w:space="0" w:color="auto"/>
              <w:right w:val="single" w:sz="4" w:space="0" w:color="auto"/>
            </w:tcBorders>
            <w:vAlign w:val="center"/>
            <w:hideMark/>
          </w:tcPr>
          <w:p w14:paraId="6959695E"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41.6</w:t>
            </w:r>
          </w:p>
        </w:tc>
        <w:tc>
          <w:tcPr>
            <w:tcW w:w="828" w:type="dxa"/>
            <w:tcBorders>
              <w:top w:val="nil"/>
              <w:left w:val="nil"/>
              <w:bottom w:val="single" w:sz="4" w:space="0" w:color="auto"/>
              <w:right w:val="single" w:sz="4" w:space="0" w:color="auto"/>
            </w:tcBorders>
            <w:vAlign w:val="center"/>
            <w:hideMark/>
          </w:tcPr>
          <w:p w14:paraId="262C2D7E"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104.57</w:t>
            </w:r>
          </w:p>
        </w:tc>
        <w:tc>
          <w:tcPr>
            <w:tcW w:w="828" w:type="dxa"/>
            <w:tcBorders>
              <w:top w:val="nil"/>
              <w:left w:val="nil"/>
              <w:bottom w:val="single" w:sz="4" w:space="0" w:color="auto"/>
              <w:right w:val="single" w:sz="4" w:space="0" w:color="auto"/>
            </w:tcBorders>
            <w:vAlign w:val="center"/>
            <w:hideMark/>
          </w:tcPr>
          <w:p w14:paraId="07D9F54C"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188.64</w:t>
            </w:r>
          </w:p>
        </w:tc>
        <w:tc>
          <w:tcPr>
            <w:tcW w:w="0" w:type="auto"/>
            <w:tcBorders>
              <w:top w:val="nil"/>
              <w:left w:val="nil"/>
              <w:bottom w:val="single" w:sz="4" w:space="0" w:color="auto"/>
              <w:right w:val="single" w:sz="4" w:space="0" w:color="auto"/>
            </w:tcBorders>
            <w:vAlign w:val="center"/>
            <w:hideMark/>
          </w:tcPr>
          <w:p w14:paraId="4FA412C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8.36</w:t>
            </w:r>
          </w:p>
        </w:tc>
        <w:tc>
          <w:tcPr>
            <w:tcW w:w="0" w:type="auto"/>
            <w:tcBorders>
              <w:top w:val="nil"/>
              <w:left w:val="nil"/>
              <w:bottom w:val="single" w:sz="4" w:space="0" w:color="auto"/>
              <w:right w:val="single" w:sz="4" w:space="0" w:color="auto"/>
            </w:tcBorders>
            <w:vAlign w:val="center"/>
            <w:hideMark/>
          </w:tcPr>
          <w:p w14:paraId="6470BED8"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w:t>
            </w:r>
          </w:p>
        </w:tc>
        <w:tc>
          <w:tcPr>
            <w:tcW w:w="0" w:type="auto"/>
            <w:tcBorders>
              <w:top w:val="nil"/>
              <w:left w:val="nil"/>
              <w:bottom w:val="single" w:sz="4" w:space="0" w:color="auto"/>
              <w:right w:val="single" w:sz="4" w:space="0" w:color="auto"/>
            </w:tcBorders>
            <w:hideMark/>
          </w:tcPr>
          <w:p w14:paraId="545655E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0F2AA5A3"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72211775"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7A8DDB03"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14:paraId="635D2A8C"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457EDB9E"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Sesamum indicum</w:t>
            </w:r>
          </w:p>
        </w:tc>
        <w:tc>
          <w:tcPr>
            <w:tcW w:w="1517" w:type="dxa"/>
            <w:tcBorders>
              <w:top w:val="nil"/>
              <w:left w:val="nil"/>
              <w:bottom w:val="single" w:sz="4" w:space="0" w:color="auto"/>
              <w:right w:val="single" w:sz="4" w:space="0" w:color="auto"/>
            </w:tcBorders>
            <w:hideMark/>
          </w:tcPr>
          <w:p w14:paraId="2EBC0861"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7E9A2BC1"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0.825</w:t>
            </w:r>
          </w:p>
        </w:tc>
        <w:tc>
          <w:tcPr>
            <w:tcW w:w="0" w:type="auto"/>
            <w:tcBorders>
              <w:top w:val="nil"/>
              <w:left w:val="nil"/>
              <w:bottom w:val="single" w:sz="4" w:space="0" w:color="auto"/>
              <w:right w:val="single" w:sz="4" w:space="0" w:color="auto"/>
            </w:tcBorders>
            <w:vAlign w:val="center"/>
            <w:hideMark/>
          </w:tcPr>
          <w:p w14:paraId="7B8D85FE"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32.7</w:t>
            </w:r>
          </w:p>
        </w:tc>
        <w:tc>
          <w:tcPr>
            <w:tcW w:w="828" w:type="dxa"/>
            <w:tcBorders>
              <w:top w:val="nil"/>
              <w:left w:val="nil"/>
              <w:bottom w:val="single" w:sz="4" w:space="0" w:color="auto"/>
              <w:right w:val="single" w:sz="4" w:space="0" w:color="auto"/>
            </w:tcBorders>
            <w:vAlign w:val="center"/>
            <w:hideMark/>
          </w:tcPr>
          <w:p w14:paraId="7F5A5D47"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106.59</w:t>
            </w:r>
          </w:p>
        </w:tc>
        <w:tc>
          <w:tcPr>
            <w:tcW w:w="828" w:type="dxa"/>
            <w:tcBorders>
              <w:top w:val="nil"/>
              <w:left w:val="nil"/>
              <w:bottom w:val="single" w:sz="4" w:space="0" w:color="auto"/>
              <w:right w:val="single" w:sz="4" w:space="0" w:color="auto"/>
            </w:tcBorders>
            <w:vAlign w:val="center"/>
            <w:hideMark/>
          </w:tcPr>
          <w:p w14:paraId="48B95E4F"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201.68</w:t>
            </w:r>
          </w:p>
        </w:tc>
        <w:tc>
          <w:tcPr>
            <w:tcW w:w="0" w:type="auto"/>
            <w:tcBorders>
              <w:top w:val="nil"/>
              <w:left w:val="nil"/>
              <w:bottom w:val="single" w:sz="4" w:space="0" w:color="auto"/>
              <w:right w:val="single" w:sz="4" w:space="0" w:color="auto"/>
            </w:tcBorders>
            <w:vAlign w:val="center"/>
            <w:hideMark/>
          </w:tcPr>
          <w:p w14:paraId="0A63DDBC"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8.75</w:t>
            </w:r>
          </w:p>
        </w:tc>
        <w:tc>
          <w:tcPr>
            <w:tcW w:w="0" w:type="auto"/>
            <w:tcBorders>
              <w:top w:val="nil"/>
              <w:left w:val="nil"/>
              <w:bottom w:val="single" w:sz="4" w:space="0" w:color="auto"/>
              <w:right w:val="single" w:sz="4" w:space="0" w:color="auto"/>
            </w:tcBorders>
            <w:vAlign w:val="center"/>
            <w:hideMark/>
          </w:tcPr>
          <w:p w14:paraId="343E316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1.68</w:t>
            </w:r>
          </w:p>
        </w:tc>
        <w:tc>
          <w:tcPr>
            <w:tcW w:w="0" w:type="auto"/>
            <w:tcBorders>
              <w:top w:val="nil"/>
              <w:left w:val="nil"/>
              <w:bottom w:val="single" w:sz="4" w:space="0" w:color="auto"/>
              <w:right w:val="single" w:sz="4" w:space="0" w:color="auto"/>
            </w:tcBorders>
            <w:hideMark/>
          </w:tcPr>
          <w:p w14:paraId="50F996BA"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12184FC4"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49B8BEC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4F7C01C8"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14:paraId="05037C34"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08363559"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Sunflower</w:t>
            </w:r>
          </w:p>
        </w:tc>
        <w:tc>
          <w:tcPr>
            <w:tcW w:w="1517" w:type="dxa"/>
            <w:tcBorders>
              <w:top w:val="nil"/>
              <w:left w:val="nil"/>
              <w:bottom w:val="single" w:sz="4" w:space="0" w:color="auto"/>
              <w:right w:val="single" w:sz="4" w:space="0" w:color="auto"/>
            </w:tcBorders>
            <w:vAlign w:val="center"/>
            <w:hideMark/>
          </w:tcPr>
          <w:p w14:paraId="22A94DCF"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1.475</w:t>
            </w:r>
          </w:p>
        </w:tc>
        <w:tc>
          <w:tcPr>
            <w:tcW w:w="0" w:type="auto"/>
            <w:tcBorders>
              <w:top w:val="nil"/>
              <w:left w:val="nil"/>
              <w:bottom w:val="single" w:sz="4" w:space="0" w:color="auto"/>
              <w:right w:val="single" w:sz="4" w:space="0" w:color="auto"/>
            </w:tcBorders>
            <w:vAlign w:val="center"/>
            <w:hideMark/>
          </w:tcPr>
          <w:p w14:paraId="541AB3B2"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0.9211</w:t>
            </w:r>
          </w:p>
        </w:tc>
        <w:tc>
          <w:tcPr>
            <w:tcW w:w="0" w:type="auto"/>
            <w:tcBorders>
              <w:top w:val="nil"/>
              <w:left w:val="nil"/>
              <w:bottom w:val="single" w:sz="4" w:space="0" w:color="auto"/>
              <w:right w:val="single" w:sz="4" w:space="0" w:color="auto"/>
            </w:tcBorders>
            <w:hideMark/>
          </w:tcPr>
          <w:p w14:paraId="1F6CA80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2676F1C1"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118.01</w:t>
            </w:r>
          </w:p>
        </w:tc>
        <w:tc>
          <w:tcPr>
            <w:tcW w:w="828" w:type="dxa"/>
            <w:tcBorders>
              <w:top w:val="nil"/>
              <w:left w:val="nil"/>
              <w:bottom w:val="single" w:sz="4" w:space="0" w:color="auto"/>
              <w:right w:val="single" w:sz="4" w:space="0" w:color="auto"/>
            </w:tcBorders>
            <w:vAlign w:val="center"/>
            <w:hideMark/>
          </w:tcPr>
          <w:p w14:paraId="3C25517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190.37</w:t>
            </w:r>
          </w:p>
        </w:tc>
        <w:tc>
          <w:tcPr>
            <w:tcW w:w="0" w:type="auto"/>
            <w:tcBorders>
              <w:top w:val="nil"/>
              <w:left w:val="nil"/>
              <w:bottom w:val="single" w:sz="4" w:space="0" w:color="auto"/>
              <w:right w:val="single" w:sz="4" w:space="0" w:color="auto"/>
            </w:tcBorders>
            <w:hideMark/>
          </w:tcPr>
          <w:p w14:paraId="7EB2AEE5"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27EC8CA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0.14</w:t>
            </w:r>
          </w:p>
        </w:tc>
        <w:tc>
          <w:tcPr>
            <w:tcW w:w="0" w:type="auto"/>
            <w:tcBorders>
              <w:top w:val="nil"/>
              <w:left w:val="nil"/>
              <w:bottom w:val="single" w:sz="4" w:space="0" w:color="auto"/>
              <w:right w:val="single" w:sz="4" w:space="0" w:color="auto"/>
            </w:tcBorders>
            <w:hideMark/>
          </w:tcPr>
          <w:p w14:paraId="38DC3663"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731F4064"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10F620A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4D4FAF43"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Khairuddin et al., (2024)</w:t>
            </w:r>
          </w:p>
        </w:tc>
      </w:tr>
      <w:tr w:rsidR="00A755E8" w:rsidRPr="00A755E8" w14:paraId="3424345F"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71C088B7" w14:textId="77777777" w:rsidR="00A755E8" w:rsidRPr="00A755E8" w:rsidRDefault="00A755E8" w:rsidP="00A755E8">
            <w:pPr>
              <w:rPr>
                <w:rFonts w:ascii="Arial" w:hAnsi="Arial" w:cs="Arial"/>
                <w:i/>
                <w:iCs/>
                <w:color w:val="000000"/>
                <w:sz w:val="18"/>
                <w:szCs w:val="18"/>
              </w:rPr>
            </w:pPr>
            <w:proofErr w:type="spellStart"/>
            <w:r w:rsidRPr="00A755E8">
              <w:rPr>
                <w:rFonts w:ascii="Arial" w:hAnsi="Arial" w:cs="Arial"/>
                <w:i/>
                <w:iCs/>
                <w:color w:val="000000"/>
                <w:sz w:val="18"/>
                <w:szCs w:val="18"/>
              </w:rPr>
              <w:t>C.schweinfurthii</w:t>
            </w:r>
            <w:proofErr w:type="spellEnd"/>
            <w:r w:rsidRPr="00A755E8">
              <w:rPr>
                <w:rFonts w:ascii="Arial" w:hAnsi="Arial" w:cs="Arial"/>
                <w:i/>
                <w:iCs/>
                <w:color w:val="000000"/>
                <w:sz w:val="18"/>
                <w:szCs w:val="18"/>
              </w:rPr>
              <w:t xml:space="preserve"> pulp,</w:t>
            </w:r>
          </w:p>
        </w:tc>
        <w:tc>
          <w:tcPr>
            <w:tcW w:w="1517" w:type="dxa"/>
            <w:tcBorders>
              <w:top w:val="nil"/>
              <w:left w:val="nil"/>
              <w:bottom w:val="single" w:sz="4" w:space="0" w:color="auto"/>
              <w:right w:val="single" w:sz="4" w:space="0" w:color="auto"/>
            </w:tcBorders>
            <w:vAlign w:val="center"/>
            <w:hideMark/>
          </w:tcPr>
          <w:p w14:paraId="0249CCA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14:paraId="643D7D15"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25F47AFB"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2F1EAC5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67.25</w:t>
            </w:r>
          </w:p>
        </w:tc>
        <w:tc>
          <w:tcPr>
            <w:tcW w:w="828" w:type="dxa"/>
            <w:tcBorders>
              <w:top w:val="nil"/>
              <w:left w:val="nil"/>
              <w:bottom w:val="single" w:sz="4" w:space="0" w:color="auto"/>
              <w:right w:val="single" w:sz="4" w:space="0" w:color="auto"/>
            </w:tcBorders>
            <w:vAlign w:val="center"/>
            <w:hideMark/>
          </w:tcPr>
          <w:p w14:paraId="46C5CE62"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155.68</w:t>
            </w:r>
          </w:p>
        </w:tc>
        <w:tc>
          <w:tcPr>
            <w:tcW w:w="0" w:type="auto"/>
            <w:tcBorders>
              <w:top w:val="nil"/>
              <w:left w:val="nil"/>
              <w:bottom w:val="single" w:sz="4" w:space="0" w:color="auto"/>
              <w:right w:val="single" w:sz="4" w:space="0" w:color="auto"/>
            </w:tcBorders>
            <w:hideMark/>
          </w:tcPr>
          <w:p w14:paraId="2D8B6476"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5799DB0F"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1.22</w:t>
            </w:r>
          </w:p>
        </w:tc>
        <w:tc>
          <w:tcPr>
            <w:tcW w:w="0" w:type="auto"/>
            <w:tcBorders>
              <w:top w:val="nil"/>
              <w:left w:val="nil"/>
              <w:bottom w:val="single" w:sz="4" w:space="0" w:color="auto"/>
              <w:right w:val="single" w:sz="4" w:space="0" w:color="auto"/>
            </w:tcBorders>
            <w:hideMark/>
          </w:tcPr>
          <w:p w14:paraId="4475A045"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6F925E64"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5D3C0EAC"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640BCF7F"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14:paraId="76A45CA3"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6BF9F64D" w14:textId="77777777"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B.aegyptiaca</w:t>
            </w:r>
            <w:proofErr w:type="spellEnd"/>
            <w:proofErr w:type="gramEnd"/>
            <w:r w:rsidRPr="00A755E8">
              <w:rPr>
                <w:rFonts w:ascii="Arial" w:hAnsi="Arial" w:cs="Arial"/>
                <w:i/>
                <w:iCs/>
                <w:color w:val="000000"/>
                <w:sz w:val="18"/>
                <w:szCs w:val="18"/>
              </w:rPr>
              <w:t xml:space="preserve"> seeds</w:t>
            </w:r>
          </w:p>
        </w:tc>
        <w:tc>
          <w:tcPr>
            <w:tcW w:w="1517" w:type="dxa"/>
            <w:tcBorders>
              <w:top w:val="nil"/>
              <w:left w:val="nil"/>
              <w:bottom w:val="single" w:sz="4" w:space="0" w:color="auto"/>
              <w:right w:val="single" w:sz="4" w:space="0" w:color="auto"/>
            </w:tcBorders>
            <w:vAlign w:val="center"/>
            <w:hideMark/>
          </w:tcPr>
          <w:p w14:paraId="6F6AE759"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14:paraId="733A3970"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1BBA847C"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5D795A31"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96.44</w:t>
            </w:r>
          </w:p>
        </w:tc>
        <w:tc>
          <w:tcPr>
            <w:tcW w:w="828" w:type="dxa"/>
            <w:tcBorders>
              <w:top w:val="nil"/>
              <w:left w:val="nil"/>
              <w:bottom w:val="single" w:sz="4" w:space="0" w:color="auto"/>
              <w:right w:val="single" w:sz="4" w:space="0" w:color="auto"/>
            </w:tcBorders>
            <w:vAlign w:val="center"/>
            <w:hideMark/>
          </w:tcPr>
          <w:p w14:paraId="1385FF2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147.26</w:t>
            </w:r>
          </w:p>
        </w:tc>
        <w:tc>
          <w:tcPr>
            <w:tcW w:w="0" w:type="auto"/>
            <w:tcBorders>
              <w:top w:val="nil"/>
              <w:left w:val="nil"/>
              <w:bottom w:val="single" w:sz="4" w:space="0" w:color="auto"/>
              <w:right w:val="single" w:sz="4" w:space="0" w:color="auto"/>
            </w:tcBorders>
            <w:hideMark/>
          </w:tcPr>
          <w:p w14:paraId="1699CCCA"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25522A8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0.75</w:t>
            </w:r>
          </w:p>
        </w:tc>
        <w:tc>
          <w:tcPr>
            <w:tcW w:w="0" w:type="auto"/>
            <w:tcBorders>
              <w:top w:val="nil"/>
              <w:left w:val="nil"/>
              <w:bottom w:val="single" w:sz="4" w:space="0" w:color="auto"/>
              <w:right w:val="single" w:sz="4" w:space="0" w:color="auto"/>
            </w:tcBorders>
            <w:hideMark/>
          </w:tcPr>
          <w:p w14:paraId="5C35C83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164EE403"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6B8E0E7F"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43CEFBF2"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14:paraId="2898E251"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1A82BE5F"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Sesamum indicum seeds</w:t>
            </w:r>
          </w:p>
        </w:tc>
        <w:tc>
          <w:tcPr>
            <w:tcW w:w="1517" w:type="dxa"/>
            <w:tcBorders>
              <w:top w:val="nil"/>
              <w:left w:val="nil"/>
              <w:bottom w:val="single" w:sz="4" w:space="0" w:color="auto"/>
              <w:right w:val="single" w:sz="4" w:space="0" w:color="auto"/>
            </w:tcBorders>
            <w:vAlign w:val="center"/>
            <w:hideMark/>
          </w:tcPr>
          <w:p w14:paraId="24CDFE62"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w:t>
            </w:r>
          </w:p>
        </w:tc>
        <w:tc>
          <w:tcPr>
            <w:tcW w:w="0" w:type="auto"/>
            <w:tcBorders>
              <w:top w:val="nil"/>
              <w:left w:val="nil"/>
              <w:bottom w:val="single" w:sz="4" w:space="0" w:color="auto"/>
              <w:right w:val="single" w:sz="4" w:space="0" w:color="auto"/>
            </w:tcBorders>
            <w:hideMark/>
          </w:tcPr>
          <w:p w14:paraId="0DA4AE1A"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01B7CD47"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034AC841"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74.87</w:t>
            </w:r>
          </w:p>
        </w:tc>
        <w:tc>
          <w:tcPr>
            <w:tcW w:w="828" w:type="dxa"/>
            <w:tcBorders>
              <w:top w:val="nil"/>
              <w:left w:val="nil"/>
              <w:bottom w:val="single" w:sz="4" w:space="0" w:color="auto"/>
              <w:right w:val="single" w:sz="4" w:space="0" w:color="auto"/>
            </w:tcBorders>
            <w:vAlign w:val="center"/>
            <w:hideMark/>
          </w:tcPr>
          <w:p w14:paraId="66F1269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143.06</w:t>
            </w:r>
          </w:p>
        </w:tc>
        <w:tc>
          <w:tcPr>
            <w:tcW w:w="0" w:type="auto"/>
            <w:tcBorders>
              <w:top w:val="nil"/>
              <w:left w:val="nil"/>
              <w:bottom w:val="single" w:sz="4" w:space="0" w:color="auto"/>
              <w:right w:val="single" w:sz="4" w:space="0" w:color="auto"/>
            </w:tcBorders>
            <w:hideMark/>
          </w:tcPr>
          <w:p w14:paraId="4C61D8BF"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60C4F98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2.72</w:t>
            </w:r>
          </w:p>
        </w:tc>
        <w:tc>
          <w:tcPr>
            <w:tcW w:w="0" w:type="auto"/>
            <w:tcBorders>
              <w:top w:val="nil"/>
              <w:left w:val="nil"/>
              <w:bottom w:val="single" w:sz="4" w:space="0" w:color="auto"/>
              <w:right w:val="single" w:sz="4" w:space="0" w:color="auto"/>
            </w:tcBorders>
            <w:hideMark/>
          </w:tcPr>
          <w:p w14:paraId="7FA62162"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235BAF47"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0F60083E"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7228F701"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14:paraId="4A141D8A"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0C2F0822"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Cocos nucifera</w:t>
            </w:r>
          </w:p>
        </w:tc>
        <w:tc>
          <w:tcPr>
            <w:tcW w:w="1517" w:type="dxa"/>
            <w:tcBorders>
              <w:top w:val="nil"/>
              <w:left w:val="nil"/>
              <w:bottom w:val="single" w:sz="4" w:space="0" w:color="auto"/>
              <w:right w:val="single" w:sz="4" w:space="0" w:color="auto"/>
            </w:tcBorders>
            <w:vAlign w:val="center"/>
            <w:hideMark/>
          </w:tcPr>
          <w:p w14:paraId="0357B781"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1.45</w:t>
            </w:r>
          </w:p>
        </w:tc>
        <w:tc>
          <w:tcPr>
            <w:tcW w:w="0" w:type="auto"/>
            <w:tcBorders>
              <w:top w:val="nil"/>
              <w:left w:val="nil"/>
              <w:bottom w:val="single" w:sz="4" w:space="0" w:color="auto"/>
              <w:right w:val="single" w:sz="4" w:space="0" w:color="auto"/>
            </w:tcBorders>
            <w:hideMark/>
          </w:tcPr>
          <w:p w14:paraId="5727775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201A86F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34B8B8AD"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39.97</w:t>
            </w:r>
          </w:p>
        </w:tc>
        <w:tc>
          <w:tcPr>
            <w:tcW w:w="828" w:type="dxa"/>
            <w:tcBorders>
              <w:top w:val="nil"/>
              <w:left w:val="nil"/>
              <w:bottom w:val="single" w:sz="4" w:space="0" w:color="auto"/>
              <w:right w:val="single" w:sz="4" w:space="0" w:color="auto"/>
            </w:tcBorders>
            <w:vAlign w:val="center"/>
            <w:hideMark/>
          </w:tcPr>
          <w:p w14:paraId="2D91A3DC"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140.25</w:t>
            </w:r>
          </w:p>
        </w:tc>
        <w:tc>
          <w:tcPr>
            <w:tcW w:w="0" w:type="auto"/>
            <w:tcBorders>
              <w:top w:val="nil"/>
              <w:left w:val="nil"/>
              <w:bottom w:val="single" w:sz="4" w:space="0" w:color="auto"/>
              <w:right w:val="single" w:sz="4" w:space="0" w:color="auto"/>
            </w:tcBorders>
            <w:hideMark/>
          </w:tcPr>
          <w:p w14:paraId="4747EEB0"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2D9C9F85"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1.12</w:t>
            </w:r>
          </w:p>
        </w:tc>
        <w:tc>
          <w:tcPr>
            <w:tcW w:w="0" w:type="auto"/>
            <w:tcBorders>
              <w:top w:val="nil"/>
              <w:left w:val="nil"/>
              <w:bottom w:val="single" w:sz="4" w:space="0" w:color="auto"/>
              <w:right w:val="single" w:sz="4" w:space="0" w:color="auto"/>
            </w:tcBorders>
            <w:hideMark/>
          </w:tcPr>
          <w:p w14:paraId="6CA07307"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6269B8D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0CE5267D"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4E025217"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14:paraId="4429CE46"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00BE012B" w14:textId="77777777"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K.senegalensis</w:t>
            </w:r>
            <w:proofErr w:type="spellEnd"/>
            <w:proofErr w:type="gramEnd"/>
            <w:r w:rsidRPr="00A755E8">
              <w:rPr>
                <w:rFonts w:ascii="Arial" w:hAnsi="Arial" w:cs="Arial"/>
                <w:i/>
                <w:iCs/>
                <w:color w:val="000000"/>
                <w:sz w:val="18"/>
                <w:szCs w:val="18"/>
              </w:rPr>
              <w:t xml:space="preserve"> seed</w:t>
            </w:r>
          </w:p>
        </w:tc>
        <w:tc>
          <w:tcPr>
            <w:tcW w:w="1517" w:type="dxa"/>
            <w:tcBorders>
              <w:top w:val="nil"/>
              <w:left w:val="nil"/>
              <w:bottom w:val="single" w:sz="4" w:space="0" w:color="auto"/>
              <w:right w:val="single" w:sz="4" w:space="0" w:color="auto"/>
            </w:tcBorders>
            <w:vAlign w:val="center"/>
            <w:hideMark/>
          </w:tcPr>
          <w:p w14:paraId="143F6D6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1.462</w:t>
            </w:r>
          </w:p>
        </w:tc>
        <w:tc>
          <w:tcPr>
            <w:tcW w:w="0" w:type="auto"/>
            <w:tcBorders>
              <w:top w:val="nil"/>
              <w:left w:val="nil"/>
              <w:bottom w:val="single" w:sz="4" w:space="0" w:color="auto"/>
              <w:right w:val="single" w:sz="4" w:space="0" w:color="auto"/>
            </w:tcBorders>
            <w:vAlign w:val="center"/>
            <w:hideMark/>
          </w:tcPr>
          <w:p w14:paraId="60556E73"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0.9194</w:t>
            </w:r>
          </w:p>
        </w:tc>
        <w:tc>
          <w:tcPr>
            <w:tcW w:w="0" w:type="auto"/>
            <w:tcBorders>
              <w:top w:val="nil"/>
              <w:left w:val="nil"/>
              <w:bottom w:val="single" w:sz="4" w:space="0" w:color="auto"/>
              <w:right w:val="single" w:sz="4" w:space="0" w:color="auto"/>
            </w:tcBorders>
            <w:hideMark/>
          </w:tcPr>
          <w:p w14:paraId="487B092E"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331C1250"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102.79</w:t>
            </w:r>
          </w:p>
        </w:tc>
        <w:tc>
          <w:tcPr>
            <w:tcW w:w="828" w:type="dxa"/>
            <w:tcBorders>
              <w:top w:val="nil"/>
              <w:left w:val="nil"/>
              <w:bottom w:val="single" w:sz="4" w:space="0" w:color="auto"/>
              <w:right w:val="single" w:sz="4" w:space="0" w:color="auto"/>
            </w:tcBorders>
            <w:vAlign w:val="center"/>
            <w:hideMark/>
          </w:tcPr>
          <w:p w14:paraId="56F7506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191.76</w:t>
            </w:r>
          </w:p>
        </w:tc>
        <w:tc>
          <w:tcPr>
            <w:tcW w:w="0" w:type="auto"/>
            <w:tcBorders>
              <w:top w:val="nil"/>
              <w:left w:val="nil"/>
              <w:bottom w:val="single" w:sz="4" w:space="0" w:color="auto"/>
              <w:right w:val="single" w:sz="4" w:space="0" w:color="auto"/>
            </w:tcBorders>
            <w:vAlign w:val="center"/>
            <w:hideMark/>
          </w:tcPr>
          <w:p w14:paraId="68D4EC0A"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6.83</w:t>
            </w:r>
          </w:p>
        </w:tc>
        <w:tc>
          <w:tcPr>
            <w:tcW w:w="0" w:type="auto"/>
            <w:tcBorders>
              <w:top w:val="nil"/>
              <w:left w:val="nil"/>
              <w:bottom w:val="single" w:sz="4" w:space="0" w:color="auto"/>
              <w:right w:val="single" w:sz="4" w:space="0" w:color="auto"/>
            </w:tcBorders>
            <w:vAlign w:val="center"/>
            <w:hideMark/>
          </w:tcPr>
          <w:p w14:paraId="4B702D4C"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w:t>
            </w:r>
          </w:p>
        </w:tc>
        <w:tc>
          <w:tcPr>
            <w:tcW w:w="0" w:type="auto"/>
            <w:tcBorders>
              <w:top w:val="nil"/>
              <w:left w:val="nil"/>
              <w:bottom w:val="single" w:sz="4" w:space="0" w:color="auto"/>
              <w:right w:val="single" w:sz="4" w:space="0" w:color="auto"/>
            </w:tcBorders>
            <w:hideMark/>
          </w:tcPr>
          <w:p w14:paraId="2986AB81"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2E6E471C"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57AACF71"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4EE50CD3" w14:textId="77777777"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Oginni</w:t>
            </w:r>
            <w:proofErr w:type="spellEnd"/>
            <w:r w:rsidRPr="00A755E8">
              <w:rPr>
                <w:rFonts w:ascii="Arial" w:hAnsi="Arial" w:cs="Arial"/>
                <w:color w:val="000000"/>
                <w:sz w:val="18"/>
                <w:szCs w:val="18"/>
              </w:rPr>
              <w:t xml:space="preserve"> et al., (2024)</w:t>
            </w:r>
          </w:p>
        </w:tc>
      </w:tr>
      <w:tr w:rsidR="00A755E8" w:rsidRPr="00A755E8" w14:paraId="3A5EF650" w14:textId="77777777"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14:paraId="12DB222F" w14:textId="77777777"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C surinamensis </w:t>
            </w:r>
          </w:p>
        </w:tc>
        <w:tc>
          <w:tcPr>
            <w:tcW w:w="1517" w:type="dxa"/>
            <w:tcBorders>
              <w:top w:val="nil"/>
              <w:left w:val="nil"/>
              <w:bottom w:val="single" w:sz="4" w:space="0" w:color="auto"/>
              <w:right w:val="single" w:sz="4" w:space="0" w:color="auto"/>
            </w:tcBorders>
            <w:vAlign w:val="center"/>
            <w:hideMark/>
          </w:tcPr>
          <w:p w14:paraId="7BBB14E0"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1.2667</w:t>
            </w:r>
          </w:p>
        </w:tc>
        <w:tc>
          <w:tcPr>
            <w:tcW w:w="0" w:type="auto"/>
            <w:tcBorders>
              <w:top w:val="nil"/>
              <w:left w:val="nil"/>
              <w:bottom w:val="single" w:sz="4" w:space="0" w:color="auto"/>
              <w:right w:val="single" w:sz="4" w:space="0" w:color="auto"/>
            </w:tcBorders>
            <w:vAlign w:val="center"/>
            <w:hideMark/>
          </w:tcPr>
          <w:p w14:paraId="531CD13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0.8973</w:t>
            </w:r>
          </w:p>
        </w:tc>
        <w:tc>
          <w:tcPr>
            <w:tcW w:w="0" w:type="auto"/>
            <w:tcBorders>
              <w:top w:val="nil"/>
              <w:left w:val="nil"/>
              <w:bottom w:val="single" w:sz="4" w:space="0" w:color="auto"/>
              <w:right w:val="single" w:sz="4" w:space="0" w:color="auto"/>
            </w:tcBorders>
            <w:vAlign w:val="center"/>
            <w:hideMark/>
          </w:tcPr>
          <w:p w14:paraId="1393A804"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5.8</w:t>
            </w:r>
          </w:p>
        </w:tc>
        <w:tc>
          <w:tcPr>
            <w:tcW w:w="828" w:type="dxa"/>
            <w:tcBorders>
              <w:top w:val="nil"/>
              <w:left w:val="nil"/>
              <w:bottom w:val="single" w:sz="4" w:space="0" w:color="auto"/>
              <w:right w:val="single" w:sz="4" w:space="0" w:color="auto"/>
            </w:tcBorders>
            <w:vAlign w:val="center"/>
            <w:hideMark/>
          </w:tcPr>
          <w:p w14:paraId="22A1644B"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101.14</w:t>
            </w:r>
          </w:p>
        </w:tc>
        <w:tc>
          <w:tcPr>
            <w:tcW w:w="828" w:type="dxa"/>
            <w:tcBorders>
              <w:top w:val="nil"/>
              <w:left w:val="nil"/>
              <w:bottom w:val="single" w:sz="4" w:space="0" w:color="auto"/>
              <w:right w:val="single" w:sz="4" w:space="0" w:color="auto"/>
            </w:tcBorders>
            <w:vAlign w:val="center"/>
            <w:hideMark/>
          </w:tcPr>
          <w:p w14:paraId="2491459F"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158.95</w:t>
            </w:r>
          </w:p>
        </w:tc>
        <w:tc>
          <w:tcPr>
            <w:tcW w:w="0" w:type="auto"/>
            <w:tcBorders>
              <w:top w:val="nil"/>
              <w:left w:val="nil"/>
              <w:bottom w:val="single" w:sz="4" w:space="0" w:color="auto"/>
              <w:right w:val="single" w:sz="4" w:space="0" w:color="auto"/>
            </w:tcBorders>
            <w:vAlign w:val="center"/>
            <w:hideMark/>
          </w:tcPr>
          <w:p w14:paraId="7428BD53"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7.72</w:t>
            </w:r>
          </w:p>
        </w:tc>
        <w:tc>
          <w:tcPr>
            <w:tcW w:w="0" w:type="auto"/>
            <w:tcBorders>
              <w:top w:val="nil"/>
              <w:left w:val="nil"/>
              <w:bottom w:val="single" w:sz="4" w:space="0" w:color="auto"/>
              <w:right w:val="single" w:sz="4" w:space="0" w:color="auto"/>
            </w:tcBorders>
            <w:vAlign w:val="center"/>
            <w:hideMark/>
          </w:tcPr>
          <w:p w14:paraId="59F40DD0"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10.9</w:t>
            </w:r>
          </w:p>
        </w:tc>
        <w:tc>
          <w:tcPr>
            <w:tcW w:w="0" w:type="auto"/>
            <w:tcBorders>
              <w:top w:val="nil"/>
              <w:left w:val="nil"/>
              <w:bottom w:val="single" w:sz="4" w:space="0" w:color="auto"/>
              <w:right w:val="single" w:sz="4" w:space="0" w:color="auto"/>
            </w:tcBorders>
            <w:hideMark/>
          </w:tcPr>
          <w:p w14:paraId="02C2DDBA"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08C0D109"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681FFD0B"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14:paraId="2E3B775D"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Eze et al., (2025)</w:t>
            </w:r>
          </w:p>
        </w:tc>
      </w:tr>
      <w:tr w:rsidR="00A755E8" w:rsidRPr="00A755E8" w14:paraId="00C394BD" w14:textId="77777777" w:rsidTr="00A755E8">
        <w:trPr>
          <w:trHeight w:hRule="exact" w:val="443"/>
        </w:trPr>
        <w:tc>
          <w:tcPr>
            <w:tcW w:w="3652" w:type="dxa"/>
            <w:tcBorders>
              <w:top w:val="nil"/>
              <w:left w:val="single" w:sz="4" w:space="0" w:color="auto"/>
              <w:bottom w:val="single" w:sz="4" w:space="0" w:color="auto"/>
              <w:right w:val="single" w:sz="4" w:space="0" w:color="auto"/>
            </w:tcBorders>
            <w:noWrap/>
            <w:vAlign w:val="bottom"/>
            <w:hideMark/>
          </w:tcPr>
          <w:p w14:paraId="681C387F" w14:textId="77777777" w:rsidR="00A755E8" w:rsidRPr="00A755E8" w:rsidRDefault="00A755E8" w:rsidP="00A755E8">
            <w:pPr>
              <w:rPr>
                <w:rFonts w:ascii="Arial" w:hAnsi="Arial" w:cs="Arial"/>
                <w:i/>
                <w:iCs/>
                <w:color w:val="222222"/>
                <w:sz w:val="18"/>
                <w:szCs w:val="18"/>
              </w:rPr>
            </w:pPr>
            <w:r w:rsidRPr="00A755E8">
              <w:rPr>
                <w:rFonts w:ascii="Arial" w:hAnsi="Arial" w:cs="Arial"/>
                <w:i/>
                <w:iCs/>
                <w:color w:val="222222"/>
                <w:sz w:val="18"/>
                <w:szCs w:val="18"/>
              </w:rPr>
              <w:t>Moringa oleifera</w:t>
            </w:r>
            <w:r w:rsidRPr="00A755E8">
              <w:rPr>
                <w:rFonts w:ascii="Arial" w:hAnsi="Arial" w:cs="Arial"/>
                <w:color w:val="222222"/>
                <w:sz w:val="18"/>
                <w:szCs w:val="18"/>
              </w:rPr>
              <w:t> Seed</w:t>
            </w:r>
          </w:p>
        </w:tc>
        <w:tc>
          <w:tcPr>
            <w:tcW w:w="1517" w:type="dxa"/>
            <w:tcBorders>
              <w:top w:val="nil"/>
              <w:left w:val="nil"/>
              <w:bottom w:val="single" w:sz="4" w:space="0" w:color="auto"/>
              <w:right w:val="single" w:sz="4" w:space="0" w:color="auto"/>
            </w:tcBorders>
            <w:hideMark/>
          </w:tcPr>
          <w:p w14:paraId="1DB04D62"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0F957C00"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14:paraId="74C2C5D7"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14:paraId="6F2CD1FF"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w:t>
            </w:r>
          </w:p>
        </w:tc>
        <w:tc>
          <w:tcPr>
            <w:tcW w:w="828" w:type="dxa"/>
            <w:tcBorders>
              <w:top w:val="nil"/>
              <w:left w:val="nil"/>
              <w:bottom w:val="single" w:sz="4" w:space="0" w:color="auto"/>
              <w:right w:val="single" w:sz="4" w:space="0" w:color="auto"/>
            </w:tcBorders>
            <w:vAlign w:val="center"/>
            <w:hideMark/>
          </w:tcPr>
          <w:p w14:paraId="25811E72"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198</w:t>
            </w:r>
          </w:p>
        </w:tc>
        <w:tc>
          <w:tcPr>
            <w:tcW w:w="0" w:type="auto"/>
            <w:tcBorders>
              <w:top w:val="nil"/>
              <w:left w:val="nil"/>
              <w:bottom w:val="single" w:sz="4" w:space="0" w:color="auto"/>
              <w:right w:val="single" w:sz="4" w:space="0" w:color="auto"/>
            </w:tcBorders>
            <w:vAlign w:val="center"/>
            <w:hideMark/>
          </w:tcPr>
          <w:p w14:paraId="6579CA29"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 </w:t>
            </w: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14:paraId="0C4D836E" w14:textId="77777777"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4.11</w:t>
            </w:r>
          </w:p>
        </w:tc>
        <w:tc>
          <w:tcPr>
            <w:tcW w:w="0" w:type="auto"/>
            <w:tcBorders>
              <w:top w:val="nil"/>
              <w:left w:val="nil"/>
              <w:bottom w:val="single" w:sz="4" w:space="0" w:color="auto"/>
              <w:right w:val="single" w:sz="4" w:space="0" w:color="auto"/>
            </w:tcBorders>
            <w:hideMark/>
          </w:tcPr>
          <w:p w14:paraId="14B7C21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14:paraId="689DCFDC"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14:paraId="093C0D28" w14:textId="77777777"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bottom"/>
          </w:tcPr>
          <w:p w14:paraId="5FD17007" w14:textId="77777777"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Cervera-</w:t>
            </w:r>
            <w:proofErr w:type="spellStart"/>
            <w:r w:rsidRPr="00A755E8">
              <w:rPr>
                <w:rFonts w:ascii="Arial" w:hAnsi="Arial" w:cs="Arial"/>
                <w:color w:val="000000"/>
                <w:sz w:val="18"/>
                <w:szCs w:val="18"/>
              </w:rPr>
              <w:t>Chiner</w:t>
            </w:r>
            <w:proofErr w:type="spellEnd"/>
            <w:r w:rsidRPr="00A755E8">
              <w:rPr>
                <w:rFonts w:ascii="Arial" w:hAnsi="Arial" w:cs="Arial"/>
                <w:color w:val="000000"/>
                <w:sz w:val="18"/>
                <w:szCs w:val="18"/>
              </w:rPr>
              <w:t xml:space="preserve"> et al., (2024) </w:t>
            </w:r>
          </w:p>
        </w:tc>
      </w:tr>
    </w:tbl>
    <w:bookmarkEnd w:id="3"/>
    <w:p w14:paraId="6A2DC21E" w14:textId="77777777" w:rsidR="000C0DD1" w:rsidRPr="00003CA3" w:rsidRDefault="000C0DD1" w:rsidP="000C0DD1">
      <w:pPr>
        <w:contextualSpacing/>
        <w:jc w:val="both"/>
        <w:rPr>
          <w:rFonts w:ascii="Arial" w:hAnsi="Arial" w:cs="Arial"/>
          <w:b/>
          <w:bCs/>
          <w:color w:val="000000" w:themeColor="text1"/>
          <w:sz w:val="22"/>
          <w:szCs w:val="22"/>
        </w:rPr>
      </w:pPr>
      <w:r w:rsidRPr="00003CA3">
        <w:rPr>
          <w:rFonts w:ascii="Arial" w:hAnsi="Arial" w:cs="Arial"/>
          <w:b/>
          <w:bCs/>
          <w:color w:val="000000" w:themeColor="text1"/>
          <w:sz w:val="22"/>
          <w:szCs w:val="22"/>
        </w:rPr>
        <w:t>Table 1: Physic</w:t>
      </w:r>
      <w:r w:rsidR="00A755E8">
        <w:rPr>
          <w:rFonts w:ascii="Arial" w:hAnsi="Arial" w:cs="Arial"/>
          <w:b/>
          <w:bCs/>
          <w:color w:val="000000" w:themeColor="text1"/>
          <w:sz w:val="22"/>
          <w:szCs w:val="22"/>
        </w:rPr>
        <w:t>o</w:t>
      </w:r>
      <w:r w:rsidRPr="00003CA3">
        <w:rPr>
          <w:rFonts w:ascii="Arial" w:hAnsi="Arial" w:cs="Arial"/>
          <w:b/>
          <w:bCs/>
          <w:color w:val="000000" w:themeColor="text1"/>
          <w:sz w:val="22"/>
          <w:szCs w:val="22"/>
        </w:rPr>
        <w:t xml:space="preserve">chemical properties of the </w:t>
      </w:r>
      <w:r w:rsidR="00A755E8">
        <w:rPr>
          <w:rFonts w:ascii="Arial" w:hAnsi="Arial" w:cs="Arial"/>
          <w:b/>
          <w:bCs/>
          <w:color w:val="000000" w:themeColor="text1"/>
          <w:sz w:val="22"/>
          <w:szCs w:val="22"/>
        </w:rPr>
        <w:t xml:space="preserve">Jansa and </w:t>
      </w:r>
      <w:proofErr w:type="spellStart"/>
      <w:r w:rsidR="00A755E8">
        <w:rPr>
          <w:rFonts w:ascii="Arial" w:hAnsi="Arial" w:cs="Arial"/>
          <w:b/>
          <w:bCs/>
          <w:color w:val="000000" w:themeColor="text1"/>
          <w:sz w:val="22"/>
          <w:szCs w:val="22"/>
        </w:rPr>
        <w:t>Omillo</w:t>
      </w:r>
      <w:proofErr w:type="spellEnd"/>
      <w:r w:rsidR="00A755E8">
        <w:rPr>
          <w:rFonts w:ascii="Arial" w:hAnsi="Arial" w:cs="Arial"/>
          <w:b/>
          <w:bCs/>
          <w:color w:val="000000" w:themeColor="text1"/>
          <w:sz w:val="22"/>
          <w:szCs w:val="22"/>
        </w:rPr>
        <w:t xml:space="preserve"> seeds and some selected seed oil</w:t>
      </w:r>
      <w:r w:rsidRPr="00003CA3">
        <w:rPr>
          <w:rFonts w:ascii="Arial" w:hAnsi="Arial" w:cs="Arial"/>
          <w:b/>
          <w:bCs/>
          <w:color w:val="000000" w:themeColor="text1"/>
          <w:sz w:val="22"/>
          <w:szCs w:val="22"/>
        </w:rPr>
        <w:t>s</w:t>
      </w:r>
    </w:p>
    <w:p w14:paraId="787CE039" w14:textId="77777777" w:rsidR="00F527C7" w:rsidRDefault="00F527C7" w:rsidP="00F527C7">
      <w:pPr>
        <w:contextualSpacing/>
        <w:jc w:val="both"/>
        <w:rPr>
          <w:rFonts w:ascii="Arial" w:hAnsi="Arial" w:cs="Arial"/>
          <w:b/>
          <w:bCs/>
          <w:color w:val="000000" w:themeColor="text1"/>
          <w:sz w:val="22"/>
          <w:szCs w:val="22"/>
        </w:rPr>
      </w:pPr>
    </w:p>
    <w:p w14:paraId="69B2E284" w14:textId="77777777" w:rsidR="00F527C7" w:rsidRDefault="00F527C7" w:rsidP="00F527C7">
      <w:pPr>
        <w:contextualSpacing/>
        <w:jc w:val="both"/>
        <w:rPr>
          <w:rFonts w:ascii="Arial" w:hAnsi="Arial" w:cs="Arial"/>
          <w:b/>
          <w:bCs/>
          <w:color w:val="000000" w:themeColor="text1"/>
          <w:sz w:val="22"/>
          <w:szCs w:val="22"/>
        </w:rPr>
      </w:pPr>
    </w:p>
    <w:p w14:paraId="0EA8CCE1" w14:textId="77777777" w:rsidR="00F527C7" w:rsidRDefault="00F527C7" w:rsidP="00441B6F">
      <w:pPr>
        <w:pStyle w:val="Body"/>
        <w:spacing w:after="0"/>
        <w:rPr>
          <w:rFonts w:ascii="Arial" w:hAnsi="Arial" w:cs="Arial"/>
        </w:rPr>
      </w:pPr>
    </w:p>
    <w:p w14:paraId="7CC88EEE" w14:textId="77777777" w:rsidR="00F527C7" w:rsidRDefault="00F527C7" w:rsidP="00441B6F">
      <w:pPr>
        <w:pStyle w:val="Body"/>
        <w:spacing w:after="0"/>
        <w:rPr>
          <w:rFonts w:ascii="Arial" w:hAnsi="Arial" w:cs="Arial"/>
        </w:rPr>
      </w:pPr>
    </w:p>
    <w:p w14:paraId="35202D55" w14:textId="77777777" w:rsidR="00F527C7" w:rsidRDefault="00F527C7" w:rsidP="00441B6F">
      <w:pPr>
        <w:pStyle w:val="Body"/>
        <w:spacing w:after="0"/>
        <w:rPr>
          <w:rFonts w:ascii="Arial" w:hAnsi="Arial" w:cs="Arial"/>
        </w:rPr>
      </w:pPr>
    </w:p>
    <w:p w14:paraId="2E77ECDF" w14:textId="77777777" w:rsidR="00F527C7" w:rsidRDefault="00F527C7" w:rsidP="00441B6F">
      <w:pPr>
        <w:pStyle w:val="Body"/>
        <w:spacing w:after="0"/>
        <w:rPr>
          <w:rFonts w:ascii="Arial" w:hAnsi="Arial" w:cs="Arial"/>
        </w:rPr>
      </w:pPr>
    </w:p>
    <w:p w14:paraId="49C6FC6E" w14:textId="77777777" w:rsidR="00F527C7" w:rsidRDefault="00F527C7" w:rsidP="00441B6F">
      <w:pPr>
        <w:pStyle w:val="Body"/>
        <w:spacing w:after="0"/>
        <w:rPr>
          <w:rFonts w:ascii="Arial" w:hAnsi="Arial" w:cs="Arial"/>
        </w:rPr>
      </w:pPr>
    </w:p>
    <w:p w14:paraId="71CEE47F" w14:textId="77777777" w:rsidR="00F527C7" w:rsidRDefault="00F527C7" w:rsidP="00441B6F">
      <w:pPr>
        <w:pStyle w:val="Body"/>
        <w:spacing w:after="0"/>
        <w:rPr>
          <w:rFonts w:ascii="Arial" w:hAnsi="Arial" w:cs="Arial"/>
        </w:rPr>
      </w:pPr>
    </w:p>
    <w:p w14:paraId="2920C27E" w14:textId="77777777" w:rsidR="00F527C7" w:rsidRDefault="00F527C7" w:rsidP="00441B6F">
      <w:pPr>
        <w:pStyle w:val="Body"/>
        <w:spacing w:after="0"/>
        <w:rPr>
          <w:rFonts w:ascii="Arial" w:hAnsi="Arial" w:cs="Arial"/>
        </w:rPr>
      </w:pPr>
    </w:p>
    <w:p w14:paraId="68D2140B" w14:textId="77777777" w:rsidR="00F527C7" w:rsidRDefault="00F527C7" w:rsidP="00441B6F">
      <w:pPr>
        <w:pStyle w:val="Body"/>
        <w:spacing w:after="0"/>
        <w:rPr>
          <w:rFonts w:ascii="Arial" w:hAnsi="Arial" w:cs="Arial"/>
        </w:rPr>
      </w:pPr>
    </w:p>
    <w:p w14:paraId="5E57D3A5" w14:textId="77777777" w:rsidR="00F527C7" w:rsidRDefault="00F527C7" w:rsidP="00441B6F">
      <w:pPr>
        <w:pStyle w:val="Body"/>
        <w:spacing w:after="0"/>
        <w:rPr>
          <w:rFonts w:ascii="Arial" w:hAnsi="Arial" w:cs="Arial"/>
        </w:rPr>
      </w:pPr>
    </w:p>
    <w:p w14:paraId="6A5F3F20" w14:textId="77777777" w:rsidR="00F527C7" w:rsidRDefault="00F527C7" w:rsidP="00441B6F">
      <w:pPr>
        <w:pStyle w:val="Body"/>
        <w:spacing w:after="0"/>
        <w:rPr>
          <w:rFonts w:ascii="Arial" w:hAnsi="Arial" w:cs="Arial"/>
        </w:rPr>
      </w:pPr>
    </w:p>
    <w:p w14:paraId="630594D3" w14:textId="77777777" w:rsidR="00F527C7" w:rsidRDefault="00F527C7" w:rsidP="00441B6F">
      <w:pPr>
        <w:pStyle w:val="Body"/>
        <w:spacing w:after="0"/>
        <w:rPr>
          <w:rFonts w:ascii="Arial" w:hAnsi="Arial" w:cs="Arial"/>
        </w:rPr>
      </w:pPr>
    </w:p>
    <w:p w14:paraId="682B5990" w14:textId="77777777" w:rsidR="00F527C7" w:rsidRDefault="00F527C7" w:rsidP="00441B6F">
      <w:pPr>
        <w:pStyle w:val="Body"/>
        <w:spacing w:after="0"/>
        <w:rPr>
          <w:rFonts w:ascii="Arial" w:hAnsi="Arial" w:cs="Arial"/>
        </w:rPr>
      </w:pPr>
    </w:p>
    <w:p w14:paraId="6217CD44" w14:textId="77777777" w:rsidR="00F527C7" w:rsidRDefault="00F527C7" w:rsidP="00441B6F">
      <w:pPr>
        <w:pStyle w:val="Body"/>
        <w:spacing w:after="0"/>
        <w:rPr>
          <w:rFonts w:ascii="Arial" w:hAnsi="Arial" w:cs="Arial"/>
        </w:rPr>
      </w:pPr>
    </w:p>
    <w:p w14:paraId="462A8F61" w14:textId="77777777" w:rsidR="00F527C7" w:rsidRDefault="00F527C7" w:rsidP="00441B6F">
      <w:pPr>
        <w:pStyle w:val="Body"/>
        <w:spacing w:after="0"/>
        <w:rPr>
          <w:rFonts w:ascii="Arial" w:hAnsi="Arial" w:cs="Arial"/>
        </w:rPr>
      </w:pPr>
    </w:p>
    <w:p w14:paraId="69CB68BB" w14:textId="77777777" w:rsidR="00F527C7" w:rsidRDefault="00F527C7" w:rsidP="00441B6F">
      <w:pPr>
        <w:pStyle w:val="Body"/>
        <w:spacing w:after="0"/>
        <w:rPr>
          <w:rFonts w:ascii="Arial" w:hAnsi="Arial" w:cs="Arial"/>
        </w:rPr>
      </w:pPr>
    </w:p>
    <w:p w14:paraId="3B7DCEBC" w14:textId="77777777" w:rsidR="00F527C7" w:rsidRDefault="00F527C7" w:rsidP="00441B6F">
      <w:pPr>
        <w:pStyle w:val="Body"/>
        <w:spacing w:after="0"/>
        <w:rPr>
          <w:rFonts w:ascii="Arial" w:hAnsi="Arial" w:cs="Arial"/>
        </w:rPr>
      </w:pPr>
    </w:p>
    <w:p w14:paraId="6470E55A" w14:textId="77777777" w:rsidR="00F527C7" w:rsidRDefault="00F527C7" w:rsidP="00441B6F">
      <w:pPr>
        <w:pStyle w:val="Body"/>
        <w:spacing w:after="0"/>
        <w:rPr>
          <w:rFonts w:ascii="Arial" w:hAnsi="Arial" w:cs="Arial"/>
        </w:rPr>
      </w:pPr>
    </w:p>
    <w:p w14:paraId="5A1B8C7A" w14:textId="77777777" w:rsidR="00F527C7" w:rsidRDefault="00F527C7" w:rsidP="00441B6F">
      <w:pPr>
        <w:pStyle w:val="Body"/>
        <w:spacing w:after="0"/>
        <w:rPr>
          <w:rFonts w:ascii="Arial" w:hAnsi="Arial" w:cs="Arial"/>
        </w:rPr>
      </w:pPr>
    </w:p>
    <w:p w14:paraId="6DE91BE7" w14:textId="77777777" w:rsidR="00F527C7" w:rsidRDefault="00F527C7" w:rsidP="00441B6F">
      <w:pPr>
        <w:pStyle w:val="Body"/>
        <w:spacing w:after="0"/>
        <w:rPr>
          <w:rFonts w:ascii="Arial" w:hAnsi="Arial" w:cs="Arial"/>
        </w:rPr>
      </w:pPr>
    </w:p>
    <w:p w14:paraId="22E0693A" w14:textId="77777777" w:rsidR="00F527C7" w:rsidRDefault="00F527C7" w:rsidP="00441B6F">
      <w:pPr>
        <w:pStyle w:val="Body"/>
        <w:spacing w:after="0"/>
        <w:rPr>
          <w:rFonts w:ascii="Arial" w:hAnsi="Arial" w:cs="Arial"/>
        </w:rPr>
      </w:pPr>
    </w:p>
    <w:p w14:paraId="163196BC" w14:textId="77777777" w:rsidR="00F527C7" w:rsidRDefault="00F527C7" w:rsidP="00441B6F">
      <w:pPr>
        <w:pStyle w:val="Body"/>
        <w:spacing w:after="0"/>
        <w:rPr>
          <w:rFonts w:ascii="Arial" w:hAnsi="Arial" w:cs="Arial"/>
        </w:rPr>
      </w:pPr>
    </w:p>
    <w:p w14:paraId="07707AC6" w14:textId="77777777" w:rsidR="00F527C7" w:rsidRDefault="00F527C7" w:rsidP="00441B6F">
      <w:pPr>
        <w:pStyle w:val="Body"/>
        <w:spacing w:after="0"/>
        <w:rPr>
          <w:rFonts w:ascii="Arial" w:hAnsi="Arial" w:cs="Arial"/>
        </w:rPr>
      </w:pPr>
    </w:p>
    <w:p w14:paraId="0122B48E" w14:textId="77777777" w:rsidR="000C0DD1" w:rsidRDefault="000C0DD1" w:rsidP="00441B6F">
      <w:pPr>
        <w:pStyle w:val="Body"/>
        <w:spacing w:after="0"/>
        <w:rPr>
          <w:rFonts w:ascii="Arial" w:hAnsi="Arial" w:cs="Arial"/>
        </w:rPr>
        <w:sectPr w:rsidR="000C0DD1" w:rsidSect="00925BBD">
          <w:type w:val="continuous"/>
          <w:pgSz w:w="15840" w:h="12240" w:orient="landscape"/>
          <w:pgMar w:top="2019" w:right="1440" w:bottom="2019" w:left="2019" w:header="720" w:footer="1123" w:gutter="0"/>
          <w:cols w:space="720"/>
          <w:docGrid w:linePitch="272"/>
        </w:sectPr>
      </w:pPr>
    </w:p>
    <w:p w14:paraId="2B756F06" w14:textId="77777777" w:rsidR="00A755E8" w:rsidRPr="00003CA3" w:rsidRDefault="00A755E8" w:rsidP="00A755E8">
      <w:pPr>
        <w:jc w:val="both"/>
        <w:rPr>
          <w:rFonts w:ascii="Arial" w:hAnsi="Arial" w:cs="Arial"/>
          <w:b/>
          <w:bCs/>
          <w:color w:val="000000" w:themeColor="text1"/>
          <w:sz w:val="22"/>
          <w:szCs w:val="22"/>
        </w:rPr>
      </w:pPr>
      <w:commentRangeStart w:id="4"/>
      <w:r w:rsidRPr="00003CA3">
        <w:rPr>
          <w:rFonts w:ascii="Arial" w:hAnsi="Arial" w:cs="Arial"/>
          <w:b/>
          <w:bCs/>
          <w:color w:val="000000" w:themeColor="text1"/>
          <w:sz w:val="22"/>
          <w:szCs w:val="22"/>
        </w:rPr>
        <w:lastRenderedPageBreak/>
        <w:t>3.3 FTIR Spectroscopic Analysis</w:t>
      </w:r>
      <w:commentRangeEnd w:id="4"/>
      <w:r w:rsidR="00187249">
        <w:rPr>
          <w:rStyle w:val="CommentReference"/>
          <w:rFonts w:ascii="Times New Roman" w:hAnsi="Times New Roman"/>
          <w:lang w:val="nb-NO" w:eastAsia="nb-NO"/>
        </w:rPr>
        <w:commentReference w:id="4"/>
      </w:r>
    </w:p>
    <w:p w14:paraId="5330FEF0"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FTIR spectra of Jansa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(Fig</w:t>
      </w:r>
      <w:r>
        <w:rPr>
          <w:rFonts w:ascii="Arial" w:hAnsi="Arial" w:cs="Arial"/>
          <w:color w:val="000000" w:themeColor="text1"/>
        </w:rPr>
        <w:t xml:space="preserve"> 1a </w:t>
      </w:r>
      <w:r w:rsidRPr="00003CA3">
        <w:rPr>
          <w:rFonts w:ascii="Arial" w:hAnsi="Arial" w:cs="Arial"/>
          <w:color w:val="000000" w:themeColor="text1"/>
        </w:rPr>
        <w:t xml:space="preserve">and </w:t>
      </w:r>
      <w:r>
        <w:rPr>
          <w:rFonts w:ascii="Arial" w:hAnsi="Arial" w:cs="Arial"/>
          <w:color w:val="000000" w:themeColor="text1"/>
        </w:rPr>
        <w:t>1b</w:t>
      </w:r>
      <w:r w:rsidRPr="00003CA3">
        <w:rPr>
          <w:rFonts w:ascii="Arial" w:hAnsi="Arial" w:cs="Arial"/>
          <w:color w:val="000000" w:themeColor="text1"/>
        </w:rPr>
        <w:t>) offer a fascinating glimpse into their molecular makeup, revealing the presence of functional groups commonly found in triglycerides and fatty acids. Both oils share a similar chemical backbone, as shown by their overlapping major absorption bands. However, subtle differences in peak intensity and sharpness hint at variations in composition and structure.</w:t>
      </w:r>
    </w:p>
    <w:p w14:paraId="19B126A7"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In the Jansa oil spectrum, a broad band around 3011.7 cm</w:t>
      </w:r>
      <w:r w:rsidRPr="00003CA3">
        <w:rPr>
          <w:rFonts w:ascii="Cambria Math" w:hAnsi="Cambria Math" w:cs="Cambria Math"/>
          <w:color w:val="000000" w:themeColor="text1"/>
        </w:rPr>
        <w:t>⁻</w:t>
      </w:r>
      <w:r w:rsidRPr="00003CA3">
        <w:rPr>
          <w:rFonts w:ascii="Arial" w:hAnsi="Arial" w:cs="Arial"/>
          <w:color w:val="000000" w:themeColor="text1"/>
        </w:rPr>
        <w:t>¹ signals the presence of hydroxyl groups—likely from free fatty acids or glycerol. Strong peaks at 2922.0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correspond to C–H stretching vibrations from –CH</w:t>
      </w:r>
      <w:r w:rsidRPr="00003CA3">
        <w:rPr>
          <w:rFonts w:ascii="Cambria Math" w:hAnsi="Cambria Math" w:cs="Cambria Math"/>
          <w:color w:val="000000" w:themeColor="text1"/>
        </w:rPr>
        <w:t>₂</w:t>
      </w:r>
      <w:r w:rsidRPr="00003CA3">
        <w:rPr>
          <w:rFonts w:ascii="Arial" w:hAnsi="Arial" w:cs="Arial"/>
          <w:color w:val="000000" w:themeColor="text1"/>
        </w:rPr>
        <w:t xml:space="preserve"> and –CH</w:t>
      </w:r>
      <w:r w:rsidRPr="00003CA3">
        <w:rPr>
          <w:rFonts w:ascii="Cambria Math" w:hAnsi="Cambria Math" w:cs="Cambria Math"/>
          <w:color w:val="000000" w:themeColor="text1"/>
        </w:rPr>
        <w:t>₃</w:t>
      </w:r>
      <w:r w:rsidRPr="00003CA3">
        <w:rPr>
          <w:rFonts w:ascii="Arial" w:hAnsi="Arial" w:cs="Arial"/>
          <w:color w:val="000000" w:themeColor="text1"/>
        </w:rPr>
        <w:t xml:space="preserve"> groups, confirming the long hydrocarbon chains typical of triglycerides. A sharp, prominent peak at 1744.4 cm</w:t>
      </w:r>
      <w:r w:rsidRPr="00003CA3">
        <w:rPr>
          <w:rFonts w:ascii="Cambria Math" w:hAnsi="Cambria Math" w:cs="Cambria Math"/>
          <w:color w:val="000000" w:themeColor="text1"/>
        </w:rPr>
        <w:t>⁻</w:t>
      </w:r>
      <w:r w:rsidRPr="00003CA3">
        <w:rPr>
          <w:rFonts w:ascii="Arial" w:hAnsi="Arial" w:cs="Arial"/>
          <w:color w:val="000000" w:themeColor="text1"/>
        </w:rPr>
        <w:t>¹ marks the C=O stretch of ester carbonyl groups, a clear indicator of fatty acid esters. Additional bands at 1463.8 cm</w:t>
      </w:r>
      <w:r w:rsidRPr="00003CA3">
        <w:rPr>
          <w:rFonts w:ascii="Cambria Math" w:hAnsi="Cambria Math" w:cs="Cambria Math"/>
          <w:color w:val="000000" w:themeColor="text1"/>
        </w:rPr>
        <w:t>⁻</w:t>
      </w:r>
      <w:r w:rsidRPr="00003CA3">
        <w:rPr>
          <w:rFonts w:ascii="Arial" w:hAnsi="Arial" w:cs="Arial"/>
          <w:color w:val="000000" w:themeColor="text1"/>
        </w:rPr>
        <w:t>¹ and 1376.1 cm</w:t>
      </w:r>
      <w:r w:rsidRPr="00003CA3">
        <w:rPr>
          <w:rFonts w:ascii="Cambria Math" w:hAnsi="Cambria Math" w:cs="Cambria Math"/>
          <w:color w:val="000000" w:themeColor="text1"/>
        </w:rPr>
        <w:t>⁻</w:t>
      </w:r>
      <w:r w:rsidRPr="00003CA3">
        <w:rPr>
          <w:rFonts w:ascii="Arial" w:hAnsi="Arial" w:cs="Arial"/>
          <w:color w:val="000000" w:themeColor="text1"/>
        </w:rPr>
        <w:t>¹ reflect C–H bending, while signals between 1160 and 1030 cm</w:t>
      </w:r>
      <w:r w:rsidRPr="00003CA3">
        <w:rPr>
          <w:rFonts w:ascii="Cambria Math" w:hAnsi="Cambria Math" w:cs="Cambria Math"/>
          <w:color w:val="000000" w:themeColor="text1"/>
        </w:rPr>
        <w:t>⁻</w:t>
      </w:r>
      <w:r w:rsidRPr="00003CA3">
        <w:rPr>
          <w:rFonts w:ascii="Arial" w:hAnsi="Arial" w:cs="Arial"/>
          <w:color w:val="000000" w:themeColor="text1"/>
        </w:rPr>
        <w:t>¹ point to C–O stretching—both consistent with ester linkages. Minor peaks between 870 and 720 cm</w:t>
      </w:r>
      <w:r w:rsidRPr="00003CA3">
        <w:rPr>
          <w:rFonts w:ascii="Cambria Math" w:hAnsi="Cambria Math" w:cs="Cambria Math"/>
          <w:color w:val="000000" w:themeColor="text1"/>
        </w:rPr>
        <w:t>⁻</w:t>
      </w:r>
      <w:r w:rsidRPr="00003CA3">
        <w:rPr>
          <w:rFonts w:ascii="Arial" w:hAnsi="Arial" w:cs="Arial"/>
          <w:color w:val="000000" w:themeColor="text1"/>
        </w:rPr>
        <w:t>¹ suggest the presence of cis-alkene structures, common in unsaturated fatty acids.</w:t>
      </w:r>
    </w:p>
    <w:p w14:paraId="3C248E37" w14:textId="77777777" w:rsidR="00A755E8" w:rsidRPr="00003CA3" w:rsidRDefault="00A755E8" w:rsidP="00A755E8">
      <w:pPr>
        <w:jc w:val="both"/>
        <w:rPr>
          <w:rFonts w:ascii="Arial" w:hAnsi="Arial" w:cs="Arial"/>
          <w:color w:val="000000" w:themeColor="text1"/>
        </w:rPr>
      </w:pP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shows a similar spectral profile, with strong absorption bands at 3473.9 cm</w:t>
      </w:r>
      <w:r w:rsidRPr="00003CA3">
        <w:rPr>
          <w:rFonts w:ascii="Cambria Math" w:hAnsi="Cambria Math" w:cs="Cambria Math"/>
          <w:color w:val="000000" w:themeColor="text1"/>
        </w:rPr>
        <w:t>⁻</w:t>
      </w:r>
      <w:r w:rsidRPr="00003CA3">
        <w:rPr>
          <w:rFonts w:ascii="Arial" w:hAnsi="Arial" w:cs="Arial"/>
          <w:color w:val="000000" w:themeColor="text1"/>
        </w:rPr>
        <w:t>¹ (O–H stretch), 2922.2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(C–H stretch), and 1744.4 cm</w:t>
      </w:r>
      <w:r w:rsidRPr="00003CA3">
        <w:rPr>
          <w:rFonts w:ascii="Cambria Math" w:hAnsi="Cambria Math" w:cs="Cambria Math"/>
          <w:color w:val="000000" w:themeColor="text1"/>
        </w:rPr>
        <w:t>⁻</w:t>
      </w:r>
      <w:r w:rsidRPr="00003CA3">
        <w:rPr>
          <w:rFonts w:ascii="Arial" w:hAnsi="Arial" w:cs="Arial"/>
          <w:color w:val="000000" w:themeColor="text1"/>
        </w:rPr>
        <w:t xml:space="preserve">¹ (C=O stretch), confirming its triglyceride nature. However, the O–H band in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is broader and more intense, indicating a higher concentration of free hydroxyl groups or moisture—consistent with its slightly elevated moisture content (0.94%) and acid value (15.46 mg KOH/g) compared to Jansa. Peaks between 1461.1 cm</w:t>
      </w:r>
      <w:r w:rsidRPr="00003CA3">
        <w:rPr>
          <w:rFonts w:ascii="Cambria Math" w:hAnsi="Cambria Math" w:cs="Cambria Math"/>
          <w:color w:val="000000" w:themeColor="text1"/>
        </w:rPr>
        <w:t>⁻</w:t>
      </w:r>
      <w:r w:rsidRPr="00003CA3">
        <w:rPr>
          <w:rFonts w:ascii="Arial" w:hAnsi="Arial" w:cs="Arial"/>
          <w:color w:val="000000" w:themeColor="text1"/>
        </w:rPr>
        <w:t>¹ and 1155.5 cm</w:t>
      </w:r>
      <w:r w:rsidRPr="00003CA3">
        <w:rPr>
          <w:rFonts w:ascii="Cambria Math" w:hAnsi="Cambria Math" w:cs="Cambria Math"/>
          <w:color w:val="000000" w:themeColor="text1"/>
        </w:rPr>
        <w:t>⁻</w:t>
      </w:r>
      <w:r w:rsidRPr="00003CA3">
        <w:rPr>
          <w:rFonts w:ascii="Arial" w:hAnsi="Arial" w:cs="Arial"/>
          <w:color w:val="000000" w:themeColor="text1"/>
        </w:rPr>
        <w:t>¹ reflect C–H bending and C–O stretching, while weaker bands near 872.2 cm</w:t>
      </w:r>
      <w:r w:rsidRPr="00003CA3">
        <w:rPr>
          <w:rFonts w:ascii="Cambria Math" w:hAnsi="Cambria Math" w:cs="Cambria Math"/>
          <w:color w:val="000000" w:themeColor="text1"/>
        </w:rPr>
        <w:t>⁻</w:t>
      </w:r>
      <w:r w:rsidRPr="00003CA3">
        <w:rPr>
          <w:rFonts w:ascii="Arial" w:hAnsi="Arial" w:cs="Arial"/>
          <w:color w:val="000000" w:themeColor="text1"/>
        </w:rPr>
        <w:t>¹ confirm the presence of unsaturated fatty acids like oleic and linoleic acids.</w:t>
      </w:r>
    </w:p>
    <w:p w14:paraId="61709AA3"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When viewed side by side, both oils clearly contain the essential functional groups—C–H, C=O, and C–O—typical of natural triglyceride oils. Jansa oil, however, shows slightly sharper and more defined carbonyl and alkyl peaks, suggesting a higher concentration of esterified fatty acids.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on the other hand, displays a more pronounced O–H region, pointing to greater free fatty acid content or partial triglyceride breakdown.</w:t>
      </w:r>
    </w:p>
    <w:p w14:paraId="37E94412"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These spectral differences align well with the physicochemical and GC–MS data: Jansa oil is richer in long-chain unsaturated esters like oleic acid and glycerol derivatives,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more free fatty acids and polar compounds. Ultimately, both oils demonstrate strong potential as non-edible feedstocks for biodiesel and other industrial applications, thanks to their rich ester content and functional group diversity.</w:t>
      </w:r>
    </w:p>
    <w:p w14:paraId="0AE52CC0" w14:textId="77777777" w:rsidR="00A755E8" w:rsidRPr="00370D41"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0F9562DA" wp14:editId="70FE07F4">
            <wp:extent cx="4057650" cy="2595245"/>
            <wp:effectExtent l="0" t="0" r="0" b="0"/>
            <wp:docPr id="163623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31026" name="Picture 1"/>
                    <pic:cNvPicPr>
                      <a:picLocks noChangeAspect="1"/>
                    </pic:cNvPicPr>
                  </pic:nvPicPr>
                  <pic:blipFill rotWithShape="1">
                    <a:blip r:embed="rId22"/>
                    <a:srcRect t="23884" b="8800"/>
                    <a:stretch>
                      <a:fillRect/>
                    </a:stretch>
                  </pic:blipFill>
                  <pic:spPr bwMode="auto">
                    <a:xfrm>
                      <a:off x="0" y="0"/>
                      <a:ext cx="4059619" cy="2596505"/>
                    </a:xfrm>
                    <a:prstGeom prst="rect">
                      <a:avLst/>
                    </a:prstGeom>
                    <a:ln>
                      <a:noFill/>
                    </a:ln>
                    <a:extLst>
                      <a:ext uri="{53640926-AAD7-44D8-BBD7-CCE9431645EC}">
                        <a14:shadowObscured xmlns:a14="http://schemas.microsoft.com/office/drawing/2010/main"/>
                      </a:ext>
                    </a:extLst>
                  </pic:spPr>
                </pic:pic>
              </a:graphicData>
            </a:graphic>
          </wp:inline>
        </w:drawing>
      </w:r>
    </w:p>
    <w:p w14:paraId="14F27CCC" w14:textId="77777777"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Fig 1a: FTIR spectrum of Jansa seed oil</w:t>
      </w:r>
    </w:p>
    <w:p w14:paraId="35AA56AE" w14:textId="77777777" w:rsidR="00A755E8" w:rsidRPr="00370D41" w:rsidRDefault="00A755E8" w:rsidP="00A755E8">
      <w:pPr>
        <w:contextualSpacing/>
        <w:jc w:val="both"/>
        <w:rPr>
          <w:rFonts w:ascii="Arial" w:hAnsi="Arial" w:cs="Arial"/>
          <w:color w:val="000000" w:themeColor="text1"/>
          <w:sz w:val="24"/>
          <w:szCs w:val="24"/>
        </w:rPr>
      </w:pPr>
    </w:p>
    <w:p w14:paraId="62CC305E" w14:textId="77777777" w:rsidR="00A755E8" w:rsidRPr="00370D41" w:rsidRDefault="00A755E8" w:rsidP="00A755E8">
      <w:pPr>
        <w:contextualSpacing/>
        <w:jc w:val="both"/>
        <w:rPr>
          <w:rFonts w:ascii="Arial" w:hAnsi="Arial" w:cs="Arial"/>
          <w:color w:val="000000" w:themeColor="text1"/>
          <w:sz w:val="24"/>
          <w:szCs w:val="24"/>
        </w:rPr>
      </w:pPr>
    </w:p>
    <w:p w14:paraId="4E687A36" w14:textId="77777777" w:rsidR="00A755E8" w:rsidRPr="00370D41" w:rsidRDefault="00A755E8" w:rsidP="00A755E8">
      <w:pPr>
        <w:contextualSpacing/>
        <w:jc w:val="both"/>
        <w:rPr>
          <w:rFonts w:ascii="Arial" w:hAnsi="Arial" w:cs="Arial"/>
          <w:color w:val="000000" w:themeColor="text1"/>
          <w:sz w:val="24"/>
          <w:szCs w:val="24"/>
        </w:rPr>
      </w:pPr>
    </w:p>
    <w:p w14:paraId="19255152" w14:textId="77777777" w:rsidR="00A755E8"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5C8415C6" wp14:editId="524429C4">
            <wp:extent cx="4410075" cy="2462530"/>
            <wp:effectExtent l="0" t="0" r="0" b="0"/>
            <wp:docPr id="21687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71053" name="Picture 1"/>
                    <pic:cNvPicPr>
                      <a:picLocks noChangeAspect="1"/>
                    </pic:cNvPicPr>
                  </pic:nvPicPr>
                  <pic:blipFill rotWithShape="1">
                    <a:blip r:embed="rId23"/>
                    <a:srcRect t="28174"/>
                    <a:stretch>
                      <a:fillRect/>
                    </a:stretch>
                  </pic:blipFill>
                  <pic:spPr bwMode="auto">
                    <a:xfrm>
                      <a:off x="0" y="0"/>
                      <a:ext cx="4415254" cy="2465422"/>
                    </a:xfrm>
                    <a:prstGeom prst="rect">
                      <a:avLst/>
                    </a:prstGeom>
                    <a:ln>
                      <a:noFill/>
                    </a:ln>
                    <a:extLst>
                      <a:ext uri="{53640926-AAD7-44D8-BBD7-CCE9431645EC}">
                        <a14:shadowObscured xmlns:a14="http://schemas.microsoft.com/office/drawing/2010/main"/>
                      </a:ext>
                    </a:extLst>
                  </pic:spPr>
                </pic:pic>
              </a:graphicData>
            </a:graphic>
          </wp:inline>
        </w:drawing>
      </w:r>
      <w:r w:rsidRPr="00370D41">
        <w:rPr>
          <w:rFonts w:ascii="Arial" w:hAnsi="Arial" w:cs="Arial"/>
          <w:color w:val="000000" w:themeColor="text1"/>
          <w:sz w:val="24"/>
          <w:szCs w:val="24"/>
        </w:rPr>
        <w:t xml:space="preserve"> </w:t>
      </w:r>
    </w:p>
    <w:p w14:paraId="47AD7940" w14:textId="77777777"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 xml:space="preserve">Fig 1b: FTIR spectrum of </w:t>
      </w:r>
      <w:proofErr w:type="spellStart"/>
      <w:r w:rsidRPr="00A755E8">
        <w:rPr>
          <w:rFonts w:ascii="Arial" w:hAnsi="Arial" w:cs="Arial"/>
          <w:b/>
          <w:bCs/>
          <w:color w:val="000000" w:themeColor="text1"/>
        </w:rPr>
        <w:t>Omillo</w:t>
      </w:r>
      <w:proofErr w:type="spellEnd"/>
      <w:r w:rsidRPr="00A755E8">
        <w:rPr>
          <w:rFonts w:ascii="Arial" w:hAnsi="Arial" w:cs="Arial"/>
          <w:b/>
          <w:bCs/>
          <w:color w:val="000000" w:themeColor="text1"/>
        </w:rPr>
        <w:t xml:space="preserve"> seed oil</w:t>
      </w:r>
    </w:p>
    <w:p w14:paraId="65116A82" w14:textId="77777777" w:rsidR="00A755E8" w:rsidRPr="00370D41" w:rsidRDefault="00A755E8" w:rsidP="00A755E8">
      <w:pPr>
        <w:contextualSpacing/>
        <w:jc w:val="both"/>
        <w:rPr>
          <w:rFonts w:ascii="Arial" w:hAnsi="Arial" w:cs="Arial"/>
          <w:color w:val="000000" w:themeColor="text1"/>
          <w:sz w:val="24"/>
          <w:szCs w:val="24"/>
        </w:rPr>
      </w:pPr>
    </w:p>
    <w:p w14:paraId="682FEA65" w14:textId="77777777"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2. Comparative FTIR Peak Assignments for Jansa and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Oils</w:t>
      </w:r>
    </w:p>
    <w:tbl>
      <w:tblPr>
        <w:tblStyle w:val="ListTable6Colorful"/>
        <w:tblW w:w="9781" w:type="dxa"/>
        <w:shd w:val="clear" w:color="auto" w:fill="FFFFFF" w:themeFill="background1"/>
        <w:tblLook w:val="04A0" w:firstRow="1" w:lastRow="0" w:firstColumn="1" w:lastColumn="0" w:noHBand="0" w:noVBand="1"/>
      </w:tblPr>
      <w:tblGrid>
        <w:gridCol w:w="2082"/>
        <w:gridCol w:w="1534"/>
        <w:gridCol w:w="1534"/>
        <w:gridCol w:w="4631"/>
      </w:tblGrid>
      <w:tr w:rsidR="00A755E8" w:rsidRPr="00003CA3" w14:paraId="6933F99A" w14:textId="77777777" w:rsidTr="00204A14">
        <w:trPr>
          <w:cnfStyle w:val="100000000000" w:firstRow="1" w:lastRow="0" w:firstColumn="0" w:lastColumn="0" w:oddVBand="0" w:evenVBand="0" w:oddHBand="0" w:evenHBand="0"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40177C" w14:textId="77777777" w:rsidR="00A755E8" w:rsidRPr="00003CA3" w:rsidRDefault="00A755E8" w:rsidP="00204A14">
            <w:pPr>
              <w:spacing w:after="160" w:line="278" w:lineRule="auto"/>
              <w:jc w:val="both"/>
              <w:rPr>
                <w:rFonts w:ascii="Arial" w:hAnsi="Arial" w:cs="Arial"/>
              </w:rPr>
            </w:pPr>
            <w:r w:rsidRPr="00003CA3">
              <w:rPr>
                <w:rFonts w:ascii="Arial" w:hAnsi="Arial" w:cs="Arial"/>
              </w:rPr>
              <w:t>Wavenumber (cm</w:t>
            </w:r>
            <w:r w:rsidRPr="00003CA3">
              <w:rPr>
                <w:rFonts w:ascii="Cambria Math" w:hAnsi="Cambria Math" w:cs="Cambria Math"/>
              </w:rPr>
              <w:t>⁻</w:t>
            </w:r>
            <w:r w:rsidRPr="00003CA3">
              <w:rPr>
                <w:rFonts w:ascii="Arial" w:hAnsi="Arial" w:cs="Arial"/>
              </w:rPr>
              <w:t>¹)</w:t>
            </w:r>
          </w:p>
        </w:tc>
        <w:tc>
          <w:tcPr>
            <w:tcW w:w="0" w:type="auto"/>
            <w:shd w:val="clear" w:color="auto" w:fill="FFFFFF" w:themeFill="background1"/>
            <w:hideMark/>
          </w:tcPr>
          <w:p w14:paraId="62D1AE03" w14:textId="77777777"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 xml:space="preserve">Jansa Oil </w:t>
            </w:r>
          </w:p>
        </w:tc>
        <w:tc>
          <w:tcPr>
            <w:tcW w:w="0" w:type="auto"/>
            <w:shd w:val="clear" w:color="auto" w:fill="FFFFFF" w:themeFill="background1"/>
            <w:hideMark/>
          </w:tcPr>
          <w:p w14:paraId="210D8B40" w14:textId="77777777"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03CA3">
              <w:rPr>
                <w:rFonts w:ascii="Arial" w:hAnsi="Arial" w:cs="Arial"/>
              </w:rPr>
              <w:t>Omillo</w:t>
            </w:r>
            <w:proofErr w:type="spellEnd"/>
            <w:r w:rsidRPr="00003CA3">
              <w:rPr>
                <w:rFonts w:ascii="Arial" w:hAnsi="Arial" w:cs="Arial"/>
              </w:rPr>
              <w:t xml:space="preserve"> Oil </w:t>
            </w:r>
          </w:p>
        </w:tc>
        <w:tc>
          <w:tcPr>
            <w:tcW w:w="4631" w:type="dxa"/>
            <w:shd w:val="clear" w:color="auto" w:fill="FFFFFF" w:themeFill="background1"/>
            <w:hideMark/>
          </w:tcPr>
          <w:p w14:paraId="1FA3C7C8" w14:textId="77777777"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Functional Group Assignment</w:t>
            </w:r>
          </w:p>
        </w:tc>
      </w:tr>
      <w:tr w:rsidR="00A755E8" w:rsidRPr="00003CA3" w14:paraId="5C3F5764" w14:textId="77777777"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FB80C2"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3473.9 – 3011.7</w:t>
            </w:r>
          </w:p>
        </w:tc>
        <w:tc>
          <w:tcPr>
            <w:tcW w:w="0" w:type="auto"/>
            <w:shd w:val="clear" w:color="auto" w:fill="FFFFFF" w:themeFill="background1"/>
            <w:hideMark/>
          </w:tcPr>
          <w:p w14:paraId="108756F7"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3011.7</w:t>
            </w:r>
          </w:p>
        </w:tc>
        <w:tc>
          <w:tcPr>
            <w:tcW w:w="0" w:type="auto"/>
            <w:shd w:val="clear" w:color="auto" w:fill="FFFFFF" w:themeFill="background1"/>
            <w:hideMark/>
          </w:tcPr>
          <w:p w14:paraId="331FF5F5"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3473.9</w:t>
            </w:r>
          </w:p>
        </w:tc>
        <w:tc>
          <w:tcPr>
            <w:tcW w:w="4631" w:type="dxa"/>
            <w:shd w:val="clear" w:color="auto" w:fill="FFFFFF" w:themeFill="background1"/>
            <w:hideMark/>
          </w:tcPr>
          <w:p w14:paraId="6C2B82A1"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O–H stretching vibration</w:t>
            </w:r>
          </w:p>
        </w:tc>
      </w:tr>
      <w:tr w:rsidR="00A755E8" w:rsidRPr="00003CA3" w14:paraId="74F83E5A" w14:textId="77777777" w:rsidTr="00204A14">
        <w:trPr>
          <w:trHeight w:hRule="exac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5088FBE"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2922.0 – 2855.1</w:t>
            </w:r>
          </w:p>
        </w:tc>
        <w:tc>
          <w:tcPr>
            <w:tcW w:w="0" w:type="auto"/>
            <w:shd w:val="clear" w:color="auto" w:fill="FFFFFF" w:themeFill="background1"/>
            <w:hideMark/>
          </w:tcPr>
          <w:p w14:paraId="347F1B87"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2922.0, 2855.1</w:t>
            </w:r>
          </w:p>
        </w:tc>
        <w:tc>
          <w:tcPr>
            <w:tcW w:w="0" w:type="auto"/>
            <w:shd w:val="clear" w:color="auto" w:fill="FFFFFF" w:themeFill="background1"/>
            <w:hideMark/>
          </w:tcPr>
          <w:p w14:paraId="0B4FEA08"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2922.2, 2855.1</w:t>
            </w:r>
          </w:p>
        </w:tc>
        <w:tc>
          <w:tcPr>
            <w:tcW w:w="4631" w:type="dxa"/>
            <w:shd w:val="clear" w:color="auto" w:fill="FFFFFF" w:themeFill="background1"/>
            <w:hideMark/>
          </w:tcPr>
          <w:p w14:paraId="13D1DC2C"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Asymmetric and symmetric C–H stretching</w:t>
            </w:r>
          </w:p>
        </w:tc>
      </w:tr>
      <w:tr w:rsidR="00A755E8" w:rsidRPr="00003CA3" w14:paraId="11B50B17" w14:textId="77777777"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7CEFA3"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1744.4</w:t>
            </w:r>
          </w:p>
        </w:tc>
        <w:tc>
          <w:tcPr>
            <w:tcW w:w="0" w:type="auto"/>
            <w:shd w:val="clear" w:color="auto" w:fill="FFFFFF" w:themeFill="background1"/>
            <w:hideMark/>
          </w:tcPr>
          <w:p w14:paraId="3E02449D"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0" w:type="auto"/>
            <w:shd w:val="clear" w:color="auto" w:fill="FFFFFF" w:themeFill="background1"/>
            <w:hideMark/>
          </w:tcPr>
          <w:p w14:paraId="780F135F"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4631" w:type="dxa"/>
            <w:shd w:val="clear" w:color="auto" w:fill="FFFFFF" w:themeFill="background1"/>
            <w:hideMark/>
          </w:tcPr>
          <w:p w14:paraId="756729A1"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tc>
      </w:tr>
      <w:tr w:rsidR="00A755E8" w:rsidRPr="00003CA3" w14:paraId="64D1DE80" w14:textId="77777777" w:rsidTr="00204A14">
        <w:trPr>
          <w:trHeight w:hRule="exact" w:val="59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771FBC"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1463.8 – 1376.1</w:t>
            </w:r>
          </w:p>
        </w:tc>
        <w:tc>
          <w:tcPr>
            <w:tcW w:w="0" w:type="auto"/>
            <w:shd w:val="clear" w:color="auto" w:fill="FFFFFF" w:themeFill="background1"/>
            <w:hideMark/>
          </w:tcPr>
          <w:p w14:paraId="1A0959D9"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1463.8, 1376.1</w:t>
            </w:r>
          </w:p>
        </w:tc>
        <w:tc>
          <w:tcPr>
            <w:tcW w:w="0" w:type="auto"/>
            <w:shd w:val="clear" w:color="auto" w:fill="FFFFFF" w:themeFill="background1"/>
            <w:hideMark/>
          </w:tcPr>
          <w:p w14:paraId="73C8988B"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1461.1</w:t>
            </w:r>
          </w:p>
        </w:tc>
        <w:tc>
          <w:tcPr>
            <w:tcW w:w="4631" w:type="dxa"/>
            <w:shd w:val="clear" w:color="auto" w:fill="FFFFFF" w:themeFill="background1"/>
            <w:hideMark/>
          </w:tcPr>
          <w:p w14:paraId="71910DF8"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bending (scissoring/deformation)</w:t>
            </w:r>
          </w:p>
        </w:tc>
      </w:tr>
      <w:tr w:rsidR="00A755E8" w:rsidRPr="00003CA3" w14:paraId="61B5E873" w14:textId="77777777" w:rsidTr="00204A1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51B4A2"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1237.8 – 1160.2</w:t>
            </w:r>
          </w:p>
        </w:tc>
        <w:tc>
          <w:tcPr>
            <w:tcW w:w="0" w:type="auto"/>
            <w:shd w:val="clear" w:color="auto" w:fill="FFFFFF" w:themeFill="background1"/>
            <w:hideMark/>
          </w:tcPr>
          <w:p w14:paraId="738B8669" w14:textId="77777777"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1237.8, 1160.2</w:t>
            </w:r>
          </w:p>
          <w:p w14:paraId="4AB068FF"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shd w:val="clear" w:color="auto" w:fill="FFFFFF" w:themeFill="background1"/>
            <w:hideMark/>
          </w:tcPr>
          <w:p w14:paraId="6CB8EC67"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1155.5</w:t>
            </w:r>
          </w:p>
        </w:tc>
        <w:tc>
          <w:tcPr>
            <w:tcW w:w="4631" w:type="dxa"/>
            <w:shd w:val="clear" w:color="auto" w:fill="FFFFFF" w:themeFill="background1"/>
            <w:hideMark/>
          </w:tcPr>
          <w:p w14:paraId="0D522F98" w14:textId="77777777"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p w14:paraId="24F89D95" w14:textId="77777777"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21BEB"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55E8" w:rsidRPr="00003CA3" w14:paraId="20A9C614" w14:textId="77777777" w:rsidTr="00204A14">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AA37B24"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1115.2 – 991.5</w:t>
            </w:r>
          </w:p>
        </w:tc>
        <w:tc>
          <w:tcPr>
            <w:tcW w:w="0" w:type="auto"/>
            <w:shd w:val="clear" w:color="auto" w:fill="FFFFFF" w:themeFill="background1"/>
            <w:hideMark/>
          </w:tcPr>
          <w:p w14:paraId="0CB7D51F"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1115.2, 991.5</w:t>
            </w:r>
          </w:p>
        </w:tc>
        <w:tc>
          <w:tcPr>
            <w:tcW w:w="0" w:type="auto"/>
            <w:shd w:val="clear" w:color="auto" w:fill="FFFFFF" w:themeFill="background1"/>
            <w:hideMark/>
          </w:tcPr>
          <w:p w14:paraId="0377ACDB"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1110.7</w:t>
            </w:r>
          </w:p>
        </w:tc>
        <w:tc>
          <w:tcPr>
            <w:tcW w:w="4631" w:type="dxa"/>
            <w:shd w:val="clear" w:color="auto" w:fill="FFFFFF" w:themeFill="background1"/>
            <w:hideMark/>
          </w:tcPr>
          <w:p w14:paraId="212EEF94"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C–O–C stretching / C–C skeletal vibration</w:t>
            </w:r>
          </w:p>
        </w:tc>
      </w:tr>
      <w:tr w:rsidR="00A755E8" w:rsidRPr="00003CA3" w14:paraId="4A114DE1" w14:textId="77777777"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20A16B"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872.2 – 720.1</w:t>
            </w:r>
          </w:p>
        </w:tc>
        <w:tc>
          <w:tcPr>
            <w:tcW w:w="0" w:type="auto"/>
            <w:shd w:val="clear" w:color="auto" w:fill="FFFFFF" w:themeFill="background1"/>
            <w:hideMark/>
          </w:tcPr>
          <w:p w14:paraId="7ADD4987"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0" w:type="auto"/>
            <w:shd w:val="clear" w:color="auto" w:fill="FFFFFF" w:themeFill="background1"/>
            <w:hideMark/>
          </w:tcPr>
          <w:p w14:paraId="165AC113"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4631" w:type="dxa"/>
            <w:shd w:val="clear" w:color="auto" w:fill="FFFFFF" w:themeFill="background1"/>
            <w:hideMark/>
          </w:tcPr>
          <w:p w14:paraId="32ADA149" w14:textId="77777777"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=C–H out-of-plane bending</w:t>
            </w:r>
          </w:p>
        </w:tc>
      </w:tr>
      <w:tr w:rsidR="00A755E8" w:rsidRPr="00003CA3" w14:paraId="170B520A" w14:textId="77777777" w:rsidTr="00204A14">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E57AD8" w14:textId="77777777"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601.1 – 500</w:t>
            </w:r>
          </w:p>
        </w:tc>
        <w:tc>
          <w:tcPr>
            <w:tcW w:w="0" w:type="auto"/>
            <w:shd w:val="clear" w:color="auto" w:fill="FFFFFF" w:themeFill="background1"/>
            <w:hideMark/>
          </w:tcPr>
          <w:p w14:paraId="42A67C99"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601.1 (weak)</w:t>
            </w:r>
          </w:p>
        </w:tc>
        <w:tc>
          <w:tcPr>
            <w:tcW w:w="0" w:type="auto"/>
            <w:shd w:val="clear" w:color="auto" w:fill="FFFFFF" w:themeFill="background1"/>
            <w:hideMark/>
          </w:tcPr>
          <w:p w14:paraId="0806C20B"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w:t>
            </w:r>
          </w:p>
        </w:tc>
        <w:tc>
          <w:tcPr>
            <w:tcW w:w="4631" w:type="dxa"/>
            <w:shd w:val="clear" w:color="auto" w:fill="FFFFFF" w:themeFill="background1"/>
            <w:hideMark/>
          </w:tcPr>
          <w:p w14:paraId="064EC5EA" w14:textId="77777777"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rocking or fingerprint region</w:t>
            </w:r>
          </w:p>
        </w:tc>
      </w:tr>
    </w:tbl>
    <w:p w14:paraId="28570DAB" w14:textId="77777777" w:rsidR="00A755E8" w:rsidRPr="00370D41" w:rsidRDefault="00A755E8" w:rsidP="00A755E8">
      <w:pPr>
        <w:jc w:val="both"/>
        <w:rPr>
          <w:rFonts w:ascii="Arial" w:hAnsi="Arial" w:cs="Arial"/>
          <w:b/>
          <w:bCs/>
          <w:color w:val="000000" w:themeColor="text1"/>
          <w:sz w:val="24"/>
          <w:szCs w:val="24"/>
        </w:rPr>
      </w:pPr>
    </w:p>
    <w:p w14:paraId="2EB43044" w14:textId="77777777" w:rsidR="00A755E8" w:rsidRPr="00003CA3" w:rsidRDefault="00A755E8" w:rsidP="00A755E8">
      <w:pPr>
        <w:jc w:val="both"/>
        <w:rPr>
          <w:rFonts w:ascii="Arial" w:hAnsi="Arial" w:cs="Arial"/>
          <w:b/>
          <w:bCs/>
          <w:color w:val="000000" w:themeColor="text1"/>
          <w:sz w:val="22"/>
          <w:szCs w:val="22"/>
        </w:rPr>
      </w:pPr>
      <w:commentRangeStart w:id="5"/>
      <w:r w:rsidRPr="00003CA3">
        <w:rPr>
          <w:rFonts w:ascii="Arial" w:hAnsi="Arial" w:cs="Arial"/>
          <w:b/>
          <w:bCs/>
          <w:color w:val="000000" w:themeColor="text1"/>
          <w:sz w:val="22"/>
          <w:szCs w:val="22"/>
        </w:rPr>
        <w:t>3.4 GC–MS Analysis</w:t>
      </w:r>
      <w:commentRangeEnd w:id="5"/>
      <w:r w:rsidR="00187249">
        <w:rPr>
          <w:rStyle w:val="CommentReference"/>
          <w:rFonts w:ascii="Times New Roman" w:hAnsi="Times New Roman"/>
          <w:lang w:val="nb-NO" w:eastAsia="nb-NO"/>
        </w:rPr>
        <w:commentReference w:id="5"/>
      </w:r>
    </w:p>
    <w:p w14:paraId="51AC5DB2"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Jansa seed oil reveals a rich and varied chemical profile, showcasing a blend of fatty acid derivatives, hydrocarbons, oxygenated compounds, and nitrogen-containing heterocycles (Table 3). Eighteen major peaks were identified, with oleic acid (8.77%), 9-octadecenoic acid (Z)-, 2,3-dihydroxypropyl ester (9.48%), and 2,3-dihydroxypropyl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(8.93%) standing out as the most abundant. These compounds are typical of mono-unsaturated fatty acids and their glycerol esters—key ingredients in vegetable oils commonly used for biodiesel. Their presence suggests that Jansa oil offers desirable traits like strong lubricity, high energy content, and decent oxidative stability.</w:t>
      </w:r>
    </w:p>
    <w:p w14:paraId="5C9349F5"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smaller amounts, compounds like hexadecane (1.91%), 1-cyclohexylnonene (0.33%), and 5-octen-2-one, 3,6-dimethyl- (0.21%) point to the presence of hydrocarbons and oxygenated alkenones, likely formed through lipid breakdown or oxidation. Cyclobutanone oxime (2.99%) </w:t>
      </w:r>
      <w:r w:rsidRPr="00003CA3">
        <w:rPr>
          <w:rFonts w:ascii="Arial" w:hAnsi="Arial" w:cs="Arial"/>
          <w:color w:val="000000" w:themeColor="text1"/>
        </w:rPr>
        <w:lastRenderedPageBreak/>
        <w:t>and succinic acid esters (0.72%) further hint at intermediate oxygenated products that may arise during seed lipid metabolism.</w:t>
      </w:r>
    </w:p>
    <w:p w14:paraId="1989231C"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What’s particularly intriguing is the detection of several bioactive and heterocyclic compounds. These include thymol (TMS derivative, 13.23%), a 4H-1,2,4-triazole-3,5-diamine derivative (10.63%), and [1,2,4] triazolo[1,5-a] pyrimidine carboxylic acid ester (8.86%)—all known for their antioxidant and antimicrobial properties. The relatively high levels of methyl </w:t>
      </w:r>
      <w:proofErr w:type="spellStart"/>
      <w:r w:rsidRPr="00003CA3">
        <w:rPr>
          <w:rFonts w:ascii="Arial" w:hAnsi="Arial" w:cs="Arial"/>
          <w:color w:val="000000" w:themeColor="text1"/>
        </w:rPr>
        <w:t>pentadecyl</w:t>
      </w:r>
      <w:proofErr w:type="spellEnd"/>
      <w:r w:rsidRPr="00003CA3">
        <w:rPr>
          <w:rFonts w:ascii="Arial" w:hAnsi="Arial" w:cs="Arial"/>
          <w:color w:val="000000" w:themeColor="text1"/>
        </w:rPr>
        <w:t xml:space="preserve"> ether (12.45%) and </w:t>
      </w:r>
      <w:proofErr w:type="spellStart"/>
      <w:r w:rsidRPr="00003CA3">
        <w:rPr>
          <w:rFonts w:ascii="Arial" w:hAnsi="Arial" w:cs="Arial"/>
          <w:color w:val="000000" w:themeColor="text1"/>
        </w:rPr>
        <w:t>cyclotrisiloxane</w:t>
      </w:r>
      <w:proofErr w:type="spellEnd"/>
      <w:r w:rsidRPr="00003CA3">
        <w:rPr>
          <w:rFonts w:ascii="Arial" w:hAnsi="Arial" w:cs="Arial"/>
          <w:color w:val="000000" w:themeColor="text1"/>
        </w:rPr>
        <w:t>, hexamethyl- (15.74%) suggest the oil contains long-chain ether and siloxane compounds, which may boost its resistance to oxidation and improve thermal stability.</w:t>
      </w:r>
    </w:p>
    <w:p w14:paraId="3D149A40"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 (</w:t>
      </w:r>
      <w:commentRangeStart w:id="6"/>
      <w:r w:rsidRPr="00003CA3">
        <w:rPr>
          <w:rFonts w:ascii="Arial" w:hAnsi="Arial" w:cs="Arial"/>
          <w:color w:val="000000" w:themeColor="text1"/>
        </w:rPr>
        <w:t>Figure 3</w:t>
      </w:r>
      <w:commentRangeEnd w:id="6"/>
      <w:r w:rsidR="00187249">
        <w:rPr>
          <w:rStyle w:val="CommentReference"/>
          <w:rFonts w:ascii="Times New Roman" w:hAnsi="Times New Roman"/>
          <w:lang w:val="nb-NO" w:eastAsia="nb-NO"/>
        </w:rPr>
        <w:commentReference w:id="6"/>
      </w:r>
      <w:r w:rsidRPr="00003CA3">
        <w:rPr>
          <w:rFonts w:ascii="Arial" w:hAnsi="Arial" w:cs="Arial"/>
          <w:color w:val="000000" w:themeColor="text1"/>
        </w:rPr>
        <w:t>) paints a vivid picture of its chemical makeup, revealing a rich mix of fatty acid methyl esters (FAMEs), hydrocarbons, esters, and oxygenated compounds (Table 4). In total, 27 major components were identified, spanning a broad spectrum of saturated, monounsaturated, and polyunsaturated fatty acids, along with a few aromatic and heterocyclic compounds. These compounds appeared at retention times ranging from 8.59 to 37.75 minutes, with relative abundance values between 0.12% and 22.76%.</w:t>
      </w:r>
    </w:p>
    <w:p w14:paraId="5A6E621D"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Among the standout molecules were 2-Decenal (E) and Heptanoic acid methyl ester, both detected early in the chromatogram and making up over 22% each of the total composition. Their presence points to short- and medium-chain fatty acid derivatives, which are typically more volatile. As the retention times increased, long-chain fatty acid methyl esters began to dominate—particularly palmitic acid (RA = 50.21%), oleic acid (RA = 59.14%), and stearic acid (RA = 60.42%). These are hallmark components of lipid-rich feedstocks, reinforcing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potential for industrial use.</w:t>
      </w:r>
    </w:p>
    <w:p w14:paraId="57B6DCB5"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Oleic acid and its isomers were especially prominent, showing up at multiple retention times and collectively accounting for more than 16% of the total peak area. This high concentration of monounsaturated fatty acids is a promising sign for biodiesel production, as it contributes to better oxidative stability and fuel fluidity.</w:t>
      </w:r>
    </w:p>
    <w:p w14:paraId="1D3DF45B"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Other noteworthy compounds—like cis-11-eicosenoic acid, 13-octadecenoic acid methyl ester, and cis-9-tetradecenoic acid heptyl ester—add to the oil’s lubricating properties and thermal resilience. The presence of esters such as dodecanoic acid, 1-(hydroxymethyl)-1,2-ethanediyl ester (RA = 13.74%) and fumaric acid, 2-heptyl tridecyl ester further highlights the oil’s reactivity, making it a strong candidate for soap and surfactant production.</w:t>
      </w:r>
    </w:p>
    <w:p w14:paraId="6CD41069"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A few minor compounds, including 2-ethylacridine, 1-cyclohexylnonene, and cyclohexene 1-nitro, suggest some degree of oxidation or degradation—common in natural seed oils during processing.</w:t>
      </w:r>
    </w:p>
    <w:p w14:paraId="1E8685AE"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Taken together, the mix of saturated (like palmitic and stearic acids) and unsaturated fatty acids (such as oleic and </w:t>
      </w:r>
      <w:proofErr w:type="spellStart"/>
      <w:r w:rsidRPr="00003CA3">
        <w:rPr>
          <w:rFonts w:ascii="Arial" w:hAnsi="Arial" w:cs="Arial"/>
          <w:color w:val="000000" w:themeColor="text1"/>
        </w:rPr>
        <w:t>eicosenoic</w:t>
      </w:r>
      <w:proofErr w:type="spellEnd"/>
      <w:r w:rsidRPr="00003CA3">
        <w:rPr>
          <w:rFonts w:ascii="Arial" w:hAnsi="Arial" w:cs="Arial"/>
          <w:color w:val="000000" w:themeColor="text1"/>
        </w:rPr>
        <w:t xml:space="preserve"> acids) gives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 balanced profile. This balance translates to moderate viscosity, reliable ignition quality, and improved cold-flow </w:t>
      </w:r>
      <w:proofErr w:type="spellStart"/>
      <w:r w:rsidRPr="00003CA3">
        <w:rPr>
          <w:rFonts w:ascii="Arial" w:hAnsi="Arial" w:cs="Arial"/>
          <w:color w:val="000000" w:themeColor="text1"/>
        </w:rPr>
        <w:t>behaviour</w:t>
      </w:r>
      <w:proofErr w:type="spellEnd"/>
      <w:r w:rsidRPr="00003CA3">
        <w:rPr>
          <w:rFonts w:ascii="Arial" w:hAnsi="Arial" w:cs="Arial"/>
          <w:color w:val="000000" w:themeColor="text1"/>
        </w:rPr>
        <w:t>—key traits for biodiesel and lubricant applications. The detection of high molecular weight esters and oxygenated compounds, including nitrogen-containing species like [1,2,4] Triazolo[1,5-a] pyrimidine-6-carboxylic acid ethyl ester, hints at complex interactions within the seed’s biochemical matrix.</w:t>
      </w:r>
    </w:p>
    <w:p w14:paraId="29C32FAA"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Jansa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reveals that both share key chemical constituents—most notably oleic acid and its glycerol esters—highlighting their triglyceride-rich nature and suitability for biodiesel production. However, Jansa oil stands out for its higher concentration of unsaturated esters, including oleic and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derivatives. This composition contributes to its increased viscosity and higher refractive index; traits often associated with enhanced fuel performance.</w:t>
      </w:r>
    </w:p>
    <w:p w14:paraId="4008633A"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a greater proportion of saturated fatty acids, such as palmitic and stearic acids. These compounds lend the oil greater oxidative stability and lower viscosity, making it well-suited for applications where durability under heat and storage conditions is essential.</w:t>
      </w:r>
    </w:p>
    <w:p w14:paraId="1CD37313"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lastRenderedPageBreak/>
        <w:t xml:space="preserve">Both oils also feature phenolic compounds like thymol and heterocyclic structures such as triazole and </w:t>
      </w:r>
      <w:proofErr w:type="spellStart"/>
      <w:r w:rsidRPr="00003CA3">
        <w:rPr>
          <w:rFonts w:ascii="Arial" w:hAnsi="Arial" w:cs="Arial"/>
          <w:color w:val="000000" w:themeColor="text1"/>
        </w:rPr>
        <w:t>triazolopyrimidine</w:t>
      </w:r>
      <w:proofErr w:type="spellEnd"/>
      <w:r w:rsidRPr="00003CA3">
        <w:rPr>
          <w:rFonts w:ascii="Arial" w:hAnsi="Arial" w:cs="Arial"/>
          <w:color w:val="000000" w:themeColor="text1"/>
        </w:rPr>
        <w:t>. These bioactive molecules suggest inherent antioxidant properties, which can help extend the shelf life of biodiesel derived from these oils.</w:t>
      </w:r>
    </w:p>
    <w:p w14:paraId="76F272EB" w14:textId="77777777"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summary, Jansa oil—with its richness in unsaturated esters—is better positioned for producing high-quality biodiesel,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saturated profile makes it ideal for uses that demand oxidative resilience and thermal stability.</w:t>
      </w:r>
    </w:p>
    <w:p w14:paraId="4E2FAB77" w14:textId="77777777" w:rsidR="00A755E8" w:rsidRPr="00370D41" w:rsidRDefault="00A755E8" w:rsidP="00A755E8">
      <w:pPr>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1C032011" wp14:editId="3EF1FA2D">
            <wp:extent cx="5485595" cy="2623461"/>
            <wp:effectExtent l="0" t="0" r="1270" b="5715"/>
            <wp:docPr id="1632845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a:extLst>
                        <a:ext uri="{28A0092B-C50C-407E-A947-70E740481C1C}">
                          <a14:useLocalDpi xmlns:a14="http://schemas.microsoft.com/office/drawing/2010/main" val="0"/>
                        </a:ext>
                      </a:extLst>
                    </a:blip>
                    <a:srcRect b="50062"/>
                    <a:stretch>
                      <a:fillRect/>
                    </a:stretch>
                  </pic:blipFill>
                  <pic:spPr bwMode="auto">
                    <a:xfrm>
                      <a:off x="0" y="0"/>
                      <a:ext cx="5490444" cy="2625780"/>
                    </a:xfrm>
                    <a:prstGeom prst="rect">
                      <a:avLst/>
                    </a:prstGeom>
                    <a:noFill/>
                    <a:ln>
                      <a:noFill/>
                    </a:ln>
                    <a:extLst>
                      <a:ext uri="{53640926-AAD7-44D8-BBD7-CCE9431645EC}">
                        <a14:shadowObscured xmlns:a14="http://schemas.microsoft.com/office/drawing/2010/main"/>
                      </a:ext>
                    </a:extLst>
                  </pic:spPr>
                </pic:pic>
              </a:graphicData>
            </a:graphic>
          </wp:inline>
        </w:drawing>
      </w:r>
    </w:p>
    <w:p w14:paraId="15D1C515" w14:textId="77777777"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Fig 2a: Gas chromatogram of Jansa seed oil</w:t>
      </w:r>
    </w:p>
    <w:p w14:paraId="2B8269BB" w14:textId="77777777" w:rsidR="00A755E8" w:rsidRPr="00370D41" w:rsidRDefault="00A755E8" w:rsidP="00A755E8">
      <w:pPr>
        <w:jc w:val="both"/>
        <w:rPr>
          <w:rFonts w:ascii="Arial" w:hAnsi="Arial" w:cs="Arial"/>
          <w:i/>
          <w:iCs/>
          <w:color w:val="000000" w:themeColor="text1"/>
          <w:sz w:val="24"/>
          <w:szCs w:val="24"/>
        </w:rPr>
      </w:pPr>
      <w:r w:rsidRPr="00370D41">
        <w:rPr>
          <w:rFonts w:ascii="Arial" w:hAnsi="Arial" w:cs="Arial"/>
          <w:i/>
          <w:iCs/>
          <w:noProof/>
          <w:color w:val="000000" w:themeColor="text1"/>
          <w:sz w:val="24"/>
          <w:szCs w:val="24"/>
        </w:rPr>
        <w:drawing>
          <wp:inline distT="0" distB="0" distL="0" distR="0" wp14:anchorId="64176D8E" wp14:editId="71D2DF49">
            <wp:extent cx="5486025" cy="2782736"/>
            <wp:effectExtent l="0" t="0" r="635" b="0"/>
            <wp:docPr id="23956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b="50182"/>
                    <a:stretch>
                      <a:fillRect/>
                    </a:stretch>
                  </pic:blipFill>
                  <pic:spPr bwMode="auto">
                    <a:xfrm>
                      <a:off x="0" y="0"/>
                      <a:ext cx="5488192" cy="2783835"/>
                    </a:xfrm>
                    <a:prstGeom prst="rect">
                      <a:avLst/>
                    </a:prstGeom>
                    <a:noFill/>
                    <a:ln>
                      <a:noFill/>
                    </a:ln>
                    <a:extLst>
                      <a:ext uri="{53640926-AAD7-44D8-BBD7-CCE9431645EC}">
                        <a14:shadowObscured xmlns:a14="http://schemas.microsoft.com/office/drawing/2010/main"/>
                      </a:ext>
                    </a:extLst>
                  </pic:spPr>
                </pic:pic>
              </a:graphicData>
            </a:graphic>
          </wp:inline>
        </w:drawing>
      </w:r>
      <w:r w:rsidRPr="00370D41">
        <w:rPr>
          <w:rFonts w:ascii="Arial" w:hAnsi="Arial" w:cs="Arial"/>
          <w:i/>
          <w:iCs/>
          <w:color w:val="000000" w:themeColor="text1"/>
          <w:sz w:val="24"/>
          <w:szCs w:val="24"/>
        </w:rPr>
        <w:t xml:space="preserve"> </w:t>
      </w:r>
    </w:p>
    <w:p w14:paraId="451F0021" w14:textId="77777777"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Fig 2b: Gas chromatogram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p w14:paraId="5154B99E" w14:textId="77777777" w:rsidR="00A755E8" w:rsidRPr="00370D41" w:rsidRDefault="00A755E8" w:rsidP="00A755E8">
      <w:pPr>
        <w:jc w:val="both"/>
        <w:rPr>
          <w:rFonts w:ascii="Arial" w:hAnsi="Arial" w:cs="Arial"/>
          <w:b/>
          <w:bCs/>
          <w:color w:val="000000" w:themeColor="text1"/>
          <w:sz w:val="24"/>
          <w:szCs w:val="24"/>
        </w:rPr>
      </w:pPr>
    </w:p>
    <w:p w14:paraId="3A61D51D" w14:textId="77777777" w:rsidR="00A755E8" w:rsidRPr="00370D41" w:rsidRDefault="00A755E8" w:rsidP="00A755E8">
      <w:pPr>
        <w:jc w:val="both"/>
        <w:rPr>
          <w:rFonts w:ascii="Arial" w:hAnsi="Arial" w:cs="Arial"/>
          <w:b/>
          <w:bCs/>
          <w:color w:val="000000" w:themeColor="text1"/>
          <w:sz w:val="24"/>
          <w:szCs w:val="24"/>
        </w:rPr>
      </w:pPr>
    </w:p>
    <w:p w14:paraId="563996E5" w14:textId="77777777" w:rsidR="00A755E8" w:rsidRDefault="00A755E8" w:rsidP="00A755E8">
      <w:pPr>
        <w:jc w:val="both"/>
        <w:rPr>
          <w:rFonts w:ascii="Arial" w:hAnsi="Arial" w:cs="Arial"/>
          <w:b/>
          <w:bCs/>
          <w:color w:val="000000" w:themeColor="text1"/>
          <w:sz w:val="24"/>
          <w:szCs w:val="24"/>
        </w:rPr>
      </w:pPr>
    </w:p>
    <w:p w14:paraId="7A5EB577" w14:textId="77777777" w:rsidR="00250991" w:rsidRDefault="00250991" w:rsidP="00A755E8">
      <w:pPr>
        <w:jc w:val="both"/>
        <w:rPr>
          <w:rFonts w:ascii="Arial" w:hAnsi="Arial" w:cs="Arial"/>
          <w:b/>
          <w:bCs/>
          <w:color w:val="000000" w:themeColor="text1"/>
          <w:sz w:val="24"/>
          <w:szCs w:val="24"/>
        </w:rPr>
      </w:pPr>
    </w:p>
    <w:p w14:paraId="1E64941D" w14:textId="77777777" w:rsidR="00250991" w:rsidRDefault="00250991" w:rsidP="00A755E8">
      <w:pPr>
        <w:jc w:val="both"/>
        <w:rPr>
          <w:rFonts w:ascii="Arial" w:hAnsi="Arial" w:cs="Arial"/>
          <w:b/>
          <w:bCs/>
          <w:color w:val="000000" w:themeColor="text1"/>
          <w:sz w:val="24"/>
          <w:szCs w:val="24"/>
        </w:rPr>
      </w:pPr>
    </w:p>
    <w:p w14:paraId="1392D602" w14:textId="77777777" w:rsidR="00250991" w:rsidRPr="00370D41" w:rsidRDefault="00250991" w:rsidP="00A755E8">
      <w:pPr>
        <w:jc w:val="both"/>
        <w:rPr>
          <w:rFonts w:ascii="Arial" w:hAnsi="Arial" w:cs="Arial"/>
          <w:b/>
          <w:bCs/>
          <w:color w:val="000000" w:themeColor="text1"/>
          <w:sz w:val="24"/>
          <w:szCs w:val="24"/>
        </w:rPr>
      </w:pPr>
    </w:p>
    <w:p w14:paraId="0328CA6B" w14:textId="77777777" w:rsidR="00A755E8" w:rsidRPr="00370D41" w:rsidRDefault="00A755E8" w:rsidP="00A755E8">
      <w:pPr>
        <w:jc w:val="both"/>
        <w:rPr>
          <w:rFonts w:ascii="Arial" w:hAnsi="Arial" w:cs="Arial"/>
          <w:b/>
          <w:bCs/>
          <w:color w:val="000000" w:themeColor="text1"/>
          <w:sz w:val="24"/>
          <w:szCs w:val="24"/>
        </w:rPr>
      </w:pPr>
      <w:r w:rsidRPr="00370D41">
        <w:rPr>
          <w:rFonts w:ascii="Arial" w:hAnsi="Arial" w:cs="Arial"/>
          <w:b/>
          <w:bCs/>
          <w:color w:val="000000" w:themeColor="text1"/>
          <w:sz w:val="24"/>
          <w:szCs w:val="24"/>
        </w:rPr>
        <w:t xml:space="preserve">Table 3: GC–MS identified chemical composition of Jansa seed oil </w:t>
      </w:r>
    </w:p>
    <w:tbl>
      <w:tblPr>
        <w:tblStyle w:val="ListTable6Colorful"/>
        <w:tblW w:w="6771" w:type="dxa"/>
        <w:shd w:val="clear" w:color="auto" w:fill="FFFFFF" w:themeFill="background1"/>
        <w:tblLook w:val="04A0" w:firstRow="1" w:lastRow="0" w:firstColumn="1" w:lastColumn="0" w:noHBand="0" w:noVBand="1"/>
      </w:tblPr>
      <w:tblGrid>
        <w:gridCol w:w="683"/>
        <w:gridCol w:w="1150"/>
        <w:gridCol w:w="1007"/>
        <w:gridCol w:w="3931"/>
      </w:tblGrid>
      <w:tr w:rsidR="00A755E8" w:rsidRPr="00003CA3" w14:paraId="08A7D155" w14:textId="77777777" w:rsidTr="00204A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4EEA2D7B"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lastRenderedPageBreak/>
              <w:t>Peak</w:t>
            </w:r>
          </w:p>
        </w:tc>
        <w:tc>
          <w:tcPr>
            <w:tcW w:w="1150" w:type="dxa"/>
            <w:shd w:val="clear" w:color="auto" w:fill="FFFFFF" w:themeFill="background1"/>
            <w:noWrap/>
            <w:hideMark/>
          </w:tcPr>
          <w:p w14:paraId="08DFB3E3"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Retention Time</w:t>
            </w:r>
          </w:p>
        </w:tc>
        <w:tc>
          <w:tcPr>
            <w:tcW w:w="1007" w:type="dxa"/>
            <w:shd w:val="clear" w:color="auto" w:fill="FFFFFF" w:themeFill="background1"/>
            <w:noWrap/>
            <w:hideMark/>
          </w:tcPr>
          <w:p w14:paraId="0904BAAC"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eastAsia="Times New Roman" w:hAnsi="Arial" w:cs="Arial"/>
                <w:b w:val="0"/>
                <w:bCs w:val="0"/>
              </w:rPr>
              <w:t xml:space="preserve">Area </w:t>
            </w:r>
            <w:r w:rsidRPr="00003CA3">
              <w:rPr>
                <w:rFonts w:ascii="Arial" w:hAnsi="Arial" w:cs="Arial"/>
                <w:b w:val="0"/>
                <w:bCs w:val="0"/>
              </w:rPr>
              <w:t>%</w:t>
            </w:r>
          </w:p>
        </w:tc>
        <w:tc>
          <w:tcPr>
            <w:tcW w:w="3931" w:type="dxa"/>
            <w:shd w:val="clear" w:color="auto" w:fill="FFFFFF" w:themeFill="background1"/>
            <w:noWrap/>
            <w:hideMark/>
          </w:tcPr>
          <w:p w14:paraId="157A1C99"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Identified Compounds</w:t>
            </w:r>
          </w:p>
        </w:tc>
      </w:tr>
      <w:tr w:rsidR="00A755E8" w:rsidRPr="00003CA3" w14:paraId="6942B58E"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91662C0"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w:t>
            </w:r>
          </w:p>
        </w:tc>
        <w:tc>
          <w:tcPr>
            <w:tcW w:w="1150" w:type="dxa"/>
            <w:shd w:val="clear" w:color="auto" w:fill="FFFFFF" w:themeFill="background1"/>
            <w:noWrap/>
            <w:hideMark/>
          </w:tcPr>
          <w:p w14:paraId="5AD7346B"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9.758</w:t>
            </w:r>
          </w:p>
        </w:tc>
        <w:tc>
          <w:tcPr>
            <w:tcW w:w="1007" w:type="dxa"/>
            <w:shd w:val="clear" w:color="auto" w:fill="FFFFFF" w:themeFill="background1"/>
            <w:noWrap/>
            <w:hideMark/>
          </w:tcPr>
          <w:p w14:paraId="0D02D074"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0.194</w:t>
            </w:r>
          </w:p>
        </w:tc>
        <w:tc>
          <w:tcPr>
            <w:tcW w:w="3931" w:type="dxa"/>
            <w:shd w:val="clear" w:color="auto" w:fill="FFFFFF" w:themeFill="background1"/>
            <w:noWrap/>
            <w:hideMark/>
          </w:tcPr>
          <w:p w14:paraId="4003B4FA"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2,4-Nonadienal, (</w:t>
            </w:r>
            <w:proofErr w:type="gramStart"/>
            <w:r w:rsidRPr="00003CA3">
              <w:rPr>
                <w:rFonts w:ascii="Arial" w:eastAsia="Times New Roman" w:hAnsi="Arial" w:cs="Arial"/>
              </w:rPr>
              <w:t>E,E</w:t>
            </w:r>
            <w:proofErr w:type="gramEnd"/>
            <w:r w:rsidRPr="00003CA3">
              <w:rPr>
                <w:rFonts w:ascii="Arial" w:eastAsia="Times New Roman" w:hAnsi="Arial" w:cs="Arial"/>
              </w:rPr>
              <w:t>)-</w:t>
            </w:r>
          </w:p>
        </w:tc>
      </w:tr>
      <w:tr w:rsidR="00A755E8" w:rsidRPr="00003CA3" w14:paraId="65727469"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3F3C0784"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2</w:t>
            </w:r>
          </w:p>
        </w:tc>
        <w:tc>
          <w:tcPr>
            <w:tcW w:w="1150" w:type="dxa"/>
            <w:shd w:val="clear" w:color="auto" w:fill="FFFFFF" w:themeFill="background1"/>
            <w:noWrap/>
            <w:hideMark/>
          </w:tcPr>
          <w:p w14:paraId="7CF9214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12.3768</w:t>
            </w:r>
          </w:p>
        </w:tc>
        <w:tc>
          <w:tcPr>
            <w:tcW w:w="1007" w:type="dxa"/>
            <w:shd w:val="clear" w:color="auto" w:fill="FFFFFF" w:themeFill="background1"/>
            <w:noWrap/>
            <w:hideMark/>
          </w:tcPr>
          <w:p w14:paraId="7C7D8D5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0.1776</w:t>
            </w:r>
          </w:p>
        </w:tc>
        <w:tc>
          <w:tcPr>
            <w:tcW w:w="3931" w:type="dxa"/>
            <w:shd w:val="clear" w:color="auto" w:fill="FFFFFF" w:themeFill="background1"/>
            <w:noWrap/>
            <w:hideMark/>
          </w:tcPr>
          <w:p w14:paraId="77A3E418"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2-Cyclopenten-1-one, 3,4,4-trimethyl-</w:t>
            </w:r>
          </w:p>
        </w:tc>
      </w:tr>
      <w:tr w:rsidR="00A755E8" w:rsidRPr="00003CA3" w14:paraId="6FCFE948"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72E8DE8C"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3</w:t>
            </w:r>
          </w:p>
        </w:tc>
        <w:tc>
          <w:tcPr>
            <w:tcW w:w="1150" w:type="dxa"/>
            <w:shd w:val="clear" w:color="auto" w:fill="FFFFFF" w:themeFill="background1"/>
            <w:noWrap/>
            <w:hideMark/>
          </w:tcPr>
          <w:p w14:paraId="6AAE8B1B"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12.5472</w:t>
            </w:r>
          </w:p>
        </w:tc>
        <w:tc>
          <w:tcPr>
            <w:tcW w:w="1007" w:type="dxa"/>
            <w:shd w:val="clear" w:color="auto" w:fill="FFFFFF" w:themeFill="background1"/>
            <w:noWrap/>
            <w:hideMark/>
          </w:tcPr>
          <w:p w14:paraId="451B7A8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0.2137</w:t>
            </w:r>
          </w:p>
        </w:tc>
        <w:tc>
          <w:tcPr>
            <w:tcW w:w="3931" w:type="dxa"/>
            <w:shd w:val="clear" w:color="auto" w:fill="FFFFFF" w:themeFill="background1"/>
            <w:noWrap/>
            <w:hideMark/>
          </w:tcPr>
          <w:p w14:paraId="4A38603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5-Octen-2-one, 3,6-dimethyl-</w:t>
            </w:r>
          </w:p>
        </w:tc>
      </w:tr>
      <w:tr w:rsidR="00A755E8" w:rsidRPr="00003CA3" w14:paraId="001FE693"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16355E0E"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4</w:t>
            </w:r>
          </w:p>
        </w:tc>
        <w:tc>
          <w:tcPr>
            <w:tcW w:w="1150" w:type="dxa"/>
            <w:shd w:val="clear" w:color="auto" w:fill="FFFFFF" w:themeFill="background1"/>
            <w:noWrap/>
            <w:hideMark/>
          </w:tcPr>
          <w:p w14:paraId="1865EBF9"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13.0284</w:t>
            </w:r>
          </w:p>
        </w:tc>
        <w:tc>
          <w:tcPr>
            <w:tcW w:w="1007" w:type="dxa"/>
            <w:shd w:val="clear" w:color="auto" w:fill="FFFFFF" w:themeFill="background1"/>
            <w:noWrap/>
            <w:hideMark/>
          </w:tcPr>
          <w:p w14:paraId="191A5B5E"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2.9973</w:t>
            </w:r>
          </w:p>
        </w:tc>
        <w:tc>
          <w:tcPr>
            <w:tcW w:w="3931" w:type="dxa"/>
            <w:shd w:val="clear" w:color="auto" w:fill="FFFFFF" w:themeFill="background1"/>
            <w:noWrap/>
            <w:hideMark/>
          </w:tcPr>
          <w:p w14:paraId="232FE98F"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Cyclobutanone, oxime</w:t>
            </w:r>
          </w:p>
        </w:tc>
      </w:tr>
      <w:tr w:rsidR="00A755E8" w:rsidRPr="00003CA3" w14:paraId="63C23DC9"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62DD3DC9"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5</w:t>
            </w:r>
          </w:p>
        </w:tc>
        <w:tc>
          <w:tcPr>
            <w:tcW w:w="1150" w:type="dxa"/>
            <w:shd w:val="clear" w:color="auto" w:fill="FFFFFF" w:themeFill="background1"/>
            <w:noWrap/>
            <w:hideMark/>
          </w:tcPr>
          <w:p w14:paraId="5C98448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13.7019</w:t>
            </w:r>
          </w:p>
        </w:tc>
        <w:tc>
          <w:tcPr>
            <w:tcW w:w="1007" w:type="dxa"/>
            <w:shd w:val="clear" w:color="auto" w:fill="FFFFFF" w:themeFill="background1"/>
            <w:noWrap/>
            <w:hideMark/>
          </w:tcPr>
          <w:p w14:paraId="588AB91A"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1.9129</w:t>
            </w:r>
          </w:p>
        </w:tc>
        <w:tc>
          <w:tcPr>
            <w:tcW w:w="3931" w:type="dxa"/>
            <w:shd w:val="clear" w:color="auto" w:fill="FFFFFF" w:themeFill="background1"/>
            <w:noWrap/>
            <w:hideMark/>
          </w:tcPr>
          <w:p w14:paraId="5CEBF92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Hexadecane</w:t>
            </w:r>
          </w:p>
        </w:tc>
      </w:tr>
      <w:tr w:rsidR="00A755E8" w:rsidRPr="00003CA3" w14:paraId="4B8AFD6A"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DC92216"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6</w:t>
            </w:r>
          </w:p>
        </w:tc>
        <w:tc>
          <w:tcPr>
            <w:tcW w:w="1150" w:type="dxa"/>
            <w:shd w:val="clear" w:color="auto" w:fill="FFFFFF" w:themeFill="background1"/>
            <w:noWrap/>
            <w:hideMark/>
          </w:tcPr>
          <w:p w14:paraId="182D663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25.3468</w:t>
            </w:r>
          </w:p>
        </w:tc>
        <w:tc>
          <w:tcPr>
            <w:tcW w:w="1007" w:type="dxa"/>
            <w:shd w:val="clear" w:color="auto" w:fill="FFFFFF" w:themeFill="background1"/>
            <w:noWrap/>
            <w:hideMark/>
          </w:tcPr>
          <w:p w14:paraId="20B6CC48"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0.3349</w:t>
            </w:r>
          </w:p>
        </w:tc>
        <w:tc>
          <w:tcPr>
            <w:tcW w:w="3931" w:type="dxa"/>
            <w:shd w:val="clear" w:color="auto" w:fill="FFFFFF" w:themeFill="background1"/>
            <w:noWrap/>
            <w:hideMark/>
          </w:tcPr>
          <w:p w14:paraId="1FC7B582"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1-Cyclohexylnonene</w:t>
            </w:r>
          </w:p>
        </w:tc>
      </w:tr>
      <w:tr w:rsidR="00A755E8" w:rsidRPr="00003CA3" w14:paraId="3675E286"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E28A666"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7</w:t>
            </w:r>
          </w:p>
        </w:tc>
        <w:tc>
          <w:tcPr>
            <w:tcW w:w="1150" w:type="dxa"/>
            <w:shd w:val="clear" w:color="auto" w:fill="FFFFFF" w:themeFill="background1"/>
            <w:noWrap/>
            <w:hideMark/>
          </w:tcPr>
          <w:p w14:paraId="6884573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26.7302</w:t>
            </w:r>
          </w:p>
        </w:tc>
        <w:tc>
          <w:tcPr>
            <w:tcW w:w="1007" w:type="dxa"/>
            <w:shd w:val="clear" w:color="auto" w:fill="FFFFFF" w:themeFill="background1"/>
            <w:noWrap/>
            <w:hideMark/>
          </w:tcPr>
          <w:p w14:paraId="3811DF39"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8.7667</w:t>
            </w:r>
          </w:p>
        </w:tc>
        <w:tc>
          <w:tcPr>
            <w:tcW w:w="3931" w:type="dxa"/>
            <w:shd w:val="clear" w:color="auto" w:fill="FFFFFF" w:themeFill="background1"/>
            <w:noWrap/>
            <w:hideMark/>
          </w:tcPr>
          <w:p w14:paraId="20AD612E"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Oleic Acid</w:t>
            </w:r>
          </w:p>
        </w:tc>
      </w:tr>
      <w:tr w:rsidR="00A755E8" w:rsidRPr="00003CA3" w14:paraId="3EBC17CA"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63800D16"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8</w:t>
            </w:r>
          </w:p>
        </w:tc>
        <w:tc>
          <w:tcPr>
            <w:tcW w:w="1150" w:type="dxa"/>
            <w:shd w:val="clear" w:color="auto" w:fill="FFFFFF" w:themeFill="background1"/>
            <w:noWrap/>
            <w:hideMark/>
          </w:tcPr>
          <w:p w14:paraId="42830019"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29.0548</w:t>
            </w:r>
          </w:p>
        </w:tc>
        <w:tc>
          <w:tcPr>
            <w:tcW w:w="1007" w:type="dxa"/>
            <w:shd w:val="clear" w:color="auto" w:fill="FFFFFF" w:themeFill="background1"/>
            <w:noWrap/>
            <w:hideMark/>
          </w:tcPr>
          <w:p w14:paraId="36A7A9A2"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9.4847</w:t>
            </w:r>
          </w:p>
        </w:tc>
        <w:tc>
          <w:tcPr>
            <w:tcW w:w="3931" w:type="dxa"/>
            <w:shd w:val="clear" w:color="auto" w:fill="FFFFFF" w:themeFill="background1"/>
            <w:noWrap/>
            <w:hideMark/>
          </w:tcPr>
          <w:p w14:paraId="59236A91"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(Z)-, 2,3-dihydroxypropyl ester</w:t>
            </w:r>
          </w:p>
        </w:tc>
      </w:tr>
      <w:tr w:rsidR="00A755E8" w:rsidRPr="00003CA3" w14:paraId="32882E9E"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50E9756D"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9</w:t>
            </w:r>
          </w:p>
        </w:tc>
        <w:tc>
          <w:tcPr>
            <w:tcW w:w="1150" w:type="dxa"/>
            <w:shd w:val="clear" w:color="auto" w:fill="FFFFFF" w:themeFill="background1"/>
            <w:noWrap/>
            <w:hideMark/>
          </w:tcPr>
          <w:p w14:paraId="274AB6A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30.2061</w:t>
            </w:r>
          </w:p>
        </w:tc>
        <w:tc>
          <w:tcPr>
            <w:tcW w:w="1007" w:type="dxa"/>
            <w:shd w:val="clear" w:color="auto" w:fill="FFFFFF" w:themeFill="background1"/>
            <w:noWrap/>
            <w:hideMark/>
          </w:tcPr>
          <w:p w14:paraId="784E1F9F"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0.4202</w:t>
            </w:r>
          </w:p>
        </w:tc>
        <w:tc>
          <w:tcPr>
            <w:tcW w:w="3931" w:type="dxa"/>
            <w:shd w:val="clear" w:color="auto" w:fill="FFFFFF" w:themeFill="background1"/>
            <w:noWrap/>
            <w:hideMark/>
          </w:tcPr>
          <w:p w14:paraId="682019BC"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(E)-</w:t>
            </w:r>
          </w:p>
        </w:tc>
      </w:tr>
      <w:tr w:rsidR="00A755E8" w:rsidRPr="00003CA3" w14:paraId="75F0BC14"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D713DC3"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10</w:t>
            </w:r>
          </w:p>
        </w:tc>
        <w:tc>
          <w:tcPr>
            <w:tcW w:w="1150" w:type="dxa"/>
            <w:shd w:val="clear" w:color="auto" w:fill="FFFFFF" w:themeFill="background1"/>
            <w:noWrap/>
            <w:hideMark/>
          </w:tcPr>
          <w:p w14:paraId="6C5B3DED"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30.6918</w:t>
            </w:r>
          </w:p>
        </w:tc>
        <w:tc>
          <w:tcPr>
            <w:tcW w:w="1007" w:type="dxa"/>
            <w:shd w:val="clear" w:color="auto" w:fill="FFFFFF" w:themeFill="background1"/>
            <w:noWrap/>
            <w:hideMark/>
          </w:tcPr>
          <w:p w14:paraId="03639002"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0.7196</w:t>
            </w:r>
          </w:p>
        </w:tc>
        <w:tc>
          <w:tcPr>
            <w:tcW w:w="3931" w:type="dxa"/>
            <w:shd w:val="clear" w:color="auto" w:fill="FFFFFF" w:themeFill="background1"/>
            <w:noWrap/>
            <w:hideMark/>
          </w:tcPr>
          <w:p w14:paraId="1D984737"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Succinic acid, dodec-2-en-1-yl but-3-en-1-yl ester</w:t>
            </w:r>
          </w:p>
        </w:tc>
      </w:tr>
      <w:tr w:rsidR="00A755E8" w:rsidRPr="00003CA3" w14:paraId="3D735B11"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F6C46D3"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11</w:t>
            </w:r>
          </w:p>
        </w:tc>
        <w:tc>
          <w:tcPr>
            <w:tcW w:w="1150" w:type="dxa"/>
            <w:shd w:val="clear" w:color="auto" w:fill="FFFFFF" w:themeFill="background1"/>
            <w:noWrap/>
            <w:hideMark/>
          </w:tcPr>
          <w:p w14:paraId="67E5D45B"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30.9959</w:t>
            </w:r>
          </w:p>
        </w:tc>
        <w:tc>
          <w:tcPr>
            <w:tcW w:w="1007" w:type="dxa"/>
            <w:shd w:val="clear" w:color="auto" w:fill="FFFFFF" w:themeFill="background1"/>
            <w:noWrap/>
            <w:hideMark/>
          </w:tcPr>
          <w:p w14:paraId="7710A0B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1.165</w:t>
            </w:r>
          </w:p>
        </w:tc>
        <w:tc>
          <w:tcPr>
            <w:tcW w:w="3931" w:type="dxa"/>
            <w:shd w:val="clear" w:color="auto" w:fill="FFFFFF" w:themeFill="background1"/>
            <w:noWrap/>
            <w:hideMark/>
          </w:tcPr>
          <w:p w14:paraId="53F37243"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3-Dibenzofuranamine</w:t>
            </w:r>
          </w:p>
        </w:tc>
      </w:tr>
      <w:tr w:rsidR="00A755E8" w:rsidRPr="00003CA3" w14:paraId="647E1192"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0D797624"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12</w:t>
            </w:r>
          </w:p>
        </w:tc>
        <w:tc>
          <w:tcPr>
            <w:tcW w:w="1150" w:type="dxa"/>
            <w:shd w:val="clear" w:color="auto" w:fill="FFFFFF" w:themeFill="background1"/>
            <w:noWrap/>
            <w:hideMark/>
          </w:tcPr>
          <w:p w14:paraId="07B60A3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31.8617</w:t>
            </w:r>
          </w:p>
        </w:tc>
        <w:tc>
          <w:tcPr>
            <w:tcW w:w="1007" w:type="dxa"/>
            <w:shd w:val="clear" w:color="auto" w:fill="FFFFFF" w:themeFill="background1"/>
            <w:noWrap/>
            <w:hideMark/>
          </w:tcPr>
          <w:p w14:paraId="6DB1955F"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12.4462</w:t>
            </w:r>
          </w:p>
        </w:tc>
        <w:tc>
          <w:tcPr>
            <w:tcW w:w="3931" w:type="dxa"/>
            <w:shd w:val="clear" w:color="auto" w:fill="FFFFFF" w:themeFill="background1"/>
            <w:noWrap/>
            <w:hideMark/>
          </w:tcPr>
          <w:p w14:paraId="50BC57B8"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Methyl </w:t>
            </w:r>
            <w:proofErr w:type="spellStart"/>
            <w:r w:rsidRPr="00003CA3">
              <w:rPr>
                <w:rFonts w:ascii="Arial" w:eastAsia="Times New Roman" w:hAnsi="Arial" w:cs="Arial"/>
              </w:rPr>
              <w:t>pentadecyl</w:t>
            </w:r>
            <w:proofErr w:type="spellEnd"/>
            <w:r w:rsidRPr="00003CA3">
              <w:rPr>
                <w:rFonts w:ascii="Arial" w:eastAsia="Times New Roman" w:hAnsi="Arial" w:cs="Arial"/>
              </w:rPr>
              <w:t xml:space="preserve"> ether</w:t>
            </w:r>
          </w:p>
        </w:tc>
      </w:tr>
      <w:tr w:rsidR="00A755E8" w:rsidRPr="00003CA3" w14:paraId="705A15BD"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5375052D"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13</w:t>
            </w:r>
          </w:p>
        </w:tc>
        <w:tc>
          <w:tcPr>
            <w:tcW w:w="1150" w:type="dxa"/>
            <w:shd w:val="clear" w:color="auto" w:fill="FFFFFF" w:themeFill="background1"/>
            <w:noWrap/>
            <w:hideMark/>
          </w:tcPr>
          <w:p w14:paraId="4B5461D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32.3719</w:t>
            </w:r>
          </w:p>
        </w:tc>
        <w:tc>
          <w:tcPr>
            <w:tcW w:w="1007" w:type="dxa"/>
            <w:shd w:val="clear" w:color="auto" w:fill="FFFFFF" w:themeFill="background1"/>
            <w:noWrap/>
            <w:hideMark/>
          </w:tcPr>
          <w:p w14:paraId="7F3A74C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8.9306</w:t>
            </w:r>
          </w:p>
        </w:tc>
        <w:tc>
          <w:tcPr>
            <w:tcW w:w="3931" w:type="dxa"/>
            <w:shd w:val="clear" w:color="auto" w:fill="FFFFFF" w:themeFill="background1"/>
            <w:noWrap/>
            <w:hideMark/>
          </w:tcPr>
          <w:p w14:paraId="009F0A4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2,3-Dihydroxypropyl </w:t>
            </w:r>
            <w:proofErr w:type="spellStart"/>
            <w:r w:rsidRPr="00003CA3">
              <w:rPr>
                <w:rFonts w:ascii="Arial" w:eastAsia="Times New Roman" w:hAnsi="Arial" w:cs="Arial"/>
              </w:rPr>
              <w:t>elaidate</w:t>
            </w:r>
            <w:proofErr w:type="spellEnd"/>
          </w:p>
        </w:tc>
      </w:tr>
      <w:tr w:rsidR="00A755E8" w:rsidRPr="00003CA3" w14:paraId="5955B54C"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4B00EC98"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14</w:t>
            </w:r>
          </w:p>
        </w:tc>
        <w:tc>
          <w:tcPr>
            <w:tcW w:w="1150" w:type="dxa"/>
            <w:shd w:val="clear" w:color="auto" w:fill="FFFFFF" w:themeFill="background1"/>
            <w:noWrap/>
            <w:hideMark/>
          </w:tcPr>
          <w:p w14:paraId="7D816F0A"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33.8529</w:t>
            </w:r>
          </w:p>
        </w:tc>
        <w:tc>
          <w:tcPr>
            <w:tcW w:w="1007" w:type="dxa"/>
            <w:shd w:val="clear" w:color="auto" w:fill="FFFFFF" w:themeFill="background1"/>
            <w:noWrap/>
            <w:hideMark/>
          </w:tcPr>
          <w:p w14:paraId="698DBB1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13.2325</w:t>
            </w:r>
          </w:p>
        </w:tc>
        <w:tc>
          <w:tcPr>
            <w:tcW w:w="3931" w:type="dxa"/>
            <w:shd w:val="clear" w:color="auto" w:fill="FFFFFF" w:themeFill="background1"/>
            <w:noWrap/>
            <w:hideMark/>
          </w:tcPr>
          <w:p w14:paraId="7D4EF68F"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Thymol, TMS derivative</w:t>
            </w:r>
          </w:p>
        </w:tc>
      </w:tr>
      <w:tr w:rsidR="00A755E8" w:rsidRPr="00003CA3" w14:paraId="08A49163"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48190D6F"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15</w:t>
            </w:r>
          </w:p>
        </w:tc>
        <w:tc>
          <w:tcPr>
            <w:tcW w:w="1150" w:type="dxa"/>
            <w:shd w:val="clear" w:color="auto" w:fill="FFFFFF" w:themeFill="background1"/>
            <w:noWrap/>
            <w:hideMark/>
          </w:tcPr>
          <w:p w14:paraId="0425399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34.741</w:t>
            </w:r>
          </w:p>
        </w:tc>
        <w:tc>
          <w:tcPr>
            <w:tcW w:w="1007" w:type="dxa"/>
            <w:shd w:val="clear" w:color="auto" w:fill="FFFFFF" w:themeFill="background1"/>
            <w:noWrap/>
            <w:hideMark/>
          </w:tcPr>
          <w:p w14:paraId="231EF64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10.6337</w:t>
            </w:r>
          </w:p>
        </w:tc>
        <w:tc>
          <w:tcPr>
            <w:tcW w:w="3931" w:type="dxa"/>
            <w:shd w:val="clear" w:color="auto" w:fill="FFFFFF" w:themeFill="background1"/>
            <w:noWrap/>
            <w:hideMark/>
          </w:tcPr>
          <w:p w14:paraId="75DBB466"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4H-1,2,4-triazole-3,5-diamine, N3-(4-fluorophenyl)-N5-methyl-</w:t>
            </w:r>
          </w:p>
        </w:tc>
      </w:tr>
      <w:tr w:rsidR="00A755E8" w:rsidRPr="00003CA3" w14:paraId="23F08849"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2C6A3ED6"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16</w:t>
            </w:r>
          </w:p>
        </w:tc>
        <w:tc>
          <w:tcPr>
            <w:tcW w:w="1150" w:type="dxa"/>
            <w:shd w:val="clear" w:color="auto" w:fill="FFFFFF" w:themeFill="background1"/>
            <w:noWrap/>
            <w:hideMark/>
          </w:tcPr>
          <w:p w14:paraId="02F9503E"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35.8458</w:t>
            </w:r>
          </w:p>
        </w:tc>
        <w:tc>
          <w:tcPr>
            <w:tcW w:w="1007" w:type="dxa"/>
            <w:shd w:val="clear" w:color="auto" w:fill="FFFFFF" w:themeFill="background1"/>
            <w:noWrap/>
            <w:hideMark/>
          </w:tcPr>
          <w:p w14:paraId="31880C5A"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15.739</w:t>
            </w:r>
          </w:p>
        </w:tc>
        <w:tc>
          <w:tcPr>
            <w:tcW w:w="3931" w:type="dxa"/>
            <w:shd w:val="clear" w:color="auto" w:fill="FFFFFF" w:themeFill="background1"/>
            <w:noWrap/>
            <w:hideMark/>
          </w:tcPr>
          <w:p w14:paraId="4B4EAA8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roofErr w:type="spellStart"/>
            <w:r w:rsidRPr="00003CA3">
              <w:rPr>
                <w:rFonts w:ascii="Arial" w:eastAsia="Times New Roman" w:hAnsi="Arial" w:cs="Arial"/>
              </w:rPr>
              <w:t>Cyclotrisiloxane</w:t>
            </w:r>
            <w:proofErr w:type="spellEnd"/>
            <w:r w:rsidRPr="00003CA3">
              <w:rPr>
                <w:rFonts w:ascii="Arial" w:eastAsia="Times New Roman" w:hAnsi="Arial" w:cs="Arial"/>
              </w:rPr>
              <w:t>, hexamethyl-</w:t>
            </w:r>
          </w:p>
        </w:tc>
      </w:tr>
      <w:tr w:rsidR="00A755E8" w:rsidRPr="00003CA3" w14:paraId="45B4B360"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5DA9156F"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17</w:t>
            </w:r>
          </w:p>
        </w:tc>
        <w:tc>
          <w:tcPr>
            <w:tcW w:w="1150" w:type="dxa"/>
            <w:shd w:val="clear" w:color="auto" w:fill="FFFFFF" w:themeFill="background1"/>
            <w:noWrap/>
            <w:hideMark/>
          </w:tcPr>
          <w:p w14:paraId="3AA83704"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36.9915</w:t>
            </w:r>
          </w:p>
        </w:tc>
        <w:tc>
          <w:tcPr>
            <w:tcW w:w="1007" w:type="dxa"/>
            <w:shd w:val="clear" w:color="auto" w:fill="FFFFFF" w:themeFill="background1"/>
            <w:noWrap/>
            <w:hideMark/>
          </w:tcPr>
          <w:p w14:paraId="6253594F"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3.7692</w:t>
            </w:r>
          </w:p>
        </w:tc>
        <w:tc>
          <w:tcPr>
            <w:tcW w:w="3931" w:type="dxa"/>
            <w:shd w:val="clear" w:color="auto" w:fill="FFFFFF" w:themeFill="background1"/>
            <w:noWrap/>
            <w:hideMark/>
          </w:tcPr>
          <w:p w14:paraId="3296292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Fumaric acid, hexyl 4-methylpent-2-yl ester</w:t>
            </w:r>
          </w:p>
        </w:tc>
      </w:tr>
      <w:tr w:rsidR="00A755E8" w:rsidRPr="00003CA3" w14:paraId="392C3C2A"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14:paraId="4052424A" w14:textId="77777777" w:rsidR="00A755E8" w:rsidRPr="00003CA3" w:rsidRDefault="00A755E8" w:rsidP="00204A14">
            <w:pPr>
              <w:jc w:val="both"/>
              <w:rPr>
                <w:rFonts w:ascii="Arial" w:eastAsia="Times New Roman" w:hAnsi="Arial" w:cs="Arial"/>
              </w:rPr>
            </w:pPr>
            <w:r w:rsidRPr="00003CA3">
              <w:rPr>
                <w:rFonts w:ascii="Arial" w:eastAsia="Times New Roman" w:hAnsi="Arial" w:cs="Arial"/>
              </w:rPr>
              <w:t>18</w:t>
            </w:r>
          </w:p>
        </w:tc>
        <w:tc>
          <w:tcPr>
            <w:tcW w:w="1150" w:type="dxa"/>
            <w:shd w:val="clear" w:color="auto" w:fill="FFFFFF" w:themeFill="background1"/>
            <w:noWrap/>
            <w:hideMark/>
          </w:tcPr>
          <w:p w14:paraId="2EC5F79C"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37.6109</w:t>
            </w:r>
          </w:p>
        </w:tc>
        <w:tc>
          <w:tcPr>
            <w:tcW w:w="1007" w:type="dxa"/>
            <w:shd w:val="clear" w:color="auto" w:fill="FFFFFF" w:themeFill="background1"/>
            <w:noWrap/>
            <w:hideMark/>
          </w:tcPr>
          <w:p w14:paraId="7BB8F6A2"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8.8621</w:t>
            </w:r>
          </w:p>
        </w:tc>
        <w:tc>
          <w:tcPr>
            <w:tcW w:w="3931" w:type="dxa"/>
            <w:shd w:val="clear" w:color="auto" w:fill="FFFFFF" w:themeFill="background1"/>
            <w:noWrap/>
            <w:hideMark/>
          </w:tcPr>
          <w:p w14:paraId="01DA9253"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w:t>
            </w:r>
            <w:proofErr w:type="gramStart"/>
            <w:r w:rsidRPr="00003CA3">
              <w:rPr>
                <w:rFonts w:ascii="Arial" w:eastAsia="Times New Roman" w:hAnsi="Arial" w:cs="Arial"/>
              </w:rPr>
              <w:t>4]Triazolo</w:t>
            </w:r>
            <w:proofErr w:type="gramEnd"/>
            <w:r w:rsidRPr="00003CA3">
              <w:rPr>
                <w:rFonts w:ascii="Arial" w:eastAsia="Times New Roman" w:hAnsi="Arial" w:cs="Arial"/>
              </w:rPr>
              <w:t>[1,5-</w:t>
            </w:r>
            <w:proofErr w:type="gramStart"/>
            <w:r w:rsidRPr="00003CA3">
              <w:rPr>
                <w:rFonts w:ascii="Arial" w:eastAsia="Times New Roman" w:hAnsi="Arial" w:cs="Arial"/>
              </w:rPr>
              <w:t>a]pyrimidine</w:t>
            </w:r>
            <w:proofErr w:type="gramEnd"/>
            <w:r w:rsidRPr="00003CA3">
              <w:rPr>
                <w:rFonts w:ascii="Arial" w:eastAsia="Times New Roman" w:hAnsi="Arial" w:cs="Arial"/>
              </w:rPr>
              <w:t>-6-carboxylic acid, 7-amino-, ethyl ester</w:t>
            </w:r>
          </w:p>
        </w:tc>
      </w:tr>
    </w:tbl>
    <w:p w14:paraId="710CF212" w14:textId="77777777" w:rsidR="00A755E8" w:rsidRPr="00370D41" w:rsidRDefault="00A755E8" w:rsidP="00A755E8">
      <w:pPr>
        <w:jc w:val="both"/>
        <w:rPr>
          <w:rFonts w:ascii="Arial" w:hAnsi="Arial" w:cs="Arial"/>
          <w:b/>
          <w:bCs/>
          <w:color w:val="000000" w:themeColor="text1"/>
          <w:sz w:val="24"/>
          <w:szCs w:val="24"/>
        </w:rPr>
      </w:pPr>
    </w:p>
    <w:p w14:paraId="18AF9314" w14:textId="77777777"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4: GC–MS identified chemical composition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tbl>
      <w:tblPr>
        <w:tblStyle w:val="ListTable6Colorful"/>
        <w:tblW w:w="7726" w:type="dxa"/>
        <w:shd w:val="clear" w:color="auto" w:fill="FFFFFF" w:themeFill="background1"/>
        <w:tblLook w:val="04A0" w:firstRow="1" w:lastRow="0" w:firstColumn="1" w:lastColumn="0" w:noHBand="0" w:noVBand="1"/>
      </w:tblPr>
      <w:tblGrid>
        <w:gridCol w:w="684"/>
        <w:gridCol w:w="1150"/>
        <w:gridCol w:w="1007"/>
        <w:gridCol w:w="3931"/>
        <w:gridCol w:w="955"/>
      </w:tblGrid>
      <w:tr w:rsidR="00A755E8" w:rsidRPr="00003CA3" w14:paraId="07EC7096" w14:textId="77777777" w:rsidTr="00204A14">
        <w:trPr>
          <w:gridAfter w:val="1"/>
          <w:cnfStyle w:val="100000000000" w:firstRow="1" w:lastRow="0" w:firstColumn="0" w:lastColumn="0" w:oddVBand="0" w:evenVBand="0" w:oddHBand="0" w:evenHBand="0" w:firstRowFirstColumn="0" w:firstRowLastColumn="0" w:lastRowFirstColumn="0" w:lastRowLastColumn="0"/>
          <w:wAfter w:w="955" w:type="dxa"/>
          <w:trHeight w:val="300"/>
        </w:trPr>
        <w:tc>
          <w:tcPr>
            <w:cnfStyle w:val="001000000000" w:firstRow="0" w:lastRow="0" w:firstColumn="1" w:lastColumn="0" w:oddVBand="0" w:evenVBand="0" w:oddHBand="0" w:evenHBand="0" w:firstRowFirstColumn="0" w:firstRowLastColumn="0" w:lastRowFirstColumn="0" w:lastRowLastColumn="0"/>
            <w:tcW w:w="683" w:type="dxa"/>
            <w:tcBorders>
              <w:top w:val="single" w:sz="4" w:space="0" w:color="000000" w:themeColor="text1"/>
              <w:left w:val="nil"/>
              <w:right w:val="nil"/>
            </w:tcBorders>
            <w:shd w:val="clear" w:color="auto" w:fill="FFFFFF" w:themeFill="background1"/>
            <w:noWrap/>
            <w:hideMark/>
          </w:tcPr>
          <w:p w14:paraId="22AA2788" w14:textId="77777777" w:rsidR="00A755E8" w:rsidRPr="00003CA3" w:rsidRDefault="00A755E8" w:rsidP="00204A14">
            <w:pPr>
              <w:jc w:val="both"/>
              <w:rPr>
                <w:rFonts w:ascii="Arial" w:hAnsi="Arial" w:cs="Arial"/>
              </w:rPr>
            </w:pPr>
            <w:r w:rsidRPr="00003CA3">
              <w:rPr>
                <w:rFonts w:ascii="Arial" w:hAnsi="Arial" w:cs="Arial"/>
              </w:rPr>
              <w:t>Peak</w:t>
            </w:r>
          </w:p>
        </w:tc>
        <w:tc>
          <w:tcPr>
            <w:tcW w:w="1150" w:type="dxa"/>
            <w:tcBorders>
              <w:top w:val="single" w:sz="4" w:space="0" w:color="000000" w:themeColor="text1"/>
              <w:left w:val="nil"/>
              <w:right w:val="nil"/>
            </w:tcBorders>
            <w:shd w:val="clear" w:color="auto" w:fill="FFFFFF" w:themeFill="background1"/>
            <w:noWrap/>
            <w:hideMark/>
          </w:tcPr>
          <w:p w14:paraId="74BB47E5"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Retention Time</w:t>
            </w:r>
          </w:p>
        </w:tc>
        <w:tc>
          <w:tcPr>
            <w:tcW w:w="1007" w:type="dxa"/>
            <w:tcBorders>
              <w:top w:val="single" w:sz="4" w:space="0" w:color="000000" w:themeColor="text1"/>
              <w:left w:val="nil"/>
              <w:right w:val="nil"/>
            </w:tcBorders>
            <w:shd w:val="clear" w:color="auto" w:fill="FFFFFF" w:themeFill="background1"/>
            <w:noWrap/>
            <w:hideMark/>
          </w:tcPr>
          <w:p w14:paraId="4FC224EF"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Area %</w:t>
            </w:r>
          </w:p>
        </w:tc>
        <w:tc>
          <w:tcPr>
            <w:tcW w:w="3931" w:type="dxa"/>
            <w:tcBorders>
              <w:top w:val="single" w:sz="4" w:space="0" w:color="000000" w:themeColor="text1"/>
              <w:left w:val="nil"/>
              <w:right w:val="nil"/>
            </w:tcBorders>
            <w:shd w:val="clear" w:color="auto" w:fill="FFFFFF" w:themeFill="background1"/>
            <w:noWrap/>
            <w:hideMark/>
          </w:tcPr>
          <w:p w14:paraId="660FD1B1" w14:textId="77777777"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Identified Compounds</w:t>
            </w:r>
          </w:p>
        </w:tc>
      </w:tr>
      <w:tr w:rsidR="00A755E8" w:rsidRPr="00003CA3" w14:paraId="132F6E15"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4A7D295"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w:t>
            </w:r>
          </w:p>
        </w:tc>
        <w:tc>
          <w:tcPr>
            <w:tcW w:w="0" w:type="auto"/>
            <w:shd w:val="clear" w:color="auto" w:fill="FFFFFF" w:themeFill="background1"/>
            <w:noWrap/>
            <w:hideMark/>
          </w:tcPr>
          <w:p w14:paraId="0546586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8.5925</w:t>
            </w:r>
          </w:p>
        </w:tc>
        <w:tc>
          <w:tcPr>
            <w:tcW w:w="0" w:type="auto"/>
            <w:shd w:val="clear" w:color="auto" w:fill="FFFFFF" w:themeFill="background1"/>
            <w:noWrap/>
            <w:hideMark/>
          </w:tcPr>
          <w:p w14:paraId="76BB0D35"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2.3497</w:t>
            </w:r>
          </w:p>
        </w:tc>
        <w:tc>
          <w:tcPr>
            <w:tcW w:w="4886" w:type="dxa"/>
            <w:gridSpan w:val="2"/>
            <w:shd w:val="clear" w:color="auto" w:fill="FFFFFF" w:themeFill="background1"/>
            <w:noWrap/>
            <w:hideMark/>
          </w:tcPr>
          <w:p w14:paraId="00F6B2A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2-Decenal, (E)-</w:t>
            </w:r>
          </w:p>
        </w:tc>
      </w:tr>
      <w:tr w:rsidR="00A755E8" w:rsidRPr="00003CA3" w14:paraId="1B4B15A5"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9ED9D3"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2</w:t>
            </w:r>
          </w:p>
        </w:tc>
        <w:tc>
          <w:tcPr>
            <w:tcW w:w="0" w:type="auto"/>
            <w:shd w:val="clear" w:color="auto" w:fill="FFFFFF" w:themeFill="background1"/>
            <w:noWrap/>
            <w:hideMark/>
          </w:tcPr>
          <w:p w14:paraId="7217297C"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8.7225</w:t>
            </w:r>
          </w:p>
        </w:tc>
        <w:tc>
          <w:tcPr>
            <w:tcW w:w="0" w:type="auto"/>
            <w:shd w:val="clear" w:color="auto" w:fill="FFFFFF" w:themeFill="background1"/>
            <w:noWrap/>
            <w:hideMark/>
          </w:tcPr>
          <w:p w14:paraId="7D9F7A9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2.5925</w:t>
            </w:r>
          </w:p>
        </w:tc>
        <w:tc>
          <w:tcPr>
            <w:tcW w:w="4886" w:type="dxa"/>
            <w:gridSpan w:val="2"/>
            <w:shd w:val="clear" w:color="auto" w:fill="FFFFFF" w:themeFill="background1"/>
            <w:noWrap/>
            <w:hideMark/>
          </w:tcPr>
          <w:p w14:paraId="6A2EAA6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Heptanoic acid, methyl ester</w:t>
            </w:r>
          </w:p>
        </w:tc>
      </w:tr>
      <w:tr w:rsidR="00A755E8" w:rsidRPr="00003CA3" w14:paraId="567621DE"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A8A1C95"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3</w:t>
            </w:r>
          </w:p>
        </w:tc>
        <w:tc>
          <w:tcPr>
            <w:tcW w:w="0" w:type="auto"/>
            <w:shd w:val="clear" w:color="auto" w:fill="FFFFFF" w:themeFill="background1"/>
            <w:noWrap/>
            <w:hideMark/>
          </w:tcPr>
          <w:p w14:paraId="0F77381B"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11.9712</w:t>
            </w:r>
          </w:p>
        </w:tc>
        <w:tc>
          <w:tcPr>
            <w:tcW w:w="0" w:type="auto"/>
            <w:shd w:val="clear" w:color="auto" w:fill="FFFFFF" w:themeFill="background1"/>
            <w:noWrap/>
            <w:hideMark/>
          </w:tcPr>
          <w:p w14:paraId="6BB00B3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0.4498</w:t>
            </w:r>
          </w:p>
        </w:tc>
        <w:tc>
          <w:tcPr>
            <w:tcW w:w="4886" w:type="dxa"/>
            <w:gridSpan w:val="2"/>
            <w:shd w:val="clear" w:color="auto" w:fill="FFFFFF" w:themeFill="background1"/>
            <w:noWrap/>
            <w:hideMark/>
          </w:tcPr>
          <w:p w14:paraId="5BAB5203"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Nonanoic acid, 9-oxo-, methyl ester</w:t>
            </w:r>
          </w:p>
        </w:tc>
      </w:tr>
      <w:tr w:rsidR="00A755E8" w:rsidRPr="00003CA3" w14:paraId="6F9C1FAE"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FE2741"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4</w:t>
            </w:r>
          </w:p>
        </w:tc>
        <w:tc>
          <w:tcPr>
            <w:tcW w:w="0" w:type="auto"/>
            <w:shd w:val="clear" w:color="auto" w:fill="FFFFFF" w:themeFill="background1"/>
            <w:noWrap/>
            <w:hideMark/>
          </w:tcPr>
          <w:p w14:paraId="0D34A7C8"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12.3581</w:t>
            </w:r>
          </w:p>
        </w:tc>
        <w:tc>
          <w:tcPr>
            <w:tcW w:w="0" w:type="auto"/>
            <w:shd w:val="clear" w:color="auto" w:fill="FFFFFF" w:themeFill="background1"/>
            <w:noWrap/>
            <w:hideMark/>
          </w:tcPr>
          <w:p w14:paraId="38155BDA"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0.4233</w:t>
            </w:r>
          </w:p>
        </w:tc>
        <w:tc>
          <w:tcPr>
            <w:tcW w:w="4886" w:type="dxa"/>
            <w:gridSpan w:val="2"/>
            <w:shd w:val="clear" w:color="auto" w:fill="FFFFFF" w:themeFill="background1"/>
            <w:noWrap/>
            <w:hideMark/>
          </w:tcPr>
          <w:p w14:paraId="26719CE1"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Cyclohexene, 1-nitro-</w:t>
            </w:r>
          </w:p>
        </w:tc>
      </w:tr>
      <w:tr w:rsidR="00A755E8" w:rsidRPr="00003CA3" w14:paraId="08BBAF8F"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783C0A"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5</w:t>
            </w:r>
          </w:p>
        </w:tc>
        <w:tc>
          <w:tcPr>
            <w:tcW w:w="0" w:type="auto"/>
            <w:shd w:val="clear" w:color="auto" w:fill="FFFFFF" w:themeFill="background1"/>
            <w:noWrap/>
            <w:hideMark/>
          </w:tcPr>
          <w:p w14:paraId="46A41FC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12.5069</w:t>
            </w:r>
          </w:p>
        </w:tc>
        <w:tc>
          <w:tcPr>
            <w:tcW w:w="0" w:type="auto"/>
            <w:shd w:val="clear" w:color="auto" w:fill="FFFFFF" w:themeFill="background1"/>
            <w:noWrap/>
            <w:hideMark/>
          </w:tcPr>
          <w:p w14:paraId="2163EE76"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0.5704</w:t>
            </w:r>
          </w:p>
        </w:tc>
        <w:tc>
          <w:tcPr>
            <w:tcW w:w="4886" w:type="dxa"/>
            <w:gridSpan w:val="2"/>
            <w:shd w:val="clear" w:color="auto" w:fill="FFFFFF" w:themeFill="background1"/>
            <w:noWrap/>
            <w:hideMark/>
          </w:tcPr>
          <w:p w14:paraId="11BFDE3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Dodecane, 1-chloro-</w:t>
            </w:r>
          </w:p>
        </w:tc>
      </w:tr>
      <w:tr w:rsidR="00A755E8" w:rsidRPr="00003CA3" w14:paraId="4D614BE4"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34AA571"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6</w:t>
            </w:r>
          </w:p>
        </w:tc>
        <w:tc>
          <w:tcPr>
            <w:tcW w:w="0" w:type="auto"/>
            <w:shd w:val="clear" w:color="auto" w:fill="FFFFFF" w:themeFill="background1"/>
            <w:noWrap/>
            <w:hideMark/>
          </w:tcPr>
          <w:p w14:paraId="01B9A524"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13.0399</w:t>
            </w:r>
          </w:p>
        </w:tc>
        <w:tc>
          <w:tcPr>
            <w:tcW w:w="0" w:type="auto"/>
            <w:shd w:val="clear" w:color="auto" w:fill="FFFFFF" w:themeFill="background1"/>
            <w:noWrap/>
            <w:hideMark/>
          </w:tcPr>
          <w:p w14:paraId="4A00F553"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4.4288</w:t>
            </w:r>
          </w:p>
        </w:tc>
        <w:tc>
          <w:tcPr>
            <w:tcW w:w="4886" w:type="dxa"/>
            <w:gridSpan w:val="2"/>
            <w:shd w:val="clear" w:color="auto" w:fill="FFFFFF" w:themeFill="background1"/>
            <w:noWrap/>
            <w:hideMark/>
          </w:tcPr>
          <w:p w14:paraId="21D0412E"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14:paraId="6B1582F6"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8A93CED"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7</w:t>
            </w:r>
          </w:p>
        </w:tc>
        <w:tc>
          <w:tcPr>
            <w:tcW w:w="0" w:type="auto"/>
            <w:shd w:val="clear" w:color="auto" w:fill="FFFFFF" w:themeFill="background1"/>
            <w:noWrap/>
            <w:hideMark/>
          </w:tcPr>
          <w:p w14:paraId="7F93146E"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18.955</w:t>
            </w:r>
          </w:p>
        </w:tc>
        <w:tc>
          <w:tcPr>
            <w:tcW w:w="0" w:type="auto"/>
            <w:shd w:val="clear" w:color="auto" w:fill="FFFFFF" w:themeFill="background1"/>
            <w:noWrap/>
            <w:hideMark/>
          </w:tcPr>
          <w:p w14:paraId="4883B2FA"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1.4251</w:t>
            </w:r>
          </w:p>
        </w:tc>
        <w:tc>
          <w:tcPr>
            <w:tcW w:w="4886" w:type="dxa"/>
            <w:gridSpan w:val="2"/>
            <w:shd w:val="clear" w:color="auto" w:fill="FFFFFF" w:themeFill="background1"/>
            <w:noWrap/>
            <w:hideMark/>
          </w:tcPr>
          <w:p w14:paraId="7F75F3C3"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003CA3">
              <w:rPr>
                <w:rFonts w:ascii="Arial" w:hAnsi="Arial" w:cs="Arial"/>
              </w:rPr>
              <w:t>Hexadecanoic</w:t>
            </w:r>
            <w:proofErr w:type="spellEnd"/>
            <w:r w:rsidRPr="00003CA3">
              <w:rPr>
                <w:rFonts w:ascii="Arial" w:hAnsi="Arial" w:cs="Arial"/>
              </w:rPr>
              <w:t xml:space="preserve"> acid, methyl ester</w:t>
            </w:r>
          </w:p>
        </w:tc>
      </w:tr>
      <w:tr w:rsidR="00A755E8" w:rsidRPr="00003CA3" w14:paraId="34E7C37B"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4E12C6"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8</w:t>
            </w:r>
          </w:p>
        </w:tc>
        <w:tc>
          <w:tcPr>
            <w:tcW w:w="0" w:type="auto"/>
            <w:shd w:val="clear" w:color="auto" w:fill="FFFFFF" w:themeFill="background1"/>
            <w:noWrap/>
            <w:hideMark/>
          </w:tcPr>
          <w:p w14:paraId="5533161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22.3257</w:t>
            </w:r>
          </w:p>
        </w:tc>
        <w:tc>
          <w:tcPr>
            <w:tcW w:w="0" w:type="auto"/>
            <w:shd w:val="clear" w:color="auto" w:fill="FFFFFF" w:themeFill="background1"/>
            <w:noWrap/>
            <w:hideMark/>
          </w:tcPr>
          <w:p w14:paraId="23E23F6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4.3967</w:t>
            </w:r>
          </w:p>
        </w:tc>
        <w:tc>
          <w:tcPr>
            <w:tcW w:w="4886" w:type="dxa"/>
            <w:gridSpan w:val="2"/>
            <w:shd w:val="clear" w:color="auto" w:fill="FFFFFF" w:themeFill="background1"/>
            <w:noWrap/>
            <w:hideMark/>
          </w:tcPr>
          <w:p w14:paraId="39A61E5E"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(Z)-, methyl ester</w:t>
            </w:r>
          </w:p>
        </w:tc>
      </w:tr>
      <w:tr w:rsidR="00A755E8" w:rsidRPr="00003CA3" w14:paraId="6D6E4E55"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A431C87"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9</w:t>
            </w:r>
          </w:p>
        </w:tc>
        <w:tc>
          <w:tcPr>
            <w:tcW w:w="0" w:type="auto"/>
            <w:shd w:val="clear" w:color="auto" w:fill="FFFFFF" w:themeFill="background1"/>
            <w:noWrap/>
            <w:hideMark/>
          </w:tcPr>
          <w:p w14:paraId="3BAA2E86"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22.8079</w:t>
            </w:r>
          </w:p>
        </w:tc>
        <w:tc>
          <w:tcPr>
            <w:tcW w:w="0" w:type="auto"/>
            <w:shd w:val="clear" w:color="auto" w:fill="FFFFFF" w:themeFill="background1"/>
            <w:noWrap/>
            <w:hideMark/>
          </w:tcPr>
          <w:p w14:paraId="0AC7AF76"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4.4222</w:t>
            </w:r>
          </w:p>
        </w:tc>
        <w:tc>
          <w:tcPr>
            <w:tcW w:w="4886" w:type="dxa"/>
            <w:gridSpan w:val="2"/>
            <w:shd w:val="clear" w:color="auto" w:fill="FFFFFF" w:themeFill="background1"/>
            <w:noWrap/>
            <w:hideMark/>
          </w:tcPr>
          <w:p w14:paraId="29A3011C"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Methyl stearate</w:t>
            </w:r>
          </w:p>
        </w:tc>
      </w:tr>
      <w:tr w:rsidR="00A755E8" w:rsidRPr="00003CA3" w14:paraId="3D1EF67F"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BC017CD"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10</w:t>
            </w:r>
          </w:p>
        </w:tc>
        <w:tc>
          <w:tcPr>
            <w:tcW w:w="0" w:type="auto"/>
            <w:shd w:val="clear" w:color="auto" w:fill="FFFFFF" w:themeFill="background1"/>
            <w:noWrap/>
            <w:hideMark/>
          </w:tcPr>
          <w:p w14:paraId="535DF64D"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24.6104</w:t>
            </w:r>
          </w:p>
        </w:tc>
        <w:tc>
          <w:tcPr>
            <w:tcW w:w="0" w:type="auto"/>
            <w:shd w:val="clear" w:color="auto" w:fill="FFFFFF" w:themeFill="background1"/>
            <w:noWrap/>
            <w:hideMark/>
          </w:tcPr>
          <w:p w14:paraId="56BED837"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0.3106</w:t>
            </w:r>
          </w:p>
        </w:tc>
        <w:tc>
          <w:tcPr>
            <w:tcW w:w="4886" w:type="dxa"/>
            <w:gridSpan w:val="2"/>
            <w:shd w:val="clear" w:color="auto" w:fill="FFFFFF" w:themeFill="background1"/>
            <w:noWrap/>
            <w:hideMark/>
          </w:tcPr>
          <w:p w14:paraId="7279939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w:t>
            </w:r>
            <w:proofErr w:type="gramStart"/>
            <w:r w:rsidRPr="00003CA3">
              <w:rPr>
                <w:rFonts w:ascii="Arial" w:hAnsi="Arial" w:cs="Arial"/>
              </w:rPr>
              <w:t>13.trans.</w:t>
            </w:r>
            <w:proofErr w:type="gramEnd"/>
            <w:r w:rsidRPr="00003CA3">
              <w:rPr>
                <w:rFonts w:ascii="Arial" w:hAnsi="Arial" w:cs="Arial"/>
              </w:rPr>
              <w:t>-octadecatrienoate</w:t>
            </w:r>
          </w:p>
        </w:tc>
      </w:tr>
      <w:tr w:rsidR="00A755E8" w:rsidRPr="00003CA3" w14:paraId="38B43B7A"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7E3314A"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11</w:t>
            </w:r>
          </w:p>
        </w:tc>
        <w:tc>
          <w:tcPr>
            <w:tcW w:w="0" w:type="auto"/>
            <w:shd w:val="clear" w:color="auto" w:fill="FFFFFF" w:themeFill="background1"/>
            <w:noWrap/>
            <w:hideMark/>
          </w:tcPr>
          <w:p w14:paraId="11E6C4D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24.8169</w:t>
            </w:r>
          </w:p>
        </w:tc>
        <w:tc>
          <w:tcPr>
            <w:tcW w:w="0" w:type="auto"/>
            <w:shd w:val="clear" w:color="auto" w:fill="FFFFFF" w:themeFill="background1"/>
            <w:noWrap/>
            <w:hideMark/>
          </w:tcPr>
          <w:p w14:paraId="5D1A4797"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0.1279</w:t>
            </w:r>
          </w:p>
        </w:tc>
        <w:tc>
          <w:tcPr>
            <w:tcW w:w="4886" w:type="dxa"/>
            <w:gridSpan w:val="2"/>
            <w:shd w:val="clear" w:color="auto" w:fill="FFFFFF" w:themeFill="background1"/>
            <w:noWrap/>
            <w:hideMark/>
          </w:tcPr>
          <w:p w14:paraId="543963B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1-Cyclohexylnonene</w:t>
            </w:r>
          </w:p>
        </w:tc>
      </w:tr>
      <w:tr w:rsidR="00A755E8" w:rsidRPr="00003CA3" w14:paraId="354CDE75"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55A8DC9"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12</w:t>
            </w:r>
          </w:p>
        </w:tc>
        <w:tc>
          <w:tcPr>
            <w:tcW w:w="0" w:type="auto"/>
            <w:shd w:val="clear" w:color="auto" w:fill="FFFFFF" w:themeFill="background1"/>
            <w:noWrap/>
            <w:hideMark/>
          </w:tcPr>
          <w:p w14:paraId="2DFE4963"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25.2204</w:t>
            </w:r>
          </w:p>
        </w:tc>
        <w:tc>
          <w:tcPr>
            <w:tcW w:w="0" w:type="auto"/>
            <w:shd w:val="clear" w:color="auto" w:fill="FFFFFF" w:themeFill="background1"/>
            <w:noWrap/>
            <w:hideMark/>
          </w:tcPr>
          <w:p w14:paraId="0F522E10"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0.3646</w:t>
            </w:r>
          </w:p>
        </w:tc>
        <w:tc>
          <w:tcPr>
            <w:tcW w:w="4886" w:type="dxa"/>
            <w:gridSpan w:val="2"/>
            <w:shd w:val="clear" w:color="auto" w:fill="FFFFFF" w:themeFill="background1"/>
            <w:noWrap/>
            <w:hideMark/>
          </w:tcPr>
          <w:p w14:paraId="5EBDE025"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w:t>
            </w:r>
            <w:proofErr w:type="gramStart"/>
            <w:r w:rsidRPr="00003CA3">
              <w:rPr>
                <w:rFonts w:ascii="Arial" w:hAnsi="Arial" w:cs="Arial"/>
              </w:rPr>
              <w:t>13.trans.</w:t>
            </w:r>
            <w:proofErr w:type="gramEnd"/>
            <w:r w:rsidRPr="00003CA3">
              <w:rPr>
                <w:rFonts w:ascii="Arial" w:hAnsi="Arial" w:cs="Arial"/>
              </w:rPr>
              <w:t>-octadecatrienoate</w:t>
            </w:r>
          </w:p>
        </w:tc>
      </w:tr>
      <w:tr w:rsidR="00A755E8" w:rsidRPr="00003CA3" w14:paraId="7B774939"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0FF015F"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13</w:t>
            </w:r>
          </w:p>
        </w:tc>
        <w:tc>
          <w:tcPr>
            <w:tcW w:w="0" w:type="auto"/>
            <w:shd w:val="clear" w:color="auto" w:fill="FFFFFF" w:themeFill="background1"/>
            <w:noWrap/>
            <w:hideMark/>
          </w:tcPr>
          <w:p w14:paraId="31E495AB"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25.4139</w:t>
            </w:r>
          </w:p>
        </w:tc>
        <w:tc>
          <w:tcPr>
            <w:tcW w:w="0" w:type="auto"/>
            <w:shd w:val="clear" w:color="auto" w:fill="FFFFFF" w:themeFill="background1"/>
            <w:noWrap/>
            <w:hideMark/>
          </w:tcPr>
          <w:p w14:paraId="294E9A23"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0.1965</w:t>
            </w:r>
          </w:p>
        </w:tc>
        <w:tc>
          <w:tcPr>
            <w:tcW w:w="4886" w:type="dxa"/>
            <w:gridSpan w:val="2"/>
            <w:shd w:val="clear" w:color="auto" w:fill="FFFFFF" w:themeFill="background1"/>
            <w:noWrap/>
            <w:hideMark/>
          </w:tcPr>
          <w:p w14:paraId="477C0276"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cis-11-Eicosenoic acid</w:t>
            </w:r>
          </w:p>
        </w:tc>
      </w:tr>
      <w:tr w:rsidR="00A755E8" w:rsidRPr="00003CA3" w14:paraId="29D4AFA3"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A41002D"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14</w:t>
            </w:r>
          </w:p>
        </w:tc>
        <w:tc>
          <w:tcPr>
            <w:tcW w:w="0" w:type="auto"/>
            <w:shd w:val="clear" w:color="auto" w:fill="FFFFFF" w:themeFill="background1"/>
            <w:noWrap/>
            <w:hideMark/>
          </w:tcPr>
          <w:p w14:paraId="1AB08A8D"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26.1444</w:t>
            </w:r>
          </w:p>
        </w:tc>
        <w:tc>
          <w:tcPr>
            <w:tcW w:w="0" w:type="auto"/>
            <w:shd w:val="clear" w:color="auto" w:fill="FFFFFF" w:themeFill="background1"/>
            <w:noWrap/>
            <w:hideMark/>
          </w:tcPr>
          <w:p w14:paraId="01C012A7"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8.7085</w:t>
            </w:r>
          </w:p>
        </w:tc>
        <w:tc>
          <w:tcPr>
            <w:tcW w:w="4886" w:type="dxa"/>
            <w:gridSpan w:val="2"/>
            <w:shd w:val="clear" w:color="auto" w:fill="FFFFFF" w:themeFill="background1"/>
            <w:noWrap/>
            <w:hideMark/>
          </w:tcPr>
          <w:p w14:paraId="40983276"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14:paraId="110FA16F"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F62D7BB"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15</w:t>
            </w:r>
          </w:p>
        </w:tc>
        <w:tc>
          <w:tcPr>
            <w:tcW w:w="0" w:type="auto"/>
            <w:shd w:val="clear" w:color="auto" w:fill="FFFFFF" w:themeFill="background1"/>
            <w:noWrap/>
            <w:hideMark/>
          </w:tcPr>
          <w:p w14:paraId="6DFB00C4"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27.4275</w:t>
            </w:r>
          </w:p>
        </w:tc>
        <w:tc>
          <w:tcPr>
            <w:tcW w:w="0" w:type="auto"/>
            <w:shd w:val="clear" w:color="auto" w:fill="FFFFFF" w:themeFill="background1"/>
            <w:noWrap/>
            <w:hideMark/>
          </w:tcPr>
          <w:p w14:paraId="5159454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8.2183</w:t>
            </w:r>
          </w:p>
        </w:tc>
        <w:tc>
          <w:tcPr>
            <w:tcW w:w="4886" w:type="dxa"/>
            <w:gridSpan w:val="2"/>
            <w:shd w:val="clear" w:color="auto" w:fill="FFFFFF" w:themeFill="background1"/>
            <w:noWrap/>
            <w:hideMark/>
          </w:tcPr>
          <w:p w14:paraId="68C2B7BC"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14:paraId="1880DB16"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B0D5A6"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lastRenderedPageBreak/>
              <w:t>16</w:t>
            </w:r>
          </w:p>
        </w:tc>
        <w:tc>
          <w:tcPr>
            <w:tcW w:w="0" w:type="auto"/>
            <w:shd w:val="clear" w:color="auto" w:fill="FFFFFF" w:themeFill="background1"/>
            <w:noWrap/>
            <w:hideMark/>
          </w:tcPr>
          <w:p w14:paraId="5E010F3B"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28.7971</w:t>
            </w:r>
          </w:p>
        </w:tc>
        <w:tc>
          <w:tcPr>
            <w:tcW w:w="0" w:type="auto"/>
            <w:shd w:val="clear" w:color="auto" w:fill="FFFFFF" w:themeFill="background1"/>
            <w:noWrap/>
            <w:hideMark/>
          </w:tcPr>
          <w:p w14:paraId="69B220AD"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1.1523</w:t>
            </w:r>
          </w:p>
        </w:tc>
        <w:tc>
          <w:tcPr>
            <w:tcW w:w="4886" w:type="dxa"/>
            <w:gridSpan w:val="2"/>
            <w:shd w:val="clear" w:color="auto" w:fill="FFFFFF" w:themeFill="background1"/>
            <w:noWrap/>
            <w:hideMark/>
          </w:tcPr>
          <w:p w14:paraId="719C694E"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(E)-</w:t>
            </w:r>
          </w:p>
        </w:tc>
      </w:tr>
      <w:tr w:rsidR="00A755E8" w:rsidRPr="00003CA3" w14:paraId="4B6F2C35"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2619750"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17</w:t>
            </w:r>
          </w:p>
        </w:tc>
        <w:tc>
          <w:tcPr>
            <w:tcW w:w="0" w:type="auto"/>
            <w:shd w:val="clear" w:color="auto" w:fill="FFFFFF" w:themeFill="background1"/>
            <w:noWrap/>
            <w:hideMark/>
          </w:tcPr>
          <w:p w14:paraId="14F69402"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29.6354</w:t>
            </w:r>
          </w:p>
        </w:tc>
        <w:tc>
          <w:tcPr>
            <w:tcW w:w="0" w:type="auto"/>
            <w:shd w:val="clear" w:color="auto" w:fill="FFFFFF" w:themeFill="background1"/>
            <w:noWrap/>
            <w:hideMark/>
          </w:tcPr>
          <w:p w14:paraId="5298D03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7.2511</w:t>
            </w:r>
          </w:p>
        </w:tc>
        <w:tc>
          <w:tcPr>
            <w:tcW w:w="4886" w:type="dxa"/>
            <w:gridSpan w:val="2"/>
            <w:shd w:val="clear" w:color="auto" w:fill="FFFFFF" w:themeFill="background1"/>
            <w:noWrap/>
            <w:hideMark/>
          </w:tcPr>
          <w:p w14:paraId="4B77BBDF"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13-Octadecenoic acid, methyl ester</w:t>
            </w:r>
          </w:p>
        </w:tc>
      </w:tr>
      <w:tr w:rsidR="00A755E8" w:rsidRPr="00003CA3" w14:paraId="2042DDAB"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2FFD110"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18</w:t>
            </w:r>
          </w:p>
        </w:tc>
        <w:tc>
          <w:tcPr>
            <w:tcW w:w="0" w:type="auto"/>
            <w:shd w:val="clear" w:color="auto" w:fill="FFFFFF" w:themeFill="background1"/>
            <w:noWrap/>
            <w:hideMark/>
          </w:tcPr>
          <w:p w14:paraId="2B040431"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30.7567</w:t>
            </w:r>
          </w:p>
        </w:tc>
        <w:tc>
          <w:tcPr>
            <w:tcW w:w="0" w:type="auto"/>
            <w:shd w:val="clear" w:color="auto" w:fill="FFFFFF" w:themeFill="background1"/>
            <w:noWrap/>
            <w:hideMark/>
          </w:tcPr>
          <w:p w14:paraId="54219A2D"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0.4794</w:t>
            </w:r>
          </w:p>
        </w:tc>
        <w:tc>
          <w:tcPr>
            <w:tcW w:w="4886" w:type="dxa"/>
            <w:gridSpan w:val="2"/>
            <w:shd w:val="clear" w:color="auto" w:fill="FFFFFF" w:themeFill="background1"/>
            <w:noWrap/>
            <w:hideMark/>
          </w:tcPr>
          <w:p w14:paraId="2824A10B"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Octanoic acid, 1-methyltridecyl ester</w:t>
            </w:r>
          </w:p>
        </w:tc>
      </w:tr>
      <w:tr w:rsidR="00A755E8" w:rsidRPr="00003CA3" w14:paraId="7654760A"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03EA537" w14:textId="77777777"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19</w:t>
            </w:r>
          </w:p>
        </w:tc>
        <w:tc>
          <w:tcPr>
            <w:tcW w:w="0" w:type="auto"/>
            <w:shd w:val="clear" w:color="auto" w:fill="FFFFFF" w:themeFill="background1"/>
            <w:noWrap/>
            <w:hideMark/>
          </w:tcPr>
          <w:p w14:paraId="3E54FC62"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32.179</w:t>
            </w:r>
          </w:p>
        </w:tc>
        <w:tc>
          <w:tcPr>
            <w:tcW w:w="0" w:type="auto"/>
            <w:shd w:val="clear" w:color="auto" w:fill="FFFFFF" w:themeFill="background1"/>
            <w:noWrap/>
            <w:hideMark/>
          </w:tcPr>
          <w:p w14:paraId="5D63076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7.8645</w:t>
            </w:r>
          </w:p>
        </w:tc>
        <w:tc>
          <w:tcPr>
            <w:tcW w:w="4886" w:type="dxa"/>
            <w:gridSpan w:val="2"/>
            <w:shd w:val="clear" w:color="auto" w:fill="FFFFFF" w:themeFill="background1"/>
            <w:noWrap/>
            <w:hideMark/>
          </w:tcPr>
          <w:p w14:paraId="3B20D9E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2-Ethylacridine</w:t>
            </w:r>
          </w:p>
        </w:tc>
      </w:tr>
      <w:tr w:rsidR="00A755E8" w:rsidRPr="00003CA3" w14:paraId="1707CE56"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4158E4" w14:textId="77777777" w:rsidR="00A755E8" w:rsidRPr="00003CA3" w:rsidRDefault="00A755E8" w:rsidP="00204A14">
            <w:pPr>
              <w:jc w:val="both"/>
              <w:rPr>
                <w:rFonts w:ascii="Arial" w:hAnsi="Arial" w:cs="Arial"/>
                <w:b w:val="0"/>
                <w:bCs w:val="0"/>
              </w:rPr>
            </w:pPr>
            <w:r w:rsidRPr="00003CA3">
              <w:rPr>
                <w:rFonts w:ascii="Arial" w:hAnsi="Arial" w:cs="Arial"/>
                <w:b w:val="0"/>
                <w:bCs w:val="0"/>
              </w:rPr>
              <w:t>20</w:t>
            </w:r>
          </w:p>
        </w:tc>
        <w:tc>
          <w:tcPr>
            <w:tcW w:w="0" w:type="auto"/>
            <w:shd w:val="clear" w:color="auto" w:fill="FFFFFF" w:themeFill="background1"/>
            <w:noWrap/>
            <w:hideMark/>
          </w:tcPr>
          <w:p w14:paraId="62FBF506"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32.665</w:t>
            </w:r>
          </w:p>
        </w:tc>
        <w:tc>
          <w:tcPr>
            <w:tcW w:w="0" w:type="auto"/>
            <w:shd w:val="clear" w:color="auto" w:fill="FFFFFF" w:themeFill="background1"/>
            <w:noWrap/>
            <w:hideMark/>
          </w:tcPr>
          <w:p w14:paraId="76F3CAFB"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0.4832</w:t>
            </w:r>
          </w:p>
        </w:tc>
        <w:tc>
          <w:tcPr>
            <w:tcW w:w="4886" w:type="dxa"/>
            <w:gridSpan w:val="2"/>
            <w:shd w:val="clear" w:color="auto" w:fill="FFFFFF" w:themeFill="background1"/>
            <w:noWrap/>
            <w:hideMark/>
          </w:tcPr>
          <w:p w14:paraId="01BEFD4B"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Fumaric acid, 2-heptyl tridecyl ester</w:t>
            </w:r>
          </w:p>
        </w:tc>
      </w:tr>
      <w:tr w:rsidR="00A755E8" w:rsidRPr="00003CA3" w14:paraId="600ED5BE"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83738A" w14:textId="77777777" w:rsidR="00A755E8" w:rsidRPr="00003CA3" w:rsidRDefault="00A755E8" w:rsidP="00204A14">
            <w:pPr>
              <w:jc w:val="both"/>
              <w:rPr>
                <w:rFonts w:ascii="Arial" w:hAnsi="Arial" w:cs="Arial"/>
                <w:b w:val="0"/>
                <w:bCs w:val="0"/>
              </w:rPr>
            </w:pPr>
            <w:r w:rsidRPr="00003CA3">
              <w:rPr>
                <w:rFonts w:ascii="Arial" w:hAnsi="Arial" w:cs="Arial"/>
                <w:b w:val="0"/>
                <w:bCs w:val="0"/>
              </w:rPr>
              <w:t>21</w:t>
            </w:r>
          </w:p>
        </w:tc>
        <w:tc>
          <w:tcPr>
            <w:tcW w:w="0" w:type="auto"/>
            <w:shd w:val="clear" w:color="auto" w:fill="FFFFFF" w:themeFill="background1"/>
            <w:noWrap/>
            <w:hideMark/>
          </w:tcPr>
          <w:p w14:paraId="4AF44BC0"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34.8058</w:t>
            </w:r>
          </w:p>
        </w:tc>
        <w:tc>
          <w:tcPr>
            <w:tcW w:w="0" w:type="auto"/>
            <w:shd w:val="clear" w:color="auto" w:fill="FFFFFF" w:themeFill="background1"/>
            <w:noWrap/>
            <w:hideMark/>
          </w:tcPr>
          <w:p w14:paraId="190ADDB1"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13.7442</w:t>
            </w:r>
          </w:p>
        </w:tc>
        <w:tc>
          <w:tcPr>
            <w:tcW w:w="4886" w:type="dxa"/>
            <w:gridSpan w:val="2"/>
            <w:shd w:val="clear" w:color="auto" w:fill="FFFFFF" w:themeFill="background1"/>
            <w:noWrap/>
            <w:hideMark/>
          </w:tcPr>
          <w:p w14:paraId="50E79A14"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Dodecanoic acid, 1-(hydroxymethyl)-1,2-ethanediyl ester</w:t>
            </w:r>
          </w:p>
        </w:tc>
      </w:tr>
      <w:tr w:rsidR="00A755E8" w:rsidRPr="00003CA3" w14:paraId="3848EDB7"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2ACA1E" w14:textId="77777777" w:rsidR="00A755E8" w:rsidRPr="00003CA3" w:rsidRDefault="00A755E8" w:rsidP="00204A14">
            <w:pPr>
              <w:jc w:val="both"/>
              <w:rPr>
                <w:rFonts w:ascii="Arial" w:hAnsi="Arial" w:cs="Arial"/>
                <w:b w:val="0"/>
                <w:bCs w:val="0"/>
              </w:rPr>
            </w:pPr>
            <w:r w:rsidRPr="00003CA3">
              <w:rPr>
                <w:rFonts w:ascii="Arial" w:hAnsi="Arial" w:cs="Arial"/>
                <w:b w:val="0"/>
                <w:bCs w:val="0"/>
              </w:rPr>
              <w:t>22</w:t>
            </w:r>
          </w:p>
        </w:tc>
        <w:tc>
          <w:tcPr>
            <w:tcW w:w="0" w:type="auto"/>
            <w:shd w:val="clear" w:color="auto" w:fill="FFFFFF" w:themeFill="background1"/>
            <w:noWrap/>
            <w:hideMark/>
          </w:tcPr>
          <w:p w14:paraId="6898B08C"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35.2881</w:t>
            </w:r>
          </w:p>
        </w:tc>
        <w:tc>
          <w:tcPr>
            <w:tcW w:w="0" w:type="auto"/>
            <w:shd w:val="clear" w:color="auto" w:fill="FFFFFF" w:themeFill="background1"/>
            <w:noWrap/>
            <w:hideMark/>
          </w:tcPr>
          <w:p w14:paraId="44B9C7EC"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7.117</w:t>
            </w:r>
          </w:p>
        </w:tc>
        <w:tc>
          <w:tcPr>
            <w:tcW w:w="4886" w:type="dxa"/>
            <w:gridSpan w:val="2"/>
            <w:shd w:val="clear" w:color="auto" w:fill="FFFFFF" w:themeFill="background1"/>
            <w:noWrap/>
            <w:hideMark/>
          </w:tcPr>
          <w:p w14:paraId="26377324"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r w:rsidR="00A755E8" w:rsidRPr="00003CA3" w14:paraId="710298C8"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0D463D0" w14:textId="77777777" w:rsidR="00A755E8" w:rsidRPr="00003CA3" w:rsidRDefault="00A755E8" w:rsidP="00204A14">
            <w:pPr>
              <w:jc w:val="both"/>
              <w:rPr>
                <w:rFonts w:ascii="Arial" w:hAnsi="Arial" w:cs="Arial"/>
                <w:b w:val="0"/>
                <w:bCs w:val="0"/>
              </w:rPr>
            </w:pPr>
            <w:r w:rsidRPr="00003CA3">
              <w:rPr>
                <w:rFonts w:ascii="Arial" w:hAnsi="Arial" w:cs="Arial"/>
                <w:b w:val="0"/>
                <w:bCs w:val="0"/>
              </w:rPr>
              <w:t>23</w:t>
            </w:r>
          </w:p>
        </w:tc>
        <w:tc>
          <w:tcPr>
            <w:tcW w:w="0" w:type="auto"/>
            <w:shd w:val="clear" w:color="auto" w:fill="FFFFFF" w:themeFill="background1"/>
            <w:noWrap/>
            <w:hideMark/>
          </w:tcPr>
          <w:p w14:paraId="4F0616B3"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36.7076</w:t>
            </w:r>
          </w:p>
        </w:tc>
        <w:tc>
          <w:tcPr>
            <w:tcW w:w="0" w:type="auto"/>
            <w:shd w:val="clear" w:color="auto" w:fill="FFFFFF" w:themeFill="background1"/>
            <w:noWrap/>
            <w:hideMark/>
          </w:tcPr>
          <w:p w14:paraId="37A1BFB2"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13.5084</w:t>
            </w:r>
          </w:p>
        </w:tc>
        <w:tc>
          <w:tcPr>
            <w:tcW w:w="4886" w:type="dxa"/>
            <w:gridSpan w:val="2"/>
            <w:shd w:val="clear" w:color="auto" w:fill="FFFFFF" w:themeFill="background1"/>
            <w:noWrap/>
            <w:hideMark/>
          </w:tcPr>
          <w:p w14:paraId="5343F45E"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w:t>
            </w:r>
            <w:proofErr w:type="gramStart"/>
            <w:r w:rsidRPr="00003CA3">
              <w:rPr>
                <w:rFonts w:ascii="Arial" w:hAnsi="Arial" w:cs="Arial"/>
              </w:rPr>
              <w:t>4]Triazolo</w:t>
            </w:r>
            <w:proofErr w:type="gramEnd"/>
            <w:r w:rsidRPr="00003CA3">
              <w:rPr>
                <w:rFonts w:ascii="Arial" w:hAnsi="Arial" w:cs="Arial"/>
              </w:rPr>
              <w:t>[1,5-</w:t>
            </w:r>
            <w:proofErr w:type="gramStart"/>
            <w:r w:rsidRPr="00003CA3">
              <w:rPr>
                <w:rFonts w:ascii="Arial" w:hAnsi="Arial" w:cs="Arial"/>
              </w:rPr>
              <w:t>a]pyrimidine</w:t>
            </w:r>
            <w:proofErr w:type="gramEnd"/>
            <w:r w:rsidRPr="00003CA3">
              <w:rPr>
                <w:rFonts w:ascii="Arial" w:hAnsi="Arial" w:cs="Arial"/>
              </w:rPr>
              <w:t>-6-carboxylic acid, 4,7-dihydro-7-imino-, ethyl ester</w:t>
            </w:r>
          </w:p>
        </w:tc>
      </w:tr>
      <w:tr w:rsidR="00A755E8" w:rsidRPr="00003CA3" w14:paraId="548C1CA5" w14:textId="77777777"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BAC1A4F" w14:textId="77777777" w:rsidR="00A755E8" w:rsidRPr="00003CA3" w:rsidRDefault="00A755E8" w:rsidP="00204A14">
            <w:pPr>
              <w:jc w:val="both"/>
              <w:rPr>
                <w:rFonts w:ascii="Arial" w:hAnsi="Arial" w:cs="Arial"/>
                <w:b w:val="0"/>
                <w:bCs w:val="0"/>
              </w:rPr>
            </w:pPr>
            <w:r w:rsidRPr="00003CA3">
              <w:rPr>
                <w:rFonts w:ascii="Arial" w:hAnsi="Arial" w:cs="Arial"/>
                <w:b w:val="0"/>
                <w:bCs w:val="0"/>
              </w:rPr>
              <w:t>24</w:t>
            </w:r>
          </w:p>
        </w:tc>
        <w:tc>
          <w:tcPr>
            <w:tcW w:w="0" w:type="auto"/>
            <w:shd w:val="clear" w:color="auto" w:fill="FFFFFF" w:themeFill="background1"/>
            <w:noWrap/>
            <w:hideMark/>
          </w:tcPr>
          <w:p w14:paraId="647A00AB"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37.3157</w:t>
            </w:r>
          </w:p>
        </w:tc>
        <w:tc>
          <w:tcPr>
            <w:tcW w:w="0" w:type="auto"/>
            <w:shd w:val="clear" w:color="auto" w:fill="FFFFFF" w:themeFill="background1"/>
            <w:noWrap/>
            <w:hideMark/>
          </w:tcPr>
          <w:p w14:paraId="37789443"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1.6162</w:t>
            </w:r>
          </w:p>
        </w:tc>
        <w:tc>
          <w:tcPr>
            <w:tcW w:w="4886" w:type="dxa"/>
            <w:gridSpan w:val="2"/>
            <w:shd w:val="clear" w:color="auto" w:fill="FFFFFF" w:themeFill="background1"/>
            <w:noWrap/>
            <w:hideMark/>
          </w:tcPr>
          <w:p w14:paraId="27DC96A6" w14:textId="77777777"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cis-9-Tetradecenoic acid, heptyl ester</w:t>
            </w:r>
          </w:p>
        </w:tc>
      </w:tr>
      <w:tr w:rsidR="00A755E8" w:rsidRPr="00003CA3" w14:paraId="5FF33098" w14:textId="77777777"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E33C494" w14:textId="77777777" w:rsidR="00A755E8" w:rsidRPr="00003CA3" w:rsidRDefault="00A755E8" w:rsidP="00204A14">
            <w:pPr>
              <w:jc w:val="both"/>
              <w:rPr>
                <w:rFonts w:ascii="Arial" w:hAnsi="Arial" w:cs="Arial"/>
                <w:b w:val="0"/>
                <w:bCs w:val="0"/>
              </w:rPr>
            </w:pPr>
            <w:r w:rsidRPr="00003CA3">
              <w:rPr>
                <w:rFonts w:ascii="Arial" w:hAnsi="Arial" w:cs="Arial"/>
                <w:b w:val="0"/>
                <w:bCs w:val="0"/>
              </w:rPr>
              <w:t>25</w:t>
            </w:r>
          </w:p>
        </w:tc>
        <w:tc>
          <w:tcPr>
            <w:tcW w:w="0" w:type="auto"/>
            <w:shd w:val="clear" w:color="auto" w:fill="FFFFFF" w:themeFill="background1"/>
            <w:noWrap/>
            <w:hideMark/>
          </w:tcPr>
          <w:p w14:paraId="4309250D"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37.7486</w:t>
            </w:r>
          </w:p>
        </w:tc>
        <w:tc>
          <w:tcPr>
            <w:tcW w:w="0" w:type="auto"/>
            <w:shd w:val="clear" w:color="auto" w:fill="FFFFFF" w:themeFill="background1"/>
            <w:noWrap/>
            <w:hideMark/>
          </w:tcPr>
          <w:p w14:paraId="50DF41E8"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7.7985</w:t>
            </w:r>
          </w:p>
        </w:tc>
        <w:tc>
          <w:tcPr>
            <w:tcW w:w="4886" w:type="dxa"/>
            <w:gridSpan w:val="2"/>
            <w:shd w:val="clear" w:color="auto" w:fill="FFFFFF" w:themeFill="background1"/>
            <w:noWrap/>
            <w:hideMark/>
          </w:tcPr>
          <w:p w14:paraId="1FF0477C" w14:textId="77777777"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bl>
    <w:p w14:paraId="0F9C1B2D" w14:textId="77777777" w:rsidR="00A755E8" w:rsidRPr="00370D41" w:rsidRDefault="00A755E8" w:rsidP="00A755E8">
      <w:pPr>
        <w:jc w:val="both"/>
        <w:rPr>
          <w:rFonts w:ascii="Arial" w:hAnsi="Arial" w:cs="Arial"/>
          <w:b/>
          <w:bCs/>
          <w:color w:val="000000" w:themeColor="text1"/>
          <w:sz w:val="24"/>
          <w:szCs w:val="24"/>
        </w:rPr>
      </w:pPr>
    </w:p>
    <w:p w14:paraId="72CB4CA9" w14:textId="77777777" w:rsidR="00790ADA" w:rsidRPr="00FB3A86" w:rsidRDefault="00790ADA" w:rsidP="00441B6F">
      <w:pPr>
        <w:pStyle w:val="Body"/>
        <w:spacing w:after="0"/>
        <w:rPr>
          <w:rFonts w:ascii="Arial" w:hAnsi="Arial" w:cs="Arial"/>
        </w:rPr>
      </w:pPr>
    </w:p>
    <w:p w14:paraId="7C48DBE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289445" w14:textId="77777777" w:rsidR="00790ADA" w:rsidRPr="00FB3A86" w:rsidRDefault="00790ADA" w:rsidP="00441B6F">
      <w:pPr>
        <w:pStyle w:val="ConcHead"/>
        <w:spacing w:after="0"/>
        <w:jc w:val="both"/>
        <w:rPr>
          <w:rFonts w:ascii="Arial" w:hAnsi="Arial" w:cs="Arial"/>
        </w:rPr>
      </w:pPr>
    </w:p>
    <w:p w14:paraId="39CCD7D5" w14:textId="77777777"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The extraction and analysis of Jansa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revealed clear differences in their physicochemical and structural characteristics, each pointing to distinct industrial potentials. Jansa seeds yielded significantly more oil (50.21%) than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seeds (10.77%), making Jansa oil a more viable candidate for large-scale extraction and biodiesel feedstock development. Both oils showed densities, refractive indices, and viscosities that align well with reported values for non-edible plant oils, reinforcing their suitability for industrial processing.</w:t>
      </w:r>
    </w:p>
    <w:p w14:paraId="0280EC23" w14:textId="77777777"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FTIR spectroscopy confirmed the presence of key functional groups—O–H, C=O, and C–H vibrations—commonly found in triglycerides and fatty acid esters. These spectral features were consistent with GC–MS results, which identified fatty acid methyl esters and aliphatic compounds as the dominant constituents in both oils.</w:t>
      </w:r>
    </w:p>
    <w:p w14:paraId="26EFA174" w14:textId="77777777"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When compared, Jansa oil stood out for its higher molecular weight, lower free fatty acid (FFA) content, and stronger oxidative stability. 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showed elevated saponification and acid values, suggesting it may be better suited for applications in soap, detergent, and cosmetic manufacturing, where high saponifiable content is beneficial. </w:t>
      </w:r>
      <w:commentRangeStart w:id="7"/>
      <w:r w:rsidRPr="00003CA3">
        <w:rPr>
          <w:rFonts w:ascii="Arial" w:hAnsi="Arial" w:cs="Arial"/>
          <w:color w:val="000000" w:themeColor="text1"/>
        </w:rPr>
        <w:t xml:space="preserve">Both oils maintained low moisture levels (below 1%), </w:t>
      </w:r>
      <w:commentRangeEnd w:id="7"/>
      <w:r w:rsidR="008B7E95">
        <w:rPr>
          <w:rStyle w:val="CommentReference"/>
          <w:rFonts w:ascii="Times New Roman" w:hAnsi="Times New Roman"/>
          <w:lang w:val="nb-NO" w:eastAsia="nb-NO"/>
        </w:rPr>
        <w:commentReference w:id="7"/>
      </w:r>
      <w:r w:rsidRPr="00003CA3">
        <w:rPr>
          <w:rFonts w:ascii="Arial" w:hAnsi="Arial" w:cs="Arial"/>
          <w:color w:val="000000" w:themeColor="text1"/>
        </w:rPr>
        <w:t>indicating good stability and reduced risk of hydrolytic degradation.</w:t>
      </w:r>
    </w:p>
    <w:p w14:paraId="5211B576" w14:textId="77777777"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Taken together, these findings highlight Jansa oil’s promise for biodiesel and lubricant production, while positioning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as a strong candidate for personal care and cleaning product formulations. The study underscores the untapped potential of underutilized seed oils as sustainable, renewable resources for bio-based industries.</w:t>
      </w:r>
    </w:p>
    <w:p w14:paraId="0C6B43F1" w14:textId="77777777" w:rsidR="00250991" w:rsidRPr="00370D41" w:rsidRDefault="00250991" w:rsidP="00250991">
      <w:pPr>
        <w:jc w:val="both"/>
        <w:rPr>
          <w:rFonts w:ascii="Arial" w:hAnsi="Arial" w:cs="Arial"/>
          <w:color w:val="000000" w:themeColor="text1"/>
          <w:sz w:val="24"/>
          <w:szCs w:val="24"/>
        </w:rPr>
      </w:pPr>
    </w:p>
    <w:p w14:paraId="0A1A2063" w14:textId="77777777" w:rsidR="00790ADA" w:rsidRPr="00FB3A86" w:rsidRDefault="00790ADA" w:rsidP="00441B6F">
      <w:pPr>
        <w:pStyle w:val="Body"/>
        <w:spacing w:after="0"/>
        <w:rPr>
          <w:rFonts w:ascii="Arial" w:hAnsi="Arial" w:cs="Arial"/>
        </w:rPr>
      </w:pPr>
    </w:p>
    <w:p w14:paraId="27593368" w14:textId="77777777" w:rsidR="00315186" w:rsidRPr="00250991" w:rsidRDefault="00315186" w:rsidP="00441B6F"/>
    <w:p w14:paraId="2415F48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52870D" w14:textId="77777777" w:rsidR="00790ADA" w:rsidRPr="00FB3A86" w:rsidRDefault="00790ADA" w:rsidP="00441B6F">
      <w:pPr>
        <w:pStyle w:val="ReferHead"/>
        <w:spacing w:after="0"/>
        <w:jc w:val="both"/>
        <w:rPr>
          <w:rFonts w:ascii="Arial" w:hAnsi="Arial" w:cs="Arial"/>
        </w:rPr>
      </w:pPr>
    </w:p>
    <w:p w14:paraId="6E13FDC6" w14:textId="77777777"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color w:val="000000" w:themeColor="text1"/>
          <w:sz w:val="20"/>
          <w:szCs w:val="20"/>
        </w:rPr>
        <w:t xml:space="preserve">Abdul-Hammed, M., Adegboyega, S. A., Abdulwahab, I., &amp; Jaji, A. O. (2020). Viscosity-Temperature Stability, Chemical Characterization, and Fatty Acid Profiles of some Brands of Refined Vegetable Oil. Physical Chemistry Research, 8(3), 417-427. </w:t>
      </w:r>
      <w:hyperlink r:id="rId26" w:history="1">
        <w:r w:rsidRPr="009A3DC6">
          <w:rPr>
            <w:rStyle w:val="Hyperlink"/>
            <w:rFonts w:ascii="Arial" w:hAnsi="Arial" w:cs="Arial"/>
            <w:sz w:val="20"/>
            <w:szCs w:val="20"/>
          </w:rPr>
          <w:t>https://doi.org/10.22036/pcr.2020.221177.1737</w:t>
        </w:r>
      </w:hyperlink>
      <w:r>
        <w:rPr>
          <w:rFonts w:ascii="Arial" w:hAnsi="Arial" w:cs="Arial"/>
          <w:color w:val="000000" w:themeColor="text1"/>
          <w:sz w:val="20"/>
          <w:szCs w:val="20"/>
        </w:rPr>
        <w:t xml:space="preserve"> </w:t>
      </w:r>
    </w:p>
    <w:p w14:paraId="0FFB7F1B" w14:textId="77777777"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color w:val="000000" w:themeColor="text1"/>
          <w:sz w:val="20"/>
          <w:szCs w:val="20"/>
        </w:rPr>
        <w:t xml:space="preserve">Adejumo, O. E., &amp; Adekoya, O. O. (2023). Fatty acid composition, physicochemical and antioxidant characteristics of indigenous </w:t>
      </w:r>
      <w:proofErr w:type="spellStart"/>
      <w:r w:rsidRPr="00C733BE">
        <w:rPr>
          <w:rFonts w:ascii="Arial" w:hAnsi="Arial" w:cs="Arial"/>
          <w:color w:val="000000" w:themeColor="text1"/>
          <w:sz w:val="20"/>
          <w:szCs w:val="20"/>
        </w:rPr>
        <w:t>Telfairia</w:t>
      </w:r>
      <w:proofErr w:type="spellEnd"/>
      <w:r w:rsidRPr="00C733BE">
        <w:rPr>
          <w:rFonts w:ascii="Arial" w:hAnsi="Arial" w:cs="Arial"/>
          <w:color w:val="000000" w:themeColor="text1"/>
          <w:sz w:val="20"/>
          <w:szCs w:val="20"/>
        </w:rPr>
        <w:t xml:space="preserve"> occidentalis (fluted pumpkin) </w:t>
      </w:r>
      <w:r w:rsidRPr="00C733BE">
        <w:rPr>
          <w:rFonts w:ascii="Arial" w:hAnsi="Arial" w:cs="Arial"/>
          <w:color w:val="000000" w:themeColor="text1"/>
          <w:sz w:val="20"/>
          <w:szCs w:val="20"/>
        </w:rPr>
        <w:lastRenderedPageBreak/>
        <w:t xml:space="preserve">seed oil from Ogun State, Nigeria. The Nigerian Journal of Pharmacy, 57(2), 643–652. </w:t>
      </w:r>
      <w:hyperlink r:id="rId27" w:history="1">
        <w:r w:rsidRPr="009A3DC6">
          <w:rPr>
            <w:rStyle w:val="Hyperlink"/>
            <w:rFonts w:ascii="Arial" w:hAnsi="Arial" w:cs="Arial"/>
            <w:sz w:val="20"/>
            <w:szCs w:val="20"/>
          </w:rPr>
          <w:t>https://doi.org/10.51412/psnnjp.2023.24</w:t>
        </w:r>
      </w:hyperlink>
      <w:r>
        <w:rPr>
          <w:rFonts w:ascii="Arial" w:hAnsi="Arial" w:cs="Arial"/>
          <w:color w:val="000000" w:themeColor="text1"/>
          <w:sz w:val="20"/>
          <w:szCs w:val="20"/>
        </w:rPr>
        <w:t xml:space="preserve"> </w:t>
      </w:r>
    </w:p>
    <w:p w14:paraId="3E47F11F"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Ado, J. N., Oko, O. J., </w:t>
      </w:r>
      <w:proofErr w:type="spellStart"/>
      <w:r w:rsidRPr="00C733BE">
        <w:rPr>
          <w:rFonts w:ascii="Arial" w:hAnsi="Arial" w:cs="Arial"/>
          <w:color w:val="000000" w:themeColor="text1"/>
          <w:sz w:val="20"/>
          <w:szCs w:val="20"/>
        </w:rPr>
        <w:t>Egwaikhide</w:t>
      </w:r>
      <w:proofErr w:type="spellEnd"/>
      <w:r w:rsidRPr="00C733BE">
        <w:rPr>
          <w:rFonts w:ascii="Arial" w:hAnsi="Arial" w:cs="Arial"/>
          <w:color w:val="000000" w:themeColor="text1"/>
          <w:sz w:val="20"/>
          <w:szCs w:val="20"/>
        </w:rPr>
        <w:t xml:space="preserve">, P. A., Japhet, T., &amp; Edmund, L. O. (2025). Assessment of physicochemical properties of Helianthus annuus and Sesamum indicum seed oils at varying temperatures. Nigerian Research Journal of Chemical Sciences, 13(1). </w:t>
      </w:r>
      <w:hyperlink r:id="rId28" w:history="1">
        <w:r w:rsidRPr="009A3DC6">
          <w:rPr>
            <w:rStyle w:val="Hyperlink"/>
            <w:rFonts w:ascii="Arial" w:hAnsi="Arial" w:cs="Arial"/>
            <w:sz w:val="20"/>
            <w:szCs w:val="20"/>
          </w:rPr>
          <w:t>http://www.unn.edu.ng/nigerian-research-journal-of-chemical-sciences/</w:t>
        </w:r>
      </w:hyperlink>
      <w:r>
        <w:rPr>
          <w:rFonts w:ascii="Arial" w:hAnsi="Arial" w:cs="Arial"/>
          <w:color w:val="000000" w:themeColor="text1"/>
          <w:sz w:val="20"/>
          <w:szCs w:val="20"/>
        </w:rPr>
        <w:t xml:space="preserve"> </w:t>
      </w:r>
    </w:p>
    <w:p w14:paraId="68FA0295" w14:textId="77777777"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Ajab, S. A., Nour, A. A. M., Nour, A. A. M., Abdulgadir, J. M., &amp; Akhtar, M. S. (2024). Physicochemical Properties and Fatty Acids Composition of Moringa Seed Oil Compared with Olive Oil. Egyptian Academic Journal of Biological Sciences. C, Physiology and Molecular Biology, 16(1), 243-251. </w:t>
      </w:r>
      <w:hyperlink r:id="rId29" w:history="1">
        <w:r w:rsidRPr="009A3DC6">
          <w:rPr>
            <w:rStyle w:val="Hyperlink"/>
            <w:rFonts w:ascii="Arial" w:hAnsi="Arial" w:cs="Arial"/>
            <w:sz w:val="20"/>
            <w:szCs w:val="20"/>
          </w:rPr>
          <w:t>https://doi.org/10.21608/eajbsc.2024.344273</w:t>
        </w:r>
      </w:hyperlink>
      <w:r>
        <w:rPr>
          <w:rFonts w:ascii="Arial" w:hAnsi="Arial" w:cs="Arial"/>
          <w:color w:val="000000" w:themeColor="text1"/>
          <w:sz w:val="20"/>
          <w:szCs w:val="20"/>
        </w:rPr>
        <w:t xml:space="preserve"> </w:t>
      </w:r>
    </w:p>
    <w:p w14:paraId="5A42038A" w14:textId="77777777"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t>Akpambang</w:t>
      </w:r>
      <w:proofErr w:type="spellEnd"/>
      <w:r w:rsidRPr="00003CA3">
        <w:rPr>
          <w:rFonts w:ascii="Arial" w:hAnsi="Arial" w:cs="Arial"/>
          <w:sz w:val="20"/>
          <w:szCs w:val="20"/>
        </w:rPr>
        <w:t xml:space="preserve">, V. O. E., Amoo, I. A., &amp; </w:t>
      </w:r>
      <w:proofErr w:type="spellStart"/>
      <w:r w:rsidRPr="00003CA3">
        <w:rPr>
          <w:rFonts w:ascii="Arial" w:hAnsi="Arial" w:cs="Arial"/>
          <w:sz w:val="20"/>
          <w:szCs w:val="20"/>
        </w:rPr>
        <w:t>Izuagie</w:t>
      </w:r>
      <w:proofErr w:type="spellEnd"/>
      <w:r w:rsidRPr="00003CA3">
        <w:rPr>
          <w:rFonts w:ascii="Arial" w:hAnsi="Arial" w:cs="Arial"/>
          <w:sz w:val="20"/>
          <w:szCs w:val="20"/>
        </w:rPr>
        <w:t>, A. A. (2008). Comparative compositional analysis on two varieties of melon (</w:t>
      </w:r>
      <w:proofErr w:type="spellStart"/>
      <w:r w:rsidRPr="00003CA3">
        <w:rPr>
          <w:rFonts w:ascii="Arial" w:hAnsi="Arial" w:cs="Arial"/>
          <w:i/>
          <w:iCs/>
          <w:sz w:val="20"/>
          <w:szCs w:val="20"/>
        </w:rPr>
        <w:t>Colocynthis</w:t>
      </w:r>
      <w:proofErr w:type="spellEnd"/>
      <w:r w:rsidRPr="00003CA3">
        <w:rPr>
          <w:rFonts w:ascii="Arial" w:hAnsi="Arial" w:cs="Arial"/>
          <w:i/>
          <w:iCs/>
          <w:sz w:val="20"/>
          <w:szCs w:val="20"/>
        </w:rPr>
        <w:t xml:space="preserve"> </w:t>
      </w:r>
      <w:proofErr w:type="spellStart"/>
      <w:r w:rsidRPr="00003CA3">
        <w:rPr>
          <w:rFonts w:ascii="Arial" w:hAnsi="Arial" w:cs="Arial"/>
          <w:i/>
          <w:iCs/>
          <w:sz w:val="20"/>
          <w:szCs w:val="20"/>
        </w:rPr>
        <w:t>citrullus</w:t>
      </w:r>
      <w:proofErr w:type="spellEnd"/>
      <w:r w:rsidRPr="00003CA3">
        <w:rPr>
          <w:rFonts w:ascii="Arial" w:hAnsi="Arial" w:cs="Arial"/>
          <w:sz w:val="20"/>
          <w:szCs w:val="20"/>
        </w:rPr>
        <w:t xml:space="preserve"> and </w:t>
      </w:r>
      <w:proofErr w:type="spellStart"/>
      <w:r w:rsidRPr="00003CA3">
        <w:rPr>
          <w:rFonts w:ascii="Arial" w:hAnsi="Arial" w:cs="Arial"/>
          <w:i/>
          <w:iCs/>
          <w:sz w:val="20"/>
          <w:szCs w:val="20"/>
        </w:rPr>
        <w:t>Cucumeropsis</w:t>
      </w:r>
      <w:proofErr w:type="spellEnd"/>
      <w:r w:rsidRPr="00003CA3">
        <w:rPr>
          <w:rFonts w:ascii="Arial" w:hAnsi="Arial" w:cs="Arial"/>
          <w:i/>
          <w:iCs/>
          <w:sz w:val="20"/>
          <w:szCs w:val="20"/>
        </w:rPr>
        <w:t xml:space="preserve"> edulis</w:t>
      </w:r>
      <w:r w:rsidRPr="00003CA3">
        <w:rPr>
          <w:rFonts w:ascii="Arial" w:hAnsi="Arial" w:cs="Arial"/>
          <w:sz w:val="20"/>
          <w:szCs w:val="20"/>
        </w:rPr>
        <w:t>) and a variety of almond (</w:t>
      </w:r>
      <w:r w:rsidRPr="00003CA3">
        <w:rPr>
          <w:rFonts w:ascii="Arial" w:hAnsi="Arial" w:cs="Arial"/>
          <w:i/>
          <w:iCs/>
          <w:sz w:val="20"/>
          <w:szCs w:val="20"/>
        </w:rPr>
        <w:t xml:space="preserve">Prunus </w:t>
      </w:r>
      <w:proofErr w:type="spellStart"/>
      <w:r w:rsidRPr="00003CA3">
        <w:rPr>
          <w:rFonts w:ascii="Arial" w:hAnsi="Arial" w:cs="Arial"/>
          <w:i/>
          <w:iCs/>
          <w:sz w:val="20"/>
          <w:szCs w:val="20"/>
        </w:rPr>
        <w:t>amygdalus</w:t>
      </w:r>
      <w:proofErr w:type="spellEnd"/>
      <w:r w:rsidRPr="00003CA3">
        <w:rPr>
          <w:rFonts w:ascii="Arial" w:hAnsi="Arial" w:cs="Arial"/>
          <w:sz w:val="20"/>
          <w:szCs w:val="20"/>
        </w:rPr>
        <w:t>). Research Journal of Agriculture and Biological Sciences, 4(6), 639 – 642</w:t>
      </w:r>
    </w:p>
    <w:p w14:paraId="318EB72D"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Anwar, F., &amp; Rashid, U. (2007). </w:t>
      </w:r>
      <w:proofErr w:type="spellStart"/>
      <w:r w:rsidRPr="00C733BE">
        <w:rPr>
          <w:rFonts w:ascii="Arial" w:hAnsi="Arial" w:cs="Arial"/>
          <w:color w:val="000000" w:themeColor="text1"/>
          <w:sz w:val="20"/>
          <w:szCs w:val="20"/>
        </w:rPr>
        <w:t>Physico</w:t>
      </w:r>
      <w:proofErr w:type="spellEnd"/>
      <w:r w:rsidRPr="00C733BE">
        <w:rPr>
          <w:rFonts w:ascii="Arial" w:hAnsi="Arial" w:cs="Arial"/>
          <w:color w:val="000000" w:themeColor="text1"/>
          <w:sz w:val="20"/>
          <w:szCs w:val="20"/>
        </w:rPr>
        <w:t xml:space="preserve">-chemical characteristics of Moringa oleifera seeds and seed oil from a wild provenance of Pakistan. Pakistan Journal of Botany, 39(5), 1443–1453. </w:t>
      </w:r>
      <w:hyperlink r:id="rId30" w:history="1">
        <w:r w:rsidRPr="009A3DC6">
          <w:rPr>
            <w:rStyle w:val="Hyperlink"/>
            <w:rFonts w:ascii="Arial" w:hAnsi="Arial" w:cs="Arial"/>
            <w:sz w:val="20"/>
            <w:szCs w:val="20"/>
          </w:rPr>
          <w:t>http://www.pakbs.org/pjbot/archive/pdfs/39(5)/PJB39(5)1443.pdf</w:t>
        </w:r>
      </w:hyperlink>
      <w:r>
        <w:rPr>
          <w:rFonts w:ascii="Arial" w:hAnsi="Arial" w:cs="Arial"/>
          <w:color w:val="000000" w:themeColor="text1"/>
          <w:sz w:val="20"/>
          <w:szCs w:val="20"/>
        </w:rPr>
        <w:t xml:space="preserve"> </w:t>
      </w:r>
    </w:p>
    <w:p w14:paraId="4B15FE5B" w14:textId="77777777"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AOAC International. (2016). Official Methods of Analysis of AOAC International (20th ed.). AOAC International. </w:t>
      </w:r>
      <w:hyperlink r:id="rId31" w:history="1">
        <w:r w:rsidRPr="009A3DC6">
          <w:rPr>
            <w:rStyle w:val="Hyperlink"/>
            <w:rFonts w:ascii="Arial" w:hAnsi="Arial" w:cs="Arial"/>
            <w:sz w:val="20"/>
            <w:szCs w:val="20"/>
          </w:rPr>
          <w:t>https://www.eoma.aoac.org</w:t>
        </w:r>
      </w:hyperlink>
      <w:r>
        <w:rPr>
          <w:rFonts w:ascii="Arial" w:hAnsi="Arial" w:cs="Arial"/>
          <w:color w:val="000000" w:themeColor="text1"/>
          <w:sz w:val="20"/>
          <w:szCs w:val="20"/>
        </w:rPr>
        <w:t xml:space="preserve"> </w:t>
      </w:r>
    </w:p>
    <w:p w14:paraId="25CBCE10" w14:textId="77777777" w:rsidR="00C733BE" w:rsidRP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sz w:val="20"/>
          <w:szCs w:val="20"/>
        </w:rPr>
        <w:t>Aremu, M. O., &amp; Akinwumi, O. D. (2014). Extraction, compositional and physicochemical characteristics of cashew (</w:t>
      </w:r>
      <w:proofErr w:type="spellStart"/>
      <w:r w:rsidRPr="00C733BE">
        <w:rPr>
          <w:rFonts w:ascii="Arial" w:hAnsi="Arial" w:cs="Arial"/>
          <w:sz w:val="20"/>
          <w:szCs w:val="20"/>
        </w:rPr>
        <w:t>Anarcadium</w:t>
      </w:r>
      <w:proofErr w:type="spellEnd"/>
      <w:r w:rsidRPr="00C733BE">
        <w:rPr>
          <w:rFonts w:ascii="Arial" w:hAnsi="Arial" w:cs="Arial"/>
          <w:sz w:val="20"/>
          <w:szCs w:val="20"/>
        </w:rPr>
        <w:t xml:space="preserve"> occidentale) nuts reject oil. Asian Journal of Applied Science and Engineering, 3, 33–40. </w:t>
      </w:r>
      <w:hyperlink r:id="rId32" w:history="1">
        <w:r w:rsidRPr="009A3DC6">
          <w:rPr>
            <w:rStyle w:val="Hyperlink"/>
            <w:rFonts w:ascii="Arial" w:hAnsi="Arial" w:cs="Arial"/>
            <w:sz w:val="20"/>
            <w:szCs w:val="20"/>
          </w:rPr>
          <w:t>https://ajase.weebly.com/archives.html</w:t>
        </w:r>
      </w:hyperlink>
      <w:r>
        <w:rPr>
          <w:rFonts w:ascii="Arial" w:hAnsi="Arial" w:cs="Arial"/>
          <w:sz w:val="20"/>
          <w:szCs w:val="20"/>
        </w:rPr>
        <w:t xml:space="preserve"> </w:t>
      </w:r>
    </w:p>
    <w:p w14:paraId="16AD0FF6"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Aremu, M. O., Ibrahim, H., &amp; Bamidele, T. O. (2015). Physicochemical characteristics of the oils extracted from some Nigerian plant foods – a review. Chemical and Process Engineering Research. </w:t>
      </w:r>
      <w:hyperlink r:id="rId33" w:history="1">
        <w:r w:rsidRPr="009A3DC6">
          <w:rPr>
            <w:rStyle w:val="Hyperlink"/>
            <w:rFonts w:ascii="Arial" w:hAnsi="Arial" w:cs="Arial"/>
            <w:sz w:val="20"/>
            <w:szCs w:val="20"/>
          </w:rPr>
          <w:t>https://www.iiste.org/Journals/index.php/CPER/article/view/20910</w:t>
        </w:r>
      </w:hyperlink>
      <w:r>
        <w:rPr>
          <w:rFonts w:ascii="Arial" w:hAnsi="Arial" w:cs="Arial"/>
          <w:color w:val="000000" w:themeColor="text1"/>
          <w:sz w:val="20"/>
          <w:szCs w:val="20"/>
        </w:rPr>
        <w:t xml:space="preserve"> </w:t>
      </w:r>
    </w:p>
    <w:p w14:paraId="084A032C" w14:textId="77777777"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Aslam, F., Iqbal, S., Ariq, H. B. T., Imran, M., Rebezov, M., Chumakov, V., Kenijz, N., &amp; Shariati, M. A. (2021). Physicochemical properties of chemically </w:t>
      </w:r>
      <w:proofErr w:type="spellStart"/>
      <w:r w:rsidRPr="00C733BE">
        <w:rPr>
          <w:rFonts w:ascii="Arial" w:hAnsi="Arial" w:cs="Arial"/>
          <w:color w:val="000000" w:themeColor="text1"/>
          <w:sz w:val="20"/>
          <w:szCs w:val="20"/>
        </w:rPr>
        <w:t>interesterified</w:t>
      </w:r>
      <w:proofErr w:type="spellEnd"/>
      <w:r w:rsidRPr="00C733BE">
        <w:rPr>
          <w:rFonts w:ascii="Arial" w:hAnsi="Arial" w:cs="Arial"/>
          <w:color w:val="000000" w:themeColor="text1"/>
          <w:sz w:val="20"/>
          <w:szCs w:val="20"/>
        </w:rPr>
        <w:t xml:space="preserve"> vegetable oils. Journal of Microbiology, Biotechnology and Food Sciences, 10(5), e4291. </w:t>
      </w:r>
      <w:hyperlink r:id="rId34" w:history="1">
        <w:r w:rsidRPr="009A3DC6">
          <w:rPr>
            <w:rStyle w:val="Hyperlink"/>
            <w:rFonts w:ascii="Arial" w:hAnsi="Arial" w:cs="Arial"/>
            <w:sz w:val="20"/>
            <w:szCs w:val="20"/>
          </w:rPr>
          <w:t>https://doi.org/10.15414/jmbfs.4291</w:t>
        </w:r>
      </w:hyperlink>
      <w:r>
        <w:rPr>
          <w:rFonts w:ascii="Arial" w:hAnsi="Arial" w:cs="Arial"/>
          <w:color w:val="000000" w:themeColor="text1"/>
          <w:sz w:val="20"/>
          <w:szCs w:val="20"/>
        </w:rPr>
        <w:t xml:space="preserve"> </w:t>
      </w:r>
    </w:p>
    <w:p w14:paraId="1A68684F" w14:textId="77777777" w:rsid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sz w:val="20"/>
          <w:szCs w:val="20"/>
        </w:rPr>
        <w:t xml:space="preserve">Ayoola, P. B., &amp; Adeyeye, A. (2010). Effect of heating on the chemical composition and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 – chemical properties of Arachis hypogea (groundnut) seed flour and oil. Pakistan Journal of Nutrition, 9(8), 751–754. </w:t>
      </w:r>
      <w:hyperlink r:id="rId35" w:history="1">
        <w:r w:rsidRPr="009A3DC6">
          <w:rPr>
            <w:rStyle w:val="Hyperlink"/>
            <w:rFonts w:ascii="Arial" w:hAnsi="Arial" w:cs="Arial"/>
            <w:sz w:val="20"/>
            <w:szCs w:val="20"/>
          </w:rPr>
          <w:t>https://doi.org/10.3923/pjn.2010.751.754</w:t>
        </w:r>
      </w:hyperlink>
      <w:r>
        <w:rPr>
          <w:rFonts w:ascii="Arial" w:hAnsi="Arial" w:cs="Arial"/>
          <w:sz w:val="20"/>
          <w:szCs w:val="20"/>
        </w:rPr>
        <w:t xml:space="preserve"> </w:t>
      </w:r>
    </w:p>
    <w:p w14:paraId="32765074" w14:textId="77777777"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Belewu</w:t>
      </w:r>
      <w:proofErr w:type="spellEnd"/>
      <w:r w:rsidRPr="00C733BE">
        <w:rPr>
          <w:rFonts w:ascii="Arial" w:hAnsi="Arial" w:cs="Arial"/>
          <w:sz w:val="20"/>
          <w:szCs w:val="20"/>
        </w:rPr>
        <w:t xml:space="preserve">, M. A., Adekola, F. A., Adebayo, G. B., Ameen, O. M., Muhammed, N. O., Olaniyan, A. M., Adekola, O. F., &amp; Musa, A. K. (2010).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-chemical characteristics of oil and biodiesel from Nigerian and Indian Jatropha </w:t>
      </w:r>
      <w:proofErr w:type="spellStart"/>
      <w:r w:rsidRPr="00C733BE">
        <w:rPr>
          <w:rFonts w:ascii="Arial" w:hAnsi="Arial" w:cs="Arial"/>
          <w:sz w:val="20"/>
          <w:szCs w:val="20"/>
        </w:rPr>
        <w:t>curcas</w:t>
      </w:r>
      <w:proofErr w:type="spellEnd"/>
      <w:r w:rsidRPr="00C733BE">
        <w:rPr>
          <w:rFonts w:ascii="Arial" w:hAnsi="Arial" w:cs="Arial"/>
          <w:sz w:val="20"/>
          <w:szCs w:val="20"/>
        </w:rPr>
        <w:t xml:space="preserve"> seeds. International Journal of Biological and Chemical Sciences, 4(2), 524–529. </w:t>
      </w:r>
      <w:hyperlink r:id="rId36" w:history="1">
        <w:r w:rsidRPr="009A3DC6">
          <w:rPr>
            <w:rStyle w:val="Hyperlink"/>
            <w:rFonts w:ascii="Arial" w:hAnsi="Arial" w:cs="Arial"/>
            <w:sz w:val="20"/>
            <w:szCs w:val="20"/>
          </w:rPr>
          <w:t>https://doi.org/10.4314/ijbcs.v4i2.58169</w:t>
        </w:r>
      </w:hyperlink>
      <w:r>
        <w:rPr>
          <w:rFonts w:ascii="Arial" w:hAnsi="Arial" w:cs="Arial"/>
          <w:sz w:val="20"/>
          <w:szCs w:val="20"/>
        </w:rPr>
        <w:t xml:space="preserve"> </w:t>
      </w:r>
    </w:p>
    <w:p w14:paraId="7FF93CFE" w14:textId="77777777"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t>Bwade</w:t>
      </w:r>
      <w:proofErr w:type="spellEnd"/>
      <w:r w:rsidRPr="00003CA3">
        <w:rPr>
          <w:rFonts w:ascii="Arial" w:hAnsi="Arial" w:cs="Arial"/>
          <w:sz w:val="20"/>
          <w:szCs w:val="20"/>
        </w:rPr>
        <w:t xml:space="preserve">, K. E., Aliyu, B., &amp; </w:t>
      </w:r>
      <w:proofErr w:type="spellStart"/>
      <w:r w:rsidRPr="00003CA3">
        <w:rPr>
          <w:rFonts w:ascii="Arial" w:hAnsi="Arial" w:cs="Arial"/>
          <w:sz w:val="20"/>
          <w:szCs w:val="20"/>
        </w:rPr>
        <w:t>Kwaji</w:t>
      </w:r>
      <w:proofErr w:type="spellEnd"/>
      <w:r w:rsidRPr="00003CA3">
        <w:rPr>
          <w:rFonts w:ascii="Arial" w:hAnsi="Arial" w:cs="Arial"/>
          <w:sz w:val="20"/>
          <w:szCs w:val="20"/>
        </w:rPr>
        <w:t>, A. M. (2013). physicochemical properties of pumpkin seed oil relevant to bio diesel production and other industrial applications. International Journal of Engineering, Business and Enterprise Applications, 4(1), 72 – 78.</w:t>
      </w:r>
    </w:p>
    <w:p w14:paraId="17A5C7B9"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lastRenderedPageBreak/>
        <w:t>Cervera-</w:t>
      </w:r>
      <w:proofErr w:type="spellStart"/>
      <w:r w:rsidRPr="00C733BE">
        <w:rPr>
          <w:rFonts w:ascii="Arial" w:hAnsi="Arial" w:cs="Arial"/>
          <w:color w:val="000000" w:themeColor="text1"/>
          <w:sz w:val="20"/>
          <w:szCs w:val="20"/>
        </w:rPr>
        <w:t>Chiner</w:t>
      </w:r>
      <w:proofErr w:type="spellEnd"/>
      <w:r w:rsidRPr="00C733BE">
        <w:rPr>
          <w:rFonts w:ascii="Arial" w:hAnsi="Arial" w:cs="Arial"/>
          <w:color w:val="000000" w:themeColor="text1"/>
          <w:sz w:val="20"/>
          <w:szCs w:val="20"/>
        </w:rPr>
        <w:t>, L., Pageo, S., Juan-</w:t>
      </w:r>
      <w:proofErr w:type="spellStart"/>
      <w:r w:rsidRPr="00C733BE">
        <w:rPr>
          <w:rFonts w:ascii="Arial" w:hAnsi="Arial" w:cs="Arial"/>
          <w:color w:val="000000" w:themeColor="text1"/>
          <w:sz w:val="20"/>
          <w:szCs w:val="20"/>
        </w:rPr>
        <w:t>Borrás</w:t>
      </w:r>
      <w:proofErr w:type="spellEnd"/>
      <w:r w:rsidRPr="00C733BE">
        <w:rPr>
          <w:rFonts w:ascii="Arial" w:hAnsi="Arial" w:cs="Arial"/>
          <w:color w:val="000000" w:themeColor="text1"/>
          <w:sz w:val="20"/>
          <w:szCs w:val="20"/>
        </w:rPr>
        <w:t xml:space="preserve">, M., García-Mares, F. J., </w:t>
      </w:r>
      <w:proofErr w:type="spellStart"/>
      <w:r w:rsidRPr="00C733BE">
        <w:rPr>
          <w:rFonts w:ascii="Arial" w:hAnsi="Arial" w:cs="Arial"/>
          <w:color w:val="000000" w:themeColor="text1"/>
          <w:sz w:val="20"/>
          <w:szCs w:val="20"/>
        </w:rPr>
        <w:t>Castelló</w:t>
      </w:r>
      <w:proofErr w:type="spellEnd"/>
      <w:r w:rsidRPr="00C733BE">
        <w:rPr>
          <w:rFonts w:ascii="Arial" w:hAnsi="Arial" w:cs="Arial"/>
          <w:color w:val="000000" w:themeColor="text1"/>
          <w:sz w:val="20"/>
          <w:szCs w:val="20"/>
        </w:rPr>
        <w:t xml:space="preserve">, M. L., &amp; </w:t>
      </w:r>
      <w:proofErr w:type="spellStart"/>
      <w:r w:rsidRPr="00C733BE">
        <w:rPr>
          <w:rFonts w:ascii="Arial" w:hAnsi="Arial" w:cs="Arial"/>
          <w:color w:val="000000" w:themeColor="text1"/>
          <w:sz w:val="20"/>
          <w:szCs w:val="20"/>
        </w:rPr>
        <w:t>Ortolá</w:t>
      </w:r>
      <w:proofErr w:type="spellEnd"/>
      <w:r w:rsidRPr="00C733BE">
        <w:rPr>
          <w:rFonts w:ascii="Arial" w:hAnsi="Arial" w:cs="Arial"/>
          <w:color w:val="000000" w:themeColor="text1"/>
          <w:sz w:val="20"/>
          <w:szCs w:val="20"/>
        </w:rPr>
        <w:t xml:space="preserve">, M. D. (2024). Fatty Acid Profile and Physicochemical Properties of Moringa oleifera Seed Oil Extracted at Different Temperatures. Foods, 13(17), 2733. </w:t>
      </w:r>
      <w:hyperlink r:id="rId37" w:history="1">
        <w:r w:rsidRPr="009A3DC6">
          <w:rPr>
            <w:rStyle w:val="Hyperlink"/>
            <w:rFonts w:ascii="Arial" w:hAnsi="Arial" w:cs="Arial"/>
            <w:sz w:val="20"/>
            <w:szCs w:val="20"/>
          </w:rPr>
          <w:t>https://doi.org/10.3390/foods13172733</w:t>
        </w:r>
      </w:hyperlink>
      <w:r>
        <w:rPr>
          <w:rFonts w:ascii="Arial" w:hAnsi="Arial" w:cs="Arial"/>
          <w:color w:val="000000" w:themeColor="text1"/>
          <w:sz w:val="20"/>
          <w:szCs w:val="20"/>
        </w:rPr>
        <w:t xml:space="preserve"> </w:t>
      </w:r>
    </w:p>
    <w:p w14:paraId="4DEBC9F7"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Eze, P. N., Irabor, E. E. I., &amp; Akanbi, M. N. (2025). Physicochemical Characterization of Calliandra surinamensis Seed Oil. Faculty of Natural and Applied Sciences Journal of Applied Biological Sciences, 2(2), 97–101. </w:t>
      </w:r>
      <w:hyperlink r:id="rId38" w:history="1">
        <w:r w:rsidRPr="009A3DC6">
          <w:rPr>
            <w:rStyle w:val="Hyperlink"/>
            <w:rFonts w:ascii="Arial" w:hAnsi="Arial" w:cs="Arial"/>
            <w:sz w:val="20"/>
            <w:szCs w:val="20"/>
          </w:rPr>
          <w:t>https://fnasjournals.com/index.php/FNAS-JABS/article/view/755</w:t>
        </w:r>
      </w:hyperlink>
      <w:r>
        <w:rPr>
          <w:rFonts w:ascii="Arial" w:hAnsi="Arial" w:cs="Arial"/>
          <w:color w:val="000000" w:themeColor="text1"/>
          <w:sz w:val="20"/>
          <w:szCs w:val="20"/>
        </w:rPr>
        <w:t xml:space="preserve"> </w:t>
      </w:r>
    </w:p>
    <w:p w14:paraId="69AFE6B0"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Ichu, C.B., &amp; Nwakanma, H.O. (2019). Comparative Study of the Physicochemical Characterization and Quality of Edible Vegetable Oils. International Journal of Research in Informative Science Application &amp; Techniques (IJRISAT), 3(2), 1–9. </w:t>
      </w:r>
      <w:hyperlink r:id="rId39" w:history="1">
        <w:r w:rsidRPr="009A3DC6">
          <w:rPr>
            <w:rStyle w:val="Hyperlink"/>
            <w:rFonts w:ascii="Arial" w:hAnsi="Arial" w:cs="Arial"/>
            <w:sz w:val="20"/>
            <w:szCs w:val="20"/>
          </w:rPr>
          <w:t>https://doi.org/10.46828/ijrisat.v3i2.56</w:t>
        </w:r>
      </w:hyperlink>
      <w:r>
        <w:rPr>
          <w:rFonts w:ascii="Arial" w:hAnsi="Arial" w:cs="Arial"/>
          <w:color w:val="000000" w:themeColor="text1"/>
          <w:sz w:val="20"/>
          <w:szCs w:val="20"/>
        </w:rPr>
        <w:t xml:space="preserve"> </w:t>
      </w:r>
    </w:p>
    <w:p w14:paraId="1C31E59A"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Kiin-Kabari, D. B., Umunna, P. S., &amp; </w:t>
      </w:r>
      <w:proofErr w:type="spellStart"/>
      <w:r w:rsidRPr="00C733BE">
        <w:rPr>
          <w:rFonts w:ascii="Arial" w:hAnsi="Arial" w:cs="Arial"/>
          <w:color w:val="000000" w:themeColor="text1"/>
          <w:sz w:val="20"/>
          <w:szCs w:val="20"/>
        </w:rPr>
        <w:t>Giami</w:t>
      </w:r>
      <w:proofErr w:type="spellEnd"/>
      <w:r w:rsidRPr="00C733BE">
        <w:rPr>
          <w:rFonts w:ascii="Arial" w:hAnsi="Arial" w:cs="Arial"/>
          <w:color w:val="000000" w:themeColor="text1"/>
          <w:sz w:val="20"/>
          <w:szCs w:val="20"/>
        </w:rPr>
        <w:t xml:space="preserve">, S. Y. (2020). Physicochemical Properties and Fatty Acid Profile of African Elemi Fruit Pulp Oil Compared with Palm Kernel Oil. European Journal of Agriculture and Food Sciences, 2(6). </w:t>
      </w:r>
      <w:hyperlink r:id="rId40" w:history="1">
        <w:r w:rsidRPr="009A3DC6">
          <w:rPr>
            <w:rStyle w:val="Hyperlink"/>
            <w:rFonts w:ascii="Arial" w:hAnsi="Arial" w:cs="Arial"/>
            <w:sz w:val="20"/>
            <w:szCs w:val="20"/>
          </w:rPr>
          <w:t>https://doi.org/10.24018/ejfood.2020.2.6.149</w:t>
        </w:r>
      </w:hyperlink>
      <w:r>
        <w:rPr>
          <w:rFonts w:ascii="Arial" w:hAnsi="Arial" w:cs="Arial"/>
          <w:color w:val="000000" w:themeColor="text1"/>
          <w:sz w:val="20"/>
          <w:szCs w:val="20"/>
        </w:rPr>
        <w:t xml:space="preserve"> </w:t>
      </w:r>
    </w:p>
    <w:p w14:paraId="4141FB7E" w14:textId="77777777" w:rsidR="00250991" w:rsidRPr="00003CA3" w:rsidRDefault="00250991" w:rsidP="00250991">
      <w:pPr>
        <w:pStyle w:val="ListParagraph"/>
        <w:numPr>
          <w:ilvl w:val="0"/>
          <w:numId w:val="31"/>
        </w:numPr>
        <w:jc w:val="both"/>
        <w:rPr>
          <w:rFonts w:ascii="Arial" w:hAnsi="Arial" w:cs="Arial"/>
          <w:color w:val="000000" w:themeColor="text1"/>
          <w:sz w:val="20"/>
          <w:szCs w:val="20"/>
        </w:rPr>
      </w:pPr>
      <w:proofErr w:type="spellStart"/>
      <w:r w:rsidRPr="00003CA3">
        <w:rPr>
          <w:rFonts w:ascii="Arial" w:hAnsi="Arial" w:cs="Arial"/>
          <w:color w:val="000000" w:themeColor="text1"/>
          <w:sz w:val="20"/>
          <w:szCs w:val="20"/>
        </w:rPr>
        <w:t>Ksairuddin</w:t>
      </w:r>
      <w:proofErr w:type="spellEnd"/>
      <w:r w:rsidRPr="00003CA3">
        <w:rPr>
          <w:rFonts w:ascii="Arial" w:hAnsi="Arial" w:cs="Arial"/>
          <w:color w:val="000000" w:themeColor="text1"/>
          <w:sz w:val="20"/>
          <w:szCs w:val="20"/>
        </w:rPr>
        <w:t xml:space="preserve">, M. M., Abdullah, A., &amp; Mohd Nor, N. (2024). Physicochemical properties, fatty acid composition and characterization of </w:t>
      </w:r>
      <w:r w:rsidRPr="00003CA3">
        <w:rPr>
          <w:rFonts w:ascii="Arial" w:hAnsi="Arial" w:cs="Arial"/>
          <w:i/>
          <w:iCs/>
          <w:color w:val="000000" w:themeColor="text1"/>
          <w:sz w:val="20"/>
          <w:szCs w:val="20"/>
        </w:rPr>
        <w:t>Helianthus annuus</w:t>
      </w:r>
      <w:r w:rsidRPr="00003CA3">
        <w:rPr>
          <w:rFonts w:ascii="Arial" w:hAnsi="Arial" w:cs="Arial"/>
          <w:color w:val="000000" w:themeColor="text1"/>
          <w:sz w:val="20"/>
          <w:szCs w:val="20"/>
        </w:rPr>
        <w:t xml:space="preserve"> seed oil. </w:t>
      </w:r>
      <w:r w:rsidRPr="00003CA3">
        <w:rPr>
          <w:rFonts w:ascii="Arial" w:hAnsi="Arial" w:cs="Arial"/>
          <w:i/>
          <w:iCs/>
          <w:color w:val="000000" w:themeColor="text1"/>
          <w:sz w:val="20"/>
          <w:szCs w:val="20"/>
        </w:rPr>
        <w:t>Malaysian Journal of Analytical Sciences, 28</w:t>
      </w:r>
      <w:r w:rsidRPr="00003CA3">
        <w:rPr>
          <w:rFonts w:ascii="Arial" w:hAnsi="Arial" w:cs="Arial"/>
          <w:color w:val="000000" w:themeColor="text1"/>
          <w:sz w:val="20"/>
          <w:szCs w:val="20"/>
        </w:rPr>
        <w:t>(6), 1258–1269. (</w:t>
      </w:r>
      <w:hyperlink r:id="rId41" w:tooltip="PHYSICOCHEMICAL PROPERTIES, FATTY ACIDS COMPOSITION AND CHARACTERIZATION OF Helianthus annuus SEED OIL" w:history="1">
        <w:r w:rsidRPr="00003CA3">
          <w:rPr>
            <w:rStyle w:val="Hyperlink"/>
            <w:rFonts w:ascii="Arial" w:hAnsi="Arial" w:cs="Arial"/>
            <w:color w:val="000000" w:themeColor="text1"/>
            <w:sz w:val="20"/>
            <w:szCs w:val="20"/>
          </w:rPr>
          <w:t>Malaysian Journal of Analytical Sciences</w:t>
        </w:r>
      </w:hyperlink>
      <w:r w:rsidRPr="00003CA3">
        <w:rPr>
          <w:rFonts w:ascii="Arial" w:hAnsi="Arial" w:cs="Arial"/>
          <w:color w:val="000000" w:themeColor="text1"/>
          <w:sz w:val="20"/>
          <w:szCs w:val="20"/>
        </w:rPr>
        <w:t>)</w:t>
      </w:r>
    </w:p>
    <w:p w14:paraId="1B59F39B"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Moshood, E. S., Nalado, D. D., Shittu, S. K., &amp; </w:t>
      </w:r>
      <w:proofErr w:type="spellStart"/>
      <w:r w:rsidRPr="00C733BE">
        <w:rPr>
          <w:rFonts w:ascii="Arial" w:hAnsi="Arial" w:cs="Arial"/>
          <w:color w:val="000000" w:themeColor="text1"/>
          <w:sz w:val="20"/>
          <w:szCs w:val="20"/>
        </w:rPr>
        <w:t>Kamaldeen</w:t>
      </w:r>
      <w:proofErr w:type="spellEnd"/>
      <w:r w:rsidRPr="00C733BE">
        <w:rPr>
          <w:rFonts w:ascii="Arial" w:hAnsi="Arial" w:cs="Arial"/>
          <w:color w:val="000000" w:themeColor="text1"/>
          <w:sz w:val="20"/>
          <w:szCs w:val="20"/>
        </w:rPr>
        <w:t xml:space="preserve">, O. S. (2022). Physicochemical properties of groundnut oil produced from </w:t>
      </w:r>
      <w:proofErr w:type="spellStart"/>
      <w:r w:rsidRPr="00C733BE">
        <w:rPr>
          <w:rFonts w:ascii="Arial" w:hAnsi="Arial" w:cs="Arial"/>
          <w:color w:val="000000" w:themeColor="text1"/>
          <w:sz w:val="20"/>
          <w:szCs w:val="20"/>
        </w:rPr>
        <w:t>Maibargo</w:t>
      </w:r>
      <w:proofErr w:type="spellEnd"/>
      <w:r w:rsidRPr="00C733BE">
        <w:rPr>
          <w:rFonts w:ascii="Arial" w:hAnsi="Arial" w:cs="Arial"/>
          <w:color w:val="000000" w:themeColor="text1"/>
          <w:sz w:val="20"/>
          <w:szCs w:val="20"/>
        </w:rPr>
        <w:t xml:space="preserve"> groundnut seed. American Journal of Agricultural Science, Engineering, and Technology, 6(3), 46–50. </w:t>
      </w:r>
      <w:hyperlink r:id="rId42" w:history="1">
        <w:r w:rsidRPr="009A3DC6">
          <w:rPr>
            <w:rStyle w:val="Hyperlink"/>
            <w:rFonts w:ascii="Arial" w:hAnsi="Arial" w:cs="Arial"/>
            <w:sz w:val="20"/>
            <w:szCs w:val="20"/>
          </w:rPr>
          <w:t>https://doi.org/10.54536/ajaset.v6i3.759</w:t>
        </w:r>
      </w:hyperlink>
      <w:r>
        <w:rPr>
          <w:rFonts w:ascii="Arial" w:hAnsi="Arial" w:cs="Arial"/>
          <w:color w:val="000000" w:themeColor="text1"/>
          <w:sz w:val="20"/>
          <w:szCs w:val="20"/>
        </w:rPr>
        <w:t xml:space="preserve"> </w:t>
      </w:r>
    </w:p>
    <w:p w14:paraId="64E34B30" w14:textId="77777777"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Muhammad, H. S., Agada, R., </w:t>
      </w:r>
      <w:proofErr w:type="spellStart"/>
      <w:r w:rsidRPr="00C733BE">
        <w:rPr>
          <w:rFonts w:ascii="Arial" w:hAnsi="Arial" w:cs="Arial"/>
          <w:color w:val="000000" w:themeColor="text1"/>
          <w:sz w:val="20"/>
          <w:szCs w:val="20"/>
        </w:rPr>
        <w:t>Ogaji</w:t>
      </w:r>
      <w:proofErr w:type="spellEnd"/>
      <w:r w:rsidRPr="00C733BE">
        <w:rPr>
          <w:rFonts w:ascii="Arial" w:hAnsi="Arial" w:cs="Arial"/>
          <w:color w:val="000000" w:themeColor="text1"/>
          <w:sz w:val="20"/>
          <w:szCs w:val="20"/>
        </w:rPr>
        <w:t xml:space="preserve">, I. J., &amp; </w:t>
      </w:r>
      <w:proofErr w:type="spellStart"/>
      <w:r w:rsidRPr="00C733BE">
        <w:rPr>
          <w:rFonts w:ascii="Arial" w:hAnsi="Arial" w:cs="Arial"/>
          <w:color w:val="000000" w:themeColor="text1"/>
          <w:sz w:val="20"/>
          <w:szCs w:val="20"/>
        </w:rPr>
        <w:t>Ngwuluka</w:t>
      </w:r>
      <w:proofErr w:type="spellEnd"/>
      <w:r w:rsidRPr="00C733BE">
        <w:rPr>
          <w:rFonts w:ascii="Arial" w:hAnsi="Arial" w:cs="Arial"/>
          <w:color w:val="000000" w:themeColor="text1"/>
          <w:sz w:val="20"/>
          <w:szCs w:val="20"/>
        </w:rPr>
        <w:t xml:space="preserve">, N. S. (2023). Physicochemical characterization and fatty acids composition of four indigenous plant oils. Scientific African, 20, e01669. </w:t>
      </w:r>
      <w:hyperlink r:id="rId43" w:history="1">
        <w:r w:rsidRPr="009A3DC6">
          <w:rPr>
            <w:rStyle w:val="Hyperlink"/>
            <w:rFonts w:ascii="Arial" w:hAnsi="Arial" w:cs="Arial"/>
            <w:sz w:val="20"/>
            <w:szCs w:val="20"/>
          </w:rPr>
          <w:t>https://doi.org/10.1016/j.sciaf.2023.e01669</w:t>
        </w:r>
      </w:hyperlink>
      <w:r>
        <w:rPr>
          <w:rFonts w:ascii="Arial" w:hAnsi="Arial" w:cs="Arial"/>
          <w:color w:val="000000" w:themeColor="text1"/>
          <w:sz w:val="20"/>
          <w:szCs w:val="20"/>
        </w:rPr>
        <w:t xml:space="preserve"> </w:t>
      </w:r>
    </w:p>
    <w:p w14:paraId="7EC84E05" w14:textId="77777777"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Nangbes</w:t>
      </w:r>
      <w:proofErr w:type="spellEnd"/>
      <w:r w:rsidRPr="00C733BE">
        <w:rPr>
          <w:rFonts w:ascii="Arial" w:hAnsi="Arial" w:cs="Arial"/>
          <w:sz w:val="20"/>
          <w:szCs w:val="20"/>
        </w:rPr>
        <w:t xml:space="preserve">, J. G., </w:t>
      </w:r>
      <w:proofErr w:type="spellStart"/>
      <w:r w:rsidRPr="00C733BE">
        <w:rPr>
          <w:rFonts w:ascii="Arial" w:hAnsi="Arial" w:cs="Arial"/>
          <w:sz w:val="20"/>
          <w:szCs w:val="20"/>
        </w:rPr>
        <w:t>Nvau</w:t>
      </w:r>
      <w:proofErr w:type="spellEnd"/>
      <w:r w:rsidRPr="00C733BE">
        <w:rPr>
          <w:rFonts w:ascii="Arial" w:hAnsi="Arial" w:cs="Arial"/>
          <w:sz w:val="20"/>
          <w:szCs w:val="20"/>
        </w:rPr>
        <w:t xml:space="preserve">, J. B., Buba, W. M., &amp; </w:t>
      </w:r>
      <w:proofErr w:type="spellStart"/>
      <w:r w:rsidRPr="00C733BE">
        <w:rPr>
          <w:rFonts w:ascii="Arial" w:hAnsi="Arial" w:cs="Arial"/>
          <w:sz w:val="20"/>
          <w:szCs w:val="20"/>
        </w:rPr>
        <w:t>Zukdimma</w:t>
      </w:r>
      <w:proofErr w:type="spellEnd"/>
      <w:r w:rsidRPr="00C733BE">
        <w:rPr>
          <w:rFonts w:ascii="Arial" w:hAnsi="Arial" w:cs="Arial"/>
          <w:sz w:val="20"/>
          <w:szCs w:val="20"/>
        </w:rPr>
        <w:t xml:space="preserve">, A. N. (2013). Extraction and characterization of castor (Ricinus Communis) seed oil. The International Journal of Engineering and Science (IJES), 2(9), 105–109. </w:t>
      </w:r>
      <w:hyperlink r:id="rId44" w:history="1">
        <w:r w:rsidRPr="009A3DC6">
          <w:rPr>
            <w:rStyle w:val="Hyperlink"/>
            <w:rFonts w:ascii="Arial" w:hAnsi="Arial" w:cs="Arial"/>
            <w:sz w:val="20"/>
            <w:szCs w:val="20"/>
          </w:rPr>
          <w:t>https://www.theijes.com/papers/v2-i9/Part-2/B02920105109.pdf</w:t>
        </w:r>
      </w:hyperlink>
      <w:r>
        <w:rPr>
          <w:rFonts w:ascii="Arial" w:hAnsi="Arial" w:cs="Arial"/>
          <w:sz w:val="20"/>
          <w:szCs w:val="20"/>
        </w:rPr>
        <w:t xml:space="preserve"> </w:t>
      </w:r>
    </w:p>
    <w:p w14:paraId="656610FF" w14:textId="77777777" w:rsidR="00250991" w:rsidRPr="00003CA3" w:rsidRDefault="00250991" w:rsidP="00250991">
      <w:pPr>
        <w:pStyle w:val="ListParagraph"/>
        <w:numPr>
          <w:ilvl w:val="0"/>
          <w:numId w:val="31"/>
        </w:numPr>
        <w:spacing w:after="160" w:line="278" w:lineRule="auto"/>
        <w:rPr>
          <w:rFonts w:ascii="Arial" w:hAnsi="Arial" w:cs="Arial"/>
          <w:sz w:val="20"/>
          <w:szCs w:val="20"/>
        </w:rPr>
      </w:pPr>
      <w:r w:rsidRPr="00003CA3">
        <w:rPr>
          <w:rFonts w:ascii="Arial" w:hAnsi="Arial" w:cs="Arial"/>
          <w:sz w:val="20"/>
          <w:szCs w:val="20"/>
        </w:rPr>
        <w:t xml:space="preserve">Njoku, O. U., Boniface, J. A. E., </w:t>
      </w:r>
      <w:proofErr w:type="spellStart"/>
      <w:r w:rsidRPr="00003CA3">
        <w:rPr>
          <w:rFonts w:ascii="Arial" w:hAnsi="Arial" w:cs="Arial"/>
          <w:sz w:val="20"/>
          <w:szCs w:val="20"/>
        </w:rPr>
        <w:t>Obitte</w:t>
      </w:r>
      <w:proofErr w:type="spellEnd"/>
      <w:r w:rsidRPr="00003CA3">
        <w:rPr>
          <w:rFonts w:ascii="Arial" w:hAnsi="Arial" w:cs="Arial"/>
          <w:sz w:val="20"/>
          <w:szCs w:val="20"/>
        </w:rPr>
        <w:t xml:space="preserve"> N. C., Odimegwu, D. C., &amp; Ogbu, H. I. (2010). Some </w:t>
      </w:r>
      <w:proofErr w:type="spellStart"/>
      <w:r w:rsidRPr="00003CA3">
        <w:rPr>
          <w:rFonts w:ascii="Arial" w:hAnsi="Arial" w:cs="Arial"/>
          <w:sz w:val="20"/>
          <w:szCs w:val="20"/>
        </w:rPr>
        <w:t>nutriceutical</w:t>
      </w:r>
      <w:proofErr w:type="spellEnd"/>
      <w:r w:rsidRPr="00003CA3">
        <w:rPr>
          <w:rFonts w:ascii="Arial" w:hAnsi="Arial" w:cs="Arial"/>
          <w:sz w:val="20"/>
          <w:szCs w:val="20"/>
        </w:rPr>
        <w:t xml:space="preserve"> potential of benniseed oil. International Journal of Applied Research in Natural Products, 2(4), 11 – 19.</w:t>
      </w:r>
    </w:p>
    <w:p w14:paraId="17A6F828" w14:textId="77777777" w:rsidR="00C733BE" w:rsidRP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sz w:val="20"/>
          <w:szCs w:val="20"/>
        </w:rPr>
        <w:t>Nwabanne</w:t>
      </w:r>
      <w:proofErr w:type="spellEnd"/>
      <w:r w:rsidRPr="00C733BE">
        <w:rPr>
          <w:rFonts w:ascii="Arial" w:hAnsi="Arial" w:cs="Arial"/>
          <w:sz w:val="20"/>
          <w:szCs w:val="20"/>
        </w:rPr>
        <w:t xml:space="preserve">, J. T. (2012). Kinetics and thermodynamics study of oil extraction from fluted pumpkin seed. International Journal of Multidisciplinary Sciences and Engineering, 3(6), 11–15. </w:t>
      </w:r>
      <w:hyperlink r:id="rId45" w:history="1">
        <w:r w:rsidRPr="009A3DC6">
          <w:rPr>
            <w:rStyle w:val="Hyperlink"/>
            <w:rFonts w:ascii="Arial" w:hAnsi="Arial" w:cs="Arial"/>
            <w:sz w:val="20"/>
            <w:szCs w:val="20"/>
          </w:rPr>
          <w:t>http://www.ijmse.org/html_papers/ijmse-v3n6-2012/ijmse-v3n6-2012-11.pdf</w:t>
        </w:r>
      </w:hyperlink>
      <w:r>
        <w:rPr>
          <w:rFonts w:ascii="Arial" w:hAnsi="Arial" w:cs="Arial"/>
          <w:sz w:val="20"/>
          <w:szCs w:val="20"/>
        </w:rPr>
        <w:t xml:space="preserve"> </w:t>
      </w:r>
    </w:p>
    <w:p w14:paraId="7B8AD11F" w14:textId="77777777"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Oginni</w:t>
      </w:r>
      <w:proofErr w:type="spellEnd"/>
      <w:r w:rsidRPr="00C733BE">
        <w:rPr>
          <w:rFonts w:ascii="Arial" w:hAnsi="Arial" w:cs="Arial"/>
          <w:color w:val="000000" w:themeColor="text1"/>
          <w:sz w:val="20"/>
          <w:szCs w:val="20"/>
        </w:rPr>
        <w:t xml:space="preserve">, A. O., Adewuyi, A., &amp; </w:t>
      </w:r>
      <w:proofErr w:type="spellStart"/>
      <w:r w:rsidRPr="00C733BE">
        <w:rPr>
          <w:rFonts w:ascii="Arial" w:hAnsi="Arial" w:cs="Arial"/>
          <w:color w:val="000000" w:themeColor="text1"/>
          <w:sz w:val="20"/>
          <w:szCs w:val="20"/>
        </w:rPr>
        <w:t>Oderinde</w:t>
      </w:r>
      <w:proofErr w:type="spellEnd"/>
      <w:r w:rsidRPr="00C733BE">
        <w:rPr>
          <w:rFonts w:ascii="Arial" w:hAnsi="Arial" w:cs="Arial"/>
          <w:color w:val="000000" w:themeColor="text1"/>
          <w:sz w:val="20"/>
          <w:szCs w:val="20"/>
        </w:rPr>
        <w:t xml:space="preserve">, R. A. (2024). Physicochemical Properties of the Seed Oil of Khaya senegalensis. Food and Nutrition Sciences, 15, 171-178. </w:t>
      </w:r>
      <w:hyperlink r:id="rId46" w:history="1">
        <w:r w:rsidRPr="009A3DC6">
          <w:rPr>
            <w:rStyle w:val="Hyperlink"/>
            <w:rFonts w:ascii="Arial" w:hAnsi="Arial" w:cs="Arial"/>
            <w:sz w:val="20"/>
            <w:szCs w:val="20"/>
          </w:rPr>
          <w:t>https://doi.org/10.4236/fns.2024.153010</w:t>
        </w:r>
      </w:hyperlink>
      <w:r>
        <w:rPr>
          <w:rFonts w:ascii="Arial" w:hAnsi="Arial" w:cs="Arial"/>
          <w:color w:val="000000" w:themeColor="text1"/>
          <w:sz w:val="20"/>
          <w:szCs w:val="20"/>
        </w:rPr>
        <w:t xml:space="preserve"> </w:t>
      </w:r>
    </w:p>
    <w:p w14:paraId="1785941E" w14:textId="77777777"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Oguche</w:t>
      </w:r>
      <w:proofErr w:type="spellEnd"/>
      <w:r w:rsidRPr="00C733BE">
        <w:rPr>
          <w:rFonts w:ascii="Arial" w:hAnsi="Arial" w:cs="Arial"/>
          <w:color w:val="000000" w:themeColor="text1"/>
          <w:sz w:val="20"/>
          <w:szCs w:val="20"/>
        </w:rPr>
        <w:t xml:space="preserve">, S. O. (2021). Extraction and Physicochemical Characterization of Sunflower Seed Oil. International Journal of Scientific Research in Chemical Sciences, 8(5), 1–3. </w:t>
      </w:r>
      <w:hyperlink r:id="rId47" w:history="1">
        <w:r w:rsidRPr="009A3DC6">
          <w:rPr>
            <w:rStyle w:val="Hyperlink"/>
            <w:rFonts w:ascii="Arial" w:hAnsi="Arial" w:cs="Arial"/>
            <w:sz w:val="20"/>
            <w:szCs w:val="20"/>
          </w:rPr>
          <w:t>https://www.researchgate.net/publication/358640000_Extraction_and_Physicochemical_Characterization_of_Sunflower_Seed_Oil</w:t>
        </w:r>
      </w:hyperlink>
      <w:r>
        <w:rPr>
          <w:rFonts w:ascii="Arial" w:hAnsi="Arial" w:cs="Arial"/>
          <w:color w:val="000000" w:themeColor="text1"/>
          <w:sz w:val="20"/>
          <w:szCs w:val="20"/>
        </w:rPr>
        <w:t xml:space="preserve"> </w:t>
      </w:r>
    </w:p>
    <w:p w14:paraId="7A8FEE21" w14:textId="77777777"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lastRenderedPageBreak/>
        <w:t>Owheruo</w:t>
      </w:r>
      <w:proofErr w:type="spellEnd"/>
      <w:r w:rsidRPr="00C733BE">
        <w:rPr>
          <w:rFonts w:ascii="Arial" w:hAnsi="Arial" w:cs="Arial"/>
          <w:color w:val="000000" w:themeColor="text1"/>
          <w:sz w:val="20"/>
          <w:szCs w:val="20"/>
        </w:rPr>
        <w:t xml:space="preserve">, J. O., Edo, G. I., </w:t>
      </w:r>
      <w:proofErr w:type="spellStart"/>
      <w:r w:rsidRPr="00C733BE">
        <w:rPr>
          <w:rFonts w:ascii="Arial" w:hAnsi="Arial" w:cs="Arial"/>
          <w:color w:val="000000" w:themeColor="text1"/>
          <w:sz w:val="20"/>
          <w:szCs w:val="20"/>
        </w:rPr>
        <w:t>Akpoghelie</w:t>
      </w:r>
      <w:proofErr w:type="spellEnd"/>
      <w:r w:rsidRPr="00C733BE">
        <w:rPr>
          <w:rFonts w:ascii="Arial" w:hAnsi="Arial" w:cs="Arial"/>
          <w:color w:val="000000" w:themeColor="text1"/>
          <w:sz w:val="20"/>
          <w:szCs w:val="20"/>
        </w:rPr>
        <w:t xml:space="preserve">, P. O., Okoronkwo, K. A., </w:t>
      </w:r>
      <w:proofErr w:type="spellStart"/>
      <w:r w:rsidRPr="00C733BE">
        <w:rPr>
          <w:rFonts w:ascii="Arial" w:hAnsi="Arial" w:cs="Arial"/>
          <w:color w:val="000000" w:themeColor="text1"/>
          <w:sz w:val="20"/>
          <w:szCs w:val="20"/>
        </w:rPr>
        <w:t>Nwaogu</w:t>
      </w:r>
      <w:proofErr w:type="spellEnd"/>
      <w:r w:rsidRPr="00C733BE">
        <w:rPr>
          <w:rFonts w:ascii="Arial" w:hAnsi="Arial" w:cs="Arial"/>
          <w:color w:val="000000" w:themeColor="text1"/>
          <w:sz w:val="20"/>
          <w:szCs w:val="20"/>
        </w:rPr>
        <w:t xml:space="preserve">, M. U., </w:t>
      </w:r>
      <w:proofErr w:type="spellStart"/>
      <w:r w:rsidRPr="00C733BE">
        <w:rPr>
          <w:rFonts w:ascii="Arial" w:hAnsi="Arial" w:cs="Arial"/>
          <w:color w:val="000000" w:themeColor="text1"/>
          <w:sz w:val="20"/>
          <w:szCs w:val="20"/>
        </w:rPr>
        <w:t>Ojulari</w:t>
      </w:r>
      <w:proofErr w:type="spellEnd"/>
      <w:r w:rsidRPr="00C733BE">
        <w:rPr>
          <w:rFonts w:ascii="Arial" w:hAnsi="Arial" w:cs="Arial"/>
          <w:color w:val="000000" w:themeColor="text1"/>
          <w:sz w:val="20"/>
          <w:szCs w:val="20"/>
        </w:rPr>
        <w:t xml:space="preserve">, A. E., &amp; Agbo, J. J. (2024). Physicochemical Characteristics of Oils Extracted from Selected Underutilized Seeds in </w:t>
      </w:r>
      <w:proofErr w:type="spellStart"/>
      <w:r w:rsidRPr="00C733BE">
        <w:rPr>
          <w:rFonts w:ascii="Arial" w:hAnsi="Arial" w:cs="Arial"/>
          <w:color w:val="000000" w:themeColor="text1"/>
          <w:sz w:val="20"/>
          <w:szCs w:val="20"/>
        </w:rPr>
        <w:t>Ozoro</w:t>
      </w:r>
      <w:proofErr w:type="spellEnd"/>
      <w:r w:rsidRPr="00C733BE">
        <w:rPr>
          <w:rFonts w:ascii="Arial" w:hAnsi="Arial" w:cs="Arial"/>
          <w:color w:val="000000" w:themeColor="text1"/>
          <w:sz w:val="20"/>
          <w:szCs w:val="20"/>
        </w:rPr>
        <w:t xml:space="preserve">, Delta State, Nigeria. Natural Resources for Human Health, 4(1), 108–114. </w:t>
      </w:r>
      <w:hyperlink r:id="rId48" w:history="1">
        <w:r w:rsidRPr="009A3DC6">
          <w:rPr>
            <w:rStyle w:val="Hyperlink"/>
            <w:rFonts w:ascii="Arial" w:hAnsi="Arial" w:cs="Arial"/>
            <w:sz w:val="20"/>
            <w:szCs w:val="20"/>
          </w:rPr>
          <w:t>https://doi.org/10.53365/nrfhh/176713</w:t>
        </w:r>
      </w:hyperlink>
      <w:r>
        <w:rPr>
          <w:rFonts w:ascii="Arial" w:hAnsi="Arial" w:cs="Arial"/>
          <w:color w:val="000000" w:themeColor="text1"/>
          <w:sz w:val="20"/>
          <w:szCs w:val="20"/>
        </w:rPr>
        <w:t xml:space="preserve"> </w:t>
      </w:r>
    </w:p>
    <w:p w14:paraId="7EAF60C5" w14:textId="77777777" w:rsidR="00250991" w:rsidRPr="00003CA3" w:rsidRDefault="00250991" w:rsidP="00250991">
      <w:pPr>
        <w:pStyle w:val="ListParagraph"/>
        <w:numPr>
          <w:ilvl w:val="0"/>
          <w:numId w:val="31"/>
        </w:numPr>
        <w:jc w:val="both"/>
        <w:rPr>
          <w:rFonts w:ascii="Arial" w:hAnsi="Arial" w:cs="Arial"/>
          <w:color w:val="000000" w:themeColor="text1"/>
          <w:sz w:val="20"/>
          <w:szCs w:val="20"/>
        </w:rPr>
      </w:pPr>
      <w:r w:rsidRPr="00003CA3">
        <w:rPr>
          <w:rFonts w:ascii="Arial" w:hAnsi="Arial" w:cs="Arial"/>
          <w:color w:val="000000" w:themeColor="text1"/>
          <w:sz w:val="20"/>
          <w:szCs w:val="20"/>
        </w:rPr>
        <w:t xml:space="preserve">Popoola, C. A., &amp; Haruna, A. D. (2024). Comparative analysis of physicochemical properties of oils from groundnut, melon, watermelon and orange seeds. </w:t>
      </w:r>
      <w:r w:rsidRPr="00003CA3">
        <w:rPr>
          <w:rFonts w:ascii="Arial" w:hAnsi="Arial" w:cs="Arial"/>
          <w:i/>
          <w:iCs/>
          <w:color w:val="000000" w:themeColor="text1"/>
          <w:sz w:val="20"/>
          <w:szCs w:val="20"/>
        </w:rPr>
        <w:t>International Journal of Research and Innovation in Applied Science (IJRIAS), 9</w:t>
      </w:r>
      <w:r w:rsidRPr="00003CA3">
        <w:rPr>
          <w:rFonts w:ascii="Arial" w:hAnsi="Arial" w:cs="Arial"/>
          <w:color w:val="000000" w:themeColor="text1"/>
          <w:sz w:val="20"/>
          <w:szCs w:val="20"/>
        </w:rPr>
        <w:t xml:space="preserve">(7). </w:t>
      </w:r>
      <w:hyperlink r:id="rId49" w:history="1">
        <w:r w:rsidRPr="00003CA3">
          <w:rPr>
            <w:rStyle w:val="Hyperlink"/>
            <w:rFonts w:ascii="Arial" w:hAnsi="Arial" w:cs="Arial"/>
            <w:color w:val="000000" w:themeColor="text1"/>
            <w:sz w:val="20"/>
            <w:szCs w:val="20"/>
          </w:rPr>
          <w:t>https://doi.org/10.51584/IJRIAS.2024.907013</w:t>
        </w:r>
      </w:hyperlink>
      <w:r w:rsidRPr="00003CA3">
        <w:rPr>
          <w:rFonts w:ascii="Arial" w:hAnsi="Arial" w:cs="Arial"/>
          <w:color w:val="000000" w:themeColor="text1"/>
          <w:sz w:val="20"/>
          <w:szCs w:val="20"/>
        </w:rPr>
        <w:t xml:space="preserve"> —</w:t>
      </w:r>
    </w:p>
    <w:p w14:paraId="29205E47" w14:textId="77777777"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Rufai, U. F., Saidu, A., Muhammad, I. U., Adejumo, M., Bello, A. M., &amp; Ayodeji, A. A. (2024). Comprehensive analysis of </w:t>
      </w:r>
      <w:proofErr w:type="spellStart"/>
      <w:r w:rsidRPr="00C733BE">
        <w:rPr>
          <w:rFonts w:ascii="Arial" w:hAnsi="Arial" w:cs="Arial"/>
          <w:color w:val="000000" w:themeColor="text1"/>
          <w:sz w:val="20"/>
          <w:szCs w:val="20"/>
        </w:rPr>
        <w:t>Neocarya</w:t>
      </w:r>
      <w:proofErr w:type="spellEnd"/>
      <w:r w:rsidRPr="00C733BE">
        <w:rPr>
          <w:rFonts w:ascii="Arial" w:hAnsi="Arial" w:cs="Arial"/>
          <w:color w:val="000000" w:themeColor="text1"/>
          <w:sz w:val="20"/>
          <w:szCs w:val="20"/>
        </w:rPr>
        <w:t xml:space="preserve"> macrophylla seed oil: Physicochemical, phytochemical, and fatty acid profiling for potential applications. </w:t>
      </w:r>
      <w:proofErr w:type="spellStart"/>
      <w:r w:rsidRPr="00C733BE">
        <w:rPr>
          <w:rFonts w:ascii="Arial" w:hAnsi="Arial" w:cs="Arial"/>
          <w:color w:val="000000" w:themeColor="text1"/>
          <w:sz w:val="20"/>
          <w:szCs w:val="20"/>
        </w:rPr>
        <w:t>Catalyx</w:t>
      </w:r>
      <w:proofErr w:type="spellEnd"/>
      <w:r w:rsidRPr="00C733BE">
        <w:rPr>
          <w:rFonts w:ascii="Arial" w:hAnsi="Arial" w:cs="Arial"/>
          <w:color w:val="000000" w:themeColor="text1"/>
          <w:sz w:val="20"/>
          <w:szCs w:val="20"/>
        </w:rPr>
        <w:t>: Journal of Process Chemistry and Technology, 1(1).</w:t>
      </w:r>
      <w:r>
        <w:rPr>
          <w:rFonts w:ascii="Arial" w:hAnsi="Arial" w:cs="Arial"/>
          <w:color w:val="000000" w:themeColor="text1"/>
          <w:sz w:val="20"/>
          <w:szCs w:val="20"/>
        </w:rPr>
        <w:t xml:space="preserve"> </w:t>
      </w:r>
    </w:p>
    <w:p w14:paraId="59CD953F" w14:textId="77777777"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color w:val="000000" w:themeColor="text1"/>
          <w:sz w:val="20"/>
          <w:szCs w:val="20"/>
        </w:rPr>
        <w:t xml:space="preserve">Shumi, L. D., &amp; Bacha, E. G. (2022). Studies on </w:t>
      </w:r>
      <w:proofErr w:type="spellStart"/>
      <w:r w:rsidRPr="00C733BE">
        <w:rPr>
          <w:rFonts w:ascii="Arial" w:hAnsi="Arial" w:cs="Arial"/>
          <w:color w:val="000000" w:themeColor="text1"/>
          <w:sz w:val="20"/>
          <w:szCs w:val="20"/>
        </w:rPr>
        <w:t>Modeling</w:t>
      </w:r>
      <w:proofErr w:type="spellEnd"/>
      <w:r w:rsidRPr="00C733BE">
        <w:rPr>
          <w:rFonts w:ascii="Arial" w:hAnsi="Arial" w:cs="Arial"/>
          <w:color w:val="000000" w:themeColor="text1"/>
          <w:sz w:val="20"/>
          <w:szCs w:val="20"/>
        </w:rPr>
        <w:t xml:space="preserve"> and Physicochemical Properties of Oil Extracted from Moringa </w:t>
      </w:r>
      <w:proofErr w:type="spellStart"/>
      <w:r w:rsidRPr="00C733BE">
        <w:rPr>
          <w:rFonts w:ascii="Arial" w:hAnsi="Arial" w:cs="Arial"/>
          <w:color w:val="000000" w:themeColor="text1"/>
          <w:sz w:val="20"/>
          <w:szCs w:val="20"/>
        </w:rPr>
        <w:t>stenopetala</w:t>
      </w:r>
      <w:proofErr w:type="spellEnd"/>
      <w:r w:rsidRPr="00C733BE">
        <w:rPr>
          <w:rFonts w:ascii="Arial" w:hAnsi="Arial" w:cs="Arial"/>
          <w:color w:val="000000" w:themeColor="text1"/>
          <w:sz w:val="20"/>
          <w:szCs w:val="20"/>
        </w:rPr>
        <w:t xml:space="preserve"> Seed. Advances in Materials Science and Engineering. </w:t>
      </w:r>
      <w:hyperlink r:id="rId50" w:history="1">
        <w:r w:rsidRPr="009A3DC6">
          <w:rPr>
            <w:rStyle w:val="Hyperlink"/>
            <w:rFonts w:ascii="Arial" w:hAnsi="Arial" w:cs="Arial"/>
            <w:sz w:val="20"/>
            <w:szCs w:val="20"/>
          </w:rPr>
          <w:t>https://doi.org/10.1155/2022/4539533</w:t>
        </w:r>
      </w:hyperlink>
      <w:r>
        <w:rPr>
          <w:rFonts w:ascii="Arial" w:hAnsi="Arial" w:cs="Arial"/>
          <w:color w:val="000000" w:themeColor="text1"/>
          <w:sz w:val="20"/>
          <w:szCs w:val="20"/>
        </w:rPr>
        <w:t xml:space="preserve"> </w:t>
      </w:r>
    </w:p>
    <w:p w14:paraId="3EE3685B" w14:textId="77777777"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Za'aku</w:t>
      </w:r>
      <w:proofErr w:type="spellEnd"/>
      <w:r w:rsidRPr="00C733BE">
        <w:rPr>
          <w:rFonts w:ascii="Arial" w:hAnsi="Arial" w:cs="Arial"/>
          <w:color w:val="000000" w:themeColor="text1"/>
          <w:sz w:val="20"/>
          <w:szCs w:val="20"/>
        </w:rPr>
        <w:t xml:space="preserve">, S. J., </w:t>
      </w:r>
      <w:proofErr w:type="spellStart"/>
      <w:r w:rsidRPr="00C733BE">
        <w:rPr>
          <w:rFonts w:ascii="Arial" w:hAnsi="Arial" w:cs="Arial"/>
          <w:color w:val="000000" w:themeColor="text1"/>
          <w:sz w:val="20"/>
          <w:szCs w:val="20"/>
        </w:rPr>
        <w:t>Arowora</w:t>
      </w:r>
      <w:proofErr w:type="spellEnd"/>
      <w:r w:rsidRPr="00C733BE">
        <w:rPr>
          <w:rFonts w:ascii="Arial" w:hAnsi="Arial" w:cs="Arial"/>
          <w:color w:val="000000" w:themeColor="text1"/>
          <w:sz w:val="20"/>
          <w:szCs w:val="20"/>
        </w:rPr>
        <w:t xml:space="preserve">, K. A., &amp; Joseph, I. (2024). Physicochemical characterisation and nutritional evaluation of oils from selected underutilised oilseeds. Asian Journal of Science, Technology, Engineering, and Art, 2(4), 476–492. </w:t>
      </w:r>
      <w:hyperlink r:id="rId51" w:history="1">
        <w:r w:rsidRPr="009A3DC6">
          <w:rPr>
            <w:rStyle w:val="Hyperlink"/>
            <w:rFonts w:ascii="Arial" w:hAnsi="Arial" w:cs="Arial"/>
            <w:sz w:val="20"/>
            <w:szCs w:val="20"/>
          </w:rPr>
          <w:t>https://doi.org/10.58578/ajstea.v2i4.3304</w:t>
        </w:r>
      </w:hyperlink>
      <w:r>
        <w:rPr>
          <w:rFonts w:ascii="Arial" w:hAnsi="Arial" w:cs="Arial"/>
          <w:color w:val="000000" w:themeColor="text1"/>
          <w:sz w:val="20"/>
          <w:szCs w:val="20"/>
        </w:rPr>
        <w:t xml:space="preserve"> </w:t>
      </w:r>
    </w:p>
    <w:p w14:paraId="35273610" w14:textId="77777777" w:rsidR="00250991" w:rsidRP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rPr>
        <w:t>Zimudzi</w:t>
      </w:r>
      <w:proofErr w:type="spellEnd"/>
      <w:r w:rsidRPr="00C733BE">
        <w:rPr>
          <w:rFonts w:ascii="Arial" w:hAnsi="Arial" w:cs="Arial"/>
          <w:color w:val="000000" w:themeColor="text1"/>
        </w:rPr>
        <w:t xml:space="preserve">, C., &amp; </w:t>
      </w:r>
      <w:proofErr w:type="spellStart"/>
      <w:r w:rsidRPr="00C733BE">
        <w:rPr>
          <w:rFonts w:ascii="Arial" w:hAnsi="Arial" w:cs="Arial"/>
          <w:color w:val="000000" w:themeColor="text1"/>
        </w:rPr>
        <w:t>Zharare</w:t>
      </w:r>
      <w:proofErr w:type="spellEnd"/>
      <w:r w:rsidRPr="00C733BE">
        <w:rPr>
          <w:rFonts w:ascii="Arial" w:hAnsi="Arial" w:cs="Arial"/>
          <w:color w:val="000000" w:themeColor="text1"/>
        </w:rPr>
        <w:t xml:space="preserve">, G. E. (2024). Yield, Physicochemical Properties, and Fatty Acid Profile of Vegetable Oil Extracted </w:t>
      </w:r>
      <w:proofErr w:type="gramStart"/>
      <w:r w:rsidRPr="00C733BE">
        <w:rPr>
          <w:rFonts w:ascii="Arial" w:hAnsi="Arial" w:cs="Arial"/>
          <w:color w:val="000000" w:themeColor="text1"/>
        </w:rPr>
        <w:t>From</w:t>
      </w:r>
      <w:proofErr w:type="gramEnd"/>
      <w:r w:rsidRPr="00C733BE">
        <w:rPr>
          <w:rFonts w:ascii="Arial" w:hAnsi="Arial" w:cs="Arial"/>
          <w:color w:val="000000" w:themeColor="text1"/>
        </w:rPr>
        <w:t xml:space="preserve"> Seed Coats of Strychnos </w:t>
      </w:r>
      <w:proofErr w:type="spellStart"/>
      <w:r w:rsidRPr="00C733BE">
        <w:rPr>
          <w:rFonts w:ascii="Arial" w:hAnsi="Arial" w:cs="Arial"/>
          <w:color w:val="000000" w:themeColor="text1"/>
        </w:rPr>
        <w:t>pungens</w:t>
      </w:r>
      <w:proofErr w:type="spellEnd"/>
      <w:r w:rsidRPr="00C733BE">
        <w:rPr>
          <w:rFonts w:ascii="Arial" w:hAnsi="Arial" w:cs="Arial"/>
          <w:color w:val="000000" w:themeColor="text1"/>
        </w:rPr>
        <w:t xml:space="preserve"> Soler. Fruits Collected in Chikomba, Zimbabwe. Journal of Lipids. </w:t>
      </w:r>
      <w:hyperlink r:id="rId52" w:history="1">
        <w:r w:rsidRPr="00C733BE">
          <w:rPr>
            <w:rStyle w:val="Hyperlink"/>
            <w:rFonts w:ascii="Arial" w:hAnsi="Arial" w:cs="Arial"/>
          </w:rPr>
          <w:t>https://doi.org/10.1155/2024/3257054</w:t>
        </w:r>
      </w:hyperlink>
      <w:r w:rsidRPr="00C733BE">
        <w:rPr>
          <w:rFonts w:ascii="Arial" w:hAnsi="Arial" w:cs="Arial"/>
          <w:color w:val="000000" w:themeColor="text1"/>
        </w:rPr>
        <w:t xml:space="preserve"> </w:t>
      </w:r>
    </w:p>
    <w:p w14:paraId="3C51D6D5" w14:textId="77777777" w:rsidR="00C733BE" w:rsidRPr="00003CA3" w:rsidRDefault="00C733BE" w:rsidP="00250991">
      <w:pPr>
        <w:jc w:val="both"/>
        <w:rPr>
          <w:rFonts w:ascii="Arial" w:hAnsi="Arial" w:cs="Arial"/>
          <w:color w:val="000000" w:themeColor="text1"/>
        </w:rPr>
      </w:pPr>
    </w:p>
    <w:p w14:paraId="2AAB8D1C" w14:textId="77777777" w:rsidR="00441B6F" w:rsidRDefault="00441B6F" w:rsidP="00441B6F">
      <w:pPr>
        <w:pStyle w:val="Body"/>
        <w:spacing w:after="0"/>
        <w:jc w:val="left"/>
        <w:rPr>
          <w:rFonts w:ascii="Arial" w:hAnsi="Arial" w:cs="Arial"/>
        </w:rPr>
      </w:pPr>
    </w:p>
    <w:p w14:paraId="12513BF3" w14:textId="77777777" w:rsidR="00B01FCD" w:rsidRPr="00FB3A86" w:rsidRDefault="00B01FCD" w:rsidP="00441B6F">
      <w:pPr>
        <w:pStyle w:val="Reference"/>
        <w:numPr>
          <w:ilvl w:val="0"/>
          <w:numId w:val="0"/>
        </w:numPr>
        <w:spacing w:line="240" w:lineRule="auto"/>
        <w:rPr>
          <w:rFonts w:ascii="Arial" w:hAnsi="Arial" w:cs="Arial"/>
        </w:rPr>
      </w:pPr>
    </w:p>
    <w:p w14:paraId="51758569" w14:textId="77777777" w:rsidR="00790ADA" w:rsidRPr="00FB3A86" w:rsidRDefault="00790ADA" w:rsidP="00441B6F">
      <w:pPr>
        <w:pStyle w:val="Body"/>
        <w:spacing w:after="0"/>
        <w:rPr>
          <w:rFonts w:ascii="Arial" w:hAnsi="Arial" w:cs="Arial"/>
        </w:rPr>
      </w:pPr>
    </w:p>
    <w:p w14:paraId="248BE676" w14:textId="77777777" w:rsidR="004D4277" w:rsidRPr="00FB3A86" w:rsidRDefault="004D4277" w:rsidP="00441B6F">
      <w:pPr>
        <w:pStyle w:val="Appendix"/>
        <w:spacing w:after="0"/>
        <w:jc w:val="both"/>
        <w:rPr>
          <w:rFonts w:ascii="Arial" w:hAnsi="Arial" w:cs="Arial"/>
          <w:b w:val="0"/>
        </w:rPr>
        <w:sectPr w:rsidR="004D4277" w:rsidRPr="00FB3A86" w:rsidSect="00925BBD">
          <w:pgSz w:w="12240" w:h="15840"/>
          <w:pgMar w:top="1440" w:right="2016" w:bottom="2016" w:left="2016" w:header="720" w:footer="1123" w:gutter="0"/>
          <w:cols w:space="720"/>
          <w:docGrid w:linePitch="272"/>
        </w:sectPr>
      </w:pPr>
    </w:p>
    <w:p w14:paraId="26150420" w14:textId="77777777" w:rsidR="00B01FCD" w:rsidRPr="00FB3A86" w:rsidRDefault="00B01FCD" w:rsidP="00441B6F">
      <w:pPr>
        <w:pStyle w:val="Appendix"/>
        <w:spacing w:after="0"/>
        <w:jc w:val="both"/>
        <w:rPr>
          <w:rFonts w:ascii="Arial" w:hAnsi="Arial" w:cs="Arial"/>
          <w:b w:val="0"/>
        </w:rPr>
      </w:pPr>
    </w:p>
    <w:sectPr w:rsidR="00B01FCD" w:rsidRPr="00FB3A86" w:rsidSect="00925BB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kur Vashi" w:date="2026-01-01T18:23:00Z" w:initials="AV">
    <w:p w14:paraId="7CD09C0D" w14:textId="77777777" w:rsidR="00256005" w:rsidRDefault="00256005" w:rsidP="00256005">
      <w:pPr>
        <w:pStyle w:val="CommentText"/>
      </w:pPr>
      <w:r>
        <w:rPr>
          <w:rStyle w:val="CommentReference"/>
        </w:rPr>
        <w:annotationRef/>
      </w:r>
      <w:r>
        <w:t>Author should Update the Results part in abstract.</w:t>
      </w:r>
    </w:p>
  </w:comment>
  <w:comment w:id="1" w:author="Ankur Vashi" w:date="2026-01-01T16:52:00Z" w:initials="AV">
    <w:p w14:paraId="4F952941" w14:textId="0B55BF30" w:rsidR="00D14A4F" w:rsidRDefault="00D14A4F" w:rsidP="00D14A4F">
      <w:pPr>
        <w:pStyle w:val="CommentText"/>
      </w:pPr>
      <w:r>
        <w:rPr>
          <w:rStyle w:val="CommentReference"/>
        </w:rPr>
        <w:annotationRef/>
      </w:r>
      <w:r>
        <w:t>behavior</w:t>
      </w:r>
    </w:p>
  </w:comment>
  <w:comment w:id="2" w:author="Ankur Vashi" w:date="2026-01-01T17:17:00Z" w:initials="AV">
    <w:p w14:paraId="460837ED" w14:textId="77777777" w:rsidR="00895421" w:rsidRDefault="00895421" w:rsidP="00895421">
      <w:pPr>
        <w:pStyle w:val="CommentText"/>
      </w:pPr>
      <w:r>
        <w:rPr>
          <w:rStyle w:val="CommentReference"/>
        </w:rPr>
        <w:annotationRef/>
      </w:r>
      <w:r>
        <w:t>Out of range, author should verify values.</w:t>
      </w:r>
    </w:p>
  </w:comment>
  <w:comment w:id="4" w:author="Ankur Vashi" w:date="2026-01-01T17:29:00Z" w:initials="AV">
    <w:p w14:paraId="331C819E" w14:textId="77777777" w:rsidR="00187249" w:rsidRDefault="00187249" w:rsidP="00187249">
      <w:pPr>
        <w:pStyle w:val="CommentText"/>
      </w:pPr>
      <w:r>
        <w:rPr>
          <w:rStyle w:val="CommentReference"/>
        </w:rPr>
        <w:annotationRef/>
      </w:r>
      <w:r>
        <w:t>Author should verify numbering, 3.3</w:t>
      </w:r>
    </w:p>
  </w:comment>
  <w:comment w:id="5" w:author="Ankur Vashi" w:date="2026-01-01T17:29:00Z" w:initials="AV">
    <w:p w14:paraId="72C23BEF" w14:textId="77777777" w:rsidR="00187249" w:rsidRDefault="00187249" w:rsidP="00187249">
      <w:pPr>
        <w:pStyle w:val="CommentText"/>
      </w:pPr>
      <w:r>
        <w:rPr>
          <w:rStyle w:val="CommentReference"/>
        </w:rPr>
        <w:annotationRef/>
      </w:r>
      <w:r>
        <w:t>Verify numbering</w:t>
      </w:r>
    </w:p>
  </w:comment>
  <w:comment w:id="6" w:author="Ankur Vashi" w:date="2026-01-01T17:30:00Z" w:initials="AV">
    <w:p w14:paraId="1FAD5DC8" w14:textId="77777777" w:rsidR="00187249" w:rsidRDefault="00187249" w:rsidP="00187249">
      <w:pPr>
        <w:pStyle w:val="CommentText"/>
      </w:pPr>
      <w:r>
        <w:rPr>
          <w:rStyle w:val="CommentReference"/>
        </w:rPr>
        <w:annotationRef/>
      </w:r>
      <w:r>
        <w:t>Update figure number</w:t>
      </w:r>
    </w:p>
  </w:comment>
  <w:comment w:id="7" w:author="Ankur Vashi" w:date="2026-01-01T17:49:00Z" w:initials="AV">
    <w:p w14:paraId="5532AC35" w14:textId="77777777" w:rsidR="008B7E95" w:rsidRDefault="008B7E95" w:rsidP="008B7E95">
      <w:pPr>
        <w:pStyle w:val="CommentText"/>
      </w:pPr>
      <w:r>
        <w:rPr>
          <w:rStyle w:val="CommentReference"/>
        </w:rPr>
        <w:annotationRef/>
      </w:r>
      <w:r>
        <w:t>Author should add actual water content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D09C0D" w15:done="0"/>
  <w15:commentEx w15:paraId="4F952941" w15:done="0"/>
  <w15:commentEx w15:paraId="460837ED" w15:done="0"/>
  <w15:commentEx w15:paraId="331C819E" w15:done="0"/>
  <w15:commentEx w15:paraId="72C23BEF" w15:done="0"/>
  <w15:commentEx w15:paraId="1FAD5DC8" w15:done="0"/>
  <w15:commentEx w15:paraId="5532A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BD0F8" w16cex:dateUtc="2026-01-01T23:23:00Z"/>
  <w16cex:commentExtensible w16cex:durableId="6CC8BBA4" w16cex:dateUtc="2026-01-01T21:52:00Z"/>
  <w16cex:commentExtensible w16cex:durableId="4489FEF0" w16cex:dateUtc="2026-01-01T22:17:00Z"/>
  <w16cex:commentExtensible w16cex:durableId="37E0C58A" w16cex:dateUtc="2026-01-01T22:29:00Z"/>
  <w16cex:commentExtensible w16cex:durableId="6CFDFBC0" w16cex:dateUtc="2026-01-01T22:29:00Z"/>
  <w16cex:commentExtensible w16cex:durableId="51B151F4" w16cex:dateUtc="2026-01-01T22:30:00Z"/>
  <w16cex:commentExtensible w16cex:durableId="2EB30496" w16cex:dateUtc="2026-01-01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09C0D" w16cid:durableId="34ABD0F8"/>
  <w16cid:commentId w16cid:paraId="4F952941" w16cid:durableId="6CC8BBA4"/>
  <w16cid:commentId w16cid:paraId="460837ED" w16cid:durableId="4489FEF0"/>
  <w16cid:commentId w16cid:paraId="331C819E" w16cid:durableId="37E0C58A"/>
  <w16cid:commentId w16cid:paraId="72C23BEF" w16cid:durableId="6CFDFBC0"/>
  <w16cid:commentId w16cid:paraId="1FAD5DC8" w16cid:durableId="51B151F4"/>
  <w16cid:commentId w16cid:paraId="5532AC35" w16cid:durableId="2EB30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2C30" w14:textId="77777777" w:rsidR="00627143" w:rsidRDefault="00627143" w:rsidP="00C37E61">
      <w:r>
        <w:separator/>
      </w:r>
    </w:p>
  </w:endnote>
  <w:endnote w:type="continuationSeparator" w:id="0">
    <w:p w14:paraId="5AEC611D" w14:textId="77777777" w:rsidR="00627143" w:rsidRDefault="006271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4E5C" w14:textId="77777777" w:rsidR="00925BBD" w:rsidRDefault="0092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4593" w14:textId="77777777" w:rsidR="00C37E61" w:rsidRPr="00F26063" w:rsidRDefault="00C37E61" w:rsidP="00F2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2E11" w14:textId="77777777" w:rsidR="009E048A" w:rsidRDefault="009E048A">
    <w:pPr>
      <w:pStyle w:val="Footer"/>
      <w:rPr>
        <w:rFonts w:ascii="Arial" w:hAnsi="Arial" w:cs="Arial"/>
        <w:sz w:val="16"/>
      </w:rPr>
    </w:pPr>
  </w:p>
  <w:p w14:paraId="4FD6047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76FFBC" w14:textId="77777777" w:rsidR="009E048A" w:rsidRDefault="009E048A">
    <w:pPr>
      <w:pStyle w:val="Footer"/>
      <w:rPr>
        <w:rFonts w:ascii="Arial" w:hAnsi="Arial" w:cs="Arial"/>
        <w:sz w:val="16"/>
      </w:rPr>
    </w:pPr>
  </w:p>
  <w:p w14:paraId="503DB55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F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206B" w14:textId="77777777" w:rsidR="00627143" w:rsidRDefault="00627143" w:rsidP="00C37E61">
      <w:r>
        <w:separator/>
      </w:r>
    </w:p>
  </w:footnote>
  <w:footnote w:type="continuationSeparator" w:id="0">
    <w:p w14:paraId="6CF8234E" w14:textId="77777777" w:rsidR="00627143" w:rsidRDefault="006271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9379" w14:textId="77777777" w:rsidR="00925BBD" w:rsidRDefault="00000000">
    <w:pPr>
      <w:pStyle w:val="Header"/>
    </w:pPr>
    <w:r>
      <w:rPr>
        <w:noProof/>
      </w:rPr>
      <w:pict w14:anchorId="3822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8DC3" w14:textId="77777777" w:rsidR="00925BBD" w:rsidRDefault="00000000">
    <w:pPr>
      <w:pStyle w:val="Header"/>
    </w:pPr>
    <w:r>
      <w:rPr>
        <w:noProof/>
      </w:rPr>
      <w:pict w14:anchorId="11FA5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818A" w14:textId="77777777" w:rsidR="00296529" w:rsidRPr="00296529" w:rsidRDefault="00000000" w:rsidP="00296529">
    <w:pPr>
      <w:ind w:left="2160"/>
      <w:jc w:val="center"/>
      <w:rPr>
        <w:rFonts w:ascii="Times New Roman" w:eastAsia="Calibri" w:hAnsi="Times New Roman"/>
        <w:i/>
        <w:sz w:val="18"/>
        <w:szCs w:val="22"/>
      </w:rPr>
    </w:pPr>
    <w:r>
      <w:rPr>
        <w:noProof/>
      </w:rPr>
      <w:pict w14:anchorId="4CBDC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A969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45AE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354E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529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D415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577F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9C88" w14:textId="77777777" w:rsidR="00925BBD" w:rsidRDefault="00000000">
    <w:pPr>
      <w:pStyle w:val="Header"/>
    </w:pPr>
    <w:r>
      <w:rPr>
        <w:noProof/>
      </w:rPr>
      <w:pict w14:anchorId="2702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A7F" w14:textId="77777777" w:rsidR="00925BBD" w:rsidRDefault="00000000">
    <w:pPr>
      <w:pStyle w:val="Header"/>
    </w:pPr>
    <w:r>
      <w:rPr>
        <w:noProof/>
      </w:rPr>
      <w:pict w14:anchorId="2FFB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D3D9" w14:textId="77777777" w:rsidR="00925BBD" w:rsidRDefault="00000000">
    <w:pPr>
      <w:pStyle w:val="Header"/>
    </w:pPr>
    <w:r>
      <w:rPr>
        <w:noProof/>
      </w:rPr>
      <w:pict w14:anchorId="666F5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E0B19"/>
    <w:multiLevelType w:val="hybridMultilevel"/>
    <w:tmpl w:val="F9CEDD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69654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6683413">
    <w:abstractNumId w:val="16"/>
  </w:num>
  <w:num w:numId="3" w16cid:durableId="1245913638">
    <w:abstractNumId w:val="24"/>
  </w:num>
  <w:num w:numId="4" w16cid:durableId="18606592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7606913">
    <w:abstractNumId w:val="8"/>
  </w:num>
  <w:num w:numId="6" w16cid:durableId="831413748">
    <w:abstractNumId w:val="7"/>
  </w:num>
  <w:num w:numId="7" w16cid:durableId="87166512">
    <w:abstractNumId w:val="2"/>
  </w:num>
  <w:num w:numId="8" w16cid:durableId="639461554">
    <w:abstractNumId w:val="13"/>
  </w:num>
  <w:num w:numId="9" w16cid:durableId="696472231">
    <w:abstractNumId w:val="26"/>
  </w:num>
  <w:num w:numId="10" w16cid:durableId="2048751065">
    <w:abstractNumId w:val="3"/>
  </w:num>
  <w:num w:numId="11" w16cid:durableId="1667436442">
    <w:abstractNumId w:val="19"/>
  </w:num>
  <w:num w:numId="12" w16cid:durableId="698118977">
    <w:abstractNumId w:val="4"/>
  </w:num>
  <w:num w:numId="13" w16cid:durableId="501119506">
    <w:abstractNumId w:val="18"/>
  </w:num>
  <w:num w:numId="14" w16cid:durableId="879051159">
    <w:abstractNumId w:val="9"/>
  </w:num>
  <w:num w:numId="15" w16cid:durableId="718823775">
    <w:abstractNumId w:val="22"/>
  </w:num>
  <w:num w:numId="16" w16cid:durableId="600339360">
    <w:abstractNumId w:val="6"/>
  </w:num>
  <w:num w:numId="17" w16cid:durableId="1802183616">
    <w:abstractNumId w:val="23"/>
  </w:num>
  <w:num w:numId="18" w16cid:durableId="2104377395">
    <w:abstractNumId w:val="15"/>
  </w:num>
  <w:num w:numId="19" w16cid:durableId="1321933005">
    <w:abstractNumId w:val="29"/>
  </w:num>
  <w:num w:numId="20" w16cid:durableId="507521889">
    <w:abstractNumId w:val="12"/>
  </w:num>
  <w:num w:numId="21" w16cid:durableId="1419207259">
    <w:abstractNumId w:val="10"/>
  </w:num>
  <w:num w:numId="22" w16cid:durableId="1314722033">
    <w:abstractNumId w:val="14"/>
  </w:num>
  <w:num w:numId="23" w16cid:durableId="707028228">
    <w:abstractNumId w:val="20"/>
  </w:num>
  <w:num w:numId="24" w16cid:durableId="1003245123">
    <w:abstractNumId w:val="27"/>
  </w:num>
  <w:num w:numId="25" w16cid:durableId="661399268">
    <w:abstractNumId w:val="5"/>
  </w:num>
  <w:num w:numId="26" w16cid:durableId="2005275493">
    <w:abstractNumId w:val="17"/>
  </w:num>
  <w:num w:numId="27" w16cid:durableId="124275879">
    <w:abstractNumId w:val="21"/>
  </w:num>
  <w:num w:numId="28" w16cid:durableId="565530257">
    <w:abstractNumId w:val="28"/>
  </w:num>
  <w:num w:numId="29" w16cid:durableId="41561136">
    <w:abstractNumId w:val="25"/>
  </w:num>
  <w:num w:numId="30" w16cid:durableId="329601738">
    <w:abstractNumId w:val="11"/>
  </w:num>
  <w:num w:numId="31" w16cid:durableId="1894385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ur Vashi">
    <w15:presenceInfo w15:providerId="AD" w15:userId="S::a.vashi@flammagroup.com::6bd62d21-227b-4231-b9dd-55cf5bf7e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437"/>
    <w:rsid w:val="000A47FA"/>
    <w:rsid w:val="000A65D3"/>
    <w:rsid w:val="000B1E33"/>
    <w:rsid w:val="000C0DD1"/>
    <w:rsid w:val="000D689F"/>
    <w:rsid w:val="000E7B7B"/>
    <w:rsid w:val="000E7D62"/>
    <w:rsid w:val="00103357"/>
    <w:rsid w:val="00123C9F"/>
    <w:rsid w:val="00126190"/>
    <w:rsid w:val="00130F17"/>
    <w:rsid w:val="001320BF"/>
    <w:rsid w:val="00163BC4"/>
    <w:rsid w:val="00187249"/>
    <w:rsid w:val="00191062"/>
    <w:rsid w:val="00192B72"/>
    <w:rsid w:val="0019728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0991"/>
    <w:rsid w:val="002556F6"/>
    <w:rsid w:val="00256005"/>
    <w:rsid w:val="00283105"/>
    <w:rsid w:val="00284C4C"/>
    <w:rsid w:val="00287E68"/>
    <w:rsid w:val="00296529"/>
    <w:rsid w:val="002B27FB"/>
    <w:rsid w:val="002B685A"/>
    <w:rsid w:val="002C57D2"/>
    <w:rsid w:val="002C6FE6"/>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B63"/>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6D0"/>
    <w:rsid w:val="00602BF5"/>
    <w:rsid w:val="00617FDD"/>
    <w:rsid w:val="0062714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6EE7"/>
    <w:rsid w:val="00860000"/>
    <w:rsid w:val="00863BD3"/>
    <w:rsid w:val="008641ED"/>
    <w:rsid w:val="00866D66"/>
    <w:rsid w:val="008671C6"/>
    <w:rsid w:val="00875803"/>
    <w:rsid w:val="00895421"/>
    <w:rsid w:val="008B459E"/>
    <w:rsid w:val="008B7E95"/>
    <w:rsid w:val="008E13AE"/>
    <w:rsid w:val="008E1506"/>
    <w:rsid w:val="008E710C"/>
    <w:rsid w:val="008F69D6"/>
    <w:rsid w:val="00902823"/>
    <w:rsid w:val="00915CA6"/>
    <w:rsid w:val="00925BBD"/>
    <w:rsid w:val="00927834"/>
    <w:rsid w:val="009500A6"/>
    <w:rsid w:val="00957C18"/>
    <w:rsid w:val="009659BA"/>
    <w:rsid w:val="00983040"/>
    <w:rsid w:val="009B3FB9"/>
    <w:rsid w:val="009C2465"/>
    <w:rsid w:val="009C40B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5E8"/>
    <w:rsid w:val="00A94063"/>
    <w:rsid w:val="00AA6219"/>
    <w:rsid w:val="00AA74E0"/>
    <w:rsid w:val="00AB703F"/>
    <w:rsid w:val="00AC6BB8"/>
    <w:rsid w:val="00AE008F"/>
    <w:rsid w:val="00B0114B"/>
    <w:rsid w:val="00B01460"/>
    <w:rsid w:val="00B01FCD"/>
    <w:rsid w:val="00B1776C"/>
    <w:rsid w:val="00B52583"/>
    <w:rsid w:val="00B52896"/>
    <w:rsid w:val="00B638CD"/>
    <w:rsid w:val="00B95236"/>
    <w:rsid w:val="00B96BD9"/>
    <w:rsid w:val="00BA1B01"/>
    <w:rsid w:val="00BA2641"/>
    <w:rsid w:val="00BB37AA"/>
    <w:rsid w:val="00BC53A0"/>
    <w:rsid w:val="00BE62AD"/>
    <w:rsid w:val="00BF121F"/>
    <w:rsid w:val="00BF1F80"/>
    <w:rsid w:val="00C13DCE"/>
    <w:rsid w:val="00C166EF"/>
    <w:rsid w:val="00C17EB0"/>
    <w:rsid w:val="00C27F5F"/>
    <w:rsid w:val="00C30A0F"/>
    <w:rsid w:val="00C37E61"/>
    <w:rsid w:val="00C70F1B"/>
    <w:rsid w:val="00C71A47"/>
    <w:rsid w:val="00C733BE"/>
    <w:rsid w:val="00C7464C"/>
    <w:rsid w:val="00C85588"/>
    <w:rsid w:val="00CD6755"/>
    <w:rsid w:val="00CD6856"/>
    <w:rsid w:val="00CE0089"/>
    <w:rsid w:val="00CE793C"/>
    <w:rsid w:val="00CF193C"/>
    <w:rsid w:val="00D14A4F"/>
    <w:rsid w:val="00D173F1"/>
    <w:rsid w:val="00D74CB0"/>
    <w:rsid w:val="00D8295D"/>
    <w:rsid w:val="00DC2A65"/>
    <w:rsid w:val="00DC575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063"/>
    <w:rsid w:val="00F469F0"/>
    <w:rsid w:val="00F527C7"/>
    <w:rsid w:val="00F53273"/>
    <w:rsid w:val="00F573C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2A1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DD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PlainTable1"/>
    <w:uiPriority w:val="51"/>
    <w:rsid w:val="00A755E8"/>
    <w:rPr>
      <w:rFonts w:asciiTheme="minorHAnsi" w:eastAsiaTheme="minorHAnsi" w:hAnsiTheme="minorHAnsi" w:cstheme="minorBidi"/>
      <w:color w:val="000000" w:themeColor="text1"/>
      <w:lang w:val="en-IN" w:eastAsia="en-IN" w:bidi="as-IN"/>
    </w:rPr>
    <w:tblP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755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50991"/>
    <w:pPr>
      <w:spacing w:after="200" w:line="276" w:lineRule="auto"/>
      <w:ind w:left="720"/>
      <w:contextualSpacing/>
    </w:pPr>
    <w:rPr>
      <w:rFonts w:asciiTheme="minorHAnsi" w:eastAsiaTheme="minorHAnsi" w:hAnsiTheme="minorHAnsi" w:cstheme="minorBidi"/>
      <w:kern w:val="2"/>
      <w:sz w:val="22"/>
      <w:szCs w:val="22"/>
      <w:lang w:val="en-GB"/>
    </w:rPr>
  </w:style>
  <w:style w:type="paragraph" w:styleId="CommentSubject">
    <w:name w:val="annotation subject"/>
    <w:basedOn w:val="CommentText"/>
    <w:next w:val="CommentText"/>
    <w:link w:val="CommentSubjectChar"/>
    <w:semiHidden/>
    <w:unhideWhenUsed/>
    <w:rsid w:val="00D14A4F"/>
    <w:rPr>
      <w:rFonts w:ascii="Helvetica" w:hAnsi="Helvetica"/>
      <w:b/>
      <w:bCs/>
      <w:lang w:val="en-US" w:eastAsia="en-US"/>
    </w:rPr>
  </w:style>
  <w:style w:type="character" w:customStyle="1" w:styleId="CommentSubjectChar">
    <w:name w:val="Comment Subject Char"/>
    <w:basedOn w:val="CommentTextChar"/>
    <w:link w:val="CommentSubject"/>
    <w:semiHidden/>
    <w:rsid w:val="00D14A4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doi.org/10.22036/pcr.2020.221177.1737" TargetMode="External"/><Relationship Id="rId39" Type="http://schemas.openxmlformats.org/officeDocument/2006/relationships/hyperlink" Target="https://doi.org/10.46828/ijrisat.v3i2.56" TargetMode="External"/><Relationship Id="rId21" Type="http://schemas.openxmlformats.org/officeDocument/2006/relationships/header" Target="header6.xml"/><Relationship Id="rId34" Type="http://schemas.openxmlformats.org/officeDocument/2006/relationships/hyperlink" Target="https://doi.org/10.15414/jmbfs.4291" TargetMode="External"/><Relationship Id="rId42" Type="http://schemas.openxmlformats.org/officeDocument/2006/relationships/hyperlink" Target="https://doi.org/10.54536/ajaset.v6i3.759" TargetMode="External"/><Relationship Id="rId47" Type="http://schemas.openxmlformats.org/officeDocument/2006/relationships/hyperlink" Target="https://www.researchgate.net/publication/358640000_Extraction_and_Physicochemical_Characterization_of_Sunflower_Seed_Oil" TargetMode="External"/><Relationship Id="rId50" Type="http://schemas.openxmlformats.org/officeDocument/2006/relationships/hyperlink" Target="https://doi.org/10.1155/2022/453953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21608/eajbsc.2024.344273" TargetMode="Externa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ajase.weebly.com/archives.html" TargetMode="External"/><Relationship Id="rId37" Type="http://schemas.openxmlformats.org/officeDocument/2006/relationships/hyperlink" Target="https://doi.org/10.3390/foods13172733" TargetMode="External"/><Relationship Id="rId40" Type="http://schemas.openxmlformats.org/officeDocument/2006/relationships/hyperlink" Target="https://doi.org/10.24018/ejfood.2020.2.6.149" TargetMode="External"/><Relationship Id="rId45" Type="http://schemas.openxmlformats.org/officeDocument/2006/relationships/hyperlink" Target="http://www.ijmse.org/html_papers/ijmse-v3n6-2012/ijmse-v3n6-2012-11.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eoma.aoac.org" TargetMode="External"/><Relationship Id="rId44" Type="http://schemas.openxmlformats.org/officeDocument/2006/relationships/hyperlink" Target="https://www.theijes.com/papers/v2-i9/Part-2/B02920105109.pdf" TargetMode="External"/><Relationship Id="rId52" Type="http://schemas.openxmlformats.org/officeDocument/2006/relationships/hyperlink" Target="https://doi.org/10.1155/2024/32570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1.png"/><Relationship Id="rId27" Type="http://schemas.openxmlformats.org/officeDocument/2006/relationships/hyperlink" Target="https://doi.org/10.51412/psnnjp.2023.24" TargetMode="External"/><Relationship Id="rId30" Type="http://schemas.openxmlformats.org/officeDocument/2006/relationships/hyperlink" Target="http://www.pakbs.org/pjbot/archive/pdfs/39(5)/PJB39(5)1443.pdf" TargetMode="External"/><Relationship Id="rId35" Type="http://schemas.openxmlformats.org/officeDocument/2006/relationships/hyperlink" Target="https://doi.org/10.3923/pjn.2010.751.754" TargetMode="External"/><Relationship Id="rId43" Type="http://schemas.openxmlformats.org/officeDocument/2006/relationships/hyperlink" Target="https://doi.org/10.1016/j.sciaf.2023.e01669" TargetMode="External"/><Relationship Id="rId48" Type="http://schemas.openxmlformats.org/officeDocument/2006/relationships/hyperlink" Target="https://doi.org/10.53365/nrfhh/176713" TargetMode="External"/><Relationship Id="rId8" Type="http://schemas.openxmlformats.org/officeDocument/2006/relationships/header" Target="header1.xml"/><Relationship Id="rId51" Type="http://schemas.openxmlformats.org/officeDocument/2006/relationships/hyperlink" Target="https://doi.org/10.58578/ajstea.v2i4.3304"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4.png"/><Relationship Id="rId33" Type="http://schemas.openxmlformats.org/officeDocument/2006/relationships/hyperlink" Target="https://www.iiste.org/Journals/index.php/CPER/article/view/20910" TargetMode="External"/><Relationship Id="rId38" Type="http://schemas.openxmlformats.org/officeDocument/2006/relationships/hyperlink" Target="https://fnasjournals.com/index.php/FNAS-JABS/article/view/755" TargetMode="External"/><Relationship Id="rId46" Type="http://schemas.openxmlformats.org/officeDocument/2006/relationships/hyperlink" Target="https://doi.org/10.4236/fns.2024.153010" TargetMode="External"/><Relationship Id="rId20" Type="http://schemas.openxmlformats.org/officeDocument/2006/relationships/footer" Target="footer4.xml"/><Relationship Id="rId41" Type="http://schemas.openxmlformats.org/officeDocument/2006/relationships/hyperlink" Target="https://mjas.analis.com.my/mjas/v28_n6/html/28_6_2.html?utm_source=chatgpt.com"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2.png"/><Relationship Id="rId28" Type="http://schemas.openxmlformats.org/officeDocument/2006/relationships/hyperlink" Target="http://www.unn.edu.ng/nigerian-research-journal-of-chemical-sciences/" TargetMode="External"/><Relationship Id="rId36" Type="http://schemas.openxmlformats.org/officeDocument/2006/relationships/hyperlink" Target="https://doi.org/10.4314/ijbcs.v4i2.58169" TargetMode="External"/><Relationship Id="rId49" Type="http://schemas.openxmlformats.org/officeDocument/2006/relationships/hyperlink" Target="https://doi.org/10.51584/IJRIAS.2024.907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AE80-D548-4F3A-BE02-86D9C45E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15</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Ankur Vashi</cp:lastModifiedBy>
  <cp:revision>7</cp:revision>
  <cp:lastPrinted>1999-07-06T11:00:00Z</cp:lastPrinted>
  <dcterms:created xsi:type="dcterms:W3CDTF">2025-12-29T20:02:00Z</dcterms:created>
  <dcterms:modified xsi:type="dcterms:W3CDTF">2026-01-01T23:23:00Z</dcterms:modified>
</cp:coreProperties>
</file>