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71280" w14:textId="77777777" w:rsidR="00847541" w:rsidRPr="00430E0F" w:rsidRDefault="00847541" w:rsidP="00152662">
      <w:pPr>
        <w:rPr>
          <w:rFonts w:hint="cs"/>
          <w:rtl/>
          <w:lang w:bidi="fa-IR"/>
        </w:rPr>
      </w:pPr>
    </w:p>
    <w:p w14:paraId="4EF873BC" w14:textId="64354FC1" w:rsidR="00847541" w:rsidRPr="00847541" w:rsidRDefault="00847541" w:rsidP="00847541">
      <w:pPr>
        <w:jc w:val="right"/>
        <w:rPr>
          <w:rFonts w:ascii="Arial" w:hAnsi="Arial" w:cs="Arial"/>
          <w:b/>
          <w:sz w:val="36"/>
          <w:szCs w:val="36"/>
        </w:rPr>
      </w:pPr>
      <w:bookmarkStart w:id="0" w:name="_Hlk217794877"/>
      <w:r w:rsidRPr="00847541">
        <w:rPr>
          <w:rFonts w:ascii="Arial" w:hAnsi="Arial" w:cs="Arial"/>
          <w:b/>
          <w:sz w:val="36"/>
          <w:szCs w:val="36"/>
        </w:rPr>
        <w:t xml:space="preserve">Antibacterial Effects of </w:t>
      </w:r>
      <w:r w:rsidRPr="00847541">
        <w:rPr>
          <w:rFonts w:ascii="Arial" w:hAnsi="Arial" w:cs="Arial"/>
          <w:b/>
          <w:i/>
          <w:iCs/>
          <w:sz w:val="36"/>
          <w:szCs w:val="36"/>
        </w:rPr>
        <w:t>Psidium guajava on</w:t>
      </w:r>
      <w:r w:rsidRPr="00847541">
        <w:rPr>
          <w:rFonts w:ascii="Arial" w:hAnsi="Arial" w:cs="Arial"/>
          <w:b/>
          <w:sz w:val="36"/>
          <w:szCs w:val="36"/>
        </w:rPr>
        <w:t xml:space="preserve"> </w:t>
      </w:r>
      <w:r w:rsidR="00430E0F" w:rsidRPr="00430E0F">
        <w:rPr>
          <w:rFonts w:ascii="Arial" w:hAnsi="Arial" w:cs="Arial"/>
          <w:b/>
          <w:i/>
          <w:iCs/>
          <w:sz w:val="36"/>
          <w:szCs w:val="36"/>
        </w:rPr>
        <w:t>Klebsiella pneumoniae</w:t>
      </w:r>
      <w:r w:rsidRPr="00847541">
        <w:rPr>
          <w:rFonts w:ascii="Arial" w:hAnsi="Arial" w:cs="Arial"/>
          <w:b/>
          <w:sz w:val="36"/>
          <w:szCs w:val="36"/>
        </w:rPr>
        <w:t xml:space="preserve"> Isolated from the Nasopharynx of Students of Alex Ekwueme-Federal University </w:t>
      </w:r>
      <w:proofErr w:type="spellStart"/>
      <w:r w:rsidRPr="00847541">
        <w:rPr>
          <w:rFonts w:ascii="Arial" w:hAnsi="Arial" w:cs="Arial"/>
          <w:b/>
          <w:sz w:val="36"/>
          <w:szCs w:val="36"/>
        </w:rPr>
        <w:t>Ndufu</w:t>
      </w:r>
      <w:proofErr w:type="spellEnd"/>
      <w:r w:rsidRPr="00847541">
        <w:rPr>
          <w:rFonts w:ascii="Arial" w:hAnsi="Arial" w:cs="Arial"/>
          <w:b/>
          <w:sz w:val="36"/>
          <w:szCs w:val="36"/>
        </w:rPr>
        <w:t xml:space="preserve">-Alike, </w:t>
      </w:r>
      <w:proofErr w:type="spellStart"/>
      <w:r w:rsidRPr="00847541">
        <w:rPr>
          <w:rFonts w:ascii="Arial" w:hAnsi="Arial" w:cs="Arial"/>
          <w:b/>
          <w:sz w:val="36"/>
          <w:szCs w:val="36"/>
        </w:rPr>
        <w:t>Ikwo</w:t>
      </w:r>
      <w:proofErr w:type="spellEnd"/>
      <w:r w:rsidRPr="00847541">
        <w:rPr>
          <w:rFonts w:ascii="Arial" w:hAnsi="Arial" w:cs="Arial"/>
          <w:b/>
          <w:sz w:val="36"/>
          <w:szCs w:val="36"/>
        </w:rPr>
        <w:t xml:space="preserve">, Ebonyi </w:t>
      </w:r>
      <w:commentRangeStart w:id="1"/>
      <w:r w:rsidRPr="00847541">
        <w:rPr>
          <w:rFonts w:ascii="Arial" w:hAnsi="Arial" w:cs="Arial"/>
          <w:b/>
          <w:sz w:val="36"/>
          <w:szCs w:val="36"/>
        </w:rPr>
        <w:t>State</w:t>
      </w:r>
      <w:commentRangeEnd w:id="1"/>
      <w:r w:rsidR="00923ABC">
        <w:rPr>
          <w:rStyle w:val="CommentReference"/>
          <w:rtl/>
        </w:rPr>
        <w:commentReference w:id="1"/>
      </w:r>
      <w:r w:rsidRPr="00847541">
        <w:rPr>
          <w:rFonts w:ascii="Arial" w:hAnsi="Arial" w:cs="Arial"/>
          <w:b/>
          <w:sz w:val="36"/>
          <w:szCs w:val="36"/>
        </w:rPr>
        <w:t>, Nigeria.</w:t>
      </w:r>
    </w:p>
    <w:bookmarkEnd w:id="0"/>
    <w:p w14:paraId="2D31FF99" w14:textId="77777777" w:rsidR="00847541" w:rsidRPr="00430E0F" w:rsidRDefault="00847541" w:rsidP="00847541">
      <w:pPr>
        <w:pStyle w:val="Author"/>
        <w:spacing w:line="240" w:lineRule="auto"/>
        <w:jc w:val="both"/>
        <w:rPr>
          <w:rFonts w:ascii="Arial" w:hAnsi="Arial" w:cs="Arial"/>
          <w:sz w:val="36"/>
        </w:rPr>
      </w:pPr>
    </w:p>
    <w:p w14:paraId="34444379" w14:textId="7FD701B4" w:rsidR="00847541" w:rsidRPr="00430E0F" w:rsidRDefault="00847541" w:rsidP="00847541">
      <w:pPr>
        <w:pStyle w:val="Copyright"/>
        <w:spacing w:after="0" w:line="240" w:lineRule="auto"/>
        <w:jc w:val="both"/>
        <w:rPr>
          <w:rFonts w:ascii="Arial" w:hAnsi="Arial" w:cs="Arial"/>
        </w:rPr>
        <w:sectPr w:rsidR="00847541" w:rsidRPr="00430E0F" w:rsidSect="006D191E">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docGrid w:linePitch="272"/>
        </w:sectPr>
      </w:pPr>
      <w:r w:rsidRPr="00430E0F">
        <w:rPr>
          <w:rFonts w:ascii="Arial" w:hAnsi="Arial" w:cs="Arial"/>
          <w:noProof/>
        </w:rPr>
        <mc:AlternateContent>
          <mc:Choice Requires="wps">
            <w:drawing>
              <wp:inline distT="0" distB="0" distL="0" distR="0" wp14:anchorId="39BDD65E" wp14:editId="2581CE60">
                <wp:extent cx="5303520" cy="635"/>
                <wp:effectExtent l="13335" t="12065" r="17145" b="16510"/>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EFB629" id="_x0000_t32" coordsize="21600,21600" o:spt="32" o:oned="t" path="m,l21600,21600e" filled="f">
                <v:path arrowok="t" fillok="f" o:connecttype="none"/>
                <o:lock v:ext="edit" shapetype="t"/>
              </v:shapetype>
              <v:shape id="Straight Arrow Connector 10"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" strokeweight="1.5pt">
                <w10:anchorlock/>
              </v:shape>
            </w:pict>
          </mc:Fallback>
        </mc:AlternateContent>
      </w:r>
      <w:r w:rsidRPr="00430E0F">
        <w:rPr>
          <w:rFonts w:ascii="Arial" w:hAnsi="Arial" w:cs="Arial"/>
        </w:rPr>
        <w:t>.</w:t>
      </w:r>
    </w:p>
    <w:p w14:paraId="39DD3F04" w14:textId="77777777" w:rsidR="00847541" w:rsidRPr="00430E0F" w:rsidRDefault="00847541" w:rsidP="00847541">
      <w:pPr>
        <w:pStyle w:val="AbstHead"/>
        <w:spacing w:after="0"/>
        <w:jc w:val="both"/>
        <w:rPr>
          <w:rFonts w:ascii="Arial" w:hAnsi="Arial" w:cs="Arial"/>
        </w:rPr>
      </w:pPr>
      <w:r w:rsidRPr="00430E0F">
        <w:rPr>
          <w:rFonts w:ascii="Arial" w:hAnsi="Arial" w:cs="Arial"/>
        </w:rPr>
        <w:t>ABSTRACT</w:t>
      </w:r>
    </w:p>
    <w:p w14:paraId="77C74FEC" w14:textId="77777777" w:rsidR="00847541" w:rsidRPr="00430E0F" w:rsidRDefault="00847541" w:rsidP="0084754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430E0F" w:rsidRPr="00430E0F" w14:paraId="23E3A8E5" w14:textId="77777777" w:rsidTr="00116313">
        <w:tc>
          <w:tcPr>
            <w:tcW w:w="9576" w:type="dxa"/>
            <w:shd w:val="clear" w:color="auto" w:fill="F2F2F2"/>
          </w:tcPr>
          <w:p w14:paraId="285859DB" w14:textId="48542836" w:rsidR="00847541" w:rsidRPr="00430E0F" w:rsidRDefault="00CA582C" w:rsidP="00847541">
            <w:pPr>
              <w:pStyle w:val="NoSpacing"/>
              <w:jc w:val="both"/>
              <w:rPr>
                <w:rFonts w:ascii="Arial" w:hAnsi="Arial" w:cs="Arial"/>
                <w:sz w:val="20"/>
                <w:szCs w:val="20"/>
              </w:rPr>
            </w:pPr>
            <w:r w:rsidRPr="00430E0F">
              <w:rPr>
                <w:rFonts w:ascii="Arial" w:hAnsi="Arial" w:cs="Arial"/>
                <w:b/>
                <w:bCs/>
                <w:sz w:val="20"/>
                <w:szCs w:val="20"/>
              </w:rPr>
              <w:t>Introduction</w:t>
            </w:r>
            <w:r w:rsidRPr="00430E0F">
              <w:rPr>
                <w:rFonts w:ascii="Arial" w:hAnsi="Arial" w:cs="Arial"/>
                <w:sz w:val="20"/>
                <w:szCs w:val="20"/>
              </w:rPr>
              <w:t xml:space="preserve">: </w:t>
            </w:r>
            <w:r w:rsidR="00847541" w:rsidRPr="00430E0F">
              <w:rPr>
                <w:rFonts w:ascii="Arial" w:hAnsi="Arial" w:cs="Arial"/>
                <w:sz w:val="20"/>
                <w:szCs w:val="20"/>
              </w:rPr>
              <w:t xml:space="preserve">The rising incidence of antimicrobial resistance in </w:t>
            </w:r>
            <w:r w:rsidR="00430E0F" w:rsidRPr="00430E0F">
              <w:rPr>
                <w:rStyle w:val="Emphasis"/>
                <w:rFonts w:ascii="Arial" w:hAnsi="Arial" w:cs="Arial"/>
                <w:sz w:val="20"/>
                <w:szCs w:val="20"/>
              </w:rPr>
              <w:t>Klebsiella pneumoniae</w:t>
            </w:r>
            <w:r w:rsidR="00847541" w:rsidRPr="00430E0F">
              <w:rPr>
                <w:rFonts w:ascii="Arial" w:hAnsi="Arial" w:cs="Arial"/>
                <w:sz w:val="20"/>
                <w:szCs w:val="20"/>
              </w:rPr>
              <w:t xml:space="preserve"> has necessitates interest in the exploration plant-based antimicrobial agents. </w:t>
            </w:r>
            <w:r w:rsidR="00847541" w:rsidRPr="00430E0F">
              <w:rPr>
                <w:rStyle w:val="Emphasis"/>
                <w:rFonts w:ascii="Arial" w:hAnsi="Arial" w:cs="Arial"/>
                <w:sz w:val="20"/>
                <w:szCs w:val="20"/>
              </w:rPr>
              <w:t>Psidium guajava</w:t>
            </w:r>
            <w:r w:rsidR="00847541" w:rsidRPr="00430E0F">
              <w:rPr>
                <w:rFonts w:ascii="Arial" w:hAnsi="Arial" w:cs="Arial"/>
                <w:sz w:val="20"/>
                <w:szCs w:val="20"/>
              </w:rPr>
              <w:t xml:space="preserve"> (guava) leaves are used traditionally for the treatment of infectious diseases and are rich sources of bioactive compounds with antimicrobial potentials. Hence, this study was aimed at evaluating the </w:t>
            </w:r>
            <w:r w:rsidR="00847541" w:rsidRPr="00430E0F">
              <w:rPr>
                <w:rFonts w:ascii="Arial" w:hAnsi="Arial" w:cs="Arial"/>
                <w:bCs/>
                <w:sz w:val="20"/>
                <w:szCs w:val="20"/>
              </w:rPr>
              <w:t xml:space="preserve">antibacterial effects of </w:t>
            </w:r>
            <w:r w:rsidR="00847541" w:rsidRPr="00430E0F">
              <w:rPr>
                <w:rStyle w:val="Emphasis"/>
                <w:rFonts w:ascii="Arial" w:hAnsi="Arial" w:cs="Arial"/>
                <w:bCs/>
                <w:sz w:val="20"/>
                <w:szCs w:val="20"/>
              </w:rPr>
              <w:t xml:space="preserve">Psidium guajava </w:t>
            </w:r>
            <w:r w:rsidR="00847541" w:rsidRPr="0087564E">
              <w:rPr>
                <w:rStyle w:val="Emphasis"/>
                <w:rFonts w:ascii="Arial" w:hAnsi="Arial" w:cs="Arial"/>
                <w:bCs/>
                <w:i w:val="0"/>
                <w:iCs w:val="0"/>
                <w:sz w:val="20"/>
                <w:szCs w:val="20"/>
              </w:rPr>
              <w:t>on</w:t>
            </w:r>
            <w:r w:rsidR="00847541" w:rsidRPr="00430E0F">
              <w:rPr>
                <w:rFonts w:ascii="Arial" w:hAnsi="Arial" w:cs="Arial"/>
                <w:bCs/>
                <w:sz w:val="20"/>
                <w:szCs w:val="20"/>
              </w:rPr>
              <w:t xml:space="preserve"> </w:t>
            </w:r>
            <w:r w:rsidR="00430E0F" w:rsidRPr="00430E0F">
              <w:rPr>
                <w:rFonts w:ascii="Arial" w:hAnsi="Arial" w:cs="Arial"/>
                <w:bCs/>
                <w:i/>
                <w:iCs/>
                <w:sz w:val="20"/>
                <w:szCs w:val="20"/>
              </w:rPr>
              <w:t>Klebsiella pneumoniae</w:t>
            </w:r>
            <w:r w:rsidR="00847541" w:rsidRPr="00430E0F">
              <w:rPr>
                <w:rFonts w:ascii="Arial" w:hAnsi="Arial" w:cs="Arial"/>
                <w:bCs/>
                <w:sz w:val="20"/>
                <w:szCs w:val="20"/>
              </w:rPr>
              <w:t xml:space="preserve"> </w:t>
            </w:r>
            <w:r w:rsidR="00847541" w:rsidRPr="000057D9">
              <w:rPr>
                <w:rStyle w:val="Emphasis"/>
                <w:rFonts w:ascii="Arial" w:hAnsi="Arial" w:cs="Arial"/>
                <w:bCs/>
                <w:i w:val="0"/>
                <w:iCs w:val="0"/>
                <w:sz w:val="20"/>
                <w:szCs w:val="20"/>
              </w:rPr>
              <w:t>isolated from the nasopharynx of</w:t>
            </w:r>
            <w:r w:rsidR="00847541" w:rsidRPr="000057D9">
              <w:rPr>
                <w:rFonts w:ascii="Arial" w:eastAsia="Times New Roman" w:hAnsi="Arial" w:cs="Arial"/>
                <w:i/>
                <w:iCs/>
                <w:sz w:val="20"/>
                <w:szCs w:val="20"/>
              </w:rPr>
              <w:t xml:space="preserve"> students </w:t>
            </w:r>
            <w:r w:rsidR="00847541" w:rsidRPr="00430E0F">
              <w:rPr>
                <w:rFonts w:ascii="Arial" w:eastAsia="Times New Roman" w:hAnsi="Arial" w:cs="Arial"/>
                <w:sz w:val="20"/>
                <w:szCs w:val="20"/>
              </w:rPr>
              <w:t xml:space="preserve">of </w:t>
            </w:r>
            <w:r w:rsidR="00847541" w:rsidRPr="00430E0F">
              <w:rPr>
                <w:rFonts w:ascii="Arial" w:eastAsia="Times New Roman" w:hAnsi="Arial" w:cs="Arial"/>
                <w:bCs/>
                <w:sz w:val="20"/>
                <w:szCs w:val="20"/>
              </w:rPr>
              <w:t xml:space="preserve">Alex Ekwueme-Federal University </w:t>
            </w:r>
            <w:proofErr w:type="spellStart"/>
            <w:r w:rsidR="00847541" w:rsidRPr="00430E0F">
              <w:rPr>
                <w:rFonts w:ascii="Arial" w:eastAsia="Times New Roman" w:hAnsi="Arial" w:cs="Arial"/>
                <w:bCs/>
                <w:sz w:val="20"/>
                <w:szCs w:val="20"/>
              </w:rPr>
              <w:t>Ndufu</w:t>
            </w:r>
            <w:proofErr w:type="spellEnd"/>
            <w:r w:rsidR="00847541" w:rsidRPr="00430E0F">
              <w:rPr>
                <w:rFonts w:ascii="Arial" w:eastAsia="Times New Roman" w:hAnsi="Arial" w:cs="Arial"/>
                <w:bCs/>
                <w:sz w:val="20"/>
                <w:szCs w:val="20"/>
              </w:rPr>
              <w:t xml:space="preserve">-Alike, </w:t>
            </w:r>
            <w:proofErr w:type="spellStart"/>
            <w:r w:rsidR="00847541" w:rsidRPr="00430E0F">
              <w:rPr>
                <w:rFonts w:ascii="Arial" w:eastAsia="Times New Roman" w:hAnsi="Arial" w:cs="Arial"/>
                <w:bCs/>
                <w:sz w:val="20"/>
                <w:szCs w:val="20"/>
              </w:rPr>
              <w:t>Ikwo</w:t>
            </w:r>
            <w:proofErr w:type="spellEnd"/>
            <w:r w:rsidR="00847541" w:rsidRPr="00430E0F">
              <w:rPr>
                <w:rFonts w:ascii="Arial" w:eastAsia="Times New Roman" w:hAnsi="Arial" w:cs="Arial"/>
                <w:bCs/>
                <w:sz w:val="20"/>
                <w:szCs w:val="20"/>
              </w:rPr>
              <w:t>, Ebonyi State, Nigeria.</w:t>
            </w:r>
          </w:p>
          <w:p w14:paraId="607BF6BB" w14:textId="77777777" w:rsidR="00847541" w:rsidRPr="00430E0F" w:rsidRDefault="00847541" w:rsidP="00847541">
            <w:pPr>
              <w:pStyle w:val="NoSpacing"/>
              <w:jc w:val="both"/>
              <w:rPr>
                <w:rStyle w:val="Emphasis"/>
                <w:rFonts w:ascii="Arial" w:hAnsi="Arial" w:cs="Arial"/>
                <w:sz w:val="20"/>
                <w:szCs w:val="20"/>
              </w:rPr>
            </w:pPr>
          </w:p>
          <w:p w14:paraId="0EB54B6A" w14:textId="4F6662D5" w:rsidR="00847541" w:rsidRPr="00430E0F" w:rsidRDefault="00CA582C" w:rsidP="00847541">
            <w:pPr>
              <w:pStyle w:val="NoSpacing"/>
              <w:jc w:val="both"/>
              <w:rPr>
                <w:rFonts w:ascii="Arial" w:hAnsi="Arial" w:cs="Arial"/>
                <w:sz w:val="20"/>
                <w:szCs w:val="20"/>
              </w:rPr>
            </w:pPr>
            <w:r w:rsidRPr="00430E0F">
              <w:rPr>
                <w:rStyle w:val="Emphasis"/>
                <w:rFonts w:ascii="Arial" w:hAnsi="Arial" w:cs="Arial"/>
                <w:b/>
                <w:bCs/>
                <w:i w:val="0"/>
                <w:iCs w:val="0"/>
                <w:sz w:val="20"/>
                <w:szCs w:val="20"/>
              </w:rPr>
              <w:t>M</w:t>
            </w:r>
            <w:r w:rsidRPr="00430E0F">
              <w:rPr>
                <w:rStyle w:val="Emphasis"/>
                <w:b/>
                <w:bCs/>
                <w:i w:val="0"/>
                <w:iCs w:val="0"/>
                <w:sz w:val="20"/>
                <w:szCs w:val="20"/>
              </w:rPr>
              <w:t>ethodology</w:t>
            </w:r>
            <w:r w:rsidRPr="00430E0F">
              <w:rPr>
                <w:rStyle w:val="Emphasis"/>
                <w:sz w:val="20"/>
                <w:szCs w:val="20"/>
              </w:rPr>
              <w:t xml:space="preserve">: </w:t>
            </w:r>
            <w:r w:rsidR="00430E0F" w:rsidRPr="00430E0F">
              <w:rPr>
                <w:rStyle w:val="Emphasis"/>
                <w:rFonts w:ascii="Arial" w:hAnsi="Arial" w:cs="Arial"/>
                <w:sz w:val="20"/>
                <w:szCs w:val="20"/>
              </w:rPr>
              <w:t>Klebsiella pneumoniae</w:t>
            </w:r>
            <w:r w:rsidR="00847541" w:rsidRPr="00430E0F">
              <w:rPr>
                <w:rFonts w:ascii="Arial" w:hAnsi="Arial" w:cs="Arial"/>
                <w:sz w:val="20"/>
                <w:szCs w:val="20"/>
              </w:rPr>
              <w:t xml:space="preserve"> isolates were identified using standard morphological and biochemical tests. Aqueous, ethanol, and methanol leaf extracts of </w:t>
            </w:r>
            <w:r w:rsidR="00847541" w:rsidRPr="00430E0F">
              <w:rPr>
                <w:rStyle w:val="Emphasis"/>
                <w:rFonts w:ascii="Arial" w:hAnsi="Arial" w:cs="Arial"/>
                <w:sz w:val="20"/>
                <w:szCs w:val="20"/>
              </w:rPr>
              <w:t>Psidium guajava</w:t>
            </w:r>
            <w:r w:rsidR="00847541" w:rsidRPr="00430E0F">
              <w:rPr>
                <w:rFonts w:ascii="Arial" w:hAnsi="Arial" w:cs="Arial"/>
                <w:sz w:val="20"/>
                <w:szCs w:val="20"/>
              </w:rPr>
              <w:t xml:space="preserve"> were prepared and subjected to qualitative phytochemical screening to determine the presence of major secondary metabolites. Antibacterial activity was evaluated using the agar well diffusion method at concentrations of 200, 100, and 50 mg/ml. Ciprofloxacin was used as the positive control.</w:t>
            </w:r>
          </w:p>
          <w:p w14:paraId="5C1ACF10" w14:textId="77777777" w:rsidR="00847541" w:rsidRPr="00430E0F" w:rsidRDefault="00847541" w:rsidP="00847541">
            <w:pPr>
              <w:pStyle w:val="NoSpacing"/>
              <w:jc w:val="both"/>
              <w:rPr>
                <w:rStyle w:val="Emphasis"/>
                <w:rFonts w:ascii="Arial" w:hAnsi="Arial" w:cs="Arial"/>
                <w:sz w:val="20"/>
                <w:szCs w:val="20"/>
              </w:rPr>
            </w:pPr>
          </w:p>
          <w:p w14:paraId="0B868370" w14:textId="7F746BEC" w:rsidR="00847541" w:rsidRPr="000057D9" w:rsidRDefault="00CA582C" w:rsidP="00847541">
            <w:pPr>
              <w:pStyle w:val="NoSpacing"/>
              <w:jc w:val="both"/>
              <w:rPr>
                <w:rFonts w:ascii="Arial" w:hAnsi="Arial" w:cs="Arial"/>
                <w:b/>
                <w:bCs/>
                <w:sz w:val="20"/>
                <w:szCs w:val="20"/>
              </w:rPr>
            </w:pPr>
            <w:r w:rsidRPr="00430E0F">
              <w:rPr>
                <w:rFonts w:ascii="Arial" w:hAnsi="Arial" w:cs="Arial"/>
                <w:b/>
                <w:bCs/>
                <w:sz w:val="20"/>
                <w:szCs w:val="20"/>
              </w:rPr>
              <w:t>Results</w:t>
            </w:r>
            <w:r w:rsidRPr="00430E0F">
              <w:rPr>
                <w:rFonts w:ascii="Arial" w:hAnsi="Arial" w:cs="Arial"/>
                <w:sz w:val="20"/>
                <w:szCs w:val="20"/>
              </w:rPr>
              <w:t xml:space="preserve">: </w:t>
            </w:r>
            <w:r w:rsidR="00847541" w:rsidRPr="000057D9">
              <w:rPr>
                <w:rFonts w:ascii="Arial" w:hAnsi="Arial" w:cs="Arial"/>
                <w:sz w:val="20"/>
                <w:szCs w:val="20"/>
              </w:rPr>
              <w:t xml:space="preserve">The bacterial isolates exhibited typical morphological and biochemical features consistent with </w:t>
            </w:r>
            <w:r w:rsidR="00430E0F" w:rsidRPr="000057D9">
              <w:rPr>
                <w:rStyle w:val="Emphasis"/>
                <w:rFonts w:ascii="Arial" w:hAnsi="Arial" w:cs="Arial"/>
                <w:sz w:val="20"/>
                <w:szCs w:val="20"/>
              </w:rPr>
              <w:t>K. pneumoniae</w:t>
            </w:r>
            <w:r w:rsidR="00847541" w:rsidRPr="000057D9">
              <w:rPr>
                <w:rFonts w:ascii="Arial" w:hAnsi="Arial" w:cs="Arial"/>
                <w:sz w:val="20"/>
                <w:szCs w:val="20"/>
              </w:rPr>
              <w:t xml:space="preserve">. Phytochemical screening revealed the presence of tannins, flavonoids, alkaloids, saponins, and steroids in all extracts, while glycosides were not detected. The leaf extracts showed concentration-dependent antibacterial activity against </w:t>
            </w:r>
            <w:r w:rsidR="00430E0F" w:rsidRPr="000057D9">
              <w:rPr>
                <w:rStyle w:val="Emphasis"/>
                <w:rFonts w:ascii="Arial" w:hAnsi="Arial" w:cs="Arial"/>
                <w:sz w:val="20"/>
                <w:szCs w:val="20"/>
              </w:rPr>
              <w:t>K. pneumoniae</w:t>
            </w:r>
            <w:r w:rsidR="00847541" w:rsidRPr="000057D9">
              <w:rPr>
                <w:rFonts w:ascii="Arial" w:hAnsi="Arial" w:cs="Arial"/>
                <w:sz w:val="20"/>
                <w:szCs w:val="20"/>
              </w:rPr>
              <w:t xml:space="preserve">. Ethanol and methanol extracts produced larger inhibition zone diameters compared with the aqueous extract at all tested concentrations. The aqueous extract produced inhibition zones ranging from </w:t>
            </w:r>
            <w:r w:rsidR="00847541" w:rsidRPr="000057D9">
              <w:rPr>
                <w:rStyle w:val="Strong"/>
                <w:rFonts w:ascii="Arial" w:hAnsi="Arial" w:cs="Arial"/>
                <w:b w:val="0"/>
                <w:bCs w:val="0"/>
                <w:sz w:val="20"/>
                <w:szCs w:val="20"/>
              </w:rPr>
              <w:t>8–12 mm</w:t>
            </w:r>
            <w:r w:rsidR="00847541" w:rsidRPr="000057D9">
              <w:rPr>
                <w:rFonts w:ascii="Arial" w:hAnsi="Arial" w:cs="Arial"/>
                <w:b/>
                <w:bCs/>
                <w:sz w:val="20"/>
                <w:szCs w:val="20"/>
              </w:rPr>
              <w:t>,</w:t>
            </w:r>
            <w:r w:rsidR="00847541" w:rsidRPr="000057D9">
              <w:rPr>
                <w:rFonts w:ascii="Arial" w:hAnsi="Arial" w:cs="Arial"/>
                <w:sz w:val="20"/>
                <w:szCs w:val="20"/>
              </w:rPr>
              <w:t xml:space="preserve"> the ethanol extract from </w:t>
            </w:r>
            <w:r w:rsidR="00847541" w:rsidRPr="000057D9">
              <w:rPr>
                <w:rStyle w:val="Strong"/>
                <w:rFonts w:ascii="Arial" w:hAnsi="Arial" w:cs="Arial"/>
                <w:b w:val="0"/>
                <w:bCs w:val="0"/>
                <w:sz w:val="20"/>
                <w:szCs w:val="20"/>
              </w:rPr>
              <w:t>10–18 mm</w:t>
            </w:r>
            <w:r w:rsidR="00847541" w:rsidRPr="000057D9">
              <w:rPr>
                <w:rFonts w:ascii="Arial" w:hAnsi="Arial" w:cs="Arial"/>
                <w:b/>
                <w:bCs/>
                <w:sz w:val="20"/>
                <w:szCs w:val="20"/>
              </w:rPr>
              <w:t>,</w:t>
            </w:r>
            <w:r w:rsidR="00847541" w:rsidRPr="000057D9">
              <w:rPr>
                <w:rFonts w:ascii="Arial" w:hAnsi="Arial" w:cs="Arial"/>
                <w:sz w:val="20"/>
                <w:szCs w:val="20"/>
              </w:rPr>
              <w:t xml:space="preserve"> and the methanol extract from </w:t>
            </w:r>
            <w:r w:rsidR="00847541" w:rsidRPr="000057D9">
              <w:rPr>
                <w:rStyle w:val="Strong"/>
                <w:rFonts w:ascii="Arial" w:hAnsi="Arial" w:cs="Arial"/>
                <w:b w:val="0"/>
                <w:bCs w:val="0"/>
                <w:sz w:val="20"/>
                <w:szCs w:val="20"/>
              </w:rPr>
              <w:t>11–19 mm</w:t>
            </w:r>
            <w:r w:rsidR="00847541" w:rsidRPr="000057D9">
              <w:rPr>
                <w:rFonts w:ascii="Arial" w:hAnsi="Arial" w:cs="Arial"/>
                <w:sz w:val="20"/>
                <w:szCs w:val="20"/>
              </w:rPr>
              <w:t xml:space="preserve"> across the tested concentrations. Ciprofloxacin showed the highest antibacterial activity with inhibition zones ranging from </w:t>
            </w:r>
            <w:r w:rsidR="00847541" w:rsidRPr="000057D9">
              <w:rPr>
                <w:rStyle w:val="Strong"/>
                <w:rFonts w:ascii="Arial" w:hAnsi="Arial" w:cs="Arial"/>
                <w:b w:val="0"/>
                <w:bCs w:val="0"/>
                <w:sz w:val="20"/>
                <w:szCs w:val="20"/>
              </w:rPr>
              <w:t>22–28 mm</w:t>
            </w:r>
            <w:r w:rsidR="00847541" w:rsidRPr="000057D9">
              <w:rPr>
                <w:rFonts w:ascii="Arial" w:hAnsi="Arial" w:cs="Arial"/>
                <w:b/>
                <w:bCs/>
                <w:sz w:val="20"/>
                <w:szCs w:val="20"/>
              </w:rPr>
              <w:t>.</w:t>
            </w:r>
          </w:p>
          <w:p w14:paraId="426D255F" w14:textId="77777777" w:rsidR="00847541" w:rsidRPr="00430E0F" w:rsidRDefault="00847541" w:rsidP="00847541">
            <w:pPr>
              <w:pStyle w:val="NoSpacing"/>
              <w:jc w:val="both"/>
              <w:rPr>
                <w:rFonts w:ascii="Arial" w:hAnsi="Arial" w:cs="Arial"/>
                <w:sz w:val="20"/>
                <w:szCs w:val="20"/>
              </w:rPr>
            </w:pPr>
          </w:p>
          <w:p w14:paraId="161E4FAF" w14:textId="255E05A7" w:rsidR="00847541" w:rsidRPr="00430E0F" w:rsidRDefault="00CA582C" w:rsidP="00CA582C">
            <w:pPr>
              <w:pStyle w:val="NoSpacing"/>
              <w:jc w:val="both"/>
              <w:rPr>
                <w:rFonts w:ascii="Arial" w:hAnsi="Arial" w:cs="Arial"/>
                <w:sz w:val="20"/>
                <w:szCs w:val="20"/>
              </w:rPr>
            </w:pPr>
            <w:r w:rsidRPr="00430E0F">
              <w:rPr>
                <w:rFonts w:ascii="Arial" w:hAnsi="Arial" w:cs="Arial"/>
                <w:b/>
                <w:bCs/>
                <w:sz w:val="20"/>
                <w:szCs w:val="20"/>
              </w:rPr>
              <w:t>Conclusion</w:t>
            </w:r>
            <w:r w:rsidRPr="00430E0F">
              <w:rPr>
                <w:rFonts w:ascii="Arial" w:hAnsi="Arial" w:cs="Arial"/>
                <w:sz w:val="20"/>
                <w:szCs w:val="20"/>
              </w:rPr>
              <w:t xml:space="preserve">: </w:t>
            </w:r>
            <w:r w:rsidR="00847541" w:rsidRPr="00430E0F">
              <w:rPr>
                <w:rFonts w:ascii="Arial" w:hAnsi="Arial" w:cs="Arial"/>
                <w:sz w:val="20"/>
                <w:szCs w:val="20"/>
              </w:rPr>
              <w:t xml:space="preserve">The findings indicated that </w:t>
            </w:r>
            <w:r w:rsidR="00847541" w:rsidRPr="00430E0F">
              <w:rPr>
                <w:rStyle w:val="Emphasis"/>
                <w:rFonts w:ascii="Arial" w:hAnsi="Arial" w:cs="Arial"/>
                <w:sz w:val="20"/>
                <w:szCs w:val="20"/>
              </w:rPr>
              <w:t>Psidium guajava</w:t>
            </w:r>
            <w:r w:rsidR="00847541" w:rsidRPr="00430E0F">
              <w:rPr>
                <w:rFonts w:ascii="Arial" w:hAnsi="Arial" w:cs="Arial"/>
                <w:sz w:val="20"/>
                <w:szCs w:val="20"/>
              </w:rPr>
              <w:t xml:space="preserve"> leaves possess bioactive compounds with measurable antibacterial activity against </w:t>
            </w:r>
            <w:r w:rsidR="00430E0F" w:rsidRPr="00430E0F">
              <w:rPr>
                <w:rStyle w:val="Emphasis"/>
                <w:rFonts w:ascii="Arial" w:hAnsi="Arial" w:cs="Arial"/>
                <w:sz w:val="20"/>
                <w:szCs w:val="20"/>
              </w:rPr>
              <w:t>Klebsiella pneumoniae</w:t>
            </w:r>
            <w:r w:rsidR="00847541" w:rsidRPr="00430E0F">
              <w:rPr>
                <w:rFonts w:ascii="Arial" w:hAnsi="Arial" w:cs="Arial"/>
                <w:sz w:val="20"/>
                <w:szCs w:val="20"/>
              </w:rPr>
              <w:t xml:space="preserve">. Although less potent than ciprofloxacin, the ethanol and methanol extracts showed promising inhibitory effects, suggesting that </w:t>
            </w:r>
            <w:r w:rsidR="00430E0F" w:rsidRPr="00430E0F">
              <w:rPr>
                <w:rStyle w:val="Emphasis"/>
                <w:rFonts w:ascii="Arial" w:hAnsi="Arial" w:cs="Arial"/>
                <w:sz w:val="20"/>
                <w:szCs w:val="20"/>
              </w:rPr>
              <w:t>P. guajava</w:t>
            </w:r>
            <w:r w:rsidR="00847541" w:rsidRPr="00430E0F">
              <w:rPr>
                <w:rFonts w:ascii="Arial" w:hAnsi="Arial" w:cs="Arial"/>
                <w:sz w:val="20"/>
                <w:szCs w:val="20"/>
              </w:rPr>
              <w:t xml:space="preserve"> leaves may serve as a potential source of antibacterial agents for managing infections caused by </w:t>
            </w:r>
            <w:r w:rsidR="00430E0F" w:rsidRPr="00430E0F">
              <w:rPr>
                <w:rStyle w:val="Emphasis"/>
                <w:rFonts w:ascii="Arial" w:hAnsi="Arial" w:cs="Arial"/>
                <w:sz w:val="20"/>
                <w:szCs w:val="20"/>
              </w:rPr>
              <w:t>K. pneumoniae</w:t>
            </w:r>
            <w:r w:rsidR="00847541" w:rsidRPr="00430E0F">
              <w:rPr>
                <w:rFonts w:ascii="Arial" w:hAnsi="Arial" w:cs="Arial"/>
                <w:sz w:val="20"/>
                <w:szCs w:val="20"/>
              </w:rPr>
              <w:t>.</w:t>
            </w:r>
          </w:p>
        </w:tc>
      </w:tr>
    </w:tbl>
    <w:p w14:paraId="6FD31522" w14:textId="77777777" w:rsidR="00847541" w:rsidRPr="00430E0F" w:rsidRDefault="00847541" w:rsidP="00847541">
      <w:pPr>
        <w:pStyle w:val="Body"/>
        <w:spacing w:after="0"/>
        <w:rPr>
          <w:rFonts w:ascii="Arial" w:hAnsi="Arial" w:cs="Arial"/>
          <w:i/>
        </w:rPr>
      </w:pPr>
    </w:p>
    <w:p w14:paraId="39DD8F15" w14:textId="5F97988A" w:rsidR="00CA582C" w:rsidRPr="00430E0F" w:rsidRDefault="00847541" w:rsidP="00CA582C">
      <w:pPr>
        <w:pStyle w:val="NoSpacing"/>
        <w:jc w:val="both"/>
        <w:rPr>
          <w:rFonts w:ascii="Arial" w:hAnsi="Arial" w:cs="Arial"/>
          <w:sz w:val="20"/>
          <w:szCs w:val="20"/>
        </w:rPr>
      </w:pPr>
      <w:r w:rsidRPr="00430E0F">
        <w:rPr>
          <w:rFonts w:ascii="Arial" w:hAnsi="Arial" w:cs="Arial"/>
          <w:i/>
          <w:sz w:val="20"/>
          <w:szCs w:val="20"/>
        </w:rPr>
        <w:t xml:space="preserve">Keywords: </w:t>
      </w:r>
      <w:r w:rsidR="00CA582C" w:rsidRPr="00430E0F">
        <w:rPr>
          <w:rFonts w:ascii="Arial" w:hAnsi="Arial" w:cs="Arial"/>
          <w:i/>
          <w:iCs/>
          <w:sz w:val="20"/>
          <w:szCs w:val="20"/>
        </w:rPr>
        <w:t xml:space="preserve">Psidium guajava, </w:t>
      </w:r>
      <w:r w:rsidR="00430E0F" w:rsidRPr="00430E0F">
        <w:rPr>
          <w:rFonts w:ascii="Arial" w:hAnsi="Arial" w:cs="Arial"/>
          <w:i/>
          <w:iCs/>
          <w:sz w:val="20"/>
          <w:szCs w:val="20"/>
        </w:rPr>
        <w:t>Klebsiella pneumoniae</w:t>
      </w:r>
      <w:r w:rsidR="00CA582C" w:rsidRPr="00430E0F">
        <w:rPr>
          <w:rFonts w:ascii="Arial" w:hAnsi="Arial" w:cs="Arial"/>
          <w:i/>
          <w:iCs/>
          <w:sz w:val="20"/>
          <w:szCs w:val="20"/>
        </w:rPr>
        <w:t>, phytochemical screening, antibacterial activity, plant extracts, antimicrobial resistance</w:t>
      </w:r>
    </w:p>
    <w:p w14:paraId="0FDE9F2F" w14:textId="03C6E5F5" w:rsidR="00847541" w:rsidRPr="00430E0F" w:rsidRDefault="00847541" w:rsidP="00847541">
      <w:pPr>
        <w:pStyle w:val="Body"/>
        <w:spacing w:after="0"/>
        <w:rPr>
          <w:rFonts w:ascii="Arial" w:hAnsi="Arial" w:cs="Arial"/>
          <w:i/>
        </w:rPr>
      </w:pPr>
    </w:p>
    <w:p w14:paraId="23DFEDE4" w14:textId="77777777" w:rsidR="00847541" w:rsidRPr="00430E0F" w:rsidRDefault="00847541" w:rsidP="00847541">
      <w:pPr>
        <w:pStyle w:val="AbstHead"/>
        <w:spacing w:after="0"/>
        <w:jc w:val="both"/>
        <w:rPr>
          <w:rFonts w:ascii="Arial" w:hAnsi="Arial" w:cs="Arial"/>
        </w:rPr>
      </w:pPr>
      <w:r w:rsidRPr="00430E0F">
        <w:rPr>
          <w:rFonts w:ascii="Arial" w:hAnsi="Arial" w:cs="Arial"/>
        </w:rPr>
        <w:t xml:space="preserve">1. INTRODUCTION </w:t>
      </w:r>
    </w:p>
    <w:p w14:paraId="4034DD87" w14:textId="30EA3C14" w:rsidR="00CA582C" w:rsidRPr="00430E0F" w:rsidRDefault="00430E0F" w:rsidP="00CA582C">
      <w:pPr>
        <w:pStyle w:val="NoSpacing"/>
        <w:jc w:val="both"/>
        <w:rPr>
          <w:rFonts w:ascii="Arial" w:hAnsi="Arial" w:cs="Arial"/>
          <w:sz w:val="20"/>
          <w:szCs w:val="20"/>
        </w:rPr>
      </w:pPr>
      <w:r w:rsidRPr="00430E0F">
        <w:rPr>
          <w:rFonts w:ascii="Arial" w:hAnsi="Arial" w:cs="Arial"/>
          <w:i/>
          <w:iCs/>
          <w:sz w:val="20"/>
          <w:szCs w:val="20"/>
        </w:rPr>
        <w:t>Klebsiella pneumoniae</w:t>
      </w:r>
      <w:r w:rsidR="00CA582C" w:rsidRPr="00430E0F">
        <w:rPr>
          <w:rFonts w:ascii="Arial" w:hAnsi="Arial" w:cs="Arial"/>
          <w:sz w:val="20"/>
          <w:szCs w:val="20"/>
        </w:rPr>
        <w:t xml:space="preserve"> is a Gram-negative, encapsulated, non-motile bacterium belonging to the family </w:t>
      </w:r>
      <w:r w:rsidR="00CA582C" w:rsidRPr="00430E0F">
        <w:rPr>
          <w:rFonts w:ascii="Arial" w:hAnsi="Arial" w:cs="Arial"/>
          <w:i/>
          <w:iCs/>
          <w:sz w:val="20"/>
          <w:szCs w:val="20"/>
        </w:rPr>
        <w:t>Enterobacteriaceae</w:t>
      </w:r>
      <w:r w:rsidR="00CA582C" w:rsidRPr="00430E0F">
        <w:rPr>
          <w:rFonts w:ascii="Arial" w:hAnsi="Arial" w:cs="Arial"/>
          <w:sz w:val="20"/>
          <w:szCs w:val="20"/>
        </w:rPr>
        <w:t xml:space="preserve">. It exists both as a commensal organism, colonizing the </w:t>
      </w:r>
      <w:r w:rsidR="00CA582C" w:rsidRPr="00430E0F">
        <w:rPr>
          <w:rFonts w:ascii="Arial" w:hAnsi="Arial" w:cs="Arial"/>
          <w:sz w:val="20"/>
          <w:szCs w:val="20"/>
        </w:rPr>
        <w:lastRenderedPageBreak/>
        <w:t xml:space="preserve">gastrointestinal tract, skin, and oral cavity, and as an opportunistic pathogen implicated in a wide range of infections including pneumonia, urinary tract infections, septicemia, and wound infections (Akinyemi </w:t>
      </w:r>
      <w:r w:rsidR="00A15CB7" w:rsidRPr="00430E0F">
        <w:rPr>
          <w:rFonts w:ascii="Arial" w:hAnsi="Arial" w:cs="Arial"/>
          <w:i/>
          <w:iCs/>
          <w:sz w:val="20"/>
          <w:szCs w:val="20"/>
        </w:rPr>
        <w:t>et al</w:t>
      </w:r>
      <w:r w:rsidR="00CA582C" w:rsidRPr="00430E0F">
        <w:rPr>
          <w:rFonts w:ascii="Arial" w:hAnsi="Arial" w:cs="Arial"/>
          <w:sz w:val="20"/>
          <w:szCs w:val="20"/>
        </w:rPr>
        <w:t xml:space="preserve">., 2021). The organism’s ability to thrive in different anatomical sites makes it a significant subject of medical and public health interest. Although the gastrointestinal tract is recognized as the primary ecological niche of </w:t>
      </w:r>
      <w:r w:rsidRPr="00430E0F">
        <w:rPr>
          <w:rFonts w:ascii="Arial" w:hAnsi="Arial" w:cs="Arial"/>
          <w:i/>
          <w:iCs/>
          <w:sz w:val="20"/>
          <w:szCs w:val="20"/>
        </w:rPr>
        <w:t>K. pneumoniae</w:t>
      </w:r>
      <w:r w:rsidR="00CA582C" w:rsidRPr="00430E0F">
        <w:rPr>
          <w:rFonts w:ascii="Arial" w:hAnsi="Arial" w:cs="Arial"/>
          <w:sz w:val="20"/>
          <w:szCs w:val="20"/>
        </w:rPr>
        <w:t xml:space="preserve">, evidence suggests that the nasopharynx can serve as an important alternative reservoir (Farida </w:t>
      </w:r>
      <w:r w:rsidR="00A15CB7" w:rsidRPr="00430E0F">
        <w:rPr>
          <w:rFonts w:ascii="Arial" w:hAnsi="Arial" w:cs="Arial"/>
          <w:i/>
          <w:iCs/>
          <w:sz w:val="20"/>
          <w:szCs w:val="20"/>
        </w:rPr>
        <w:t>et al</w:t>
      </w:r>
      <w:r w:rsidR="00CA582C" w:rsidRPr="00430E0F">
        <w:rPr>
          <w:rFonts w:ascii="Arial" w:hAnsi="Arial" w:cs="Arial"/>
          <w:sz w:val="20"/>
          <w:szCs w:val="20"/>
        </w:rPr>
        <w:t xml:space="preserve">., 2013). Colonization of the nasopharynx is usually asymptomatic but may constitute the initial step in the pathogenesis of respiratory infections and act as a reservoir for onward transmission in community and healthcare settings. Asymptomatic carriers may, therefore, represent a hidden source of infection and play a critical role in sustaining endemicity and spread of </w:t>
      </w:r>
      <w:r w:rsidRPr="00430E0F">
        <w:rPr>
          <w:rFonts w:ascii="Arial" w:hAnsi="Arial" w:cs="Arial"/>
          <w:i/>
          <w:iCs/>
          <w:sz w:val="20"/>
          <w:szCs w:val="20"/>
        </w:rPr>
        <w:t>K. pneumoniae</w:t>
      </w:r>
      <w:r w:rsidR="00CA582C" w:rsidRPr="00430E0F">
        <w:rPr>
          <w:rFonts w:ascii="Arial" w:hAnsi="Arial" w:cs="Arial"/>
          <w:sz w:val="20"/>
          <w:szCs w:val="20"/>
        </w:rPr>
        <w:t>.</w:t>
      </w:r>
    </w:p>
    <w:p w14:paraId="47236899" w14:textId="77777777" w:rsidR="00CA582C" w:rsidRPr="00430E0F" w:rsidRDefault="00CA582C" w:rsidP="00CA582C">
      <w:pPr>
        <w:pStyle w:val="NoSpacing"/>
        <w:jc w:val="both"/>
        <w:rPr>
          <w:rFonts w:ascii="Arial" w:hAnsi="Arial" w:cs="Arial"/>
          <w:sz w:val="20"/>
          <w:szCs w:val="20"/>
        </w:rPr>
      </w:pPr>
    </w:p>
    <w:p w14:paraId="2C1D6E03" w14:textId="4C0F3328" w:rsidR="00CA582C" w:rsidRPr="00430E0F" w:rsidRDefault="00CA582C" w:rsidP="00CA582C">
      <w:pPr>
        <w:pStyle w:val="NoSpacing"/>
        <w:jc w:val="both"/>
        <w:rPr>
          <w:rFonts w:ascii="Arial" w:hAnsi="Arial" w:cs="Arial"/>
          <w:sz w:val="20"/>
          <w:szCs w:val="20"/>
        </w:rPr>
      </w:pPr>
      <w:r w:rsidRPr="00430E0F">
        <w:rPr>
          <w:rFonts w:ascii="Arial" w:hAnsi="Arial" w:cs="Arial"/>
          <w:sz w:val="20"/>
          <w:szCs w:val="20"/>
        </w:rPr>
        <w:t xml:space="preserve">Several studies have documented the prevalence of nasopharyngeal carriage of </w:t>
      </w:r>
      <w:r w:rsidR="00430E0F" w:rsidRPr="00430E0F">
        <w:rPr>
          <w:rFonts w:ascii="Arial" w:hAnsi="Arial" w:cs="Arial"/>
          <w:i/>
          <w:iCs/>
          <w:sz w:val="20"/>
          <w:szCs w:val="20"/>
        </w:rPr>
        <w:t>K. pneumoniae</w:t>
      </w:r>
      <w:r w:rsidRPr="00430E0F">
        <w:rPr>
          <w:rFonts w:ascii="Arial" w:hAnsi="Arial" w:cs="Arial"/>
          <w:sz w:val="20"/>
          <w:szCs w:val="20"/>
        </w:rPr>
        <w:t xml:space="preserve"> across different populations. A study in Semarang, Indonesia, reported a 15% prevalence of </w:t>
      </w:r>
      <w:r w:rsidR="00430E0F" w:rsidRPr="00430E0F">
        <w:rPr>
          <w:rFonts w:ascii="Arial" w:hAnsi="Arial" w:cs="Arial"/>
          <w:i/>
          <w:iCs/>
          <w:sz w:val="20"/>
          <w:szCs w:val="20"/>
        </w:rPr>
        <w:t>K. pneumoniae</w:t>
      </w:r>
      <w:r w:rsidRPr="00430E0F">
        <w:rPr>
          <w:rFonts w:ascii="Arial" w:hAnsi="Arial" w:cs="Arial"/>
          <w:sz w:val="20"/>
          <w:szCs w:val="20"/>
        </w:rPr>
        <w:t xml:space="preserve"> among healthy adults compared to 7% in children, highlighting the importance of adult carriers as potential reservoirs (Farida </w:t>
      </w:r>
      <w:r w:rsidR="00A15CB7" w:rsidRPr="00430E0F">
        <w:rPr>
          <w:rFonts w:ascii="Arial" w:hAnsi="Arial" w:cs="Arial"/>
          <w:i/>
          <w:iCs/>
          <w:sz w:val="20"/>
          <w:szCs w:val="20"/>
        </w:rPr>
        <w:t>et al</w:t>
      </w:r>
      <w:r w:rsidRPr="00430E0F">
        <w:rPr>
          <w:rFonts w:ascii="Arial" w:hAnsi="Arial" w:cs="Arial"/>
          <w:sz w:val="20"/>
          <w:szCs w:val="20"/>
        </w:rPr>
        <w:t xml:space="preserve">., 2013). Similarly, a recent cross-sectional survey in Malaysia revealed that 11% of university students harbored </w:t>
      </w:r>
      <w:r w:rsidR="00430E0F" w:rsidRPr="00430E0F">
        <w:rPr>
          <w:rFonts w:ascii="Arial" w:hAnsi="Arial" w:cs="Arial"/>
          <w:i/>
          <w:iCs/>
          <w:sz w:val="20"/>
          <w:szCs w:val="20"/>
        </w:rPr>
        <w:t>K. pneumoniae</w:t>
      </w:r>
      <w:r w:rsidRPr="00430E0F">
        <w:rPr>
          <w:rFonts w:ascii="Arial" w:hAnsi="Arial" w:cs="Arial"/>
          <w:sz w:val="20"/>
          <w:szCs w:val="20"/>
        </w:rPr>
        <w:t xml:space="preserve"> in their upper respiratory tract with males showing higher carriage rates than females. These findings emphasize that nasopharyngeal carriage is not uncommon even in otherwise healthy young adults.</w:t>
      </w:r>
      <w:r w:rsidR="003E5417" w:rsidRPr="00430E0F">
        <w:rPr>
          <w:rFonts w:ascii="Arial" w:hAnsi="Arial" w:cs="Arial"/>
          <w:sz w:val="20"/>
          <w:szCs w:val="20"/>
        </w:rPr>
        <w:t xml:space="preserve"> </w:t>
      </w:r>
      <w:r w:rsidRPr="00430E0F">
        <w:rPr>
          <w:rFonts w:ascii="Arial" w:hAnsi="Arial" w:cs="Arial"/>
          <w:sz w:val="20"/>
          <w:szCs w:val="20"/>
        </w:rPr>
        <w:t xml:space="preserve">University students represent a particularly relevant demographic for the study of bacterial carriage. The campus environment is characterized by communal living in dormitories, high social interaction, shared facilities, and exposure to crowded lecture halls—all of which can facilitate the acquisition and spread of respiratory pathogens. Additionally, frequent interactions with healthcare systems, such as outpatient clinics or university health centers, may contribute to colonization dynamics. Thus, university students may serve both as reservoirs and amplifiers of </w:t>
      </w:r>
      <w:r w:rsidR="00430E0F" w:rsidRPr="00430E0F">
        <w:rPr>
          <w:rFonts w:ascii="Arial" w:hAnsi="Arial" w:cs="Arial"/>
          <w:i/>
          <w:iCs/>
          <w:sz w:val="20"/>
          <w:szCs w:val="20"/>
        </w:rPr>
        <w:t>K. pneumoniae</w:t>
      </w:r>
      <w:r w:rsidRPr="00430E0F">
        <w:rPr>
          <w:rFonts w:ascii="Arial" w:hAnsi="Arial" w:cs="Arial"/>
          <w:sz w:val="20"/>
          <w:szCs w:val="20"/>
        </w:rPr>
        <w:t xml:space="preserve"> transmission within the community.</w:t>
      </w:r>
    </w:p>
    <w:p w14:paraId="00122FFA" w14:textId="77777777" w:rsidR="00CA582C" w:rsidRPr="00430E0F" w:rsidRDefault="00CA582C" w:rsidP="00CA582C">
      <w:pPr>
        <w:pStyle w:val="NoSpacing"/>
        <w:jc w:val="both"/>
        <w:rPr>
          <w:rFonts w:ascii="Arial" w:eastAsia="Times New Roman" w:hAnsi="Arial" w:cs="Arial"/>
          <w:sz w:val="20"/>
          <w:szCs w:val="20"/>
        </w:rPr>
      </w:pPr>
    </w:p>
    <w:p w14:paraId="54C736DA" w14:textId="5D77B28A" w:rsidR="00CA582C" w:rsidRPr="00430E0F" w:rsidRDefault="00CA582C" w:rsidP="00CA582C">
      <w:pPr>
        <w:jc w:val="both"/>
        <w:rPr>
          <w:rFonts w:ascii="Arial" w:hAnsi="Arial" w:cs="Arial"/>
          <w:shd w:val="clear" w:color="auto" w:fill="FFFFFF"/>
        </w:rPr>
      </w:pPr>
      <w:r w:rsidRPr="00430E0F">
        <w:rPr>
          <w:rFonts w:ascii="Arial" w:hAnsi="Arial" w:cs="Arial"/>
          <w:shd w:val="clear" w:color="auto" w:fill="FFFFFF"/>
        </w:rPr>
        <w:t xml:space="preserve">The increasing prevalence of antimicrobial resistance particularly among pathogens like </w:t>
      </w:r>
      <w:r w:rsidR="00430E0F" w:rsidRPr="00430E0F">
        <w:rPr>
          <w:rFonts w:ascii="Arial" w:hAnsi="Arial" w:cs="Arial"/>
          <w:i/>
          <w:iCs/>
          <w:shd w:val="clear" w:color="auto" w:fill="FFFFFF"/>
        </w:rPr>
        <w:t>Klebsiella pneumoniae</w:t>
      </w:r>
      <w:r w:rsidRPr="00430E0F">
        <w:rPr>
          <w:rFonts w:ascii="Arial" w:hAnsi="Arial" w:cs="Arial"/>
          <w:shd w:val="clear" w:color="auto" w:fill="FFFFFF"/>
        </w:rPr>
        <w:t xml:space="preserve">, underscores the urgent need for novel antibacterial strategies (Pereira </w:t>
      </w:r>
      <w:r w:rsidR="00A15CB7" w:rsidRPr="00430E0F">
        <w:rPr>
          <w:rFonts w:ascii="Arial" w:hAnsi="Arial" w:cs="Arial"/>
          <w:i/>
          <w:iCs/>
          <w:shd w:val="clear" w:color="auto" w:fill="FFFFFF"/>
        </w:rPr>
        <w:t>et al</w:t>
      </w:r>
      <w:r w:rsidRPr="00430E0F">
        <w:rPr>
          <w:rFonts w:ascii="Arial" w:hAnsi="Arial" w:cs="Arial"/>
          <w:shd w:val="clear" w:color="auto" w:fill="FFFFFF"/>
        </w:rPr>
        <w:t xml:space="preserve">., 2023; Egwu </w:t>
      </w:r>
      <w:r w:rsidR="00A15CB7" w:rsidRPr="00430E0F">
        <w:rPr>
          <w:rFonts w:ascii="Arial" w:hAnsi="Arial" w:cs="Arial"/>
          <w:i/>
          <w:iCs/>
          <w:shd w:val="clear" w:color="auto" w:fill="FFFFFF"/>
        </w:rPr>
        <w:t>et al</w:t>
      </w:r>
      <w:r w:rsidRPr="00430E0F">
        <w:rPr>
          <w:rFonts w:ascii="Arial" w:hAnsi="Arial" w:cs="Arial"/>
          <w:shd w:val="clear" w:color="auto" w:fill="FFFFFF"/>
        </w:rPr>
        <w:t xml:space="preserve">., 2024). This has led to a renewed interest in medicinal plants, such as </w:t>
      </w:r>
      <w:r w:rsidRPr="00430E0F">
        <w:rPr>
          <w:rFonts w:ascii="Arial" w:hAnsi="Arial" w:cs="Arial"/>
          <w:i/>
          <w:iCs/>
          <w:shd w:val="clear" w:color="auto" w:fill="FFFFFF"/>
        </w:rPr>
        <w:t>Psidium guajava</w:t>
      </w:r>
      <w:r w:rsidRPr="00430E0F">
        <w:rPr>
          <w:rFonts w:ascii="Arial" w:hAnsi="Arial" w:cs="Arial"/>
          <w:shd w:val="clear" w:color="auto" w:fill="FFFFFF"/>
        </w:rPr>
        <w:t>, for their potential therapeutic properties against resistant bacterial strains (</w:t>
      </w:r>
      <w:r w:rsidRPr="00430E0F">
        <w:rPr>
          <w:rFonts w:ascii="Arial" w:hAnsi="Arial" w:cs="Arial"/>
        </w:rPr>
        <w:t>Hackman</w:t>
      </w:r>
      <w:r w:rsidRPr="00430E0F">
        <w:rPr>
          <w:rFonts w:ascii="Arial" w:hAnsi="Arial" w:cs="Arial"/>
          <w:shd w:val="clear" w:color="auto" w:fill="FFFFFF"/>
        </w:rPr>
        <w:t xml:space="preserve"> </w:t>
      </w:r>
      <w:r w:rsidR="00A15CB7" w:rsidRPr="00430E0F">
        <w:rPr>
          <w:rFonts w:ascii="Arial" w:hAnsi="Arial" w:cs="Arial"/>
          <w:i/>
          <w:iCs/>
          <w:shd w:val="clear" w:color="auto" w:fill="FFFFFF"/>
        </w:rPr>
        <w:t>et al</w:t>
      </w:r>
      <w:r w:rsidRPr="00430E0F">
        <w:rPr>
          <w:rFonts w:ascii="Arial" w:hAnsi="Arial" w:cs="Arial"/>
          <w:shd w:val="clear" w:color="auto" w:fill="FFFFFF"/>
        </w:rPr>
        <w:t xml:space="preserve">., 2020). </w:t>
      </w:r>
    </w:p>
    <w:p w14:paraId="1DDC0CB1" w14:textId="77777777" w:rsidR="003E5417" w:rsidRPr="00430E0F" w:rsidRDefault="003E5417" w:rsidP="00CA582C">
      <w:pPr>
        <w:jc w:val="both"/>
        <w:rPr>
          <w:rFonts w:ascii="Arial" w:hAnsi="Arial" w:cs="Arial"/>
          <w:shd w:val="clear" w:color="auto" w:fill="FFFFFF"/>
        </w:rPr>
      </w:pPr>
    </w:p>
    <w:p w14:paraId="79902967" w14:textId="2CC13B11" w:rsidR="00CA582C" w:rsidRPr="00430E0F" w:rsidRDefault="00CA582C" w:rsidP="00CA582C">
      <w:pPr>
        <w:jc w:val="both"/>
        <w:rPr>
          <w:rFonts w:ascii="Arial" w:hAnsi="Arial" w:cs="Arial"/>
          <w:shd w:val="clear" w:color="auto" w:fill="FFFFFF"/>
        </w:rPr>
      </w:pPr>
      <w:r w:rsidRPr="00430E0F">
        <w:rPr>
          <w:rFonts w:ascii="Arial" w:hAnsi="Arial" w:cs="Arial"/>
          <w:i/>
          <w:iCs/>
          <w:shd w:val="clear" w:color="auto" w:fill="FFFFFF"/>
        </w:rPr>
        <w:t>Psidium guajava</w:t>
      </w:r>
      <w:r w:rsidRPr="00430E0F">
        <w:rPr>
          <w:rFonts w:ascii="Arial" w:hAnsi="Arial" w:cs="Arial"/>
          <w:shd w:val="clear" w:color="auto" w:fill="FFFFFF"/>
        </w:rPr>
        <w:t>, commonly known as guava, is a tropical plant widely recognized for its high content of organic and inorganic compounds, including antimicrobials, antioxidants, polyphenols, and anti-inflammatory agents (</w:t>
      </w:r>
      <w:r w:rsidRPr="00430E0F">
        <w:rPr>
          <w:rFonts w:ascii="Arial" w:hAnsi="Arial" w:cs="Arial"/>
        </w:rPr>
        <w:t>Hackman</w:t>
      </w:r>
      <w:r w:rsidRPr="00430E0F">
        <w:rPr>
          <w:rFonts w:ascii="Arial" w:hAnsi="Arial" w:cs="Arial"/>
          <w:shd w:val="clear" w:color="auto" w:fill="FFFFFF"/>
        </w:rPr>
        <w:t xml:space="preserve"> </w:t>
      </w:r>
      <w:r w:rsidR="00A15CB7" w:rsidRPr="00430E0F">
        <w:rPr>
          <w:rFonts w:ascii="Arial" w:hAnsi="Arial" w:cs="Arial"/>
          <w:i/>
          <w:iCs/>
          <w:shd w:val="clear" w:color="auto" w:fill="FFFFFF"/>
        </w:rPr>
        <w:t>et al</w:t>
      </w:r>
      <w:r w:rsidRPr="00430E0F">
        <w:rPr>
          <w:rFonts w:ascii="Arial" w:hAnsi="Arial" w:cs="Arial"/>
          <w:shd w:val="clear" w:color="auto" w:fill="FFFFFF"/>
        </w:rPr>
        <w:t xml:space="preserve">., 2020). Its traditional use in various folk medicines across tropical and subtropical regions highlights its historical significance in treating diverse ailments (Pereira </w:t>
      </w:r>
      <w:r w:rsidR="00A15CB7" w:rsidRPr="00430E0F">
        <w:rPr>
          <w:rFonts w:ascii="Arial" w:hAnsi="Arial" w:cs="Arial"/>
          <w:i/>
          <w:iCs/>
          <w:shd w:val="clear" w:color="auto" w:fill="FFFFFF"/>
        </w:rPr>
        <w:t>et al</w:t>
      </w:r>
      <w:r w:rsidRPr="00430E0F">
        <w:rPr>
          <w:rFonts w:ascii="Arial" w:hAnsi="Arial" w:cs="Arial"/>
          <w:shd w:val="clear" w:color="auto" w:fill="FFFFFF"/>
        </w:rPr>
        <w:t>., 2023). Specifically, its leaves have been traditionally employed for their therapeutic benefits due to the presence of bioactive compounds such as flavonoids, tannins, and terpenoids, which have demonstrated significant antibacterial activities (</w:t>
      </w:r>
      <w:proofErr w:type="spellStart"/>
      <w:r w:rsidRPr="00430E0F">
        <w:rPr>
          <w:rFonts w:ascii="Arial" w:hAnsi="Arial" w:cs="Arial"/>
          <w:shd w:val="clear" w:color="auto" w:fill="FFFFFF"/>
        </w:rPr>
        <w:t>Bunu</w:t>
      </w:r>
      <w:proofErr w:type="spellEnd"/>
      <w:r w:rsidRPr="00430E0F">
        <w:rPr>
          <w:rFonts w:ascii="Arial" w:hAnsi="Arial" w:cs="Arial"/>
          <w:shd w:val="clear" w:color="auto" w:fill="FFFFFF"/>
        </w:rPr>
        <w:t xml:space="preserve"> </w:t>
      </w:r>
      <w:r w:rsidR="00A15CB7" w:rsidRPr="00430E0F">
        <w:rPr>
          <w:rFonts w:ascii="Arial" w:hAnsi="Arial" w:cs="Arial"/>
          <w:i/>
          <w:iCs/>
          <w:shd w:val="clear" w:color="auto" w:fill="FFFFFF"/>
        </w:rPr>
        <w:t>et al</w:t>
      </w:r>
      <w:r w:rsidRPr="00430E0F">
        <w:rPr>
          <w:rFonts w:ascii="Arial" w:hAnsi="Arial" w:cs="Arial"/>
          <w:shd w:val="clear" w:color="auto" w:fill="FFFFFF"/>
        </w:rPr>
        <w:t xml:space="preserve">., 2023; Imperia </w:t>
      </w:r>
      <w:r w:rsidR="00A15CB7" w:rsidRPr="00430E0F">
        <w:rPr>
          <w:rFonts w:ascii="Arial" w:hAnsi="Arial" w:cs="Arial"/>
          <w:i/>
          <w:iCs/>
          <w:shd w:val="clear" w:color="auto" w:fill="FFFFFF"/>
        </w:rPr>
        <w:t>et al</w:t>
      </w:r>
      <w:r w:rsidRPr="00430E0F">
        <w:rPr>
          <w:rFonts w:ascii="Arial" w:hAnsi="Arial" w:cs="Arial"/>
          <w:shd w:val="clear" w:color="auto" w:fill="FFFFFF"/>
        </w:rPr>
        <w:t xml:space="preserve">., 2017). Several studies have explored the efficacy of </w:t>
      </w:r>
      <w:r w:rsidR="00430E0F" w:rsidRPr="00430E0F">
        <w:rPr>
          <w:rFonts w:ascii="Arial" w:hAnsi="Arial" w:cs="Arial"/>
          <w:i/>
          <w:iCs/>
          <w:shd w:val="clear" w:color="auto" w:fill="FFFFFF"/>
        </w:rPr>
        <w:t>P. guajava</w:t>
      </w:r>
      <w:r w:rsidRPr="00430E0F">
        <w:rPr>
          <w:rFonts w:ascii="Arial" w:hAnsi="Arial" w:cs="Arial"/>
          <w:shd w:val="clear" w:color="auto" w:fill="FFFFFF"/>
        </w:rPr>
        <w:t xml:space="preserve"> leaf extracts against various bacterial strains, including Escherichia coli, Staphylococcus </w:t>
      </w:r>
      <w:commentRangeStart w:id="2"/>
      <w:r w:rsidRPr="00430E0F">
        <w:rPr>
          <w:rFonts w:ascii="Arial" w:hAnsi="Arial" w:cs="Arial"/>
          <w:shd w:val="clear" w:color="auto" w:fill="FFFFFF"/>
        </w:rPr>
        <w:t>aureus</w:t>
      </w:r>
      <w:commentRangeEnd w:id="2"/>
      <w:r w:rsidR="004B0FD8">
        <w:rPr>
          <w:rStyle w:val="CommentReference"/>
          <w:rtl/>
        </w:rPr>
        <w:commentReference w:id="2"/>
      </w:r>
      <w:r w:rsidRPr="00430E0F">
        <w:rPr>
          <w:rFonts w:ascii="Arial" w:hAnsi="Arial" w:cs="Arial"/>
          <w:shd w:val="clear" w:color="auto" w:fill="FFFFFF"/>
        </w:rPr>
        <w:t xml:space="preserve">, and </w:t>
      </w:r>
      <w:r w:rsidR="00430E0F" w:rsidRPr="00430E0F">
        <w:rPr>
          <w:rFonts w:ascii="Arial" w:hAnsi="Arial" w:cs="Arial"/>
          <w:i/>
          <w:iCs/>
          <w:shd w:val="clear" w:color="auto" w:fill="FFFFFF"/>
        </w:rPr>
        <w:t>Klebsiella pneumoniae</w:t>
      </w:r>
      <w:r w:rsidRPr="00430E0F">
        <w:rPr>
          <w:rFonts w:ascii="Arial" w:hAnsi="Arial" w:cs="Arial"/>
          <w:shd w:val="clear" w:color="auto" w:fill="FFFFFF"/>
        </w:rPr>
        <w:t xml:space="preserve">, often revealing dose-dependent inhibitory effects (Agbo </w:t>
      </w:r>
      <w:r w:rsidR="00A15CB7" w:rsidRPr="00430E0F">
        <w:rPr>
          <w:rFonts w:ascii="Arial" w:hAnsi="Arial" w:cs="Arial"/>
          <w:i/>
          <w:iCs/>
          <w:shd w:val="clear" w:color="auto" w:fill="FFFFFF"/>
        </w:rPr>
        <w:t>et al</w:t>
      </w:r>
      <w:r w:rsidRPr="00430E0F">
        <w:rPr>
          <w:rFonts w:ascii="Arial" w:hAnsi="Arial" w:cs="Arial"/>
          <w:shd w:val="clear" w:color="auto" w:fill="FFFFFF"/>
        </w:rPr>
        <w:t xml:space="preserve">., 2025; </w:t>
      </w:r>
      <w:proofErr w:type="spellStart"/>
      <w:r w:rsidRPr="00430E0F">
        <w:rPr>
          <w:rFonts w:ascii="Arial" w:hAnsi="Arial" w:cs="Arial"/>
          <w:shd w:val="clear" w:color="auto" w:fill="FFFFFF"/>
        </w:rPr>
        <w:t>Ekeleme</w:t>
      </w:r>
      <w:proofErr w:type="spellEnd"/>
      <w:r w:rsidRPr="00430E0F">
        <w:rPr>
          <w:rFonts w:ascii="Arial" w:hAnsi="Arial" w:cs="Arial"/>
          <w:shd w:val="clear" w:color="auto" w:fill="FFFFFF"/>
        </w:rPr>
        <w:t xml:space="preserve"> </w:t>
      </w:r>
      <w:r w:rsidR="00A15CB7" w:rsidRPr="00430E0F">
        <w:rPr>
          <w:rFonts w:ascii="Arial" w:hAnsi="Arial" w:cs="Arial"/>
          <w:i/>
          <w:iCs/>
          <w:shd w:val="clear" w:color="auto" w:fill="FFFFFF"/>
        </w:rPr>
        <w:t>et al</w:t>
      </w:r>
      <w:r w:rsidRPr="00430E0F">
        <w:rPr>
          <w:rFonts w:ascii="Arial" w:hAnsi="Arial" w:cs="Arial"/>
          <w:shd w:val="clear" w:color="auto" w:fill="FFFFFF"/>
        </w:rPr>
        <w:t xml:space="preserve">., 2017; </w:t>
      </w:r>
      <w:r w:rsidRPr="00430E0F">
        <w:rPr>
          <w:rFonts w:ascii="Arial" w:hAnsi="Arial" w:cs="Arial"/>
        </w:rPr>
        <w:t>Sivananthan &amp; Elamaran, 2013</w:t>
      </w:r>
      <w:r w:rsidRPr="00430E0F">
        <w:rPr>
          <w:rFonts w:ascii="Arial" w:hAnsi="Arial" w:cs="Arial"/>
          <w:shd w:val="clear" w:color="auto" w:fill="FFFFFF"/>
        </w:rPr>
        <w:t xml:space="preserve">). These studies often highlight the potential of </w:t>
      </w:r>
      <w:r w:rsidR="00430E0F" w:rsidRPr="00430E0F">
        <w:rPr>
          <w:rFonts w:ascii="Arial" w:hAnsi="Arial" w:cs="Arial"/>
          <w:i/>
          <w:iCs/>
          <w:shd w:val="clear" w:color="auto" w:fill="FFFFFF"/>
        </w:rPr>
        <w:t>P. guajava</w:t>
      </w:r>
      <w:r w:rsidRPr="00430E0F">
        <w:rPr>
          <w:rFonts w:ascii="Arial" w:hAnsi="Arial" w:cs="Arial"/>
          <w:shd w:val="clear" w:color="auto" w:fill="FFFFFF"/>
        </w:rPr>
        <w:t xml:space="preserve"> extracts to inhibit the growth of multidrug-resistant bacteria, thereby presenting a promising avenue for the development of new antimicrobial agents (</w:t>
      </w:r>
      <w:proofErr w:type="spellStart"/>
      <w:r w:rsidRPr="00430E0F">
        <w:rPr>
          <w:rFonts w:ascii="Arial" w:hAnsi="Arial" w:cs="Arial"/>
          <w:shd w:val="clear" w:color="auto" w:fill="FFFFFF"/>
        </w:rPr>
        <w:t>Adjapong</w:t>
      </w:r>
      <w:proofErr w:type="spellEnd"/>
      <w:r w:rsidRPr="00430E0F">
        <w:rPr>
          <w:rFonts w:ascii="Arial" w:hAnsi="Arial" w:cs="Arial"/>
          <w:shd w:val="clear" w:color="auto" w:fill="FFFFFF"/>
        </w:rPr>
        <w:t xml:space="preserve"> </w:t>
      </w:r>
      <w:r w:rsidR="00A15CB7" w:rsidRPr="00430E0F">
        <w:rPr>
          <w:rFonts w:ascii="Arial" w:hAnsi="Arial" w:cs="Arial"/>
          <w:i/>
          <w:iCs/>
          <w:shd w:val="clear" w:color="auto" w:fill="FFFFFF"/>
        </w:rPr>
        <w:t>et al</w:t>
      </w:r>
      <w:r w:rsidRPr="00430E0F">
        <w:rPr>
          <w:rFonts w:ascii="Arial" w:hAnsi="Arial" w:cs="Arial"/>
          <w:shd w:val="clear" w:color="auto" w:fill="FFFFFF"/>
        </w:rPr>
        <w:t xml:space="preserve">., 2017; </w:t>
      </w:r>
      <w:proofErr w:type="spellStart"/>
      <w:r w:rsidRPr="00430E0F">
        <w:rPr>
          <w:rFonts w:ascii="Arial" w:hAnsi="Arial" w:cs="Arial"/>
          <w:shd w:val="clear" w:color="auto" w:fill="FFFFFF"/>
        </w:rPr>
        <w:t>Djeussi</w:t>
      </w:r>
      <w:proofErr w:type="spellEnd"/>
      <w:r w:rsidRPr="00430E0F">
        <w:rPr>
          <w:rFonts w:ascii="Arial" w:hAnsi="Arial" w:cs="Arial"/>
          <w:shd w:val="clear" w:color="auto" w:fill="FFFFFF"/>
        </w:rPr>
        <w:t xml:space="preserve"> </w:t>
      </w:r>
      <w:r w:rsidR="00A15CB7" w:rsidRPr="00430E0F">
        <w:rPr>
          <w:rFonts w:ascii="Arial" w:hAnsi="Arial" w:cs="Arial"/>
          <w:i/>
          <w:iCs/>
          <w:shd w:val="clear" w:color="auto" w:fill="FFFFFF"/>
        </w:rPr>
        <w:t>et al</w:t>
      </w:r>
      <w:r w:rsidRPr="00430E0F">
        <w:rPr>
          <w:rFonts w:ascii="Arial" w:hAnsi="Arial" w:cs="Arial"/>
          <w:shd w:val="clear" w:color="auto" w:fill="FFFFFF"/>
        </w:rPr>
        <w:t xml:space="preserve">., 2013). This is particularly relevant given the global increase in nosocomial infections caused by carbapenem-resistant </w:t>
      </w:r>
      <w:r w:rsidR="00430E0F" w:rsidRPr="00430E0F">
        <w:rPr>
          <w:rFonts w:ascii="Arial" w:hAnsi="Arial" w:cs="Arial"/>
          <w:i/>
          <w:iCs/>
          <w:shd w:val="clear" w:color="auto" w:fill="FFFFFF"/>
        </w:rPr>
        <w:t>Klebsiella pneumoniae</w:t>
      </w:r>
      <w:r w:rsidRPr="00430E0F">
        <w:rPr>
          <w:rFonts w:ascii="Arial" w:hAnsi="Arial" w:cs="Arial"/>
          <w:shd w:val="clear" w:color="auto" w:fill="FFFFFF"/>
        </w:rPr>
        <w:t xml:space="preserve">, necessitating the discovery of novel antibiotics to combat rising resistance rates. Consequently, research into the phytochemical constituents of </w:t>
      </w:r>
      <w:r w:rsidR="00430E0F" w:rsidRPr="00430E0F">
        <w:rPr>
          <w:rFonts w:ascii="Arial" w:hAnsi="Arial" w:cs="Arial"/>
          <w:i/>
          <w:iCs/>
          <w:shd w:val="clear" w:color="auto" w:fill="FFFFFF"/>
        </w:rPr>
        <w:t>P. guajava</w:t>
      </w:r>
      <w:r w:rsidRPr="00430E0F">
        <w:rPr>
          <w:rFonts w:ascii="Arial" w:hAnsi="Arial" w:cs="Arial"/>
          <w:shd w:val="clear" w:color="auto" w:fill="FFFFFF"/>
        </w:rPr>
        <w:t xml:space="preserve"> has identified compounds with antimicrobial and antioxidant properties, further supporting its potential as a therapeutic agent (</w:t>
      </w:r>
      <w:proofErr w:type="spellStart"/>
      <w:r w:rsidRPr="00430E0F">
        <w:rPr>
          <w:rFonts w:ascii="Arial" w:hAnsi="Arial" w:cs="Arial"/>
          <w:shd w:val="clear" w:color="auto" w:fill="FFFFFF"/>
        </w:rPr>
        <w:t>Möwes</w:t>
      </w:r>
      <w:proofErr w:type="spellEnd"/>
      <w:r w:rsidRPr="00430E0F">
        <w:rPr>
          <w:rFonts w:ascii="Arial" w:hAnsi="Arial" w:cs="Arial"/>
          <w:shd w:val="clear" w:color="auto" w:fill="FFFFFF"/>
        </w:rPr>
        <w:t xml:space="preserve"> </w:t>
      </w:r>
      <w:r w:rsidR="00A15CB7" w:rsidRPr="00430E0F">
        <w:rPr>
          <w:rFonts w:ascii="Arial" w:hAnsi="Arial" w:cs="Arial"/>
          <w:i/>
          <w:iCs/>
          <w:shd w:val="clear" w:color="auto" w:fill="FFFFFF"/>
        </w:rPr>
        <w:t>et al</w:t>
      </w:r>
      <w:r w:rsidRPr="00430E0F">
        <w:rPr>
          <w:rFonts w:ascii="Arial" w:hAnsi="Arial" w:cs="Arial"/>
          <w:shd w:val="clear" w:color="auto" w:fill="FFFFFF"/>
        </w:rPr>
        <w:t xml:space="preserve">., 2025). This growing body of evidence suggests </w:t>
      </w:r>
      <w:r w:rsidRPr="00430E0F">
        <w:rPr>
          <w:rFonts w:ascii="Arial" w:hAnsi="Arial" w:cs="Arial"/>
          <w:shd w:val="clear" w:color="auto" w:fill="FFFFFF"/>
        </w:rPr>
        <w:lastRenderedPageBreak/>
        <w:t xml:space="preserve">that phytochemicals derived from </w:t>
      </w:r>
      <w:r w:rsidR="00430E0F" w:rsidRPr="00430E0F">
        <w:rPr>
          <w:rFonts w:ascii="Arial" w:hAnsi="Arial" w:cs="Arial"/>
          <w:i/>
          <w:iCs/>
          <w:shd w:val="clear" w:color="auto" w:fill="FFFFFF"/>
        </w:rPr>
        <w:t>P. guajava</w:t>
      </w:r>
      <w:r w:rsidRPr="00430E0F">
        <w:rPr>
          <w:rFonts w:ascii="Arial" w:hAnsi="Arial" w:cs="Arial"/>
          <w:shd w:val="clear" w:color="auto" w:fill="FFFFFF"/>
        </w:rPr>
        <w:t xml:space="preserve"> could offer viable alternatives to conventional antibiotics, which are increasingly challenged by antibiotic resistance (Saifi </w:t>
      </w:r>
      <w:r w:rsidR="00A15CB7" w:rsidRPr="00430E0F">
        <w:rPr>
          <w:rFonts w:ascii="Arial" w:hAnsi="Arial" w:cs="Arial"/>
          <w:i/>
          <w:iCs/>
          <w:shd w:val="clear" w:color="auto" w:fill="FFFFFF"/>
        </w:rPr>
        <w:t>et al</w:t>
      </w:r>
      <w:r w:rsidRPr="00430E0F">
        <w:rPr>
          <w:rFonts w:ascii="Arial" w:hAnsi="Arial" w:cs="Arial"/>
          <w:shd w:val="clear" w:color="auto" w:fill="FFFFFF"/>
        </w:rPr>
        <w:t xml:space="preserve">., 2023). </w:t>
      </w:r>
    </w:p>
    <w:p w14:paraId="2A914496" w14:textId="77777777" w:rsidR="00CA582C" w:rsidRPr="00430E0F" w:rsidRDefault="00CA582C" w:rsidP="00CA582C">
      <w:pPr>
        <w:jc w:val="both"/>
        <w:rPr>
          <w:rFonts w:ascii="Arial" w:hAnsi="Arial" w:cs="Arial"/>
          <w:shd w:val="clear" w:color="auto" w:fill="FFFFFF"/>
        </w:rPr>
      </w:pPr>
    </w:p>
    <w:p w14:paraId="22010530" w14:textId="0513858D" w:rsidR="00CA582C" w:rsidRPr="00430E0F" w:rsidRDefault="00CA582C" w:rsidP="00CA582C">
      <w:pPr>
        <w:jc w:val="both"/>
        <w:rPr>
          <w:rFonts w:ascii="Arial" w:hAnsi="Arial" w:cs="Arial"/>
          <w:shd w:val="clear" w:color="auto" w:fill="FFFFFF"/>
        </w:rPr>
      </w:pPr>
      <w:r w:rsidRPr="00430E0F">
        <w:rPr>
          <w:rFonts w:ascii="Arial" w:hAnsi="Arial" w:cs="Arial"/>
          <w:shd w:val="clear" w:color="auto" w:fill="FFFFFF"/>
        </w:rPr>
        <w:t xml:space="preserve">Indeed, </w:t>
      </w:r>
      <w:r w:rsidRPr="00430E0F">
        <w:rPr>
          <w:rFonts w:ascii="Arial" w:hAnsi="Arial" w:cs="Arial"/>
          <w:i/>
          <w:iCs/>
          <w:shd w:val="clear" w:color="auto" w:fill="FFFFFF"/>
        </w:rPr>
        <w:t>Psidium guajava</w:t>
      </w:r>
      <w:r w:rsidRPr="00430E0F">
        <w:rPr>
          <w:rFonts w:ascii="Arial" w:hAnsi="Arial" w:cs="Arial"/>
          <w:shd w:val="clear" w:color="auto" w:fill="FFFFFF"/>
        </w:rPr>
        <w:t xml:space="preserve"> L., a shrub indigenous to the Americas and a member of the </w:t>
      </w:r>
      <w:proofErr w:type="spellStart"/>
      <w:r w:rsidRPr="00430E0F">
        <w:rPr>
          <w:rFonts w:ascii="Arial" w:hAnsi="Arial" w:cs="Arial"/>
          <w:shd w:val="clear" w:color="auto" w:fill="FFFFFF"/>
        </w:rPr>
        <w:t>Myrtaceae</w:t>
      </w:r>
      <w:proofErr w:type="spellEnd"/>
      <w:r w:rsidRPr="00430E0F">
        <w:rPr>
          <w:rFonts w:ascii="Arial" w:hAnsi="Arial" w:cs="Arial"/>
          <w:shd w:val="clear" w:color="auto" w:fill="FFFFFF"/>
        </w:rPr>
        <w:t xml:space="preserve"> family, has garnered extensive research attention for its leaves, which are replete with phenolic compounds conferring antioxidant, anti-inflammatory, and antimicrobial characteristics (Gutierrez-Montiel </w:t>
      </w:r>
      <w:r w:rsidR="00A15CB7" w:rsidRPr="00430E0F">
        <w:rPr>
          <w:rFonts w:ascii="Arial" w:hAnsi="Arial" w:cs="Arial"/>
          <w:i/>
          <w:iCs/>
          <w:shd w:val="clear" w:color="auto" w:fill="FFFFFF"/>
        </w:rPr>
        <w:t>et al</w:t>
      </w:r>
      <w:r w:rsidRPr="00430E0F">
        <w:rPr>
          <w:rFonts w:ascii="Arial" w:hAnsi="Arial" w:cs="Arial"/>
          <w:shd w:val="clear" w:color="auto" w:fill="FFFFFF"/>
        </w:rPr>
        <w:t xml:space="preserve">., 2025). These leaves contain a complex mixture of bioactive compounds including phenols, flavonoids, terpenoids, gallic acid, pyrocatechol, and tannins, which collectively contribute to their potent inhibitory effects against various pathogens, including bacteria and fungi (Mohapatra </w:t>
      </w:r>
      <w:r w:rsidR="00A15CB7" w:rsidRPr="00430E0F">
        <w:rPr>
          <w:rFonts w:ascii="Arial" w:hAnsi="Arial" w:cs="Arial"/>
          <w:i/>
          <w:iCs/>
          <w:shd w:val="clear" w:color="auto" w:fill="FFFFFF"/>
        </w:rPr>
        <w:t>et al</w:t>
      </w:r>
      <w:r w:rsidRPr="00430E0F">
        <w:rPr>
          <w:rFonts w:ascii="Arial" w:hAnsi="Arial" w:cs="Arial"/>
          <w:shd w:val="clear" w:color="auto" w:fill="FFFFFF"/>
        </w:rPr>
        <w:t xml:space="preserve">., 2024; Sule </w:t>
      </w:r>
      <w:r w:rsidR="00A15CB7" w:rsidRPr="00430E0F">
        <w:rPr>
          <w:rFonts w:ascii="Arial" w:hAnsi="Arial" w:cs="Arial"/>
          <w:i/>
          <w:iCs/>
          <w:shd w:val="clear" w:color="auto" w:fill="FFFFFF"/>
        </w:rPr>
        <w:t>et al</w:t>
      </w:r>
      <w:r w:rsidRPr="00430E0F">
        <w:rPr>
          <w:rFonts w:ascii="Arial" w:hAnsi="Arial" w:cs="Arial"/>
          <w:shd w:val="clear" w:color="auto" w:fill="FFFFFF"/>
        </w:rPr>
        <w:t xml:space="preserve">., 2021). These phytochemicals exert their antibacterial action through diverse mechanisms, such as disrupting bacterial cell membranes and inhibiting enzyme systems crucial for microbial survival (Bano </w:t>
      </w:r>
      <w:r w:rsidR="00A15CB7" w:rsidRPr="00430E0F">
        <w:rPr>
          <w:rFonts w:ascii="Arial" w:hAnsi="Arial" w:cs="Arial"/>
          <w:i/>
          <w:iCs/>
          <w:shd w:val="clear" w:color="auto" w:fill="FFFFFF"/>
        </w:rPr>
        <w:t>et al</w:t>
      </w:r>
      <w:r w:rsidRPr="00430E0F">
        <w:rPr>
          <w:rFonts w:ascii="Arial" w:hAnsi="Arial" w:cs="Arial"/>
          <w:shd w:val="clear" w:color="auto" w:fill="FFFFFF"/>
        </w:rPr>
        <w:t xml:space="preserve">., 2021; Mohapatra </w:t>
      </w:r>
      <w:r w:rsidR="00A15CB7" w:rsidRPr="00430E0F">
        <w:rPr>
          <w:rFonts w:ascii="Arial" w:hAnsi="Arial" w:cs="Arial"/>
          <w:i/>
          <w:iCs/>
          <w:shd w:val="clear" w:color="auto" w:fill="FFFFFF"/>
        </w:rPr>
        <w:t>et al</w:t>
      </w:r>
      <w:r w:rsidRPr="00430E0F">
        <w:rPr>
          <w:rFonts w:ascii="Arial" w:hAnsi="Arial" w:cs="Arial"/>
          <w:shd w:val="clear" w:color="auto" w:fill="FFFFFF"/>
        </w:rPr>
        <w:t xml:space="preserve">., 2024). Specifically, the presence of flavonoids such as morin-3-O-alpha-L-lyxopyranoside, morin-3-O-alpha-L-arabopyranoside, </w:t>
      </w:r>
      <w:proofErr w:type="spellStart"/>
      <w:r w:rsidRPr="00430E0F">
        <w:rPr>
          <w:rFonts w:ascii="Arial" w:hAnsi="Arial" w:cs="Arial"/>
          <w:shd w:val="clear" w:color="auto" w:fill="FFFFFF"/>
        </w:rPr>
        <w:t>guaijavarin</w:t>
      </w:r>
      <w:proofErr w:type="spellEnd"/>
      <w:r w:rsidRPr="00430E0F">
        <w:rPr>
          <w:rFonts w:ascii="Arial" w:hAnsi="Arial" w:cs="Arial"/>
          <w:shd w:val="clear" w:color="auto" w:fill="FFFFFF"/>
        </w:rPr>
        <w:t xml:space="preserve">, and quercetin in guava leaf extracts has been directly linked to their antibacterial efficacy, including against carbapenem-resistant strains of </w:t>
      </w:r>
      <w:r w:rsidR="00430E0F" w:rsidRPr="00430E0F">
        <w:rPr>
          <w:rFonts w:ascii="Arial" w:hAnsi="Arial" w:cs="Arial"/>
          <w:i/>
          <w:iCs/>
          <w:shd w:val="clear" w:color="auto" w:fill="FFFFFF"/>
        </w:rPr>
        <w:t>K. pneumoniae</w:t>
      </w:r>
      <w:r w:rsidRPr="00430E0F">
        <w:rPr>
          <w:rFonts w:ascii="Arial" w:hAnsi="Arial" w:cs="Arial"/>
          <w:shd w:val="clear" w:color="auto" w:fill="FFFFFF"/>
        </w:rPr>
        <w:t xml:space="preserve"> (</w:t>
      </w:r>
      <w:r w:rsidRPr="00430E0F">
        <w:rPr>
          <w:rFonts w:ascii="Arial" w:hAnsi="Arial" w:cs="Arial"/>
        </w:rPr>
        <w:t>Hackman</w:t>
      </w:r>
      <w:r w:rsidRPr="00430E0F">
        <w:rPr>
          <w:rFonts w:ascii="Arial" w:hAnsi="Arial" w:cs="Arial"/>
          <w:shd w:val="clear" w:color="auto" w:fill="FFFFFF"/>
        </w:rPr>
        <w:t xml:space="preserve"> </w:t>
      </w:r>
      <w:r w:rsidR="00A15CB7" w:rsidRPr="00430E0F">
        <w:rPr>
          <w:rFonts w:ascii="Arial" w:hAnsi="Arial" w:cs="Arial"/>
          <w:i/>
          <w:iCs/>
          <w:shd w:val="clear" w:color="auto" w:fill="FFFFFF"/>
        </w:rPr>
        <w:t>et al</w:t>
      </w:r>
      <w:r w:rsidRPr="00430E0F">
        <w:rPr>
          <w:rFonts w:ascii="Arial" w:hAnsi="Arial" w:cs="Arial"/>
          <w:shd w:val="clear" w:color="auto" w:fill="FFFFFF"/>
        </w:rPr>
        <w:t xml:space="preserve">., 2020). Also, the intricate composition of these phytochemicals, including various phenolic acids, further contributes to their biological potential, acting as potent antioxidants and antimicrobial agents through redox mechanisms that involve reducing agents, metal chelators, and free radical scavengers (Bano </w:t>
      </w:r>
      <w:r w:rsidR="00A15CB7" w:rsidRPr="00430E0F">
        <w:rPr>
          <w:rFonts w:ascii="Arial" w:hAnsi="Arial" w:cs="Arial"/>
          <w:i/>
          <w:iCs/>
          <w:shd w:val="clear" w:color="auto" w:fill="FFFFFF"/>
        </w:rPr>
        <w:t>et al</w:t>
      </w:r>
      <w:r w:rsidRPr="00430E0F">
        <w:rPr>
          <w:rFonts w:ascii="Arial" w:hAnsi="Arial" w:cs="Arial"/>
          <w:shd w:val="clear" w:color="auto" w:fill="FFFFFF"/>
        </w:rPr>
        <w:t xml:space="preserve">., 2021). This broad spectrum of antimicrobial activity positions </w:t>
      </w:r>
      <w:r w:rsidR="00430E0F" w:rsidRPr="00430E0F">
        <w:rPr>
          <w:rFonts w:ascii="Arial" w:hAnsi="Arial" w:cs="Arial"/>
          <w:i/>
          <w:iCs/>
          <w:shd w:val="clear" w:color="auto" w:fill="FFFFFF"/>
        </w:rPr>
        <w:t>P. guajava</w:t>
      </w:r>
      <w:r w:rsidRPr="00430E0F">
        <w:rPr>
          <w:rFonts w:ascii="Arial" w:hAnsi="Arial" w:cs="Arial"/>
          <w:shd w:val="clear" w:color="auto" w:fill="FFFFFF"/>
        </w:rPr>
        <w:t xml:space="preserve"> as a promising candidate for combating multidrug-resistant pathogens, especially those responsible for foodborne diseases (Bano </w:t>
      </w:r>
      <w:r w:rsidR="00A15CB7" w:rsidRPr="00430E0F">
        <w:rPr>
          <w:rFonts w:ascii="Arial" w:hAnsi="Arial" w:cs="Arial"/>
          <w:i/>
          <w:iCs/>
          <w:shd w:val="clear" w:color="auto" w:fill="FFFFFF"/>
        </w:rPr>
        <w:t>et al</w:t>
      </w:r>
      <w:r w:rsidRPr="00430E0F">
        <w:rPr>
          <w:rFonts w:ascii="Arial" w:hAnsi="Arial" w:cs="Arial"/>
          <w:shd w:val="clear" w:color="auto" w:fill="FFFFFF"/>
        </w:rPr>
        <w:t xml:space="preserve">., 2021). Given the escalating global concern surrounding antimicrobial resistance, particularly with problematic strains such as </w:t>
      </w:r>
      <w:r w:rsidR="00430E0F" w:rsidRPr="00430E0F">
        <w:rPr>
          <w:rFonts w:ascii="Arial" w:hAnsi="Arial" w:cs="Arial"/>
          <w:i/>
          <w:iCs/>
          <w:shd w:val="clear" w:color="auto" w:fill="FFFFFF"/>
        </w:rPr>
        <w:t>Klebsiella pneumoniae</w:t>
      </w:r>
      <w:r w:rsidRPr="00430E0F">
        <w:rPr>
          <w:rFonts w:ascii="Arial" w:hAnsi="Arial" w:cs="Arial"/>
          <w:shd w:val="clear" w:color="auto" w:fill="FFFFFF"/>
        </w:rPr>
        <w:t xml:space="preserve">, exploring plant-based antimicrobials like </w:t>
      </w:r>
      <w:r w:rsidRPr="00430E0F">
        <w:rPr>
          <w:rFonts w:ascii="Arial" w:hAnsi="Arial" w:cs="Arial"/>
          <w:i/>
          <w:iCs/>
          <w:shd w:val="clear" w:color="auto" w:fill="FFFFFF"/>
        </w:rPr>
        <w:t>Psidium guajava</w:t>
      </w:r>
      <w:r w:rsidRPr="00430E0F">
        <w:rPr>
          <w:rFonts w:ascii="Arial" w:hAnsi="Arial" w:cs="Arial"/>
          <w:shd w:val="clear" w:color="auto" w:fill="FFFFFF"/>
        </w:rPr>
        <w:t xml:space="preserve"> represents a critical research avenue (Gutierrez-Montiel </w:t>
      </w:r>
      <w:r w:rsidR="00A15CB7" w:rsidRPr="00430E0F">
        <w:rPr>
          <w:rFonts w:ascii="Arial" w:hAnsi="Arial" w:cs="Arial"/>
          <w:i/>
          <w:iCs/>
          <w:shd w:val="clear" w:color="auto" w:fill="FFFFFF"/>
        </w:rPr>
        <w:t>et al</w:t>
      </w:r>
      <w:r w:rsidRPr="00430E0F">
        <w:rPr>
          <w:rFonts w:ascii="Arial" w:hAnsi="Arial" w:cs="Arial"/>
          <w:shd w:val="clear" w:color="auto" w:fill="FFFFFF"/>
        </w:rPr>
        <w:t>., 2023). Hence, this study.</w:t>
      </w:r>
    </w:p>
    <w:p w14:paraId="1C30BBFC" w14:textId="77777777" w:rsidR="00CA582C" w:rsidRPr="00430E0F" w:rsidRDefault="00CA582C" w:rsidP="00CA582C">
      <w:pPr>
        <w:pStyle w:val="NoSpacing"/>
        <w:jc w:val="both"/>
        <w:rPr>
          <w:rFonts w:ascii="Arial" w:eastAsia="Times New Roman" w:hAnsi="Arial" w:cs="Arial"/>
          <w:sz w:val="20"/>
          <w:szCs w:val="20"/>
        </w:rPr>
      </w:pPr>
    </w:p>
    <w:p w14:paraId="3373620F" w14:textId="5319C1FC" w:rsidR="00CA582C" w:rsidRPr="00430E0F" w:rsidRDefault="00CA582C" w:rsidP="00CA582C">
      <w:pPr>
        <w:pStyle w:val="NoSpacing"/>
        <w:rPr>
          <w:rFonts w:ascii="Arial" w:hAnsi="Arial" w:cs="Arial"/>
          <w:sz w:val="20"/>
          <w:szCs w:val="20"/>
        </w:rPr>
      </w:pPr>
      <w:r w:rsidRPr="00430E0F">
        <w:rPr>
          <w:rStyle w:val="Strong"/>
          <w:rFonts w:ascii="Arial" w:hAnsi="Arial" w:cs="Arial"/>
        </w:rPr>
        <w:t>2. MATERIALS AND METHODS</w:t>
      </w:r>
    </w:p>
    <w:p w14:paraId="6C85B8AE" w14:textId="77777777" w:rsidR="00CA582C" w:rsidRPr="00430E0F" w:rsidRDefault="00CA582C" w:rsidP="00CA582C">
      <w:pPr>
        <w:pStyle w:val="NoSpacing"/>
        <w:jc w:val="both"/>
        <w:rPr>
          <w:rFonts w:ascii="Arial" w:hAnsi="Arial" w:cs="Arial"/>
          <w:sz w:val="20"/>
          <w:szCs w:val="20"/>
        </w:rPr>
      </w:pPr>
      <w:r w:rsidRPr="00430E0F">
        <w:rPr>
          <w:rStyle w:val="Strong"/>
          <w:rFonts w:ascii="Arial" w:hAnsi="Arial" w:cs="Arial"/>
        </w:rPr>
        <w:t>2.1 Study Area</w:t>
      </w:r>
    </w:p>
    <w:p w14:paraId="610AE63E" w14:textId="0668E14B" w:rsidR="00CA582C" w:rsidRPr="00430E0F" w:rsidRDefault="00CA582C" w:rsidP="00CA582C">
      <w:pPr>
        <w:pStyle w:val="NoSpacing"/>
        <w:jc w:val="both"/>
        <w:rPr>
          <w:rFonts w:ascii="Arial" w:hAnsi="Arial" w:cs="Arial"/>
          <w:sz w:val="20"/>
          <w:szCs w:val="20"/>
        </w:rPr>
      </w:pPr>
      <w:r w:rsidRPr="00430E0F">
        <w:rPr>
          <w:rFonts w:ascii="Arial" w:hAnsi="Arial" w:cs="Arial"/>
          <w:sz w:val="20"/>
          <w:szCs w:val="20"/>
        </w:rPr>
        <w:t xml:space="preserve">The research was conducted at Alex Ekwueme Federal University, </w:t>
      </w:r>
      <w:proofErr w:type="spellStart"/>
      <w:r w:rsidRPr="00430E0F">
        <w:rPr>
          <w:rFonts w:ascii="Arial" w:hAnsi="Arial" w:cs="Arial"/>
          <w:sz w:val="20"/>
          <w:szCs w:val="20"/>
        </w:rPr>
        <w:t>Ndufu</w:t>
      </w:r>
      <w:proofErr w:type="spellEnd"/>
      <w:r w:rsidRPr="00430E0F">
        <w:rPr>
          <w:rFonts w:ascii="Arial" w:hAnsi="Arial" w:cs="Arial"/>
          <w:sz w:val="20"/>
          <w:szCs w:val="20"/>
        </w:rPr>
        <w:t xml:space="preserve">-Alike </w:t>
      </w:r>
      <w:proofErr w:type="spellStart"/>
      <w:r w:rsidRPr="00430E0F">
        <w:rPr>
          <w:rFonts w:ascii="Arial" w:hAnsi="Arial" w:cs="Arial"/>
          <w:sz w:val="20"/>
          <w:szCs w:val="20"/>
        </w:rPr>
        <w:t>Ikwo</w:t>
      </w:r>
      <w:proofErr w:type="spellEnd"/>
      <w:r w:rsidRPr="00430E0F">
        <w:rPr>
          <w:rFonts w:ascii="Arial" w:hAnsi="Arial" w:cs="Arial"/>
          <w:sz w:val="20"/>
          <w:szCs w:val="20"/>
        </w:rPr>
        <w:t xml:space="preserve">, Ebonyi State, Nigeria. The institution serves as the primary tertiary academic center within the Ebonyi Central Senatorial Zone and attracts a large student population from across the region. The university community comprises </w:t>
      </w:r>
      <w:r w:rsidR="00430E0F">
        <w:rPr>
          <w:rFonts w:ascii="Arial" w:hAnsi="Arial" w:cs="Arial"/>
          <w:sz w:val="20"/>
          <w:szCs w:val="20"/>
        </w:rPr>
        <w:t xml:space="preserve">of </w:t>
      </w:r>
      <w:r w:rsidRPr="00430E0F">
        <w:rPr>
          <w:rFonts w:ascii="Arial" w:hAnsi="Arial" w:cs="Arial"/>
          <w:sz w:val="20"/>
          <w:szCs w:val="20"/>
        </w:rPr>
        <w:t>a diverse population, including students and staff, which serves as a suitable cohort for epidemiological investigations into nasopharyngeal microbial carriage.</w:t>
      </w:r>
    </w:p>
    <w:p w14:paraId="7A2FBC40" w14:textId="77777777" w:rsidR="00CA582C" w:rsidRPr="00430E0F" w:rsidRDefault="00CA582C" w:rsidP="00CA582C">
      <w:pPr>
        <w:pStyle w:val="NoSpacing"/>
        <w:jc w:val="both"/>
        <w:rPr>
          <w:rFonts w:ascii="Arial" w:hAnsi="Arial" w:cs="Arial"/>
          <w:sz w:val="20"/>
          <w:szCs w:val="20"/>
        </w:rPr>
      </w:pPr>
    </w:p>
    <w:p w14:paraId="3CA7DA9C" w14:textId="77777777" w:rsidR="00CA582C" w:rsidRPr="00430E0F" w:rsidRDefault="00CA582C" w:rsidP="00CA582C">
      <w:pPr>
        <w:pStyle w:val="NoSpacing"/>
        <w:jc w:val="both"/>
        <w:rPr>
          <w:rFonts w:ascii="Arial" w:hAnsi="Arial" w:cs="Arial"/>
          <w:sz w:val="20"/>
          <w:szCs w:val="20"/>
        </w:rPr>
      </w:pPr>
      <w:r w:rsidRPr="00430E0F">
        <w:rPr>
          <w:rStyle w:val="Strong"/>
          <w:rFonts w:ascii="Arial" w:hAnsi="Arial" w:cs="Arial"/>
        </w:rPr>
        <w:t>2.2 Ethical Considerations</w:t>
      </w:r>
    </w:p>
    <w:p w14:paraId="0E7A79ED" w14:textId="77777777" w:rsidR="00CA582C" w:rsidRPr="00430E0F" w:rsidRDefault="00CA582C" w:rsidP="00CA582C">
      <w:pPr>
        <w:pStyle w:val="NoSpacing"/>
        <w:jc w:val="both"/>
        <w:rPr>
          <w:rFonts w:ascii="Arial" w:hAnsi="Arial" w:cs="Arial"/>
          <w:sz w:val="20"/>
          <w:szCs w:val="20"/>
        </w:rPr>
      </w:pPr>
      <w:r w:rsidRPr="00430E0F">
        <w:rPr>
          <w:rFonts w:ascii="Arial" w:hAnsi="Arial" w:cs="Arial"/>
          <w:sz w:val="20"/>
          <w:szCs w:val="20"/>
        </w:rPr>
        <w:t xml:space="preserve">The study protocols were reviewed and approved by the Human Research Ethics Committee of Alex Ekwueme Federal University, </w:t>
      </w:r>
      <w:proofErr w:type="spellStart"/>
      <w:r w:rsidRPr="00430E0F">
        <w:rPr>
          <w:rFonts w:ascii="Arial" w:hAnsi="Arial" w:cs="Arial"/>
          <w:sz w:val="20"/>
          <w:szCs w:val="20"/>
        </w:rPr>
        <w:t>Ndufu</w:t>
      </w:r>
      <w:proofErr w:type="spellEnd"/>
      <w:r w:rsidRPr="00430E0F">
        <w:rPr>
          <w:rFonts w:ascii="Arial" w:hAnsi="Arial" w:cs="Arial"/>
          <w:sz w:val="20"/>
          <w:szCs w:val="20"/>
        </w:rPr>
        <w:t xml:space="preserve">-Alike </w:t>
      </w:r>
      <w:proofErr w:type="spellStart"/>
      <w:r w:rsidRPr="00430E0F">
        <w:rPr>
          <w:rFonts w:ascii="Arial" w:hAnsi="Arial" w:cs="Arial"/>
          <w:sz w:val="20"/>
          <w:szCs w:val="20"/>
        </w:rPr>
        <w:t>Ikwo</w:t>
      </w:r>
      <w:proofErr w:type="spellEnd"/>
      <w:r w:rsidRPr="00430E0F">
        <w:rPr>
          <w:rFonts w:ascii="Arial" w:hAnsi="Arial" w:cs="Arial"/>
          <w:sz w:val="20"/>
          <w:szCs w:val="20"/>
        </w:rPr>
        <w:t xml:space="preserve"> with reference number: AEFUNAI/REC/1/71. All procedures involving human participants were conducted in accordance with the ethical principles outlined in the Declaration of Helsinki, revised in 2024. Written informed consent was obtained from each participant prior to sample collection ensuring voluntary participation and understanding of the study objectives. To ensure confidentiality, all data were anonymized and analyzed without identifiers. </w:t>
      </w:r>
    </w:p>
    <w:p w14:paraId="0BA4381E" w14:textId="77777777" w:rsidR="00CA582C" w:rsidRPr="00430E0F" w:rsidRDefault="00CA582C" w:rsidP="00CA582C">
      <w:pPr>
        <w:pStyle w:val="NoSpacing"/>
        <w:jc w:val="both"/>
        <w:rPr>
          <w:rFonts w:ascii="Arial" w:hAnsi="Arial" w:cs="Arial"/>
          <w:sz w:val="20"/>
          <w:szCs w:val="20"/>
        </w:rPr>
      </w:pPr>
    </w:p>
    <w:p w14:paraId="36098129" w14:textId="77777777" w:rsidR="00CA582C" w:rsidRPr="00430E0F" w:rsidRDefault="00CA582C" w:rsidP="00CA582C">
      <w:pPr>
        <w:pStyle w:val="NoSpacing"/>
        <w:jc w:val="both"/>
        <w:rPr>
          <w:rFonts w:ascii="Arial" w:hAnsi="Arial" w:cs="Arial"/>
          <w:sz w:val="20"/>
          <w:szCs w:val="20"/>
        </w:rPr>
      </w:pPr>
      <w:r w:rsidRPr="00430E0F">
        <w:rPr>
          <w:rStyle w:val="Strong"/>
          <w:rFonts w:ascii="Arial" w:hAnsi="Arial" w:cs="Arial"/>
        </w:rPr>
        <w:t xml:space="preserve">2.3 Collection and Identification of Plant </w:t>
      </w:r>
      <w:commentRangeStart w:id="3"/>
      <w:r w:rsidRPr="00430E0F">
        <w:rPr>
          <w:rStyle w:val="Strong"/>
          <w:rFonts w:ascii="Arial" w:hAnsi="Arial" w:cs="Arial"/>
        </w:rPr>
        <w:t>Materials</w:t>
      </w:r>
      <w:commentRangeEnd w:id="3"/>
      <w:r w:rsidR="00856154">
        <w:rPr>
          <w:rStyle w:val="CommentReference"/>
          <w:rFonts w:ascii="Helvetica" w:eastAsia="Times New Roman" w:hAnsi="Helvetica" w:cs="Times New Roman"/>
          <w:rtl/>
        </w:rPr>
        <w:commentReference w:id="3"/>
      </w:r>
    </w:p>
    <w:p w14:paraId="25ACC675" w14:textId="77777777" w:rsidR="00CA582C" w:rsidRPr="00430E0F" w:rsidRDefault="00CA582C" w:rsidP="00CA582C">
      <w:pPr>
        <w:pStyle w:val="NoSpacing"/>
        <w:jc w:val="both"/>
        <w:rPr>
          <w:rFonts w:ascii="Arial" w:hAnsi="Arial" w:cs="Arial"/>
          <w:sz w:val="20"/>
          <w:szCs w:val="20"/>
        </w:rPr>
      </w:pPr>
      <w:r w:rsidRPr="00430E0F">
        <w:rPr>
          <w:rFonts w:ascii="Arial" w:hAnsi="Arial" w:cs="Arial"/>
          <w:sz w:val="20"/>
          <w:szCs w:val="20"/>
        </w:rPr>
        <w:t>Fresh leaves of guava (</w:t>
      </w:r>
      <w:r w:rsidRPr="00430E0F">
        <w:rPr>
          <w:rStyle w:val="Emphasis"/>
          <w:rFonts w:ascii="Arial" w:hAnsi="Arial" w:cs="Arial"/>
          <w:sz w:val="20"/>
          <w:szCs w:val="20"/>
        </w:rPr>
        <w:t>Psidium guajava</w:t>
      </w:r>
      <w:r w:rsidRPr="00430E0F">
        <w:rPr>
          <w:rFonts w:ascii="Arial" w:hAnsi="Arial" w:cs="Arial"/>
          <w:sz w:val="20"/>
          <w:szCs w:val="20"/>
        </w:rPr>
        <w:t xml:space="preserve">) were used in the study. The plant materials were collected in March, 2025 from </w:t>
      </w:r>
      <w:proofErr w:type="spellStart"/>
      <w:r w:rsidRPr="00430E0F">
        <w:rPr>
          <w:rFonts w:ascii="Arial" w:hAnsi="Arial" w:cs="Arial"/>
          <w:sz w:val="20"/>
          <w:szCs w:val="20"/>
        </w:rPr>
        <w:t>Ndufu</w:t>
      </w:r>
      <w:proofErr w:type="spellEnd"/>
      <w:r w:rsidRPr="00430E0F">
        <w:rPr>
          <w:rFonts w:ascii="Arial" w:hAnsi="Arial" w:cs="Arial"/>
          <w:sz w:val="20"/>
          <w:szCs w:val="20"/>
        </w:rPr>
        <w:t xml:space="preserve">-Alike, </w:t>
      </w:r>
      <w:proofErr w:type="spellStart"/>
      <w:r w:rsidRPr="00430E0F">
        <w:rPr>
          <w:rFonts w:ascii="Arial" w:hAnsi="Arial" w:cs="Arial"/>
          <w:sz w:val="20"/>
          <w:szCs w:val="20"/>
        </w:rPr>
        <w:t>Ikwo</w:t>
      </w:r>
      <w:proofErr w:type="spellEnd"/>
      <w:r w:rsidRPr="00430E0F">
        <w:rPr>
          <w:rFonts w:ascii="Arial" w:hAnsi="Arial" w:cs="Arial"/>
          <w:sz w:val="20"/>
          <w:szCs w:val="20"/>
        </w:rPr>
        <w:t xml:space="preserve"> Local </w:t>
      </w:r>
      <w:proofErr w:type="spellStart"/>
      <w:r w:rsidRPr="00430E0F">
        <w:rPr>
          <w:rFonts w:ascii="Arial" w:hAnsi="Arial" w:cs="Arial"/>
          <w:sz w:val="20"/>
          <w:szCs w:val="20"/>
        </w:rPr>
        <w:t>Goverrnment</w:t>
      </w:r>
      <w:proofErr w:type="spellEnd"/>
      <w:r w:rsidRPr="00430E0F">
        <w:rPr>
          <w:rFonts w:ascii="Arial" w:hAnsi="Arial" w:cs="Arial"/>
          <w:sz w:val="20"/>
          <w:szCs w:val="20"/>
        </w:rPr>
        <w:t xml:space="preserve"> Area, Ebonyi State, Nigeria. Identification and authentication of the plant materials was carried out at the Herbarium of the Department of Biology, Alex Ekwueme Federal University, </w:t>
      </w:r>
      <w:proofErr w:type="spellStart"/>
      <w:r w:rsidRPr="00430E0F">
        <w:rPr>
          <w:rFonts w:ascii="Arial" w:hAnsi="Arial" w:cs="Arial"/>
          <w:sz w:val="20"/>
          <w:szCs w:val="20"/>
        </w:rPr>
        <w:t>Ndufu</w:t>
      </w:r>
      <w:proofErr w:type="spellEnd"/>
      <w:r w:rsidRPr="00430E0F">
        <w:rPr>
          <w:rFonts w:ascii="Arial" w:hAnsi="Arial" w:cs="Arial"/>
          <w:sz w:val="20"/>
          <w:szCs w:val="20"/>
        </w:rPr>
        <w:t xml:space="preserve">-Alike </w:t>
      </w:r>
      <w:proofErr w:type="spellStart"/>
      <w:r w:rsidRPr="00430E0F">
        <w:rPr>
          <w:rFonts w:ascii="Arial" w:hAnsi="Arial" w:cs="Arial"/>
          <w:sz w:val="20"/>
          <w:szCs w:val="20"/>
        </w:rPr>
        <w:t>Ikwo</w:t>
      </w:r>
      <w:proofErr w:type="spellEnd"/>
      <w:r w:rsidRPr="00430E0F">
        <w:rPr>
          <w:rFonts w:ascii="Arial" w:hAnsi="Arial" w:cs="Arial"/>
          <w:sz w:val="20"/>
          <w:szCs w:val="20"/>
        </w:rPr>
        <w:t>, Ebonyi State, Nigeria, through comparison with authenticated herbarium specimens and reference to published botanical descriptions. Voucher specimen was deposited in the university herbarium for future reference and verification.</w:t>
      </w:r>
    </w:p>
    <w:p w14:paraId="704631B2" w14:textId="77777777" w:rsidR="00CA582C" w:rsidRPr="00430E0F" w:rsidRDefault="00CA582C" w:rsidP="00CA582C">
      <w:pPr>
        <w:pStyle w:val="NoSpacing"/>
        <w:jc w:val="both"/>
        <w:rPr>
          <w:rStyle w:val="Strong"/>
          <w:rFonts w:ascii="Arial" w:hAnsi="Arial" w:cs="Arial"/>
        </w:rPr>
      </w:pPr>
    </w:p>
    <w:p w14:paraId="4FED6689" w14:textId="77777777" w:rsidR="00CA582C" w:rsidRPr="00430E0F" w:rsidRDefault="00CA582C" w:rsidP="00CA582C">
      <w:pPr>
        <w:pStyle w:val="NoSpacing"/>
        <w:jc w:val="both"/>
        <w:rPr>
          <w:rFonts w:ascii="Arial" w:hAnsi="Arial" w:cs="Arial"/>
          <w:sz w:val="20"/>
          <w:szCs w:val="20"/>
        </w:rPr>
      </w:pPr>
      <w:r w:rsidRPr="00430E0F">
        <w:rPr>
          <w:rStyle w:val="Strong"/>
          <w:rFonts w:ascii="Arial" w:hAnsi="Arial" w:cs="Arial"/>
        </w:rPr>
        <w:lastRenderedPageBreak/>
        <w:t>2.4 Preparation of Leaf Extracts</w:t>
      </w:r>
    </w:p>
    <w:p w14:paraId="61836CC2" w14:textId="77777777" w:rsidR="00CA582C" w:rsidRPr="00430E0F" w:rsidRDefault="00CA582C" w:rsidP="00CA582C">
      <w:pPr>
        <w:pStyle w:val="NoSpacing"/>
        <w:jc w:val="both"/>
        <w:rPr>
          <w:rFonts w:ascii="Arial" w:hAnsi="Arial" w:cs="Arial"/>
          <w:sz w:val="20"/>
          <w:szCs w:val="20"/>
        </w:rPr>
      </w:pPr>
      <w:r w:rsidRPr="00430E0F">
        <w:rPr>
          <w:rFonts w:ascii="Arial" w:hAnsi="Arial" w:cs="Arial"/>
          <w:sz w:val="20"/>
          <w:szCs w:val="20"/>
        </w:rPr>
        <w:t xml:space="preserve">Fresh leaves of </w:t>
      </w:r>
      <w:r w:rsidRPr="00430E0F">
        <w:rPr>
          <w:rStyle w:val="Emphasis"/>
          <w:rFonts w:ascii="Arial" w:hAnsi="Arial" w:cs="Arial"/>
          <w:sz w:val="20"/>
          <w:szCs w:val="20"/>
        </w:rPr>
        <w:t>Psidium guajava</w:t>
      </w:r>
      <w:r w:rsidRPr="00430E0F">
        <w:rPr>
          <w:rFonts w:ascii="Arial" w:hAnsi="Arial" w:cs="Arial"/>
          <w:sz w:val="20"/>
          <w:szCs w:val="20"/>
        </w:rPr>
        <w:t xml:space="preserve"> were washed thoroughly under running water and air-dried in a shade under ambient temperatures for two weeks. The dried leaves were subsequently pulverized into fine powder using an electric blender. Three types of extracts were prepared —aqueous, ethanol, and methanol extract for antibacterial susceptibility testing. For each extract, </w:t>
      </w:r>
      <w:r w:rsidRPr="00430E0F">
        <w:rPr>
          <w:rStyle w:val="Strong"/>
          <w:rFonts w:ascii="Arial" w:hAnsi="Arial" w:cs="Arial"/>
          <w:b w:val="0"/>
          <w:bCs w:val="0"/>
          <w:sz w:val="20"/>
          <w:szCs w:val="20"/>
        </w:rPr>
        <w:t>50 g</w:t>
      </w:r>
      <w:r w:rsidRPr="00430E0F">
        <w:rPr>
          <w:rFonts w:ascii="Arial" w:hAnsi="Arial" w:cs="Arial"/>
          <w:sz w:val="20"/>
          <w:szCs w:val="20"/>
        </w:rPr>
        <w:t xml:space="preserve"> of powdered leaves was soaked in </w:t>
      </w:r>
      <w:r w:rsidRPr="00430E0F">
        <w:rPr>
          <w:rStyle w:val="Strong"/>
          <w:rFonts w:ascii="Arial" w:hAnsi="Arial" w:cs="Arial"/>
          <w:b w:val="0"/>
          <w:bCs w:val="0"/>
          <w:sz w:val="20"/>
          <w:szCs w:val="20"/>
        </w:rPr>
        <w:t>500 mL</w:t>
      </w:r>
      <w:r w:rsidRPr="00430E0F">
        <w:rPr>
          <w:rFonts w:ascii="Arial" w:hAnsi="Arial" w:cs="Arial"/>
          <w:sz w:val="20"/>
          <w:szCs w:val="20"/>
        </w:rPr>
        <w:t xml:space="preserve"> of distilled water, ethanol, or methanol in separate flasks to ensure extraction of bioactive compounds. The mixtures were allowed to stand at room temperature for 24 hours with intermittent shaking. After maceration, the mixtures were filtered through Whatman No. 1 filter paper. The ethanol and methanol extracts were dried under reduced pressure using a rotary evaporator at </w:t>
      </w:r>
      <w:r w:rsidRPr="00430E0F">
        <w:rPr>
          <w:rStyle w:val="Strong"/>
          <w:rFonts w:ascii="Arial" w:hAnsi="Arial" w:cs="Arial"/>
          <w:b w:val="0"/>
          <w:bCs w:val="0"/>
          <w:sz w:val="20"/>
          <w:szCs w:val="20"/>
        </w:rPr>
        <w:t>50°C</w:t>
      </w:r>
      <w:r w:rsidRPr="00430E0F">
        <w:rPr>
          <w:rFonts w:ascii="Arial" w:hAnsi="Arial" w:cs="Arial"/>
          <w:sz w:val="20"/>
          <w:szCs w:val="20"/>
        </w:rPr>
        <w:t xml:space="preserve">, while the aqueous extract was concentrated at </w:t>
      </w:r>
      <w:r w:rsidRPr="00430E0F">
        <w:rPr>
          <w:rStyle w:val="Strong"/>
          <w:rFonts w:ascii="Arial" w:hAnsi="Arial" w:cs="Arial"/>
          <w:b w:val="0"/>
          <w:bCs w:val="0"/>
          <w:sz w:val="20"/>
          <w:szCs w:val="20"/>
        </w:rPr>
        <w:t>60°C</w:t>
      </w:r>
      <w:r w:rsidRPr="00430E0F">
        <w:rPr>
          <w:rFonts w:ascii="Arial" w:hAnsi="Arial" w:cs="Arial"/>
          <w:sz w:val="20"/>
          <w:szCs w:val="20"/>
        </w:rPr>
        <w:t xml:space="preserve"> using a water bath. The dried extracts were reconstituted in </w:t>
      </w:r>
      <w:r w:rsidRPr="00430E0F">
        <w:rPr>
          <w:rStyle w:val="Strong"/>
          <w:rFonts w:ascii="Arial" w:hAnsi="Arial" w:cs="Arial"/>
          <w:b w:val="0"/>
          <w:bCs w:val="0"/>
          <w:sz w:val="20"/>
          <w:szCs w:val="20"/>
        </w:rPr>
        <w:t>30% dimethyl sulfoxide (DMSO)</w:t>
      </w:r>
      <w:r w:rsidRPr="00430E0F">
        <w:rPr>
          <w:rFonts w:ascii="Arial" w:hAnsi="Arial" w:cs="Arial"/>
          <w:sz w:val="20"/>
          <w:szCs w:val="20"/>
        </w:rPr>
        <w:t xml:space="preserve"> to achieve a final stock concentration of </w:t>
      </w:r>
      <w:r w:rsidRPr="00430E0F">
        <w:rPr>
          <w:rStyle w:val="Strong"/>
          <w:rFonts w:ascii="Arial" w:hAnsi="Arial" w:cs="Arial"/>
          <w:b w:val="0"/>
          <w:bCs w:val="0"/>
          <w:sz w:val="20"/>
          <w:szCs w:val="20"/>
        </w:rPr>
        <w:t>200 mg/</w:t>
      </w:r>
      <w:proofErr w:type="spellStart"/>
      <w:r w:rsidRPr="00430E0F">
        <w:rPr>
          <w:rStyle w:val="Strong"/>
          <w:rFonts w:ascii="Arial" w:hAnsi="Arial" w:cs="Arial"/>
          <w:b w:val="0"/>
          <w:bCs w:val="0"/>
          <w:sz w:val="20"/>
          <w:szCs w:val="20"/>
        </w:rPr>
        <w:t>mL</w:t>
      </w:r>
      <w:r w:rsidRPr="00430E0F">
        <w:rPr>
          <w:rFonts w:ascii="Arial" w:hAnsi="Arial" w:cs="Arial"/>
          <w:b/>
          <w:bCs/>
          <w:sz w:val="20"/>
          <w:szCs w:val="20"/>
        </w:rPr>
        <w:t>.</w:t>
      </w:r>
      <w:proofErr w:type="spellEnd"/>
      <w:r w:rsidRPr="00430E0F">
        <w:rPr>
          <w:rFonts w:ascii="Arial" w:hAnsi="Arial" w:cs="Arial"/>
          <w:sz w:val="20"/>
          <w:szCs w:val="20"/>
        </w:rPr>
        <w:t xml:space="preserve"> All extracts were stored at </w:t>
      </w:r>
      <w:r w:rsidRPr="00430E0F">
        <w:rPr>
          <w:rStyle w:val="Strong"/>
          <w:rFonts w:ascii="Arial" w:hAnsi="Arial" w:cs="Arial"/>
          <w:b w:val="0"/>
          <w:bCs w:val="0"/>
          <w:sz w:val="20"/>
          <w:szCs w:val="20"/>
        </w:rPr>
        <w:t>4°C</w:t>
      </w:r>
      <w:r w:rsidRPr="00430E0F">
        <w:rPr>
          <w:rFonts w:ascii="Arial" w:hAnsi="Arial" w:cs="Arial"/>
          <w:sz w:val="20"/>
          <w:szCs w:val="20"/>
        </w:rPr>
        <w:t xml:space="preserve"> until required for experimental use.</w:t>
      </w:r>
    </w:p>
    <w:p w14:paraId="09F04A43" w14:textId="77777777" w:rsidR="00CA582C" w:rsidRPr="00430E0F" w:rsidRDefault="00CA582C" w:rsidP="00CA582C">
      <w:pPr>
        <w:pStyle w:val="NoSpacing"/>
        <w:jc w:val="both"/>
        <w:rPr>
          <w:rFonts w:ascii="Arial" w:hAnsi="Arial" w:cs="Arial"/>
          <w:sz w:val="20"/>
          <w:szCs w:val="20"/>
        </w:rPr>
      </w:pPr>
    </w:p>
    <w:p w14:paraId="625DA283" w14:textId="77777777" w:rsidR="00CA582C" w:rsidRPr="00430E0F" w:rsidRDefault="00CA582C" w:rsidP="00CA582C">
      <w:pPr>
        <w:pStyle w:val="NoSpacing"/>
        <w:jc w:val="both"/>
        <w:rPr>
          <w:rFonts w:ascii="Arial" w:hAnsi="Arial" w:cs="Arial"/>
          <w:sz w:val="20"/>
          <w:szCs w:val="20"/>
        </w:rPr>
      </w:pPr>
      <w:r w:rsidRPr="00430E0F">
        <w:rPr>
          <w:rStyle w:val="Strong"/>
          <w:rFonts w:ascii="Arial" w:hAnsi="Arial" w:cs="Arial"/>
        </w:rPr>
        <w:t>2.5 Qualitative Phytochemical Screening</w:t>
      </w:r>
    </w:p>
    <w:p w14:paraId="3D3061F1" w14:textId="510AEFA0" w:rsidR="00CA582C" w:rsidRPr="00430E0F" w:rsidRDefault="00CA582C" w:rsidP="00CA582C">
      <w:pPr>
        <w:pStyle w:val="NoSpacing"/>
        <w:jc w:val="both"/>
        <w:rPr>
          <w:rFonts w:ascii="Arial" w:hAnsi="Arial" w:cs="Arial"/>
          <w:sz w:val="20"/>
          <w:szCs w:val="20"/>
          <w:shd w:val="clear" w:color="auto" w:fill="FFFFFF"/>
        </w:rPr>
      </w:pPr>
      <w:r w:rsidRPr="00430E0F">
        <w:rPr>
          <w:rFonts w:ascii="Arial" w:hAnsi="Arial" w:cs="Arial"/>
          <w:sz w:val="20"/>
          <w:szCs w:val="20"/>
        </w:rPr>
        <w:t xml:space="preserve">The extracts were subjected to qualitative phytochemical analysis to determine the presence of major secondary metabolites, including alkaloids, flavonoids, steroids, saponins, glycosides, and tannins, using methods described by </w:t>
      </w:r>
      <w:proofErr w:type="spellStart"/>
      <w:r w:rsidRPr="00430E0F">
        <w:rPr>
          <w:rFonts w:ascii="Arial" w:hAnsi="Arial" w:cs="Arial"/>
          <w:sz w:val="20"/>
          <w:szCs w:val="20"/>
          <w:shd w:val="clear" w:color="auto" w:fill="FFFFFF"/>
        </w:rPr>
        <w:t>Harbone</w:t>
      </w:r>
      <w:proofErr w:type="spellEnd"/>
      <w:r w:rsidRPr="00430E0F">
        <w:rPr>
          <w:rFonts w:ascii="Arial" w:hAnsi="Arial" w:cs="Arial"/>
          <w:sz w:val="20"/>
          <w:szCs w:val="20"/>
          <w:shd w:val="clear" w:color="auto" w:fill="FFFFFF"/>
        </w:rPr>
        <w:t xml:space="preserve"> (1973).</w:t>
      </w:r>
    </w:p>
    <w:p w14:paraId="2B97C0BE" w14:textId="77777777" w:rsidR="003E5417" w:rsidRPr="00430E0F" w:rsidRDefault="003E5417" w:rsidP="00CA582C">
      <w:pPr>
        <w:pStyle w:val="NoSpacing"/>
        <w:jc w:val="both"/>
        <w:rPr>
          <w:rFonts w:ascii="Arial" w:hAnsi="Arial" w:cs="Arial"/>
          <w:sz w:val="20"/>
          <w:szCs w:val="20"/>
        </w:rPr>
      </w:pPr>
    </w:p>
    <w:p w14:paraId="042A390A" w14:textId="783E8857" w:rsidR="00CA582C" w:rsidRPr="00430E0F" w:rsidRDefault="00CA582C" w:rsidP="00CA582C">
      <w:pPr>
        <w:pStyle w:val="NoSpacing"/>
        <w:jc w:val="both"/>
        <w:rPr>
          <w:rFonts w:ascii="Arial" w:hAnsi="Arial" w:cs="Arial"/>
          <w:sz w:val="20"/>
          <w:szCs w:val="20"/>
        </w:rPr>
      </w:pPr>
      <w:r w:rsidRPr="00430E0F">
        <w:rPr>
          <w:rStyle w:val="Strong"/>
          <w:rFonts w:ascii="Arial" w:hAnsi="Arial" w:cs="Arial"/>
          <w:sz w:val="20"/>
          <w:szCs w:val="20"/>
        </w:rPr>
        <w:t xml:space="preserve">2.5.1 Test for </w:t>
      </w:r>
      <w:r w:rsidR="003E5417" w:rsidRPr="00430E0F">
        <w:rPr>
          <w:rStyle w:val="Strong"/>
          <w:rFonts w:ascii="Arial" w:hAnsi="Arial" w:cs="Arial"/>
          <w:sz w:val="20"/>
          <w:szCs w:val="20"/>
        </w:rPr>
        <w:t>alkaloids</w:t>
      </w:r>
      <w:r w:rsidRPr="00430E0F">
        <w:rPr>
          <w:rStyle w:val="Strong"/>
          <w:rFonts w:ascii="Arial" w:hAnsi="Arial" w:cs="Arial"/>
          <w:sz w:val="20"/>
          <w:szCs w:val="20"/>
        </w:rPr>
        <w:t>:</w:t>
      </w:r>
      <w:r w:rsidRPr="00430E0F">
        <w:rPr>
          <w:rFonts w:ascii="Arial" w:hAnsi="Arial" w:cs="Arial"/>
          <w:sz w:val="20"/>
          <w:szCs w:val="20"/>
        </w:rPr>
        <w:t xml:space="preserve"> Five milliliters of the extract was mixed with 2 mL of hydrochloric acid, followed by the addition of 1 mL of Dragendorff’s reagent. The appearance of a reddish-orange precipitate indicated the presence of alkaloids.</w:t>
      </w:r>
    </w:p>
    <w:p w14:paraId="27A70396" w14:textId="77777777" w:rsidR="003E5417" w:rsidRPr="00430E0F" w:rsidRDefault="003E5417" w:rsidP="00CA582C">
      <w:pPr>
        <w:pStyle w:val="NoSpacing"/>
        <w:jc w:val="both"/>
        <w:rPr>
          <w:rFonts w:ascii="Arial" w:hAnsi="Arial" w:cs="Arial"/>
          <w:sz w:val="20"/>
          <w:szCs w:val="20"/>
        </w:rPr>
      </w:pPr>
    </w:p>
    <w:p w14:paraId="62DAE9FB" w14:textId="018961D8" w:rsidR="00CA582C" w:rsidRPr="00430E0F" w:rsidRDefault="00CA582C" w:rsidP="00CA582C">
      <w:pPr>
        <w:pStyle w:val="NoSpacing"/>
        <w:jc w:val="both"/>
        <w:rPr>
          <w:rFonts w:ascii="Arial" w:hAnsi="Arial" w:cs="Arial"/>
          <w:sz w:val="20"/>
          <w:szCs w:val="20"/>
        </w:rPr>
      </w:pPr>
      <w:r w:rsidRPr="00430E0F">
        <w:rPr>
          <w:rStyle w:val="Strong"/>
          <w:rFonts w:ascii="Arial" w:hAnsi="Arial" w:cs="Arial"/>
          <w:sz w:val="20"/>
          <w:szCs w:val="20"/>
        </w:rPr>
        <w:t xml:space="preserve">2.5.2 Test for </w:t>
      </w:r>
      <w:r w:rsidR="003E5417" w:rsidRPr="00430E0F">
        <w:rPr>
          <w:rStyle w:val="Strong"/>
          <w:rFonts w:ascii="Arial" w:hAnsi="Arial" w:cs="Arial"/>
          <w:sz w:val="20"/>
          <w:szCs w:val="20"/>
        </w:rPr>
        <w:t>flavonoids</w:t>
      </w:r>
      <w:r w:rsidRPr="00430E0F">
        <w:rPr>
          <w:rStyle w:val="Strong"/>
          <w:rFonts w:ascii="Arial" w:hAnsi="Arial" w:cs="Arial"/>
          <w:sz w:val="20"/>
          <w:szCs w:val="20"/>
        </w:rPr>
        <w:t>:</w:t>
      </w:r>
      <w:r w:rsidRPr="00430E0F">
        <w:rPr>
          <w:rFonts w:ascii="Arial" w:hAnsi="Arial" w:cs="Arial"/>
          <w:sz w:val="20"/>
          <w:szCs w:val="20"/>
        </w:rPr>
        <w:t xml:space="preserve"> One milliliter of the extract was treated with a few drops of dilute sodium hydroxide. Development of an intense yellow coloration that became colorless upon the addition of dilute hydrochloric acid confirmed the presence of flavonoids.</w:t>
      </w:r>
    </w:p>
    <w:p w14:paraId="255ED846" w14:textId="77777777" w:rsidR="003E5417" w:rsidRPr="00430E0F" w:rsidRDefault="003E5417" w:rsidP="00CA582C">
      <w:pPr>
        <w:pStyle w:val="NoSpacing"/>
        <w:jc w:val="both"/>
        <w:rPr>
          <w:rFonts w:ascii="Arial" w:hAnsi="Arial" w:cs="Arial"/>
          <w:sz w:val="20"/>
          <w:szCs w:val="20"/>
        </w:rPr>
      </w:pPr>
    </w:p>
    <w:p w14:paraId="034F289D" w14:textId="4012768B" w:rsidR="00CA582C" w:rsidRPr="00430E0F" w:rsidRDefault="00CA582C" w:rsidP="00CA582C">
      <w:pPr>
        <w:pStyle w:val="NoSpacing"/>
        <w:jc w:val="both"/>
        <w:rPr>
          <w:rFonts w:ascii="Arial" w:hAnsi="Arial" w:cs="Arial"/>
          <w:sz w:val="20"/>
          <w:szCs w:val="20"/>
        </w:rPr>
      </w:pPr>
      <w:r w:rsidRPr="00430E0F">
        <w:rPr>
          <w:rStyle w:val="Strong"/>
          <w:rFonts w:ascii="Arial" w:hAnsi="Arial" w:cs="Arial"/>
          <w:sz w:val="20"/>
          <w:szCs w:val="20"/>
        </w:rPr>
        <w:t xml:space="preserve">2.5.3 Test for </w:t>
      </w:r>
      <w:r w:rsidR="003E5417" w:rsidRPr="00430E0F">
        <w:rPr>
          <w:rStyle w:val="Strong"/>
          <w:rFonts w:ascii="Arial" w:hAnsi="Arial" w:cs="Arial"/>
          <w:sz w:val="20"/>
          <w:szCs w:val="20"/>
        </w:rPr>
        <w:t>steroids</w:t>
      </w:r>
      <w:r w:rsidRPr="00430E0F">
        <w:rPr>
          <w:rStyle w:val="Strong"/>
          <w:rFonts w:ascii="Arial" w:hAnsi="Arial" w:cs="Arial"/>
          <w:sz w:val="20"/>
          <w:szCs w:val="20"/>
        </w:rPr>
        <w:t>:</w:t>
      </w:r>
      <w:r w:rsidRPr="00430E0F">
        <w:rPr>
          <w:rFonts w:ascii="Arial" w:hAnsi="Arial" w:cs="Arial"/>
          <w:sz w:val="20"/>
          <w:szCs w:val="20"/>
        </w:rPr>
        <w:t xml:space="preserve"> Two milliliters of the extract was dissolved in 10 mL of chloroform after which concentrated sulfuric acid was carefully added along the side of the test tube. The presence of steroids was confirmed by the development of a red coloration at the upper layer and a yellowish-brown sulfuric acid layer below.</w:t>
      </w:r>
    </w:p>
    <w:p w14:paraId="3D1A7DA4" w14:textId="77777777" w:rsidR="003E5417" w:rsidRPr="00430E0F" w:rsidRDefault="003E5417" w:rsidP="00CA582C">
      <w:pPr>
        <w:pStyle w:val="NoSpacing"/>
        <w:jc w:val="both"/>
        <w:rPr>
          <w:rFonts w:ascii="Arial" w:hAnsi="Arial" w:cs="Arial"/>
          <w:sz w:val="20"/>
          <w:szCs w:val="20"/>
        </w:rPr>
      </w:pPr>
    </w:p>
    <w:p w14:paraId="0ED5CE21" w14:textId="14C57A5C" w:rsidR="00CA582C" w:rsidRPr="00430E0F" w:rsidRDefault="00CA582C" w:rsidP="00CA582C">
      <w:pPr>
        <w:pStyle w:val="NoSpacing"/>
        <w:jc w:val="both"/>
        <w:rPr>
          <w:rFonts w:ascii="Arial" w:hAnsi="Arial" w:cs="Arial"/>
          <w:sz w:val="20"/>
          <w:szCs w:val="20"/>
        </w:rPr>
      </w:pPr>
      <w:r w:rsidRPr="00430E0F">
        <w:rPr>
          <w:rStyle w:val="Strong"/>
          <w:rFonts w:ascii="Arial" w:hAnsi="Arial" w:cs="Arial"/>
          <w:sz w:val="20"/>
          <w:szCs w:val="20"/>
        </w:rPr>
        <w:t xml:space="preserve">2.5.4 Test for </w:t>
      </w:r>
      <w:r w:rsidR="003E5417" w:rsidRPr="00430E0F">
        <w:rPr>
          <w:rStyle w:val="Strong"/>
          <w:rFonts w:ascii="Arial" w:hAnsi="Arial" w:cs="Arial"/>
          <w:sz w:val="20"/>
          <w:szCs w:val="20"/>
        </w:rPr>
        <w:t>saponins</w:t>
      </w:r>
      <w:r w:rsidRPr="00430E0F">
        <w:rPr>
          <w:rStyle w:val="Strong"/>
          <w:rFonts w:ascii="Arial" w:hAnsi="Arial" w:cs="Arial"/>
          <w:sz w:val="20"/>
          <w:szCs w:val="20"/>
        </w:rPr>
        <w:t>:</w:t>
      </w:r>
      <w:r w:rsidRPr="00430E0F">
        <w:rPr>
          <w:rFonts w:ascii="Arial" w:hAnsi="Arial" w:cs="Arial"/>
          <w:sz w:val="20"/>
          <w:szCs w:val="20"/>
        </w:rPr>
        <w:t xml:space="preserve"> Twenty milliliters of the extract was diluted in distilled water in a graduated cylinder and shaken vigorously for 15 minutes. Persistent frothing with a foam layer of at least 1 cm confirmed the presence of saponins.</w:t>
      </w:r>
    </w:p>
    <w:p w14:paraId="322F3C12" w14:textId="77777777" w:rsidR="003E5417" w:rsidRPr="00430E0F" w:rsidRDefault="003E5417" w:rsidP="00CA582C">
      <w:pPr>
        <w:pStyle w:val="NoSpacing"/>
        <w:jc w:val="both"/>
        <w:rPr>
          <w:rFonts w:ascii="Arial" w:hAnsi="Arial" w:cs="Arial"/>
          <w:sz w:val="20"/>
          <w:szCs w:val="20"/>
        </w:rPr>
      </w:pPr>
    </w:p>
    <w:p w14:paraId="3B517938" w14:textId="6DCA462C" w:rsidR="00CA582C" w:rsidRPr="00430E0F" w:rsidRDefault="00CA582C" w:rsidP="00CA582C">
      <w:pPr>
        <w:pStyle w:val="NoSpacing"/>
        <w:jc w:val="both"/>
        <w:rPr>
          <w:rFonts w:ascii="Arial" w:hAnsi="Arial" w:cs="Arial"/>
          <w:sz w:val="20"/>
          <w:szCs w:val="20"/>
        </w:rPr>
      </w:pPr>
      <w:r w:rsidRPr="00430E0F">
        <w:rPr>
          <w:rStyle w:val="Strong"/>
          <w:rFonts w:ascii="Arial" w:hAnsi="Arial" w:cs="Arial"/>
          <w:sz w:val="20"/>
          <w:szCs w:val="20"/>
        </w:rPr>
        <w:t xml:space="preserve">2.5.5 Test for </w:t>
      </w:r>
      <w:r w:rsidR="003E5417" w:rsidRPr="00430E0F">
        <w:rPr>
          <w:rStyle w:val="Strong"/>
          <w:rFonts w:ascii="Arial" w:hAnsi="Arial" w:cs="Arial"/>
          <w:sz w:val="20"/>
          <w:szCs w:val="20"/>
        </w:rPr>
        <w:t>tannins</w:t>
      </w:r>
      <w:r w:rsidRPr="00430E0F">
        <w:rPr>
          <w:rStyle w:val="Strong"/>
          <w:rFonts w:ascii="Arial" w:hAnsi="Arial" w:cs="Arial"/>
          <w:sz w:val="20"/>
          <w:szCs w:val="20"/>
        </w:rPr>
        <w:t>:</w:t>
      </w:r>
      <w:r w:rsidRPr="00430E0F">
        <w:rPr>
          <w:rFonts w:ascii="Arial" w:hAnsi="Arial" w:cs="Arial"/>
          <w:sz w:val="20"/>
          <w:szCs w:val="20"/>
        </w:rPr>
        <w:t xml:space="preserve"> Five milliliters of the extract was treated with a few drops of 1% lead acetate solution. The formation of a yellow precipitate was indicative of tannins.</w:t>
      </w:r>
    </w:p>
    <w:p w14:paraId="615A9AF7" w14:textId="04A95CD3" w:rsidR="003E5417" w:rsidRPr="00430E0F" w:rsidRDefault="003E5417" w:rsidP="00CA582C">
      <w:pPr>
        <w:pStyle w:val="NoSpacing"/>
        <w:jc w:val="both"/>
        <w:rPr>
          <w:rFonts w:ascii="Arial" w:hAnsi="Arial" w:cs="Arial"/>
          <w:sz w:val="20"/>
          <w:szCs w:val="20"/>
        </w:rPr>
      </w:pPr>
    </w:p>
    <w:p w14:paraId="705AC7DE" w14:textId="5932225B" w:rsidR="003E5417" w:rsidRPr="00430E0F" w:rsidRDefault="003E5417" w:rsidP="00CA582C">
      <w:pPr>
        <w:pStyle w:val="NoSpacing"/>
        <w:jc w:val="both"/>
        <w:rPr>
          <w:rStyle w:val="Strong"/>
          <w:rFonts w:ascii="Arial" w:hAnsi="Arial" w:cs="Arial"/>
          <w:b w:val="0"/>
          <w:bCs w:val="0"/>
        </w:rPr>
      </w:pPr>
      <w:r w:rsidRPr="00430E0F">
        <w:rPr>
          <w:rFonts w:ascii="Arial" w:hAnsi="Arial" w:cs="Arial"/>
          <w:b/>
          <w:bCs/>
          <w:sz w:val="20"/>
          <w:szCs w:val="20"/>
        </w:rPr>
        <w:t>2.5.6 Test for glycosides:</w:t>
      </w:r>
      <w:r w:rsidRPr="00430E0F">
        <w:rPr>
          <w:rFonts w:ascii="Arial" w:hAnsi="Arial" w:cs="Arial"/>
          <w:sz w:val="20"/>
          <w:szCs w:val="20"/>
        </w:rPr>
        <w:t xml:space="preserve"> </w:t>
      </w:r>
      <w:r w:rsidRPr="00430E0F">
        <w:rPr>
          <w:rFonts w:ascii="Arial" w:hAnsi="Arial" w:cs="Arial"/>
          <w:bCs/>
          <w:sz w:val="20"/>
          <w:szCs w:val="20"/>
        </w:rPr>
        <w:t>Presence of glycosides were screened via the Keller-</w:t>
      </w:r>
      <w:proofErr w:type="spellStart"/>
      <w:r w:rsidRPr="00430E0F">
        <w:rPr>
          <w:rFonts w:ascii="Arial" w:hAnsi="Arial" w:cs="Arial"/>
          <w:bCs/>
          <w:sz w:val="20"/>
          <w:szCs w:val="20"/>
        </w:rPr>
        <w:t>Killiani</w:t>
      </w:r>
      <w:proofErr w:type="spellEnd"/>
      <w:r w:rsidRPr="00430E0F">
        <w:rPr>
          <w:rFonts w:ascii="Arial" w:hAnsi="Arial" w:cs="Arial"/>
          <w:bCs/>
          <w:sz w:val="20"/>
          <w:szCs w:val="20"/>
        </w:rPr>
        <w:t xml:space="preserve"> test which produced a brown ring at the interface, while saponins were identified through the froth test, characterized by the formation of persistent foaming.</w:t>
      </w:r>
    </w:p>
    <w:p w14:paraId="3FA430C9" w14:textId="77777777" w:rsidR="00CA582C" w:rsidRPr="00430E0F" w:rsidRDefault="00CA582C" w:rsidP="00CA582C">
      <w:pPr>
        <w:pStyle w:val="NoSpacing"/>
        <w:jc w:val="both"/>
        <w:rPr>
          <w:rStyle w:val="Strong"/>
          <w:rFonts w:ascii="Arial" w:hAnsi="Arial" w:cs="Arial"/>
        </w:rPr>
      </w:pPr>
    </w:p>
    <w:p w14:paraId="18F067E3" w14:textId="77777777" w:rsidR="00CA582C" w:rsidRPr="00430E0F" w:rsidRDefault="00CA582C" w:rsidP="00CA582C">
      <w:pPr>
        <w:pStyle w:val="NoSpacing"/>
        <w:jc w:val="both"/>
        <w:rPr>
          <w:rStyle w:val="Strong"/>
          <w:rFonts w:ascii="Arial" w:hAnsi="Arial" w:cs="Arial"/>
        </w:rPr>
      </w:pPr>
      <w:r w:rsidRPr="00430E0F">
        <w:rPr>
          <w:rStyle w:val="Strong"/>
          <w:rFonts w:ascii="Arial" w:hAnsi="Arial" w:cs="Arial"/>
        </w:rPr>
        <w:t>2.6 Preparation of Culture Media</w:t>
      </w:r>
    </w:p>
    <w:p w14:paraId="59CE3346" w14:textId="77777777" w:rsidR="00CA582C" w:rsidRPr="00430E0F" w:rsidRDefault="00CA582C" w:rsidP="00CA582C">
      <w:pPr>
        <w:pStyle w:val="NoSpacing"/>
        <w:jc w:val="both"/>
        <w:rPr>
          <w:rStyle w:val="Strong"/>
          <w:rFonts w:ascii="Arial" w:hAnsi="Arial" w:cs="Arial"/>
          <w:b w:val="0"/>
          <w:bCs w:val="0"/>
          <w:sz w:val="20"/>
          <w:szCs w:val="20"/>
        </w:rPr>
      </w:pPr>
      <w:r w:rsidRPr="00430E0F">
        <w:rPr>
          <w:rStyle w:val="Strong"/>
          <w:rFonts w:ascii="Arial" w:hAnsi="Arial" w:cs="Arial"/>
          <w:b w:val="0"/>
          <w:bCs w:val="0"/>
          <w:sz w:val="20"/>
          <w:szCs w:val="20"/>
        </w:rPr>
        <w:t>Different culture media were used. They include: Nutrient Agar (NA), MacConkey Agar, and Eosin Methylene Blue (EMB) Agar, and were all prepared following manufacturer’s instructions. The prepared media were sterilized using an autoclave at 121°C for 15 minutes under a pressure of 15 psi. After sterilization, the media were cooled to approximately 45°C, thoroughly mixed, and aseptically dispensed into sterile Petri dishes. The plates were then allowed to solidify before use.</w:t>
      </w:r>
    </w:p>
    <w:p w14:paraId="5691ED07" w14:textId="77777777" w:rsidR="00CA582C" w:rsidRPr="00430E0F" w:rsidRDefault="00CA582C" w:rsidP="00CA582C">
      <w:pPr>
        <w:pStyle w:val="NoSpacing"/>
        <w:jc w:val="both"/>
        <w:rPr>
          <w:rStyle w:val="Strong"/>
          <w:rFonts w:ascii="Arial" w:hAnsi="Arial" w:cs="Arial"/>
          <w:b w:val="0"/>
          <w:bCs w:val="0"/>
          <w:sz w:val="20"/>
          <w:szCs w:val="20"/>
        </w:rPr>
      </w:pPr>
    </w:p>
    <w:p w14:paraId="373F1543" w14:textId="77777777" w:rsidR="00CA582C" w:rsidRPr="00430E0F" w:rsidRDefault="00CA582C" w:rsidP="00CA582C">
      <w:pPr>
        <w:pStyle w:val="NoSpacing"/>
        <w:jc w:val="both"/>
        <w:rPr>
          <w:rStyle w:val="Strong"/>
          <w:rFonts w:ascii="Arial" w:hAnsi="Arial" w:cs="Arial"/>
        </w:rPr>
      </w:pPr>
      <w:r w:rsidRPr="00430E0F">
        <w:rPr>
          <w:rStyle w:val="Strong"/>
          <w:rFonts w:ascii="Arial" w:hAnsi="Arial" w:cs="Arial"/>
        </w:rPr>
        <w:t>2.7 Sample Collection</w:t>
      </w:r>
    </w:p>
    <w:p w14:paraId="0A1F7E84" w14:textId="34AED3BD" w:rsidR="00CA582C" w:rsidRPr="00430E0F" w:rsidRDefault="00CA582C" w:rsidP="00CA582C">
      <w:pPr>
        <w:pStyle w:val="NoSpacing"/>
        <w:jc w:val="both"/>
        <w:rPr>
          <w:rStyle w:val="Strong"/>
          <w:rFonts w:ascii="Arial" w:hAnsi="Arial" w:cs="Arial"/>
          <w:b w:val="0"/>
          <w:bCs w:val="0"/>
          <w:sz w:val="20"/>
          <w:szCs w:val="20"/>
        </w:rPr>
      </w:pPr>
      <w:r w:rsidRPr="00430E0F">
        <w:rPr>
          <w:rStyle w:val="Strong"/>
          <w:rFonts w:ascii="Arial" w:hAnsi="Arial" w:cs="Arial"/>
          <w:b w:val="0"/>
          <w:bCs w:val="0"/>
          <w:sz w:val="20"/>
          <w:szCs w:val="20"/>
        </w:rPr>
        <w:lastRenderedPageBreak/>
        <w:t xml:space="preserve">Nasal </w:t>
      </w:r>
      <w:commentRangeStart w:id="4"/>
      <w:r w:rsidRPr="00430E0F">
        <w:rPr>
          <w:rStyle w:val="Strong"/>
          <w:rFonts w:ascii="Arial" w:hAnsi="Arial" w:cs="Arial"/>
          <w:b w:val="0"/>
          <w:bCs w:val="0"/>
          <w:sz w:val="20"/>
          <w:szCs w:val="20"/>
        </w:rPr>
        <w:t>swab</w:t>
      </w:r>
      <w:commentRangeEnd w:id="4"/>
      <w:r w:rsidR="00856154">
        <w:rPr>
          <w:rStyle w:val="CommentReference"/>
          <w:rFonts w:ascii="Helvetica" w:eastAsia="Times New Roman" w:hAnsi="Helvetica" w:cs="Times New Roman"/>
          <w:rtl/>
        </w:rPr>
        <w:commentReference w:id="4"/>
      </w:r>
      <w:r w:rsidRPr="00430E0F">
        <w:rPr>
          <w:rStyle w:val="Strong"/>
          <w:rFonts w:ascii="Arial" w:hAnsi="Arial" w:cs="Arial"/>
          <w:b w:val="0"/>
          <w:bCs w:val="0"/>
          <w:sz w:val="20"/>
          <w:szCs w:val="20"/>
        </w:rPr>
        <w:t xml:space="preserve"> samples were obtained from the nostrils of consenting and eligible participants. The swabs were collected in batches. All samples were transported within 4 hours of collection in cold packs maintained at 2–8°C to the Microbiology Laboratory of Alex Ekwueme Federal University </w:t>
      </w:r>
      <w:proofErr w:type="spellStart"/>
      <w:r w:rsidRPr="00430E0F">
        <w:rPr>
          <w:rStyle w:val="Strong"/>
          <w:rFonts w:ascii="Arial" w:hAnsi="Arial" w:cs="Arial"/>
          <w:b w:val="0"/>
          <w:bCs w:val="0"/>
          <w:sz w:val="20"/>
          <w:szCs w:val="20"/>
        </w:rPr>
        <w:t>Ndufu</w:t>
      </w:r>
      <w:proofErr w:type="spellEnd"/>
      <w:r w:rsidRPr="00430E0F">
        <w:rPr>
          <w:rStyle w:val="Strong"/>
          <w:rFonts w:ascii="Arial" w:hAnsi="Arial" w:cs="Arial"/>
          <w:b w:val="0"/>
          <w:bCs w:val="0"/>
          <w:sz w:val="20"/>
          <w:szCs w:val="20"/>
        </w:rPr>
        <w:t xml:space="preserve"> Alike </w:t>
      </w:r>
      <w:proofErr w:type="spellStart"/>
      <w:r w:rsidRPr="00430E0F">
        <w:rPr>
          <w:rStyle w:val="Strong"/>
          <w:rFonts w:ascii="Arial" w:hAnsi="Arial" w:cs="Arial"/>
          <w:b w:val="0"/>
          <w:bCs w:val="0"/>
          <w:sz w:val="20"/>
          <w:szCs w:val="20"/>
        </w:rPr>
        <w:t>Ikwo</w:t>
      </w:r>
      <w:proofErr w:type="spellEnd"/>
      <w:r w:rsidRPr="00430E0F">
        <w:rPr>
          <w:rStyle w:val="Strong"/>
          <w:rFonts w:ascii="Arial" w:hAnsi="Arial" w:cs="Arial"/>
          <w:b w:val="0"/>
          <w:bCs w:val="0"/>
          <w:sz w:val="20"/>
          <w:szCs w:val="20"/>
        </w:rPr>
        <w:t xml:space="preserve"> (AE-FUNAI), Nigeria, where they were processed for the isolation of </w:t>
      </w:r>
      <w:r w:rsidR="00430E0F" w:rsidRPr="00430E0F">
        <w:rPr>
          <w:rStyle w:val="Strong"/>
          <w:rFonts w:ascii="Arial" w:hAnsi="Arial" w:cs="Arial"/>
          <w:b w:val="0"/>
          <w:bCs w:val="0"/>
          <w:i/>
          <w:iCs/>
          <w:sz w:val="20"/>
          <w:szCs w:val="20"/>
        </w:rPr>
        <w:t>K. pneumoniae</w:t>
      </w:r>
      <w:r w:rsidRPr="00430E0F">
        <w:rPr>
          <w:rStyle w:val="Strong"/>
          <w:rFonts w:ascii="Arial" w:hAnsi="Arial" w:cs="Arial"/>
          <w:b w:val="0"/>
          <w:bCs w:val="0"/>
          <w:sz w:val="20"/>
          <w:szCs w:val="20"/>
        </w:rPr>
        <w:t>.</w:t>
      </w:r>
    </w:p>
    <w:p w14:paraId="754532E4" w14:textId="77777777" w:rsidR="00CA582C" w:rsidRPr="00430E0F" w:rsidRDefault="00CA582C" w:rsidP="00CA582C">
      <w:pPr>
        <w:pStyle w:val="NoSpacing"/>
        <w:jc w:val="both"/>
        <w:rPr>
          <w:rStyle w:val="Strong"/>
          <w:rFonts w:ascii="Arial" w:hAnsi="Arial" w:cs="Arial"/>
          <w:b w:val="0"/>
          <w:bCs w:val="0"/>
          <w:sz w:val="20"/>
          <w:szCs w:val="20"/>
        </w:rPr>
      </w:pPr>
    </w:p>
    <w:p w14:paraId="7ABE43B8" w14:textId="77777777" w:rsidR="00CA582C" w:rsidRPr="00430E0F" w:rsidRDefault="00CA582C" w:rsidP="00CA582C">
      <w:pPr>
        <w:pStyle w:val="NoSpacing"/>
        <w:jc w:val="both"/>
        <w:rPr>
          <w:rStyle w:val="Strong"/>
          <w:rFonts w:ascii="Arial" w:hAnsi="Arial" w:cs="Arial"/>
        </w:rPr>
      </w:pPr>
      <w:r w:rsidRPr="00430E0F">
        <w:rPr>
          <w:rStyle w:val="Strong"/>
          <w:rFonts w:ascii="Arial" w:hAnsi="Arial" w:cs="Arial"/>
        </w:rPr>
        <w:t>2.8 Isolation and Identification of Bacterial Isolates</w:t>
      </w:r>
    </w:p>
    <w:p w14:paraId="7038E373" w14:textId="5E24FB65" w:rsidR="00CA582C" w:rsidRPr="00430E0F" w:rsidRDefault="00CA582C" w:rsidP="00CA582C">
      <w:pPr>
        <w:pStyle w:val="NoSpacing"/>
        <w:jc w:val="both"/>
        <w:rPr>
          <w:rFonts w:ascii="Arial" w:hAnsi="Arial" w:cs="Arial"/>
          <w:sz w:val="20"/>
          <w:szCs w:val="20"/>
        </w:rPr>
      </w:pPr>
      <w:r w:rsidRPr="00430E0F">
        <w:rPr>
          <w:rStyle w:val="Strong"/>
          <w:rFonts w:ascii="Arial" w:hAnsi="Arial" w:cs="Arial"/>
          <w:b w:val="0"/>
          <w:bCs w:val="0"/>
          <w:sz w:val="20"/>
          <w:szCs w:val="20"/>
        </w:rPr>
        <w:t xml:space="preserve">Primary isolation and preliminary identification of bacterial isolates were based on colonial morphology, including color, size, and shape, in addition to Gram staining. </w:t>
      </w:r>
      <w:r w:rsidRPr="00430E0F">
        <w:rPr>
          <w:rFonts w:ascii="Arial" w:hAnsi="Arial" w:cs="Arial"/>
          <w:sz w:val="20"/>
          <w:szCs w:val="20"/>
        </w:rPr>
        <w:t xml:space="preserve">A loop full of each nasal swab sample enriched on the nutrient broth in the laboratory soon after collection was aseptically inoculated on MacConkey agar (MCA) and eosin methylene blue agar (EMBA). The inoculated plates were incubated 24 hours at 37°C. Following incubation, the culture plates were examined to check for possible bacterial growth present. Initial identification of </w:t>
      </w:r>
      <w:r w:rsidR="00430E0F" w:rsidRPr="00430E0F">
        <w:rPr>
          <w:rFonts w:ascii="Arial" w:hAnsi="Arial" w:cs="Arial"/>
          <w:i/>
          <w:iCs/>
          <w:sz w:val="20"/>
          <w:szCs w:val="20"/>
        </w:rPr>
        <w:t>Klebsiella pneumoniae</w:t>
      </w:r>
      <w:r w:rsidRPr="00430E0F">
        <w:rPr>
          <w:rFonts w:ascii="Arial" w:hAnsi="Arial" w:cs="Arial"/>
          <w:sz w:val="20"/>
          <w:szCs w:val="20"/>
        </w:rPr>
        <w:t xml:space="preserve"> isolates was based on colonial morphology, Gram staining, and a battery of biochemical tests, including oxidase negativity, catalase positivity, citrate utilization, and indole production, to confirm their identity</w:t>
      </w:r>
    </w:p>
    <w:p w14:paraId="517AAB7C" w14:textId="77777777" w:rsidR="00CA582C" w:rsidRPr="00430E0F" w:rsidRDefault="00CA582C" w:rsidP="00CA582C">
      <w:pPr>
        <w:pStyle w:val="NoSpacing"/>
        <w:jc w:val="both"/>
        <w:rPr>
          <w:rFonts w:ascii="Arial" w:hAnsi="Arial" w:cs="Arial"/>
          <w:sz w:val="20"/>
          <w:szCs w:val="20"/>
        </w:rPr>
      </w:pPr>
    </w:p>
    <w:p w14:paraId="6A11A5DC" w14:textId="7580E460" w:rsidR="00CA582C" w:rsidRPr="00430E0F" w:rsidRDefault="00CA582C" w:rsidP="00CA582C">
      <w:pPr>
        <w:pStyle w:val="NoSpacing"/>
        <w:jc w:val="both"/>
        <w:rPr>
          <w:rFonts w:ascii="Arial" w:hAnsi="Arial" w:cs="Arial"/>
          <w:b/>
        </w:rPr>
      </w:pPr>
      <w:r w:rsidRPr="00430E0F">
        <w:rPr>
          <w:rFonts w:ascii="Arial" w:hAnsi="Arial" w:cs="Arial"/>
          <w:b/>
        </w:rPr>
        <w:t xml:space="preserve">2.9 Biochemical </w:t>
      </w:r>
      <w:r w:rsidR="00E75430" w:rsidRPr="00430E0F">
        <w:rPr>
          <w:rFonts w:ascii="Arial" w:hAnsi="Arial" w:cs="Arial"/>
          <w:b/>
        </w:rPr>
        <w:t xml:space="preserve">Tests </w:t>
      </w:r>
    </w:p>
    <w:p w14:paraId="4214E5C1" w14:textId="77777777" w:rsidR="00CA582C" w:rsidRPr="00430E0F" w:rsidRDefault="00CA582C" w:rsidP="00CA582C">
      <w:pPr>
        <w:pStyle w:val="NoSpacing"/>
        <w:jc w:val="both"/>
        <w:rPr>
          <w:rFonts w:ascii="Arial" w:hAnsi="Arial" w:cs="Arial"/>
          <w:sz w:val="20"/>
          <w:szCs w:val="20"/>
        </w:rPr>
      </w:pPr>
      <w:r w:rsidRPr="00430E0F">
        <w:rPr>
          <w:rFonts w:ascii="Arial" w:hAnsi="Arial" w:cs="Arial"/>
          <w:sz w:val="20"/>
          <w:szCs w:val="20"/>
        </w:rPr>
        <w:t xml:space="preserve">The identified colonies were subjected unto several biochemical tests, including; catalase test, indole test, oxidase and citrate tests. </w:t>
      </w:r>
    </w:p>
    <w:p w14:paraId="36BEE81E" w14:textId="77777777" w:rsidR="00CA582C" w:rsidRPr="00430E0F" w:rsidRDefault="00CA582C" w:rsidP="00CA582C">
      <w:pPr>
        <w:pStyle w:val="NoSpacing"/>
        <w:jc w:val="both"/>
        <w:rPr>
          <w:rFonts w:ascii="Arial" w:hAnsi="Arial" w:cs="Arial"/>
          <w:b/>
          <w:sz w:val="20"/>
          <w:szCs w:val="20"/>
        </w:rPr>
      </w:pPr>
    </w:p>
    <w:p w14:paraId="54DB99EB" w14:textId="77777777" w:rsidR="00CA582C" w:rsidRPr="00430E0F" w:rsidRDefault="00CA582C" w:rsidP="00CA582C">
      <w:pPr>
        <w:pStyle w:val="NoSpacing"/>
        <w:jc w:val="both"/>
        <w:rPr>
          <w:rFonts w:ascii="Arial" w:hAnsi="Arial" w:cs="Arial"/>
          <w:b/>
          <w:sz w:val="20"/>
          <w:szCs w:val="20"/>
        </w:rPr>
      </w:pPr>
      <w:r w:rsidRPr="00430E0F">
        <w:rPr>
          <w:rFonts w:ascii="Arial" w:hAnsi="Arial" w:cs="Arial"/>
          <w:b/>
          <w:sz w:val="20"/>
          <w:szCs w:val="20"/>
        </w:rPr>
        <w:t>2.9.1 Catalase test</w:t>
      </w:r>
    </w:p>
    <w:p w14:paraId="07ACB01B" w14:textId="77777777" w:rsidR="00CA582C" w:rsidRPr="00430E0F" w:rsidRDefault="00CA582C" w:rsidP="00CA582C">
      <w:pPr>
        <w:pStyle w:val="NoSpacing"/>
        <w:jc w:val="both"/>
        <w:rPr>
          <w:rFonts w:ascii="Arial" w:hAnsi="Arial" w:cs="Arial"/>
          <w:sz w:val="20"/>
          <w:szCs w:val="20"/>
        </w:rPr>
      </w:pPr>
      <w:r w:rsidRPr="00430E0F">
        <w:rPr>
          <w:rFonts w:ascii="Arial" w:hAnsi="Arial" w:cs="Arial"/>
          <w:sz w:val="20"/>
          <w:szCs w:val="20"/>
        </w:rPr>
        <w:t>A sterile wire loop was used to transfer a portion of the bacterial colony onto the surface of a clean dry glass slide and then a drop of 3 % H</w:t>
      </w:r>
      <w:r w:rsidRPr="00430E0F">
        <w:rPr>
          <w:rFonts w:ascii="Arial" w:hAnsi="Arial" w:cs="Arial"/>
          <w:sz w:val="20"/>
          <w:szCs w:val="20"/>
          <w:vertAlign w:val="subscript"/>
        </w:rPr>
        <w:t>2</w:t>
      </w:r>
      <w:r w:rsidRPr="00430E0F">
        <w:rPr>
          <w:rFonts w:ascii="Arial" w:hAnsi="Arial" w:cs="Arial"/>
          <w:sz w:val="20"/>
          <w:szCs w:val="20"/>
        </w:rPr>
        <w:t>O</w:t>
      </w:r>
      <w:r w:rsidRPr="00430E0F">
        <w:rPr>
          <w:rFonts w:ascii="Arial" w:hAnsi="Arial" w:cs="Arial"/>
          <w:sz w:val="20"/>
          <w:szCs w:val="20"/>
          <w:vertAlign w:val="subscript"/>
        </w:rPr>
        <w:t>2</w:t>
      </w:r>
      <w:r w:rsidRPr="00430E0F">
        <w:rPr>
          <w:rFonts w:ascii="Arial" w:hAnsi="Arial" w:cs="Arial"/>
          <w:sz w:val="20"/>
          <w:szCs w:val="20"/>
        </w:rPr>
        <w:t xml:space="preserve"> was placed on top of the colony growth and emulsified. The immediate appearance of oxygen bubbles indicated a positive test for catalase.</w:t>
      </w:r>
    </w:p>
    <w:p w14:paraId="06ECA639" w14:textId="77777777" w:rsidR="00CA582C" w:rsidRPr="00430E0F" w:rsidRDefault="00CA582C" w:rsidP="00CA582C">
      <w:pPr>
        <w:pStyle w:val="NoSpacing"/>
        <w:jc w:val="both"/>
        <w:rPr>
          <w:rFonts w:ascii="Arial" w:hAnsi="Arial" w:cs="Arial"/>
          <w:sz w:val="20"/>
          <w:szCs w:val="20"/>
        </w:rPr>
      </w:pPr>
    </w:p>
    <w:p w14:paraId="3FB184D7" w14:textId="77777777" w:rsidR="00CA582C" w:rsidRPr="00430E0F" w:rsidRDefault="00CA582C" w:rsidP="00CA582C">
      <w:pPr>
        <w:pStyle w:val="NoSpacing"/>
        <w:jc w:val="both"/>
        <w:rPr>
          <w:rFonts w:ascii="Arial" w:hAnsi="Arial" w:cs="Arial"/>
          <w:b/>
          <w:sz w:val="20"/>
          <w:szCs w:val="20"/>
        </w:rPr>
      </w:pPr>
      <w:r w:rsidRPr="00430E0F">
        <w:rPr>
          <w:rFonts w:ascii="Arial" w:hAnsi="Arial" w:cs="Arial"/>
          <w:b/>
          <w:sz w:val="20"/>
          <w:szCs w:val="20"/>
        </w:rPr>
        <w:t>2.9.2 Indole test</w:t>
      </w:r>
    </w:p>
    <w:p w14:paraId="1842056C" w14:textId="77777777" w:rsidR="00CA582C" w:rsidRPr="00430E0F" w:rsidRDefault="00CA582C" w:rsidP="00CA582C">
      <w:pPr>
        <w:pStyle w:val="NoSpacing"/>
        <w:jc w:val="both"/>
        <w:rPr>
          <w:rFonts w:ascii="Arial" w:hAnsi="Arial" w:cs="Arial"/>
          <w:sz w:val="20"/>
          <w:szCs w:val="20"/>
        </w:rPr>
      </w:pPr>
      <w:r w:rsidRPr="00430E0F">
        <w:rPr>
          <w:rFonts w:ascii="Arial" w:hAnsi="Arial" w:cs="Arial"/>
          <w:sz w:val="20"/>
          <w:szCs w:val="20"/>
        </w:rPr>
        <w:t xml:space="preserve">A 24 old nutrient agar culture of the isolates were inoculated into a sterilized bijoux bottle containing 3 ml of sterile tryptone water. The bottles were then incubated for 48 </w:t>
      </w:r>
      <w:proofErr w:type="spellStart"/>
      <w:r w:rsidRPr="00430E0F">
        <w:rPr>
          <w:rFonts w:ascii="Arial" w:hAnsi="Arial" w:cs="Arial"/>
          <w:sz w:val="20"/>
          <w:szCs w:val="20"/>
        </w:rPr>
        <w:t>hr</w:t>
      </w:r>
      <w:proofErr w:type="spellEnd"/>
      <w:r w:rsidRPr="00430E0F">
        <w:rPr>
          <w:rFonts w:ascii="Arial" w:hAnsi="Arial" w:cs="Arial"/>
          <w:sz w:val="20"/>
          <w:szCs w:val="20"/>
        </w:rPr>
        <w:t xml:space="preserve"> at 37</w:t>
      </w:r>
      <w:r w:rsidRPr="00430E0F">
        <w:rPr>
          <w:rFonts w:ascii="Arial" w:hAnsi="Arial" w:cs="Arial"/>
          <w:sz w:val="20"/>
          <w:szCs w:val="20"/>
          <w:vertAlign w:val="superscript"/>
        </w:rPr>
        <w:t>o</w:t>
      </w:r>
      <w:r w:rsidRPr="00430E0F">
        <w:rPr>
          <w:rFonts w:ascii="Arial" w:hAnsi="Arial" w:cs="Arial"/>
          <w:sz w:val="20"/>
          <w:szCs w:val="20"/>
        </w:rPr>
        <w:t xml:space="preserve">C. Test for indole was carried out by addition of 0.5 ml Kovacs reagent and gently </w:t>
      </w:r>
      <w:proofErr w:type="spellStart"/>
      <w:r w:rsidRPr="00430E0F">
        <w:rPr>
          <w:rFonts w:ascii="Arial" w:hAnsi="Arial" w:cs="Arial"/>
          <w:sz w:val="20"/>
          <w:szCs w:val="20"/>
        </w:rPr>
        <w:t>shaked</w:t>
      </w:r>
      <w:proofErr w:type="spellEnd"/>
      <w:r w:rsidRPr="00430E0F">
        <w:rPr>
          <w:rFonts w:ascii="Arial" w:hAnsi="Arial" w:cs="Arial"/>
          <w:sz w:val="20"/>
          <w:szCs w:val="20"/>
        </w:rPr>
        <w:t xml:space="preserve">. The formation of red </w:t>
      </w:r>
      <w:proofErr w:type="spellStart"/>
      <w:r w:rsidRPr="00430E0F">
        <w:rPr>
          <w:rFonts w:ascii="Arial" w:hAnsi="Arial" w:cs="Arial"/>
          <w:sz w:val="20"/>
          <w:szCs w:val="20"/>
        </w:rPr>
        <w:t>colour</w:t>
      </w:r>
      <w:proofErr w:type="spellEnd"/>
      <w:r w:rsidRPr="00430E0F">
        <w:rPr>
          <w:rFonts w:ascii="Arial" w:hAnsi="Arial" w:cs="Arial"/>
          <w:sz w:val="20"/>
          <w:szCs w:val="20"/>
        </w:rPr>
        <w:t xml:space="preserve"> at the surface of the layer within 10 min was taken as positive indole while no red formation at the surface indicates negative indole.</w:t>
      </w:r>
    </w:p>
    <w:p w14:paraId="37D6C77E" w14:textId="77777777" w:rsidR="00CA582C" w:rsidRPr="00430E0F" w:rsidRDefault="00CA582C" w:rsidP="00CA582C">
      <w:pPr>
        <w:pStyle w:val="NoSpacing"/>
        <w:jc w:val="both"/>
        <w:rPr>
          <w:rFonts w:ascii="Arial" w:hAnsi="Arial" w:cs="Arial"/>
          <w:sz w:val="20"/>
          <w:szCs w:val="20"/>
        </w:rPr>
      </w:pPr>
    </w:p>
    <w:p w14:paraId="45AFFCA6" w14:textId="77777777" w:rsidR="00CA582C" w:rsidRPr="00430E0F" w:rsidRDefault="00CA582C" w:rsidP="00CA582C">
      <w:pPr>
        <w:pStyle w:val="NoSpacing"/>
        <w:jc w:val="both"/>
        <w:rPr>
          <w:rFonts w:ascii="Arial" w:hAnsi="Arial" w:cs="Arial"/>
          <w:b/>
          <w:sz w:val="20"/>
          <w:szCs w:val="20"/>
        </w:rPr>
      </w:pPr>
      <w:r w:rsidRPr="00430E0F">
        <w:rPr>
          <w:rFonts w:ascii="Arial" w:hAnsi="Arial" w:cs="Arial"/>
          <w:b/>
          <w:sz w:val="20"/>
          <w:szCs w:val="20"/>
        </w:rPr>
        <w:t>2.9.3 Oxidase test</w:t>
      </w:r>
    </w:p>
    <w:p w14:paraId="0B7C37E9" w14:textId="77777777" w:rsidR="00CA582C" w:rsidRPr="00430E0F" w:rsidRDefault="00CA582C" w:rsidP="00CA582C">
      <w:pPr>
        <w:pStyle w:val="NoSpacing"/>
        <w:jc w:val="both"/>
        <w:rPr>
          <w:rFonts w:ascii="Arial" w:hAnsi="Arial" w:cs="Arial"/>
          <w:sz w:val="20"/>
          <w:szCs w:val="20"/>
        </w:rPr>
      </w:pPr>
      <w:r w:rsidRPr="00430E0F">
        <w:rPr>
          <w:rFonts w:ascii="Arial" w:hAnsi="Arial" w:cs="Arial"/>
          <w:sz w:val="20"/>
          <w:szCs w:val="20"/>
        </w:rPr>
        <w:t>A piece of filter paper was placed in a clean petri plate and two drops of freshly prepared oxidase reagents (1 % aqueous solution of tetra-methyl-phenylene-diamine dihydrochloride) was poured on the filter paper. The test organism was collected and smeared on the filter paper and observed for blue-purple within few seconds.</w:t>
      </w:r>
    </w:p>
    <w:p w14:paraId="3779A3B0" w14:textId="77777777" w:rsidR="00CA582C" w:rsidRPr="00430E0F" w:rsidRDefault="00CA582C" w:rsidP="00CA582C">
      <w:pPr>
        <w:pStyle w:val="NoSpacing"/>
        <w:jc w:val="both"/>
        <w:rPr>
          <w:rFonts w:ascii="Arial" w:hAnsi="Arial" w:cs="Arial"/>
          <w:sz w:val="20"/>
          <w:szCs w:val="20"/>
        </w:rPr>
      </w:pPr>
    </w:p>
    <w:p w14:paraId="508959B3" w14:textId="77777777" w:rsidR="00CA582C" w:rsidRPr="00430E0F" w:rsidRDefault="00CA582C" w:rsidP="00CA582C">
      <w:pPr>
        <w:pStyle w:val="NoSpacing"/>
        <w:jc w:val="both"/>
        <w:rPr>
          <w:rFonts w:ascii="Arial" w:hAnsi="Arial" w:cs="Arial"/>
          <w:b/>
          <w:sz w:val="20"/>
          <w:szCs w:val="20"/>
        </w:rPr>
      </w:pPr>
      <w:r w:rsidRPr="00430E0F">
        <w:rPr>
          <w:rFonts w:ascii="Arial" w:hAnsi="Arial" w:cs="Arial"/>
          <w:b/>
          <w:sz w:val="20"/>
          <w:szCs w:val="20"/>
        </w:rPr>
        <w:t>2.9.4 Citrate utilization test</w:t>
      </w:r>
    </w:p>
    <w:p w14:paraId="4042FBCC" w14:textId="77777777" w:rsidR="00CA582C" w:rsidRPr="00430E0F" w:rsidRDefault="00CA582C" w:rsidP="00CA582C">
      <w:pPr>
        <w:pStyle w:val="NoSpacing"/>
        <w:jc w:val="both"/>
        <w:rPr>
          <w:rFonts w:ascii="Arial" w:hAnsi="Arial" w:cs="Arial"/>
          <w:sz w:val="20"/>
          <w:szCs w:val="20"/>
        </w:rPr>
      </w:pPr>
      <w:r w:rsidRPr="00430E0F">
        <w:rPr>
          <w:rFonts w:ascii="Arial" w:hAnsi="Arial" w:cs="Arial"/>
          <w:sz w:val="20"/>
          <w:szCs w:val="20"/>
        </w:rPr>
        <w:t xml:space="preserve">Simmons citrate agar was used to prepare a slope using bijoux bottles. A sterile wire loop was used to streak the slope of the Simmons citrate agar slant and then stabbed to the butt of the slant after which the inoculated slants were incubated for 48 hrs. The appearance of bright blue </w:t>
      </w:r>
      <w:proofErr w:type="spellStart"/>
      <w:r w:rsidRPr="00430E0F">
        <w:rPr>
          <w:rFonts w:ascii="Arial" w:hAnsi="Arial" w:cs="Arial"/>
          <w:sz w:val="20"/>
          <w:szCs w:val="20"/>
        </w:rPr>
        <w:t>colour</w:t>
      </w:r>
      <w:proofErr w:type="spellEnd"/>
      <w:r w:rsidRPr="00430E0F">
        <w:rPr>
          <w:rFonts w:ascii="Arial" w:hAnsi="Arial" w:cs="Arial"/>
          <w:sz w:val="20"/>
          <w:szCs w:val="20"/>
        </w:rPr>
        <w:t xml:space="preserve"> after 48 </w:t>
      </w:r>
      <w:proofErr w:type="spellStart"/>
      <w:r w:rsidRPr="00430E0F">
        <w:rPr>
          <w:rFonts w:ascii="Arial" w:hAnsi="Arial" w:cs="Arial"/>
          <w:sz w:val="20"/>
          <w:szCs w:val="20"/>
        </w:rPr>
        <w:t>hr</w:t>
      </w:r>
      <w:proofErr w:type="spellEnd"/>
      <w:r w:rsidRPr="00430E0F">
        <w:rPr>
          <w:rFonts w:ascii="Arial" w:hAnsi="Arial" w:cs="Arial"/>
          <w:sz w:val="20"/>
          <w:szCs w:val="20"/>
        </w:rPr>
        <w:t xml:space="preserve"> indicate a positive citrate while no </w:t>
      </w:r>
      <w:proofErr w:type="spellStart"/>
      <w:r w:rsidRPr="00430E0F">
        <w:rPr>
          <w:rFonts w:ascii="Arial" w:hAnsi="Arial" w:cs="Arial"/>
          <w:sz w:val="20"/>
          <w:szCs w:val="20"/>
        </w:rPr>
        <w:t>colour</w:t>
      </w:r>
      <w:proofErr w:type="spellEnd"/>
      <w:r w:rsidRPr="00430E0F">
        <w:rPr>
          <w:rFonts w:ascii="Arial" w:hAnsi="Arial" w:cs="Arial"/>
          <w:sz w:val="20"/>
          <w:szCs w:val="20"/>
        </w:rPr>
        <w:t xml:space="preserve"> change indicates negative citrate.</w:t>
      </w:r>
    </w:p>
    <w:p w14:paraId="64C29DCB" w14:textId="77777777" w:rsidR="00CA582C" w:rsidRPr="00430E0F" w:rsidRDefault="00CA582C" w:rsidP="00CA582C">
      <w:pPr>
        <w:pStyle w:val="NoSpacing"/>
        <w:jc w:val="both"/>
        <w:rPr>
          <w:rFonts w:ascii="Arial" w:hAnsi="Arial" w:cs="Arial"/>
          <w:sz w:val="20"/>
          <w:szCs w:val="20"/>
        </w:rPr>
      </w:pPr>
    </w:p>
    <w:p w14:paraId="192C690A" w14:textId="77777777" w:rsidR="00CA582C" w:rsidRPr="00430E0F" w:rsidRDefault="00CA582C" w:rsidP="00CA582C">
      <w:pPr>
        <w:pStyle w:val="NoSpacing"/>
        <w:jc w:val="both"/>
        <w:rPr>
          <w:rFonts w:ascii="Arial" w:hAnsi="Arial" w:cs="Arial"/>
          <w:b/>
          <w:sz w:val="20"/>
          <w:szCs w:val="20"/>
        </w:rPr>
      </w:pPr>
      <w:r w:rsidRPr="00430E0F">
        <w:rPr>
          <w:rFonts w:ascii="Arial" w:hAnsi="Arial" w:cs="Arial"/>
          <w:b/>
          <w:sz w:val="20"/>
          <w:szCs w:val="20"/>
        </w:rPr>
        <w:t>2.9.5 Methyl red test</w:t>
      </w:r>
    </w:p>
    <w:p w14:paraId="57C65483" w14:textId="77777777" w:rsidR="00CA582C" w:rsidRPr="00430E0F" w:rsidRDefault="00CA582C" w:rsidP="00CA582C">
      <w:pPr>
        <w:pStyle w:val="NoSpacing"/>
        <w:jc w:val="both"/>
        <w:rPr>
          <w:rFonts w:ascii="Arial" w:hAnsi="Arial" w:cs="Arial"/>
          <w:sz w:val="20"/>
          <w:szCs w:val="20"/>
        </w:rPr>
      </w:pPr>
      <w:r w:rsidRPr="00430E0F">
        <w:rPr>
          <w:rFonts w:ascii="Arial" w:hAnsi="Arial" w:cs="Arial"/>
          <w:sz w:val="20"/>
          <w:szCs w:val="20"/>
        </w:rPr>
        <w:t xml:space="preserve">Methyl red test was used to detect which of the isolates could produce and maintain sufficiently a stable acid product from glucose fermentation. The test is usually used as an aid in the identification and differentiation of </w:t>
      </w:r>
      <w:r w:rsidRPr="00430E0F">
        <w:rPr>
          <w:rFonts w:ascii="Arial" w:hAnsi="Arial" w:cs="Arial"/>
          <w:i/>
          <w:iCs/>
          <w:sz w:val="20"/>
          <w:szCs w:val="20"/>
        </w:rPr>
        <w:t>Enterobacteriaceae</w:t>
      </w:r>
      <w:r w:rsidRPr="00430E0F">
        <w:rPr>
          <w:rFonts w:ascii="Arial" w:hAnsi="Arial" w:cs="Arial"/>
          <w:sz w:val="20"/>
          <w:szCs w:val="20"/>
        </w:rPr>
        <w:t xml:space="preserve">.  Methyl red reagent consists of 0.1 g methyl red and 300 ml of 95 % ethyl alcohol. Briefly, test tubes containing 5 </w:t>
      </w:r>
      <w:proofErr w:type="spellStart"/>
      <w:r w:rsidRPr="00430E0F">
        <w:rPr>
          <w:rFonts w:ascii="Arial" w:hAnsi="Arial" w:cs="Arial"/>
          <w:sz w:val="20"/>
          <w:szCs w:val="20"/>
        </w:rPr>
        <w:t>mls</w:t>
      </w:r>
      <w:proofErr w:type="spellEnd"/>
      <w:r w:rsidRPr="00430E0F">
        <w:rPr>
          <w:rFonts w:ascii="Arial" w:hAnsi="Arial" w:cs="Arial"/>
          <w:sz w:val="20"/>
          <w:szCs w:val="20"/>
        </w:rPr>
        <w:t xml:space="preserve"> of nutrient broth were inoculated with the test organisms and incubated for at least 48 </w:t>
      </w:r>
      <w:proofErr w:type="spellStart"/>
      <w:r w:rsidRPr="00430E0F">
        <w:rPr>
          <w:rFonts w:ascii="Arial" w:hAnsi="Arial" w:cs="Arial"/>
          <w:sz w:val="20"/>
          <w:szCs w:val="20"/>
        </w:rPr>
        <w:t>hrs</w:t>
      </w:r>
      <w:proofErr w:type="spellEnd"/>
      <w:r w:rsidRPr="00430E0F">
        <w:rPr>
          <w:rFonts w:ascii="Arial" w:hAnsi="Arial" w:cs="Arial"/>
          <w:sz w:val="20"/>
          <w:szCs w:val="20"/>
        </w:rPr>
        <w:t xml:space="preserve"> at 37 </w:t>
      </w:r>
      <w:proofErr w:type="spellStart"/>
      <w:r w:rsidRPr="00430E0F">
        <w:rPr>
          <w:rFonts w:ascii="Arial" w:hAnsi="Arial" w:cs="Arial"/>
          <w:sz w:val="20"/>
          <w:szCs w:val="20"/>
          <w:vertAlign w:val="superscript"/>
        </w:rPr>
        <w:t>o</w:t>
      </w:r>
      <w:r w:rsidRPr="00430E0F">
        <w:rPr>
          <w:rFonts w:ascii="Arial" w:hAnsi="Arial" w:cs="Arial"/>
          <w:sz w:val="20"/>
          <w:szCs w:val="20"/>
        </w:rPr>
        <w:t>C.</w:t>
      </w:r>
      <w:proofErr w:type="spellEnd"/>
      <w:r w:rsidRPr="00430E0F">
        <w:rPr>
          <w:rFonts w:ascii="Arial" w:hAnsi="Arial" w:cs="Arial"/>
          <w:sz w:val="20"/>
          <w:szCs w:val="20"/>
        </w:rPr>
        <w:t xml:space="preserve"> </w:t>
      </w:r>
      <w:r w:rsidRPr="00430E0F">
        <w:rPr>
          <w:rFonts w:ascii="Arial" w:hAnsi="Arial" w:cs="Arial"/>
          <w:sz w:val="20"/>
          <w:szCs w:val="20"/>
        </w:rPr>
        <w:lastRenderedPageBreak/>
        <w:t xml:space="preserve">Following the incubation, about 3 drops of prepared methyl red reagent were added into 5 ml of the culture. Production of a bright red </w:t>
      </w:r>
      <w:proofErr w:type="spellStart"/>
      <w:r w:rsidRPr="00430E0F">
        <w:rPr>
          <w:rFonts w:ascii="Arial" w:hAnsi="Arial" w:cs="Arial"/>
          <w:sz w:val="20"/>
          <w:szCs w:val="20"/>
        </w:rPr>
        <w:t>colour</w:t>
      </w:r>
      <w:proofErr w:type="spellEnd"/>
      <w:r w:rsidRPr="00430E0F">
        <w:rPr>
          <w:rFonts w:ascii="Arial" w:hAnsi="Arial" w:cs="Arial"/>
          <w:sz w:val="20"/>
          <w:szCs w:val="20"/>
        </w:rPr>
        <w:t xml:space="preserve"> immediately after the addition of the methyl red reagent indicated a positive </w:t>
      </w:r>
      <w:commentRangeStart w:id="5"/>
      <w:r w:rsidRPr="00430E0F">
        <w:rPr>
          <w:rFonts w:ascii="Arial" w:hAnsi="Arial" w:cs="Arial"/>
          <w:sz w:val="20"/>
          <w:szCs w:val="20"/>
        </w:rPr>
        <w:t>result</w:t>
      </w:r>
      <w:commentRangeEnd w:id="5"/>
      <w:r w:rsidR="00856154">
        <w:rPr>
          <w:rStyle w:val="CommentReference"/>
          <w:rFonts w:ascii="Helvetica" w:eastAsia="Times New Roman" w:hAnsi="Helvetica" w:cs="Times New Roman"/>
          <w:rtl/>
        </w:rPr>
        <w:commentReference w:id="5"/>
      </w:r>
      <w:r w:rsidRPr="00430E0F">
        <w:rPr>
          <w:rFonts w:ascii="Arial" w:hAnsi="Arial" w:cs="Arial"/>
          <w:sz w:val="20"/>
          <w:szCs w:val="20"/>
        </w:rPr>
        <w:t>.</w:t>
      </w:r>
    </w:p>
    <w:p w14:paraId="6EA5020D" w14:textId="77777777" w:rsidR="00CA582C" w:rsidRPr="00430E0F" w:rsidRDefault="00CA582C" w:rsidP="00CA582C">
      <w:pPr>
        <w:pStyle w:val="NoSpacing"/>
        <w:jc w:val="both"/>
        <w:rPr>
          <w:rFonts w:ascii="Arial" w:hAnsi="Arial" w:cs="Arial"/>
          <w:sz w:val="20"/>
          <w:szCs w:val="20"/>
        </w:rPr>
      </w:pPr>
    </w:p>
    <w:p w14:paraId="4B4C8C1B" w14:textId="77777777" w:rsidR="00CA582C" w:rsidRPr="00430E0F" w:rsidRDefault="00CA582C" w:rsidP="00CA582C">
      <w:pPr>
        <w:pStyle w:val="NoSpacing"/>
        <w:jc w:val="both"/>
        <w:rPr>
          <w:rFonts w:ascii="Arial" w:hAnsi="Arial" w:cs="Arial"/>
          <w:b/>
        </w:rPr>
      </w:pPr>
      <w:r w:rsidRPr="00430E0F">
        <w:rPr>
          <w:rFonts w:ascii="Arial" w:hAnsi="Arial" w:cs="Arial"/>
          <w:b/>
        </w:rPr>
        <w:t xml:space="preserve">2.10 Standardization of test inoculum </w:t>
      </w:r>
    </w:p>
    <w:p w14:paraId="52A7CA7D" w14:textId="6FB37DAC" w:rsidR="00CA582C" w:rsidRPr="00430E0F" w:rsidRDefault="00CA582C" w:rsidP="00CA582C">
      <w:pPr>
        <w:pStyle w:val="NoSpacing"/>
        <w:jc w:val="both"/>
        <w:rPr>
          <w:rFonts w:ascii="Arial" w:hAnsi="Arial" w:cs="Arial"/>
          <w:sz w:val="20"/>
          <w:szCs w:val="20"/>
        </w:rPr>
      </w:pPr>
      <w:r w:rsidRPr="00430E0F">
        <w:rPr>
          <w:rFonts w:ascii="Arial" w:hAnsi="Arial" w:cs="Arial"/>
          <w:sz w:val="20"/>
          <w:szCs w:val="20"/>
        </w:rPr>
        <w:t xml:space="preserve">Each of the isolate was standardized using </w:t>
      </w:r>
      <w:r w:rsidR="00E75430" w:rsidRPr="00430E0F">
        <w:rPr>
          <w:rFonts w:ascii="Arial" w:hAnsi="Arial" w:cs="Arial"/>
          <w:sz w:val="20"/>
          <w:szCs w:val="20"/>
        </w:rPr>
        <w:t xml:space="preserve">the </w:t>
      </w:r>
      <w:r w:rsidRPr="00430E0F">
        <w:rPr>
          <w:rFonts w:ascii="Arial" w:hAnsi="Arial" w:cs="Arial"/>
          <w:sz w:val="20"/>
          <w:szCs w:val="20"/>
        </w:rPr>
        <w:t>colony suspension method. The test organism (</w:t>
      </w:r>
      <w:r w:rsidR="00430E0F" w:rsidRPr="00430E0F">
        <w:rPr>
          <w:rFonts w:ascii="Arial" w:hAnsi="Arial" w:cs="Arial"/>
          <w:i/>
          <w:iCs/>
          <w:sz w:val="20"/>
          <w:szCs w:val="20"/>
        </w:rPr>
        <w:t>K. pneumoniae</w:t>
      </w:r>
      <w:r w:rsidRPr="00430E0F">
        <w:rPr>
          <w:rFonts w:ascii="Arial" w:hAnsi="Arial" w:cs="Arial"/>
          <w:sz w:val="20"/>
          <w:szCs w:val="20"/>
        </w:rPr>
        <w:t xml:space="preserve">) from nutrient agar plates, incubated at 37 </w:t>
      </w:r>
      <w:r w:rsidRPr="00430E0F">
        <w:rPr>
          <w:rFonts w:ascii="Arial" w:hAnsi="Arial" w:cs="Arial"/>
          <w:sz w:val="20"/>
          <w:szCs w:val="20"/>
          <w:vertAlign w:val="superscript"/>
        </w:rPr>
        <w:t>0</w:t>
      </w:r>
      <w:r w:rsidRPr="00430E0F">
        <w:rPr>
          <w:rFonts w:ascii="Arial" w:hAnsi="Arial" w:cs="Arial"/>
          <w:sz w:val="20"/>
          <w:szCs w:val="20"/>
        </w:rPr>
        <w:t>C for 24 hours was suspended in saline solution (0.85 % NaCl). The density of each isolate suspension was matched with 0.5 McFarland standards equivalent to give a resultant concentration of 1.0 × 10</w:t>
      </w:r>
      <w:r w:rsidRPr="00430E0F">
        <w:rPr>
          <w:rFonts w:ascii="Arial" w:hAnsi="Arial" w:cs="Arial"/>
          <w:sz w:val="20"/>
          <w:szCs w:val="20"/>
          <w:vertAlign w:val="superscript"/>
        </w:rPr>
        <w:t xml:space="preserve">6 </w:t>
      </w:r>
      <w:proofErr w:type="spellStart"/>
      <w:r w:rsidRPr="00430E0F">
        <w:rPr>
          <w:rFonts w:ascii="Arial" w:hAnsi="Arial" w:cs="Arial"/>
          <w:sz w:val="20"/>
          <w:szCs w:val="20"/>
        </w:rPr>
        <w:t>cfu</w:t>
      </w:r>
      <w:proofErr w:type="spellEnd"/>
      <w:r w:rsidRPr="00430E0F">
        <w:rPr>
          <w:rFonts w:ascii="Arial" w:hAnsi="Arial" w:cs="Arial"/>
          <w:sz w:val="20"/>
          <w:szCs w:val="20"/>
        </w:rPr>
        <w:t>/ml.</w:t>
      </w:r>
    </w:p>
    <w:p w14:paraId="0A0FFFB8" w14:textId="77777777" w:rsidR="00CA582C" w:rsidRPr="00430E0F" w:rsidRDefault="00CA582C" w:rsidP="00CA582C">
      <w:pPr>
        <w:pStyle w:val="NoSpacing"/>
        <w:jc w:val="both"/>
        <w:rPr>
          <w:rFonts w:ascii="Arial" w:hAnsi="Arial" w:cs="Arial"/>
          <w:sz w:val="20"/>
          <w:szCs w:val="20"/>
        </w:rPr>
      </w:pPr>
    </w:p>
    <w:p w14:paraId="22D1F54F" w14:textId="77777777" w:rsidR="00CA582C" w:rsidRPr="00430E0F" w:rsidRDefault="00CA582C" w:rsidP="00CA582C">
      <w:pPr>
        <w:pStyle w:val="NoSpacing"/>
        <w:jc w:val="both"/>
        <w:rPr>
          <w:rFonts w:ascii="Arial" w:hAnsi="Arial" w:cs="Arial"/>
          <w:sz w:val="20"/>
          <w:szCs w:val="20"/>
        </w:rPr>
      </w:pPr>
      <w:r w:rsidRPr="00430E0F">
        <w:rPr>
          <w:rStyle w:val="Strong"/>
          <w:rFonts w:ascii="Arial" w:hAnsi="Arial" w:cs="Arial"/>
        </w:rPr>
        <w:t>2.11 Assessment of Antibacterial Activity</w:t>
      </w:r>
    </w:p>
    <w:p w14:paraId="6BBCABC4" w14:textId="77777777" w:rsidR="00CA582C" w:rsidRPr="00430E0F" w:rsidRDefault="00CA582C" w:rsidP="00CA582C">
      <w:pPr>
        <w:pStyle w:val="NoSpacing"/>
        <w:jc w:val="both"/>
        <w:rPr>
          <w:rFonts w:ascii="Arial" w:hAnsi="Arial" w:cs="Arial"/>
          <w:sz w:val="20"/>
          <w:szCs w:val="20"/>
        </w:rPr>
      </w:pPr>
      <w:r w:rsidRPr="00430E0F">
        <w:rPr>
          <w:rFonts w:ascii="Arial" w:hAnsi="Arial" w:cs="Arial"/>
          <w:sz w:val="20"/>
          <w:szCs w:val="20"/>
        </w:rPr>
        <w:t xml:space="preserve">The antibacterial activity of the plant extracts was evaluated using the </w:t>
      </w:r>
      <w:r w:rsidRPr="00430E0F">
        <w:rPr>
          <w:rStyle w:val="Strong"/>
          <w:rFonts w:ascii="Arial" w:hAnsi="Arial" w:cs="Arial"/>
          <w:b w:val="0"/>
          <w:bCs w:val="0"/>
          <w:sz w:val="20"/>
          <w:szCs w:val="20"/>
        </w:rPr>
        <w:t>agar well diffusion method</w:t>
      </w:r>
      <w:r w:rsidRPr="00430E0F">
        <w:rPr>
          <w:rFonts w:ascii="Arial" w:hAnsi="Arial" w:cs="Arial"/>
          <w:sz w:val="20"/>
          <w:szCs w:val="20"/>
        </w:rPr>
        <w:t xml:space="preserve">. Mueller–Hinton agar (MHA) was aseptically dispensed into sterile Petri dishes and allowed to solidify. The surface of each Mueller-Hinton agar (MHA) plates was inoculated with </w:t>
      </w:r>
      <w:r w:rsidRPr="00430E0F">
        <w:rPr>
          <w:rStyle w:val="Strong"/>
          <w:rFonts w:ascii="Arial" w:hAnsi="Arial" w:cs="Arial"/>
          <w:b w:val="0"/>
          <w:bCs w:val="0"/>
          <w:sz w:val="20"/>
          <w:szCs w:val="20"/>
        </w:rPr>
        <w:t>0.1 ml of the standardized bacterial suspension</w:t>
      </w:r>
      <w:r w:rsidRPr="00430E0F">
        <w:rPr>
          <w:rFonts w:ascii="Arial" w:hAnsi="Arial" w:cs="Arial"/>
          <w:sz w:val="20"/>
          <w:szCs w:val="20"/>
        </w:rPr>
        <w:t xml:space="preserve"> and spread uniformly using a sterile swab stick and allowed to air dry. Sterile </w:t>
      </w:r>
      <w:proofErr w:type="spellStart"/>
      <w:r w:rsidRPr="00430E0F">
        <w:rPr>
          <w:rFonts w:ascii="Arial" w:hAnsi="Arial" w:cs="Arial"/>
          <w:sz w:val="20"/>
          <w:szCs w:val="20"/>
        </w:rPr>
        <w:t>cork</w:t>
      </w:r>
      <w:proofErr w:type="spellEnd"/>
      <w:r w:rsidRPr="00430E0F">
        <w:rPr>
          <w:rFonts w:ascii="Arial" w:hAnsi="Arial" w:cs="Arial"/>
          <w:sz w:val="20"/>
          <w:szCs w:val="20"/>
        </w:rPr>
        <w:t xml:space="preserve"> borers (6 mm in diameter) were used to punch wells into the agar medium and each well was filled with a concentration of </w:t>
      </w:r>
      <w:r w:rsidRPr="00430E0F">
        <w:rPr>
          <w:rStyle w:val="Strong"/>
          <w:rFonts w:ascii="Arial" w:hAnsi="Arial" w:cs="Arial"/>
          <w:b w:val="0"/>
          <w:bCs w:val="0"/>
          <w:sz w:val="20"/>
          <w:szCs w:val="20"/>
        </w:rPr>
        <w:t>100 µl of plant extract (aqueous, ethanol and methanol)</w:t>
      </w:r>
      <w:r w:rsidRPr="00430E0F">
        <w:rPr>
          <w:rFonts w:ascii="Arial" w:hAnsi="Arial" w:cs="Arial"/>
          <w:b/>
          <w:bCs/>
          <w:sz w:val="20"/>
          <w:szCs w:val="20"/>
        </w:rPr>
        <w:t>.</w:t>
      </w:r>
      <w:r w:rsidRPr="00430E0F">
        <w:rPr>
          <w:rFonts w:ascii="Arial" w:hAnsi="Arial" w:cs="Arial"/>
          <w:sz w:val="20"/>
          <w:szCs w:val="20"/>
        </w:rPr>
        <w:t xml:space="preserve"> The plates were left undisturbed for approximately </w:t>
      </w:r>
      <w:r w:rsidRPr="00430E0F">
        <w:rPr>
          <w:rStyle w:val="Strong"/>
          <w:rFonts w:ascii="Arial" w:hAnsi="Arial" w:cs="Arial"/>
          <w:b w:val="0"/>
          <w:bCs w:val="0"/>
          <w:sz w:val="20"/>
          <w:szCs w:val="20"/>
        </w:rPr>
        <w:t>30 minutes</w:t>
      </w:r>
      <w:r w:rsidRPr="00430E0F">
        <w:rPr>
          <w:rFonts w:ascii="Arial" w:hAnsi="Arial" w:cs="Arial"/>
          <w:sz w:val="20"/>
          <w:szCs w:val="20"/>
        </w:rPr>
        <w:t xml:space="preserve"> to allow pre-diffusion of the extracts into the medium. Thereafter, the plates were incubated at </w:t>
      </w:r>
      <w:r w:rsidRPr="00430E0F">
        <w:rPr>
          <w:rStyle w:val="Strong"/>
          <w:rFonts w:ascii="Arial" w:hAnsi="Arial" w:cs="Arial"/>
          <w:b w:val="0"/>
          <w:bCs w:val="0"/>
          <w:sz w:val="20"/>
          <w:szCs w:val="20"/>
        </w:rPr>
        <w:t>37°C for 24 hours</w:t>
      </w:r>
      <w:r w:rsidRPr="00430E0F">
        <w:rPr>
          <w:rFonts w:ascii="Arial" w:hAnsi="Arial" w:cs="Arial"/>
          <w:sz w:val="20"/>
          <w:szCs w:val="20"/>
        </w:rPr>
        <w:t xml:space="preserve">. After incubation, the plates were examined for </w:t>
      </w:r>
      <w:r w:rsidRPr="00430E0F">
        <w:rPr>
          <w:rStyle w:val="Strong"/>
          <w:rFonts w:ascii="Arial" w:hAnsi="Arial" w:cs="Arial"/>
          <w:b w:val="0"/>
          <w:bCs w:val="0"/>
          <w:sz w:val="20"/>
          <w:szCs w:val="20"/>
        </w:rPr>
        <w:t>zones of inhibition</w:t>
      </w:r>
      <w:r w:rsidRPr="00430E0F">
        <w:rPr>
          <w:rFonts w:ascii="Arial" w:hAnsi="Arial" w:cs="Arial"/>
          <w:sz w:val="20"/>
          <w:szCs w:val="20"/>
        </w:rPr>
        <w:t xml:space="preserve"> surrounding the wells. The diameters of the inhibition zones were measured in millimeters and recorded. All assays were performed in </w:t>
      </w:r>
      <w:commentRangeStart w:id="6"/>
      <w:r w:rsidRPr="00430E0F">
        <w:rPr>
          <w:rStyle w:val="Strong"/>
          <w:rFonts w:ascii="Arial" w:hAnsi="Arial" w:cs="Arial"/>
          <w:b w:val="0"/>
          <w:bCs w:val="0"/>
          <w:sz w:val="20"/>
          <w:szCs w:val="20"/>
        </w:rPr>
        <w:t>duplicate</w:t>
      </w:r>
      <w:commentRangeEnd w:id="6"/>
      <w:r w:rsidR="00856154">
        <w:rPr>
          <w:rStyle w:val="CommentReference"/>
          <w:rFonts w:ascii="Helvetica" w:eastAsia="Times New Roman" w:hAnsi="Helvetica" w:cs="Times New Roman"/>
          <w:rtl/>
        </w:rPr>
        <w:commentReference w:id="6"/>
      </w:r>
      <w:r w:rsidRPr="00430E0F">
        <w:rPr>
          <w:rFonts w:ascii="Arial" w:hAnsi="Arial" w:cs="Arial"/>
          <w:sz w:val="20"/>
          <w:szCs w:val="20"/>
        </w:rPr>
        <w:t xml:space="preserve">, and the mean values were calculated for each bacterial isolate. </w:t>
      </w:r>
      <w:r w:rsidRPr="00430E0F">
        <w:rPr>
          <w:rStyle w:val="Strong"/>
          <w:rFonts w:ascii="Arial" w:hAnsi="Arial" w:cs="Arial"/>
          <w:b w:val="0"/>
          <w:bCs w:val="0"/>
          <w:sz w:val="20"/>
          <w:szCs w:val="20"/>
        </w:rPr>
        <w:t>Ciprofloxacin</w:t>
      </w:r>
      <w:r w:rsidRPr="00430E0F">
        <w:rPr>
          <w:rFonts w:ascii="Arial" w:hAnsi="Arial" w:cs="Arial"/>
          <w:sz w:val="20"/>
          <w:szCs w:val="20"/>
        </w:rPr>
        <w:t xml:space="preserve"> was used as a standard antibiotic control.</w:t>
      </w:r>
    </w:p>
    <w:p w14:paraId="44A5FCA6" w14:textId="77777777" w:rsidR="00847541" w:rsidRPr="00430E0F" w:rsidRDefault="00847541" w:rsidP="00847541">
      <w:pPr>
        <w:pStyle w:val="AbstHead"/>
        <w:spacing w:after="0"/>
        <w:jc w:val="both"/>
        <w:rPr>
          <w:rFonts w:ascii="Arial" w:hAnsi="Arial" w:cs="Arial"/>
        </w:rPr>
      </w:pPr>
    </w:p>
    <w:p w14:paraId="2EDA3942" w14:textId="77777777" w:rsidR="00847541" w:rsidRPr="00430E0F" w:rsidRDefault="00847541" w:rsidP="00847541">
      <w:pPr>
        <w:pStyle w:val="Head1"/>
        <w:spacing w:after="0"/>
        <w:jc w:val="both"/>
        <w:rPr>
          <w:rFonts w:ascii="Arial" w:hAnsi="Arial" w:cs="Arial"/>
        </w:rPr>
      </w:pPr>
      <w:r w:rsidRPr="00430E0F">
        <w:rPr>
          <w:rFonts w:ascii="Arial" w:hAnsi="Arial" w:cs="Arial"/>
        </w:rPr>
        <w:t xml:space="preserve">3. results </w:t>
      </w:r>
    </w:p>
    <w:p w14:paraId="42A2D167" w14:textId="31FFD9E5" w:rsidR="009D1005" w:rsidRPr="009D1005" w:rsidRDefault="009D1005" w:rsidP="009D1005">
      <w:pPr>
        <w:jc w:val="both"/>
        <w:rPr>
          <w:rFonts w:ascii="Arial" w:eastAsiaTheme="minorHAnsi" w:hAnsi="Arial" w:cs="Arial"/>
          <w:b/>
          <w:i/>
          <w:iCs/>
          <w:sz w:val="22"/>
          <w:szCs w:val="22"/>
        </w:rPr>
      </w:pPr>
      <w:r w:rsidRPr="009D1005">
        <w:rPr>
          <w:rFonts w:ascii="Arial" w:eastAsiaTheme="minorHAnsi" w:hAnsi="Arial" w:cs="Arial"/>
          <w:b/>
          <w:sz w:val="22"/>
          <w:szCs w:val="22"/>
        </w:rPr>
        <w:t>3.1</w:t>
      </w:r>
      <w:r w:rsidRPr="009D1005">
        <w:rPr>
          <w:rFonts w:ascii="Arial" w:eastAsia="SimSun" w:hAnsi="Arial" w:cs="Arial"/>
          <w:b/>
          <w:sz w:val="22"/>
          <w:szCs w:val="22"/>
          <w:lang w:bidi="ar"/>
        </w:rPr>
        <w:t xml:space="preserve"> </w:t>
      </w:r>
      <w:r w:rsidRPr="009D1005">
        <w:rPr>
          <w:rFonts w:ascii="Arial" w:eastAsiaTheme="minorHAnsi" w:hAnsi="Arial" w:cs="Arial"/>
          <w:b/>
          <w:sz w:val="22"/>
          <w:szCs w:val="22"/>
        </w:rPr>
        <w:t xml:space="preserve">Morphology and Biochemical Characteristics of </w:t>
      </w:r>
      <w:r w:rsidR="00430E0F" w:rsidRPr="00430E0F">
        <w:rPr>
          <w:rFonts w:ascii="Arial" w:eastAsiaTheme="minorHAnsi" w:hAnsi="Arial" w:cs="Arial"/>
          <w:b/>
          <w:i/>
          <w:iCs/>
          <w:sz w:val="22"/>
          <w:szCs w:val="22"/>
        </w:rPr>
        <w:t>K. pneumoniae</w:t>
      </w:r>
    </w:p>
    <w:p w14:paraId="7B4830A2" w14:textId="0A0055A9" w:rsidR="009D1005" w:rsidRPr="009D1005" w:rsidRDefault="009D1005" w:rsidP="009D1005">
      <w:pPr>
        <w:jc w:val="both"/>
        <w:rPr>
          <w:rFonts w:ascii="Arial" w:eastAsiaTheme="minorHAnsi" w:hAnsi="Arial" w:cs="Arial"/>
          <w:iCs/>
        </w:rPr>
      </w:pPr>
      <w:r w:rsidRPr="009D1005">
        <w:rPr>
          <w:rFonts w:ascii="Arial" w:eastAsiaTheme="minorHAnsi" w:hAnsi="Arial" w:cs="Arial"/>
        </w:rPr>
        <w:t xml:space="preserve">The </w:t>
      </w:r>
      <w:r w:rsidR="00430E0F" w:rsidRPr="00430E0F">
        <w:rPr>
          <w:rFonts w:ascii="Arial" w:eastAsiaTheme="minorHAnsi" w:hAnsi="Arial" w:cs="Arial"/>
          <w:i/>
          <w:iCs/>
        </w:rPr>
        <w:t>K. pneumoniae</w:t>
      </w:r>
      <w:r w:rsidRPr="009D1005">
        <w:rPr>
          <w:rFonts w:ascii="Arial" w:eastAsiaTheme="minorHAnsi" w:hAnsi="Arial" w:cs="Arial"/>
        </w:rPr>
        <w:t xml:space="preserve"> </w:t>
      </w:r>
      <w:r w:rsidRPr="009D1005">
        <w:rPr>
          <w:rFonts w:ascii="Arial" w:eastAsiaTheme="minorHAnsi" w:hAnsi="Arial" w:cs="Arial"/>
          <w:iCs/>
        </w:rPr>
        <w:t>isolates produced</w:t>
      </w:r>
      <w:r w:rsidRPr="009D1005">
        <w:rPr>
          <w:rFonts w:ascii="Arial" w:eastAsiaTheme="minorHAnsi" w:hAnsi="Arial" w:cs="Arial"/>
        </w:rPr>
        <w:t xml:space="preserve"> circular mucoid entire margins on MacConkey agar. They also produced short rods in clusters and singly as viewed under the microscope. Following biochemical tests, </w:t>
      </w:r>
      <w:r w:rsidR="00430E0F" w:rsidRPr="00430E0F">
        <w:rPr>
          <w:rFonts w:ascii="Arial" w:eastAsiaTheme="minorHAnsi" w:hAnsi="Arial" w:cs="Arial"/>
          <w:i/>
          <w:iCs/>
        </w:rPr>
        <w:t>K. pneumoniae</w:t>
      </w:r>
      <w:r w:rsidRPr="009D1005">
        <w:rPr>
          <w:rFonts w:ascii="Arial" w:eastAsiaTheme="minorHAnsi" w:hAnsi="Arial" w:cs="Arial"/>
        </w:rPr>
        <w:t xml:space="preserve"> </w:t>
      </w:r>
      <w:r w:rsidRPr="009D1005">
        <w:rPr>
          <w:rFonts w:ascii="Arial" w:eastAsiaTheme="minorHAnsi" w:hAnsi="Arial" w:cs="Arial"/>
          <w:iCs/>
        </w:rPr>
        <w:t xml:space="preserve">isolates were found to be </w:t>
      </w:r>
      <w:commentRangeStart w:id="7"/>
      <w:r w:rsidRPr="009D1005">
        <w:rPr>
          <w:rFonts w:ascii="Arial" w:eastAsiaTheme="minorHAnsi" w:hAnsi="Arial" w:cs="Arial"/>
          <w:iCs/>
        </w:rPr>
        <w:t>positive</w:t>
      </w:r>
      <w:commentRangeEnd w:id="7"/>
      <w:r w:rsidR="000A1DE2">
        <w:rPr>
          <w:rStyle w:val="CommentReference"/>
          <w:rtl/>
        </w:rPr>
        <w:commentReference w:id="7"/>
      </w:r>
      <w:r w:rsidRPr="009D1005">
        <w:rPr>
          <w:rFonts w:ascii="Arial" w:eastAsiaTheme="minorHAnsi" w:hAnsi="Arial" w:cs="Arial"/>
          <w:iCs/>
        </w:rPr>
        <w:t xml:space="preserve"> for catalase and citrate, while it produces indole and oxidase negative (</w:t>
      </w:r>
      <w:r w:rsidRPr="009D1005">
        <w:rPr>
          <w:rFonts w:ascii="Arial" w:eastAsiaTheme="minorHAnsi" w:hAnsi="Arial" w:cs="Arial"/>
        </w:rPr>
        <w:t>Table 1</w:t>
      </w:r>
      <w:r w:rsidRPr="009D1005">
        <w:rPr>
          <w:rFonts w:ascii="Arial" w:eastAsiaTheme="minorHAnsi" w:hAnsi="Arial" w:cs="Arial"/>
          <w:iCs/>
        </w:rPr>
        <w:t>).</w:t>
      </w:r>
    </w:p>
    <w:p w14:paraId="1B7EBD5A" w14:textId="77777777" w:rsidR="009D1005" w:rsidRPr="009D1005" w:rsidRDefault="009D1005" w:rsidP="009D1005">
      <w:pPr>
        <w:jc w:val="both"/>
        <w:rPr>
          <w:rFonts w:ascii="Arial" w:eastAsiaTheme="minorHAnsi" w:hAnsi="Arial" w:cs="Arial"/>
        </w:rPr>
      </w:pPr>
    </w:p>
    <w:p w14:paraId="35D29FAB" w14:textId="77777777" w:rsidR="009D1005" w:rsidRPr="00430E0F" w:rsidRDefault="009D1005" w:rsidP="009D1005">
      <w:pPr>
        <w:jc w:val="both"/>
        <w:rPr>
          <w:rFonts w:ascii="Arial" w:eastAsiaTheme="minorHAnsi" w:hAnsi="Arial" w:cs="Arial"/>
          <w:b/>
        </w:rPr>
      </w:pPr>
    </w:p>
    <w:p w14:paraId="75E8CB8C" w14:textId="77777777" w:rsidR="009D1005" w:rsidRPr="00430E0F" w:rsidRDefault="009D1005" w:rsidP="009D1005">
      <w:pPr>
        <w:jc w:val="both"/>
        <w:rPr>
          <w:rFonts w:ascii="Arial" w:eastAsiaTheme="minorHAnsi" w:hAnsi="Arial" w:cs="Arial"/>
          <w:b/>
        </w:rPr>
      </w:pPr>
    </w:p>
    <w:p w14:paraId="1B78BA09" w14:textId="77777777" w:rsidR="009D1005" w:rsidRPr="00430E0F" w:rsidRDefault="009D1005" w:rsidP="009D1005">
      <w:pPr>
        <w:jc w:val="both"/>
        <w:rPr>
          <w:rFonts w:ascii="Arial" w:eastAsiaTheme="minorHAnsi" w:hAnsi="Arial" w:cs="Arial"/>
          <w:b/>
        </w:rPr>
      </w:pPr>
    </w:p>
    <w:p w14:paraId="3CCF4D28" w14:textId="77777777" w:rsidR="009D1005" w:rsidRPr="00430E0F" w:rsidRDefault="009D1005" w:rsidP="009D1005">
      <w:pPr>
        <w:jc w:val="both"/>
        <w:rPr>
          <w:rFonts w:ascii="Arial" w:eastAsiaTheme="minorHAnsi" w:hAnsi="Arial" w:cs="Arial"/>
          <w:b/>
        </w:rPr>
      </w:pPr>
    </w:p>
    <w:p w14:paraId="38F7A1D7" w14:textId="4806ED8E" w:rsidR="009D1005" w:rsidRDefault="009D1005" w:rsidP="009D1005">
      <w:pPr>
        <w:jc w:val="both"/>
        <w:rPr>
          <w:rFonts w:ascii="Arial" w:eastAsiaTheme="minorHAnsi" w:hAnsi="Arial" w:cs="Arial"/>
          <w:b/>
        </w:rPr>
      </w:pPr>
    </w:p>
    <w:p w14:paraId="4CD4291E" w14:textId="43E75263" w:rsidR="00520C8F" w:rsidRDefault="00520C8F" w:rsidP="009D1005">
      <w:pPr>
        <w:jc w:val="both"/>
        <w:rPr>
          <w:rFonts w:ascii="Arial" w:eastAsiaTheme="minorHAnsi" w:hAnsi="Arial" w:cs="Arial"/>
          <w:b/>
        </w:rPr>
      </w:pPr>
    </w:p>
    <w:p w14:paraId="1C50850C" w14:textId="64A93DAD" w:rsidR="00520C8F" w:rsidRDefault="00520C8F" w:rsidP="009D1005">
      <w:pPr>
        <w:jc w:val="both"/>
        <w:rPr>
          <w:rFonts w:ascii="Arial" w:eastAsiaTheme="minorHAnsi" w:hAnsi="Arial" w:cs="Arial"/>
          <w:b/>
        </w:rPr>
      </w:pPr>
    </w:p>
    <w:p w14:paraId="4BAFFED2" w14:textId="1D21F8A8" w:rsidR="00520C8F" w:rsidRDefault="00520C8F" w:rsidP="009D1005">
      <w:pPr>
        <w:jc w:val="both"/>
        <w:rPr>
          <w:rFonts w:ascii="Arial" w:eastAsiaTheme="minorHAnsi" w:hAnsi="Arial" w:cs="Arial"/>
          <w:b/>
        </w:rPr>
      </w:pPr>
    </w:p>
    <w:p w14:paraId="3B4D18E0" w14:textId="7EA7052E" w:rsidR="00520C8F" w:rsidRDefault="00520C8F" w:rsidP="009D1005">
      <w:pPr>
        <w:jc w:val="both"/>
        <w:rPr>
          <w:rFonts w:ascii="Arial" w:eastAsiaTheme="minorHAnsi" w:hAnsi="Arial" w:cs="Arial"/>
          <w:b/>
        </w:rPr>
      </w:pPr>
    </w:p>
    <w:p w14:paraId="687EB3D0" w14:textId="77777777" w:rsidR="00520C8F" w:rsidRPr="00430E0F" w:rsidRDefault="00520C8F" w:rsidP="009D1005">
      <w:pPr>
        <w:jc w:val="both"/>
        <w:rPr>
          <w:rFonts w:ascii="Arial" w:eastAsiaTheme="minorHAnsi" w:hAnsi="Arial" w:cs="Arial"/>
          <w:b/>
        </w:rPr>
      </w:pPr>
    </w:p>
    <w:p w14:paraId="2D6F09AE" w14:textId="77777777" w:rsidR="009D1005" w:rsidRPr="00430E0F" w:rsidRDefault="009D1005" w:rsidP="009D1005">
      <w:pPr>
        <w:jc w:val="both"/>
        <w:rPr>
          <w:rFonts w:ascii="Arial" w:eastAsiaTheme="minorHAnsi" w:hAnsi="Arial" w:cs="Arial"/>
          <w:b/>
        </w:rPr>
      </w:pPr>
    </w:p>
    <w:p w14:paraId="5338432F" w14:textId="77777777" w:rsidR="009D1005" w:rsidRPr="00430E0F" w:rsidRDefault="009D1005" w:rsidP="009D1005">
      <w:pPr>
        <w:jc w:val="both"/>
        <w:rPr>
          <w:rFonts w:ascii="Arial" w:eastAsiaTheme="minorHAnsi" w:hAnsi="Arial" w:cs="Arial"/>
          <w:b/>
        </w:rPr>
      </w:pPr>
    </w:p>
    <w:p w14:paraId="55C0BE61" w14:textId="77777777" w:rsidR="009D1005" w:rsidRPr="00430E0F" w:rsidRDefault="009D1005" w:rsidP="009D1005">
      <w:pPr>
        <w:jc w:val="both"/>
        <w:rPr>
          <w:rFonts w:ascii="Arial" w:eastAsiaTheme="minorHAnsi" w:hAnsi="Arial" w:cs="Arial"/>
          <w:b/>
        </w:rPr>
      </w:pPr>
    </w:p>
    <w:p w14:paraId="6832DAF8" w14:textId="1ED25F9C" w:rsidR="009D1005" w:rsidRPr="00430E0F" w:rsidRDefault="009D1005" w:rsidP="009D1005">
      <w:pPr>
        <w:jc w:val="both"/>
        <w:rPr>
          <w:rFonts w:ascii="Arial" w:eastAsiaTheme="minorHAnsi" w:hAnsi="Arial" w:cs="Arial"/>
          <w:b/>
          <w:i/>
          <w:iCs/>
        </w:rPr>
      </w:pPr>
      <w:r w:rsidRPr="009D1005">
        <w:rPr>
          <w:rFonts w:ascii="Arial" w:eastAsiaTheme="minorHAnsi" w:hAnsi="Arial" w:cs="Arial"/>
          <w:b/>
        </w:rPr>
        <w:t xml:space="preserve">Table 1: Morphology and Biochemical Characteristics of </w:t>
      </w:r>
      <w:r w:rsidR="00430E0F" w:rsidRPr="00430E0F">
        <w:rPr>
          <w:rFonts w:ascii="Arial" w:eastAsiaTheme="minorHAnsi" w:hAnsi="Arial" w:cs="Arial"/>
          <w:b/>
          <w:i/>
          <w:iCs/>
        </w:rPr>
        <w:t>K. pneumoniae</w:t>
      </w:r>
    </w:p>
    <w:p w14:paraId="1CFB4C5E" w14:textId="0C7DCFDA" w:rsidR="009D1005" w:rsidRPr="00430E0F" w:rsidRDefault="002D05A9" w:rsidP="009D1005">
      <w:pPr>
        <w:jc w:val="both"/>
        <w:rPr>
          <w:rFonts w:ascii="Arial" w:eastAsiaTheme="minorHAnsi" w:hAnsi="Arial" w:cs="Arial"/>
          <w:b/>
          <w:i/>
          <w:iCs/>
        </w:rPr>
      </w:pPr>
      <w:r w:rsidRPr="00430E0F">
        <w:rPr>
          <w:rFonts w:ascii="Arial" w:eastAsiaTheme="minorHAnsi" w:hAnsi="Arial" w:cs="Arial"/>
          <w:b/>
          <w:i/>
          <w:iCs/>
          <w:noProof/>
        </w:rPr>
        <mc:AlternateContent>
          <mc:Choice Requires="wps">
            <w:drawing>
              <wp:anchor distT="0" distB="0" distL="114300" distR="114300" simplePos="0" relativeHeight="251661312" behindDoc="0" locked="0" layoutInCell="1" allowOverlap="1" wp14:anchorId="1F5A1B26" wp14:editId="5966B730">
                <wp:simplePos x="0" y="0"/>
                <wp:positionH relativeFrom="column">
                  <wp:posOffset>-3810</wp:posOffset>
                </wp:positionH>
                <wp:positionV relativeFrom="paragraph">
                  <wp:posOffset>444500</wp:posOffset>
                </wp:positionV>
                <wp:extent cx="52768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52768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3E4D0E" id="Straight Connector 2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pt,35pt" to="415.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" strokecolor="black [3200]" strokeweight="1.5pt">
                <v:stroke joinstyle="miter"/>
              </v:line>
            </w:pict>
          </mc:Fallback>
        </mc:AlternateContent>
      </w:r>
      <w:r w:rsidRPr="00430E0F">
        <w:rPr>
          <w:rFonts w:ascii="Arial" w:eastAsiaTheme="minorHAnsi" w:hAnsi="Arial" w:cs="Arial"/>
          <w:b/>
          <w:i/>
          <w:iCs/>
          <w:noProof/>
        </w:rPr>
        <mc:AlternateContent>
          <mc:Choice Requires="wps">
            <w:drawing>
              <wp:anchor distT="0" distB="0" distL="114300" distR="114300" simplePos="0" relativeHeight="251659264" behindDoc="0" locked="0" layoutInCell="1" allowOverlap="1" wp14:anchorId="5940752D" wp14:editId="6AD14CCC">
                <wp:simplePos x="0" y="0"/>
                <wp:positionH relativeFrom="column">
                  <wp:posOffset>-13335</wp:posOffset>
                </wp:positionH>
                <wp:positionV relativeFrom="paragraph">
                  <wp:posOffset>139700</wp:posOffset>
                </wp:positionV>
                <wp:extent cx="527685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52768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BE7EDB" id="Straight Connector 2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11pt" to="414.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" strokecolor="black [3200]" strokeweight="1.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1583"/>
        <w:gridCol w:w="765"/>
        <w:gridCol w:w="557"/>
        <w:gridCol w:w="913"/>
        <w:gridCol w:w="1043"/>
        <w:gridCol w:w="873"/>
        <w:gridCol w:w="1400"/>
      </w:tblGrid>
      <w:tr w:rsidR="00430E0F" w:rsidRPr="00430E0F" w14:paraId="487C02B5" w14:textId="77777777" w:rsidTr="002D05A9">
        <w:tc>
          <w:tcPr>
            <w:tcW w:w="1188" w:type="dxa"/>
          </w:tcPr>
          <w:p w14:paraId="2351CA37" w14:textId="51568A0C" w:rsidR="009D1005" w:rsidRPr="00430E0F" w:rsidRDefault="009D1005" w:rsidP="00116313">
            <w:pPr>
              <w:pStyle w:val="NoSpacing"/>
              <w:jc w:val="both"/>
              <w:rPr>
                <w:rFonts w:ascii="Arial" w:hAnsi="Arial" w:cs="Arial"/>
                <w:b/>
                <w:bCs/>
                <w:sz w:val="20"/>
                <w:szCs w:val="20"/>
              </w:rPr>
            </w:pPr>
            <w:bookmarkStart w:id="8" w:name="_Hlk217875522"/>
            <w:r w:rsidRPr="00430E0F">
              <w:rPr>
                <w:rFonts w:ascii="Arial" w:hAnsi="Arial" w:cs="Arial"/>
                <w:b/>
                <w:bCs/>
                <w:sz w:val="20"/>
                <w:szCs w:val="20"/>
              </w:rPr>
              <w:t xml:space="preserve">Bacterial isolate </w:t>
            </w:r>
          </w:p>
        </w:tc>
        <w:tc>
          <w:tcPr>
            <w:tcW w:w="3430" w:type="dxa"/>
          </w:tcPr>
          <w:p w14:paraId="13C77208" w14:textId="77777777" w:rsidR="009D1005" w:rsidRPr="00430E0F" w:rsidRDefault="009D1005" w:rsidP="00116313">
            <w:pPr>
              <w:pStyle w:val="NoSpacing"/>
              <w:jc w:val="both"/>
              <w:rPr>
                <w:rFonts w:ascii="Arial" w:hAnsi="Arial" w:cs="Arial"/>
                <w:b/>
                <w:bCs/>
                <w:sz w:val="20"/>
                <w:szCs w:val="20"/>
              </w:rPr>
            </w:pPr>
            <w:r w:rsidRPr="00430E0F">
              <w:rPr>
                <w:rFonts w:ascii="Arial" w:hAnsi="Arial" w:cs="Arial"/>
                <w:b/>
                <w:bCs/>
                <w:sz w:val="20"/>
                <w:szCs w:val="20"/>
              </w:rPr>
              <w:t>Morphology</w:t>
            </w:r>
          </w:p>
        </w:tc>
        <w:tc>
          <w:tcPr>
            <w:tcW w:w="980" w:type="dxa"/>
          </w:tcPr>
          <w:p w14:paraId="656E6369" w14:textId="77777777" w:rsidR="009D1005" w:rsidRPr="00430E0F" w:rsidRDefault="009D1005" w:rsidP="00116313">
            <w:pPr>
              <w:pStyle w:val="NoSpacing"/>
              <w:jc w:val="both"/>
              <w:rPr>
                <w:rFonts w:ascii="Arial" w:hAnsi="Arial" w:cs="Arial"/>
                <w:b/>
                <w:bCs/>
                <w:sz w:val="20"/>
                <w:szCs w:val="20"/>
              </w:rPr>
            </w:pPr>
            <w:r w:rsidRPr="00430E0F">
              <w:rPr>
                <w:rFonts w:ascii="Arial" w:hAnsi="Arial" w:cs="Arial"/>
                <w:b/>
                <w:bCs/>
                <w:sz w:val="20"/>
                <w:szCs w:val="20"/>
              </w:rPr>
              <w:t>Gram Stain</w:t>
            </w:r>
          </w:p>
        </w:tc>
        <w:tc>
          <w:tcPr>
            <w:tcW w:w="1170" w:type="dxa"/>
          </w:tcPr>
          <w:p w14:paraId="56E8B06C" w14:textId="77777777" w:rsidR="009D1005" w:rsidRPr="00430E0F" w:rsidRDefault="009D1005" w:rsidP="00116313">
            <w:pPr>
              <w:pStyle w:val="NoSpacing"/>
              <w:jc w:val="both"/>
              <w:rPr>
                <w:rFonts w:ascii="Arial" w:hAnsi="Arial" w:cs="Arial"/>
                <w:b/>
                <w:bCs/>
                <w:sz w:val="20"/>
                <w:szCs w:val="20"/>
              </w:rPr>
            </w:pPr>
            <w:r w:rsidRPr="00430E0F">
              <w:rPr>
                <w:rFonts w:ascii="Arial" w:hAnsi="Arial" w:cs="Arial"/>
                <w:b/>
                <w:bCs/>
                <w:sz w:val="20"/>
                <w:szCs w:val="20"/>
              </w:rPr>
              <w:t>CT</w:t>
            </w:r>
          </w:p>
        </w:tc>
        <w:tc>
          <w:tcPr>
            <w:tcW w:w="1440" w:type="dxa"/>
          </w:tcPr>
          <w:p w14:paraId="37C5140C" w14:textId="77777777" w:rsidR="009D1005" w:rsidRPr="00430E0F" w:rsidRDefault="009D1005" w:rsidP="00116313">
            <w:pPr>
              <w:pStyle w:val="NoSpacing"/>
              <w:jc w:val="both"/>
              <w:rPr>
                <w:rFonts w:ascii="Arial" w:hAnsi="Arial" w:cs="Arial"/>
                <w:b/>
                <w:bCs/>
                <w:sz w:val="20"/>
                <w:szCs w:val="20"/>
              </w:rPr>
            </w:pPr>
            <w:r w:rsidRPr="00430E0F">
              <w:rPr>
                <w:rFonts w:ascii="Arial" w:hAnsi="Arial" w:cs="Arial"/>
                <w:b/>
                <w:bCs/>
                <w:sz w:val="20"/>
                <w:szCs w:val="20"/>
              </w:rPr>
              <w:t>Citrate</w:t>
            </w:r>
          </w:p>
          <w:p w14:paraId="1E9EF105" w14:textId="77777777" w:rsidR="009D1005" w:rsidRPr="00430E0F" w:rsidRDefault="009D1005" w:rsidP="00116313">
            <w:pPr>
              <w:pStyle w:val="NoSpacing"/>
              <w:jc w:val="both"/>
              <w:rPr>
                <w:rFonts w:ascii="Arial" w:hAnsi="Arial" w:cs="Arial"/>
                <w:b/>
                <w:bCs/>
                <w:sz w:val="20"/>
                <w:szCs w:val="20"/>
              </w:rPr>
            </w:pPr>
            <w:r w:rsidRPr="00430E0F">
              <w:rPr>
                <w:rFonts w:ascii="Arial" w:hAnsi="Arial" w:cs="Arial"/>
                <w:b/>
                <w:bCs/>
                <w:sz w:val="20"/>
                <w:szCs w:val="20"/>
              </w:rPr>
              <w:t>Test</w:t>
            </w:r>
          </w:p>
        </w:tc>
        <w:tc>
          <w:tcPr>
            <w:tcW w:w="1440" w:type="dxa"/>
          </w:tcPr>
          <w:p w14:paraId="52910C6E" w14:textId="77777777" w:rsidR="009D1005" w:rsidRPr="00430E0F" w:rsidRDefault="009D1005" w:rsidP="00116313">
            <w:pPr>
              <w:pStyle w:val="NoSpacing"/>
              <w:jc w:val="both"/>
              <w:rPr>
                <w:rFonts w:ascii="Arial" w:hAnsi="Arial" w:cs="Arial"/>
                <w:b/>
                <w:bCs/>
                <w:sz w:val="20"/>
                <w:szCs w:val="20"/>
              </w:rPr>
            </w:pPr>
            <w:r w:rsidRPr="00430E0F">
              <w:rPr>
                <w:rFonts w:ascii="Arial" w:hAnsi="Arial" w:cs="Arial"/>
                <w:b/>
                <w:bCs/>
                <w:sz w:val="20"/>
                <w:szCs w:val="20"/>
              </w:rPr>
              <w:t>Oxidase Test</w:t>
            </w:r>
          </w:p>
        </w:tc>
        <w:tc>
          <w:tcPr>
            <w:tcW w:w="1440" w:type="dxa"/>
          </w:tcPr>
          <w:p w14:paraId="2196B9F8" w14:textId="77777777" w:rsidR="009D1005" w:rsidRPr="00430E0F" w:rsidRDefault="009D1005" w:rsidP="00116313">
            <w:pPr>
              <w:pStyle w:val="NoSpacing"/>
              <w:jc w:val="both"/>
              <w:rPr>
                <w:rFonts w:ascii="Arial" w:hAnsi="Arial" w:cs="Arial"/>
                <w:b/>
                <w:bCs/>
                <w:sz w:val="20"/>
                <w:szCs w:val="20"/>
              </w:rPr>
            </w:pPr>
            <w:r w:rsidRPr="00430E0F">
              <w:rPr>
                <w:rFonts w:ascii="Arial" w:hAnsi="Arial" w:cs="Arial"/>
                <w:b/>
                <w:bCs/>
                <w:sz w:val="20"/>
                <w:szCs w:val="20"/>
              </w:rPr>
              <w:t xml:space="preserve">Indole </w:t>
            </w:r>
          </w:p>
          <w:p w14:paraId="2E69290D" w14:textId="77777777" w:rsidR="009D1005" w:rsidRPr="00430E0F" w:rsidRDefault="009D1005" w:rsidP="00116313">
            <w:pPr>
              <w:pStyle w:val="NoSpacing"/>
              <w:jc w:val="both"/>
              <w:rPr>
                <w:rFonts w:ascii="Arial" w:hAnsi="Arial" w:cs="Arial"/>
                <w:b/>
                <w:bCs/>
                <w:sz w:val="20"/>
                <w:szCs w:val="20"/>
              </w:rPr>
            </w:pPr>
            <w:r w:rsidRPr="00430E0F">
              <w:rPr>
                <w:rFonts w:ascii="Arial" w:hAnsi="Arial" w:cs="Arial"/>
                <w:b/>
                <w:bCs/>
                <w:sz w:val="20"/>
                <w:szCs w:val="20"/>
              </w:rPr>
              <w:t>Test</w:t>
            </w:r>
          </w:p>
        </w:tc>
        <w:tc>
          <w:tcPr>
            <w:tcW w:w="2088" w:type="dxa"/>
          </w:tcPr>
          <w:p w14:paraId="135895EB" w14:textId="77777777" w:rsidR="009D1005" w:rsidRPr="00430E0F" w:rsidRDefault="009D1005" w:rsidP="00116313">
            <w:pPr>
              <w:pStyle w:val="NoSpacing"/>
              <w:jc w:val="both"/>
              <w:rPr>
                <w:rFonts w:ascii="Arial" w:hAnsi="Arial" w:cs="Arial"/>
                <w:b/>
                <w:bCs/>
                <w:sz w:val="20"/>
                <w:szCs w:val="20"/>
              </w:rPr>
            </w:pPr>
            <w:r w:rsidRPr="00430E0F">
              <w:rPr>
                <w:rFonts w:ascii="Arial" w:hAnsi="Arial" w:cs="Arial"/>
                <w:b/>
                <w:bCs/>
                <w:sz w:val="20"/>
                <w:szCs w:val="20"/>
              </w:rPr>
              <w:t>Possible Isolate</w:t>
            </w:r>
          </w:p>
        </w:tc>
      </w:tr>
      <w:tr w:rsidR="00430E0F" w:rsidRPr="00430E0F" w14:paraId="27A56208" w14:textId="77777777" w:rsidTr="002D05A9">
        <w:trPr>
          <w:trHeight w:val="1790"/>
        </w:trPr>
        <w:tc>
          <w:tcPr>
            <w:tcW w:w="1188" w:type="dxa"/>
          </w:tcPr>
          <w:p w14:paraId="5880A548" w14:textId="7586C2C6" w:rsidR="009D1005" w:rsidRPr="00430E0F" w:rsidRDefault="009D1005" w:rsidP="00116313">
            <w:pPr>
              <w:pStyle w:val="NoSpacing"/>
              <w:jc w:val="both"/>
              <w:rPr>
                <w:rFonts w:ascii="Arial" w:hAnsi="Arial" w:cs="Arial"/>
                <w:sz w:val="20"/>
                <w:szCs w:val="20"/>
              </w:rPr>
            </w:pPr>
          </w:p>
          <w:p w14:paraId="5A519897" w14:textId="44787FAB" w:rsidR="009D1005" w:rsidRPr="00430E0F" w:rsidRDefault="002D05A9" w:rsidP="00116313">
            <w:pPr>
              <w:pStyle w:val="NoSpacing"/>
              <w:jc w:val="both"/>
              <w:rPr>
                <w:rFonts w:ascii="Arial" w:hAnsi="Arial" w:cs="Arial"/>
                <w:sz w:val="20"/>
                <w:szCs w:val="20"/>
              </w:rPr>
            </w:pPr>
            <w:r w:rsidRPr="00430E0F">
              <w:rPr>
                <w:rFonts w:ascii="Arial" w:hAnsi="Arial" w:cs="Arial"/>
                <w:b/>
                <w:i/>
                <w:iCs/>
                <w:noProof/>
              </w:rPr>
              <mc:AlternateContent>
                <mc:Choice Requires="wps">
                  <w:drawing>
                    <wp:anchor distT="0" distB="0" distL="114300" distR="114300" simplePos="0" relativeHeight="251663360" behindDoc="0" locked="0" layoutInCell="1" allowOverlap="1" wp14:anchorId="53CC38E6" wp14:editId="1EE4B32A">
                      <wp:simplePos x="0" y="0"/>
                      <wp:positionH relativeFrom="column">
                        <wp:posOffset>-66040</wp:posOffset>
                      </wp:positionH>
                      <wp:positionV relativeFrom="paragraph">
                        <wp:posOffset>1304925</wp:posOffset>
                      </wp:positionV>
                      <wp:extent cx="527685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52768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D66DC2" id="Straight Connector 2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2pt,102.75pt" to="410.3pt,1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" strokecolor="black [3200]" strokeweight="1.5pt">
                      <v:stroke joinstyle="miter"/>
                    </v:line>
                  </w:pict>
                </mc:Fallback>
              </mc:AlternateContent>
            </w:r>
            <w:r w:rsidR="009D1005" w:rsidRPr="00430E0F">
              <w:rPr>
                <w:rFonts w:ascii="Arial" w:hAnsi="Arial" w:cs="Arial"/>
                <w:sz w:val="20"/>
                <w:szCs w:val="20"/>
              </w:rPr>
              <w:t>K</w:t>
            </w:r>
            <w:r w:rsidRPr="00430E0F">
              <w:rPr>
                <w:rFonts w:ascii="Arial" w:hAnsi="Arial" w:cs="Arial"/>
                <w:sz w:val="20"/>
                <w:szCs w:val="20"/>
              </w:rPr>
              <w:t>1-K5</w:t>
            </w:r>
          </w:p>
        </w:tc>
        <w:tc>
          <w:tcPr>
            <w:tcW w:w="3430" w:type="dxa"/>
          </w:tcPr>
          <w:p w14:paraId="0757C61B" w14:textId="77777777" w:rsidR="009D1005" w:rsidRPr="00430E0F" w:rsidRDefault="009D1005" w:rsidP="00116313">
            <w:pPr>
              <w:pStyle w:val="NoSpacing"/>
              <w:jc w:val="both"/>
              <w:rPr>
                <w:rFonts w:ascii="Arial" w:hAnsi="Arial" w:cs="Arial"/>
                <w:sz w:val="20"/>
                <w:szCs w:val="20"/>
              </w:rPr>
            </w:pPr>
          </w:p>
          <w:p w14:paraId="4D57A6D7" w14:textId="77777777" w:rsidR="009D1005" w:rsidRPr="00430E0F" w:rsidRDefault="009D1005" w:rsidP="00116313">
            <w:pPr>
              <w:pStyle w:val="NoSpacing"/>
              <w:jc w:val="both"/>
              <w:rPr>
                <w:rFonts w:ascii="Arial" w:hAnsi="Arial" w:cs="Arial"/>
                <w:sz w:val="20"/>
                <w:szCs w:val="20"/>
              </w:rPr>
            </w:pPr>
            <w:r w:rsidRPr="00430E0F">
              <w:rPr>
                <w:rFonts w:ascii="Arial" w:hAnsi="Arial" w:cs="Arial"/>
                <w:sz w:val="20"/>
                <w:szCs w:val="20"/>
              </w:rPr>
              <w:t>Rod shaped, colonies are whitish, circular with mucoid entire margins and translucent. convex, smooth</w:t>
            </w:r>
          </w:p>
        </w:tc>
        <w:tc>
          <w:tcPr>
            <w:tcW w:w="980" w:type="dxa"/>
          </w:tcPr>
          <w:p w14:paraId="36A86650" w14:textId="77777777" w:rsidR="009D1005" w:rsidRPr="00430E0F" w:rsidRDefault="009D1005" w:rsidP="00116313">
            <w:pPr>
              <w:pStyle w:val="NoSpacing"/>
              <w:jc w:val="both"/>
              <w:rPr>
                <w:rFonts w:ascii="Arial" w:hAnsi="Arial" w:cs="Arial"/>
                <w:sz w:val="20"/>
                <w:szCs w:val="20"/>
              </w:rPr>
            </w:pPr>
          </w:p>
          <w:p w14:paraId="7569ED97" w14:textId="77777777" w:rsidR="009D1005" w:rsidRPr="00430E0F" w:rsidRDefault="009D1005" w:rsidP="00116313">
            <w:pPr>
              <w:pStyle w:val="NoSpacing"/>
              <w:jc w:val="both"/>
              <w:rPr>
                <w:rFonts w:ascii="Arial" w:hAnsi="Arial" w:cs="Arial"/>
                <w:sz w:val="20"/>
                <w:szCs w:val="20"/>
              </w:rPr>
            </w:pPr>
            <w:r w:rsidRPr="00430E0F">
              <w:rPr>
                <w:rFonts w:ascii="Arial" w:hAnsi="Arial" w:cs="Arial"/>
                <w:sz w:val="20"/>
                <w:szCs w:val="20"/>
              </w:rPr>
              <w:t>-</w:t>
            </w:r>
          </w:p>
        </w:tc>
        <w:tc>
          <w:tcPr>
            <w:tcW w:w="1170" w:type="dxa"/>
          </w:tcPr>
          <w:p w14:paraId="7BCCB496" w14:textId="77777777" w:rsidR="009D1005" w:rsidRPr="00430E0F" w:rsidRDefault="009D1005" w:rsidP="00116313">
            <w:pPr>
              <w:pStyle w:val="NoSpacing"/>
              <w:jc w:val="both"/>
              <w:rPr>
                <w:rFonts w:ascii="Arial" w:hAnsi="Arial" w:cs="Arial"/>
                <w:sz w:val="20"/>
                <w:szCs w:val="20"/>
              </w:rPr>
            </w:pPr>
          </w:p>
          <w:p w14:paraId="7738CCB5" w14:textId="77777777" w:rsidR="009D1005" w:rsidRPr="00430E0F" w:rsidRDefault="009D1005" w:rsidP="00116313">
            <w:pPr>
              <w:pStyle w:val="NoSpacing"/>
              <w:jc w:val="both"/>
              <w:rPr>
                <w:rFonts w:ascii="Arial" w:hAnsi="Arial" w:cs="Arial"/>
                <w:sz w:val="20"/>
                <w:szCs w:val="20"/>
              </w:rPr>
            </w:pPr>
            <w:r w:rsidRPr="00430E0F">
              <w:rPr>
                <w:rFonts w:ascii="Arial" w:hAnsi="Arial" w:cs="Arial"/>
                <w:sz w:val="20"/>
                <w:szCs w:val="20"/>
              </w:rPr>
              <w:t>+</w:t>
            </w:r>
          </w:p>
        </w:tc>
        <w:tc>
          <w:tcPr>
            <w:tcW w:w="1440" w:type="dxa"/>
          </w:tcPr>
          <w:p w14:paraId="59124373" w14:textId="77777777" w:rsidR="009D1005" w:rsidRPr="00430E0F" w:rsidRDefault="009D1005" w:rsidP="00116313">
            <w:pPr>
              <w:pStyle w:val="NoSpacing"/>
              <w:jc w:val="both"/>
              <w:rPr>
                <w:rFonts w:ascii="Arial" w:hAnsi="Arial" w:cs="Arial"/>
                <w:sz w:val="20"/>
                <w:szCs w:val="20"/>
              </w:rPr>
            </w:pPr>
          </w:p>
          <w:p w14:paraId="2CB26AD2" w14:textId="77777777" w:rsidR="009D1005" w:rsidRPr="00430E0F" w:rsidRDefault="009D1005" w:rsidP="00116313">
            <w:pPr>
              <w:pStyle w:val="NoSpacing"/>
              <w:jc w:val="both"/>
              <w:rPr>
                <w:rFonts w:ascii="Arial" w:hAnsi="Arial" w:cs="Arial"/>
                <w:sz w:val="20"/>
                <w:szCs w:val="20"/>
              </w:rPr>
            </w:pPr>
            <w:r w:rsidRPr="00430E0F">
              <w:rPr>
                <w:rFonts w:ascii="Arial" w:hAnsi="Arial" w:cs="Arial"/>
                <w:sz w:val="20"/>
                <w:szCs w:val="20"/>
              </w:rPr>
              <w:t>+</w:t>
            </w:r>
          </w:p>
        </w:tc>
        <w:tc>
          <w:tcPr>
            <w:tcW w:w="1440" w:type="dxa"/>
          </w:tcPr>
          <w:p w14:paraId="53B8BE2C" w14:textId="77777777" w:rsidR="009D1005" w:rsidRPr="00430E0F" w:rsidRDefault="009D1005" w:rsidP="00116313">
            <w:pPr>
              <w:pStyle w:val="NoSpacing"/>
              <w:jc w:val="both"/>
              <w:rPr>
                <w:rFonts w:ascii="Arial" w:hAnsi="Arial" w:cs="Arial"/>
                <w:sz w:val="20"/>
                <w:szCs w:val="20"/>
              </w:rPr>
            </w:pPr>
          </w:p>
          <w:p w14:paraId="71648D8D" w14:textId="77777777" w:rsidR="009D1005" w:rsidRPr="00430E0F" w:rsidRDefault="009D1005" w:rsidP="00116313">
            <w:pPr>
              <w:pStyle w:val="NoSpacing"/>
              <w:jc w:val="both"/>
              <w:rPr>
                <w:rFonts w:ascii="Arial" w:hAnsi="Arial" w:cs="Arial"/>
                <w:sz w:val="20"/>
                <w:szCs w:val="20"/>
              </w:rPr>
            </w:pPr>
            <w:r w:rsidRPr="00430E0F">
              <w:rPr>
                <w:rFonts w:ascii="Arial" w:hAnsi="Arial" w:cs="Arial"/>
                <w:sz w:val="20"/>
                <w:szCs w:val="20"/>
              </w:rPr>
              <w:t>-</w:t>
            </w:r>
          </w:p>
        </w:tc>
        <w:tc>
          <w:tcPr>
            <w:tcW w:w="1440" w:type="dxa"/>
          </w:tcPr>
          <w:p w14:paraId="399745D2" w14:textId="77777777" w:rsidR="009D1005" w:rsidRPr="00430E0F" w:rsidRDefault="009D1005" w:rsidP="00116313">
            <w:pPr>
              <w:pStyle w:val="NoSpacing"/>
              <w:jc w:val="both"/>
              <w:rPr>
                <w:rFonts w:ascii="Arial" w:hAnsi="Arial" w:cs="Arial"/>
                <w:sz w:val="20"/>
                <w:szCs w:val="20"/>
              </w:rPr>
            </w:pPr>
          </w:p>
          <w:p w14:paraId="7B5E5CD5" w14:textId="77777777" w:rsidR="009D1005" w:rsidRPr="00430E0F" w:rsidRDefault="009D1005" w:rsidP="00116313">
            <w:pPr>
              <w:pStyle w:val="NoSpacing"/>
              <w:jc w:val="both"/>
              <w:rPr>
                <w:rFonts w:ascii="Arial" w:hAnsi="Arial" w:cs="Arial"/>
                <w:sz w:val="20"/>
                <w:szCs w:val="20"/>
              </w:rPr>
            </w:pPr>
            <w:r w:rsidRPr="00430E0F">
              <w:rPr>
                <w:rFonts w:ascii="Arial" w:hAnsi="Arial" w:cs="Arial"/>
                <w:sz w:val="20"/>
                <w:szCs w:val="20"/>
              </w:rPr>
              <w:t>-</w:t>
            </w:r>
          </w:p>
        </w:tc>
        <w:tc>
          <w:tcPr>
            <w:tcW w:w="2088" w:type="dxa"/>
          </w:tcPr>
          <w:p w14:paraId="6E1C4585" w14:textId="77777777" w:rsidR="009D1005" w:rsidRPr="00430E0F" w:rsidRDefault="009D1005" w:rsidP="00116313">
            <w:pPr>
              <w:pStyle w:val="NoSpacing"/>
              <w:jc w:val="both"/>
              <w:rPr>
                <w:rFonts w:ascii="Arial" w:hAnsi="Arial" w:cs="Arial"/>
                <w:i/>
                <w:iCs/>
                <w:sz w:val="20"/>
                <w:szCs w:val="20"/>
              </w:rPr>
            </w:pPr>
          </w:p>
          <w:p w14:paraId="4DA4001E" w14:textId="3B690572" w:rsidR="009D1005" w:rsidRPr="00430E0F" w:rsidRDefault="00430E0F" w:rsidP="00116313">
            <w:pPr>
              <w:pStyle w:val="NoSpacing"/>
              <w:jc w:val="both"/>
              <w:rPr>
                <w:rFonts w:ascii="Arial" w:hAnsi="Arial" w:cs="Arial"/>
                <w:sz w:val="20"/>
                <w:szCs w:val="20"/>
              </w:rPr>
            </w:pPr>
            <w:r w:rsidRPr="00430E0F">
              <w:rPr>
                <w:rFonts w:ascii="Arial" w:hAnsi="Arial" w:cs="Arial"/>
                <w:i/>
                <w:iCs/>
                <w:sz w:val="20"/>
                <w:szCs w:val="20"/>
              </w:rPr>
              <w:t>K. pneumoniae</w:t>
            </w:r>
            <w:r w:rsidR="009D1005" w:rsidRPr="00430E0F">
              <w:rPr>
                <w:rFonts w:ascii="Arial" w:hAnsi="Arial" w:cs="Arial"/>
                <w:sz w:val="20"/>
                <w:szCs w:val="20"/>
              </w:rPr>
              <w:t xml:space="preserve"> </w:t>
            </w:r>
          </w:p>
        </w:tc>
      </w:tr>
      <w:bookmarkEnd w:id="8"/>
    </w:tbl>
    <w:p w14:paraId="05AFB98A" w14:textId="7E118BA4" w:rsidR="009D1005" w:rsidRPr="009D1005" w:rsidRDefault="009D1005" w:rsidP="002D05A9">
      <w:pPr>
        <w:jc w:val="both"/>
        <w:rPr>
          <w:rFonts w:ascii="Arial" w:eastAsiaTheme="minorHAnsi" w:hAnsi="Arial" w:cs="Arial"/>
          <w:bCs/>
        </w:rPr>
      </w:pPr>
    </w:p>
    <w:p w14:paraId="4E79091B" w14:textId="4D6008C3" w:rsidR="002D05A9" w:rsidRPr="00430E0F" w:rsidRDefault="002D05A9" w:rsidP="002D05A9">
      <w:pPr>
        <w:pStyle w:val="NoSpacing"/>
        <w:jc w:val="both"/>
        <w:rPr>
          <w:rFonts w:ascii="Arial" w:hAnsi="Arial" w:cs="Arial"/>
          <w:sz w:val="20"/>
          <w:szCs w:val="20"/>
        </w:rPr>
      </w:pPr>
      <w:r w:rsidRPr="00430E0F">
        <w:rPr>
          <w:rFonts w:ascii="Arial" w:hAnsi="Arial" w:cs="Arial"/>
          <w:sz w:val="20"/>
          <w:szCs w:val="20"/>
        </w:rPr>
        <w:t xml:space="preserve">Keys: K = </w:t>
      </w:r>
      <w:r w:rsidR="00430E0F" w:rsidRPr="00430E0F">
        <w:rPr>
          <w:rFonts w:ascii="Arial" w:hAnsi="Arial" w:cs="Arial"/>
          <w:i/>
          <w:iCs/>
          <w:sz w:val="20"/>
          <w:szCs w:val="20"/>
        </w:rPr>
        <w:t>K. pneumoniae</w:t>
      </w:r>
      <w:r w:rsidRPr="00430E0F">
        <w:rPr>
          <w:rFonts w:ascii="Arial" w:hAnsi="Arial" w:cs="Arial"/>
          <w:iCs/>
          <w:sz w:val="20"/>
          <w:szCs w:val="20"/>
        </w:rPr>
        <w:t>; CT=</w:t>
      </w:r>
      <w:r w:rsidRPr="00430E0F">
        <w:rPr>
          <w:rFonts w:ascii="Arial" w:hAnsi="Arial" w:cs="Arial"/>
          <w:sz w:val="20"/>
          <w:szCs w:val="20"/>
        </w:rPr>
        <w:t>Catalase Test; (+) = Positive; (-) = Negative.</w:t>
      </w:r>
    </w:p>
    <w:p w14:paraId="04D3615C" w14:textId="77777777" w:rsidR="00847541" w:rsidRPr="00430E0F" w:rsidRDefault="00847541" w:rsidP="002D05A9">
      <w:pPr>
        <w:pStyle w:val="NoSpacing"/>
        <w:jc w:val="both"/>
        <w:rPr>
          <w:rFonts w:ascii="Arial" w:hAnsi="Arial" w:cs="Arial"/>
          <w:b/>
          <w:sz w:val="20"/>
          <w:szCs w:val="20"/>
        </w:rPr>
      </w:pPr>
    </w:p>
    <w:p w14:paraId="184CC812" w14:textId="77777777" w:rsidR="002D05A9" w:rsidRPr="00430E0F" w:rsidRDefault="002D05A9" w:rsidP="002D05A9">
      <w:pPr>
        <w:pStyle w:val="NoSpacing"/>
        <w:jc w:val="both"/>
        <w:rPr>
          <w:rFonts w:ascii="Arial" w:hAnsi="Arial" w:cs="Arial"/>
          <w:b/>
        </w:rPr>
      </w:pPr>
      <w:r w:rsidRPr="00430E0F">
        <w:rPr>
          <w:rFonts w:ascii="Arial" w:hAnsi="Arial" w:cs="Arial"/>
          <w:b/>
        </w:rPr>
        <w:t xml:space="preserve">3.2 Qualitative Phytochemical Screening of the Aqueous, Ethanol and Methanol Leaves Extracts of </w:t>
      </w:r>
      <w:r w:rsidRPr="00430E0F">
        <w:rPr>
          <w:rFonts w:ascii="Arial" w:hAnsi="Arial" w:cs="Arial"/>
          <w:b/>
          <w:i/>
          <w:iCs/>
        </w:rPr>
        <w:t>Psidium guajava</w:t>
      </w:r>
      <w:r w:rsidRPr="00430E0F">
        <w:rPr>
          <w:rFonts w:ascii="Arial" w:hAnsi="Arial" w:cs="Arial"/>
          <w:b/>
        </w:rPr>
        <w:t xml:space="preserve"> </w:t>
      </w:r>
    </w:p>
    <w:p w14:paraId="54A42744" w14:textId="77777777" w:rsidR="002D05A9" w:rsidRPr="00430E0F" w:rsidRDefault="002D05A9" w:rsidP="002D05A9">
      <w:pPr>
        <w:pStyle w:val="NoSpacing"/>
        <w:jc w:val="both"/>
        <w:rPr>
          <w:rFonts w:ascii="Arial" w:hAnsi="Arial" w:cs="Arial"/>
          <w:sz w:val="20"/>
          <w:szCs w:val="20"/>
        </w:rPr>
      </w:pPr>
      <w:r w:rsidRPr="00430E0F">
        <w:rPr>
          <w:rFonts w:ascii="Arial" w:hAnsi="Arial" w:cs="Arial"/>
          <w:sz w:val="20"/>
          <w:szCs w:val="20"/>
        </w:rPr>
        <w:t xml:space="preserve">Phytochemical analysis of the aqueous, ethanol, and methanol extracts of </w:t>
      </w:r>
      <w:r w:rsidRPr="00430E0F">
        <w:rPr>
          <w:rFonts w:ascii="Arial" w:hAnsi="Arial" w:cs="Arial"/>
          <w:i/>
          <w:iCs/>
          <w:sz w:val="20"/>
          <w:szCs w:val="20"/>
        </w:rPr>
        <w:t>Psidium guajava</w:t>
      </w:r>
      <w:r w:rsidRPr="00430E0F">
        <w:rPr>
          <w:rFonts w:ascii="Arial" w:hAnsi="Arial" w:cs="Arial"/>
          <w:sz w:val="20"/>
          <w:szCs w:val="20"/>
        </w:rPr>
        <w:t xml:space="preserve"> leaves revealed the presence of several key secondary metabolites, with differences in their levels depending on the solvent used. Tannins were abundantly present (++) in all extracts, showing that they can be efficiently extracted using both polar (water) and organic solvents. Saponins were detected at low levels (+) across all solvents, indicating a consistent but limited extractability. Alkaloid content varied with the solvent: mild presence (+) was observed in aqueous and methanol extracts, while the ethanol extract exhibited a higher concentration (++). Flavonoids were found in large amounts (++) in aqueous, (++) in ethanol extract and (++) methanol extracts. Steroids were consistently detected at low levels (+) in all extracts, pointing to their moderate presence. In contrast, glycosides were absent (–) in all the solvent extracts examined.</w:t>
      </w:r>
    </w:p>
    <w:p w14:paraId="3883410B" w14:textId="77777777" w:rsidR="002D05A9" w:rsidRPr="00430E0F" w:rsidRDefault="002D05A9" w:rsidP="002D05A9">
      <w:pPr>
        <w:pStyle w:val="NoSpacing"/>
        <w:jc w:val="both"/>
        <w:rPr>
          <w:rFonts w:ascii="Arial" w:hAnsi="Arial" w:cs="Arial"/>
          <w:sz w:val="20"/>
          <w:szCs w:val="20"/>
        </w:rPr>
      </w:pPr>
    </w:p>
    <w:p w14:paraId="1E63235B" w14:textId="77777777" w:rsidR="002D05A9" w:rsidRPr="00430E0F" w:rsidRDefault="002D05A9" w:rsidP="002D05A9">
      <w:pPr>
        <w:pStyle w:val="NoSpacing"/>
        <w:jc w:val="both"/>
        <w:rPr>
          <w:rFonts w:ascii="Arial" w:hAnsi="Arial" w:cs="Arial"/>
          <w:sz w:val="20"/>
          <w:szCs w:val="20"/>
        </w:rPr>
      </w:pPr>
    </w:p>
    <w:p w14:paraId="5C502429" w14:textId="1A290D5D" w:rsidR="002D05A9" w:rsidRPr="00430E0F" w:rsidRDefault="002D05A9" w:rsidP="002D05A9">
      <w:pPr>
        <w:pStyle w:val="NoSpacing"/>
        <w:jc w:val="both"/>
        <w:rPr>
          <w:rFonts w:ascii="Arial" w:hAnsi="Arial" w:cs="Arial"/>
          <w:b/>
          <w:i/>
          <w:iCs/>
          <w:sz w:val="20"/>
          <w:szCs w:val="20"/>
        </w:rPr>
      </w:pPr>
      <w:r w:rsidRPr="00430E0F">
        <w:rPr>
          <w:rFonts w:ascii="Arial" w:hAnsi="Arial" w:cs="Arial"/>
          <w:b/>
          <w:sz w:val="20"/>
          <w:szCs w:val="20"/>
        </w:rPr>
        <w:t xml:space="preserve">Table 2. Qualitative phytochemical screening of the aqueous, ethanol and methanol leaves extracts of </w:t>
      </w:r>
      <w:r w:rsidRPr="00430E0F">
        <w:rPr>
          <w:rFonts w:ascii="Arial" w:hAnsi="Arial" w:cs="Arial"/>
          <w:b/>
          <w:i/>
          <w:iCs/>
          <w:sz w:val="20"/>
          <w:szCs w:val="20"/>
        </w:rPr>
        <w:t>Psidium guajava</w:t>
      </w:r>
      <w:r w:rsidR="00EE4704" w:rsidRPr="00430E0F">
        <w:rPr>
          <w:rFonts w:ascii="Arial" w:hAnsi="Arial" w:cs="Arial"/>
          <w:b/>
          <w:i/>
          <w:iCs/>
          <w:sz w:val="20"/>
          <w:szCs w:val="20"/>
        </w:rPr>
        <w:t>.</w:t>
      </w:r>
    </w:p>
    <w:p w14:paraId="33F26541" w14:textId="75DCF204" w:rsidR="00EE4704" w:rsidRPr="00430E0F" w:rsidRDefault="00EE4704" w:rsidP="002D05A9">
      <w:pPr>
        <w:pStyle w:val="NoSpacing"/>
        <w:jc w:val="both"/>
        <w:rPr>
          <w:rFonts w:ascii="Arial" w:hAnsi="Arial" w:cs="Arial"/>
          <w:b/>
          <w:sz w:val="20"/>
          <w:szCs w:val="20"/>
        </w:rPr>
      </w:pPr>
      <w:r w:rsidRPr="00430E0F">
        <w:rPr>
          <w:rFonts w:ascii="Arial" w:hAnsi="Arial" w:cs="Arial"/>
          <w:b/>
          <w:noProof/>
          <w:sz w:val="20"/>
          <w:szCs w:val="20"/>
        </w:rPr>
        <mc:AlternateContent>
          <mc:Choice Requires="wps">
            <w:drawing>
              <wp:anchor distT="0" distB="0" distL="114300" distR="114300" simplePos="0" relativeHeight="251664384" behindDoc="0" locked="0" layoutInCell="1" allowOverlap="1" wp14:anchorId="119CD0A3" wp14:editId="521D47C4">
                <wp:simplePos x="0" y="0"/>
                <wp:positionH relativeFrom="column">
                  <wp:posOffset>-13335</wp:posOffset>
                </wp:positionH>
                <wp:positionV relativeFrom="paragraph">
                  <wp:posOffset>121285</wp:posOffset>
                </wp:positionV>
                <wp:extent cx="4705350" cy="190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4705350" cy="190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72C9AE" id="Straight Connector 2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05pt,9.55pt" to="369.4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" strokecolor="black [3200]" strokeweight="1.5pt">
                <v:stroke joinstyle="miter"/>
              </v:line>
            </w:pict>
          </mc:Fallback>
        </mc:AlternateContent>
      </w:r>
      <w:r w:rsidRPr="00430E0F">
        <w:rPr>
          <w:rFonts w:ascii="Arial" w:hAnsi="Arial" w:cs="Arial"/>
          <w:b/>
          <w:noProof/>
          <w:sz w:val="20"/>
          <w:szCs w:val="20"/>
        </w:rPr>
        <mc:AlternateContent>
          <mc:Choice Requires="wps">
            <w:drawing>
              <wp:anchor distT="0" distB="0" distL="114300" distR="114300" simplePos="0" relativeHeight="251666432" behindDoc="0" locked="0" layoutInCell="1" allowOverlap="1" wp14:anchorId="430868B9" wp14:editId="383D8142">
                <wp:simplePos x="0" y="0"/>
                <wp:positionH relativeFrom="column">
                  <wp:posOffset>-13335</wp:posOffset>
                </wp:positionH>
                <wp:positionV relativeFrom="paragraph">
                  <wp:posOffset>407035</wp:posOffset>
                </wp:positionV>
                <wp:extent cx="4705350" cy="190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4705350" cy="190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CE3AB8" id="Straight Connector 2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05pt,32.05pt" to="369.4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" strokecolor="black [3200]" strokeweight="1.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9"/>
        <w:gridCol w:w="1996"/>
        <w:gridCol w:w="1989"/>
        <w:gridCol w:w="1999"/>
      </w:tblGrid>
      <w:tr w:rsidR="00430E0F" w:rsidRPr="00430E0F" w14:paraId="72FA2888" w14:textId="77777777" w:rsidTr="00EE4704">
        <w:trPr>
          <w:trHeight w:val="506"/>
        </w:trPr>
        <w:tc>
          <w:tcPr>
            <w:tcW w:w="2039" w:type="dxa"/>
          </w:tcPr>
          <w:p w14:paraId="6FD5475D" w14:textId="57B05D48" w:rsidR="00EE4704" w:rsidRPr="00430E0F" w:rsidRDefault="00EE4704" w:rsidP="00116313">
            <w:pPr>
              <w:pStyle w:val="NoSpacing"/>
              <w:jc w:val="both"/>
              <w:rPr>
                <w:rFonts w:ascii="Arial" w:hAnsi="Arial" w:cs="Arial"/>
                <w:b/>
                <w:sz w:val="20"/>
                <w:szCs w:val="20"/>
              </w:rPr>
            </w:pPr>
            <w:r w:rsidRPr="00430E0F">
              <w:rPr>
                <w:rFonts w:ascii="Arial" w:hAnsi="Arial" w:cs="Arial"/>
                <w:b/>
                <w:sz w:val="20"/>
                <w:szCs w:val="20"/>
              </w:rPr>
              <w:t xml:space="preserve">Phytochemicals </w:t>
            </w:r>
          </w:p>
        </w:tc>
        <w:tc>
          <w:tcPr>
            <w:tcW w:w="1996" w:type="dxa"/>
          </w:tcPr>
          <w:p w14:paraId="641FC028" w14:textId="77777777" w:rsidR="00EE4704" w:rsidRPr="00430E0F" w:rsidRDefault="00EE4704" w:rsidP="00116313">
            <w:pPr>
              <w:pStyle w:val="NoSpacing"/>
              <w:jc w:val="both"/>
              <w:rPr>
                <w:rFonts w:ascii="Arial" w:hAnsi="Arial" w:cs="Arial"/>
                <w:b/>
                <w:sz w:val="20"/>
                <w:szCs w:val="20"/>
              </w:rPr>
            </w:pPr>
            <w:r w:rsidRPr="00430E0F">
              <w:rPr>
                <w:rFonts w:ascii="Arial" w:hAnsi="Arial" w:cs="Arial"/>
                <w:b/>
                <w:sz w:val="20"/>
                <w:szCs w:val="20"/>
              </w:rPr>
              <w:t xml:space="preserve">Aqueous </w:t>
            </w:r>
          </w:p>
        </w:tc>
        <w:tc>
          <w:tcPr>
            <w:tcW w:w="1989" w:type="dxa"/>
          </w:tcPr>
          <w:p w14:paraId="311BA4A9" w14:textId="77777777" w:rsidR="00EE4704" w:rsidRPr="00430E0F" w:rsidRDefault="00EE4704" w:rsidP="00116313">
            <w:pPr>
              <w:pStyle w:val="NoSpacing"/>
              <w:jc w:val="both"/>
              <w:rPr>
                <w:rFonts w:ascii="Arial" w:hAnsi="Arial" w:cs="Arial"/>
                <w:b/>
                <w:sz w:val="20"/>
                <w:szCs w:val="20"/>
              </w:rPr>
            </w:pPr>
            <w:r w:rsidRPr="00430E0F">
              <w:rPr>
                <w:rFonts w:ascii="Arial" w:hAnsi="Arial" w:cs="Arial"/>
                <w:b/>
                <w:sz w:val="20"/>
                <w:szCs w:val="20"/>
              </w:rPr>
              <w:t xml:space="preserve">Ethanol </w:t>
            </w:r>
          </w:p>
        </w:tc>
        <w:tc>
          <w:tcPr>
            <w:tcW w:w="1999" w:type="dxa"/>
          </w:tcPr>
          <w:p w14:paraId="0C88B0FA" w14:textId="77777777" w:rsidR="00EE4704" w:rsidRPr="00430E0F" w:rsidRDefault="00EE4704" w:rsidP="00116313">
            <w:pPr>
              <w:pStyle w:val="NoSpacing"/>
              <w:jc w:val="both"/>
              <w:rPr>
                <w:rFonts w:ascii="Arial" w:hAnsi="Arial" w:cs="Arial"/>
                <w:b/>
                <w:sz w:val="20"/>
                <w:szCs w:val="20"/>
              </w:rPr>
            </w:pPr>
            <w:r w:rsidRPr="00430E0F">
              <w:rPr>
                <w:rFonts w:ascii="Arial" w:hAnsi="Arial" w:cs="Arial"/>
                <w:b/>
                <w:sz w:val="20"/>
                <w:szCs w:val="20"/>
              </w:rPr>
              <w:t xml:space="preserve">Methanol </w:t>
            </w:r>
          </w:p>
        </w:tc>
      </w:tr>
      <w:tr w:rsidR="00430E0F" w:rsidRPr="00430E0F" w14:paraId="65363DE2" w14:textId="77777777" w:rsidTr="00EE4704">
        <w:trPr>
          <w:trHeight w:val="523"/>
        </w:trPr>
        <w:tc>
          <w:tcPr>
            <w:tcW w:w="2039" w:type="dxa"/>
          </w:tcPr>
          <w:p w14:paraId="01F1CEB7" w14:textId="572CDA87" w:rsidR="00EE4704" w:rsidRPr="00430E0F" w:rsidRDefault="00EE4704" w:rsidP="00116313">
            <w:pPr>
              <w:pStyle w:val="NoSpacing"/>
              <w:jc w:val="both"/>
              <w:rPr>
                <w:rFonts w:ascii="Arial" w:hAnsi="Arial" w:cs="Arial"/>
                <w:sz w:val="20"/>
                <w:szCs w:val="20"/>
              </w:rPr>
            </w:pPr>
            <w:r w:rsidRPr="00430E0F">
              <w:rPr>
                <w:rFonts w:ascii="Arial" w:hAnsi="Arial" w:cs="Arial"/>
                <w:sz w:val="20"/>
                <w:szCs w:val="20"/>
              </w:rPr>
              <w:t>Tannins</w:t>
            </w:r>
          </w:p>
        </w:tc>
        <w:tc>
          <w:tcPr>
            <w:tcW w:w="1996" w:type="dxa"/>
          </w:tcPr>
          <w:p w14:paraId="3493E5C6" w14:textId="77777777" w:rsidR="00EE4704" w:rsidRPr="00430E0F" w:rsidRDefault="00EE4704" w:rsidP="00116313">
            <w:pPr>
              <w:pStyle w:val="NoSpacing"/>
              <w:jc w:val="both"/>
              <w:rPr>
                <w:rFonts w:ascii="Arial" w:hAnsi="Arial" w:cs="Arial"/>
                <w:sz w:val="20"/>
                <w:szCs w:val="20"/>
              </w:rPr>
            </w:pPr>
            <w:r w:rsidRPr="00430E0F">
              <w:rPr>
                <w:rFonts w:ascii="Arial" w:hAnsi="Arial" w:cs="Arial"/>
                <w:sz w:val="20"/>
                <w:szCs w:val="20"/>
              </w:rPr>
              <w:t>++</w:t>
            </w:r>
          </w:p>
        </w:tc>
        <w:tc>
          <w:tcPr>
            <w:tcW w:w="1989" w:type="dxa"/>
          </w:tcPr>
          <w:p w14:paraId="28E2A59D" w14:textId="77777777" w:rsidR="00EE4704" w:rsidRPr="00430E0F" w:rsidRDefault="00EE4704" w:rsidP="00116313">
            <w:pPr>
              <w:pStyle w:val="NoSpacing"/>
              <w:jc w:val="both"/>
              <w:rPr>
                <w:rFonts w:ascii="Arial" w:hAnsi="Arial" w:cs="Arial"/>
                <w:sz w:val="20"/>
                <w:szCs w:val="20"/>
              </w:rPr>
            </w:pPr>
            <w:r w:rsidRPr="00430E0F">
              <w:rPr>
                <w:rFonts w:ascii="Arial" w:hAnsi="Arial" w:cs="Arial"/>
                <w:sz w:val="20"/>
                <w:szCs w:val="20"/>
              </w:rPr>
              <w:t>++</w:t>
            </w:r>
          </w:p>
        </w:tc>
        <w:tc>
          <w:tcPr>
            <w:tcW w:w="1999" w:type="dxa"/>
          </w:tcPr>
          <w:p w14:paraId="19F849DC" w14:textId="77777777" w:rsidR="00EE4704" w:rsidRPr="00430E0F" w:rsidRDefault="00EE4704" w:rsidP="00116313">
            <w:pPr>
              <w:pStyle w:val="NoSpacing"/>
              <w:jc w:val="both"/>
              <w:rPr>
                <w:rFonts w:ascii="Arial" w:hAnsi="Arial" w:cs="Arial"/>
                <w:sz w:val="20"/>
                <w:szCs w:val="20"/>
              </w:rPr>
            </w:pPr>
            <w:r w:rsidRPr="00430E0F">
              <w:rPr>
                <w:rFonts w:ascii="Arial" w:hAnsi="Arial" w:cs="Arial"/>
                <w:sz w:val="20"/>
                <w:szCs w:val="20"/>
              </w:rPr>
              <w:t>++</w:t>
            </w:r>
          </w:p>
        </w:tc>
      </w:tr>
      <w:tr w:rsidR="00430E0F" w:rsidRPr="00430E0F" w14:paraId="7D96005A" w14:textId="77777777" w:rsidTr="00EE4704">
        <w:trPr>
          <w:trHeight w:val="506"/>
        </w:trPr>
        <w:tc>
          <w:tcPr>
            <w:tcW w:w="2039" w:type="dxa"/>
          </w:tcPr>
          <w:p w14:paraId="6CF0F372" w14:textId="55116E87" w:rsidR="00EE4704" w:rsidRPr="00430E0F" w:rsidRDefault="00EE4704" w:rsidP="00116313">
            <w:pPr>
              <w:pStyle w:val="NoSpacing"/>
              <w:jc w:val="both"/>
              <w:rPr>
                <w:rFonts w:ascii="Arial" w:hAnsi="Arial" w:cs="Arial"/>
                <w:sz w:val="20"/>
                <w:szCs w:val="20"/>
              </w:rPr>
            </w:pPr>
            <w:r w:rsidRPr="00430E0F">
              <w:rPr>
                <w:rFonts w:ascii="Arial" w:hAnsi="Arial" w:cs="Arial"/>
                <w:sz w:val="20"/>
                <w:szCs w:val="20"/>
              </w:rPr>
              <w:t>Saponins</w:t>
            </w:r>
          </w:p>
        </w:tc>
        <w:tc>
          <w:tcPr>
            <w:tcW w:w="1996" w:type="dxa"/>
          </w:tcPr>
          <w:p w14:paraId="72B84F47" w14:textId="77777777" w:rsidR="00EE4704" w:rsidRPr="00430E0F" w:rsidRDefault="00EE4704" w:rsidP="00116313">
            <w:pPr>
              <w:pStyle w:val="NoSpacing"/>
              <w:jc w:val="both"/>
              <w:rPr>
                <w:rFonts w:ascii="Arial" w:hAnsi="Arial" w:cs="Arial"/>
                <w:sz w:val="20"/>
                <w:szCs w:val="20"/>
              </w:rPr>
            </w:pPr>
            <w:r w:rsidRPr="00430E0F">
              <w:rPr>
                <w:rFonts w:ascii="Arial" w:hAnsi="Arial" w:cs="Arial"/>
                <w:sz w:val="20"/>
                <w:szCs w:val="20"/>
              </w:rPr>
              <w:t>+</w:t>
            </w:r>
          </w:p>
        </w:tc>
        <w:tc>
          <w:tcPr>
            <w:tcW w:w="1989" w:type="dxa"/>
          </w:tcPr>
          <w:p w14:paraId="23C6422B" w14:textId="77777777" w:rsidR="00EE4704" w:rsidRPr="00430E0F" w:rsidRDefault="00EE4704" w:rsidP="00116313">
            <w:pPr>
              <w:pStyle w:val="NoSpacing"/>
              <w:jc w:val="both"/>
              <w:rPr>
                <w:rFonts w:ascii="Arial" w:hAnsi="Arial" w:cs="Arial"/>
                <w:sz w:val="20"/>
                <w:szCs w:val="20"/>
              </w:rPr>
            </w:pPr>
            <w:r w:rsidRPr="00430E0F">
              <w:rPr>
                <w:rFonts w:ascii="Arial" w:hAnsi="Arial" w:cs="Arial"/>
                <w:sz w:val="20"/>
                <w:szCs w:val="20"/>
              </w:rPr>
              <w:t>+</w:t>
            </w:r>
          </w:p>
        </w:tc>
        <w:tc>
          <w:tcPr>
            <w:tcW w:w="1999" w:type="dxa"/>
          </w:tcPr>
          <w:p w14:paraId="07E52A57" w14:textId="77777777" w:rsidR="00EE4704" w:rsidRPr="00430E0F" w:rsidRDefault="00EE4704" w:rsidP="00116313">
            <w:pPr>
              <w:pStyle w:val="NoSpacing"/>
              <w:jc w:val="both"/>
              <w:rPr>
                <w:rFonts w:ascii="Arial" w:hAnsi="Arial" w:cs="Arial"/>
                <w:sz w:val="20"/>
                <w:szCs w:val="20"/>
              </w:rPr>
            </w:pPr>
            <w:r w:rsidRPr="00430E0F">
              <w:rPr>
                <w:rFonts w:ascii="Arial" w:hAnsi="Arial" w:cs="Arial"/>
                <w:sz w:val="20"/>
                <w:szCs w:val="20"/>
              </w:rPr>
              <w:t>+</w:t>
            </w:r>
          </w:p>
        </w:tc>
      </w:tr>
      <w:tr w:rsidR="00430E0F" w:rsidRPr="00430E0F" w14:paraId="3E2FB319" w14:textId="77777777" w:rsidTr="00EE4704">
        <w:trPr>
          <w:trHeight w:val="523"/>
        </w:trPr>
        <w:tc>
          <w:tcPr>
            <w:tcW w:w="2039" w:type="dxa"/>
          </w:tcPr>
          <w:p w14:paraId="7E987819" w14:textId="120E1554" w:rsidR="00EE4704" w:rsidRPr="00430E0F" w:rsidRDefault="00EE4704" w:rsidP="00116313">
            <w:pPr>
              <w:pStyle w:val="NoSpacing"/>
              <w:jc w:val="both"/>
              <w:rPr>
                <w:rFonts w:ascii="Arial" w:hAnsi="Arial" w:cs="Arial"/>
                <w:sz w:val="20"/>
                <w:szCs w:val="20"/>
              </w:rPr>
            </w:pPr>
            <w:r w:rsidRPr="00430E0F">
              <w:rPr>
                <w:rFonts w:ascii="Arial" w:hAnsi="Arial" w:cs="Arial"/>
                <w:sz w:val="20"/>
                <w:szCs w:val="20"/>
              </w:rPr>
              <w:t>Alkaloids</w:t>
            </w:r>
          </w:p>
        </w:tc>
        <w:tc>
          <w:tcPr>
            <w:tcW w:w="1996" w:type="dxa"/>
          </w:tcPr>
          <w:p w14:paraId="3A445D94" w14:textId="77777777" w:rsidR="00EE4704" w:rsidRPr="00430E0F" w:rsidRDefault="00EE4704" w:rsidP="00116313">
            <w:pPr>
              <w:pStyle w:val="NoSpacing"/>
              <w:jc w:val="both"/>
              <w:rPr>
                <w:rFonts w:ascii="Arial" w:hAnsi="Arial" w:cs="Arial"/>
                <w:sz w:val="20"/>
                <w:szCs w:val="20"/>
              </w:rPr>
            </w:pPr>
            <w:r w:rsidRPr="00430E0F">
              <w:rPr>
                <w:rFonts w:ascii="Arial" w:hAnsi="Arial" w:cs="Arial"/>
                <w:sz w:val="20"/>
                <w:szCs w:val="20"/>
              </w:rPr>
              <w:t>+</w:t>
            </w:r>
          </w:p>
        </w:tc>
        <w:tc>
          <w:tcPr>
            <w:tcW w:w="1989" w:type="dxa"/>
          </w:tcPr>
          <w:p w14:paraId="6BC6D267" w14:textId="77777777" w:rsidR="00EE4704" w:rsidRPr="00430E0F" w:rsidRDefault="00EE4704" w:rsidP="00116313">
            <w:pPr>
              <w:pStyle w:val="NoSpacing"/>
              <w:jc w:val="both"/>
              <w:rPr>
                <w:rFonts w:ascii="Arial" w:hAnsi="Arial" w:cs="Arial"/>
                <w:sz w:val="20"/>
                <w:szCs w:val="20"/>
              </w:rPr>
            </w:pPr>
            <w:r w:rsidRPr="00430E0F">
              <w:rPr>
                <w:rFonts w:ascii="Arial" w:hAnsi="Arial" w:cs="Arial"/>
                <w:sz w:val="20"/>
                <w:szCs w:val="20"/>
              </w:rPr>
              <w:t>++</w:t>
            </w:r>
          </w:p>
        </w:tc>
        <w:tc>
          <w:tcPr>
            <w:tcW w:w="1999" w:type="dxa"/>
          </w:tcPr>
          <w:p w14:paraId="458298E0" w14:textId="77777777" w:rsidR="00EE4704" w:rsidRPr="00430E0F" w:rsidRDefault="00EE4704" w:rsidP="00116313">
            <w:pPr>
              <w:pStyle w:val="NoSpacing"/>
              <w:jc w:val="both"/>
              <w:rPr>
                <w:rFonts w:ascii="Arial" w:hAnsi="Arial" w:cs="Arial"/>
                <w:sz w:val="20"/>
                <w:szCs w:val="20"/>
              </w:rPr>
            </w:pPr>
            <w:r w:rsidRPr="00430E0F">
              <w:rPr>
                <w:rFonts w:ascii="Arial" w:hAnsi="Arial" w:cs="Arial"/>
                <w:sz w:val="20"/>
                <w:szCs w:val="20"/>
              </w:rPr>
              <w:t>+</w:t>
            </w:r>
          </w:p>
        </w:tc>
      </w:tr>
      <w:tr w:rsidR="00430E0F" w:rsidRPr="00430E0F" w14:paraId="4663E8BE" w14:textId="77777777" w:rsidTr="00EE4704">
        <w:trPr>
          <w:trHeight w:val="506"/>
        </w:trPr>
        <w:tc>
          <w:tcPr>
            <w:tcW w:w="2039" w:type="dxa"/>
          </w:tcPr>
          <w:p w14:paraId="46F6AB3C" w14:textId="2C1E15DB" w:rsidR="00EE4704" w:rsidRPr="00430E0F" w:rsidRDefault="00EE4704" w:rsidP="00116313">
            <w:pPr>
              <w:pStyle w:val="NoSpacing"/>
              <w:jc w:val="both"/>
              <w:rPr>
                <w:rFonts w:ascii="Arial" w:hAnsi="Arial" w:cs="Arial"/>
                <w:sz w:val="20"/>
                <w:szCs w:val="20"/>
              </w:rPr>
            </w:pPr>
            <w:commentRangeStart w:id="9"/>
            <w:proofErr w:type="spellStart"/>
            <w:r w:rsidRPr="00430E0F">
              <w:rPr>
                <w:rFonts w:ascii="Arial" w:hAnsi="Arial" w:cs="Arial"/>
                <w:sz w:val="20"/>
                <w:szCs w:val="20"/>
              </w:rPr>
              <w:t>Flavanoids</w:t>
            </w:r>
            <w:commentRangeEnd w:id="9"/>
            <w:proofErr w:type="spellEnd"/>
            <w:r w:rsidR="000A1DE2">
              <w:rPr>
                <w:rStyle w:val="CommentReference"/>
                <w:rFonts w:ascii="Helvetica" w:eastAsia="Times New Roman" w:hAnsi="Helvetica"/>
                <w:rtl/>
              </w:rPr>
              <w:commentReference w:id="9"/>
            </w:r>
          </w:p>
        </w:tc>
        <w:tc>
          <w:tcPr>
            <w:tcW w:w="1996" w:type="dxa"/>
          </w:tcPr>
          <w:p w14:paraId="0013FEE2" w14:textId="77777777" w:rsidR="00EE4704" w:rsidRPr="00430E0F" w:rsidRDefault="00EE4704" w:rsidP="00116313">
            <w:pPr>
              <w:pStyle w:val="NoSpacing"/>
              <w:jc w:val="both"/>
              <w:rPr>
                <w:rFonts w:ascii="Arial" w:hAnsi="Arial" w:cs="Arial"/>
                <w:sz w:val="20"/>
                <w:szCs w:val="20"/>
              </w:rPr>
            </w:pPr>
            <w:r w:rsidRPr="00430E0F">
              <w:rPr>
                <w:rFonts w:ascii="Arial" w:hAnsi="Arial" w:cs="Arial"/>
                <w:sz w:val="20"/>
                <w:szCs w:val="20"/>
              </w:rPr>
              <w:t>++</w:t>
            </w:r>
          </w:p>
        </w:tc>
        <w:tc>
          <w:tcPr>
            <w:tcW w:w="1989" w:type="dxa"/>
          </w:tcPr>
          <w:p w14:paraId="1A25CEAA" w14:textId="77777777" w:rsidR="00EE4704" w:rsidRPr="00430E0F" w:rsidRDefault="00EE4704" w:rsidP="00116313">
            <w:pPr>
              <w:pStyle w:val="NoSpacing"/>
              <w:jc w:val="both"/>
              <w:rPr>
                <w:rFonts w:ascii="Arial" w:hAnsi="Arial" w:cs="Arial"/>
                <w:sz w:val="20"/>
                <w:szCs w:val="20"/>
              </w:rPr>
            </w:pPr>
            <w:r w:rsidRPr="00430E0F">
              <w:rPr>
                <w:rFonts w:ascii="Arial" w:hAnsi="Arial" w:cs="Arial"/>
                <w:sz w:val="20"/>
                <w:szCs w:val="20"/>
              </w:rPr>
              <w:t>++</w:t>
            </w:r>
          </w:p>
        </w:tc>
        <w:tc>
          <w:tcPr>
            <w:tcW w:w="1999" w:type="dxa"/>
          </w:tcPr>
          <w:p w14:paraId="377609D4" w14:textId="77777777" w:rsidR="00EE4704" w:rsidRPr="00430E0F" w:rsidRDefault="00EE4704" w:rsidP="00116313">
            <w:pPr>
              <w:pStyle w:val="NoSpacing"/>
              <w:jc w:val="both"/>
              <w:rPr>
                <w:rFonts w:ascii="Arial" w:hAnsi="Arial" w:cs="Arial"/>
                <w:sz w:val="20"/>
                <w:szCs w:val="20"/>
              </w:rPr>
            </w:pPr>
            <w:r w:rsidRPr="00430E0F">
              <w:rPr>
                <w:rFonts w:ascii="Arial" w:hAnsi="Arial" w:cs="Arial"/>
                <w:sz w:val="20"/>
                <w:szCs w:val="20"/>
              </w:rPr>
              <w:t>++</w:t>
            </w:r>
          </w:p>
        </w:tc>
      </w:tr>
      <w:tr w:rsidR="00430E0F" w:rsidRPr="00430E0F" w14:paraId="52DF8ADA" w14:textId="77777777" w:rsidTr="00EE4704">
        <w:trPr>
          <w:trHeight w:val="506"/>
        </w:trPr>
        <w:tc>
          <w:tcPr>
            <w:tcW w:w="2039" w:type="dxa"/>
          </w:tcPr>
          <w:p w14:paraId="01E4A9C7" w14:textId="3C066109" w:rsidR="00EE4704" w:rsidRPr="00430E0F" w:rsidRDefault="00EE4704" w:rsidP="00116313">
            <w:pPr>
              <w:pStyle w:val="NoSpacing"/>
              <w:jc w:val="both"/>
              <w:rPr>
                <w:rFonts w:ascii="Arial" w:hAnsi="Arial" w:cs="Arial"/>
                <w:sz w:val="20"/>
                <w:szCs w:val="20"/>
              </w:rPr>
            </w:pPr>
            <w:r w:rsidRPr="00430E0F">
              <w:rPr>
                <w:rFonts w:ascii="Arial" w:hAnsi="Arial" w:cs="Arial"/>
                <w:sz w:val="20"/>
                <w:szCs w:val="20"/>
              </w:rPr>
              <w:t>Steroids</w:t>
            </w:r>
          </w:p>
        </w:tc>
        <w:tc>
          <w:tcPr>
            <w:tcW w:w="1996" w:type="dxa"/>
          </w:tcPr>
          <w:p w14:paraId="3C51E839" w14:textId="77777777" w:rsidR="00EE4704" w:rsidRPr="00430E0F" w:rsidRDefault="00EE4704" w:rsidP="00116313">
            <w:pPr>
              <w:pStyle w:val="NoSpacing"/>
              <w:jc w:val="both"/>
              <w:rPr>
                <w:rFonts w:ascii="Arial" w:hAnsi="Arial" w:cs="Arial"/>
                <w:sz w:val="20"/>
                <w:szCs w:val="20"/>
              </w:rPr>
            </w:pPr>
            <w:r w:rsidRPr="00430E0F">
              <w:rPr>
                <w:rFonts w:ascii="Arial" w:hAnsi="Arial" w:cs="Arial"/>
                <w:sz w:val="20"/>
                <w:szCs w:val="20"/>
              </w:rPr>
              <w:t>+</w:t>
            </w:r>
          </w:p>
        </w:tc>
        <w:tc>
          <w:tcPr>
            <w:tcW w:w="1989" w:type="dxa"/>
          </w:tcPr>
          <w:p w14:paraId="2D469DA4" w14:textId="77777777" w:rsidR="00EE4704" w:rsidRPr="00430E0F" w:rsidRDefault="00EE4704" w:rsidP="00116313">
            <w:pPr>
              <w:pStyle w:val="NoSpacing"/>
              <w:jc w:val="both"/>
              <w:rPr>
                <w:rFonts w:ascii="Arial" w:hAnsi="Arial" w:cs="Arial"/>
                <w:sz w:val="20"/>
                <w:szCs w:val="20"/>
              </w:rPr>
            </w:pPr>
            <w:r w:rsidRPr="00430E0F">
              <w:rPr>
                <w:rFonts w:ascii="Arial" w:hAnsi="Arial" w:cs="Arial"/>
                <w:sz w:val="20"/>
                <w:szCs w:val="20"/>
              </w:rPr>
              <w:t>+</w:t>
            </w:r>
          </w:p>
        </w:tc>
        <w:tc>
          <w:tcPr>
            <w:tcW w:w="1999" w:type="dxa"/>
          </w:tcPr>
          <w:p w14:paraId="091A5946" w14:textId="77777777" w:rsidR="00EE4704" w:rsidRPr="00430E0F" w:rsidRDefault="00EE4704" w:rsidP="00116313">
            <w:pPr>
              <w:pStyle w:val="NoSpacing"/>
              <w:jc w:val="both"/>
              <w:rPr>
                <w:rFonts w:ascii="Arial" w:hAnsi="Arial" w:cs="Arial"/>
                <w:sz w:val="20"/>
                <w:szCs w:val="20"/>
              </w:rPr>
            </w:pPr>
            <w:r w:rsidRPr="00430E0F">
              <w:rPr>
                <w:rFonts w:ascii="Arial" w:hAnsi="Arial" w:cs="Arial"/>
                <w:sz w:val="20"/>
                <w:szCs w:val="20"/>
              </w:rPr>
              <w:t>+</w:t>
            </w:r>
          </w:p>
        </w:tc>
      </w:tr>
      <w:tr w:rsidR="00430E0F" w:rsidRPr="00430E0F" w14:paraId="52AE8C9C" w14:textId="77777777" w:rsidTr="00EE4704">
        <w:trPr>
          <w:trHeight w:val="523"/>
        </w:trPr>
        <w:tc>
          <w:tcPr>
            <w:tcW w:w="2039" w:type="dxa"/>
          </w:tcPr>
          <w:p w14:paraId="64DE9E6A" w14:textId="5BC56069" w:rsidR="00EE4704" w:rsidRPr="00430E0F" w:rsidRDefault="00EE4704" w:rsidP="00116313">
            <w:pPr>
              <w:pStyle w:val="NoSpacing"/>
              <w:jc w:val="both"/>
              <w:rPr>
                <w:rFonts w:ascii="Arial" w:hAnsi="Arial" w:cs="Arial"/>
                <w:sz w:val="20"/>
                <w:szCs w:val="20"/>
              </w:rPr>
            </w:pPr>
            <w:r w:rsidRPr="00430E0F">
              <w:rPr>
                <w:rFonts w:ascii="Arial" w:hAnsi="Arial" w:cs="Arial"/>
                <w:b/>
                <w:noProof/>
                <w:sz w:val="20"/>
                <w:szCs w:val="20"/>
              </w:rPr>
              <mc:AlternateContent>
                <mc:Choice Requires="wps">
                  <w:drawing>
                    <wp:anchor distT="0" distB="0" distL="114300" distR="114300" simplePos="0" relativeHeight="251668480" behindDoc="0" locked="0" layoutInCell="1" allowOverlap="1" wp14:anchorId="5EE0547D" wp14:editId="2130BC43">
                      <wp:simplePos x="0" y="0"/>
                      <wp:positionH relativeFrom="column">
                        <wp:posOffset>-66040</wp:posOffset>
                      </wp:positionH>
                      <wp:positionV relativeFrom="paragraph">
                        <wp:posOffset>210185</wp:posOffset>
                      </wp:positionV>
                      <wp:extent cx="4705350" cy="190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4705350" cy="190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0225F1" id="Straight Connector 29"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2pt,16.55pt" to="365.3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" strokecolor="black [3200]" strokeweight="1.5pt">
                      <v:stroke joinstyle="miter"/>
                    </v:line>
                  </w:pict>
                </mc:Fallback>
              </mc:AlternateContent>
            </w:r>
            <w:r w:rsidRPr="00430E0F">
              <w:rPr>
                <w:rFonts w:ascii="Arial" w:hAnsi="Arial" w:cs="Arial"/>
                <w:sz w:val="20"/>
                <w:szCs w:val="20"/>
              </w:rPr>
              <w:t>Glycosides</w:t>
            </w:r>
          </w:p>
        </w:tc>
        <w:tc>
          <w:tcPr>
            <w:tcW w:w="1996" w:type="dxa"/>
          </w:tcPr>
          <w:p w14:paraId="4B7044D0" w14:textId="77777777" w:rsidR="00EE4704" w:rsidRPr="00430E0F" w:rsidRDefault="00EE4704" w:rsidP="00116313">
            <w:pPr>
              <w:pStyle w:val="NoSpacing"/>
              <w:jc w:val="both"/>
              <w:rPr>
                <w:rFonts w:ascii="Arial" w:hAnsi="Arial" w:cs="Arial"/>
                <w:sz w:val="20"/>
                <w:szCs w:val="20"/>
              </w:rPr>
            </w:pPr>
            <w:r w:rsidRPr="00430E0F">
              <w:rPr>
                <w:rFonts w:ascii="Arial" w:hAnsi="Arial" w:cs="Arial"/>
                <w:sz w:val="20"/>
                <w:szCs w:val="20"/>
              </w:rPr>
              <w:t>-</w:t>
            </w:r>
          </w:p>
        </w:tc>
        <w:tc>
          <w:tcPr>
            <w:tcW w:w="1989" w:type="dxa"/>
          </w:tcPr>
          <w:p w14:paraId="2D0CC684" w14:textId="77777777" w:rsidR="00EE4704" w:rsidRPr="00430E0F" w:rsidRDefault="00EE4704" w:rsidP="00116313">
            <w:pPr>
              <w:pStyle w:val="NoSpacing"/>
              <w:jc w:val="both"/>
              <w:rPr>
                <w:rFonts w:ascii="Arial" w:hAnsi="Arial" w:cs="Arial"/>
                <w:sz w:val="20"/>
                <w:szCs w:val="20"/>
              </w:rPr>
            </w:pPr>
            <w:r w:rsidRPr="00430E0F">
              <w:rPr>
                <w:rFonts w:ascii="Arial" w:hAnsi="Arial" w:cs="Arial"/>
                <w:sz w:val="20"/>
                <w:szCs w:val="20"/>
              </w:rPr>
              <w:t>-</w:t>
            </w:r>
          </w:p>
        </w:tc>
        <w:tc>
          <w:tcPr>
            <w:tcW w:w="1999" w:type="dxa"/>
          </w:tcPr>
          <w:p w14:paraId="5E287F75" w14:textId="77777777" w:rsidR="00EE4704" w:rsidRPr="00430E0F" w:rsidRDefault="00EE4704" w:rsidP="00116313">
            <w:pPr>
              <w:pStyle w:val="NoSpacing"/>
              <w:jc w:val="both"/>
              <w:rPr>
                <w:rFonts w:ascii="Arial" w:hAnsi="Arial" w:cs="Arial"/>
                <w:sz w:val="20"/>
                <w:szCs w:val="20"/>
              </w:rPr>
            </w:pPr>
            <w:r w:rsidRPr="00430E0F">
              <w:rPr>
                <w:rFonts w:ascii="Arial" w:hAnsi="Arial" w:cs="Arial"/>
                <w:sz w:val="20"/>
                <w:szCs w:val="20"/>
              </w:rPr>
              <w:t>-</w:t>
            </w:r>
          </w:p>
        </w:tc>
      </w:tr>
    </w:tbl>
    <w:p w14:paraId="653A0B71" w14:textId="77777777" w:rsidR="00EE4704" w:rsidRPr="00430E0F" w:rsidRDefault="00EE4704" w:rsidP="00EE4704">
      <w:pPr>
        <w:pStyle w:val="NoSpacing"/>
        <w:jc w:val="both"/>
        <w:rPr>
          <w:rFonts w:ascii="Arial" w:hAnsi="Arial" w:cs="Arial"/>
          <w:sz w:val="20"/>
          <w:szCs w:val="20"/>
        </w:rPr>
      </w:pPr>
      <w:r w:rsidRPr="00430E0F">
        <w:rPr>
          <w:rFonts w:ascii="Arial" w:hAnsi="Arial" w:cs="Arial"/>
          <w:sz w:val="20"/>
          <w:szCs w:val="20"/>
        </w:rPr>
        <w:t>Keys: (-) = not detected, (+) = mildly detected, (++) = Highly detected</w:t>
      </w:r>
    </w:p>
    <w:p w14:paraId="54BC28DD" w14:textId="77777777" w:rsidR="00AB7941" w:rsidRPr="00430E0F" w:rsidRDefault="00AB7941" w:rsidP="00AB7941">
      <w:pPr>
        <w:pStyle w:val="NoSpacing"/>
        <w:jc w:val="both"/>
        <w:rPr>
          <w:rFonts w:ascii="Arial" w:hAnsi="Arial" w:cs="Arial"/>
          <w:b/>
          <w:sz w:val="20"/>
          <w:szCs w:val="20"/>
        </w:rPr>
      </w:pPr>
    </w:p>
    <w:p w14:paraId="7A0FFF39" w14:textId="57470CEC" w:rsidR="00AB7941" w:rsidRPr="00430E0F" w:rsidRDefault="00AB7941" w:rsidP="00AB7941">
      <w:pPr>
        <w:pStyle w:val="NoSpacing"/>
        <w:jc w:val="both"/>
        <w:rPr>
          <w:rFonts w:ascii="Arial" w:hAnsi="Arial" w:cs="Arial"/>
          <w:b/>
        </w:rPr>
      </w:pPr>
      <w:r w:rsidRPr="00430E0F">
        <w:rPr>
          <w:rFonts w:ascii="Arial" w:hAnsi="Arial" w:cs="Arial"/>
          <w:b/>
        </w:rPr>
        <w:t xml:space="preserve">3.3 Antibacterial Susceptibility Testing of Psidium guajava Aqueous, Ethanol and Methanol Leaf Extracts on </w:t>
      </w:r>
      <w:r w:rsidR="00430E0F" w:rsidRPr="00430E0F">
        <w:rPr>
          <w:rFonts w:ascii="Arial" w:hAnsi="Arial" w:cs="Arial"/>
          <w:b/>
          <w:i/>
          <w:iCs/>
        </w:rPr>
        <w:t>K. pneumoniae</w:t>
      </w:r>
      <w:r w:rsidR="00A15CB7" w:rsidRPr="00430E0F">
        <w:rPr>
          <w:rFonts w:ascii="Arial" w:hAnsi="Arial" w:cs="Arial"/>
          <w:b/>
          <w:i/>
          <w:iCs/>
        </w:rPr>
        <w:t xml:space="preserve"> </w:t>
      </w:r>
      <w:r w:rsidR="00A15CB7" w:rsidRPr="00430E0F">
        <w:rPr>
          <w:rFonts w:ascii="Arial" w:hAnsi="Arial" w:cs="Arial"/>
          <w:b/>
        </w:rPr>
        <w:t>Isolates</w:t>
      </w:r>
      <w:r w:rsidRPr="00430E0F">
        <w:rPr>
          <w:rFonts w:ascii="Arial" w:hAnsi="Arial" w:cs="Arial"/>
          <w:b/>
        </w:rPr>
        <w:t>.</w:t>
      </w:r>
    </w:p>
    <w:p w14:paraId="52BF3627" w14:textId="77777777" w:rsidR="00AB7941" w:rsidRPr="00430E0F" w:rsidRDefault="00AB7941" w:rsidP="00AB7941">
      <w:pPr>
        <w:pStyle w:val="NoSpacing"/>
        <w:jc w:val="both"/>
        <w:rPr>
          <w:rFonts w:ascii="Arial" w:hAnsi="Arial" w:cs="Arial"/>
          <w:b/>
          <w:sz w:val="20"/>
          <w:szCs w:val="20"/>
        </w:rPr>
      </w:pPr>
    </w:p>
    <w:p w14:paraId="45C4F985" w14:textId="1697107C" w:rsidR="00EE4704" w:rsidRPr="00430E0F" w:rsidRDefault="00AB7941" w:rsidP="00AB7941">
      <w:pPr>
        <w:pStyle w:val="NoSpacing"/>
        <w:jc w:val="both"/>
        <w:rPr>
          <w:rFonts w:ascii="Arial" w:hAnsi="Arial" w:cs="Arial"/>
          <w:bCs/>
          <w:sz w:val="20"/>
          <w:szCs w:val="20"/>
        </w:rPr>
      </w:pPr>
      <w:r w:rsidRPr="00430E0F">
        <w:rPr>
          <w:rFonts w:ascii="Arial" w:hAnsi="Arial" w:cs="Arial"/>
          <w:bCs/>
          <w:sz w:val="20"/>
          <w:szCs w:val="20"/>
        </w:rPr>
        <w:lastRenderedPageBreak/>
        <w:t xml:space="preserve">Table 3 showed the antibacterial susceptibility testing of Psidium guajava aqueous, ethanol and methanol leaf extracts against five </w:t>
      </w:r>
      <w:r w:rsidR="00430E0F" w:rsidRPr="00430E0F">
        <w:rPr>
          <w:rFonts w:ascii="Arial" w:hAnsi="Arial" w:cs="Arial"/>
          <w:bCs/>
          <w:i/>
          <w:iCs/>
          <w:sz w:val="20"/>
          <w:szCs w:val="20"/>
        </w:rPr>
        <w:t>Klebsiella pneumoniae</w:t>
      </w:r>
      <w:r w:rsidRPr="00430E0F">
        <w:rPr>
          <w:rFonts w:ascii="Arial" w:hAnsi="Arial" w:cs="Arial"/>
          <w:bCs/>
          <w:sz w:val="20"/>
          <w:szCs w:val="20"/>
        </w:rPr>
        <w:t xml:space="preserve"> isolates (KP1–KP5) at concentrations of 200, 100, and 50 mg/ml, alongside ciprofloxacin as the control. The aqueous extract produced inhibition zones ranging from 10–12 mm at 200 mg/ml, 9–12 mm at 100 mg/ml, and 8–11 mm at 50 mg/ml across the isolates. The ethanol extract showed higher inhibitory activity, with inhibition zones of 16–18 mm at 200 mg/ml, 14–16 mm at 100 mg/ml, and 10–12 mm at 50 mg/ml. The methanol extract also demonstrated appreciable antibacterial activity, producing inhibition zones of 16–19 mm at 200 mg/ml, 15–17 mm at 100 mg/ml, and 11–13 mm at 50 mg/ml. The standard antibiotic, ciprofloxacin (control), produced the highest inhibition zones, ranging from 22–28 mm against all </w:t>
      </w:r>
      <w:r w:rsidR="00430E0F" w:rsidRPr="00430E0F">
        <w:rPr>
          <w:rFonts w:ascii="Arial" w:hAnsi="Arial" w:cs="Arial"/>
          <w:bCs/>
          <w:i/>
          <w:iCs/>
          <w:sz w:val="20"/>
          <w:szCs w:val="20"/>
        </w:rPr>
        <w:t>K. pneumoniae</w:t>
      </w:r>
      <w:r w:rsidRPr="00430E0F">
        <w:rPr>
          <w:rFonts w:ascii="Arial" w:hAnsi="Arial" w:cs="Arial"/>
          <w:bCs/>
          <w:sz w:val="20"/>
          <w:szCs w:val="20"/>
        </w:rPr>
        <w:t xml:space="preserve"> isolates. Overall, the result showed measurable antibacterial activity of all three extracts against the isolates, with ethanol and methanol extracts exhibiting larger inhibition zones than the aqueous extract at corresponding concentrations.</w:t>
      </w:r>
    </w:p>
    <w:p w14:paraId="4271440E" w14:textId="77777777" w:rsidR="00E75430" w:rsidRPr="00430E0F" w:rsidRDefault="00E75430" w:rsidP="00EE4704">
      <w:pPr>
        <w:pStyle w:val="NoSpacing"/>
        <w:jc w:val="both"/>
        <w:rPr>
          <w:rFonts w:ascii="Arial" w:hAnsi="Arial" w:cs="Arial"/>
          <w:b/>
        </w:rPr>
      </w:pPr>
    </w:p>
    <w:p w14:paraId="7EA0610A" w14:textId="77777777" w:rsidR="00E75430" w:rsidRPr="00430E0F" w:rsidRDefault="00E75430" w:rsidP="00EE4704">
      <w:pPr>
        <w:pStyle w:val="NoSpacing"/>
        <w:jc w:val="both"/>
        <w:rPr>
          <w:rFonts w:ascii="Arial" w:hAnsi="Arial" w:cs="Arial"/>
          <w:b/>
        </w:rPr>
      </w:pPr>
    </w:p>
    <w:p w14:paraId="0F573318" w14:textId="77777777" w:rsidR="00AB7941" w:rsidRPr="00430E0F" w:rsidRDefault="00AB7941" w:rsidP="00AB7941">
      <w:pPr>
        <w:pStyle w:val="NoSpacing"/>
        <w:jc w:val="both"/>
        <w:rPr>
          <w:rFonts w:ascii="Arial" w:hAnsi="Arial" w:cs="Arial"/>
          <w:b/>
          <w:sz w:val="20"/>
          <w:szCs w:val="20"/>
        </w:rPr>
      </w:pPr>
    </w:p>
    <w:p w14:paraId="71A28D81" w14:textId="77777777" w:rsidR="00AB7941" w:rsidRPr="00430E0F" w:rsidRDefault="00AB7941" w:rsidP="00AB7941">
      <w:pPr>
        <w:pStyle w:val="NoSpacing"/>
        <w:jc w:val="both"/>
        <w:rPr>
          <w:rFonts w:ascii="Arial" w:hAnsi="Arial" w:cs="Arial"/>
          <w:b/>
          <w:sz w:val="20"/>
          <w:szCs w:val="20"/>
        </w:rPr>
      </w:pPr>
    </w:p>
    <w:p w14:paraId="3F16D56E" w14:textId="77777777" w:rsidR="00AB7941" w:rsidRPr="00430E0F" w:rsidRDefault="00AB7941" w:rsidP="00AB7941">
      <w:pPr>
        <w:pStyle w:val="NoSpacing"/>
        <w:jc w:val="both"/>
        <w:rPr>
          <w:rFonts w:ascii="Arial" w:hAnsi="Arial" w:cs="Arial"/>
          <w:b/>
          <w:sz w:val="20"/>
          <w:szCs w:val="20"/>
        </w:rPr>
      </w:pPr>
    </w:p>
    <w:p w14:paraId="7CBFE6AC" w14:textId="77777777" w:rsidR="00AB7941" w:rsidRPr="00430E0F" w:rsidRDefault="00AB7941" w:rsidP="00AB7941">
      <w:pPr>
        <w:pStyle w:val="NoSpacing"/>
        <w:jc w:val="both"/>
        <w:rPr>
          <w:rFonts w:ascii="Arial" w:hAnsi="Arial" w:cs="Arial"/>
          <w:b/>
          <w:sz w:val="20"/>
          <w:szCs w:val="20"/>
        </w:rPr>
      </w:pPr>
    </w:p>
    <w:p w14:paraId="1E2A63DC" w14:textId="77777777" w:rsidR="00AB7941" w:rsidRPr="00430E0F" w:rsidRDefault="00AB7941" w:rsidP="00AB7941">
      <w:pPr>
        <w:pStyle w:val="NoSpacing"/>
        <w:jc w:val="both"/>
        <w:rPr>
          <w:rFonts w:ascii="Arial" w:hAnsi="Arial" w:cs="Arial"/>
          <w:b/>
          <w:sz w:val="20"/>
          <w:szCs w:val="20"/>
        </w:rPr>
      </w:pPr>
    </w:p>
    <w:p w14:paraId="0BAFF286" w14:textId="77777777" w:rsidR="00AB7941" w:rsidRPr="00430E0F" w:rsidRDefault="00AB7941" w:rsidP="00AB7941">
      <w:pPr>
        <w:pStyle w:val="NoSpacing"/>
        <w:jc w:val="both"/>
        <w:rPr>
          <w:rFonts w:ascii="Arial" w:hAnsi="Arial" w:cs="Arial"/>
          <w:b/>
          <w:sz w:val="20"/>
          <w:szCs w:val="20"/>
        </w:rPr>
      </w:pPr>
    </w:p>
    <w:p w14:paraId="2A0FD4A4" w14:textId="77777777" w:rsidR="00AB7941" w:rsidRPr="00430E0F" w:rsidRDefault="00AB7941" w:rsidP="00AB7941">
      <w:pPr>
        <w:pStyle w:val="NoSpacing"/>
        <w:jc w:val="both"/>
        <w:rPr>
          <w:rFonts w:ascii="Arial" w:hAnsi="Arial" w:cs="Arial"/>
          <w:b/>
          <w:sz w:val="20"/>
          <w:szCs w:val="20"/>
        </w:rPr>
      </w:pPr>
    </w:p>
    <w:p w14:paraId="620957D4" w14:textId="77777777" w:rsidR="00AB7941" w:rsidRPr="00430E0F" w:rsidRDefault="00AB7941" w:rsidP="00AB7941">
      <w:pPr>
        <w:pStyle w:val="NoSpacing"/>
        <w:jc w:val="both"/>
        <w:rPr>
          <w:rFonts w:ascii="Arial" w:hAnsi="Arial" w:cs="Arial"/>
          <w:b/>
          <w:sz w:val="20"/>
          <w:szCs w:val="20"/>
        </w:rPr>
      </w:pPr>
    </w:p>
    <w:p w14:paraId="293E83F0" w14:textId="77777777" w:rsidR="00AB7941" w:rsidRPr="00430E0F" w:rsidRDefault="00AB7941" w:rsidP="00AB7941">
      <w:pPr>
        <w:pStyle w:val="NoSpacing"/>
        <w:jc w:val="both"/>
        <w:rPr>
          <w:rFonts w:ascii="Arial" w:hAnsi="Arial" w:cs="Arial"/>
          <w:b/>
          <w:sz w:val="20"/>
          <w:szCs w:val="20"/>
        </w:rPr>
      </w:pPr>
    </w:p>
    <w:p w14:paraId="7A6E8F25" w14:textId="77777777" w:rsidR="00AB7941" w:rsidRPr="00430E0F" w:rsidRDefault="00AB7941" w:rsidP="00AB7941">
      <w:pPr>
        <w:pStyle w:val="NoSpacing"/>
        <w:jc w:val="both"/>
        <w:rPr>
          <w:rFonts w:ascii="Arial" w:hAnsi="Arial" w:cs="Arial"/>
          <w:b/>
          <w:sz w:val="20"/>
          <w:szCs w:val="20"/>
        </w:rPr>
      </w:pPr>
    </w:p>
    <w:p w14:paraId="1BD1CC81" w14:textId="77777777" w:rsidR="00AB7941" w:rsidRPr="00430E0F" w:rsidRDefault="00AB7941" w:rsidP="00AB7941">
      <w:pPr>
        <w:pStyle w:val="NoSpacing"/>
        <w:jc w:val="both"/>
        <w:rPr>
          <w:rFonts w:ascii="Arial" w:hAnsi="Arial" w:cs="Arial"/>
          <w:b/>
          <w:sz w:val="20"/>
          <w:szCs w:val="20"/>
        </w:rPr>
      </w:pPr>
    </w:p>
    <w:p w14:paraId="70B4AF40" w14:textId="77777777" w:rsidR="00AB7941" w:rsidRPr="00430E0F" w:rsidRDefault="00AB7941" w:rsidP="00AB7941">
      <w:pPr>
        <w:pStyle w:val="NoSpacing"/>
        <w:jc w:val="both"/>
        <w:rPr>
          <w:rFonts w:ascii="Arial" w:hAnsi="Arial" w:cs="Arial"/>
          <w:b/>
          <w:sz w:val="20"/>
          <w:szCs w:val="20"/>
        </w:rPr>
      </w:pPr>
    </w:p>
    <w:p w14:paraId="019239B0" w14:textId="77777777" w:rsidR="00AB7941" w:rsidRPr="00430E0F" w:rsidRDefault="00AB7941" w:rsidP="00AB7941">
      <w:pPr>
        <w:pStyle w:val="NoSpacing"/>
        <w:jc w:val="both"/>
        <w:rPr>
          <w:rFonts w:ascii="Arial" w:hAnsi="Arial" w:cs="Arial"/>
          <w:b/>
          <w:sz w:val="20"/>
          <w:szCs w:val="20"/>
        </w:rPr>
      </w:pPr>
    </w:p>
    <w:p w14:paraId="34E1E0E7" w14:textId="77777777" w:rsidR="00AB7941" w:rsidRPr="00430E0F" w:rsidRDefault="00AB7941" w:rsidP="00AB7941">
      <w:pPr>
        <w:pStyle w:val="NoSpacing"/>
        <w:jc w:val="both"/>
        <w:rPr>
          <w:rFonts w:ascii="Arial" w:hAnsi="Arial" w:cs="Arial"/>
          <w:b/>
          <w:sz w:val="20"/>
          <w:szCs w:val="20"/>
        </w:rPr>
      </w:pPr>
    </w:p>
    <w:p w14:paraId="67F802DF" w14:textId="77777777" w:rsidR="00AB7941" w:rsidRPr="00430E0F" w:rsidRDefault="00AB7941" w:rsidP="00AB7941">
      <w:pPr>
        <w:pStyle w:val="NoSpacing"/>
        <w:jc w:val="both"/>
        <w:rPr>
          <w:rFonts w:ascii="Arial" w:hAnsi="Arial" w:cs="Arial"/>
          <w:b/>
          <w:sz w:val="20"/>
          <w:szCs w:val="20"/>
        </w:rPr>
      </w:pPr>
    </w:p>
    <w:p w14:paraId="62C21479" w14:textId="77777777" w:rsidR="00AB7941" w:rsidRPr="00430E0F" w:rsidRDefault="00AB7941" w:rsidP="00AB7941">
      <w:pPr>
        <w:pStyle w:val="NoSpacing"/>
        <w:jc w:val="both"/>
        <w:rPr>
          <w:rFonts w:ascii="Arial" w:hAnsi="Arial" w:cs="Arial"/>
          <w:b/>
          <w:sz w:val="20"/>
          <w:szCs w:val="20"/>
        </w:rPr>
      </w:pPr>
    </w:p>
    <w:p w14:paraId="723D3525" w14:textId="77777777" w:rsidR="00AB7941" w:rsidRPr="00430E0F" w:rsidRDefault="00AB7941" w:rsidP="00AB7941">
      <w:pPr>
        <w:pStyle w:val="NoSpacing"/>
        <w:jc w:val="both"/>
        <w:rPr>
          <w:rFonts w:ascii="Arial" w:hAnsi="Arial" w:cs="Arial"/>
          <w:b/>
          <w:sz w:val="20"/>
          <w:szCs w:val="20"/>
        </w:rPr>
      </w:pPr>
    </w:p>
    <w:p w14:paraId="11E054B5" w14:textId="77777777" w:rsidR="00AB7941" w:rsidRPr="00430E0F" w:rsidRDefault="00AB7941" w:rsidP="00AB7941">
      <w:pPr>
        <w:pStyle w:val="NoSpacing"/>
        <w:jc w:val="both"/>
        <w:rPr>
          <w:rFonts w:ascii="Arial" w:hAnsi="Arial" w:cs="Arial"/>
          <w:b/>
          <w:sz w:val="20"/>
          <w:szCs w:val="20"/>
        </w:rPr>
      </w:pPr>
    </w:p>
    <w:p w14:paraId="140FD4A8" w14:textId="77777777" w:rsidR="00AB7941" w:rsidRPr="00430E0F" w:rsidRDefault="00AB7941" w:rsidP="00AB7941">
      <w:pPr>
        <w:pStyle w:val="NoSpacing"/>
        <w:jc w:val="both"/>
        <w:rPr>
          <w:rFonts w:ascii="Arial" w:hAnsi="Arial" w:cs="Arial"/>
          <w:b/>
          <w:sz w:val="20"/>
          <w:szCs w:val="20"/>
        </w:rPr>
      </w:pPr>
    </w:p>
    <w:p w14:paraId="090A5799" w14:textId="77777777" w:rsidR="00AB7941" w:rsidRPr="00430E0F" w:rsidRDefault="00AB7941" w:rsidP="00AB7941">
      <w:pPr>
        <w:pStyle w:val="NoSpacing"/>
        <w:jc w:val="both"/>
        <w:rPr>
          <w:rFonts w:ascii="Arial" w:hAnsi="Arial" w:cs="Arial"/>
          <w:b/>
          <w:sz w:val="20"/>
          <w:szCs w:val="20"/>
        </w:rPr>
      </w:pPr>
    </w:p>
    <w:p w14:paraId="039D7D8C" w14:textId="77777777" w:rsidR="00AB7941" w:rsidRPr="00430E0F" w:rsidRDefault="00AB7941" w:rsidP="00AB7941">
      <w:pPr>
        <w:pStyle w:val="NoSpacing"/>
        <w:jc w:val="both"/>
        <w:rPr>
          <w:rFonts w:ascii="Arial" w:hAnsi="Arial" w:cs="Arial"/>
          <w:b/>
          <w:sz w:val="20"/>
          <w:szCs w:val="20"/>
        </w:rPr>
      </w:pPr>
    </w:p>
    <w:p w14:paraId="70BF70D7" w14:textId="77777777" w:rsidR="00AB7941" w:rsidRPr="00430E0F" w:rsidRDefault="00AB7941" w:rsidP="00AB7941">
      <w:pPr>
        <w:pStyle w:val="NoSpacing"/>
        <w:jc w:val="both"/>
        <w:rPr>
          <w:rFonts w:ascii="Arial" w:hAnsi="Arial" w:cs="Arial"/>
          <w:b/>
          <w:sz w:val="20"/>
          <w:szCs w:val="20"/>
        </w:rPr>
      </w:pPr>
    </w:p>
    <w:p w14:paraId="583F02DC" w14:textId="77777777" w:rsidR="00AB7941" w:rsidRPr="00430E0F" w:rsidRDefault="00AB7941" w:rsidP="00AB7941">
      <w:pPr>
        <w:pStyle w:val="NoSpacing"/>
        <w:jc w:val="both"/>
        <w:rPr>
          <w:rFonts w:ascii="Arial" w:hAnsi="Arial" w:cs="Arial"/>
          <w:b/>
          <w:sz w:val="20"/>
          <w:szCs w:val="20"/>
        </w:rPr>
      </w:pPr>
    </w:p>
    <w:p w14:paraId="7BEAF02D" w14:textId="77777777" w:rsidR="00AB7941" w:rsidRPr="00430E0F" w:rsidRDefault="00AB7941" w:rsidP="00AB7941">
      <w:pPr>
        <w:pStyle w:val="NoSpacing"/>
        <w:jc w:val="both"/>
        <w:rPr>
          <w:rFonts w:ascii="Arial" w:hAnsi="Arial" w:cs="Arial"/>
          <w:b/>
          <w:sz w:val="20"/>
          <w:szCs w:val="20"/>
        </w:rPr>
      </w:pPr>
    </w:p>
    <w:p w14:paraId="655C48EC" w14:textId="77777777" w:rsidR="00AB7941" w:rsidRPr="00430E0F" w:rsidRDefault="00AB7941" w:rsidP="00AB7941">
      <w:pPr>
        <w:pStyle w:val="NoSpacing"/>
        <w:jc w:val="both"/>
        <w:rPr>
          <w:rFonts w:ascii="Arial" w:hAnsi="Arial" w:cs="Arial"/>
          <w:b/>
          <w:sz w:val="20"/>
          <w:szCs w:val="20"/>
        </w:rPr>
      </w:pPr>
    </w:p>
    <w:p w14:paraId="3AFA4525" w14:textId="77777777" w:rsidR="00AB7941" w:rsidRPr="00430E0F" w:rsidRDefault="00AB7941" w:rsidP="00AB7941">
      <w:pPr>
        <w:pStyle w:val="NoSpacing"/>
        <w:jc w:val="both"/>
        <w:rPr>
          <w:rFonts w:ascii="Arial" w:hAnsi="Arial" w:cs="Arial"/>
          <w:b/>
          <w:sz w:val="20"/>
          <w:szCs w:val="20"/>
        </w:rPr>
      </w:pPr>
    </w:p>
    <w:p w14:paraId="2EF409DE" w14:textId="77777777" w:rsidR="00AB7941" w:rsidRPr="00430E0F" w:rsidRDefault="00AB7941" w:rsidP="00AB7941">
      <w:pPr>
        <w:pStyle w:val="NoSpacing"/>
        <w:jc w:val="both"/>
        <w:rPr>
          <w:rFonts w:ascii="Arial" w:hAnsi="Arial" w:cs="Arial"/>
          <w:b/>
          <w:sz w:val="20"/>
          <w:szCs w:val="20"/>
        </w:rPr>
      </w:pPr>
    </w:p>
    <w:p w14:paraId="542E5A22" w14:textId="77777777" w:rsidR="00AB7941" w:rsidRPr="00430E0F" w:rsidRDefault="00AB7941" w:rsidP="00AB7941">
      <w:pPr>
        <w:pStyle w:val="NoSpacing"/>
        <w:jc w:val="both"/>
        <w:rPr>
          <w:rFonts w:ascii="Arial" w:hAnsi="Arial" w:cs="Arial"/>
          <w:b/>
          <w:sz w:val="20"/>
          <w:szCs w:val="20"/>
        </w:rPr>
      </w:pPr>
    </w:p>
    <w:p w14:paraId="426F3746" w14:textId="77777777" w:rsidR="00AB7941" w:rsidRPr="00430E0F" w:rsidRDefault="00AB7941" w:rsidP="00AB7941">
      <w:pPr>
        <w:pStyle w:val="NoSpacing"/>
        <w:jc w:val="both"/>
        <w:rPr>
          <w:rFonts w:ascii="Arial" w:hAnsi="Arial" w:cs="Arial"/>
          <w:b/>
          <w:sz w:val="20"/>
          <w:szCs w:val="20"/>
        </w:rPr>
      </w:pPr>
    </w:p>
    <w:p w14:paraId="4CF07F73" w14:textId="77777777" w:rsidR="00AB7941" w:rsidRPr="00430E0F" w:rsidRDefault="00AB7941" w:rsidP="00AB7941">
      <w:pPr>
        <w:pStyle w:val="NoSpacing"/>
        <w:jc w:val="both"/>
        <w:rPr>
          <w:rFonts w:ascii="Arial" w:hAnsi="Arial" w:cs="Arial"/>
          <w:b/>
          <w:sz w:val="20"/>
          <w:szCs w:val="20"/>
        </w:rPr>
      </w:pPr>
    </w:p>
    <w:p w14:paraId="24327E37" w14:textId="77777777" w:rsidR="00AB7941" w:rsidRPr="00430E0F" w:rsidRDefault="00AB7941" w:rsidP="00AB7941">
      <w:pPr>
        <w:pStyle w:val="NoSpacing"/>
        <w:jc w:val="both"/>
        <w:rPr>
          <w:rFonts w:ascii="Arial" w:hAnsi="Arial" w:cs="Arial"/>
          <w:b/>
          <w:sz w:val="20"/>
          <w:szCs w:val="20"/>
        </w:rPr>
      </w:pPr>
    </w:p>
    <w:p w14:paraId="7CD21763" w14:textId="77777777" w:rsidR="00AB7941" w:rsidRPr="00430E0F" w:rsidRDefault="00AB7941" w:rsidP="00AB7941">
      <w:pPr>
        <w:pStyle w:val="NoSpacing"/>
        <w:jc w:val="both"/>
        <w:rPr>
          <w:rFonts w:ascii="Arial" w:hAnsi="Arial" w:cs="Arial"/>
          <w:b/>
          <w:sz w:val="20"/>
          <w:szCs w:val="20"/>
        </w:rPr>
      </w:pPr>
    </w:p>
    <w:p w14:paraId="1638B765" w14:textId="77777777" w:rsidR="00AB7941" w:rsidRPr="00430E0F" w:rsidRDefault="00AB7941" w:rsidP="00AB7941">
      <w:pPr>
        <w:pStyle w:val="NoSpacing"/>
        <w:jc w:val="both"/>
        <w:rPr>
          <w:rFonts w:ascii="Arial" w:hAnsi="Arial" w:cs="Arial"/>
          <w:b/>
          <w:sz w:val="20"/>
          <w:szCs w:val="20"/>
        </w:rPr>
      </w:pPr>
    </w:p>
    <w:p w14:paraId="528B8687" w14:textId="77777777" w:rsidR="00AB7941" w:rsidRPr="00430E0F" w:rsidRDefault="00AB7941" w:rsidP="00AB7941">
      <w:pPr>
        <w:pStyle w:val="NoSpacing"/>
        <w:jc w:val="both"/>
        <w:rPr>
          <w:rFonts w:ascii="Arial" w:hAnsi="Arial" w:cs="Arial"/>
          <w:b/>
          <w:sz w:val="20"/>
          <w:szCs w:val="20"/>
        </w:rPr>
      </w:pPr>
    </w:p>
    <w:p w14:paraId="575B51CC" w14:textId="77777777" w:rsidR="00AB7941" w:rsidRPr="00430E0F" w:rsidRDefault="00AB7941" w:rsidP="00AB7941">
      <w:pPr>
        <w:pStyle w:val="NoSpacing"/>
        <w:jc w:val="both"/>
        <w:rPr>
          <w:rFonts w:ascii="Arial" w:hAnsi="Arial" w:cs="Arial"/>
          <w:b/>
          <w:sz w:val="20"/>
          <w:szCs w:val="20"/>
        </w:rPr>
      </w:pPr>
    </w:p>
    <w:p w14:paraId="6B17DBCF" w14:textId="77777777" w:rsidR="00AB7941" w:rsidRPr="00430E0F" w:rsidRDefault="00AB7941" w:rsidP="00AB7941">
      <w:pPr>
        <w:pStyle w:val="NoSpacing"/>
        <w:jc w:val="both"/>
        <w:rPr>
          <w:rFonts w:ascii="Arial" w:hAnsi="Arial" w:cs="Arial"/>
          <w:b/>
          <w:sz w:val="20"/>
          <w:szCs w:val="20"/>
        </w:rPr>
        <w:sectPr w:rsidR="00AB7941" w:rsidRPr="00430E0F" w:rsidSect="006D191E">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327B5C38" w14:textId="7FC78C46" w:rsidR="00AB7941" w:rsidRPr="00430E0F" w:rsidRDefault="00AB7941" w:rsidP="00AB7941">
      <w:pPr>
        <w:pStyle w:val="NoSpacing"/>
        <w:jc w:val="both"/>
        <w:rPr>
          <w:rFonts w:ascii="Arial" w:hAnsi="Arial" w:cs="Arial"/>
          <w:b/>
          <w:i/>
          <w:sz w:val="20"/>
          <w:szCs w:val="20"/>
        </w:rPr>
      </w:pPr>
      <w:r w:rsidRPr="00430E0F">
        <w:rPr>
          <w:rFonts w:ascii="Arial" w:hAnsi="Arial" w:cs="Arial"/>
          <w:b/>
          <w:sz w:val="20"/>
          <w:szCs w:val="20"/>
        </w:rPr>
        <w:lastRenderedPageBreak/>
        <w:t xml:space="preserve">Table 3. Antibacterial Susceptibility Testing of </w:t>
      </w:r>
      <w:r w:rsidRPr="00430E0F">
        <w:rPr>
          <w:rFonts w:ascii="Arial" w:hAnsi="Arial" w:cs="Arial"/>
          <w:b/>
          <w:i/>
          <w:iCs/>
          <w:sz w:val="20"/>
          <w:szCs w:val="20"/>
        </w:rPr>
        <w:t>Psidium guajava</w:t>
      </w:r>
      <w:r w:rsidRPr="00430E0F">
        <w:rPr>
          <w:rFonts w:ascii="Arial" w:hAnsi="Arial" w:cs="Arial"/>
          <w:b/>
          <w:sz w:val="20"/>
          <w:szCs w:val="20"/>
        </w:rPr>
        <w:t xml:space="preserve"> </w:t>
      </w:r>
      <w:r w:rsidR="00A15CB7" w:rsidRPr="00430E0F">
        <w:rPr>
          <w:rFonts w:ascii="Arial" w:hAnsi="Arial" w:cs="Arial"/>
          <w:b/>
          <w:sz w:val="20"/>
          <w:szCs w:val="20"/>
        </w:rPr>
        <w:t xml:space="preserve">Aqueous, Ethanol and Methanol Leaf Extracts </w:t>
      </w:r>
      <w:r w:rsidRPr="00430E0F">
        <w:rPr>
          <w:rFonts w:ascii="Arial" w:hAnsi="Arial" w:cs="Arial"/>
          <w:b/>
          <w:sz w:val="20"/>
          <w:szCs w:val="20"/>
        </w:rPr>
        <w:t xml:space="preserve">on </w:t>
      </w:r>
      <w:r w:rsidR="00430E0F" w:rsidRPr="00430E0F">
        <w:rPr>
          <w:rFonts w:ascii="Arial" w:hAnsi="Arial" w:cs="Arial"/>
          <w:b/>
          <w:i/>
          <w:iCs/>
          <w:sz w:val="20"/>
          <w:szCs w:val="20"/>
        </w:rPr>
        <w:t>Klebsiella pneumoniae</w:t>
      </w:r>
      <w:r w:rsidR="00A15CB7" w:rsidRPr="00430E0F">
        <w:rPr>
          <w:rFonts w:ascii="Arial" w:hAnsi="Arial" w:cs="Arial"/>
          <w:b/>
          <w:i/>
          <w:iCs/>
          <w:sz w:val="20"/>
          <w:szCs w:val="20"/>
        </w:rPr>
        <w:t xml:space="preserve"> </w:t>
      </w:r>
      <w:r w:rsidR="00A15CB7" w:rsidRPr="00430E0F">
        <w:rPr>
          <w:rFonts w:ascii="Arial" w:hAnsi="Arial" w:cs="Arial"/>
          <w:b/>
          <w:sz w:val="20"/>
          <w:szCs w:val="20"/>
        </w:rPr>
        <w:t>Isolates</w:t>
      </w:r>
      <w:r w:rsidRPr="00430E0F">
        <w:rPr>
          <w:rFonts w:ascii="Arial" w:hAnsi="Arial" w:cs="Arial"/>
          <w:b/>
          <w:i/>
          <w:sz w:val="20"/>
          <w:szCs w:val="20"/>
        </w:rPr>
        <w:t>.</w:t>
      </w:r>
    </w:p>
    <w:p w14:paraId="418DA05E" w14:textId="77777777" w:rsidR="00AB7941" w:rsidRPr="00430E0F" w:rsidRDefault="00AB7941" w:rsidP="00AB7941">
      <w:pPr>
        <w:pStyle w:val="NoSpacing"/>
        <w:spacing w:line="360" w:lineRule="auto"/>
        <w:jc w:val="both"/>
        <w:rPr>
          <w:rFonts w:ascii="Arial" w:hAnsi="Arial" w:cs="Arial"/>
          <w:sz w:val="20"/>
          <w:szCs w:val="20"/>
        </w:rPr>
      </w:pPr>
      <w:r w:rsidRPr="00430E0F">
        <w:rPr>
          <w:rFonts w:ascii="Arial" w:hAnsi="Arial" w:cs="Arial"/>
          <w:noProof/>
          <w:sz w:val="20"/>
          <w:szCs w:val="20"/>
        </w:rPr>
        <mc:AlternateContent>
          <mc:Choice Requires="wps">
            <w:drawing>
              <wp:anchor distT="0" distB="0" distL="114300" distR="114300" simplePos="0" relativeHeight="251671552" behindDoc="0" locked="0" layoutInCell="1" allowOverlap="1" wp14:anchorId="0915E542" wp14:editId="2808B80B">
                <wp:simplePos x="0" y="0"/>
                <wp:positionH relativeFrom="column">
                  <wp:posOffset>-10160</wp:posOffset>
                </wp:positionH>
                <wp:positionV relativeFrom="paragraph">
                  <wp:posOffset>837151</wp:posOffset>
                </wp:positionV>
                <wp:extent cx="6728460" cy="9525"/>
                <wp:effectExtent l="0" t="0" r="34290" b="28575"/>
                <wp:wrapNone/>
                <wp:docPr id="33" name="Straight Connector 33"/>
                <wp:cNvGraphicFramePr/>
                <a:graphic xmlns:a="http://schemas.openxmlformats.org/drawingml/2006/main">
                  <a:graphicData uri="http://schemas.microsoft.com/office/word/2010/wordprocessingShape">
                    <wps:wsp>
                      <wps:cNvCnPr/>
                      <wps:spPr>
                        <a:xfrm>
                          <a:off x="0" y="0"/>
                          <a:ext cx="6728460" cy="95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F2E528" id="Straight Connector 33"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8pt,65.9pt" to="529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" strokecolor="black [3200]" strokeweight=".5pt">
                <v:stroke joinstyle="miter"/>
              </v:line>
            </w:pict>
          </mc:Fallback>
        </mc:AlternateContent>
      </w:r>
      <w:r w:rsidRPr="00430E0F">
        <w:rPr>
          <w:rFonts w:ascii="Arial" w:hAnsi="Arial" w:cs="Arial"/>
          <w:noProof/>
          <w:sz w:val="20"/>
          <w:szCs w:val="20"/>
        </w:rPr>
        <mc:AlternateContent>
          <mc:Choice Requires="wps">
            <w:drawing>
              <wp:anchor distT="0" distB="0" distL="114300" distR="114300" simplePos="0" relativeHeight="251670528" behindDoc="0" locked="0" layoutInCell="1" allowOverlap="1" wp14:anchorId="71895822" wp14:editId="3D06FDE6">
                <wp:simplePos x="0" y="0"/>
                <wp:positionH relativeFrom="column">
                  <wp:posOffset>-1</wp:posOffset>
                </wp:positionH>
                <wp:positionV relativeFrom="paragraph">
                  <wp:posOffset>217418</wp:posOffset>
                </wp:positionV>
                <wp:extent cx="6728791" cy="9940"/>
                <wp:effectExtent l="0" t="0" r="34290" b="28575"/>
                <wp:wrapNone/>
                <wp:docPr id="9" name="Straight Connector 9"/>
                <wp:cNvGraphicFramePr/>
                <a:graphic xmlns:a="http://schemas.openxmlformats.org/drawingml/2006/main">
                  <a:graphicData uri="http://schemas.microsoft.com/office/word/2010/wordprocessingShape">
                    <wps:wsp>
                      <wps:cNvCnPr/>
                      <wps:spPr>
                        <a:xfrm>
                          <a:off x="0" y="0"/>
                          <a:ext cx="6728791" cy="99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73EB1C" id="Straight Connector 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0,17.1pt" to="529.8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" strokecolor="black [3200]" strokeweight=".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894"/>
        <w:gridCol w:w="894"/>
        <w:gridCol w:w="894"/>
        <w:gridCol w:w="894"/>
        <w:gridCol w:w="894"/>
        <w:gridCol w:w="894"/>
        <w:gridCol w:w="894"/>
        <w:gridCol w:w="894"/>
        <w:gridCol w:w="894"/>
        <w:gridCol w:w="1543"/>
      </w:tblGrid>
      <w:tr w:rsidR="00430E0F" w:rsidRPr="00430E0F" w14:paraId="058CB27A" w14:textId="77777777" w:rsidTr="00116313">
        <w:tc>
          <w:tcPr>
            <w:tcW w:w="900" w:type="dxa"/>
          </w:tcPr>
          <w:p w14:paraId="714E0FAF"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b/>
                <w:sz w:val="20"/>
                <w:szCs w:val="20"/>
              </w:rPr>
              <w:t>Isolate</w:t>
            </w:r>
          </w:p>
        </w:tc>
        <w:tc>
          <w:tcPr>
            <w:tcW w:w="8046" w:type="dxa"/>
            <w:gridSpan w:val="9"/>
          </w:tcPr>
          <w:p w14:paraId="5ABCAF19" w14:textId="77777777" w:rsidR="00AB7941" w:rsidRPr="00430E0F" w:rsidRDefault="00AB7941" w:rsidP="00116313">
            <w:pPr>
              <w:pStyle w:val="NoSpacing"/>
              <w:spacing w:line="360" w:lineRule="auto"/>
              <w:jc w:val="center"/>
              <w:rPr>
                <w:rFonts w:ascii="Arial" w:hAnsi="Arial" w:cs="Arial"/>
                <w:sz w:val="20"/>
                <w:szCs w:val="20"/>
              </w:rPr>
            </w:pPr>
            <w:r w:rsidRPr="00430E0F">
              <w:rPr>
                <w:rFonts w:ascii="Arial" w:hAnsi="Arial" w:cs="Arial"/>
                <w:b/>
                <w:sz w:val="20"/>
                <w:szCs w:val="20"/>
              </w:rPr>
              <w:t>Concentration / Inhibition Zone Diameter (mm)</w:t>
            </w:r>
          </w:p>
        </w:tc>
        <w:tc>
          <w:tcPr>
            <w:tcW w:w="1543" w:type="dxa"/>
          </w:tcPr>
          <w:p w14:paraId="13963C1C" w14:textId="77777777" w:rsidR="00AB7941" w:rsidRPr="00430E0F" w:rsidRDefault="00AB7941" w:rsidP="00116313">
            <w:pPr>
              <w:pStyle w:val="NoSpacing"/>
              <w:spacing w:line="360" w:lineRule="auto"/>
              <w:jc w:val="center"/>
              <w:rPr>
                <w:rFonts w:ascii="Arial" w:hAnsi="Arial" w:cs="Arial"/>
                <w:b/>
                <w:sz w:val="20"/>
                <w:szCs w:val="20"/>
              </w:rPr>
            </w:pPr>
          </w:p>
        </w:tc>
      </w:tr>
      <w:tr w:rsidR="00430E0F" w:rsidRPr="00430E0F" w14:paraId="03420160" w14:textId="77777777" w:rsidTr="00116313">
        <w:tc>
          <w:tcPr>
            <w:tcW w:w="900" w:type="dxa"/>
          </w:tcPr>
          <w:p w14:paraId="01A79D8F" w14:textId="77777777" w:rsidR="00AB7941" w:rsidRPr="00430E0F" w:rsidRDefault="00AB7941" w:rsidP="00116313">
            <w:pPr>
              <w:pStyle w:val="NoSpacing"/>
              <w:spacing w:line="360" w:lineRule="auto"/>
              <w:jc w:val="both"/>
              <w:rPr>
                <w:rFonts w:ascii="Arial" w:hAnsi="Arial" w:cs="Arial"/>
                <w:b/>
                <w:sz w:val="20"/>
                <w:szCs w:val="20"/>
              </w:rPr>
            </w:pPr>
          </w:p>
        </w:tc>
        <w:tc>
          <w:tcPr>
            <w:tcW w:w="2682" w:type="dxa"/>
            <w:gridSpan w:val="3"/>
          </w:tcPr>
          <w:p w14:paraId="16542303" w14:textId="77777777" w:rsidR="00AB7941" w:rsidRPr="00430E0F" w:rsidRDefault="00AB7941" w:rsidP="00116313">
            <w:pPr>
              <w:pStyle w:val="NoSpacing"/>
              <w:spacing w:line="360" w:lineRule="auto"/>
              <w:jc w:val="both"/>
              <w:rPr>
                <w:rFonts w:ascii="Arial" w:hAnsi="Arial" w:cs="Arial"/>
                <w:b/>
                <w:sz w:val="20"/>
                <w:szCs w:val="20"/>
              </w:rPr>
            </w:pPr>
            <w:r w:rsidRPr="00430E0F">
              <w:rPr>
                <w:rFonts w:ascii="Arial" w:hAnsi="Arial" w:cs="Arial"/>
                <w:b/>
                <w:sz w:val="20"/>
                <w:szCs w:val="20"/>
              </w:rPr>
              <w:t xml:space="preserve">Aqueous leaf extracts </w:t>
            </w:r>
          </w:p>
        </w:tc>
        <w:tc>
          <w:tcPr>
            <w:tcW w:w="2682" w:type="dxa"/>
            <w:gridSpan w:val="3"/>
          </w:tcPr>
          <w:p w14:paraId="34CFD613" w14:textId="77777777" w:rsidR="00AB7941" w:rsidRPr="00430E0F" w:rsidRDefault="00AB7941" w:rsidP="00116313">
            <w:pPr>
              <w:pStyle w:val="NoSpacing"/>
              <w:spacing w:line="360" w:lineRule="auto"/>
              <w:jc w:val="both"/>
              <w:rPr>
                <w:rFonts w:ascii="Arial" w:hAnsi="Arial" w:cs="Arial"/>
                <w:b/>
                <w:sz w:val="20"/>
                <w:szCs w:val="20"/>
              </w:rPr>
            </w:pPr>
            <w:r w:rsidRPr="00430E0F">
              <w:rPr>
                <w:rFonts w:ascii="Arial" w:hAnsi="Arial" w:cs="Arial"/>
                <w:b/>
                <w:sz w:val="20"/>
                <w:szCs w:val="20"/>
              </w:rPr>
              <w:t xml:space="preserve">Ethanol leaf extracts </w:t>
            </w:r>
          </w:p>
        </w:tc>
        <w:tc>
          <w:tcPr>
            <w:tcW w:w="2682" w:type="dxa"/>
            <w:gridSpan w:val="3"/>
          </w:tcPr>
          <w:p w14:paraId="24546DC9" w14:textId="77777777" w:rsidR="00AB7941" w:rsidRPr="00430E0F" w:rsidRDefault="00AB7941" w:rsidP="00116313">
            <w:pPr>
              <w:pStyle w:val="NoSpacing"/>
              <w:spacing w:line="360" w:lineRule="auto"/>
              <w:jc w:val="both"/>
              <w:rPr>
                <w:rFonts w:ascii="Arial" w:hAnsi="Arial" w:cs="Arial"/>
                <w:b/>
                <w:sz w:val="20"/>
                <w:szCs w:val="20"/>
              </w:rPr>
            </w:pPr>
            <w:r w:rsidRPr="00430E0F">
              <w:rPr>
                <w:rFonts w:ascii="Arial" w:hAnsi="Arial" w:cs="Arial"/>
                <w:b/>
                <w:sz w:val="20"/>
                <w:szCs w:val="20"/>
              </w:rPr>
              <w:t xml:space="preserve">Methanol leaf extracts </w:t>
            </w:r>
          </w:p>
        </w:tc>
        <w:tc>
          <w:tcPr>
            <w:tcW w:w="1543" w:type="dxa"/>
          </w:tcPr>
          <w:p w14:paraId="56046FCD" w14:textId="77777777" w:rsidR="00AB7941" w:rsidRPr="00430E0F" w:rsidRDefault="00AB7941" w:rsidP="00116313">
            <w:pPr>
              <w:pStyle w:val="NoSpacing"/>
              <w:spacing w:line="360" w:lineRule="auto"/>
              <w:jc w:val="both"/>
              <w:rPr>
                <w:rFonts w:ascii="Arial" w:hAnsi="Arial" w:cs="Arial"/>
                <w:b/>
                <w:sz w:val="20"/>
                <w:szCs w:val="20"/>
              </w:rPr>
            </w:pPr>
            <w:r w:rsidRPr="00430E0F">
              <w:rPr>
                <w:rFonts w:ascii="Arial" w:hAnsi="Arial" w:cs="Arial"/>
                <w:b/>
                <w:sz w:val="20"/>
                <w:szCs w:val="20"/>
              </w:rPr>
              <w:t>Ciprofloxacin (Control)</w:t>
            </w:r>
          </w:p>
        </w:tc>
      </w:tr>
      <w:tr w:rsidR="00430E0F" w:rsidRPr="00430E0F" w14:paraId="3D535E9A" w14:textId="77777777" w:rsidTr="00116313">
        <w:tc>
          <w:tcPr>
            <w:tcW w:w="900" w:type="dxa"/>
          </w:tcPr>
          <w:p w14:paraId="163B7F44" w14:textId="77777777" w:rsidR="00AB7941" w:rsidRPr="00430E0F" w:rsidRDefault="00AB7941" w:rsidP="00116313">
            <w:pPr>
              <w:pStyle w:val="NoSpacing"/>
              <w:spacing w:line="360" w:lineRule="auto"/>
              <w:jc w:val="both"/>
              <w:rPr>
                <w:rFonts w:ascii="Arial" w:hAnsi="Arial" w:cs="Arial"/>
                <w:sz w:val="20"/>
                <w:szCs w:val="20"/>
              </w:rPr>
            </w:pPr>
          </w:p>
        </w:tc>
        <w:tc>
          <w:tcPr>
            <w:tcW w:w="894" w:type="dxa"/>
          </w:tcPr>
          <w:p w14:paraId="038E20D0"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200 (mg/ml)</w:t>
            </w:r>
          </w:p>
        </w:tc>
        <w:tc>
          <w:tcPr>
            <w:tcW w:w="894" w:type="dxa"/>
          </w:tcPr>
          <w:p w14:paraId="7E8D6C27"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100 (mg/ml)</w:t>
            </w:r>
          </w:p>
        </w:tc>
        <w:tc>
          <w:tcPr>
            <w:tcW w:w="894" w:type="dxa"/>
          </w:tcPr>
          <w:p w14:paraId="127B14E6"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50 (mg/ml)</w:t>
            </w:r>
          </w:p>
        </w:tc>
        <w:tc>
          <w:tcPr>
            <w:tcW w:w="894" w:type="dxa"/>
          </w:tcPr>
          <w:p w14:paraId="16DD716E"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 xml:space="preserve">200 (mg/ml) </w:t>
            </w:r>
          </w:p>
        </w:tc>
        <w:tc>
          <w:tcPr>
            <w:tcW w:w="894" w:type="dxa"/>
          </w:tcPr>
          <w:p w14:paraId="48555371"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100 (mg/ml)</w:t>
            </w:r>
          </w:p>
        </w:tc>
        <w:tc>
          <w:tcPr>
            <w:tcW w:w="894" w:type="dxa"/>
          </w:tcPr>
          <w:p w14:paraId="0C6EDEA9"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50 (mg/ml)</w:t>
            </w:r>
          </w:p>
        </w:tc>
        <w:tc>
          <w:tcPr>
            <w:tcW w:w="894" w:type="dxa"/>
          </w:tcPr>
          <w:p w14:paraId="1460AD3F"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200 (mg/ml)</w:t>
            </w:r>
          </w:p>
        </w:tc>
        <w:tc>
          <w:tcPr>
            <w:tcW w:w="894" w:type="dxa"/>
          </w:tcPr>
          <w:p w14:paraId="5BE31809"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100 (mg/ml)</w:t>
            </w:r>
          </w:p>
        </w:tc>
        <w:tc>
          <w:tcPr>
            <w:tcW w:w="894" w:type="dxa"/>
          </w:tcPr>
          <w:p w14:paraId="321DFC6B"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 xml:space="preserve">50 (mg/ml) </w:t>
            </w:r>
          </w:p>
        </w:tc>
        <w:tc>
          <w:tcPr>
            <w:tcW w:w="1543" w:type="dxa"/>
          </w:tcPr>
          <w:p w14:paraId="436964F8" w14:textId="77777777" w:rsidR="00AB7941" w:rsidRPr="00430E0F" w:rsidRDefault="00AB7941" w:rsidP="00116313">
            <w:pPr>
              <w:pStyle w:val="NoSpacing"/>
              <w:spacing w:line="360" w:lineRule="auto"/>
              <w:jc w:val="both"/>
              <w:rPr>
                <w:rFonts w:ascii="Arial" w:hAnsi="Arial" w:cs="Arial"/>
                <w:sz w:val="20"/>
                <w:szCs w:val="20"/>
              </w:rPr>
            </w:pPr>
          </w:p>
        </w:tc>
      </w:tr>
      <w:tr w:rsidR="00430E0F" w:rsidRPr="00430E0F" w14:paraId="751F9101" w14:textId="77777777" w:rsidTr="00116313">
        <w:tc>
          <w:tcPr>
            <w:tcW w:w="900" w:type="dxa"/>
          </w:tcPr>
          <w:p w14:paraId="426111FC"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KP1</w:t>
            </w:r>
          </w:p>
        </w:tc>
        <w:tc>
          <w:tcPr>
            <w:tcW w:w="894" w:type="dxa"/>
          </w:tcPr>
          <w:p w14:paraId="20FBDACC"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12</w:t>
            </w:r>
          </w:p>
        </w:tc>
        <w:tc>
          <w:tcPr>
            <w:tcW w:w="894" w:type="dxa"/>
          </w:tcPr>
          <w:p w14:paraId="79058D50"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12</w:t>
            </w:r>
          </w:p>
        </w:tc>
        <w:tc>
          <w:tcPr>
            <w:tcW w:w="894" w:type="dxa"/>
          </w:tcPr>
          <w:p w14:paraId="650B21A8"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11</w:t>
            </w:r>
          </w:p>
        </w:tc>
        <w:tc>
          <w:tcPr>
            <w:tcW w:w="894" w:type="dxa"/>
          </w:tcPr>
          <w:p w14:paraId="771723F0"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18</w:t>
            </w:r>
          </w:p>
        </w:tc>
        <w:tc>
          <w:tcPr>
            <w:tcW w:w="894" w:type="dxa"/>
          </w:tcPr>
          <w:p w14:paraId="4DCA9C55"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16</w:t>
            </w:r>
          </w:p>
        </w:tc>
        <w:tc>
          <w:tcPr>
            <w:tcW w:w="894" w:type="dxa"/>
          </w:tcPr>
          <w:p w14:paraId="70DC4351"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12</w:t>
            </w:r>
          </w:p>
        </w:tc>
        <w:tc>
          <w:tcPr>
            <w:tcW w:w="894" w:type="dxa"/>
          </w:tcPr>
          <w:p w14:paraId="4D0F5D7B"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19</w:t>
            </w:r>
          </w:p>
        </w:tc>
        <w:tc>
          <w:tcPr>
            <w:tcW w:w="894" w:type="dxa"/>
          </w:tcPr>
          <w:p w14:paraId="6182169E"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17</w:t>
            </w:r>
          </w:p>
        </w:tc>
        <w:tc>
          <w:tcPr>
            <w:tcW w:w="894" w:type="dxa"/>
          </w:tcPr>
          <w:p w14:paraId="56AA8A8E"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13</w:t>
            </w:r>
          </w:p>
        </w:tc>
        <w:tc>
          <w:tcPr>
            <w:tcW w:w="1543" w:type="dxa"/>
          </w:tcPr>
          <w:p w14:paraId="67925DA6"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28</w:t>
            </w:r>
          </w:p>
        </w:tc>
      </w:tr>
      <w:tr w:rsidR="00430E0F" w:rsidRPr="00430E0F" w14:paraId="5992053F" w14:textId="77777777" w:rsidTr="00116313">
        <w:tc>
          <w:tcPr>
            <w:tcW w:w="900" w:type="dxa"/>
          </w:tcPr>
          <w:p w14:paraId="570ABC30"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KP2</w:t>
            </w:r>
          </w:p>
        </w:tc>
        <w:tc>
          <w:tcPr>
            <w:tcW w:w="894" w:type="dxa"/>
          </w:tcPr>
          <w:p w14:paraId="51E25BC5"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12</w:t>
            </w:r>
          </w:p>
        </w:tc>
        <w:tc>
          <w:tcPr>
            <w:tcW w:w="894" w:type="dxa"/>
          </w:tcPr>
          <w:p w14:paraId="73E788B4"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11</w:t>
            </w:r>
          </w:p>
        </w:tc>
        <w:tc>
          <w:tcPr>
            <w:tcW w:w="894" w:type="dxa"/>
          </w:tcPr>
          <w:p w14:paraId="14745010"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10</w:t>
            </w:r>
          </w:p>
        </w:tc>
        <w:tc>
          <w:tcPr>
            <w:tcW w:w="894" w:type="dxa"/>
          </w:tcPr>
          <w:p w14:paraId="4D30343A"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17</w:t>
            </w:r>
          </w:p>
        </w:tc>
        <w:tc>
          <w:tcPr>
            <w:tcW w:w="894" w:type="dxa"/>
          </w:tcPr>
          <w:p w14:paraId="4D507AAC"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16</w:t>
            </w:r>
          </w:p>
        </w:tc>
        <w:tc>
          <w:tcPr>
            <w:tcW w:w="894" w:type="dxa"/>
          </w:tcPr>
          <w:p w14:paraId="237EFE04"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11</w:t>
            </w:r>
          </w:p>
        </w:tc>
        <w:tc>
          <w:tcPr>
            <w:tcW w:w="894" w:type="dxa"/>
          </w:tcPr>
          <w:p w14:paraId="59E397A6"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18</w:t>
            </w:r>
          </w:p>
        </w:tc>
        <w:tc>
          <w:tcPr>
            <w:tcW w:w="894" w:type="dxa"/>
          </w:tcPr>
          <w:p w14:paraId="0B3D9DFD"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17</w:t>
            </w:r>
          </w:p>
        </w:tc>
        <w:tc>
          <w:tcPr>
            <w:tcW w:w="894" w:type="dxa"/>
          </w:tcPr>
          <w:p w14:paraId="55E2AEDA"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12</w:t>
            </w:r>
          </w:p>
        </w:tc>
        <w:tc>
          <w:tcPr>
            <w:tcW w:w="1543" w:type="dxa"/>
          </w:tcPr>
          <w:p w14:paraId="745AC705"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26</w:t>
            </w:r>
          </w:p>
        </w:tc>
      </w:tr>
      <w:tr w:rsidR="00430E0F" w:rsidRPr="00430E0F" w14:paraId="4D1BE1F3" w14:textId="77777777" w:rsidTr="00116313">
        <w:tc>
          <w:tcPr>
            <w:tcW w:w="900" w:type="dxa"/>
          </w:tcPr>
          <w:p w14:paraId="51E03A98"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KP3</w:t>
            </w:r>
          </w:p>
        </w:tc>
        <w:tc>
          <w:tcPr>
            <w:tcW w:w="894" w:type="dxa"/>
          </w:tcPr>
          <w:p w14:paraId="2234CAF6"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10</w:t>
            </w:r>
          </w:p>
        </w:tc>
        <w:tc>
          <w:tcPr>
            <w:tcW w:w="894" w:type="dxa"/>
          </w:tcPr>
          <w:p w14:paraId="5E5B0EDD"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09</w:t>
            </w:r>
          </w:p>
        </w:tc>
        <w:tc>
          <w:tcPr>
            <w:tcW w:w="894" w:type="dxa"/>
          </w:tcPr>
          <w:p w14:paraId="665629C5"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11</w:t>
            </w:r>
          </w:p>
        </w:tc>
        <w:tc>
          <w:tcPr>
            <w:tcW w:w="894" w:type="dxa"/>
          </w:tcPr>
          <w:p w14:paraId="128D6394"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16</w:t>
            </w:r>
          </w:p>
        </w:tc>
        <w:tc>
          <w:tcPr>
            <w:tcW w:w="894" w:type="dxa"/>
          </w:tcPr>
          <w:p w14:paraId="5531E5A7"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14</w:t>
            </w:r>
          </w:p>
        </w:tc>
        <w:tc>
          <w:tcPr>
            <w:tcW w:w="894" w:type="dxa"/>
          </w:tcPr>
          <w:p w14:paraId="76441D0B"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12</w:t>
            </w:r>
          </w:p>
        </w:tc>
        <w:tc>
          <w:tcPr>
            <w:tcW w:w="894" w:type="dxa"/>
          </w:tcPr>
          <w:p w14:paraId="2E1B25FC"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16</w:t>
            </w:r>
          </w:p>
        </w:tc>
        <w:tc>
          <w:tcPr>
            <w:tcW w:w="894" w:type="dxa"/>
          </w:tcPr>
          <w:p w14:paraId="628CF91B"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15</w:t>
            </w:r>
          </w:p>
        </w:tc>
        <w:tc>
          <w:tcPr>
            <w:tcW w:w="894" w:type="dxa"/>
          </w:tcPr>
          <w:p w14:paraId="553D625D"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11</w:t>
            </w:r>
          </w:p>
        </w:tc>
        <w:tc>
          <w:tcPr>
            <w:tcW w:w="1543" w:type="dxa"/>
          </w:tcPr>
          <w:p w14:paraId="2EF376A8"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22</w:t>
            </w:r>
          </w:p>
        </w:tc>
      </w:tr>
      <w:tr w:rsidR="00430E0F" w:rsidRPr="00430E0F" w14:paraId="3E640E76" w14:textId="77777777" w:rsidTr="00116313">
        <w:tc>
          <w:tcPr>
            <w:tcW w:w="900" w:type="dxa"/>
          </w:tcPr>
          <w:p w14:paraId="41B7F5BA"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KP4</w:t>
            </w:r>
          </w:p>
        </w:tc>
        <w:tc>
          <w:tcPr>
            <w:tcW w:w="894" w:type="dxa"/>
          </w:tcPr>
          <w:p w14:paraId="495AC13A"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11</w:t>
            </w:r>
          </w:p>
        </w:tc>
        <w:tc>
          <w:tcPr>
            <w:tcW w:w="894" w:type="dxa"/>
          </w:tcPr>
          <w:p w14:paraId="39B3B40C"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10</w:t>
            </w:r>
          </w:p>
        </w:tc>
        <w:tc>
          <w:tcPr>
            <w:tcW w:w="894" w:type="dxa"/>
          </w:tcPr>
          <w:p w14:paraId="3E0F125E"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08</w:t>
            </w:r>
          </w:p>
        </w:tc>
        <w:tc>
          <w:tcPr>
            <w:tcW w:w="894" w:type="dxa"/>
          </w:tcPr>
          <w:p w14:paraId="63406A1A"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17</w:t>
            </w:r>
          </w:p>
        </w:tc>
        <w:tc>
          <w:tcPr>
            <w:tcW w:w="894" w:type="dxa"/>
          </w:tcPr>
          <w:p w14:paraId="39334C00"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16</w:t>
            </w:r>
          </w:p>
        </w:tc>
        <w:tc>
          <w:tcPr>
            <w:tcW w:w="894" w:type="dxa"/>
          </w:tcPr>
          <w:p w14:paraId="7FF76CB2"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11</w:t>
            </w:r>
          </w:p>
        </w:tc>
        <w:tc>
          <w:tcPr>
            <w:tcW w:w="894" w:type="dxa"/>
          </w:tcPr>
          <w:p w14:paraId="5211DA8E"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18</w:t>
            </w:r>
          </w:p>
        </w:tc>
        <w:tc>
          <w:tcPr>
            <w:tcW w:w="894" w:type="dxa"/>
          </w:tcPr>
          <w:p w14:paraId="11FA5706"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15</w:t>
            </w:r>
          </w:p>
        </w:tc>
        <w:tc>
          <w:tcPr>
            <w:tcW w:w="894" w:type="dxa"/>
          </w:tcPr>
          <w:p w14:paraId="4BE94810"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13</w:t>
            </w:r>
          </w:p>
        </w:tc>
        <w:tc>
          <w:tcPr>
            <w:tcW w:w="1543" w:type="dxa"/>
          </w:tcPr>
          <w:p w14:paraId="4F7E6135"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27</w:t>
            </w:r>
          </w:p>
        </w:tc>
      </w:tr>
      <w:tr w:rsidR="00430E0F" w:rsidRPr="00430E0F" w14:paraId="3DC4BB50" w14:textId="77777777" w:rsidTr="00116313">
        <w:tc>
          <w:tcPr>
            <w:tcW w:w="900" w:type="dxa"/>
          </w:tcPr>
          <w:p w14:paraId="1F8BA766"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noProof/>
                <w:sz w:val="20"/>
                <w:szCs w:val="20"/>
              </w:rPr>
              <mc:AlternateContent>
                <mc:Choice Requires="wps">
                  <w:drawing>
                    <wp:anchor distT="0" distB="0" distL="114300" distR="114300" simplePos="0" relativeHeight="251672576" behindDoc="0" locked="0" layoutInCell="1" allowOverlap="1" wp14:anchorId="5047299C" wp14:editId="55142355">
                      <wp:simplePos x="0" y="0"/>
                      <wp:positionH relativeFrom="column">
                        <wp:posOffset>-61595</wp:posOffset>
                      </wp:positionH>
                      <wp:positionV relativeFrom="paragraph">
                        <wp:posOffset>165514</wp:posOffset>
                      </wp:positionV>
                      <wp:extent cx="6728460" cy="9525"/>
                      <wp:effectExtent l="0" t="0" r="34290" b="28575"/>
                      <wp:wrapNone/>
                      <wp:docPr id="11" name="Straight Connector 11"/>
                      <wp:cNvGraphicFramePr/>
                      <a:graphic xmlns:a="http://schemas.openxmlformats.org/drawingml/2006/main">
                        <a:graphicData uri="http://schemas.microsoft.com/office/word/2010/wordprocessingShape">
                          <wps:wsp>
                            <wps:cNvCnPr/>
                            <wps:spPr>
                              <a:xfrm>
                                <a:off x="0" y="0"/>
                                <a:ext cx="6728460" cy="952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615681" id="Straight Connector 1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4.85pt,13.05pt" to="524.9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" strokecolor="black [3200]" strokeweight=".5pt">
                      <v:stroke joinstyle="miter"/>
                    </v:line>
                  </w:pict>
                </mc:Fallback>
              </mc:AlternateContent>
            </w:r>
            <w:r w:rsidRPr="00430E0F">
              <w:rPr>
                <w:rFonts w:ascii="Arial" w:hAnsi="Arial" w:cs="Arial"/>
                <w:sz w:val="20"/>
                <w:szCs w:val="20"/>
              </w:rPr>
              <w:t>KP5</w:t>
            </w:r>
          </w:p>
        </w:tc>
        <w:tc>
          <w:tcPr>
            <w:tcW w:w="894" w:type="dxa"/>
          </w:tcPr>
          <w:p w14:paraId="4BA1C86C"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10</w:t>
            </w:r>
          </w:p>
        </w:tc>
        <w:tc>
          <w:tcPr>
            <w:tcW w:w="894" w:type="dxa"/>
          </w:tcPr>
          <w:p w14:paraId="1892C54F"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10</w:t>
            </w:r>
          </w:p>
        </w:tc>
        <w:tc>
          <w:tcPr>
            <w:tcW w:w="894" w:type="dxa"/>
          </w:tcPr>
          <w:p w14:paraId="51A814A8"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09</w:t>
            </w:r>
          </w:p>
        </w:tc>
        <w:tc>
          <w:tcPr>
            <w:tcW w:w="894" w:type="dxa"/>
          </w:tcPr>
          <w:p w14:paraId="382D4A46"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16</w:t>
            </w:r>
          </w:p>
        </w:tc>
        <w:tc>
          <w:tcPr>
            <w:tcW w:w="894" w:type="dxa"/>
          </w:tcPr>
          <w:p w14:paraId="3C871FB8"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15</w:t>
            </w:r>
          </w:p>
        </w:tc>
        <w:tc>
          <w:tcPr>
            <w:tcW w:w="894" w:type="dxa"/>
          </w:tcPr>
          <w:p w14:paraId="26D8A9D7"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10</w:t>
            </w:r>
          </w:p>
        </w:tc>
        <w:tc>
          <w:tcPr>
            <w:tcW w:w="894" w:type="dxa"/>
          </w:tcPr>
          <w:p w14:paraId="60F86855"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17</w:t>
            </w:r>
          </w:p>
        </w:tc>
        <w:tc>
          <w:tcPr>
            <w:tcW w:w="894" w:type="dxa"/>
          </w:tcPr>
          <w:p w14:paraId="34C76CCE"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16</w:t>
            </w:r>
          </w:p>
        </w:tc>
        <w:tc>
          <w:tcPr>
            <w:tcW w:w="894" w:type="dxa"/>
          </w:tcPr>
          <w:p w14:paraId="61A5F233"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11</w:t>
            </w:r>
          </w:p>
        </w:tc>
        <w:tc>
          <w:tcPr>
            <w:tcW w:w="1543" w:type="dxa"/>
          </w:tcPr>
          <w:p w14:paraId="364986CA" w14:textId="77777777" w:rsidR="00AB7941" w:rsidRPr="00430E0F" w:rsidRDefault="00AB7941" w:rsidP="00116313">
            <w:pPr>
              <w:pStyle w:val="NoSpacing"/>
              <w:spacing w:line="360" w:lineRule="auto"/>
              <w:jc w:val="both"/>
              <w:rPr>
                <w:rFonts w:ascii="Arial" w:hAnsi="Arial" w:cs="Arial"/>
                <w:sz w:val="20"/>
                <w:szCs w:val="20"/>
              </w:rPr>
            </w:pPr>
            <w:r w:rsidRPr="00430E0F">
              <w:rPr>
                <w:rFonts w:ascii="Arial" w:hAnsi="Arial" w:cs="Arial"/>
                <w:sz w:val="20"/>
                <w:szCs w:val="20"/>
              </w:rPr>
              <w:t>26</w:t>
            </w:r>
          </w:p>
        </w:tc>
      </w:tr>
    </w:tbl>
    <w:p w14:paraId="19D4CA15" w14:textId="06E8C8C3" w:rsidR="00AB7941" w:rsidRPr="00430E0F" w:rsidRDefault="00AB7941" w:rsidP="00AB7941">
      <w:pPr>
        <w:pStyle w:val="NoSpacing"/>
        <w:spacing w:line="360" w:lineRule="auto"/>
        <w:jc w:val="both"/>
        <w:rPr>
          <w:rFonts w:ascii="Arial" w:hAnsi="Arial" w:cs="Arial"/>
          <w:b/>
          <w:i/>
          <w:iCs/>
          <w:sz w:val="20"/>
          <w:szCs w:val="20"/>
        </w:rPr>
        <w:sectPr w:rsidR="00AB7941" w:rsidRPr="00430E0F" w:rsidSect="006D191E">
          <w:type w:val="continuous"/>
          <w:pgSz w:w="15840" w:h="12240" w:orient="landscape"/>
          <w:pgMar w:top="2016" w:right="1440" w:bottom="2016" w:left="2016" w:header="720" w:footer="1123" w:gutter="0"/>
          <w:cols w:space="720"/>
          <w:docGrid w:linePitch="272"/>
        </w:sectPr>
      </w:pPr>
      <w:r w:rsidRPr="00430E0F">
        <w:rPr>
          <w:rFonts w:ascii="Arial" w:hAnsi="Arial" w:cs="Arial"/>
          <w:sz w:val="20"/>
          <w:szCs w:val="20"/>
        </w:rPr>
        <w:t>KEY: KP-</w:t>
      </w:r>
      <w:r w:rsidRPr="00430E0F">
        <w:rPr>
          <w:rFonts w:ascii="Arial" w:hAnsi="Arial" w:cs="Arial"/>
          <w:b/>
          <w:i/>
          <w:sz w:val="20"/>
          <w:szCs w:val="20"/>
        </w:rPr>
        <w:t xml:space="preserve"> </w:t>
      </w:r>
      <w:r w:rsidR="00430E0F" w:rsidRPr="00430E0F">
        <w:rPr>
          <w:rFonts w:ascii="Arial" w:hAnsi="Arial" w:cs="Arial"/>
          <w:bCs/>
          <w:i/>
          <w:iCs/>
          <w:sz w:val="20"/>
          <w:szCs w:val="20"/>
        </w:rPr>
        <w:t>Klebsiella pneumoniae</w:t>
      </w:r>
    </w:p>
    <w:p w14:paraId="42438FF7" w14:textId="77777777" w:rsidR="00AB7941" w:rsidRPr="00430E0F" w:rsidRDefault="00AB7941" w:rsidP="00847541">
      <w:pPr>
        <w:pStyle w:val="ConcHead"/>
        <w:spacing w:after="0"/>
        <w:jc w:val="both"/>
        <w:rPr>
          <w:rFonts w:ascii="Arial" w:hAnsi="Arial" w:cs="Arial"/>
        </w:rPr>
      </w:pPr>
    </w:p>
    <w:p w14:paraId="6BD65E2B" w14:textId="3FBC9F99" w:rsidR="00847541" w:rsidRPr="00430E0F" w:rsidRDefault="00847541" w:rsidP="00847541">
      <w:pPr>
        <w:pStyle w:val="ConcHead"/>
        <w:spacing w:after="0"/>
        <w:jc w:val="both"/>
        <w:rPr>
          <w:rFonts w:ascii="Arial" w:hAnsi="Arial" w:cs="Arial"/>
        </w:rPr>
      </w:pPr>
      <w:r w:rsidRPr="00430E0F">
        <w:rPr>
          <w:rFonts w:ascii="Arial" w:hAnsi="Arial" w:cs="Arial"/>
        </w:rPr>
        <w:t>4. DISCUSSION</w:t>
      </w:r>
    </w:p>
    <w:p w14:paraId="71741B80" w14:textId="32E2392B" w:rsidR="00A15CB7" w:rsidRPr="00430E0F" w:rsidRDefault="00A15CB7" w:rsidP="00A15CB7">
      <w:pPr>
        <w:pStyle w:val="NoSpacing"/>
        <w:jc w:val="both"/>
        <w:rPr>
          <w:rFonts w:ascii="Arial" w:hAnsi="Arial" w:cs="Arial"/>
          <w:sz w:val="20"/>
          <w:szCs w:val="20"/>
        </w:rPr>
      </w:pPr>
      <w:r w:rsidRPr="00430E0F">
        <w:rPr>
          <w:rFonts w:ascii="Arial" w:hAnsi="Arial" w:cs="Arial"/>
          <w:sz w:val="20"/>
          <w:szCs w:val="20"/>
        </w:rPr>
        <w:t xml:space="preserve">The present study evaluated the morphological and biochemical characteristics of </w:t>
      </w:r>
      <w:r w:rsidR="00430E0F" w:rsidRPr="00430E0F">
        <w:rPr>
          <w:rFonts w:ascii="Arial" w:hAnsi="Arial" w:cs="Arial"/>
          <w:i/>
          <w:iCs/>
          <w:sz w:val="20"/>
          <w:szCs w:val="20"/>
        </w:rPr>
        <w:t>Klebsiella pneumoniae</w:t>
      </w:r>
      <w:r w:rsidRPr="00430E0F">
        <w:rPr>
          <w:rFonts w:ascii="Arial" w:hAnsi="Arial" w:cs="Arial"/>
          <w:sz w:val="20"/>
          <w:szCs w:val="20"/>
        </w:rPr>
        <w:t xml:space="preserve">, the phytochemical composition of </w:t>
      </w:r>
      <w:r w:rsidRPr="00430E0F">
        <w:rPr>
          <w:rFonts w:ascii="Arial" w:hAnsi="Arial" w:cs="Arial"/>
          <w:i/>
          <w:iCs/>
          <w:sz w:val="20"/>
          <w:szCs w:val="20"/>
        </w:rPr>
        <w:t>Psidium guajava</w:t>
      </w:r>
      <w:r w:rsidRPr="00430E0F">
        <w:rPr>
          <w:rFonts w:ascii="Arial" w:hAnsi="Arial" w:cs="Arial"/>
          <w:sz w:val="20"/>
          <w:szCs w:val="20"/>
        </w:rPr>
        <w:t xml:space="preserve"> leaf extracts, and the antibacterial activities of these extracts against </w:t>
      </w:r>
      <w:r w:rsidR="00430E0F" w:rsidRPr="00430E0F">
        <w:rPr>
          <w:rFonts w:ascii="Arial" w:hAnsi="Arial" w:cs="Arial"/>
          <w:i/>
          <w:iCs/>
          <w:sz w:val="20"/>
          <w:szCs w:val="20"/>
        </w:rPr>
        <w:t>K. pneumoniae</w:t>
      </w:r>
      <w:r w:rsidRPr="00430E0F">
        <w:rPr>
          <w:rFonts w:ascii="Arial" w:hAnsi="Arial" w:cs="Arial"/>
          <w:sz w:val="20"/>
          <w:szCs w:val="20"/>
        </w:rPr>
        <w:t xml:space="preserve">. The morphological and biochemical characteristics showed in Table 1 phenotypically confirmed the identification of the bacterial isolates as </w:t>
      </w:r>
      <w:r w:rsidR="00430E0F" w:rsidRPr="00430E0F">
        <w:rPr>
          <w:rFonts w:ascii="Arial" w:hAnsi="Arial" w:cs="Arial"/>
          <w:i/>
          <w:iCs/>
          <w:sz w:val="20"/>
          <w:szCs w:val="20"/>
        </w:rPr>
        <w:t>Klebsiella pneumoniae</w:t>
      </w:r>
      <w:r w:rsidRPr="00430E0F">
        <w:rPr>
          <w:rFonts w:ascii="Arial" w:hAnsi="Arial" w:cs="Arial"/>
          <w:sz w:val="20"/>
          <w:szCs w:val="20"/>
        </w:rPr>
        <w:t xml:space="preserve">. The isolates exhibited rod-shaped cells and produced whitish, circular, convex, smooth, mucoid colonies with entire margins. These colonial features are typical of </w:t>
      </w:r>
      <w:r w:rsidR="00430E0F" w:rsidRPr="00430E0F">
        <w:rPr>
          <w:rFonts w:ascii="Arial" w:hAnsi="Arial" w:cs="Arial"/>
          <w:i/>
          <w:iCs/>
          <w:sz w:val="20"/>
          <w:szCs w:val="20"/>
        </w:rPr>
        <w:t>K. pneumoniae</w:t>
      </w:r>
      <w:r w:rsidRPr="00430E0F">
        <w:rPr>
          <w:rFonts w:ascii="Arial" w:hAnsi="Arial" w:cs="Arial"/>
          <w:sz w:val="20"/>
          <w:szCs w:val="20"/>
        </w:rPr>
        <w:t xml:space="preserve"> and are attributed primarily to the presence of a thick polysaccharide capsule, which contribute to its mucoid appearance, virulence and resistance to host immune responses (Martin &amp; Bachman, 2018; Wyres </w:t>
      </w:r>
      <w:r w:rsidRPr="00430E0F">
        <w:rPr>
          <w:rFonts w:ascii="Arial" w:hAnsi="Arial" w:cs="Arial"/>
          <w:i/>
          <w:iCs/>
          <w:sz w:val="20"/>
          <w:szCs w:val="20"/>
        </w:rPr>
        <w:t>et al</w:t>
      </w:r>
      <w:r w:rsidRPr="00430E0F">
        <w:rPr>
          <w:rFonts w:ascii="Arial" w:hAnsi="Arial" w:cs="Arial"/>
          <w:sz w:val="20"/>
          <w:szCs w:val="20"/>
        </w:rPr>
        <w:t xml:space="preserve">., 2020). The Gram-negative reaction observed is consistent with the established taxonomic classification of </w:t>
      </w:r>
      <w:r w:rsidR="00430E0F" w:rsidRPr="00430E0F">
        <w:rPr>
          <w:rFonts w:ascii="Arial" w:hAnsi="Arial" w:cs="Arial"/>
          <w:i/>
          <w:iCs/>
          <w:sz w:val="20"/>
          <w:szCs w:val="20"/>
        </w:rPr>
        <w:t>K. pneumoniae</w:t>
      </w:r>
      <w:r w:rsidRPr="00430E0F">
        <w:rPr>
          <w:rFonts w:ascii="Arial" w:hAnsi="Arial" w:cs="Arial"/>
          <w:sz w:val="20"/>
          <w:szCs w:val="20"/>
        </w:rPr>
        <w:t xml:space="preserve"> within the family </w:t>
      </w:r>
      <w:r w:rsidRPr="00430E0F">
        <w:rPr>
          <w:rFonts w:ascii="Arial" w:hAnsi="Arial" w:cs="Arial"/>
          <w:i/>
          <w:iCs/>
          <w:sz w:val="20"/>
          <w:szCs w:val="20"/>
        </w:rPr>
        <w:t>Enterobacteriaceae</w:t>
      </w:r>
      <w:r w:rsidRPr="00430E0F">
        <w:rPr>
          <w:rFonts w:ascii="Arial" w:hAnsi="Arial" w:cs="Arial"/>
          <w:sz w:val="20"/>
          <w:szCs w:val="20"/>
        </w:rPr>
        <w:t xml:space="preserve"> (Sivananthan &amp; Elamaran, 2013). Biochemically, positive tests were noted for catalase and citrate utilization tests while negative results were observed for oxidase and indole tests. These results confirm the accurate identification of the isolate and aligns with contemporary diagnostic profiles used in clinical microbiology (Hackman </w:t>
      </w:r>
      <w:r w:rsidRPr="00430E0F">
        <w:rPr>
          <w:rFonts w:ascii="Arial" w:hAnsi="Arial" w:cs="Arial"/>
          <w:i/>
          <w:iCs/>
          <w:sz w:val="20"/>
          <w:szCs w:val="20"/>
        </w:rPr>
        <w:t>et al</w:t>
      </w:r>
      <w:r w:rsidRPr="00430E0F">
        <w:rPr>
          <w:rFonts w:ascii="Arial" w:hAnsi="Arial" w:cs="Arial"/>
          <w:sz w:val="20"/>
          <w:szCs w:val="20"/>
        </w:rPr>
        <w:t xml:space="preserve">., 2020; Tamma </w:t>
      </w:r>
      <w:r w:rsidRPr="00430E0F">
        <w:rPr>
          <w:rFonts w:ascii="Arial" w:hAnsi="Arial" w:cs="Arial"/>
          <w:i/>
          <w:iCs/>
          <w:sz w:val="20"/>
          <w:szCs w:val="20"/>
        </w:rPr>
        <w:t>et al</w:t>
      </w:r>
      <w:r w:rsidRPr="00430E0F">
        <w:rPr>
          <w:rFonts w:ascii="Arial" w:hAnsi="Arial" w:cs="Arial"/>
          <w:sz w:val="20"/>
          <w:szCs w:val="20"/>
        </w:rPr>
        <w:t xml:space="preserve">., 2022). </w:t>
      </w:r>
    </w:p>
    <w:p w14:paraId="0E4FF46A" w14:textId="77777777" w:rsidR="00A15CB7" w:rsidRPr="00430E0F" w:rsidRDefault="00A15CB7" w:rsidP="00A15CB7">
      <w:pPr>
        <w:pStyle w:val="NoSpacing"/>
        <w:jc w:val="both"/>
        <w:rPr>
          <w:rFonts w:ascii="Arial" w:hAnsi="Arial" w:cs="Arial"/>
          <w:sz w:val="20"/>
          <w:szCs w:val="20"/>
        </w:rPr>
      </w:pPr>
    </w:p>
    <w:p w14:paraId="2C60442D" w14:textId="7BD2B89D" w:rsidR="00A15CB7" w:rsidRPr="00430E0F" w:rsidRDefault="00A15CB7" w:rsidP="00A15CB7">
      <w:pPr>
        <w:pStyle w:val="NoSpacing"/>
        <w:jc w:val="both"/>
        <w:rPr>
          <w:rFonts w:ascii="Arial" w:hAnsi="Arial" w:cs="Arial"/>
          <w:sz w:val="20"/>
          <w:szCs w:val="20"/>
        </w:rPr>
      </w:pPr>
      <w:r w:rsidRPr="00430E0F">
        <w:rPr>
          <w:rFonts w:ascii="Arial" w:hAnsi="Arial" w:cs="Arial"/>
          <w:sz w:val="20"/>
          <w:szCs w:val="20"/>
        </w:rPr>
        <w:t xml:space="preserve">The qualitative phytochemical screening of </w:t>
      </w:r>
      <w:r w:rsidRPr="00430E0F">
        <w:rPr>
          <w:rFonts w:ascii="Arial" w:hAnsi="Arial" w:cs="Arial"/>
          <w:i/>
          <w:iCs/>
          <w:sz w:val="20"/>
          <w:szCs w:val="20"/>
        </w:rPr>
        <w:t>Psidium guajava</w:t>
      </w:r>
      <w:r w:rsidRPr="00430E0F">
        <w:rPr>
          <w:rFonts w:ascii="Arial" w:hAnsi="Arial" w:cs="Arial"/>
          <w:sz w:val="20"/>
          <w:szCs w:val="20"/>
        </w:rPr>
        <w:t xml:space="preserve"> leaf extracts shown in Table 2 revealed the presence of several important secondary metabolites, including tannins, saponins, alkaloids, flavonoids, and steroids, while glycosides were not detected in any of the extracts. The consistent detection of tannins at high levels across aqueous, ethanol, and methanol extracts corroborates previous studies that have identified tannins as one of the dominant phytochemical constituents of </w:t>
      </w:r>
      <w:r w:rsidR="00430E0F" w:rsidRPr="00430E0F">
        <w:rPr>
          <w:rFonts w:ascii="Arial" w:hAnsi="Arial" w:cs="Arial"/>
          <w:i/>
          <w:iCs/>
          <w:sz w:val="20"/>
          <w:szCs w:val="20"/>
        </w:rPr>
        <w:t>P. guajava</w:t>
      </w:r>
      <w:r w:rsidRPr="00430E0F">
        <w:rPr>
          <w:rFonts w:ascii="Arial" w:hAnsi="Arial" w:cs="Arial"/>
          <w:sz w:val="20"/>
          <w:szCs w:val="20"/>
        </w:rPr>
        <w:t xml:space="preserve"> leaves (</w:t>
      </w:r>
      <w:proofErr w:type="spellStart"/>
      <w:r w:rsidRPr="00430E0F">
        <w:rPr>
          <w:rFonts w:ascii="Arial" w:hAnsi="Arial" w:cs="Arial"/>
          <w:sz w:val="20"/>
          <w:szCs w:val="20"/>
        </w:rPr>
        <w:t>Ekeleme</w:t>
      </w:r>
      <w:proofErr w:type="spellEnd"/>
      <w:r w:rsidRPr="00430E0F">
        <w:rPr>
          <w:rFonts w:ascii="Arial" w:hAnsi="Arial" w:cs="Arial"/>
          <w:sz w:val="20"/>
          <w:szCs w:val="20"/>
        </w:rPr>
        <w:t xml:space="preserve"> </w:t>
      </w:r>
      <w:r w:rsidRPr="00430E0F">
        <w:rPr>
          <w:rFonts w:ascii="Arial" w:hAnsi="Arial" w:cs="Arial"/>
          <w:i/>
          <w:iCs/>
          <w:sz w:val="20"/>
          <w:szCs w:val="20"/>
        </w:rPr>
        <w:t>et al</w:t>
      </w:r>
      <w:r w:rsidRPr="00430E0F">
        <w:rPr>
          <w:rFonts w:ascii="Arial" w:hAnsi="Arial" w:cs="Arial"/>
          <w:sz w:val="20"/>
          <w:szCs w:val="20"/>
        </w:rPr>
        <w:t xml:space="preserve">., 2017; Mohapatra </w:t>
      </w:r>
      <w:r w:rsidRPr="00430E0F">
        <w:rPr>
          <w:rFonts w:ascii="Arial" w:hAnsi="Arial" w:cs="Arial"/>
          <w:i/>
          <w:iCs/>
          <w:sz w:val="20"/>
          <w:szCs w:val="20"/>
        </w:rPr>
        <w:t>et al</w:t>
      </w:r>
      <w:r w:rsidRPr="00430E0F">
        <w:rPr>
          <w:rFonts w:ascii="Arial" w:hAnsi="Arial" w:cs="Arial"/>
          <w:sz w:val="20"/>
          <w:szCs w:val="20"/>
        </w:rPr>
        <w:t xml:space="preserve">., 2024). Tannins are known for their ability to precipitate proteins and disrupt microbial cell walls, thereby inhibiting bacterial growth (Cushnie &amp; Lamb, 2011). Flavonoids were highly detected in all the three extracts which agrees with reports indicating that </w:t>
      </w:r>
      <w:r w:rsidR="00430E0F" w:rsidRPr="00430E0F">
        <w:rPr>
          <w:rFonts w:ascii="Arial" w:hAnsi="Arial" w:cs="Arial"/>
          <w:i/>
          <w:iCs/>
          <w:sz w:val="20"/>
          <w:szCs w:val="20"/>
        </w:rPr>
        <w:t>P. guajava</w:t>
      </w:r>
      <w:r w:rsidRPr="00430E0F">
        <w:rPr>
          <w:rFonts w:ascii="Arial" w:hAnsi="Arial" w:cs="Arial"/>
          <w:sz w:val="20"/>
          <w:szCs w:val="20"/>
        </w:rPr>
        <w:t xml:space="preserve"> leaves are rich sources of flavonoids with documented antimicrobial and antioxidant activities (Bano </w:t>
      </w:r>
      <w:r w:rsidRPr="00430E0F">
        <w:rPr>
          <w:rFonts w:ascii="Arial" w:hAnsi="Arial" w:cs="Arial"/>
          <w:i/>
          <w:iCs/>
          <w:sz w:val="20"/>
          <w:szCs w:val="20"/>
        </w:rPr>
        <w:t>et al</w:t>
      </w:r>
      <w:r w:rsidRPr="00430E0F">
        <w:rPr>
          <w:rFonts w:ascii="Arial" w:hAnsi="Arial" w:cs="Arial"/>
          <w:sz w:val="20"/>
          <w:szCs w:val="20"/>
        </w:rPr>
        <w:t xml:space="preserve">., 2021; Pereira </w:t>
      </w:r>
      <w:r w:rsidRPr="00430E0F">
        <w:rPr>
          <w:rFonts w:ascii="Arial" w:hAnsi="Arial" w:cs="Arial"/>
          <w:i/>
          <w:iCs/>
          <w:sz w:val="20"/>
          <w:szCs w:val="20"/>
        </w:rPr>
        <w:t>et al</w:t>
      </w:r>
      <w:r w:rsidRPr="00430E0F">
        <w:rPr>
          <w:rFonts w:ascii="Arial" w:hAnsi="Arial" w:cs="Arial"/>
          <w:sz w:val="20"/>
          <w:szCs w:val="20"/>
        </w:rPr>
        <w:t xml:space="preserve">., 2023). Flavonoids are known to disrupt bacterial membranes, inhibit nucleic acid synthesis, and interfere with energy metabolism (Huynh </w:t>
      </w:r>
      <w:r w:rsidRPr="00430E0F">
        <w:rPr>
          <w:rFonts w:ascii="Arial" w:hAnsi="Arial" w:cs="Arial"/>
          <w:i/>
          <w:iCs/>
          <w:sz w:val="20"/>
          <w:szCs w:val="20"/>
        </w:rPr>
        <w:t>et al</w:t>
      </w:r>
      <w:r w:rsidRPr="00430E0F">
        <w:rPr>
          <w:rFonts w:ascii="Arial" w:hAnsi="Arial" w:cs="Arial"/>
          <w:sz w:val="20"/>
          <w:szCs w:val="20"/>
        </w:rPr>
        <w:t xml:space="preserve">., 2025). Saponins and alkaloids were detected across all extracts supporting the medicinal value of </w:t>
      </w:r>
      <w:r w:rsidR="00430E0F" w:rsidRPr="00430E0F">
        <w:rPr>
          <w:rFonts w:ascii="Arial" w:hAnsi="Arial" w:cs="Arial"/>
          <w:i/>
          <w:iCs/>
          <w:sz w:val="20"/>
          <w:szCs w:val="20"/>
        </w:rPr>
        <w:t>P. guajava</w:t>
      </w:r>
      <w:r w:rsidRPr="00430E0F">
        <w:rPr>
          <w:rFonts w:ascii="Arial" w:hAnsi="Arial" w:cs="Arial"/>
          <w:sz w:val="20"/>
          <w:szCs w:val="20"/>
        </w:rPr>
        <w:t xml:space="preserve">. Previous findings reported that saponins exert antimicrobial effects by increase in cell membrane permeability causing </w:t>
      </w:r>
      <w:commentRangeStart w:id="10"/>
      <w:r w:rsidRPr="00430E0F">
        <w:rPr>
          <w:rFonts w:ascii="Arial" w:hAnsi="Arial" w:cs="Arial"/>
          <w:sz w:val="20"/>
          <w:szCs w:val="20"/>
        </w:rPr>
        <w:t>cell</w:t>
      </w:r>
      <w:commentRangeEnd w:id="10"/>
      <w:r w:rsidR="00372A89">
        <w:rPr>
          <w:rStyle w:val="CommentReference"/>
          <w:rFonts w:ascii="Helvetica" w:eastAsia="Times New Roman" w:hAnsi="Helvetica" w:cs="Times New Roman"/>
          <w:rtl/>
        </w:rPr>
        <w:commentReference w:id="10"/>
      </w:r>
      <w:r w:rsidRPr="00430E0F">
        <w:rPr>
          <w:rFonts w:ascii="Arial" w:hAnsi="Arial" w:cs="Arial"/>
          <w:sz w:val="20"/>
          <w:szCs w:val="20"/>
        </w:rPr>
        <w:t xml:space="preserve"> lysis while alkaloids interfere with DNA synthesis and enzymatic activities in bacteria (</w:t>
      </w:r>
      <w:proofErr w:type="spellStart"/>
      <w:r w:rsidRPr="00430E0F">
        <w:rPr>
          <w:rFonts w:ascii="Arial" w:hAnsi="Arial" w:cs="Arial"/>
          <w:sz w:val="20"/>
          <w:szCs w:val="20"/>
        </w:rPr>
        <w:t>Adjapong</w:t>
      </w:r>
      <w:proofErr w:type="spellEnd"/>
      <w:r w:rsidRPr="00430E0F">
        <w:rPr>
          <w:rFonts w:ascii="Arial" w:hAnsi="Arial" w:cs="Arial"/>
          <w:sz w:val="20"/>
          <w:szCs w:val="20"/>
        </w:rPr>
        <w:t xml:space="preserve"> </w:t>
      </w:r>
      <w:r w:rsidRPr="00430E0F">
        <w:rPr>
          <w:rFonts w:ascii="Arial" w:hAnsi="Arial" w:cs="Arial"/>
          <w:i/>
          <w:iCs/>
          <w:sz w:val="20"/>
          <w:szCs w:val="20"/>
        </w:rPr>
        <w:t>et al</w:t>
      </w:r>
      <w:r w:rsidRPr="00430E0F">
        <w:rPr>
          <w:rFonts w:ascii="Arial" w:hAnsi="Arial" w:cs="Arial"/>
          <w:sz w:val="20"/>
          <w:szCs w:val="20"/>
        </w:rPr>
        <w:t xml:space="preserve">., 2017; Othman </w:t>
      </w:r>
      <w:r w:rsidRPr="00430E0F">
        <w:rPr>
          <w:rFonts w:ascii="Arial" w:hAnsi="Arial" w:cs="Arial"/>
          <w:i/>
          <w:iCs/>
          <w:sz w:val="20"/>
          <w:szCs w:val="20"/>
        </w:rPr>
        <w:t>et al</w:t>
      </w:r>
      <w:r w:rsidRPr="00430E0F">
        <w:rPr>
          <w:rFonts w:ascii="Arial" w:hAnsi="Arial" w:cs="Arial"/>
          <w:sz w:val="20"/>
          <w:szCs w:val="20"/>
        </w:rPr>
        <w:t xml:space="preserve">., 2019; </w:t>
      </w:r>
      <w:proofErr w:type="spellStart"/>
      <w:r w:rsidRPr="00430E0F">
        <w:rPr>
          <w:rFonts w:ascii="Arial" w:hAnsi="Arial" w:cs="Arial"/>
          <w:sz w:val="20"/>
          <w:szCs w:val="20"/>
        </w:rPr>
        <w:t>Djeussi</w:t>
      </w:r>
      <w:proofErr w:type="spellEnd"/>
      <w:r w:rsidRPr="00430E0F">
        <w:rPr>
          <w:rFonts w:ascii="Arial" w:hAnsi="Arial" w:cs="Arial"/>
          <w:sz w:val="20"/>
          <w:szCs w:val="20"/>
        </w:rPr>
        <w:t xml:space="preserve"> </w:t>
      </w:r>
      <w:r w:rsidRPr="00430E0F">
        <w:rPr>
          <w:rFonts w:ascii="Arial" w:hAnsi="Arial" w:cs="Arial"/>
          <w:i/>
          <w:iCs/>
          <w:sz w:val="20"/>
          <w:szCs w:val="20"/>
        </w:rPr>
        <w:t>et al</w:t>
      </w:r>
      <w:r w:rsidRPr="00430E0F">
        <w:rPr>
          <w:rFonts w:ascii="Arial" w:hAnsi="Arial" w:cs="Arial"/>
          <w:sz w:val="20"/>
          <w:szCs w:val="20"/>
        </w:rPr>
        <w:t>., 2013). The higher presence of alkaloids in the ethanol extract noted in this work is in agreement with previous findings that organic solvents enhance the extraction efficiency of moderately polar phytochemicals (</w:t>
      </w:r>
      <w:proofErr w:type="spellStart"/>
      <w:r w:rsidRPr="00430E0F">
        <w:rPr>
          <w:rFonts w:ascii="Arial" w:hAnsi="Arial" w:cs="Arial"/>
          <w:sz w:val="20"/>
          <w:szCs w:val="20"/>
        </w:rPr>
        <w:t>Bunu</w:t>
      </w:r>
      <w:proofErr w:type="spellEnd"/>
      <w:r w:rsidRPr="00430E0F">
        <w:rPr>
          <w:rFonts w:ascii="Arial" w:hAnsi="Arial" w:cs="Arial"/>
          <w:sz w:val="20"/>
          <w:szCs w:val="20"/>
        </w:rPr>
        <w:t xml:space="preserve"> </w:t>
      </w:r>
      <w:r w:rsidRPr="00430E0F">
        <w:rPr>
          <w:rFonts w:ascii="Arial" w:hAnsi="Arial" w:cs="Arial"/>
          <w:i/>
          <w:iCs/>
          <w:sz w:val="20"/>
          <w:szCs w:val="20"/>
        </w:rPr>
        <w:t>et al</w:t>
      </w:r>
      <w:r w:rsidRPr="00430E0F">
        <w:rPr>
          <w:rFonts w:ascii="Arial" w:hAnsi="Arial" w:cs="Arial"/>
          <w:sz w:val="20"/>
          <w:szCs w:val="20"/>
        </w:rPr>
        <w:t xml:space="preserve">., 2023). The absence of glycosides across all extracts has also been reported in some studies and may be influenced by solvent polarity, extraction method, plant maturity or geographical variations (Mohapatra </w:t>
      </w:r>
      <w:r w:rsidRPr="00430E0F">
        <w:rPr>
          <w:rFonts w:ascii="Arial" w:hAnsi="Arial" w:cs="Arial"/>
          <w:i/>
          <w:iCs/>
          <w:sz w:val="20"/>
          <w:szCs w:val="20"/>
        </w:rPr>
        <w:t>et al</w:t>
      </w:r>
      <w:r w:rsidRPr="00430E0F">
        <w:rPr>
          <w:rFonts w:ascii="Arial" w:hAnsi="Arial" w:cs="Arial"/>
          <w:sz w:val="20"/>
          <w:szCs w:val="20"/>
        </w:rPr>
        <w:t>., 2024). Overall, the phytochemical profile obtained in this study is in strong agreement with verified literature and provides a biochemical basis for the antibacterial activity observed. These phytochemicals observed in this study are recognized widely for their antimicrobial properties and mostly contribute to the antibacterial activities observed in the study.</w:t>
      </w:r>
    </w:p>
    <w:p w14:paraId="042438A2" w14:textId="77777777" w:rsidR="00A15CB7" w:rsidRPr="00430E0F" w:rsidRDefault="00A15CB7" w:rsidP="00A15CB7">
      <w:pPr>
        <w:pStyle w:val="NoSpacing"/>
        <w:jc w:val="both"/>
        <w:rPr>
          <w:rFonts w:ascii="Arial" w:hAnsi="Arial" w:cs="Arial"/>
          <w:sz w:val="20"/>
          <w:szCs w:val="20"/>
        </w:rPr>
      </w:pPr>
    </w:p>
    <w:p w14:paraId="7C9D60DC" w14:textId="7605B506" w:rsidR="00A15CB7" w:rsidRPr="00430E0F" w:rsidRDefault="00A15CB7" w:rsidP="00A15CB7">
      <w:pPr>
        <w:pStyle w:val="NoSpacing"/>
        <w:jc w:val="both"/>
        <w:rPr>
          <w:rFonts w:ascii="Arial" w:hAnsi="Arial" w:cs="Arial"/>
          <w:sz w:val="20"/>
          <w:szCs w:val="20"/>
        </w:rPr>
      </w:pPr>
      <w:r w:rsidRPr="00430E0F">
        <w:rPr>
          <w:rFonts w:ascii="Arial" w:hAnsi="Arial" w:cs="Arial"/>
          <w:sz w:val="20"/>
          <w:szCs w:val="20"/>
        </w:rPr>
        <w:t xml:space="preserve">The results of antibacterial activity presented in Table 3 demonstrated that the aqueous, ethanol, and methanol leaf extracts of </w:t>
      </w:r>
      <w:r w:rsidRPr="00430E0F">
        <w:rPr>
          <w:rFonts w:ascii="Arial" w:hAnsi="Arial" w:cs="Arial"/>
          <w:i/>
          <w:iCs/>
          <w:sz w:val="20"/>
          <w:szCs w:val="20"/>
        </w:rPr>
        <w:t>Psidium guajava</w:t>
      </w:r>
      <w:r w:rsidRPr="00430E0F">
        <w:rPr>
          <w:rFonts w:ascii="Arial" w:hAnsi="Arial" w:cs="Arial"/>
          <w:sz w:val="20"/>
          <w:szCs w:val="20"/>
        </w:rPr>
        <w:t xml:space="preserve"> exhibited notable inhibitory effects on </w:t>
      </w:r>
      <w:r w:rsidR="00430E0F" w:rsidRPr="00430E0F">
        <w:rPr>
          <w:rFonts w:ascii="Arial" w:hAnsi="Arial" w:cs="Arial"/>
          <w:i/>
          <w:iCs/>
          <w:sz w:val="20"/>
          <w:szCs w:val="20"/>
        </w:rPr>
        <w:t>Klebsiella pneumoniae</w:t>
      </w:r>
      <w:r w:rsidRPr="00430E0F">
        <w:rPr>
          <w:rFonts w:ascii="Arial" w:hAnsi="Arial" w:cs="Arial"/>
          <w:sz w:val="20"/>
          <w:szCs w:val="20"/>
        </w:rPr>
        <w:t xml:space="preserve"> isolates. The zone of inhibition produced by all extracts decreased as the concentration decreases revealing a clear concentration-dependent antibacterial effect. This trend is widely reported in phytochemical-based antimicrobial studies and reflects the reduced availability of active compounds at lower extract concentrations (</w:t>
      </w:r>
      <w:proofErr w:type="spellStart"/>
      <w:r w:rsidRPr="00430E0F">
        <w:rPr>
          <w:rFonts w:ascii="Arial" w:hAnsi="Arial" w:cs="Arial"/>
          <w:sz w:val="20"/>
          <w:szCs w:val="20"/>
        </w:rPr>
        <w:t>Djeussi</w:t>
      </w:r>
      <w:proofErr w:type="spellEnd"/>
      <w:r w:rsidRPr="00430E0F">
        <w:rPr>
          <w:rFonts w:ascii="Arial" w:hAnsi="Arial" w:cs="Arial"/>
          <w:sz w:val="20"/>
          <w:szCs w:val="20"/>
        </w:rPr>
        <w:t xml:space="preserve"> </w:t>
      </w:r>
      <w:r w:rsidRPr="00430E0F">
        <w:rPr>
          <w:rFonts w:ascii="Arial" w:hAnsi="Arial" w:cs="Arial"/>
          <w:i/>
          <w:iCs/>
          <w:sz w:val="20"/>
          <w:szCs w:val="20"/>
        </w:rPr>
        <w:t>et al</w:t>
      </w:r>
      <w:r w:rsidRPr="00430E0F">
        <w:rPr>
          <w:rFonts w:ascii="Arial" w:hAnsi="Arial" w:cs="Arial"/>
          <w:sz w:val="20"/>
          <w:szCs w:val="20"/>
        </w:rPr>
        <w:t xml:space="preserve">., 2013). Among the tested extracts, the ethanol extract and methanol extract consistently produced larger inhibition zones than the aqueous extract across all concentrations and isolates indicating that organic solvents more effectively extract non-polar bioactive compounds such </w:t>
      </w:r>
      <w:r w:rsidRPr="00430E0F">
        <w:rPr>
          <w:rFonts w:ascii="Arial" w:hAnsi="Arial" w:cs="Arial"/>
          <w:sz w:val="20"/>
          <w:szCs w:val="20"/>
        </w:rPr>
        <w:lastRenderedPageBreak/>
        <w:t xml:space="preserve">as flavonoids and alkaloids (Dai &amp; Mumper, 2010; Huynh </w:t>
      </w:r>
      <w:r w:rsidRPr="00430E0F">
        <w:rPr>
          <w:rFonts w:ascii="Arial" w:hAnsi="Arial" w:cs="Arial"/>
          <w:i/>
          <w:iCs/>
          <w:sz w:val="20"/>
          <w:szCs w:val="20"/>
        </w:rPr>
        <w:t>et al</w:t>
      </w:r>
      <w:r w:rsidRPr="00430E0F">
        <w:rPr>
          <w:rFonts w:ascii="Arial" w:hAnsi="Arial" w:cs="Arial"/>
          <w:sz w:val="20"/>
          <w:szCs w:val="20"/>
        </w:rPr>
        <w:t xml:space="preserve">., 2025). This finding is consistent with many studies reporting superior antibacterial activity of organic solvent extracts of </w:t>
      </w:r>
      <w:r w:rsidR="00430E0F" w:rsidRPr="00430E0F">
        <w:rPr>
          <w:rFonts w:ascii="Arial" w:hAnsi="Arial" w:cs="Arial"/>
          <w:i/>
          <w:iCs/>
          <w:sz w:val="20"/>
          <w:szCs w:val="20"/>
        </w:rPr>
        <w:t>P. guajava</w:t>
      </w:r>
      <w:r w:rsidRPr="00430E0F">
        <w:rPr>
          <w:rFonts w:ascii="Arial" w:hAnsi="Arial" w:cs="Arial"/>
          <w:sz w:val="20"/>
          <w:szCs w:val="20"/>
        </w:rPr>
        <w:t xml:space="preserve"> compared to aqueous extracts (Hackman </w:t>
      </w:r>
      <w:r w:rsidRPr="00430E0F">
        <w:rPr>
          <w:rFonts w:ascii="Arial" w:hAnsi="Arial" w:cs="Arial"/>
          <w:i/>
          <w:iCs/>
          <w:sz w:val="20"/>
          <w:szCs w:val="20"/>
        </w:rPr>
        <w:t>et al</w:t>
      </w:r>
      <w:r w:rsidRPr="00430E0F">
        <w:rPr>
          <w:rFonts w:ascii="Arial" w:hAnsi="Arial" w:cs="Arial"/>
          <w:sz w:val="20"/>
          <w:szCs w:val="20"/>
        </w:rPr>
        <w:t xml:space="preserve">., 2020; Pereira </w:t>
      </w:r>
      <w:r w:rsidRPr="00430E0F">
        <w:rPr>
          <w:rFonts w:ascii="Arial" w:hAnsi="Arial" w:cs="Arial"/>
          <w:i/>
          <w:iCs/>
          <w:sz w:val="20"/>
          <w:szCs w:val="20"/>
        </w:rPr>
        <w:t>et al</w:t>
      </w:r>
      <w:r w:rsidRPr="00430E0F">
        <w:rPr>
          <w:rFonts w:ascii="Arial" w:hAnsi="Arial" w:cs="Arial"/>
          <w:sz w:val="20"/>
          <w:szCs w:val="20"/>
        </w:rPr>
        <w:t xml:space="preserve">., 2023; Biswas </w:t>
      </w:r>
      <w:r w:rsidRPr="00430E0F">
        <w:rPr>
          <w:rFonts w:ascii="Arial" w:hAnsi="Arial" w:cs="Arial"/>
          <w:i/>
          <w:iCs/>
          <w:sz w:val="20"/>
          <w:szCs w:val="20"/>
        </w:rPr>
        <w:t>et al</w:t>
      </w:r>
      <w:r w:rsidRPr="00430E0F">
        <w:rPr>
          <w:rFonts w:ascii="Arial" w:hAnsi="Arial" w:cs="Arial"/>
          <w:sz w:val="20"/>
          <w:szCs w:val="20"/>
        </w:rPr>
        <w:t xml:space="preserve">., 2013; Metwally </w:t>
      </w:r>
      <w:r w:rsidRPr="00430E0F">
        <w:rPr>
          <w:rFonts w:ascii="Arial" w:hAnsi="Arial" w:cs="Arial"/>
          <w:i/>
          <w:iCs/>
          <w:sz w:val="20"/>
          <w:szCs w:val="20"/>
        </w:rPr>
        <w:t>et al</w:t>
      </w:r>
      <w:r w:rsidRPr="00430E0F">
        <w:rPr>
          <w:rFonts w:ascii="Arial" w:hAnsi="Arial" w:cs="Arial"/>
          <w:sz w:val="20"/>
          <w:szCs w:val="20"/>
        </w:rPr>
        <w:t>., 2010). The increased antibacterial effect of ethanol and methanol extracts may be likened to their higher content of bioactive phytochemicals, particularly tannins, flavonoids and alkaloids, as showed in the phytochemical screening results above. These compounds are known to act synergistically to inhibit bacterial growth through mechanisms such as disruption of cell membranes, inhibition of nucleic acid synthesis, and interference with essential metabolic pathways (</w:t>
      </w:r>
      <w:proofErr w:type="spellStart"/>
      <w:r w:rsidRPr="00430E0F">
        <w:rPr>
          <w:rFonts w:ascii="Arial" w:hAnsi="Arial" w:cs="Arial"/>
          <w:sz w:val="20"/>
          <w:szCs w:val="20"/>
        </w:rPr>
        <w:t>Adjapong</w:t>
      </w:r>
      <w:proofErr w:type="spellEnd"/>
      <w:r w:rsidRPr="00430E0F">
        <w:rPr>
          <w:rFonts w:ascii="Arial" w:hAnsi="Arial" w:cs="Arial"/>
          <w:sz w:val="20"/>
          <w:szCs w:val="20"/>
        </w:rPr>
        <w:t xml:space="preserve"> </w:t>
      </w:r>
      <w:r w:rsidRPr="00430E0F">
        <w:rPr>
          <w:rFonts w:ascii="Arial" w:hAnsi="Arial" w:cs="Arial"/>
          <w:i/>
          <w:iCs/>
          <w:sz w:val="20"/>
          <w:szCs w:val="20"/>
        </w:rPr>
        <w:t>et al</w:t>
      </w:r>
      <w:r w:rsidRPr="00430E0F">
        <w:rPr>
          <w:rFonts w:ascii="Arial" w:hAnsi="Arial" w:cs="Arial"/>
          <w:sz w:val="20"/>
          <w:szCs w:val="20"/>
        </w:rPr>
        <w:t xml:space="preserve">., 2017; Saifi </w:t>
      </w:r>
      <w:r w:rsidRPr="00430E0F">
        <w:rPr>
          <w:rFonts w:ascii="Arial" w:hAnsi="Arial" w:cs="Arial"/>
          <w:i/>
          <w:iCs/>
          <w:sz w:val="20"/>
          <w:szCs w:val="20"/>
        </w:rPr>
        <w:t>et al</w:t>
      </w:r>
      <w:r w:rsidRPr="00430E0F">
        <w:rPr>
          <w:rFonts w:ascii="Arial" w:hAnsi="Arial" w:cs="Arial"/>
          <w:sz w:val="20"/>
          <w:szCs w:val="20"/>
        </w:rPr>
        <w:t xml:space="preserve">., 2024). </w:t>
      </w:r>
    </w:p>
    <w:p w14:paraId="3C99D919" w14:textId="77777777" w:rsidR="00A15CB7" w:rsidRPr="00430E0F" w:rsidRDefault="00A15CB7" w:rsidP="00A15CB7">
      <w:pPr>
        <w:pStyle w:val="NoSpacing"/>
        <w:jc w:val="both"/>
        <w:rPr>
          <w:rFonts w:ascii="Arial" w:hAnsi="Arial" w:cs="Arial"/>
          <w:sz w:val="20"/>
          <w:szCs w:val="20"/>
        </w:rPr>
      </w:pPr>
    </w:p>
    <w:p w14:paraId="752A739D" w14:textId="21A49B31" w:rsidR="00A15CB7" w:rsidRPr="00430E0F" w:rsidRDefault="00A15CB7" w:rsidP="00A15CB7">
      <w:pPr>
        <w:pStyle w:val="NoSpacing"/>
        <w:jc w:val="both"/>
        <w:rPr>
          <w:rFonts w:ascii="Arial" w:hAnsi="Arial" w:cs="Arial"/>
          <w:sz w:val="20"/>
          <w:szCs w:val="20"/>
        </w:rPr>
      </w:pPr>
      <w:r w:rsidRPr="00430E0F">
        <w:rPr>
          <w:rFonts w:ascii="Arial" w:hAnsi="Arial" w:cs="Arial"/>
          <w:sz w:val="20"/>
          <w:szCs w:val="20"/>
        </w:rPr>
        <w:t xml:space="preserve">The observed susceptibility of </w:t>
      </w:r>
      <w:r w:rsidR="00430E0F" w:rsidRPr="00430E0F">
        <w:rPr>
          <w:rFonts w:ascii="Arial" w:hAnsi="Arial" w:cs="Arial"/>
          <w:i/>
          <w:iCs/>
          <w:sz w:val="20"/>
          <w:szCs w:val="20"/>
        </w:rPr>
        <w:t>K. pneumoniae</w:t>
      </w:r>
      <w:r w:rsidRPr="00430E0F">
        <w:rPr>
          <w:rFonts w:ascii="Arial" w:hAnsi="Arial" w:cs="Arial"/>
          <w:sz w:val="20"/>
          <w:szCs w:val="20"/>
        </w:rPr>
        <w:t xml:space="preserve"> to </w:t>
      </w:r>
      <w:r w:rsidR="00430E0F" w:rsidRPr="00430E0F">
        <w:rPr>
          <w:rFonts w:ascii="Arial" w:hAnsi="Arial" w:cs="Arial"/>
          <w:i/>
          <w:iCs/>
          <w:sz w:val="20"/>
          <w:szCs w:val="20"/>
        </w:rPr>
        <w:t>P. guajava</w:t>
      </w:r>
      <w:r w:rsidRPr="00430E0F">
        <w:rPr>
          <w:rFonts w:ascii="Arial" w:hAnsi="Arial" w:cs="Arial"/>
          <w:sz w:val="20"/>
          <w:szCs w:val="20"/>
        </w:rPr>
        <w:t xml:space="preserve"> extracts aligns with previous studies that have demonstrated the effectiveness of guava leaf extracts against both drug-sensitive and multidrug-resistant strains of </w:t>
      </w:r>
      <w:r w:rsidR="00430E0F" w:rsidRPr="00430E0F">
        <w:rPr>
          <w:rFonts w:ascii="Arial" w:hAnsi="Arial" w:cs="Arial"/>
          <w:i/>
          <w:iCs/>
          <w:sz w:val="20"/>
          <w:szCs w:val="20"/>
        </w:rPr>
        <w:t>K. pneumoniae</w:t>
      </w:r>
      <w:r w:rsidRPr="00430E0F">
        <w:rPr>
          <w:rFonts w:ascii="Arial" w:hAnsi="Arial" w:cs="Arial"/>
          <w:sz w:val="20"/>
          <w:szCs w:val="20"/>
        </w:rPr>
        <w:t xml:space="preserve"> (Hackman </w:t>
      </w:r>
      <w:r w:rsidRPr="00430E0F">
        <w:rPr>
          <w:rFonts w:ascii="Arial" w:hAnsi="Arial" w:cs="Arial"/>
          <w:i/>
          <w:iCs/>
          <w:sz w:val="20"/>
          <w:szCs w:val="20"/>
        </w:rPr>
        <w:t>et al</w:t>
      </w:r>
      <w:r w:rsidRPr="00430E0F">
        <w:rPr>
          <w:rFonts w:ascii="Arial" w:hAnsi="Arial" w:cs="Arial"/>
          <w:sz w:val="20"/>
          <w:szCs w:val="20"/>
        </w:rPr>
        <w:t xml:space="preserve">., 2020; </w:t>
      </w:r>
      <w:proofErr w:type="spellStart"/>
      <w:r w:rsidRPr="00430E0F">
        <w:rPr>
          <w:rFonts w:ascii="Arial" w:hAnsi="Arial" w:cs="Arial"/>
          <w:sz w:val="20"/>
          <w:szCs w:val="20"/>
        </w:rPr>
        <w:t>Möwes</w:t>
      </w:r>
      <w:proofErr w:type="spellEnd"/>
      <w:r w:rsidRPr="00430E0F">
        <w:rPr>
          <w:rFonts w:ascii="Arial" w:hAnsi="Arial" w:cs="Arial"/>
          <w:sz w:val="20"/>
          <w:szCs w:val="20"/>
        </w:rPr>
        <w:t xml:space="preserve"> </w:t>
      </w:r>
      <w:r w:rsidRPr="00430E0F">
        <w:rPr>
          <w:rFonts w:ascii="Arial" w:hAnsi="Arial" w:cs="Arial"/>
          <w:i/>
          <w:iCs/>
          <w:sz w:val="20"/>
          <w:szCs w:val="20"/>
        </w:rPr>
        <w:t>et al</w:t>
      </w:r>
      <w:r w:rsidRPr="00430E0F">
        <w:rPr>
          <w:rFonts w:ascii="Arial" w:hAnsi="Arial" w:cs="Arial"/>
          <w:sz w:val="20"/>
          <w:szCs w:val="20"/>
        </w:rPr>
        <w:t xml:space="preserve">., 2025). A related study on extended spectrum β lactamase (ESBL) producing </w:t>
      </w:r>
      <w:r w:rsidR="00430E0F" w:rsidRPr="00430E0F">
        <w:rPr>
          <w:rFonts w:ascii="Arial" w:hAnsi="Arial" w:cs="Arial"/>
          <w:i/>
          <w:iCs/>
          <w:sz w:val="20"/>
          <w:szCs w:val="20"/>
        </w:rPr>
        <w:t>K. pneumoniae</w:t>
      </w:r>
      <w:r w:rsidRPr="00430E0F">
        <w:rPr>
          <w:rFonts w:ascii="Arial" w:hAnsi="Arial" w:cs="Arial"/>
          <w:sz w:val="20"/>
          <w:szCs w:val="20"/>
        </w:rPr>
        <w:t xml:space="preserve"> reported that guava leaf extracts at concentrations between 50–200 mg/mL exhibited active inhibition zones against clinical isolates, demonstrating measurable antibacterial activity within the same concentration range used in the current work. Although exact numeric zone diameters were not specified for each concentration in that report, the authors concluded that ethanolic guava leaf extract was efficacious against multidrug resistant </w:t>
      </w:r>
      <w:r w:rsidR="00430E0F" w:rsidRPr="00430E0F">
        <w:rPr>
          <w:rFonts w:ascii="Arial" w:hAnsi="Arial" w:cs="Arial"/>
          <w:i/>
          <w:iCs/>
          <w:sz w:val="20"/>
          <w:szCs w:val="20"/>
        </w:rPr>
        <w:t>K. pneumoniae</w:t>
      </w:r>
      <w:r w:rsidRPr="00430E0F">
        <w:rPr>
          <w:rFonts w:ascii="Arial" w:hAnsi="Arial" w:cs="Arial"/>
          <w:sz w:val="20"/>
          <w:szCs w:val="20"/>
        </w:rPr>
        <w:t xml:space="preserve">, reinforcing the trend of greater effectiveness of organic extracts at higher concentrations (Hackman </w:t>
      </w:r>
      <w:r w:rsidRPr="00430E0F">
        <w:rPr>
          <w:rFonts w:ascii="Arial" w:hAnsi="Arial" w:cs="Arial"/>
          <w:i/>
          <w:iCs/>
          <w:sz w:val="20"/>
          <w:szCs w:val="20"/>
        </w:rPr>
        <w:t>et al</w:t>
      </w:r>
      <w:r w:rsidRPr="00430E0F">
        <w:rPr>
          <w:rFonts w:ascii="Arial" w:hAnsi="Arial" w:cs="Arial"/>
          <w:sz w:val="20"/>
          <w:szCs w:val="20"/>
        </w:rPr>
        <w:t xml:space="preserve">., 2020). Other studies investigating antibacterial effects of </w:t>
      </w:r>
      <w:r w:rsidR="00430E0F" w:rsidRPr="00430E0F">
        <w:rPr>
          <w:rFonts w:ascii="Arial" w:hAnsi="Arial" w:cs="Arial"/>
          <w:i/>
          <w:iCs/>
          <w:sz w:val="20"/>
          <w:szCs w:val="20"/>
        </w:rPr>
        <w:t>P. guajava</w:t>
      </w:r>
      <w:r w:rsidRPr="00430E0F">
        <w:rPr>
          <w:rFonts w:ascii="Arial" w:hAnsi="Arial" w:cs="Arial"/>
          <w:sz w:val="20"/>
          <w:szCs w:val="20"/>
        </w:rPr>
        <w:t xml:space="preserve"> against Gram negative bacteria also reported similar inhibition zones. For instance, research evaluating ethanol and aqueous extracts documented that ethanol extracts produced inhibition zones against </w:t>
      </w:r>
      <w:r w:rsidR="00430E0F" w:rsidRPr="00430E0F">
        <w:rPr>
          <w:rFonts w:ascii="Arial" w:hAnsi="Arial" w:cs="Arial"/>
          <w:i/>
          <w:iCs/>
          <w:sz w:val="20"/>
          <w:szCs w:val="20"/>
        </w:rPr>
        <w:t>K. pneumoniae</w:t>
      </w:r>
      <w:r w:rsidRPr="00430E0F">
        <w:rPr>
          <w:rFonts w:ascii="Arial" w:hAnsi="Arial" w:cs="Arial"/>
          <w:sz w:val="20"/>
          <w:szCs w:val="20"/>
        </w:rPr>
        <w:t xml:space="preserve"> at approximately 9.4 ± 0.03 mm at 100 mg/ml, while aqueous extracts produced zones around 7.5 ± 0.03 mm at the same concentration, indicating greater efficacy of ethanol extracts (</w:t>
      </w:r>
      <w:proofErr w:type="spellStart"/>
      <w:r w:rsidRPr="00430E0F">
        <w:rPr>
          <w:rFonts w:ascii="Arial" w:eastAsia="Times New Roman" w:hAnsi="Arial" w:cs="Arial"/>
          <w:sz w:val="20"/>
          <w:szCs w:val="20"/>
        </w:rPr>
        <w:t>Evbuomwan</w:t>
      </w:r>
      <w:proofErr w:type="spellEnd"/>
      <w:r w:rsidRPr="00430E0F">
        <w:rPr>
          <w:rFonts w:ascii="Arial" w:eastAsia="Times New Roman" w:hAnsi="Arial" w:cs="Arial"/>
          <w:sz w:val="20"/>
          <w:szCs w:val="20"/>
        </w:rPr>
        <w:t xml:space="preserve"> </w:t>
      </w:r>
      <w:r w:rsidRPr="00430E0F">
        <w:rPr>
          <w:rFonts w:ascii="Arial" w:eastAsia="Times New Roman" w:hAnsi="Arial" w:cs="Arial"/>
          <w:i/>
          <w:iCs/>
          <w:sz w:val="20"/>
          <w:szCs w:val="20"/>
        </w:rPr>
        <w:t>et al</w:t>
      </w:r>
      <w:r w:rsidRPr="00430E0F">
        <w:rPr>
          <w:rFonts w:ascii="Arial" w:eastAsia="Times New Roman" w:hAnsi="Arial" w:cs="Arial"/>
          <w:sz w:val="20"/>
          <w:szCs w:val="20"/>
        </w:rPr>
        <w:t>., 2018</w:t>
      </w:r>
      <w:r w:rsidRPr="00430E0F">
        <w:rPr>
          <w:rFonts w:ascii="Arial" w:hAnsi="Arial" w:cs="Arial"/>
          <w:sz w:val="20"/>
          <w:szCs w:val="20"/>
        </w:rPr>
        <w:t>). These findings correspond with the present results in Table 3, where ethanol extracts exhibited consistently larger inhibition zones compared to aqueous extracts across all tested concentrations.</w:t>
      </w:r>
    </w:p>
    <w:p w14:paraId="78A23E93" w14:textId="77777777" w:rsidR="00A15CB7" w:rsidRPr="00430E0F" w:rsidRDefault="00A15CB7" w:rsidP="00A15CB7">
      <w:pPr>
        <w:pStyle w:val="NoSpacing"/>
        <w:jc w:val="both"/>
        <w:rPr>
          <w:rFonts w:ascii="Arial" w:hAnsi="Arial" w:cs="Arial"/>
          <w:sz w:val="20"/>
          <w:szCs w:val="20"/>
        </w:rPr>
      </w:pPr>
    </w:p>
    <w:p w14:paraId="03478704" w14:textId="036B87EA" w:rsidR="00A15CB7" w:rsidRPr="00430E0F" w:rsidRDefault="00A15CB7" w:rsidP="00A15CB7">
      <w:pPr>
        <w:pStyle w:val="NoSpacing"/>
        <w:jc w:val="both"/>
        <w:rPr>
          <w:rFonts w:ascii="Arial" w:hAnsi="Arial" w:cs="Arial"/>
          <w:sz w:val="20"/>
          <w:szCs w:val="20"/>
        </w:rPr>
      </w:pPr>
      <w:r w:rsidRPr="00430E0F">
        <w:rPr>
          <w:rFonts w:ascii="Arial" w:hAnsi="Arial" w:cs="Arial"/>
          <w:sz w:val="20"/>
          <w:szCs w:val="20"/>
        </w:rPr>
        <w:t xml:space="preserve">Although the inhibition zone produced by ciprofloxacin, the standard antibiotic control against all </w:t>
      </w:r>
      <w:r w:rsidR="00430E0F" w:rsidRPr="00430E0F">
        <w:rPr>
          <w:rFonts w:ascii="Arial" w:hAnsi="Arial" w:cs="Arial"/>
          <w:i/>
          <w:iCs/>
          <w:sz w:val="20"/>
          <w:szCs w:val="20"/>
        </w:rPr>
        <w:t>K. pneumoniae</w:t>
      </w:r>
      <w:r w:rsidRPr="00430E0F">
        <w:rPr>
          <w:rFonts w:ascii="Arial" w:hAnsi="Arial" w:cs="Arial"/>
          <w:sz w:val="20"/>
          <w:szCs w:val="20"/>
        </w:rPr>
        <w:t xml:space="preserve"> isolates were significantly higher (22–28 mm), the observed antibacterial activity exhibited by the plant extracts remains noteworthy. Similar findings have been reported in earlier studies, where standard antibiotics consistently outperform crude plant extracts but do not negate the therapeutic potential of medicinal plants (Pereira </w:t>
      </w:r>
      <w:r w:rsidRPr="00430E0F">
        <w:rPr>
          <w:rFonts w:ascii="Arial" w:hAnsi="Arial" w:cs="Arial"/>
          <w:i/>
          <w:iCs/>
          <w:sz w:val="20"/>
          <w:szCs w:val="20"/>
        </w:rPr>
        <w:t>et al</w:t>
      </w:r>
      <w:r w:rsidRPr="00430E0F">
        <w:rPr>
          <w:rFonts w:ascii="Arial" w:hAnsi="Arial" w:cs="Arial"/>
          <w:sz w:val="20"/>
          <w:szCs w:val="20"/>
        </w:rPr>
        <w:t xml:space="preserve">., 2023; Saifi </w:t>
      </w:r>
      <w:r w:rsidRPr="00430E0F">
        <w:rPr>
          <w:rFonts w:ascii="Arial" w:hAnsi="Arial" w:cs="Arial"/>
          <w:i/>
          <w:iCs/>
          <w:sz w:val="20"/>
          <w:szCs w:val="20"/>
        </w:rPr>
        <w:t>et al</w:t>
      </w:r>
      <w:r w:rsidRPr="00430E0F">
        <w:rPr>
          <w:rFonts w:ascii="Arial" w:hAnsi="Arial" w:cs="Arial"/>
          <w:sz w:val="20"/>
          <w:szCs w:val="20"/>
        </w:rPr>
        <w:t xml:space="preserve">., 2024). The observed activity of </w:t>
      </w:r>
      <w:r w:rsidR="00430E0F" w:rsidRPr="00430E0F">
        <w:rPr>
          <w:rFonts w:ascii="Arial" w:hAnsi="Arial" w:cs="Arial"/>
          <w:i/>
          <w:iCs/>
          <w:sz w:val="20"/>
          <w:szCs w:val="20"/>
        </w:rPr>
        <w:t>P. guajava</w:t>
      </w:r>
      <w:r w:rsidRPr="00430E0F">
        <w:rPr>
          <w:rFonts w:ascii="Arial" w:hAnsi="Arial" w:cs="Arial"/>
          <w:sz w:val="20"/>
          <w:szCs w:val="20"/>
        </w:rPr>
        <w:t xml:space="preserve"> leaf extracts suggested their potential role as complementary antimicrobial agents or as sources of lead compounds for the development of novel antibacterial drugs, particularly in the face of rising antibiotic resistance.</w:t>
      </w:r>
    </w:p>
    <w:p w14:paraId="6A13506F" w14:textId="77777777" w:rsidR="00A15CB7" w:rsidRPr="00430E0F" w:rsidRDefault="00A15CB7" w:rsidP="00A15CB7">
      <w:pPr>
        <w:pStyle w:val="NoSpacing"/>
        <w:jc w:val="both"/>
        <w:rPr>
          <w:rFonts w:ascii="Arial" w:hAnsi="Arial" w:cs="Arial"/>
          <w:sz w:val="20"/>
          <w:szCs w:val="20"/>
        </w:rPr>
      </w:pPr>
    </w:p>
    <w:p w14:paraId="0201A412" w14:textId="77777777" w:rsidR="00A15CB7" w:rsidRPr="00430E0F" w:rsidRDefault="00A15CB7" w:rsidP="00A15CB7">
      <w:pPr>
        <w:pStyle w:val="NoSpacing"/>
        <w:jc w:val="both"/>
        <w:rPr>
          <w:rFonts w:ascii="Arial" w:hAnsi="Arial" w:cs="Arial"/>
          <w:sz w:val="20"/>
          <w:szCs w:val="20"/>
        </w:rPr>
      </w:pPr>
    </w:p>
    <w:p w14:paraId="140006AE" w14:textId="13A65D1D" w:rsidR="00A15CB7" w:rsidRPr="00430E0F" w:rsidRDefault="00A15CB7" w:rsidP="00A15CB7">
      <w:pPr>
        <w:pStyle w:val="NoSpacing"/>
        <w:jc w:val="both"/>
        <w:rPr>
          <w:rFonts w:ascii="Arial" w:hAnsi="Arial" w:cs="Arial"/>
          <w:b/>
        </w:rPr>
      </w:pPr>
      <w:r w:rsidRPr="00430E0F">
        <w:rPr>
          <w:rFonts w:ascii="Arial" w:hAnsi="Arial" w:cs="Arial"/>
          <w:b/>
        </w:rPr>
        <w:t>5. Conclusion</w:t>
      </w:r>
    </w:p>
    <w:p w14:paraId="600D0745" w14:textId="5C61E876" w:rsidR="00A15CB7" w:rsidRPr="00430E0F" w:rsidRDefault="00A15CB7" w:rsidP="00A15CB7">
      <w:pPr>
        <w:pStyle w:val="NoSpacing"/>
        <w:jc w:val="both"/>
        <w:rPr>
          <w:rFonts w:ascii="Arial" w:hAnsi="Arial" w:cs="Arial"/>
          <w:sz w:val="20"/>
          <w:szCs w:val="20"/>
        </w:rPr>
      </w:pPr>
      <w:r w:rsidRPr="00430E0F">
        <w:rPr>
          <w:rFonts w:ascii="Arial" w:eastAsia="Times New Roman" w:hAnsi="Arial" w:cs="Arial"/>
          <w:sz w:val="20"/>
          <w:szCs w:val="20"/>
        </w:rPr>
        <w:t xml:space="preserve">The present study confirmed that </w:t>
      </w:r>
      <w:r w:rsidR="00430E0F" w:rsidRPr="00430E0F">
        <w:rPr>
          <w:rFonts w:ascii="Arial" w:eastAsia="Times New Roman" w:hAnsi="Arial" w:cs="Arial"/>
          <w:i/>
          <w:iCs/>
          <w:sz w:val="20"/>
          <w:szCs w:val="20"/>
        </w:rPr>
        <w:t>Klebsiella pneumoniae</w:t>
      </w:r>
      <w:r w:rsidRPr="00430E0F">
        <w:rPr>
          <w:rFonts w:ascii="Arial" w:eastAsia="Times New Roman" w:hAnsi="Arial" w:cs="Arial"/>
          <w:sz w:val="20"/>
          <w:szCs w:val="20"/>
        </w:rPr>
        <w:t xml:space="preserve"> can be identified using standard morphological and biochemical characteristics and demonstrated that </w:t>
      </w:r>
      <w:r w:rsidRPr="00430E0F">
        <w:rPr>
          <w:rFonts w:ascii="Arial" w:eastAsia="Times New Roman" w:hAnsi="Arial" w:cs="Arial"/>
          <w:i/>
          <w:iCs/>
          <w:sz w:val="20"/>
          <w:szCs w:val="20"/>
        </w:rPr>
        <w:t>Psidium guajava</w:t>
      </w:r>
      <w:r w:rsidRPr="00430E0F">
        <w:rPr>
          <w:rFonts w:ascii="Arial" w:eastAsia="Times New Roman" w:hAnsi="Arial" w:cs="Arial"/>
          <w:sz w:val="20"/>
          <w:szCs w:val="20"/>
        </w:rPr>
        <w:t xml:space="preserve"> leaf extracts exhibited antibacterial activity against this pathogen. Qualitative phytochemical analysis revealed the presence of key bioactive constituents, including tannins, flavonoids, alkaloids, saponins which are known to contribute to antimicrobial effects. Among the extracts tested, ethanol and methanol leaf extracts exhibited stronger antibacterial activity than the aqueous extract, with inhibition increasing in a concentration-dependent manner. Although the inhibitory effects of the plant extracts were lower than those of ciprofloxacin, their consistent activity against </w:t>
      </w:r>
      <w:r w:rsidR="00430E0F" w:rsidRPr="00430E0F">
        <w:rPr>
          <w:rFonts w:ascii="Arial" w:eastAsia="Times New Roman" w:hAnsi="Arial" w:cs="Arial"/>
          <w:i/>
          <w:iCs/>
          <w:sz w:val="20"/>
          <w:szCs w:val="20"/>
        </w:rPr>
        <w:t>K. pneumoniae</w:t>
      </w:r>
      <w:r w:rsidRPr="00430E0F">
        <w:rPr>
          <w:rFonts w:ascii="Arial" w:eastAsia="Times New Roman" w:hAnsi="Arial" w:cs="Arial"/>
          <w:sz w:val="20"/>
          <w:szCs w:val="20"/>
        </w:rPr>
        <w:t xml:space="preserve"> highlights the therapeutic potential of </w:t>
      </w:r>
      <w:r w:rsidR="00430E0F" w:rsidRPr="00430E0F">
        <w:rPr>
          <w:rFonts w:ascii="Arial" w:eastAsia="Times New Roman" w:hAnsi="Arial" w:cs="Arial"/>
          <w:i/>
          <w:iCs/>
          <w:sz w:val="20"/>
          <w:szCs w:val="20"/>
        </w:rPr>
        <w:t>P. guajava</w:t>
      </w:r>
      <w:r w:rsidRPr="00430E0F">
        <w:rPr>
          <w:rFonts w:ascii="Arial" w:eastAsia="Times New Roman" w:hAnsi="Arial" w:cs="Arial"/>
          <w:sz w:val="20"/>
          <w:szCs w:val="20"/>
        </w:rPr>
        <w:t xml:space="preserve"> leaves. B</w:t>
      </w:r>
      <w:r w:rsidRPr="00430E0F">
        <w:rPr>
          <w:rFonts w:ascii="Arial" w:hAnsi="Arial" w:cs="Arial"/>
          <w:sz w:val="20"/>
          <w:szCs w:val="20"/>
        </w:rPr>
        <w:t xml:space="preserve">ased on the findings of this study, the following recommendations were proposed: Optimization of extraction methods for improved yield and potency of active compounds and </w:t>
      </w:r>
      <w:r w:rsidRPr="00430E0F">
        <w:rPr>
          <w:rFonts w:ascii="Arial" w:hAnsi="Arial" w:cs="Arial"/>
          <w:i/>
          <w:iCs/>
          <w:sz w:val="20"/>
          <w:szCs w:val="20"/>
        </w:rPr>
        <w:t>in vivo</w:t>
      </w:r>
      <w:r w:rsidRPr="00430E0F">
        <w:rPr>
          <w:rFonts w:ascii="Arial" w:hAnsi="Arial" w:cs="Arial"/>
          <w:sz w:val="20"/>
          <w:szCs w:val="20"/>
        </w:rPr>
        <w:t xml:space="preserve"> and </w:t>
      </w:r>
      <w:r w:rsidRPr="00430E0F">
        <w:rPr>
          <w:rFonts w:ascii="Arial" w:hAnsi="Arial" w:cs="Arial"/>
          <w:sz w:val="20"/>
          <w:szCs w:val="20"/>
        </w:rPr>
        <w:lastRenderedPageBreak/>
        <w:t xml:space="preserve">clinical investigations to validate the therapeutic efficacy, safety, and pharmacokinetic properties of </w:t>
      </w:r>
      <w:r w:rsidR="00430E0F" w:rsidRPr="00430E0F">
        <w:rPr>
          <w:rFonts w:ascii="Arial" w:hAnsi="Arial" w:cs="Arial"/>
          <w:i/>
          <w:iCs/>
          <w:sz w:val="20"/>
          <w:szCs w:val="20"/>
        </w:rPr>
        <w:t>P. guajava</w:t>
      </w:r>
      <w:r w:rsidRPr="00430E0F">
        <w:rPr>
          <w:rFonts w:ascii="Arial" w:hAnsi="Arial" w:cs="Arial"/>
          <w:sz w:val="20"/>
          <w:szCs w:val="20"/>
        </w:rPr>
        <w:t xml:space="preserve"> extracts.</w:t>
      </w:r>
    </w:p>
    <w:p w14:paraId="6EDCCC89" w14:textId="77777777" w:rsidR="00A15CB7" w:rsidRPr="00430E0F" w:rsidRDefault="00A15CB7" w:rsidP="00A15CB7">
      <w:pPr>
        <w:pStyle w:val="NoSpacing"/>
        <w:ind w:left="720" w:hanging="720"/>
        <w:jc w:val="both"/>
        <w:rPr>
          <w:rFonts w:ascii="Arial" w:hAnsi="Arial" w:cs="Arial"/>
          <w:sz w:val="20"/>
          <w:szCs w:val="20"/>
        </w:rPr>
      </w:pPr>
    </w:p>
    <w:p w14:paraId="29C6CEA2" w14:textId="77777777" w:rsidR="00A15CB7" w:rsidRPr="00430E0F" w:rsidRDefault="00A15CB7" w:rsidP="00A15CB7">
      <w:pPr>
        <w:pStyle w:val="ReferHead"/>
        <w:spacing w:after="0"/>
        <w:jc w:val="both"/>
        <w:rPr>
          <w:rFonts w:ascii="Arial" w:hAnsi="Arial" w:cs="Arial"/>
          <w:bCs/>
        </w:rPr>
      </w:pPr>
    </w:p>
    <w:p w14:paraId="02E34398" w14:textId="17B58548" w:rsidR="00A15CB7" w:rsidRPr="00430E0F" w:rsidRDefault="00A15CB7" w:rsidP="00A15CB7">
      <w:pPr>
        <w:pStyle w:val="ReferHead"/>
        <w:spacing w:after="0"/>
        <w:jc w:val="both"/>
        <w:rPr>
          <w:rFonts w:ascii="Arial" w:hAnsi="Arial" w:cs="Arial"/>
          <w:bCs/>
        </w:rPr>
      </w:pPr>
      <w:r w:rsidRPr="00430E0F">
        <w:rPr>
          <w:rFonts w:ascii="Arial" w:hAnsi="Arial" w:cs="Arial"/>
          <w:bCs/>
        </w:rPr>
        <w:t>Competing interests</w:t>
      </w:r>
    </w:p>
    <w:p w14:paraId="4574E6AF" w14:textId="77777777" w:rsidR="00A15CB7" w:rsidRPr="00430E0F" w:rsidRDefault="00A15CB7" w:rsidP="00A15CB7">
      <w:pPr>
        <w:pStyle w:val="ReferHead"/>
        <w:spacing w:after="0"/>
        <w:jc w:val="both"/>
        <w:rPr>
          <w:rFonts w:ascii="Arial" w:hAnsi="Arial" w:cs="Arial"/>
          <w:b w:val="0"/>
          <w:caps w:val="0"/>
          <w:sz w:val="20"/>
        </w:rPr>
      </w:pPr>
      <w:r w:rsidRPr="00430E0F">
        <w:rPr>
          <w:rFonts w:ascii="Arial" w:hAnsi="Arial" w:cs="Arial"/>
          <w:b w:val="0"/>
          <w:caps w:val="0"/>
          <w:sz w:val="20"/>
        </w:rPr>
        <w:t>Authors declared no conflict of interest.</w:t>
      </w:r>
    </w:p>
    <w:p w14:paraId="279FA83F" w14:textId="77777777" w:rsidR="00A15CB7" w:rsidRPr="00430E0F" w:rsidRDefault="00A15CB7" w:rsidP="00A15CB7">
      <w:pPr>
        <w:pStyle w:val="NoSpacing"/>
        <w:ind w:left="720" w:hanging="720"/>
        <w:jc w:val="both"/>
        <w:rPr>
          <w:rFonts w:ascii="Arial" w:hAnsi="Arial" w:cs="Arial"/>
          <w:sz w:val="20"/>
          <w:szCs w:val="20"/>
        </w:rPr>
      </w:pPr>
    </w:p>
    <w:p w14:paraId="330631C2" w14:textId="77777777" w:rsidR="00A15CB7" w:rsidRPr="00430E0F" w:rsidRDefault="00A15CB7" w:rsidP="00A15CB7">
      <w:pPr>
        <w:pStyle w:val="NoSpacing"/>
        <w:ind w:left="720" w:hanging="720"/>
        <w:jc w:val="both"/>
        <w:rPr>
          <w:rFonts w:ascii="Arial" w:hAnsi="Arial" w:cs="Arial"/>
          <w:b/>
          <w:sz w:val="20"/>
          <w:szCs w:val="20"/>
        </w:rPr>
      </w:pPr>
    </w:p>
    <w:p w14:paraId="0FAFB426" w14:textId="77777777" w:rsidR="00A15CB7" w:rsidRPr="00430E0F" w:rsidRDefault="00A15CB7" w:rsidP="00A15CB7">
      <w:pPr>
        <w:pStyle w:val="NoSpacing"/>
        <w:ind w:left="720" w:hanging="720"/>
        <w:jc w:val="both"/>
        <w:rPr>
          <w:rFonts w:ascii="Arial" w:hAnsi="Arial" w:cs="Arial"/>
          <w:b/>
        </w:rPr>
      </w:pPr>
      <w:r w:rsidRPr="00430E0F">
        <w:rPr>
          <w:rFonts w:ascii="Arial" w:hAnsi="Arial" w:cs="Arial"/>
          <w:b/>
        </w:rPr>
        <w:t>REFERENCES</w:t>
      </w:r>
    </w:p>
    <w:p w14:paraId="13948432" w14:textId="00DDF5EE" w:rsidR="00A15CB7" w:rsidRPr="00430E0F" w:rsidRDefault="00EE2D42" w:rsidP="00FD7905">
      <w:pPr>
        <w:pStyle w:val="NoSpacing"/>
        <w:ind w:left="360"/>
        <w:jc w:val="both"/>
        <w:rPr>
          <w:rStyle w:val="Hyperlink"/>
          <w:rFonts w:ascii="Arial" w:hAnsi="Arial" w:cs="Arial"/>
          <w:color w:val="auto"/>
          <w:sz w:val="20"/>
          <w:szCs w:val="20"/>
        </w:rPr>
      </w:pPr>
      <w:proofErr w:type="spellStart"/>
      <w:r w:rsidRPr="00EE2D42">
        <w:rPr>
          <w:rFonts w:ascii="Arial" w:hAnsi="Arial" w:cs="Arial"/>
          <w:sz w:val="20"/>
          <w:szCs w:val="20"/>
        </w:rPr>
        <w:t>Adjapong</w:t>
      </w:r>
      <w:proofErr w:type="spellEnd"/>
      <w:r w:rsidRPr="00EE2D42">
        <w:rPr>
          <w:rFonts w:ascii="Arial" w:hAnsi="Arial" w:cs="Arial"/>
          <w:sz w:val="20"/>
          <w:szCs w:val="20"/>
        </w:rPr>
        <w:t xml:space="preserve">, G., Mills-Robertson, F. C., </w:t>
      </w:r>
      <w:proofErr w:type="spellStart"/>
      <w:r w:rsidRPr="00EE2D42">
        <w:rPr>
          <w:rFonts w:ascii="Arial" w:hAnsi="Arial" w:cs="Arial"/>
          <w:sz w:val="20"/>
          <w:szCs w:val="20"/>
        </w:rPr>
        <w:t>Appenteng</w:t>
      </w:r>
      <w:proofErr w:type="spellEnd"/>
      <w:r w:rsidRPr="00EE2D42">
        <w:rPr>
          <w:rFonts w:ascii="Arial" w:hAnsi="Arial" w:cs="Arial"/>
          <w:sz w:val="20"/>
          <w:szCs w:val="20"/>
        </w:rPr>
        <w:t xml:space="preserve">, M. A., </w:t>
      </w:r>
      <w:proofErr w:type="spellStart"/>
      <w:r w:rsidRPr="00EE2D42">
        <w:rPr>
          <w:rFonts w:ascii="Arial" w:hAnsi="Arial" w:cs="Arial"/>
          <w:sz w:val="20"/>
          <w:szCs w:val="20"/>
        </w:rPr>
        <w:t>Ocloo</w:t>
      </w:r>
      <w:proofErr w:type="spellEnd"/>
      <w:r w:rsidRPr="00EE2D42">
        <w:rPr>
          <w:rFonts w:ascii="Arial" w:hAnsi="Arial" w:cs="Arial"/>
          <w:sz w:val="20"/>
          <w:szCs w:val="20"/>
        </w:rPr>
        <w:t xml:space="preserve">, A., &amp; </w:t>
      </w:r>
      <w:proofErr w:type="spellStart"/>
      <w:r w:rsidRPr="00EE2D42">
        <w:rPr>
          <w:rFonts w:ascii="Arial" w:hAnsi="Arial" w:cs="Arial"/>
          <w:sz w:val="20"/>
          <w:szCs w:val="20"/>
        </w:rPr>
        <w:t>Garrill</w:t>
      </w:r>
      <w:proofErr w:type="spellEnd"/>
      <w:r w:rsidRPr="00EE2D42">
        <w:rPr>
          <w:rFonts w:ascii="Arial" w:hAnsi="Arial" w:cs="Arial"/>
          <w:sz w:val="20"/>
          <w:szCs w:val="20"/>
        </w:rPr>
        <w:t>, A. (2017). Antimicrobial activities of six selected plants against multi-drug resistant Staphylococcus aureus. European Journal of Medicinal Plants, 18(1), 1–12. https://doi.org/10.9734/EJMP/2017/30464</w:t>
      </w:r>
      <w:r>
        <w:rPr>
          <w:rFonts w:ascii="Arial" w:hAnsi="Arial" w:cs="Arial"/>
          <w:sz w:val="20"/>
          <w:szCs w:val="20"/>
        </w:rPr>
        <w:t xml:space="preserve"> </w:t>
      </w:r>
    </w:p>
    <w:p w14:paraId="43A0245E" w14:textId="77777777" w:rsidR="00A15CB7" w:rsidRPr="00430E0F" w:rsidRDefault="00A15CB7" w:rsidP="00FD7905">
      <w:pPr>
        <w:pStyle w:val="NoSpacing"/>
        <w:jc w:val="both"/>
        <w:rPr>
          <w:rFonts w:ascii="Arial" w:hAnsi="Arial" w:cs="Arial"/>
          <w:sz w:val="20"/>
          <w:szCs w:val="20"/>
        </w:rPr>
      </w:pPr>
    </w:p>
    <w:p w14:paraId="71A00F73" w14:textId="6F5D05E2" w:rsidR="00A15CB7" w:rsidRPr="00430E0F" w:rsidRDefault="0030060D" w:rsidP="00FD7905">
      <w:pPr>
        <w:pStyle w:val="NoSpacing"/>
        <w:ind w:left="360"/>
        <w:jc w:val="both"/>
        <w:rPr>
          <w:rFonts w:ascii="Arial" w:hAnsi="Arial" w:cs="Arial"/>
          <w:sz w:val="20"/>
          <w:szCs w:val="20"/>
        </w:rPr>
      </w:pPr>
      <w:r w:rsidRPr="0030060D">
        <w:rPr>
          <w:rStyle w:val="Strong"/>
          <w:rFonts w:ascii="Arial" w:hAnsi="Arial" w:cs="Arial"/>
          <w:b w:val="0"/>
          <w:bCs w:val="0"/>
          <w:spacing w:val="1"/>
          <w:sz w:val="20"/>
          <w:szCs w:val="20"/>
          <w:shd w:val="clear" w:color="auto" w:fill="FFFFFF"/>
        </w:rPr>
        <w:t>Agbo, A. O., Mbah-</w:t>
      </w:r>
      <w:proofErr w:type="spellStart"/>
      <w:r w:rsidRPr="0030060D">
        <w:rPr>
          <w:rStyle w:val="Strong"/>
          <w:rFonts w:ascii="Arial" w:hAnsi="Arial" w:cs="Arial"/>
          <w:b w:val="0"/>
          <w:bCs w:val="0"/>
          <w:spacing w:val="1"/>
          <w:sz w:val="20"/>
          <w:szCs w:val="20"/>
          <w:shd w:val="clear" w:color="auto" w:fill="FFFFFF"/>
        </w:rPr>
        <w:t>Omeje</w:t>
      </w:r>
      <w:proofErr w:type="spellEnd"/>
      <w:r w:rsidRPr="0030060D">
        <w:rPr>
          <w:rStyle w:val="Strong"/>
          <w:rFonts w:ascii="Arial" w:hAnsi="Arial" w:cs="Arial"/>
          <w:b w:val="0"/>
          <w:bCs w:val="0"/>
          <w:spacing w:val="1"/>
          <w:sz w:val="20"/>
          <w:szCs w:val="20"/>
          <w:shd w:val="clear" w:color="auto" w:fill="FFFFFF"/>
        </w:rPr>
        <w:t xml:space="preserve">, K. N., </w:t>
      </w:r>
      <w:proofErr w:type="spellStart"/>
      <w:r w:rsidRPr="0030060D">
        <w:rPr>
          <w:rStyle w:val="Strong"/>
          <w:rFonts w:ascii="Arial" w:hAnsi="Arial" w:cs="Arial"/>
          <w:b w:val="0"/>
          <w:bCs w:val="0"/>
          <w:spacing w:val="1"/>
          <w:sz w:val="20"/>
          <w:szCs w:val="20"/>
          <w:shd w:val="clear" w:color="auto" w:fill="FFFFFF"/>
        </w:rPr>
        <w:t>Ikegwu</w:t>
      </w:r>
      <w:proofErr w:type="spellEnd"/>
      <w:r w:rsidRPr="0030060D">
        <w:rPr>
          <w:rStyle w:val="Strong"/>
          <w:rFonts w:ascii="Arial" w:hAnsi="Arial" w:cs="Arial"/>
          <w:b w:val="0"/>
          <w:bCs w:val="0"/>
          <w:spacing w:val="1"/>
          <w:sz w:val="20"/>
          <w:szCs w:val="20"/>
          <w:shd w:val="clear" w:color="auto" w:fill="FFFFFF"/>
        </w:rPr>
        <w:t>, T. M., &amp; Ameh, O. A. (2025). Proximate, phytochemicals and gas chromatography–flame ionization detection (GC–FID) profiling of ethanolic extract of guava (Psidium guajava) leaves and its antimicrobial activities on some bacterial isolates. International Journal of Research and Innovation in Applied Science, 10(8), 1284-1298. https://doi.org/10.51584/IJRIAS.2025.100800111</w:t>
      </w:r>
      <w:r>
        <w:rPr>
          <w:rStyle w:val="Strong"/>
          <w:rFonts w:ascii="Arial" w:hAnsi="Arial" w:cs="Arial"/>
          <w:b w:val="0"/>
          <w:bCs w:val="0"/>
          <w:spacing w:val="1"/>
          <w:sz w:val="20"/>
          <w:szCs w:val="20"/>
          <w:shd w:val="clear" w:color="auto" w:fill="FFFFFF"/>
        </w:rPr>
        <w:t xml:space="preserve"> </w:t>
      </w:r>
    </w:p>
    <w:p w14:paraId="247D9ECC" w14:textId="77777777" w:rsidR="00A15CB7" w:rsidRPr="00430E0F" w:rsidRDefault="00A15CB7" w:rsidP="00FD7905">
      <w:pPr>
        <w:pStyle w:val="NoSpacing"/>
        <w:jc w:val="both"/>
        <w:rPr>
          <w:rFonts w:ascii="Arial" w:hAnsi="Arial" w:cs="Arial"/>
          <w:sz w:val="20"/>
          <w:szCs w:val="20"/>
        </w:rPr>
      </w:pPr>
    </w:p>
    <w:p w14:paraId="0241C0DE" w14:textId="03AFF6FC" w:rsidR="00A15CB7" w:rsidRPr="00430E0F" w:rsidRDefault="00124275" w:rsidP="00FD7905">
      <w:pPr>
        <w:pStyle w:val="NoSpacing"/>
        <w:ind w:left="360"/>
        <w:jc w:val="both"/>
        <w:rPr>
          <w:rStyle w:val="Hyperlink"/>
          <w:rFonts w:ascii="Arial" w:hAnsi="Arial" w:cs="Arial"/>
          <w:color w:val="auto"/>
          <w:spacing w:val="1"/>
          <w:sz w:val="20"/>
          <w:szCs w:val="20"/>
          <w:u w:val="none"/>
          <w:shd w:val="clear" w:color="auto" w:fill="FFFFFF"/>
        </w:rPr>
      </w:pPr>
      <w:r w:rsidRPr="00124275">
        <w:rPr>
          <w:rStyle w:val="Hyperlink"/>
          <w:rFonts w:ascii="Arial" w:hAnsi="Arial" w:cs="Arial"/>
          <w:color w:val="auto"/>
          <w:spacing w:val="1"/>
          <w:sz w:val="20"/>
          <w:szCs w:val="20"/>
          <w:u w:val="none"/>
          <w:shd w:val="clear" w:color="auto" w:fill="FFFFFF"/>
        </w:rPr>
        <w:t xml:space="preserve">Akinyemi, K. O., </w:t>
      </w:r>
      <w:proofErr w:type="spellStart"/>
      <w:r w:rsidRPr="00124275">
        <w:rPr>
          <w:rStyle w:val="Hyperlink"/>
          <w:rFonts w:ascii="Arial" w:hAnsi="Arial" w:cs="Arial"/>
          <w:color w:val="auto"/>
          <w:spacing w:val="1"/>
          <w:sz w:val="20"/>
          <w:szCs w:val="20"/>
          <w:u w:val="none"/>
          <w:shd w:val="clear" w:color="auto" w:fill="FFFFFF"/>
        </w:rPr>
        <w:t>Abegunrin</w:t>
      </w:r>
      <w:proofErr w:type="spellEnd"/>
      <w:r w:rsidRPr="00124275">
        <w:rPr>
          <w:rStyle w:val="Hyperlink"/>
          <w:rFonts w:ascii="Arial" w:hAnsi="Arial" w:cs="Arial"/>
          <w:color w:val="auto"/>
          <w:spacing w:val="1"/>
          <w:sz w:val="20"/>
          <w:szCs w:val="20"/>
          <w:u w:val="none"/>
          <w:shd w:val="clear" w:color="auto" w:fill="FFFFFF"/>
        </w:rPr>
        <w:t xml:space="preserve">, R. O., </w:t>
      </w:r>
      <w:proofErr w:type="spellStart"/>
      <w:r w:rsidRPr="00124275">
        <w:rPr>
          <w:rStyle w:val="Hyperlink"/>
          <w:rFonts w:ascii="Arial" w:hAnsi="Arial" w:cs="Arial"/>
          <w:color w:val="auto"/>
          <w:spacing w:val="1"/>
          <w:sz w:val="20"/>
          <w:szCs w:val="20"/>
          <w:u w:val="none"/>
          <w:shd w:val="clear" w:color="auto" w:fill="FFFFFF"/>
        </w:rPr>
        <w:t>Iwalokun</w:t>
      </w:r>
      <w:proofErr w:type="spellEnd"/>
      <w:r w:rsidRPr="00124275">
        <w:rPr>
          <w:rStyle w:val="Hyperlink"/>
          <w:rFonts w:ascii="Arial" w:hAnsi="Arial" w:cs="Arial"/>
          <w:color w:val="auto"/>
          <w:spacing w:val="1"/>
          <w:sz w:val="20"/>
          <w:szCs w:val="20"/>
          <w:u w:val="none"/>
          <w:shd w:val="clear" w:color="auto" w:fill="FFFFFF"/>
        </w:rPr>
        <w:t xml:space="preserve">, B. A., </w:t>
      </w:r>
      <w:proofErr w:type="spellStart"/>
      <w:r w:rsidRPr="00124275">
        <w:rPr>
          <w:rStyle w:val="Hyperlink"/>
          <w:rFonts w:ascii="Arial" w:hAnsi="Arial" w:cs="Arial"/>
          <w:color w:val="auto"/>
          <w:spacing w:val="1"/>
          <w:sz w:val="20"/>
          <w:szCs w:val="20"/>
          <w:u w:val="none"/>
          <w:shd w:val="clear" w:color="auto" w:fill="FFFFFF"/>
        </w:rPr>
        <w:t>Fakorede</w:t>
      </w:r>
      <w:proofErr w:type="spellEnd"/>
      <w:r w:rsidRPr="00124275">
        <w:rPr>
          <w:rStyle w:val="Hyperlink"/>
          <w:rFonts w:ascii="Arial" w:hAnsi="Arial" w:cs="Arial"/>
          <w:color w:val="auto"/>
          <w:spacing w:val="1"/>
          <w:sz w:val="20"/>
          <w:szCs w:val="20"/>
          <w:u w:val="none"/>
          <w:shd w:val="clear" w:color="auto" w:fill="FFFFFF"/>
        </w:rPr>
        <w:t>, C. O., Makarewicz, O., Neubauer, H., Pletz, M. W., &amp; Wareth, G. (2021). The Emergence of Klebsiella pneumoniae with Reduced Susceptibility Against Third Generation Cephalosporins and Carbapenems in Lagos Hospitals, Nigeria. Antibiotics (Basel), 10(2), 142. https://doi.org/10.3390/antibiotics10020142</w:t>
      </w:r>
    </w:p>
    <w:p w14:paraId="2F90C670" w14:textId="77777777" w:rsidR="00A15CB7" w:rsidRPr="00430E0F" w:rsidRDefault="00A15CB7" w:rsidP="00FD7905">
      <w:pPr>
        <w:pStyle w:val="NoSpacing"/>
        <w:jc w:val="both"/>
        <w:rPr>
          <w:rStyle w:val="Strong"/>
          <w:rFonts w:ascii="Arial" w:hAnsi="Arial" w:cs="Arial"/>
          <w:b w:val="0"/>
          <w:bCs w:val="0"/>
          <w:sz w:val="20"/>
          <w:szCs w:val="20"/>
        </w:rPr>
      </w:pPr>
    </w:p>
    <w:p w14:paraId="60197C99" w14:textId="77777777" w:rsidR="00A15CB7" w:rsidRPr="00430E0F" w:rsidRDefault="00A15CB7" w:rsidP="00FD7905">
      <w:pPr>
        <w:pStyle w:val="NoSpacing"/>
        <w:ind w:left="360"/>
        <w:jc w:val="both"/>
        <w:rPr>
          <w:rStyle w:val="Hyperlink"/>
          <w:rFonts w:ascii="Arial" w:hAnsi="Arial" w:cs="Arial"/>
          <w:color w:val="auto"/>
          <w:sz w:val="20"/>
          <w:szCs w:val="20"/>
        </w:rPr>
      </w:pPr>
      <w:r w:rsidRPr="00430E0F">
        <w:rPr>
          <w:rFonts w:ascii="Arial" w:hAnsi="Arial" w:cs="Arial"/>
          <w:sz w:val="20"/>
          <w:szCs w:val="20"/>
        </w:rPr>
        <w:t xml:space="preserve">Bano, A., Gupta, A., Rai, S., Sharma, S., &amp; Patha, N. (2021). Elucidation of bioactive potential of two commonly grown North Indian </w:t>
      </w:r>
      <w:r w:rsidRPr="00430E0F">
        <w:rPr>
          <w:rFonts w:ascii="Arial" w:hAnsi="Arial" w:cs="Arial"/>
          <w:i/>
          <w:iCs/>
          <w:sz w:val="20"/>
          <w:szCs w:val="20"/>
        </w:rPr>
        <w:t>Psidium guajava</w:t>
      </w:r>
      <w:r w:rsidRPr="00430E0F">
        <w:rPr>
          <w:rFonts w:ascii="Arial" w:hAnsi="Arial" w:cs="Arial"/>
          <w:sz w:val="20"/>
          <w:szCs w:val="20"/>
        </w:rPr>
        <w:t xml:space="preserve"> varieties (Lalit and Shweta) against pathogenic foodborne and multidrug-resistant bacteria. </w:t>
      </w:r>
      <w:proofErr w:type="spellStart"/>
      <w:r w:rsidRPr="00430E0F">
        <w:rPr>
          <w:rFonts w:ascii="Arial" w:hAnsi="Arial" w:cs="Arial"/>
          <w:i/>
          <w:iCs/>
          <w:sz w:val="20"/>
          <w:szCs w:val="20"/>
        </w:rPr>
        <w:t>Biointerface</w:t>
      </w:r>
      <w:proofErr w:type="spellEnd"/>
      <w:r w:rsidRPr="00430E0F">
        <w:rPr>
          <w:rFonts w:ascii="Arial" w:hAnsi="Arial" w:cs="Arial"/>
          <w:i/>
          <w:iCs/>
          <w:sz w:val="20"/>
          <w:szCs w:val="20"/>
        </w:rPr>
        <w:t xml:space="preserve"> Research in Applied Chemistry</w:t>
      </w:r>
      <w:r w:rsidRPr="00430E0F">
        <w:rPr>
          <w:rFonts w:ascii="Arial" w:hAnsi="Arial" w:cs="Arial"/>
          <w:sz w:val="20"/>
          <w:szCs w:val="20"/>
        </w:rPr>
        <w:t xml:space="preserve">, 11(6), 14090–14102. </w:t>
      </w:r>
      <w:hyperlink r:id="rId21" w:history="1">
        <w:r w:rsidRPr="00430E0F">
          <w:rPr>
            <w:rStyle w:val="Hyperlink"/>
            <w:rFonts w:ascii="Arial" w:hAnsi="Arial" w:cs="Arial"/>
            <w:color w:val="auto"/>
            <w:sz w:val="20"/>
            <w:szCs w:val="20"/>
          </w:rPr>
          <w:t>https://doi.org/10.33263/BRIAC116.1409014102</w:t>
        </w:r>
      </w:hyperlink>
    </w:p>
    <w:p w14:paraId="4CCDD61E" w14:textId="77777777" w:rsidR="00A15CB7" w:rsidRPr="00430E0F" w:rsidRDefault="00A15CB7" w:rsidP="00FD7905">
      <w:pPr>
        <w:pStyle w:val="NoSpacing"/>
        <w:jc w:val="both"/>
        <w:rPr>
          <w:rFonts w:ascii="Arial" w:hAnsi="Arial" w:cs="Arial"/>
          <w:sz w:val="20"/>
          <w:szCs w:val="20"/>
        </w:rPr>
      </w:pPr>
    </w:p>
    <w:p w14:paraId="0F9C2341" w14:textId="09673B7E" w:rsidR="00A15CB7" w:rsidRPr="00430E0F" w:rsidRDefault="00861E08" w:rsidP="00FD7905">
      <w:pPr>
        <w:pStyle w:val="NoSpacing"/>
        <w:ind w:left="360"/>
        <w:jc w:val="both"/>
        <w:rPr>
          <w:rFonts w:ascii="Arial" w:hAnsi="Arial" w:cs="Arial"/>
          <w:sz w:val="20"/>
          <w:szCs w:val="20"/>
        </w:rPr>
      </w:pPr>
      <w:r w:rsidRPr="00861E08">
        <w:rPr>
          <w:rFonts w:ascii="Arial" w:hAnsi="Arial" w:cs="Arial"/>
          <w:sz w:val="20"/>
          <w:szCs w:val="20"/>
        </w:rPr>
        <w:t>Biswas, B., Rogers, K., McLaughlin, F., Daniels, D., &amp; Yadav, A. (2013). Antimicrobial activities of leaf extracts of guava (Psidium guajava L.) on two Gram-negative and Gram-positive bacteria. International Journal of Microbiology. https://doi.org/10.1155/2013/746165</w:t>
      </w:r>
    </w:p>
    <w:p w14:paraId="74012CBB" w14:textId="77777777" w:rsidR="00A15CB7" w:rsidRPr="00430E0F" w:rsidRDefault="00A15CB7" w:rsidP="00FD7905">
      <w:pPr>
        <w:pStyle w:val="NoSpacing"/>
        <w:jc w:val="both"/>
        <w:rPr>
          <w:rFonts w:ascii="Arial" w:hAnsi="Arial" w:cs="Arial"/>
          <w:sz w:val="20"/>
          <w:szCs w:val="20"/>
        </w:rPr>
      </w:pPr>
    </w:p>
    <w:p w14:paraId="6C1E0402" w14:textId="1A7AC92A" w:rsidR="00A15CB7" w:rsidRPr="00430E0F" w:rsidRDefault="00861E08" w:rsidP="00FD7905">
      <w:pPr>
        <w:pStyle w:val="NoSpacing"/>
        <w:ind w:left="360"/>
        <w:jc w:val="both"/>
        <w:rPr>
          <w:rStyle w:val="Hyperlink"/>
          <w:rFonts w:ascii="Arial" w:hAnsi="Arial" w:cs="Arial"/>
          <w:color w:val="auto"/>
          <w:sz w:val="20"/>
          <w:szCs w:val="20"/>
        </w:rPr>
      </w:pPr>
      <w:r w:rsidRPr="00861E08">
        <w:rPr>
          <w:rFonts w:ascii="Arial" w:hAnsi="Arial" w:cs="Arial"/>
          <w:sz w:val="20"/>
          <w:szCs w:val="20"/>
        </w:rPr>
        <w:t xml:space="preserve">Bunu, S. J., Alfred-Ugbenbo, D., </w:t>
      </w:r>
      <w:proofErr w:type="spellStart"/>
      <w:r w:rsidRPr="00861E08">
        <w:rPr>
          <w:rFonts w:ascii="Arial" w:hAnsi="Arial" w:cs="Arial"/>
          <w:sz w:val="20"/>
          <w:szCs w:val="20"/>
        </w:rPr>
        <w:t>Owaba</w:t>
      </w:r>
      <w:proofErr w:type="spellEnd"/>
      <w:r w:rsidRPr="00861E08">
        <w:rPr>
          <w:rFonts w:ascii="Arial" w:hAnsi="Arial" w:cs="Arial"/>
          <w:sz w:val="20"/>
          <w:szCs w:val="20"/>
        </w:rPr>
        <w:t xml:space="preserve">, A. D. C., &amp; </w:t>
      </w:r>
      <w:proofErr w:type="spellStart"/>
      <w:r w:rsidRPr="00861E08">
        <w:rPr>
          <w:rFonts w:ascii="Arial" w:hAnsi="Arial" w:cs="Arial"/>
          <w:sz w:val="20"/>
          <w:szCs w:val="20"/>
        </w:rPr>
        <w:t>Okelekele</w:t>
      </w:r>
      <w:proofErr w:type="spellEnd"/>
      <w:r w:rsidRPr="00861E08">
        <w:rPr>
          <w:rFonts w:ascii="Arial" w:hAnsi="Arial" w:cs="Arial"/>
          <w:sz w:val="20"/>
          <w:szCs w:val="20"/>
        </w:rPr>
        <w:t xml:space="preserve">, B. (2023). Determination of phytochemicals and anti-bacterial properties evaluation of the leaves extracts of Psidium guajava (L) </w:t>
      </w:r>
      <w:proofErr w:type="spellStart"/>
      <w:r w:rsidRPr="00861E08">
        <w:rPr>
          <w:rFonts w:ascii="Arial" w:hAnsi="Arial" w:cs="Arial"/>
          <w:sz w:val="20"/>
          <w:szCs w:val="20"/>
        </w:rPr>
        <w:t>Myrtaceae</w:t>
      </w:r>
      <w:proofErr w:type="spellEnd"/>
      <w:r w:rsidRPr="00861E08">
        <w:rPr>
          <w:rFonts w:ascii="Arial" w:hAnsi="Arial" w:cs="Arial"/>
          <w:sz w:val="20"/>
          <w:szCs w:val="20"/>
        </w:rPr>
        <w:t>. European Journal of Pharmaceutical Research, 3(3), 13–16. https://doi.org/10.24018/ejpharma.2023.3.3.67</w:t>
      </w:r>
    </w:p>
    <w:p w14:paraId="568CA727" w14:textId="77777777" w:rsidR="00A15CB7" w:rsidRPr="00430E0F" w:rsidRDefault="00A15CB7" w:rsidP="00FD7905">
      <w:pPr>
        <w:pStyle w:val="NoSpacing"/>
        <w:jc w:val="both"/>
        <w:rPr>
          <w:rFonts w:ascii="Arial" w:hAnsi="Arial" w:cs="Arial"/>
          <w:sz w:val="20"/>
          <w:szCs w:val="20"/>
        </w:rPr>
      </w:pPr>
    </w:p>
    <w:p w14:paraId="6CF568B2" w14:textId="70827805" w:rsidR="00A15CB7" w:rsidRPr="00430E0F" w:rsidRDefault="00861E08" w:rsidP="00FD7905">
      <w:pPr>
        <w:pStyle w:val="NoSpacing"/>
        <w:ind w:left="360"/>
        <w:jc w:val="both"/>
        <w:rPr>
          <w:rFonts w:ascii="Arial" w:hAnsi="Arial" w:cs="Arial"/>
          <w:sz w:val="20"/>
          <w:szCs w:val="20"/>
        </w:rPr>
      </w:pPr>
      <w:r w:rsidRPr="00861E08">
        <w:rPr>
          <w:rFonts w:ascii="Arial" w:hAnsi="Arial" w:cs="Arial"/>
          <w:sz w:val="20"/>
          <w:szCs w:val="20"/>
        </w:rPr>
        <w:t>Cushnie, T. P. T., &amp; Lamb, A. J. (2011). Recent advances in understanding the antibacterial properties of flavonoids. International Journal of Antimicrobial Agents, 38(2), 99–107. https://doi.org/10.1016/j.ijantimicag.2011.02.014</w:t>
      </w:r>
    </w:p>
    <w:p w14:paraId="1DBE533A" w14:textId="77777777" w:rsidR="00A15CB7" w:rsidRPr="00430E0F" w:rsidRDefault="00A15CB7" w:rsidP="00FD7905">
      <w:pPr>
        <w:pStyle w:val="NoSpacing"/>
        <w:jc w:val="both"/>
        <w:rPr>
          <w:rFonts w:ascii="Arial" w:hAnsi="Arial" w:cs="Arial"/>
          <w:sz w:val="20"/>
          <w:szCs w:val="20"/>
        </w:rPr>
      </w:pPr>
    </w:p>
    <w:p w14:paraId="298B948A" w14:textId="4C01840E" w:rsidR="00A15CB7" w:rsidRPr="00430E0F" w:rsidRDefault="00861E08" w:rsidP="00FD7905">
      <w:pPr>
        <w:pStyle w:val="NoSpacing"/>
        <w:ind w:left="360"/>
        <w:jc w:val="both"/>
        <w:rPr>
          <w:rFonts w:ascii="Arial" w:hAnsi="Arial" w:cs="Arial"/>
          <w:sz w:val="20"/>
          <w:szCs w:val="20"/>
        </w:rPr>
      </w:pPr>
      <w:r w:rsidRPr="00861E08">
        <w:rPr>
          <w:rFonts w:ascii="Arial" w:hAnsi="Arial" w:cs="Arial"/>
          <w:sz w:val="20"/>
          <w:szCs w:val="20"/>
        </w:rPr>
        <w:t>Dai, J., &amp; Mumper, R. J. (2010). Plant Phenolics: Extraction, Analysis and Their Antioxidant and Anticancer Properties. Molecules, 15(10), 7313–7352. https://doi.org/10.3390/molecules15107313</w:t>
      </w:r>
    </w:p>
    <w:p w14:paraId="6ACE3C03" w14:textId="77777777" w:rsidR="00A15CB7" w:rsidRPr="00430E0F" w:rsidRDefault="00A15CB7" w:rsidP="00FD7905">
      <w:pPr>
        <w:pStyle w:val="NoSpacing"/>
        <w:jc w:val="both"/>
        <w:rPr>
          <w:rFonts w:ascii="Arial" w:hAnsi="Arial" w:cs="Arial"/>
          <w:sz w:val="20"/>
          <w:szCs w:val="20"/>
        </w:rPr>
      </w:pPr>
    </w:p>
    <w:p w14:paraId="04E11CAE" w14:textId="13F144D0" w:rsidR="00A15CB7" w:rsidRPr="00430E0F" w:rsidRDefault="00861E08" w:rsidP="00FD7905">
      <w:pPr>
        <w:pStyle w:val="NoSpacing"/>
        <w:ind w:left="360"/>
        <w:jc w:val="both"/>
        <w:rPr>
          <w:rStyle w:val="Hyperlink"/>
          <w:rFonts w:ascii="Arial" w:hAnsi="Arial" w:cs="Arial"/>
          <w:color w:val="auto"/>
          <w:sz w:val="20"/>
          <w:szCs w:val="20"/>
        </w:rPr>
      </w:pPr>
      <w:proofErr w:type="spellStart"/>
      <w:r w:rsidRPr="00861E08">
        <w:rPr>
          <w:rFonts w:ascii="Arial" w:hAnsi="Arial" w:cs="Arial"/>
          <w:sz w:val="20"/>
          <w:szCs w:val="20"/>
        </w:rPr>
        <w:t>Djeussi</w:t>
      </w:r>
      <w:proofErr w:type="spellEnd"/>
      <w:r w:rsidRPr="00861E08">
        <w:rPr>
          <w:rFonts w:ascii="Arial" w:hAnsi="Arial" w:cs="Arial"/>
          <w:sz w:val="20"/>
          <w:szCs w:val="20"/>
        </w:rPr>
        <w:t xml:space="preserve">, D. E., </w:t>
      </w:r>
      <w:proofErr w:type="spellStart"/>
      <w:r w:rsidRPr="00861E08">
        <w:rPr>
          <w:rFonts w:ascii="Arial" w:hAnsi="Arial" w:cs="Arial"/>
          <w:sz w:val="20"/>
          <w:szCs w:val="20"/>
        </w:rPr>
        <w:t>Noumedem</w:t>
      </w:r>
      <w:proofErr w:type="spellEnd"/>
      <w:r w:rsidRPr="00861E08">
        <w:rPr>
          <w:rFonts w:ascii="Arial" w:hAnsi="Arial" w:cs="Arial"/>
          <w:sz w:val="20"/>
          <w:szCs w:val="20"/>
        </w:rPr>
        <w:t xml:space="preserve">, J. A. K., </w:t>
      </w:r>
      <w:proofErr w:type="spellStart"/>
      <w:r w:rsidRPr="00861E08">
        <w:rPr>
          <w:rFonts w:ascii="Arial" w:hAnsi="Arial" w:cs="Arial"/>
          <w:sz w:val="20"/>
          <w:szCs w:val="20"/>
        </w:rPr>
        <w:t>Seukep</w:t>
      </w:r>
      <w:proofErr w:type="spellEnd"/>
      <w:r w:rsidRPr="00861E08">
        <w:rPr>
          <w:rFonts w:ascii="Arial" w:hAnsi="Arial" w:cs="Arial"/>
          <w:sz w:val="20"/>
          <w:szCs w:val="20"/>
        </w:rPr>
        <w:t xml:space="preserve">, J. A., Fankam, A. G., </w:t>
      </w:r>
      <w:proofErr w:type="spellStart"/>
      <w:r w:rsidRPr="00861E08">
        <w:rPr>
          <w:rFonts w:ascii="Arial" w:hAnsi="Arial" w:cs="Arial"/>
          <w:sz w:val="20"/>
          <w:szCs w:val="20"/>
        </w:rPr>
        <w:t>Voukeng</w:t>
      </w:r>
      <w:proofErr w:type="spellEnd"/>
      <w:r w:rsidRPr="00861E08">
        <w:rPr>
          <w:rFonts w:ascii="Arial" w:hAnsi="Arial" w:cs="Arial"/>
          <w:sz w:val="20"/>
          <w:szCs w:val="20"/>
        </w:rPr>
        <w:t xml:space="preserve">, I. K., </w:t>
      </w:r>
      <w:proofErr w:type="spellStart"/>
      <w:r w:rsidRPr="00861E08">
        <w:rPr>
          <w:rFonts w:ascii="Arial" w:hAnsi="Arial" w:cs="Arial"/>
          <w:sz w:val="20"/>
          <w:szCs w:val="20"/>
        </w:rPr>
        <w:t>Tankeo</w:t>
      </w:r>
      <w:proofErr w:type="spellEnd"/>
      <w:r w:rsidRPr="00861E08">
        <w:rPr>
          <w:rFonts w:ascii="Arial" w:hAnsi="Arial" w:cs="Arial"/>
          <w:sz w:val="20"/>
          <w:szCs w:val="20"/>
        </w:rPr>
        <w:t xml:space="preserve">, S. B., </w:t>
      </w:r>
      <w:proofErr w:type="spellStart"/>
      <w:r w:rsidRPr="00861E08">
        <w:rPr>
          <w:rFonts w:ascii="Arial" w:hAnsi="Arial" w:cs="Arial"/>
          <w:sz w:val="20"/>
          <w:szCs w:val="20"/>
        </w:rPr>
        <w:t>Nkuete</w:t>
      </w:r>
      <w:proofErr w:type="spellEnd"/>
      <w:r w:rsidRPr="00861E08">
        <w:rPr>
          <w:rFonts w:ascii="Arial" w:hAnsi="Arial" w:cs="Arial"/>
          <w:sz w:val="20"/>
          <w:szCs w:val="20"/>
        </w:rPr>
        <w:t xml:space="preserve">, A. H. L., &amp; Kuete, V. (2013). Antibacterial activities of selected edible plants </w:t>
      </w:r>
      <w:r w:rsidRPr="00861E08">
        <w:rPr>
          <w:rFonts w:ascii="Arial" w:hAnsi="Arial" w:cs="Arial"/>
          <w:sz w:val="20"/>
          <w:szCs w:val="20"/>
        </w:rPr>
        <w:lastRenderedPageBreak/>
        <w:t>extracts against multidrug-resistant Gram-negative bacteria. BMC Complementary and Alternative Medicine, 13, 164. https://doi.org/10.1186/1472-6882-13-164</w:t>
      </w:r>
    </w:p>
    <w:p w14:paraId="4B15EDBE" w14:textId="77777777" w:rsidR="00A15CB7" w:rsidRPr="00430E0F" w:rsidRDefault="00A15CB7" w:rsidP="00FD7905">
      <w:pPr>
        <w:pStyle w:val="NoSpacing"/>
        <w:jc w:val="both"/>
        <w:rPr>
          <w:rFonts w:ascii="Arial" w:hAnsi="Arial" w:cs="Arial"/>
          <w:sz w:val="20"/>
          <w:szCs w:val="20"/>
        </w:rPr>
      </w:pPr>
    </w:p>
    <w:p w14:paraId="234E6426" w14:textId="022EAABB" w:rsidR="00A15CB7" w:rsidRPr="00430E0F" w:rsidRDefault="00014721" w:rsidP="00FD7905">
      <w:pPr>
        <w:pStyle w:val="NoSpacing"/>
        <w:ind w:left="360"/>
        <w:jc w:val="both"/>
        <w:rPr>
          <w:rFonts w:ascii="Arial" w:hAnsi="Arial" w:cs="Arial"/>
          <w:sz w:val="20"/>
          <w:szCs w:val="20"/>
        </w:rPr>
      </w:pPr>
      <w:proofErr w:type="spellStart"/>
      <w:r w:rsidRPr="00014721">
        <w:rPr>
          <w:rFonts w:ascii="Arial" w:hAnsi="Arial" w:cs="Arial"/>
          <w:sz w:val="20"/>
          <w:szCs w:val="20"/>
        </w:rPr>
        <w:t>Djeussi</w:t>
      </w:r>
      <w:proofErr w:type="spellEnd"/>
      <w:r w:rsidRPr="00014721">
        <w:rPr>
          <w:rFonts w:ascii="Arial" w:hAnsi="Arial" w:cs="Arial"/>
          <w:sz w:val="20"/>
          <w:szCs w:val="20"/>
        </w:rPr>
        <w:t xml:space="preserve">, D. E., </w:t>
      </w:r>
      <w:proofErr w:type="spellStart"/>
      <w:r w:rsidRPr="00014721">
        <w:rPr>
          <w:rFonts w:ascii="Arial" w:hAnsi="Arial" w:cs="Arial"/>
          <w:sz w:val="20"/>
          <w:szCs w:val="20"/>
        </w:rPr>
        <w:t>Noumedem</w:t>
      </w:r>
      <w:proofErr w:type="spellEnd"/>
      <w:r w:rsidRPr="00014721">
        <w:rPr>
          <w:rFonts w:ascii="Arial" w:hAnsi="Arial" w:cs="Arial"/>
          <w:sz w:val="20"/>
          <w:szCs w:val="20"/>
        </w:rPr>
        <w:t xml:space="preserve">, J. A. K., </w:t>
      </w:r>
      <w:proofErr w:type="spellStart"/>
      <w:r w:rsidRPr="00014721">
        <w:rPr>
          <w:rFonts w:ascii="Arial" w:hAnsi="Arial" w:cs="Arial"/>
          <w:sz w:val="20"/>
          <w:szCs w:val="20"/>
        </w:rPr>
        <w:t>Seukep</w:t>
      </w:r>
      <w:proofErr w:type="spellEnd"/>
      <w:r w:rsidRPr="00014721">
        <w:rPr>
          <w:rFonts w:ascii="Arial" w:hAnsi="Arial" w:cs="Arial"/>
          <w:sz w:val="20"/>
          <w:szCs w:val="20"/>
        </w:rPr>
        <w:t xml:space="preserve">, J. A., Fankam, A. G., </w:t>
      </w:r>
      <w:proofErr w:type="spellStart"/>
      <w:r w:rsidRPr="00014721">
        <w:rPr>
          <w:rFonts w:ascii="Arial" w:hAnsi="Arial" w:cs="Arial"/>
          <w:sz w:val="20"/>
          <w:szCs w:val="20"/>
        </w:rPr>
        <w:t>Voukeng</w:t>
      </w:r>
      <w:proofErr w:type="spellEnd"/>
      <w:r w:rsidRPr="00014721">
        <w:rPr>
          <w:rFonts w:ascii="Arial" w:hAnsi="Arial" w:cs="Arial"/>
          <w:sz w:val="20"/>
          <w:szCs w:val="20"/>
        </w:rPr>
        <w:t xml:space="preserve">, I. K., </w:t>
      </w:r>
      <w:proofErr w:type="spellStart"/>
      <w:r w:rsidRPr="00014721">
        <w:rPr>
          <w:rFonts w:ascii="Arial" w:hAnsi="Arial" w:cs="Arial"/>
          <w:sz w:val="20"/>
          <w:szCs w:val="20"/>
        </w:rPr>
        <w:t>Tankeo</w:t>
      </w:r>
      <w:proofErr w:type="spellEnd"/>
      <w:r w:rsidRPr="00014721">
        <w:rPr>
          <w:rFonts w:ascii="Arial" w:hAnsi="Arial" w:cs="Arial"/>
          <w:sz w:val="20"/>
          <w:szCs w:val="20"/>
        </w:rPr>
        <w:t xml:space="preserve">, S. B., </w:t>
      </w:r>
      <w:proofErr w:type="spellStart"/>
      <w:r w:rsidRPr="00014721">
        <w:rPr>
          <w:rFonts w:ascii="Arial" w:hAnsi="Arial" w:cs="Arial"/>
          <w:sz w:val="20"/>
          <w:szCs w:val="20"/>
        </w:rPr>
        <w:t>Nkuete</w:t>
      </w:r>
      <w:proofErr w:type="spellEnd"/>
      <w:r w:rsidRPr="00014721">
        <w:rPr>
          <w:rFonts w:ascii="Arial" w:hAnsi="Arial" w:cs="Arial"/>
          <w:sz w:val="20"/>
          <w:szCs w:val="20"/>
        </w:rPr>
        <w:t>, A. H. L., &amp; Kuete, V. (2013). Antibacterial activities of selected edible plants extracts against multidrug-resistant Gram-negative bacteria. BMC Complementary and Alternative Medicine, 13, 164. https://doi.org/10.1186/1472-6882-13-164</w:t>
      </w:r>
    </w:p>
    <w:p w14:paraId="1164BC48" w14:textId="77777777" w:rsidR="00A15CB7" w:rsidRPr="00430E0F" w:rsidRDefault="00A15CB7" w:rsidP="00FD7905">
      <w:pPr>
        <w:pStyle w:val="NoSpacing"/>
        <w:jc w:val="both"/>
        <w:rPr>
          <w:rFonts w:ascii="Arial" w:hAnsi="Arial" w:cs="Arial"/>
          <w:sz w:val="20"/>
          <w:szCs w:val="20"/>
        </w:rPr>
      </w:pPr>
    </w:p>
    <w:p w14:paraId="6097CBA7" w14:textId="7066D6A7" w:rsidR="00A15CB7" w:rsidRPr="00430E0F" w:rsidRDefault="00014721" w:rsidP="00FD7905">
      <w:pPr>
        <w:pStyle w:val="NoSpacing"/>
        <w:ind w:left="360"/>
        <w:jc w:val="both"/>
        <w:rPr>
          <w:rFonts w:ascii="Arial" w:hAnsi="Arial" w:cs="Arial"/>
          <w:sz w:val="20"/>
          <w:szCs w:val="20"/>
        </w:rPr>
      </w:pPr>
      <w:r w:rsidRPr="00014721">
        <w:rPr>
          <w:rFonts w:ascii="Arial" w:hAnsi="Arial" w:cs="Arial"/>
          <w:sz w:val="20"/>
          <w:szCs w:val="20"/>
        </w:rPr>
        <w:t xml:space="preserve">Egwu, I. H., </w:t>
      </w:r>
      <w:proofErr w:type="spellStart"/>
      <w:r w:rsidRPr="00014721">
        <w:rPr>
          <w:rFonts w:ascii="Arial" w:hAnsi="Arial" w:cs="Arial"/>
          <w:sz w:val="20"/>
          <w:szCs w:val="20"/>
        </w:rPr>
        <w:t>Nwachi</w:t>
      </w:r>
      <w:proofErr w:type="spellEnd"/>
      <w:r w:rsidRPr="00014721">
        <w:rPr>
          <w:rFonts w:ascii="Arial" w:hAnsi="Arial" w:cs="Arial"/>
          <w:sz w:val="20"/>
          <w:szCs w:val="20"/>
        </w:rPr>
        <w:t xml:space="preserve">, A. C., &amp; Egwu-Ikechukwu, M. M. (2024). Green Synthesis and Antimicrobial Potency of Silver Nanoparticles from Ocimum </w:t>
      </w:r>
      <w:proofErr w:type="spellStart"/>
      <w:r w:rsidRPr="00014721">
        <w:rPr>
          <w:rFonts w:ascii="Arial" w:hAnsi="Arial" w:cs="Arial"/>
          <w:sz w:val="20"/>
          <w:szCs w:val="20"/>
        </w:rPr>
        <w:t>gratissimum</w:t>
      </w:r>
      <w:proofErr w:type="spellEnd"/>
      <w:r w:rsidRPr="00014721">
        <w:rPr>
          <w:rFonts w:ascii="Arial" w:hAnsi="Arial" w:cs="Arial"/>
          <w:sz w:val="20"/>
          <w:szCs w:val="20"/>
        </w:rPr>
        <w:t xml:space="preserve"> Leaf Extract on Clinical Isolates of Escherichia coli and Klebsiella pneumoniae Isolated from Patients in a Tertiary Health Hospital, </w:t>
      </w:r>
      <w:proofErr w:type="spellStart"/>
      <w:r w:rsidRPr="00014721">
        <w:rPr>
          <w:rFonts w:ascii="Arial" w:hAnsi="Arial" w:cs="Arial"/>
          <w:sz w:val="20"/>
          <w:szCs w:val="20"/>
        </w:rPr>
        <w:t>Abakaliki</w:t>
      </w:r>
      <w:proofErr w:type="spellEnd"/>
      <w:r w:rsidRPr="00014721">
        <w:rPr>
          <w:rFonts w:ascii="Arial" w:hAnsi="Arial" w:cs="Arial"/>
          <w:sz w:val="20"/>
          <w:szCs w:val="20"/>
        </w:rPr>
        <w:t>, Ebonyi State, Nigeria. Journal of Epidemiological Society of Nigeria, 7(1), 45-53. https://jeson.org.ng/index.php/jeson/article/view/100</w:t>
      </w:r>
    </w:p>
    <w:p w14:paraId="3A6CBA08" w14:textId="77777777" w:rsidR="00A15CB7" w:rsidRPr="00430E0F" w:rsidRDefault="00A15CB7" w:rsidP="00FD7905">
      <w:pPr>
        <w:pStyle w:val="NoSpacing"/>
        <w:jc w:val="both"/>
        <w:rPr>
          <w:rFonts w:ascii="Arial" w:hAnsi="Arial" w:cs="Arial"/>
          <w:sz w:val="20"/>
          <w:szCs w:val="20"/>
        </w:rPr>
      </w:pPr>
    </w:p>
    <w:p w14:paraId="7829A21D" w14:textId="64FBE9D7" w:rsidR="00A15CB7" w:rsidRPr="00430E0F" w:rsidRDefault="00014721" w:rsidP="00FD7905">
      <w:pPr>
        <w:pStyle w:val="NoSpacing"/>
        <w:ind w:left="360"/>
        <w:jc w:val="both"/>
        <w:rPr>
          <w:rStyle w:val="Hyperlink"/>
          <w:rFonts w:ascii="Arial" w:hAnsi="Arial" w:cs="Arial"/>
          <w:color w:val="auto"/>
          <w:sz w:val="20"/>
          <w:szCs w:val="20"/>
        </w:rPr>
      </w:pPr>
      <w:proofErr w:type="spellStart"/>
      <w:r w:rsidRPr="00014721">
        <w:rPr>
          <w:rFonts w:ascii="Arial" w:hAnsi="Arial" w:cs="Arial"/>
          <w:sz w:val="20"/>
          <w:szCs w:val="20"/>
        </w:rPr>
        <w:t>Ekeleme</w:t>
      </w:r>
      <w:proofErr w:type="spellEnd"/>
      <w:r w:rsidRPr="00014721">
        <w:rPr>
          <w:rFonts w:ascii="Arial" w:hAnsi="Arial" w:cs="Arial"/>
          <w:sz w:val="20"/>
          <w:szCs w:val="20"/>
        </w:rPr>
        <w:t xml:space="preserve">, K., </w:t>
      </w:r>
      <w:proofErr w:type="spellStart"/>
      <w:r w:rsidRPr="00014721">
        <w:rPr>
          <w:rFonts w:ascii="Arial" w:hAnsi="Arial" w:cs="Arial"/>
          <w:sz w:val="20"/>
          <w:szCs w:val="20"/>
        </w:rPr>
        <w:t>Tsaku</w:t>
      </w:r>
      <w:proofErr w:type="spellEnd"/>
      <w:r w:rsidRPr="00014721">
        <w:rPr>
          <w:rFonts w:ascii="Arial" w:hAnsi="Arial" w:cs="Arial"/>
          <w:sz w:val="20"/>
          <w:szCs w:val="20"/>
        </w:rPr>
        <w:t xml:space="preserve">, P., </w:t>
      </w:r>
      <w:proofErr w:type="spellStart"/>
      <w:r w:rsidRPr="00014721">
        <w:rPr>
          <w:rFonts w:ascii="Arial" w:hAnsi="Arial" w:cs="Arial"/>
          <w:sz w:val="20"/>
          <w:szCs w:val="20"/>
        </w:rPr>
        <w:t>Nkene</w:t>
      </w:r>
      <w:proofErr w:type="spellEnd"/>
      <w:r w:rsidRPr="00014721">
        <w:rPr>
          <w:rFonts w:ascii="Arial" w:hAnsi="Arial" w:cs="Arial"/>
          <w:sz w:val="20"/>
          <w:szCs w:val="20"/>
        </w:rPr>
        <w:t xml:space="preserve">, I., </w:t>
      </w:r>
      <w:proofErr w:type="spellStart"/>
      <w:r w:rsidRPr="00014721">
        <w:rPr>
          <w:rFonts w:ascii="Arial" w:hAnsi="Arial" w:cs="Arial"/>
          <w:sz w:val="20"/>
          <w:szCs w:val="20"/>
        </w:rPr>
        <w:t>Ufomadu</w:t>
      </w:r>
      <w:proofErr w:type="spellEnd"/>
      <w:r w:rsidRPr="00014721">
        <w:rPr>
          <w:rFonts w:ascii="Arial" w:hAnsi="Arial" w:cs="Arial"/>
          <w:sz w:val="20"/>
          <w:szCs w:val="20"/>
        </w:rPr>
        <w:t xml:space="preserve">, U., </w:t>
      </w:r>
      <w:proofErr w:type="spellStart"/>
      <w:r w:rsidRPr="00014721">
        <w:rPr>
          <w:rFonts w:ascii="Arial" w:hAnsi="Arial" w:cs="Arial"/>
          <w:sz w:val="20"/>
          <w:szCs w:val="20"/>
        </w:rPr>
        <w:t>Abimiku</w:t>
      </w:r>
      <w:proofErr w:type="spellEnd"/>
      <w:r w:rsidRPr="00014721">
        <w:rPr>
          <w:rFonts w:ascii="Arial" w:hAnsi="Arial" w:cs="Arial"/>
          <w:sz w:val="20"/>
          <w:szCs w:val="20"/>
        </w:rPr>
        <w:t>, R., Oti, V., &amp; Sidi, M. (2017). Phytochemical analysis and antibacterial activity of Psidium guajava L. leaf extracts. GSC Biological and Pharmaceutical Sciences. https://doi.org/10.30574/gscbps.2017.1.2.0024</w:t>
      </w:r>
      <w:r>
        <w:rPr>
          <w:rFonts w:ascii="Arial" w:hAnsi="Arial" w:cs="Arial"/>
          <w:sz w:val="20"/>
          <w:szCs w:val="20"/>
        </w:rPr>
        <w:t xml:space="preserve"> </w:t>
      </w:r>
      <w:r w:rsidR="00462CA1">
        <w:rPr>
          <w:rFonts w:ascii="Arial" w:hAnsi="Arial" w:cs="Arial"/>
          <w:sz w:val="20"/>
          <w:szCs w:val="20"/>
        </w:rPr>
        <w:tab/>
      </w:r>
    </w:p>
    <w:p w14:paraId="703D313C" w14:textId="77777777" w:rsidR="00A15CB7" w:rsidRPr="00430E0F" w:rsidRDefault="00A15CB7" w:rsidP="00FD7905">
      <w:pPr>
        <w:pStyle w:val="NoSpacing"/>
        <w:jc w:val="both"/>
        <w:rPr>
          <w:rFonts w:ascii="Arial" w:hAnsi="Arial" w:cs="Arial"/>
          <w:sz w:val="20"/>
          <w:szCs w:val="20"/>
        </w:rPr>
      </w:pPr>
    </w:p>
    <w:p w14:paraId="7696D0FE" w14:textId="0CE06D7B" w:rsidR="00A15CB7" w:rsidRPr="00430E0F" w:rsidRDefault="00462CA1" w:rsidP="00FD7905">
      <w:pPr>
        <w:pStyle w:val="NoSpacing"/>
        <w:ind w:left="360"/>
        <w:jc w:val="both"/>
        <w:rPr>
          <w:rFonts w:ascii="Arial" w:hAnsi="Arial" w:cs="Arial"/>
          <w:sz w:val="20"/>
          <w:szCs w:val="20"/>
        </w:rPr>
      </w:pPr>
      <w:proofErr w:type="spellStart"/>
      <w:r w:rsidRPr="00462CA1">
        <w:rPr>
          <w:rFonts w:ascii="Arial" w:hAnsi="Arial" w:cs="Arial"/>
          <w:sz w:val="20"/>
          <w:szCs w:val="20"/>
        </w:rPr>
        <w:t>Evbuomwan</w:t>
      </w:r>
      <w:proofErr w:type="spellEnd"/>
      <w:r w:rsidRPr="00462CA1">
        <w:rPr>
          <w:rFonts w:ascii="Arial" w:hAnsi="Arial" w:cs="Arial"/>
          <w:sz w:val="20"/>
          <w:szCs w:val="20"/>
        </w:rPr>
        <w:t xml:space="preserve">, L., Jacob, I. B., </w:t>
      </w:r>
      <w:proofErr w:type="spellStart"/>
      <w:r w:rsidRPr="00462CA1">
        <w:rPr>
          <w:rFonts w:ascii="Arial" w:hAnsi="Arial" w:cs="Arial"/>
          <w:sz w:val="20"/>
          <w:szCs w:val="20"/>
        </w:rPr>
        <w:t>Ebiala</w:t>
      </w:r>
      <w:proofErr w:type="spellEnd"/>
      <w:r w:rsidRPr="00462CA1">
        <w:rPr>
          <w:rFonts w:ascii="Arial" w:hAnsi="Arial" w:cs="Arial"/>
          <w:sz w:val="20"/>
          <w:szCs w:val="20"/>
        </w:rPr>
        <w:t>, F. I., &amp; Chukwuka, E. P. (2018). Antibacterial activity of aqueous and ethanolic leaves extract of Psidium guajava. FUW Trends in Science &amp; Technology Journal, 3(1), 39–42. https://ftstjournal.com/ftstj062018/</w:t>
      </w:r>
      <w:r>
        <w:rPr>
          <w:rFonts w:ascii="Arial" w:hAnsi="Arial" w:cs="Arial"/>
          <w:sz w:val="20"/>
          <w:szCs w:val="20"/>
        </w:rPr>
        <w:t xml:space="preserve"> </w:t>
      </w:r>
      <w:r w:rsidR="00A15CB7" w:rsidRPr="00430E0F">
        <w:rPr>
          <w:rFonts w:ascii="Arial" w:hAnsi="Arial" w:cs="Arial"/>
          <w:sz w:val="20"/>
          <w:szCs w:val="20"/>
        </w:rPr>
        <w:t>.</w:t>
      </w:r>
    </w:p>
    <w:p w14:paraId="12DC8667" w14:textId="77777777" w:rsidR="00A15CB7" w:rsidRPr="00430E0F" w:rsidRDefault="00A15CB7" w:rsidP="00FD7905">
      <w:pPr>
        <w:pStyle w:val="NoSpacing"/>
        <w:jc w:val="both"/>
        <w:rPr>
          <w:rFonts w:ascii="Arial" w:hAnsi="Arial" w:cs="Arial"/>
          <w:sz w:val="20"/>
          <w:szCs w:val="20"/>
        </w:rPr>
      </w:pPr>
    </w:p>
    <w:p w14:paraId="311CE713" w14:textId="04B4862D" w:rsidR="00A15CB7" w:rsidRPr="00430E0F" w:rsidRDefault="00BE1BE1" w:rsidP="00FD7905">
      <w:pPr>
        <w:pStyle w:val="NoSpacing"/>
        <w:ind w:left="360"/>
        <w:jc w:val="both"/>
        <w:rPr>
          <w:rStyle w:val="Hyperlink"/>
          <w:rFonts w:ascii="Arial" w:hAnsi="Arial" w:cs="Arial"/>
          <w:color w:val="auto"/>
          <w:sz w:val="20"/>
          <w:szCs w:val="20"/>
        </w:rPr>
      </w:pPr>
      <w:r w:rsidRPr="00BE1BE1">
        <w:rPr>
          <w:rFonts w:ascii="Arial" w:hAnsi="Arial" w:cs="Arial"/>
          <w:sz w:val="20"/>
          <w:szCs w:val="20"/>
        </w:rPr>
        <w:t xml:space="preserve">Farida, H., Severin, J. A., Gasem, M. H., Keuter, M., van den Broek, P., Hermans, P. W. M., Wahyono, H., &amp; </w:t>
      </w:r>
      <w:proofErr w:type="spellStart"/>
      <w:r w:rsidRPr="00BE1BE1">
        <w:rPr>
          <w:rFonts w:ascii="Arial" w:hAnsi="Arial" w:cs="Arial"/>
          <w:sz w:val="20"/>
          <w:szCs w:val="20"/>
        </w:rPr>
        <w:t>Verbrugh</w:t>
      </w:r>
      <w:proofErr w:type="spellEnd"/>
      <w:r w:rsidRPr="00BE1BE1">
        <w:rPr>
          <w:rFonts w:ascii="Arial" w:hAnsi="Arial" w:cs="Arial"/>
          <w:sz w:val="20"/>
          <w:szCs w:val="20"/>
        </w:rPr>
        <w:t>, H. A. (2013). Nasopharyngeal carriage of Klebsiella pneumoniae and other Gram-negative bacilli in pneumonia-prone age groups in Semarang, Indonesia. Journal of Clinical Microbiology, 51(5), 1614–1616. https://doi.org/10.1128/JCM.00589-13</w:t>
      </w:r>
    </w:p>
    <w:p w14:paraId="3CD98C95" w14:textId="77777777" w:rsidR="00A15CB7" w:rsidRPr="00430E0F" w:rsidRDefault="00A15CB7" w:rsidP="00FD7905">
      <w:pPr>
        <w:pStyle w:val="NoSpacing"/>
        <w:jc w:val="both"/>
        <w:rPr>
          <w:rFonts w:ascii="Arial" w:hAnsi="Arial" w:cs="Arial"/>
          <w:sz w:val="20"/>
          <w:szCs w:val="20"/>
        </w:rPr>
      </w:pPr>
    </w:p>
    <w:p w14:paraId="00F31151" w14:textId="4E660372" w:rsidR="00A15CB7" w:rsidRPr="00430E0F" w:rsidRDefault="00BE1BE1" w:rsidP="00FD7905">
      <w:pPr>
        <w:pStyle w:val="NoSpacing"/>
        <w:ind w:left="360"/>
        <w:jc w:val="both"/>
        <w:rPr>
          <w:rStyle w:val="Hyperlink"/>
          <w:rFonts w:ascii="Arial" w:hAnsi="Arial" w:cs="Arial"/>
          <w:color w:val="auto"/>
          <w:sz w:val="20"/>
          <w:szCs w:val="20"/>
        </w:rPr>
      </w:pPr>
      <w:r w:rsidRPr="00BE1BE1">
        <w:rPr>
          <w:rFonts w:ascii="Arial" w:hAnsi="Arial" w:cs="Arial"/>
          <w:sz w:val="20"/>
          <w:szCs w:val="20"/>
        </w:rPr>
        <w:t>Gutierrez-Montiel, D., Guerrero-Barrera, A. L., Moreno-Flores, A. C., Ramírez-Castillo, F. Y., Chávez-Vela, N. A., Martínez-Ávila, G. C. G., Rico-Martínez, R., Costa, M. d. O., Galindo-Guerrero, F., Avelar-Gonzalez, F. J., Ornelas-Garcia, I. G., &amp; Franco-Ramírez, O. (2025). Antimicrobial and antibiofilm effects of crude and microencapsulated guava leaf extracts against Enterococcus faecalis and Staphylococcus epidermidis. Frontiers in Antibiotics. https://doi.org/10.3389/frabi.2025.1615787</w:t>
      </w:r>
      <w:r>
        <w:rPr>
          <w:rFonts w:ascii="Arial" w:hAnsi="Arial" w:cs="Arial"/>
          <w:sz w:val="20"/>
          <w:szCs w:val="20"/>
        </w:rPr>
        <w:t xml:space="preserve"> </w:t>
      </w:r>
    </w:p>
    <w:p w14:paraId="07EBF418" w14:textId="77777777" w:rsidR="00A15CB7" w:rsidRPr="00430E0F" w:rsidRDefault="00A15CB7" w:rsidP="00FD7905">
      <w:pPr>
        <w:pStyle w:val="NoSpacing"/>
        <w:jc w:val="both"/>
        <w:rPr>
          <w:rFonts w:ascii="Arial" w:hAnsi="Arial" w:cs="Arial"/>
          <w:sz w:val="20"/>
          <w:szCs w:val="20"/>
        </w:rPr>
      </w:pPr>
    </w:p>
    <w:p w14:paraId="020001E2" w14:textId="230FF3EC" w:rsidR="00A15CB7" w:rsidRPr="00430E0F" w:rsidRDefault="00D43E9C" w:rsidP="00FD7905">
      <w:pPr>
        <w:pStyle w:val="NoSpacing"/>
        <w:ind w:left="360"/>
        <w:jc w:val="both"/>
        <w:rPr>
          <w:rFonts w:ascii="Arial" w:hAnsi="Arial" w:cs="Arial"/>
          <w:sz w:val="20"/>
          <w:szCs w:val="20"/>
        </w:rPr>
      </w:pPr>
      <w:r w:rsidRPr="00D43E9C">
        <w:rPr>
          <w:rFonts w:ascii="Arial" w:hAnsi="Arial" w:cs="Arial"/>
          <w:sz w:val="20"/>
          <w:szCs w:val="20"/>
        </w:rPr>
        <w:t xml:space="preserve">Hackman, H. K., Arhin, R. E., Azumah, B. K., Boateng, D., &amp; </w:t>
      </w:r>
      <w:proofErr w:type="spellStart"/>
      <w:r w:rsidRPr="00D43E9C">
        <w:rPr>
          <w:rFonts w:ascii="Arial" w:hAnsi="Arial" w:cs="Arial"/>
          <w:sz w:val="20"/>
          <w:szCs w:val="20"/>
        </w:rPr>
        <w:t>Apenteng</w:t>
      </w:r>
      <w:proofErr w:type="spellEnd"/>
      <w:r w:rsidRPr="00D43E9C">
        <w:rPr>
          <w:rFonts w:ascii="Arial" w:hAnsi="Arial" w:cs="Arial"/>
          <w:sz w:val="20"/>
          <w:szCs w:val="20"/>
        </w:rPr>
        <w:t>, M. (2020). In vitro antibacterial activity of Psidium guajava (Guava) leaves extract on carbapenem-resistant Klebsiella pneumoniae causing multi-drug resistant systemic infections. Journal of Medicinal Plants Research, 14(9), 475–479. https://doi.org/10.5897/JMPR2020.6964</w:t>
      </w:r>
    </w:p>
    <w:p w14:paraId="5554ECD1" w14:textId="77777777" w:rsidR="00A15CB7" w:rsidRPr="00430E0F" w:rsidRDefault="00A15CB7" w:rsidP="00FD7905">
      <w:pPr>
        <w:pStyle w:val="NoSpacing"/>
        <w:jc w:val="both"/>
        <w:rPr>
          <w:rFonts w:ascii="Arial" w:hAnsi="Arial" w:cs="Arial"/>
          <w:sz w:val="20"/>
          <w:szCs w:val="20"/>
        </w:rPr>
      </w:pPr>
    </w:p>
    <w:p w14:paraId="360DE87B" w14:textId="0339B468" w:rsidR="00A15CB7" w:rsidRPr="00430E0F" w:rsidRDefault="00D43E9C" w:rsidP="00FD7905">
      <w:pPr>
        <w:pStyle w:val="NoSpacing"/>
        <w:ind w:left="360"/>
        <w:jc w:val="both"/>
        <w:rPr>
          <w:rStyle w:val="Hyperlink"/>
          <w:rFonts w:ascii="Arial" w:hAnsi="Arial" w:cs="Arial"/>
          <w:color w:val="auto"/>
          <w:sz w:val="20"/>
          <w:szCs w:val="20"/>
          <w:u w:val="none"/>
        </w:rPr>
      </w:pPr>
      <w:r w:rsidRPr="00D43E9C">
        <w:rPr>
          <w:rStyle w:val="Hyperlink"/>
          <w:rFonts w:ascii="Arial" w:hAnsi="Arial" w:cs="Arial"/>
          <w:color w:val="auto"/>
          <w:sz w:val="20"/>
          <w:szCs w:val="20"/>
          <w:u w:val="none"/>
        </w:rPr>
        <w:t>Harborne, J. B. (1973). Phytochemical methods: A guide to modern techniques of plant analysis. Chapman &amp; Hall. https://www.abebooks.com/9780412105401/Phytochemical-methods-guide-modern-techniques-0412105403/plp</w:t>
      </w:r>
    </w:p>
    <w:p w14:paraId="4E9C819C" w14:textId="77777777" w:rsidR="00A15CB7" w:rsidRPr="00430E0F" w:rsidRDefault="00A15CB7" w:rsidP="00FD7905">
      <w:pPr>
        <w:pStyle w:val="NoSpacing"/>
        <w:jc w:val="both"/>
        <w:rPr>
          <w:rFonts w:ascii="Arial" w:hAnsi="Arial" w:cs="Arial"/>
          <w:sz w:val="20"/>
          <w:szCs w:val="20"/>
        </w:rPr>
      </w:pPr>
    </w:p>
    <w:p w14:paraId="65253016" w14:textId="028BE1E9" w:rsidR="00A15CB7" w:rsidRPr="00430E0F" w:rsidRDefault="00D43E9C" w:rsidP="00FD7905">
      <w:pPr>
        <w:pStyle w:val="NoSpacing"/>
        <w:ind w:left="360"/>
        <w:jc w:val="both"/>
        <w:rPr>
          <w:rFonts w:ascii="Arial" w:hAnsi="Arial" w:cs="Arial"/>
          <w:sz w:val="20"/>
          <w:szCs w:val="20"/>
        </w:rPr>
      </w:pPr>
      <w:r w:rsidRPr="00D43E9C">
        <w:rPr>
          <w:rFonts w:ascii="Arial" w:hAnsi="Arial" w:cs="Arial"/>
          <w:sz w:val="20"/>
          <w:szCs w:val="20"/>
        </w:rPr>
        <w:t xml:space="preserve">Huynh, H. D., </w:t>
      </w:r>
      <w:proofErr w:type="spellStart"/>
      <w:r w:rsidRPr="00D43E9C">
        <w:rPr>
          <w:rFonts w:ascii="Arial" w:hAnsi="Arial" w:cs="Arial"/>
          <w:sz w:val="20"/>
          <w:szCs w:val="20"/>
        </w:rPr>
        <w:t>Nargotra</w:t>
      </w:r>
      <w:proofErr w:type="spellEnd"/>
      <w:r w:rsidRPr="00D43E9C">
        <w:rPr>
          <w:rFonts w:ascii="Arial" w:hAnsi="Arial" w:cs="Arial"/>
          <w:sz w:val="20"/>
          <w:szCs w:val="20"/>
        </w:rPr>
        <w:t>, P., Wang, H.-M. D., Shieh, C.-J., Liu, Y.-C., &amp; Kuo, C.-H. (2025). Bioactive Compounds from Guava Leaves (Psidium guajava L.): Characterization, Biological Activity, Synergistic Effects, and Technological Applications. Molecules, 30(6), 1278. https://doi.org/10.3390/molecules30061278</w:t>
      </w:r>
    </w:p>
    <w:p w14:paraId="5EB2A3D7" w14:textId="77777777" w:rsidR="00A15CB7" w:rsidRPr="00430E0F" w:rsidRDefault="00A15CB7" w:rsidP="00FD7905">
      <w:pPr>
        <w:pStyle w:val="NoSpacing"/>
        <w:jc w:val="both"/>
        <w:rPr>
          <w:rFonts w:ascii="Arial" w:hAnsi="Arial" w:cs="Arial"/>
          <w:sz w:val="20"/>
          <w:szCs w:val="20"/>
        </w:rPr>
      </w:pPr>
    </w:p>
    <w:p w14:paraId="064465DF" w14:textId="48BD850E" w:rsidR="00A15CB7" w:rsidRPr="00430E0F" w:rsidRDefault="00D43E9C" w:rsidP="00FD7905">
      <w:pPr>
        <w:pStyle w:val="NoSpacing"/>
        <w:ind w:left="360"/>
        <w:jc w:val="both"/>
        <w:rPr>
          <w:rFonts w:ascii="Arial" w:hAnsi="Arial" w:cs="Arial"/>
          <w:sz w:val="20"/>
          <w:szCs w:val="20"/>
        </w:rPr>
      </w:pPr>
      <w:r w:rsidRPr="00D43E9C">
        <w:rPr>
          <w:rFonts w:ascii="Arial" w:hAnsi="Arial" w:cs="Arial"/>
          <w:sz w:val="20"/>
          <w:szCs w:val="20"/>
        </w:rPr>
        <w:t>Martin, R. M., &amp; Bachman, M. A. (2018). Colonization, Infection, and the Accessory Genome of Klebsiella pneumoniae. Frontiers in Cellular and Infection Microbiology, 8, 4. https://doi.org/10.3389/fcimb.2018.00004</w:t>
      </w:r>
      <w:r>
        <w:rPr>
          <w:rFonts w:ascii="Arial" w:hAnsi="Arial" w:cs="Arial"/>
          <w:sz w:val="20"/>
          <w:szCs w:val="20"/>
        </w:rPr>
        <w:t xml:space="preserve"> </w:t>
      </w:r>
    </w:p>
    <w:p w14:paraId="0904CBAB" w14:textId="77777777" w:rsidR="00A15CB7" w:rsidRPr="00430E0F" w:rsidRDefault="00A15CB7" w:rsidP="00FD7905">
      <w:pPr>
        <w:pStyle w:val="NoSpacing"/>
        <w:jc w:val="both"/>
        <w:rPr>
          <w:rFonts w:ascii="Arial" w:hAnsi="Arial" w:cs="Arial"/>
          <w:sz w:val="20"/>
          <w:szCs w:val="20"/>
        </w:rPr>
      </w:pPr>
    </w:p>
    <w:p w14:paraId="180626AE" w14:textId="219BDC42" w:rsidR="00A15CB7" w:rsidRPr="00430E0F" w:rsidRDefault="004D2647" w:rsidP="00FD7905">
      <w:pPr>
        <w:pStyle w:val="NoSpacing"/>
        <w:ind w:left="360"/>
        <w:jc w:val="both"/>
        <w:rPr>
          <w:rFonts w:ascii="Arial" w:hAnsi="Arial" w:cs="Arial"/>
          <w:sz w:val="20"/>
          <w:szCs w:val="20"/>
        </w:rPr>
      </w:pPr>
      <w:r w:rsidRPr="004D2647">
        <w:rPr>
          <w:rFonts w:ascii="Arial" w:hAnsi="Arial" w:cs="Arial"/>
          <w:sz w:val="20"/>
          <w:szCs w:val="20"/>
        </w:rPr>
        <w:t xml:space="preserve">Metwally, A. M., Omar, A. A., </w:t>
      </w:r>
      <w:proofErr w:type="spellStart"/>
      <w:r w:rsidRPr="004D2647">
        <w:rPr>
          <w:rFonts w:ascii="Arial" w:hAnsi="Arial" w:cs="Arial"/>
          <w:sz w:val="20"/>
          <w:szCs w:val="20"/>
        </w:rPr>
        <w:t>Harraz</w:t>
      </w:r>
      <w:proofErr w:type="spellEnd"/>
      <w:r w:rsidRPr="004D2647">
        <w:rPr>
          <w:rFonts w:ascii="Arial" w:hAnsi="Arial" w:cs="Arial"/>
          <w:sz w:val="20"/>
          <w:szCs w:val="20"/>
        </w:rPr>
        <w:t xml:space="preserve">, F. M., &amp; El </w:t>
      </w:r>
      <w:proofErr w:type="spellStart"/>
      <w:r w:rsidRPr="004D2647">
        <w:rPr>
          <w:rFonts w:ascii="Arial" w:hAnsi="Arial" w:cs="Arial"/>
          <w:sz w:val="20"/>
          <w:szCs w:val="20"/>
        </w:rPr>
        <w:t>Sohafy</w:t>
      </w:r>
      <w:proofErr w:type="spellEnd"/>
      <w:r w:rsidRPr="004D2647">
        <w:rPr>
          <w:rFonts w:ascii="Arial" w:hAnsi="Arial" w:cs="Arial"/>
          <w:sz w:val="20"/>
          <w:szCs w:val="20"/>
        </w:rPr>
        <w:t>, S. M. (2010). Phytochemical investigation and antimicrobial activity of Psidium guajava L. leaves. Pharmacognosy Magazine. https://doi.org/10.4103/0973-1296.66939</w:t>
      </w:r>
      <w:r>
        <w:rPr>
          <w:rFonts w:ascii="Arial" w:hAnsi="Arial" w:cs="Arial"/>
          <w:sz w:val="20"/>
          <w:szCs w:val="20"/>
        </w:rPr>
        <w:t xml:space="preserve"> </w:t>
      </w:r>
    </w:p>
    <w:p w14:paraId="3F06A698" w14:textId="77777777" w:rsidR="00A15CB7" w:rsidRPr="00430E0F" w:rsidRDefault="00A15CB7" w:rsidP="00FD7905">
      <w:pPr>
        <w:pStyle w:val="NoSpacing"/>
        <w:jc w:val="both"/>
        <w:rPr>
          <w:rFonts w:ascii="Arial" w:hAnsi="Arial" w:cs="Arial"/>
          <w:sz w:val="20"/>
          <w:szCs w:val="20"/>
        </w:rPr>
      </w:pPr>
    </w:p>
    <w:p w14:paraId="7D31F6B2" w14:textId="25D2998F" w:rsidR="00A15CB7" w:rsidRPr="00430E0F" w:rsidRDefault="004967A4" w:rsidP="00FD7905">
      <w:pPr>
        <w:pStyle w:val="NoSpacing"/>
        <w:ind w:left="360"/>
        <w:jc w:val="both"/>
        <w:rPr>
          <w:rStyle w:val="Hyperlink"/>
          <w:rFonts w:ascii="Arial" w:hAnsi="Arial" w:cs="Arial"/>
          <w:color w:val="auto"/>
          <w:sz w:val="20"/>
          <w:szCs w:val="20"/>
        </w:rPr>
      </w:pPr>
      <w:r w:rsidRPr="004967A4">
        <w:rPr>
          <w:rFonts w:ascii="Arial" w:hAnsi="Arial" w:cs="Arial"/>
          <w:sz w:val="20"/>
          <w:szCs w:val="20"/>
        </w:rPr>
        <w:t>Mohapatra, A., Nanda, V., Solanki, M., &amp; Pathak, V. V. (2024). A review on pharmaceutical and environmental applications of guava (Psidium guajava) leaves. Journal of Applied and Natural Science, 16(2), 607–622. https://doi.org/10.31018/jans.v16i2.5484</w:t>
      </w:r>
      <w:r>
        <w:rPr>
          <w:rFonts w:ascii="Arial" w:hAnsi="Arial" w:cs="Arial"/>
          <w:sz w:val="20"/>
          <w:szCs w:val="20"/>
        </w:rPr>
        <w:t xml:space="preserve"> </w:t>
      </w:r>
    </w:p>
    <w:p w14:paraId="00D216EF" w14:textId="77777777" w:rsidR="00A15CB7" w:rsidRPr="00430E0F" w:rsidRDefault="00A15CB7" w:rsidP="00FD7905">
      <w:pPr>
        <w:pStyle w:val="NoSpacing"/>
        <w:jc w:val="both"/>
        <w:rPr>
          <w:rFonts w:ascii="Arial" w:hAnsi="Arial" w:cs="Arial"/>
          <w:sz w:val="20"/>
          <w:szCs w:val="20"/>
        </w:rPr>
      </w:pPr>
    </w:p>
    <w:p w14:paraId="16C68380" w14:textId="7163182B" w:rsidR="00A15CB7" w:rsidRPr="00430E0F" w:rsidRDefault="00196C4A" w:rsidP="00FD7905">
      <w:pPr>
        <w:pStyle w:val="NoSpacing"/>
        <w:ind w:left="360"/>
        <w:jc w:val="both"/>
        <w:rPr>
          <w:rStyle w:val="Hyperlink"/>
          <w:rFonts w:ascii="Arial" w:hAnsi="Arial" w:cs="Arial"/>
          <w:color w:val="auto"/>
          <w:sz w:val="20"/>
          <w:szCs w:val="20"/>
        </w:rPr>
      </w:pPr>
      <w:proofErr w:type="spellStart"/>
      <w:r w:rsidRPr="00196C4A">
        <w:rPr>
          <w:rFonts w:ascii="Arial" w:hAnsi="Arial" w:cs="Arial"/>
          <w:sz w:val="20"/>
          <w:szCs w:val="20"/>
        </w:rPr>
        <w:t>Möwes</w:t>
      </w:r>
      <w:proofErr w:type="spellEnd"/>
      <w:r w:rsidRPr="00196C4A">
        <w:rPr>
          <w:rFonts w:ascii="Arial" w:hAnsi="Arial" w:cs="Arial"/>
          <w:sz w:val="20"/>
          <w:szCs w:val="20"/>
        </w:rPr>
        <w:t xml:space="preserve">, M., </w:t>
      </w:r>
      <w:proofErr w:type="spellStart"/>
      <w:r w:rsidRPr="00196C4A">
        <w:rPr>
          <w:rFonts w:ascii="Arial" w:hAnsi="Arial" w:cs="Arial"/>
          <w:sz w:val="20"/>
          <w:szCs w:val="20"/>
        </w:rPr>
        <w:t>Kandanda</w:t>
      </w:r>
      <w:proofErr w:type="spellEnd"/>
      <w:r w:rsidRPr="00196C4A">
        <w:rPr>
          <w:rFonts w:ascii="Arial" w:hAnsi="Arial" w:cs="Arial"/>
          <w:sz w:val="20"/>
          <w:szCs w:val="20"/>
        </w:rPr>
        <w:t xml:space="preserve">, G. K., </w:t>
      </w:r>
      <w:proofErr w:type="spellStart"/>
      <w:r w:rsidRPr="00196C4A">
        <w:rPr>
          <w:rFonts w:ascii="Arial" w:hAnsi="Arial" w:cs="Arial"/>
          <w:sz w:val="20"/>
          <w:szCs w:val="20"/>
        </w:rPr>
        <w:t>Nangolo</w:t>
      </w:r>
      <w:proofErr w:type="spellEnd"/>
      <w:r w:rsidRPr="00196C4A">
        <w:rPr>
          <w:rFonts w:ascii="Arial" w:hAnsi="Arial" w:cs="Arial"/>
          <w:sz w:val="20"/>
          <w:szCs w:val="20"/>
        </w:rPr>
        <w:t xml:space="preserve">, L. N., </w:t>
      </w:r>
      <w:proofErr w:type="spellStart"/>
      <w:r w:rsidRPr="00196C4A">
        <w:rPr>
          <w:rFonts w:ascii="Arial" w:hAnsi="Arial" w:cs="Arial"/>
          <w:sz w:val="20"/>
          <w:szCs w:val="20"/>
        </w:rPr>
        <w:t>Shafodino</w:t>
      </w:r>
      <w:proofErr w:type="spellEnd"/>
      <w:r w:rsidRPr="00196C4A">
        <w:rPr>
          <w:rFonts w:ascii="Arial" w:hAnsi="Arial" w:cs="Arial"/>
          <w:sz w:val="20"/>
          <w:szCs w:val="20"/>
        </w:rPr>
        <w:t xml:space="preserve">, F. S., &amp; </w:t>
      </w:r>
      <w:proofErr w:type="spellStart"/>
      <w:r w:rsidRPr="00196C4A">
        <w:rPr>
          <w:rFonts w:ascii="Arial" w:hAnsi="Arial" w:cs="Arial"/>
          <w:sz w:val="20"/>
          <w:szCs w:val="20"/>
        </w:rPr>
        <w:t>Mwapagha</w:t>
      </w:r>
      <w:proofErr w:type="spellEnd"/>
      <w:r w:rsidRPr="00196C4A">
        <w:rPr>
          <w:rFonts w:ascii="Arial" w:hAnsi="Arial" w:cs="Arial"/>
          <w:sz w:val="20"/>
          <w:szCs w:val="20"/>
        </w:rPr>
        <w:t>, L. M. (2025). Qualitative phytochemical profiling, and in vitro antimicrobial and antioxidant activity of Psidium guajava (Guava). PLOS ONE, 20(4), e0321190. https://doi.org/10.1371/journal.pone.0321190</w:t>
      </w:r>
    </w:p>
    <w:p w14:paraId="58AF9393" w14:textId="77777777" w:rsidR="00A15CB7" w:rsidRPr="00430E0F" w:rsidRDefault="00A15CB7" w:rsidP="00FD7905">
      <w:pPr>
        <w:pStyle w:val="NoSpacing"/>
        <w:jc w:val="both"/>
        <w:rPr>
          <w:rFonts w:ascii="Arial" w:hAnsi="Arial" w:cs="Arial"/>
          <w:sz w:val="20"/>
          <w:szCs w:val="20"/>
        </w:rPr>
      </w:pPr>
    </w:p>
    <w:p w14:paraId="62BD5E15" w14:textId="7BBF2372" w:rsidR="00A15CB7" w:rsidRPr="00430E0F" w:rsidRDefault="00196C4A" w:rsidP="00FD7905">
      <w:pPr>
        <w:pStyle w:val="NoSpacing"/>
        <w:ind w:left="360"/>
        <w:jc w:val="both"/>
        <w:rPr>
          <w:rFonts w:ascii="Arial" w:hAnsi="Arial" w:cs="Arial"/>
          <w:sz w:val="20"/>
          <w:szCs w:val="20"/>
        </w:rPr>
      </w:pPr>
      <w:r w:rsidRPr="00196C4A">
        <w:rPr>
          <w:rFonts w:ascii="Arial" w:hAnsi="Arial" w:cs="Arial"/>
          <w:sz w:val="20"/>
          <w:szCs w:val="20"/>
        </w:rPr>
        <w:t>Othman, L., Sleiman, A., &amp; Abdel-Massih, R. M. (2019). Antimicrobial Activity of Polyphenols and Alkaloids in Middle Eastern Plants. Frontiers in Microbiology. https://doi.org/10.3389/fmicb.2019.00911</w:t>
      </w:r>
      <w:r>
        <w:rPr>
          <w:rFonts w:ascii="Arial" w:hAnsi="Arial" w:cs="Arial"/>
          <w:sz w:val="20"/>
          <w:szCs w:val="20"/>
        </w:rPr>
        <w:t xml:space="preserve"> </w:t>
      </w:r>
    </w:p>
    <w:p w14:paraId="15CF2E8A" w14:textId="77777777" w:rsidR="00A15CB7" w:rsidRPr="00430E0F" w:rsidRDefault="00A15CB7" w:rsidP="00FD7905">
      <w:pPr>
        <w:pStyle w:val="NoSpacing"/>
        <w:jc w:val="both"/>
        <w:rPr>
          <w:rFonts w:ascii="Arial" w:hAnsi="Arial" w:cs="Arial"/>
          <w:sz w:val="20"/>
          <w:szCs w:val="20"/>
        </w:rPr>
      </w:pPr>
    </w:p>
    <w:p w14:paraId="48390E9E" w14:textId="73BDDFBF" w:rsidR="00A15CB7" w:rsidRPr="00430E0F" w:rsidRDefault="00035CCD" w:rsidP="00FD7905">
      <w:pPr>
        <w:pStyle w:val="NoSpacing"/>
        <w:ind w:left="360"/>
        <w:jc w:val="both"/>
        <w:rPr>
          <w:rStyle w:val="Hyperlink"/>
          <w:rFonts w:ascii="Arial" w:hAnsi="Arial" w:cs="Arial"/>
          <w:color w:val="auto"/>
          <w:sz w:val="20"/>
          <w:szCs w:val="20"/>
        </w:rPr>
      </w:pPr>
      <w:r w:rsidRPr="00035CCD">
        <w:rPr>
          <w:rFonts w:ascii="Arial" w:hAnsi="Arial" w:cs="Arial"/>
          <w:sz w:val="20"/>
          <w:szCs w:val="20"/>
        </w:rPr>
        <w:t xml:space="preserve">Pereira, G. A., Chaves, D. S. d. A., Silva, T. M. e., Motta, R. E. d. A., Silva, A. B. R. d., Patricio, T. C. d. C., Fernandes, A. J. B., Coelho, S. d. M. d. O., Ożarowski, M., Cid, Y. P., &amp; </w:t>
      </w:r>
      <w:proofErr w:type="spellStart"/>
      <w:r w:rsidRPr="00035CCD">
        <w:rPr>
          <w:rFonts w:ascii="Arial" w:hAnsi="Arial" w:cs="Arial"/>
          <w:sz w:val="20"/>
          <w:szCs w:val="20"/>
        </w:rPr>
        <w:t>Karpiński</w:t>
      </w:r>
      <w:proofErr w:type="spellEnd"/>
      <w:r w:rsidRPr="00035CCD">
        <w:rPr>
          <w:rFonts w:ascii="Arial" w:hAnsi="Arial" w:cs="Arial"/>
          <w:sz w:val="20"/>
          <w:szCs w:val="20"/>
        </w:rPr>
        <w:t>, T. M. (2023). Antimicrobial activity of Psidium guajava aqueous extract against sensitive and resistant bacterial strains. Microorganisms, 11(7), 1784. https://doi.org/10.3390/microorganisms11071784</w:t>
      </w:r>
      <w:r>
        <w:rPr>
          <w:rFonts w:ascii="Arial" w:hAnsi="Arial" w:cs="Arial"/>
          <w:sz w:val="20"/>
          <w:szCs w:val="20"/>
        </w:rPr>
        <w:t xml:space="preserve"> </w:t>
      </w:r>
    </w:p>
    <w:p w14:paraId="4FF29CDD" w14:textId="77777777" w:rsidR="00A15CB7" w:rsidRPr="00430E0F" w:rsidRDefault="00A15CB7" w:rsidP="00FD7905">
      <w:pPr>
        <w:pStyle w:val="NoSpacing"/>
        <w:jc w:val="both"/>
        <w:rPr>
          <w:rFonts w:ascii="Arial" w:hAnsi="Arial" w:cs="Arial"/>
          <w:sz w:val="20"/>
          <w:szCs w:val="20"/>
        </w:rPr>
      </w:pPr>
    </w:p>
    <w:p w14:paraId="29789F7B" w14:textId="14650A57" w:rsidR="00A15CB7" w:rsidRPr="00430E0F" w:rsidRDefault="00472856" w:rsidP="00FD7905">
      <w:pPr>
        <w:pStyle w:val="NoSpacing"/>
        <w:ind w:left="360"/>
        <w:jc w:val="both"/>
        <w:rPr>
          <w:rStyle w:val="Hyperlink"/>
          <w:rFonts w:ascii="Arial" w:hAnsi="Arial" w:cs="Arial"/>
          <w:color w:val="auto"/>
          <w:sz w:val="20"/>
          <w:szCs w:val="20"/>
        </w:rPr>
      </w:pPr>
      <w:r w:rsidRPr="00472856">
        <w:rPr>
          <w:rFonts w:ascii="Arial" w:hAnsi="Arial" w:cs="Arial"/>
          <w:sz w:val="20"/>
          <w:szCs w:val="20"/>
        </w:rPr>
        <w:t xml:space="preserve">Saifi, S., Ashraf, A., Hasan, G. M., Shamsi, A., &amp; Hassan, M. I. (2024). Insights into the preventive actions of natural compounds against Klebsiella pneumoniae infections and drug resistance. </w:t>
      </w:r>
      <w:proofErr w:type="spellStart"/>
      <w:r w:rsidRPr="00472856">
        <w:rPr>
          <w:rFonts w:ascii="Arial" w:hAnsi="Arial" w:cs="Arial"/>
          <w:sz w:val="20"/>
          <w:szCs w:val="20"/>
        </w:rPr>
        <w:t>Fitoterapia</w:t>
      </w:r>
      <w:proofErr w:type="spellEnd"/>
      <w:r w:rsidRPr="00472856">
        <w:rPr>
          <w:rFonts w:ascii="Arial" w:hAnsi="Arial" w:cs="Arial"/>
          <w:sz w:val="20"/>
          <w:szCs w:val="20"/>
        </w:rPr>
        <w:t>, 173, 105811. https://doi.org/10.1016/j.fitote.2023.105811</w:t>
      </w:r>
      <w:r>
        <w:rPr>
          <w:rFonts w:ascii="Arial" w:hAnsi="Arial" w:cs="Arial"/>
          <w:sz w:val="20"/>
          <w:szCs w:val="20"/>
        </w:rPr>
        <w:t xml:space="preserve"> </w:t>
      </w:r>
    </w:p>
    <w:p w14:paraId="138AF951" w14:textId="77777777" w:rsidR="00A15CB7" w:rsidRPr="00430E0F" w:rsidRDefault="00A15CB7" w:rsidP="00FD7905">
      <w:pPr>
        <w:pStyle w:val="NoSpacing"/>
        <w:jc w:val="both"/>
        <w:rPr>
          <w:rFonts w:ascii="Arial" w:hAnsi="Arial" w:cs="Arial"/>
          <w:sz w:val="20"/>
          <w:szCs w:val="20"/>
        </w:rPr>
      </w:pPr>
    </w:p>
    <w:p w14:paraId="558B64C7" w14:textId="77777777" w:rsidR="00A15CB7" w:rsidRPr="00430E0F" w:rsidRDefault="00A15CB7" w:rsidP="00FD7905">
      <w:pPr>
        <w:pStyle w:val="NoSpacing"/>
        <w:ind w:left="360"/>
        <w:jc w:val="both"/>
        <w:rPr>
          <w:rFonts w:ascii="Arial" w:hAnsi="Arial" w:cs="Arial"/>
          <w:sz w:val="20"/>
          <w:szCs w:val="20"/>
        </w:rPr>
      </w:pPr>
      <w:r w:rsidRPr="00430E0F">
        <w:rPr>
          <w:rFonts w:ascii="Arial" w:hAnsi="Arial" w:cs="Arial"/>
          <w:sz w:val="20"/>
          <w:szCs w:val="20"/>
        </w:rPr>
        <w:t xml:space="preserve">Sivananthan, M., &amp; Elamaran, M. (2013). In vitro evaluation of antibacterial activity of chloroform extracts of Andrographis paniculata leaves and roots, Durio </w:t>
      </w:r>
      <w:proofErr w:type="spellStart"/>
      <w:r w:rsidRPr="00430E0F">
        <w:rPr>
          <w:rFonts w:ascii="Arial" w:hAnsi="Arial" w:cs="Arial"/>
          <w:sz w:val="20"/>
          <w:szCs w:val="20"/>
        </w:rPr>
        <w:t>zibethinus</w:t>
      </w:r>
      <w:proofErr w:type="spellEnd"/>
      <w:r w:rsidRPr="00430E0F">
        <w:rPr>
          <w:rFonts w:ascii="Arial" w:hAnsi="Arial" w:cs="Arial"/>
          <w:sz w:val="20"/>
          <w:szCs w:val="20"/>
        </w:rPr>
        <w:t xml:space="preserve"> wood bark, and </w:t>
      </w:r>
      <w:r w:rsidRPr="00430E0F">
        <w:rPr>
          <w:rFonts w:ascii="Arial" w:hAnsi="Arial" w:cs="Arial"/>
          <w:i/>
          <w:iCs/>
          <w:sz w:val="20"/>
          <w:szCs w:val="20"/>
        </w:rPr>
        <w:t>Psidium guajava</w:t>
      </w:r>
      <w:r w:rsidRPr="00430E0F">
        <w:rPr>
          <w:rFonts w:ascii="Arial" w:hAnsi="Arial" w:cs="Arial"/>
          <w:sz w:val="20"/>
          <w:szCs w:val="20"/>
        </w:rPr>
        <w:t xml:space="preserve"> leaves against selected bacterial strains. </w:t>
      </w:r>
      <w:r w:rsidRPr="00430E0F">
        <w:rPr>
          <w:rFonts w:ascii="Arial" w:hAnsi="Arial" w:cs="Arial"/>
          <w:i/>
          <w:iCs/>
          <w:sz w:val="20"/>
          <w:szCs w:val="20"/>
        </w:rPr>
        <w:t>International Journal of Biomolecules and Biomedicine</w:t>
      </w:r>
      <w:r w:rsidRPr="00430E0F">
        <w:rPr>
          <w:rFonts w:ascii="Arial" w:hAnsi="Arial" w:cs="Arial"/>
          <w:sz w:val="20"/>
          <w:szCs w:val="20"/>
        </w:rPr>
        <w:t>, 3(1), 12–19.</w:t>
      </w:r>
    </w:p>
    <w:p w14:paraId="5FA603A7" w14:textId="77777777" w:rsidR="00A15CB7" w:rsidRPr="00430E0F" w:rsidRDefault="00A15CB7" w:rsidP="00FD7905">
      <w:pPr>
        <w:pStyle w:val="NoSpacing"/>
        <w:jc w:val="both"/>
        <w:rPr>
          <w:rFonts w:ascii="Arial" w:hAnsi="Arial" w:cs="Arial"/>
          <w:sz w:val="20"/>
          <w:szCs w:val="20"/>
        </w:rPr>
      </w:pPr>
    </w:p>
    <w:p w14:paraId="7EE703F1" w14:textId="1BBEC057" w:rsidR="00A15CB7" w:rsidRPr="00430E0F" w:rsidRDefault="00797334" w:rsidP="00FD7905">
      <w:pPr>
        <w:pStyle w:val="NoSpacing"/>
        <w:ind w:left="360"/>
        <w:jc w:val="both"/>
        <w:rPr>
          <w:rStyle w:val="Hyperlink"/>
          <w:rFonts w:ascii="Arial" w:hAnsi="Arial" w:cs="Arial"/>
          <w:color w:val="auto"/>
          <w:sz w:val="20"/>
          <w:szCs w:val="20"/>
        </w:rPr>
      </w:pPr>
      <w:r w:rsidRPr="00797334">
        <w:rPr>
          <w:rFonts w:ascii="Arial" w:hAnsi="Arial" w:cs="Arial"/>
          <w:sz w:val="20"/>
          <w:szCs w:val="20"/>
        </w:rPr>
        <w:t xml:space="preserve">Sule, A. O., Olalemi, A. O., &amp; Ogundare, A. O. (2021). Efficacy of leaf extracts of Psidium guajava (L.) on enteric bacterial isolates from </w:t>
      </w:r>
      <w:proofErr w:type="spellStart"/>
      <w:r w:rsidRPr="00797334">
        <w:rPr>
          <w:rFonts w:ascii="Arial" w:hAnsi="Arial" w:cs="Arial"/>
          <w:sz w:val="20"/>
          <w:szCs w:val="20"/>
        </w:rPr>
        <w:t>faecally</w:t>
      </w:r>
      <w:proofErr w:type="spellEnd"/>
      <w:r w:rsidRPr="00797334">
        <w:rPr>
          <w:rFonts w:ascii="Arial" w:hAnsi="Arial" w:cs="Arial"/>
          <w:sz w:val="20"/>
          <w:szCs w:val="20"/>
        </w:rPr>
        <w:t xml:space="preserve"> impacted groundwater. Water Practice and Technology, 17(1), 167–174. https://doi.org/10.2166/wpt.2021.113</w:t>
      </w:r>
    </w:p>
    <w:p w14:paraId="7F8F326D" w14:textId="77777777" w:rsidR="00A15CB7" w:rsidRPr="00430E0F" w:rsidRDefault="00A15CB7" w:rsidP="00FD7905">
      <w:pPr>
        <w:pStyle w:val="NoSpacing"/>
        <w:jc w:val="both"/>
        <w:rPr>
          <w:rFonts w:ascii="Arial" w:hAnsi="Arial" w:cs="Arial"/>
          <w:sz w:val="20"/>
          <w:szCs w:val="20"/>
        </w:rPr>
      </w:pPr>
    </w:p>
    <w:p w14:paraId="338E85CC" w14:textId="77777777" w:rsidR="00A15CB7" w:rsidRPr="00430E0F" w:rsidRDefault="00A15CB7" w:rsidP="00FD7905">
      <w:pPr>
        <w:pStyle w:val="NoSpacing"/>
        <w:ind w:left="360"/>
        <w:jc w:val="both"/>
        <w:rPr>
          <w:rFonts w:ascii="Arial" w:hAnsi="Arial" w:cs="Arial"/>
          <w:sz w:val="20"/>
          <w:szCs w:val="20"/>
        </w:rPr>
      </w:pPr>
      <w:r w:rsidRPr="00430E0F">
        <w:rPr>
          <w:rFonts w:ascii="Arial" w:hAnsi="Arial" w:cs="Arial"/>
          <w:sz w:val="20"/>
          <w:szCs w:val="20"/>
        </w:rPr>
        <w:t xml:space="preserve">Tamma, P. D., Aitken, S. L., Bonomo, R. A., Mathers, A. J., van Duin, D., &amp; Clancy, C. J. (2022). Infectious Diseases Society of America guidance on the treatment of antimicrobial-resistant Gram-negative infections. </w:t>
      </w:r>
      <w:r w:rsidRPr="00430E0F">
        <w:rPr>
          <w:rFonts w:ascii="Arial" w:hAnsi="Arial" w:cs="Arial"/>
          <w:i/>
          <w:iCs/>
          <w:sz w:val="20"/>
          <w:szCs w:val="20"/>
        </w:rPr>
        <w:t>Clinical Infectious Diseases</w:t>
      </w:r>
      <w:r w:rsidRPr="00430E0F">
        <w:rPr>
          <w:rFonts w:ascii="Arial" w:hAnsi="Arial" w:cs="Arial"/>
          <w:sz w:val="20"/>
          <w:szCs w:val="20"/>
        </w:rPr>
        <w:t xml:space="preserve">, 74(12), 2116–2127. </w:t>
      </w:r>
      <w:hyperlink r:id="rId22" w:history="1">
        <w:r w:rsidRPr="00430E0F">
          <w:rPr>
            <w:rStyle w:val="Hyperlink"/>
            <w:rFonts w:ascii="Arial" w:hAnsi="Arial" w:cs="Arial"/>
            <w:color w:val="auto"/>
            <w:sz w:val="20"/>
            <w:szCs w:val="20"/>
          </w:rPr>
          <w:t>https://doi.org/10.1093/cid/ciab1013</w:t>
        </w:r>
      </w:hyperlink>
    </w:p>
    <w:p w14:paraId="7DAFA2DF" w14:textId="77777777" w:rsidR="00A15CB7" w:rsidRPr="00430E0F" w:rsidRDefault="00A15CB7" w:rsidP="00FD7905">
      <w:pPr>
        <w:pStyle w:val="NoSpacing"/>
        <w:jc w:val="both"/>
        <w:rPr>
          <w:rFonts w:ascii="Arial" w:hAnsi="Arial" w:cs="Arial"/>
          <w:sz w:val="20"/>
          <w:szCs w:val="20"/>
        </w:rPr>
      </w:pPr>
    </w:p>
    <w:p w14:paraId="560834F4" w14:textId="0490451F" w:rsidR="00A15CB7" w:rsidRPr="00430E0F" w:rsidRDefault="00797334" w:rsidP="00FD7905">
      <w:pPr>
        <w:pStyle w:val="NoSpacing"/>
        <w:ind w:left="360"/>
        <w:jc w:val="both"/>
        <w:rPr>
          <w:rFonts w:ascii="Arial" w:hAnsi="Arial" w:cs="Arial"/>
          <w:sz w:val="20"/>
          <w:szCs w:val="20"/>
        </w:rPr>
      </w:pPr>
      <w:r w:rsidRPr="00797334">
        <w:rPr>
          <w:rFonts w:ascii="Arial" w:hAnsi="Arial" w:cs="Arial"/>
          <w:sz w:val="20"/>
          <w:szCs w:val="20"/>
        </w:rPr>
        <w:t>Wyres, K. L., Lam, M. M. C., &amp; Holt, K. E. (2020). Population genomics of Klebsiella pneumoniae. Nature Reviews Microbiology, 18, 344–359. https://doi.org/10.1038/s41579-019-0315-1</w:t>
      </w:r>
      <w:r>
        <w:rPr>
          <w:rFonts w:ascii="Arial" w:hAnsi="Arial" w:cs="Arial"/>
          <w:sz w:val="20"/>
          <w:szCs w:val="20"/>
        </w:rPr>
        <w:t xml:space="preserve"> </w:t>
      </w:r>
    </w:p>
    <w:p w14:paraId="363000CA" w14:textId="77777777" w:rsidR="00847541" w:rsidRPr="00430E0F" w:rsidRDefault="00847541" w:rsidP="00847541"/>
    <w:p w14:paraId="6A9B048C" w14:textId="77777777" w:rsidR="00847541" w:rsidRPr="00430E0F" w:rsidRDefault="00847541" w:rsidP="00847541"/>
    <w:p w14:paraId="367D3BDF" w14:textId="77777777" w:rsidR="00847541" w:rsidRPr="00430E0F" w:rsidRDefault="00847541" w:rsidP="00847541">
      <w:pPr>
        <w:pStyle w:val="ReferHead"/>
        <w:spacing w:after="0"/>
        <w:jc w:val="both"/>
        <w:rPr>
          <w:rFonts w:ascii="Arial" w:hAnsi="Arial" w:cs="Arial"/>
          <w:b w:val="0"/>
          <w:caps w:val="0"/>
          <w:sz w:val="20"/>
        </w:rPr>
      </w:pPr>
    </w:p>
    <w:p w14:paraId="7D6EAE27" w14:textId="77777777" w:rsidR="00847541" w:rsidRPr="00430E0F" w:rsidRDefault="00847541" w:rsidP="00847541">
      <w:pPr>
        <w:pStyle w:val="ReferHead"/>
        <w:spacing w:after="0"/>
        <w:jc w:val="both"/>
        <w:rPr>
          <w:rFonts w:ascii="Arial" w:hAnsi="Arial" w:cs="Arial"/>
        </w:rPr>
      </w:pPr>
    </w:p>
    <w:p w14:paraId="6D29338F" w14:textId="77777777" w:rsidR="00847541" w:rsidRPr="00430E0F" w:rsidRDefault="00847541" w:rsidP="00847541">
      <w:pPr>
        <w:pStyle w:val="Body"/>
        <w:spacing w:after="0"/>
        <w:rPr>
          <w:rFonts w:ascii="Arial" w:hAnsi="Arial" w:cs="Arial"/>
        </w:rPr>
      </w:pPr>
    </w:p>
    <w:p w14:paraId="60ABEB2F" w14:textId="77777777" w:rsidR="00847541" w:rsidRPr="00430E0F" w:rsidRDefault="00847541" w:rsidP="00847541">
      <w:pPr>
        <w:pStyle w:val="Appendix"/>
        <w:spacing w:after="0"/>
        <w:jc w:val="both"/>
        <w:rPr>
          <w:rFonts w:ascii="Arial" w:hAnsi="Arial" w:cs="Arial"/>
          <w:b w:val="0"/>
        </w:rPr>
      </w:pPr>
    </w:p>
    <w:p w14:paraId="3E6A5C31" w14:textId="77777777" w:rsidR="00847541" w:rsidRPr="00430E0F" w:rsidRDefault="00847541" w:rsidP="00847541">
      <w:pPr>
        <w:pStyle w:val="Appendix"/>
        <w:spacing w:after="0"/>
        <w:jc w:val="both"/>
        <w:rPr>
          <w:rFonts w:ascii="Arial" w:hAnsi="Arial" w:cs="Arial"/>
          <w:b w:val="0"/>
        </w:rPr>
      </w:pPr>
    </w:p>
    <w:p w14:paraId="115F8FC8" w14:textId="77777777" w:rsidR="00847541" w:rsidRPr="00430E0F" w:rsidRDefault="00847541" w:rsidP="00847541">
      <w:pPr>
        <w:pStyle w:val="Appendix"/>
        <w:spacing w:after="0"/>
        <w:jc w:val="both"/>
        <w:rPr>
          <w:rFonts w:ascii="Arial" w:hAnsi="Arial" w:cs="Arial"/>
          <w:b w:val="0"/>
        </w:rPr>
        <w:sectPr w:rsidR="00847541" w:rsidRPr="00430E0F" w:rsidSect="006D191E">
          <w:pgSz w:w="12240" w:h="15840"/>
          <w:pgMar w:top="1440" w:right="2016" w:bottom="2016" w:left="2016" w:header="720" w:footer="1123" w:gutter="0"/>
          <w:cols w:space="720"/>
          <w:docGrid w:linePitch="272"/>
        </w:sectPr>
      </w:pPr>
    </w:p>
    <w:p w14:paraId="1A1BA62E" w14:textId="77777777" w:rsidR="00847541" w:rsidRPr="00430E0F" w:rsidRDefault="00847541" w:rsidP="00847541">
      <w:pPr>
        <w:pStyle w:val="Appendix"/>
        <w:spacing w:after="0"/>
        <w:jc w:val="both"/>
        <w:rPr>
          <w:rFonts w:ascii="Arial" w:hAnsi="Arial" w:cs="Arial"/>
          <w:b w:val="0"/>
        </w:rPr>
      </w:pPr>
    </w:p>
    <w:p w14:paraId="69A9317E" w14:textId="77777777" w:rsidR="0065671A" w:rsidRPr="00430E0F" w:rsidRDefault="0065671A"/>
    <w:sectPr w:rsidR="0065671A" w:rsidRPr="00430E0F" w:rsidSect="006D191E">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sus" w:date="2025-12-30T09:20:00Z" w:initials="A">
    <w:p w14:paraId="7346E884" w14:textId="1FD8201C" w:rsidR="00923ABC" w:rsidRDefault="00923ABC" w:rsidP="00923ABC">
      <w:pPr>
        <w:pStyle w:val="CommentText"/>
      </w:pPr>
      <w:r>
        <w:rPr>
          <w:rStyle w:val="CommentReference"/>
        </w:rPr>
        <w:annotationRef/>
      </w:r>
      <w:r w:rsidRPr="00923ABC">
        <w:br/>
      </w:r>
      <w:r w:rsidRPr="00923ABC">
        <w:rPr>
          <w:i/>
          <w:iCs/>
        </w:rPr>
        <w:t>In Vitro Antibacterial Activity of Psidium guajava Leaf Extracts against Clinical Isolates of Klebsiella pneumoniae</w:t>
      </w:r>
    </w:p>
  </w:comment>
  <w:comment w:id="2" w:author="Asus" w:date="2025-12-30T08:55:00Z" w:initials="A">
    <w:p w14:paraId="738B36F0" w14:textId="42F55910" w:rsidR="004B0FD8" w:rsidRPr="004B0FD8" w:rsidRDefault="004B0FD8">
      <w:pPr>
        <w:pStyle w:val="CommentText"/>
        <w:rPr>
          <w:i/>
          <w:iCs/>
        </w:rPr>
      </w:pPr>
      <w:r w:rsidRPr="004B0FD8">
        <w:rPr>
          <w:rStyle w:val="CommentReference"/>
          <w:i/>
          <w:iCs/>
        </w:rPr>
        <w:annotationRef/>
      </w:r>
      <w:r w:rsidRPr="004B0FD8">
        <w:rPr>
          <w:rFonts w:ascii="Arial" w:hAnsi="Arial" w:cs="Arial"/>
          <w:i/>
          <w:iCs/>
          <w:shd w:val="clear" w:color="auto" w:fill="FFFFFF"/>
        </w:rPr>
        <w:t>Staphylococcus aureus</w:t>
      </w:r>
    </w:p>
  </w:comment>
  <w:comment w:id="3" w:author="Asus" w:date="2025-12-30T08:43:00Z" w:initials="A">
    <w:p w14:paraId="533E7AA7" w14:textId="112046EB" w:rsidR="00856154" w:rsidRDefault="00856154" w:rsidP="00856154">
      <w:pPr>
        <w:pStyle w:val="CommentText"/>
      </w:pPr>
      <w:r>
        <w:rPr>
          <w:rStyle w:val="CommentReference"/>
        </w:rPr>
        <w:annotationRef/>
      </w:r>
      <w:r w:rsidRPr="00856154">
        <w:t xml:space="preserve">it is better to include a </w:t>
      </w:r>
      <w:r w:rsidRPr="00856154">
        <w:rPr>
          <w:b/>
          <w:bCs/>
        </w:rPr>
        <w:t>voucher specimen number</w:t>
      </w:r>
      <w:r w:rsidRPr="00856154">
        <w:t xml:space="preserve"> for reference, which improves reproducibility.</w:t>
      </w:r>
    </w:p>
  </w:comment>
  <w:comment w:id="4" w:author="Asus" w:date="2025-12-30T08:38:00Z" w:initials="A">
    <w:p w14:paraId="31B0BF59" w14:textId="05DA0957" w:rsidR="00856154" w:rsidRDefault="00856154">
      <w:pPr>
        <w:pStyle w:val="CommentText"/>
      </w:pPr>
      <w:r>
        <w:rPr>
          <w:rStyle w:val="CommentReference"/>
        </w:rPr>
        <w:annotationRef/>
      </w:r>
      <w:r>
        <w:t>The number of students sampled for nasal swabs is not mentioned.</w:t>
      </w:r>
    </w:p>
  </w:comment>
  <w:comment w:id="5" w:author="Asus" w:date="2025-12-30T08:39:00Z" w:initials="A">
    <w:p w14:paraId="41AA50A0" w14:textId="6C1AEDA1" w:rsidR="00856154" w:rsidRDefault="00856154">
      <w:pPr>
        <w:pStyle w:val="CommentText"/>
      </w:pPr>
      <w:r>
        <w:rPr>
          <w:rStyle w:val="CommentReference"/>
        </w:rPr>
        <w:annotationRef/>
      </w:r>
      <w:r>
        <w:t>methyl red test is described without mentioning Voges-Proskauer, which is typically used alongside MR for Enterobacteriaceae identification.</w:t>
      </w:r>
    </w:p>
  </w:comment>
  <w:comment w:id="6" w:author="Asus" w:date="2025-12-30T08:41:00Z" w:initials="A">
    <w:p w14:paraId="7CD8566A" w14:textId="228A86E2" w:rsidR="00856154" w:rsidRDefault="00856154" w:rsidP="00856154">
      <w:pPr>
        <w:pStyle w:val="CommentText"/>
      </w:pPr>
      <w:r>
        <w:rPr>
          <w:rStyle w:val="CommentReference"/>
        </w:rPr>
        <w:annotationRef/>
      </w:r>
      <w:r w:rsidRPr="00856154">
        <w:t xml:space="preserve">Usually, </w:t>
      </w:r>
      <w:r w:rsidRPr="00856154">
        <w:rPr>
          <w:b/>
          <w:bCs/>
        </w:rPr>
        <w:t>triplicates</w:t>
      </w:r>
      <w:r w:rsidRPr="00856154">
        <w:t xml:space="preserve"> are standard in microbiology to improve reliability.</w:t>
      </w:r>
    </w:p>
  </w:comment>
  <w:comment w:id="7" w:author="Asus" w:date="2025-12-30T08:59:00Z" w:initials="A">
    <w:p w14:paraId="2F07F5E9" w14:textId="1C1F1511" w:rsidR="000A1DE2" w:rsidRDefault="000A1DE2" w:rsidP="000A1DE2">
      <w:pPr>
        <w:pStyle w:val="CommentText"/>
      </w:pPr>
      <w:r>
        <w:rPr>
          <w:rStyle w:val="CommentReference"/>
        </w:rPr>
        <w:annotationRef/>
      </w:r>
      <w:r w:rsidRPr="000A1DE2">
        <w:t>positive for catalase and citrate, but negative for indole and oxidase</w:t>
      </w:r>
    </w:p>
  </w:comment>
  <w:comment w:id="9" w:author="Asus" w:date="2025-12-30T09:01:00Z" w:initials="A">
    <w:p w14:paraId="62EF4B87" w14:textId="3356A99C" w:rsidR="000A1DE2" w:rsidRDefault="000A1DE2" w:rsidP="000A1DE2">
      <w:pPr>
        <w:pStyle w:val="CommentText"/>
      </w:pPr>
      <w:r>
        <w:rPr>
          <w:rStyle w:val="CommentReference"/>
        </w:rPr>
        <w:annotationRef/>
      </w:r>
      <w:r w:rsidRPr="000A1DE2">
        <w:t xml:space="preserve">should be </w:t>
      </w:r>
      <w:r w:rsidRPr="000A1DE2">
        <w:rPr>
          <w:b/>
          <w:bCs/>
        </w:rPr>
        <w:t>“Flavonoids”</w:t>
      </w:r>
      <w:r w:rsidRPr="000A1DE2">
        <w:t xml:space="preserve"> in Table 2</w:t>
      </w:r>
    </w:p>
  </w:comment>
  <w:comment w:id="10" w:author="Asus" w:date="2025-12-30T09:13:00Z" w:initials="A">
    <w:p w14:paraId="0B2C60D9" w14:textId="4025DEC1" w:rsidR="00372A89" w:rsidRDefault="00372A89" w:rsidP="00372A89">
      <w:pPr>
        <w:pStyle w:val="CommentText"/>
      </w:pPr>
      <w:r>
        <w:rPr>
          <w:rStyle w:val="CommentReference"/>
        </w:rPr>
        <w:annotationRef/>
      </w:r>
      <w:r w:rsidRPr="00372A89">
        <w:t xml:space="preserve">should be </w:t>
      </w:r>
      <w:r w:rsidRPr="00372A89">
        <w:rPr>
          <w:b/>
          <w:bCs/>
        </w:rPr>
        <w:t>“increases cell membrane permeability, causing cell lysis.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46E884" w15:done="0"/>
  <w15:commentEx w15:paraId="738B36F0" w15:done="0"/>
  <w15:commentEx w15:paraId="533E7AA7" w15:done="0"/>
  <w15:commentEx w15:paraId="31B0BF59" w15:done="0"/>
  <w15:commentEx w15:paraId="41AA50A0" w15:done="0"/>
  <w15:commentEx w15:paraId="7CD8566A" w15:done="0"/>
  <w15:commentEx w15:paraId="2F07F5E9" w15:done="0"/>
  <w15:commentEx w15:paraId="62EF4B87" w15:done="0"/>
  <w15:commentEx w15:paraId="0B2C60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B46FE0" w16cex:dateUtc="2025-12-30T17:20:00Z"/>
  <w16cex:commentExtensible w16cex:durableId="492E9AE7" w16cex:dateUtc="2025-12-30T16:55:00Z"/>
  <w16cex:commentExtensible w16cex:durableId="5B3D5D17" w16cex:dateUtc="2025-12-30T16:43:00Z"/>
  <w16cex:commentExtensible w16cex:durableId="13D0DC23" w16cex:dateUtc="2025-12-30T16:38:00Z"/>
  <w16cex:commentExtensible w16cex:durableId="54BFA6F8" w16cex:dateUtc="2025-12-30T16:39:00Z"/>
  <w16cex:commentExtensible w16cex:durableId="42C1B4FE" w16cex:dateUtc="2025-12-30T16:41:00Z"/>
  <w16cex:commentExtensible w16cex:durableId="1135B641" w16cex:dateUtc="2025-12-30T16:59:00Z"/>
  <w16cex:commentExtensible w16cex:durableId="12E67B7B" w16cex:dateUtc="2025-12-30T17:01:00Z"/>
  <w16cex:commentExtensible w16cex:durableId="30BB206A" w16cex:dateUtc="2025-12-30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46E884" w16cid:durableId="1BB46FE0"/>
  <w16cid:commentId w16cid:paraId="738B36F0" w16cid:durableId="492E9AE7"/>
  <w16cid:commentId w16cid:paraId="533E7AA7" w16cid:durableId="5B3D5D17"/>
  <w16cid:commentId w16cid:paraId="31B0BF59" w16cid:durableId="13D0DC23"/>
  <w16cid:commentId w16cid:paraId="41AA50A0" w16cid:durableId="54BFA6F8"/>
  <w16cid:commentId w16cid:paraId="7CD8566A" w16cid:durableId="42C1B4FE"/>
  <w16cid:commentId w16cid:paraId="2F07F5E9" w16cid:durableId="1135B641"/>
  <w16cid:commentId w16cid:paraId="62EF4B87" w16cid:durableId="12E67B7B"/>
  <w16cid:commentId w16cid:paraId="0B2C60D9" w16cid:durableId="30BB20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23DF3" w14:textId="77777777" w:rsidR="00BA651C" w:rsidRDefault="00BA651C">
      <w:r>
        <w:separator/>
      </w:r>
    </w:p>
  </w:endnote>
  <w:endnote w:type="continuationSeparator" w:id="0">
    <w:p w14:paraId="1D116F52" w14:textId="77777777" w:rsidR="00BA651C" w:rsidRDefault="00BA6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D7D59" w14:textId="77777777" w:rsidR="006D191E" w:rsidRDefault="006D19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7A4B" w14:textId="4E2CD411" w:rsidR="0021702C" w:rsidRPr="00BC6A72" w:rsidRDefault="0021702C" w:rsidP="00BC6A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FC1A" w14:textId="7E573D1D" w:rsidR="0021702C" w:rsidRPr="00C17B9D" w:rsidRDefault="0021702C" w:rsidP="00C17B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6FF20" w14:textId="74B09C74" w:rsidR="0021702C" w:rsidRPr="00C37E61" w:rsidRDefault="0021702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28EC7" w14:textId="77777777" w:rsidR="00BA651C" w:rsidRDefault="00BA651C">
      <w:r>
        <w:separator/>
      </w:r>
    </w:p>
  </w:footnote>
  <w:footnote w:type="continuationSeparator" w:id="0">
    <w:p w14:paraId="0AEC0954" w14:textId="77777777" w:rsidR="00BA651C" w:rsidRDefault="00BA6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EE38" w14:textId="0C7B2F92" w:rsidR="006D191E" w:rsidRDefault="00000000">
    <w:pPr>
      <w:pStyle w:val="Header"/>
    </w:pPr>
    <w:r>
      <w:rPr>
        <w:noProof/>
      </w:rPr>
      <w:pict w14:anchorId="0FA6C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885969"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1214" w14:textId="1A3D3C65" w:rsidR="006D191E" w:rsidRDefault="00000000">
    <w:pPr>
      <w:pStyle w:val="Header"/>
    </w:pPr>
    <w:r>
      <w:rPr>
        <w:noProof/>
      </w:rPr>
      <w:pict w14:anchorId="668F15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885970"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FC25" w14:textId="5300BDF4" w:rsidR="0021702C" w:rsidRPr="00296529" w:rsidRDefault="00000000" w:rsidP="00296529">
    <w:pPr>
      <w:ind w:left="2160"/>
      <w:jc w:val="center"/>
      <w:rPr>
        <w:rFonts w:ascii="Times New Roman" w:eastAsia="Calibri" w:hAnsi="Times New Roman"/>
        <w:i/>
        <w:sz w:val="18"/>
        <w:szCs w:val="22"/>
      </w:rPr>
    </w:pPr>
    <w:r>
      <w:rPr>
        <w:noProof/>
      </w:rPr>
      <w:pict w14:anchorId="48AA94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885968"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273D0B0" w14:textId="77777777" w:rsidR="0021702C" w:rsidRPr="00296529" w:rsidRDefault="00520C8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019C116" w14:textId="77777777" w:rsidR="0021702C" w:rsidRPr="00296529" w:rsidRDefault="00520C8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71137F8" w14:textId="77777777" w:rsidR="0021702C" w:rsidRPr="00296529" w:rsidRDefault="00520C8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A9CE9CE" w14:textId="77777777" w:rsidR="0021702C" w:rsidRDefault="00520C8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0C24CF7" w14:textId="77777777" w:rsidR="0021702C" w:rsidRDefault="00520C8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90F845B" w14:textId="77777777" w:rsidR="0021702C" w:rsidRDefault="00520C8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586B9" w14:textId="4201376E" w:rsidR="006D191E" w:rsidRDefault="00000000">
    <w:pPr>
      <w:pStyle w:val="Header"/>
    </w:pPr>
    <w:r>
      <w:rPr>
        <w:noProof/>
      </w:rPr>
      <w:pict w14:anchorId="152EDD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885972"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8EB6" w14:textId="7DB234D5" w:rsidR="006D191E" w:rsidRDefault="00000000">
    <w:pPr>
      <w:pStyle w:val="Header"/>
    </w:pPr>
    <w:r>
      <w:rPr>
        <w:noProof/>
      </w:rPr>
      <w:pict w14:anchorId="51BA93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885973"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E725C" w14:textId="67046127" w:rsidR="006D191E" w:rsidRDefault="00000000">
    <w:pPr>
      <w:pStyle w:val="Header"/>
    </w:pPr>
    <w:r>
      <w:rPr>
        <w:noProof/>
      </w:rPr>
      <w:pict w14:anchorId="6AC6C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7885971"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03429"/>
    <w:multiLevelType w:val="hybridMultilevel"/>
    <w:tmpl w:val="85825B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924812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541"/>
    <w:rsid w:val="000057D9"/>
    <w:rsid w:val="00014721"/>
    <w:rsid w:val="00035CCD"/>
    <w:rsid w:val="000A1DE2"/>
    <w:rsid w:val="00124275"/>
    <w:rsid w:val="00152662"/>
    <w:rsid w:val="00196C4A"/>
    <w:rsid w:val="0021702C"/>
    <w:rsid w:val="002D05A9"/>
    <w:rsid w:val="0030060D"/>
    <w:rsid w:val="00322561"/>
    <w:rsid w:val="00372A89"/>
    <w:rsid w:val="003E5417"/>
    <w:rsid w:val="00430E0F"/>
    <w:rsid w:val="00462CA1"/>
    <w:rsid w:val="00472856"/>
    <w:rsid w:val="004967A4"/>
    <w:rsid w:val="004B0FD8"/>
    <w:rsid w:val="004D2647"/>
    <w:rsid w:val="00520C8F"/>
    <w:rsid w:val="00623EC8"/>
    <w:rsid w:val="0065671A"/>
    <w:rsid w:val="006D191E"/>
    <w:rsid w:val="00797334"/>
    <w:rsid w:val="00847541"/>
    <w:rsid w:val="00856154"/>
    <w:rsid w:val="00861E08"/>
    <w:rsid w:val="0087564E"/>
    <w:rsid w:val="00923ABC"/>
    <w:rsid w:val="009C7286"/>
    <w:rsid w:val="009D1005"/>
    <w:rsid w:val="00A15CB7"/>
    <w:rsid w:val="00AB7941"/>
    <w:rsid w:val="00BA651C"/>
    <w:rsid w:val="00BC6A72"/>
    <w:rsid w:val="00BE1BE1"/>
    <w:rsid w:val="00C1467F"/>
    <w:rsid w:val="00C17B9D"/>
    <w:rsid w:val="00C6298A"/>
    <w:rsid w:val="00CA582C"/>
    <w:rsid w:val="00D43E9C"/>
    <w:rsid w:val="00E75430"/>
    <w:rsid w:val="00EE2D42"/>
    <w:rsid w:val="00EE4704"/>
    <w:rsid w:val="00FD79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0CC34"/>
  <w15:chartTrackingRefBased/>
  <w15:docId w15:val="{46737760-9AF0-48A6-9296-1BB3F41C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541"/>
    <w:pPr>
      <w:spacing w:after="0" w:line="240" w:lineRule="auto"/>
    </w:pPr>
    <w:rPr>
      <w:rFonts w:ascii="Helvetica" w:eastAsia="Times New Roman" w:hAnsi="Helvetica"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847541"/>
    <w:pPr>
      <w:spacing w:line="280" w:lineRule="exact"/>
      <w:jc w:val="right"/>
    </w:pPr>
    <w:rPr>
      <w:b/>
      <w:sz w:val="24"/>
    </w:rPr>
  </w:style>
  <w:style w:type="paragraph" w:customStyle="1" w:styleId="Affiliation">
    <w:name w:val="Affiliation"/>
    <w:basedOn w:val="Normal"/>
    <w:rsid w:val="00847541"/>
    <w:pPr>
      <w:spacing w:after="240" w:line="240" w:lineRule="exact"/>
      <w:jc w:val="right"/>
    </w:pPr>
  </w:style>
  <w:style w:type="paragraph" w:customStyle="1" w:styleId="Body">
    <w:name w:val="Body"/>
    <w:basedOn w:val="Normal"/>
    <w:rsid w:val="00847541"/>
    <w:pPr>
      <w:spacing w:after="240"/>
      <w:jc w:val="both"/>
    </w:pPr>
  </w:style>
  <w:style w:type="paragraph" w:customStyle="1" w:styleId="AbstHead">
    <w:name w:val="Abst Head"/>
    <w:basedOn w:val="Normal"/>
    <w:rsid w:val="00847541"/>
    <w:pPr>
      <w:keepNext/>
      <w:spacing w:after="240"/>
    </w:pPr>
    <w:rPr>
      <w:b/>
      <w:caps/>
      <w:sz w:val="22"/>
    </w:rPr>
  </w:style>
  <w:style w:type="paragraph" w:customStyle="1" w:styleId="ConcHead">
    <w:name w:val="Conc Head"/>
    <w:basedOn w:val="Normal"/>
    <w:rsid w:val="00847541"/>
    <w:pPr>
      <w:keepNext/>
      <w:spacing w:after="240"/>
    </w:pPr>
    <w:rPr>
      <w:b/>
      <w:caps/>
      <w:sz w:val="22"/>
    </w:rPr>
  </w:style>
  <w:style w:type="paragraph" w:customStyle="1" w:styleId="ReferHead">
    <w:name w:val="Refer Head"/>
    <w:basedOn w:val="Normal"/>
    <w:rsid w:val="00847541"/>
    <w:pPr>
      <w:keepNext/>
      <w:spacing w:after="240"/>
    </w:pPr>
    <w:rPr>
      <w:b/>
      <w:caps/>
      <w:sz w:val="22"/>
    </w:rPr>
  </w:style>
  <w:style w:type="paragraph" w:customStyle="1" w:styleId="Copyright">
    <w:name w:val="Copyright"/>
    <w:basedOn w:val="Normal"/>
    <w:rsid w:val="00847541"/>
    <w:pPr>
      <w:spacing w:after="960" w:line="200" w:lineRule="exact"/>
    </w:pPr>
    <w:rPr>
      <w:sz w:val="16"/>
    </w:rPr>
  </w:style>
  <w:style w:type="paragraph" w:styleId="Title">
    <w:name w:val="Title"/>
    <w:basedOn w:val="Normal"/>
    <w:link w:val="TitleChar"/>
    <w:qFormat/>
    <w:rsid w:val="00847541"/>
    <w:pPr>
      <w:spacing w:after="360"/>
      <w:jc w:val="right"/>
    </w:pPr>
    <w:rPr>
      <w:b/>
      <w:kern w:val="28"/>
      <w:sz w:val="36"/>
    </w:rPr>
  </w:style>
  <w:style w:type="character" w:customStyle="1" w:styleId="TitleChar">
    <w:name w:val="Title Char"/>
    <w:basedOn w:val="DefaultParagraphFont"/>
    <w:link w:val="Title"/>
    <w:rsid w:val="00847541"/>
    <w:rPr>
      <w:rFonts w:ascii="Helvetica" w:eastAsia="Times New Roman" w:hAnsi="Helvetica" w:cs="Times New Roman"/>
      <w:b/>
      <w:kern w:val="28"/>
      <w:sz w:val="36"/>
      <w:szCs w:val="20"/>
    </w:rPr>
  </w:style>
  <w:style w:type="paragraph" w:customStyle="1" w:styleId="Head1">
    <w:name w:val="Head1"/>
    <w:basedOn w:val="Normal"/>
    <w:rsid w:val="00847541"/>
    <w:pPr>
      <w:keepNext/>
      <w:spacing w:after="240"/>
    </w:pPr>
    <w:rPr>
      <w:b/>
      <w:caps/>
      <w:sz w:val="22"/>
    </w:rPr>
  </w:style>
  <w:style w:type="paragraph" w:customStyle="1" w:styleId="Appendix">
    <w:name w:val="Appendix"/>
    <w:basedOn w:val="Normal"/>
    <w:rsid w:val="00847541"/>
    <w:pPr>
      <w:keepNext/>
      <w:spacing w:after="240"/>
    </w:pPr>
    <w:rPr>
      <w:b/>
      <w:caps/>
      <w:sz w:val="22"/>
    </w:rPr>
  </w:style>
  <w:style w:type="paragraph" w:styleId="Footer">
    <w:name w:val="footer"/>
    <w:basedOn w:val="Normal"/>
    <w:link w:val="FooterChar"/>
    <w:rsid w:val="00847541"/>
    <w:pPr>
      <w:tabs>
        <w:tab w:val="center" w:pos="4320"/>
        <w:tab w:val="right" w:pos="8640"/>
      </w:tabs>
    </w:pPr>
  </w:style>
  <w:style w:type="character" w:customStyle="1" w:styleId="FooterChar">
    <w:name w:val="Footer Char"/>
    <w:basedOn w:val="DefaultParagraphFont"/>
    <w:link w:val="Footer"/>
    <w:rsid w:val="00847541"/>
    <w:rPr>
      <w:rFonts w:ascii="Helvetica" w:eastAsia="Times New Roman" w:hAnsi="Helvetica" w:cs="Times New Roman"/>
      <w:sz w:val="20"/>
      <w:szCs w:val="20"/>
    </w:rPr>
  </w:style>
  <w:style w:type="paragraph" w:styleId="Header">
    <w:name w:val="header"/>
    <w:basedOn w:val="Normal"/>
    <w:link w:val="HeaderChar"/>
    <w:rsid w:val="00847541"/>
    <w:pPr>
      <w:tabs>
        <w:tab w:val="center" w:pos="4320"/>
        <w:tab w:val="right" w:pos="8640"/>
      </w:tabs>
    </w:pPr>
  </w:style>
  <w:style w:type="character" w:customStyle="1" w:styleId="HeaderChar">
    <w:name w:val="Header Char"/>
    <w:basedOn w:val="DefaultParagraphFont"/>
    <w:link w:val="Header"/>
    <w:rsid w:val="00847541"/>
    <w:rPr>
      <w:rFonts w:ascii="Helvetica" w:eastAsia="Times New Roman" w:hAnsi="Helvetica" w:cs="Times New Roman"/>
      <w:sz w:val="20"/>
      <w:szCs w:val="20"/>
    </w:rPr>
  </w:style>
  <w:style w:type="character" w:styleId="Hyperlink">
    <w:name w:val="Hyperlink"/>
    <w:basedOn w:val="DefaultParagraphFont"/>
    <w:rsid w:val="00847541"/>
    <w:rPr>
      <w:color w:val="FF0080"/>
      <w:u w:val="single"/>
    </w:rPr>
  </w:style>
  <w:style w:type="table" w:styleId="TableGrid">
    <w:name w:val="Table Grid"/>
    <w:basedOn w:val="TableNormal"/>
    <w:uiPriority w:val="39"/>
    <w:qFormat/>
    <w:rsid w:val="0084754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basedOn w:val="DefaultParagraphFont"/>
    <w:uiPriority w:val="20"/>
    <w:qFormat/>
    <w:rsid w:val="00847541"/>
    <w:rPr>
      <w:i/>
      <w:iCs/>
    </w:rPr>
  </w:style>
  <w:style w:type="paragraph" w:styleId="NoSpacing">
    <w:name w:val="No Spacing"/>
    <w:link w:val="NoSpacingChar"/>
    <w:uiPriority w:val="1"/>
    <w:qFormat/>
    <w:rsid w:val="00847541"/>
    <w:pPr>
      <w:spacing w:after="0" w:line="240" w:lineRule="auto"/>
    </w:pPr>
  </w:style>
  <w:style w:type="character" w:customStyle="1" w:styleId="NoSpacingChar">
    <w:name w:val="No Spacing Char"/>
    <w:link w:val="NoSpacing"/>
    <w:uiPriority w:val="1"/>
    <w:qFormat/>
    <w:locked/>
    <w:rsid w:val="00847541"/>
  </w:style>
  <w:style w:type="character" w:customStyle="1" w:styleId="A4">
    <w:name w:val="A4"/>
    <w:uiPriority w:val="99"/>
    <w:rsid w:val="00847541"/>
    <w:rPr>
      <w:i/>
      <w:iCs/>
      <w:color w:val="000000"/>
      <w:sz w:val="14"/>
      <w:szCs w:val="14"/>
    </w:rPr>
  </w:style>
  <w:style w:type="character" w:styleId="Strong">
    <w:name w:val="Strong"/>
    <w:basedOn w:val="DefaultParagraphFont"/>
    <w:uiPriority w:val="22"/>
    <w:qFormat/>
    <w:rsid w:val="00847541"/>
    <w:rPr>
      <w:b/>
      <w:bCs/>
    </w:rPr>
  </w:style>
  <w:style w:type="character" w:styleId="LineNumber">
    <w:name w:val="line number"/>
    <w:basedOn w:val="DefaultParagraphFont"/>
    <w:uiPriority w:val="99"/>
    <w:semiHidden/>
    <w:unhideWhenUsed/>
    <w:rsid w:val="00847541"/>
  </w:style>
  <w:style w:type="character" w:styleId="UnresolvedMention">
    <w:name w:val="Unresolved Mention"/>
    <w:basedOn w:val="DefaultParagraphFont"/>
    <w:uiPriority w:val="99"/>
    <w:semiHidden/>
    <w:unhideWhenUsed/>
    <w:rsid w:val="00BC6A72"/>
    <w:rPr>
      <w:color w:val="605E5C"/>
      <w:shd w:val="clear" w:color="auto" w:fill="E1DFDD"/>
    </w:rPr>
  </w:style>
  <w:style w:type="character" w:styleId="CommentReference">
    <w:name w:val="annotation reference"/>
    <w:basedOn w:val="DefaultParagraphFont"/>
    <w:uiPriority w:val="99"/>
    <w:semiHidden/>
    <w:unhideWhenUsed/>
    <w:rsid w:val="00856154"/>
    <w:rPr>
      <w:sz w:val="16"/>
      <w:szCs w:val="16"/>
    </w:rPr>
  </w:style>
  <w:style w:type="paragraph" w:styleId="CommentText">
    <w:name w:val="annotation text"/>
    <w:basedOn w:val="Normal"/>
    <w:link w:val="CommentTextChar"/>
    <w:uiPriority w:val="99"/>
    <w:semiHidden/>
    <w:unhideWhenUsed/>
    <w:rsid w:val="00856154"/>
  </w:style>
  <w:style w:type="character" w:customStyle="1" w:styleId="CommentTextChar">
    <w:name w:val="Comment Text Char"/>
    <w:basedOn w:val="DefaultParagraphFont"/>
    <w:link w:val="CommentText"/>
    <w:uiPriority w:val="99"/>
    <w:semiHidden/>
    <w:rsid w:val="00856154"/>
    <w:rPr>
      <w:rFonts w:ascii="Helvetica" w:eastAsia="Times New Roman"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856154"/>
    <w:rPr>
      <w:b/>
      <w:bCs/>
    </w:rPr>
  </w:style>
  <w:style w:type="character" w:customStyle="1" w:styleId="CommentSubjectChar">
    <w:name w:val="Comment Subject Char"/>
    <w:basedOn w:val="CommentTextChar"/>
    <w:link w:val="CommentSubject"/>
    <w:uiPriority w:val="99"/>
    <w:semiHidden/>
    <w:rsid w:val="00856154"/>
    <w:rPr>
      <w:rFonts w:ascii="Helvetica" w:eastAsia="Times New Roman" w:hAnsi="Helvetic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yperlink" Target="https://doi.org/10.33263/BRIAC116.1409014102" TargetMode="Externa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4.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openxmlformats.org/officeDocument/2006/relationships/hyperlink" Target="https://doi.org/10.1093/cid/ciab1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6196</Words>
  <Characters>35319</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MODESTA</dc:creator>
  <cp:keywords/>
  <dc:description/>
  <cp:lastModifiedBy>Asus</cp:lastModifiedBy>
  <cp:revision>23</cp:revision>
  <dcterms:created xsi:type="dcterms:W3CDTF">2025-12-29T03:13:00Z</dcterms:created>
  <dcterms:modified xsi:type="dcterms:W3CDTF">2025-12-30T17:21:00Z</dcterms:modified>
</cp:coreProperties>
</file>