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header+xml" PartName="/word/header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2EE560E8" w14:textId="77777777" w:rsidP="00441B6F" w:rsidR="00754C9A" w:rsidRDefault="00754C9A">
      <w:pPr>
        <w:pStyle w:val="Title"/>
        <w:spacing w:after="0"/>
        <w:jc w:val="both"/>
        <w:rPr>
          <w:rFonts w:ascii="Arial" w:cs="Arial" w:hAnsi="Arial"/>
        </w:rPr>
      </w:pPr>
    </w:p>
    <w:p w14:paraId="225AB568" w14:textId="77777777" w:rsidP="00723D81" w:rsidR="00723D81" w:rsidRDefault="00723D81" w:rsidRPr="00723D81">
      <w:pPr>
        <w:jc w:val="right"/>
        <w:rPr>
          <w:rFonts w:ascii="Arial" w:cs="Arial" w:hAnsi="Arial"/>
          <w:b/>
          <w:sz w:val="36"/>
          <w:szCs w:val="36"/>
        </w:rPr>
      </w:pPr>
      <w:r w:rsidRPr="00723D81">
        <w:rPr>
          <w:rFonts w:ascii="Arial" w:cs="Arial" w:hAnsi="Arial"/>
          <w:b/>
          <w:sz w:val="36"/>
          <w:szCs w:val="36"/>
        </w:rPr>
        <w:t>Review on the Impact of Elevated Carbon Dioxide and Temperature on Greenhouse Gas (GHG) Emissions in Rice and Their Simulation Studies</w:t>
      </w:r>
    </w:p>
    <w:p w14:paraId="75941111" w14:textId="77777777" w:rsidP="00723D81" w:rsidR="00723D81" w:rsidRDefault="00723D81">
      <w:pPr>
        <w:jc w:val="right"/>
        <w:rPr>
          <w:rFonts w:ascii="Arial" w:cs="Arial" w:hAnsi="Arial"/>
          <w:b/>
          <w:sz w:val="28"/>
          <w:szCs w:val="28"/>
        </w:rPr>
      </w:pPr>
    </w:p>
    <w:p w14:paraId="441BCD0D" w14:textId="77777777" w:rsidP="00441B6F" w:rsidR="002C57D2" w:rsidRDefault="002C57D2" w:rsidRPr="00FB3A86">
      <w:pPr>
        <w:pStyle w:val="Affiliation"/>
        <w:spacing w:after="0" w:line="240" w:lineRule="auto"/>
        <w:jc w:val="both"/>
        <w:rPr>
          <w:rFonts w:ascii="Arial" w:cs="Arial" w:hAnsi="Arial"/>
        </w:rPr>
      </w:pPr>
    </w:p>
    <w:p w14:paraId="799639CB" w14:textId="22F3A0D0" w:rsidP="00441B6F" w:rsidR="00B01FCD" w:rsidRDefault="00DD35E4" w:rsidRPr="00FB3A86">
      <w:pPr>
        <w:pStyle w:val="Copyright"/>
        <w:spacing w:after="0" w:line="240" w:lineRule="auto"/>
        <w:jc w:val="both"/>
        <w:rPr>
          <w:rFonts w:ascii="Arial" w:cs="Arial" w:hAnsi="Arial"/>
        </w:rPr>
        <w:sectPr w:rsidR="00B01FCD" w:rsidRPr="00FB3A86" w:rsidSect="00C65BD1">
          <w:headerReference r:id="rId8" w:type="even"/>
          <w:headerReference r:id="rId9" w:type="default"/>
          <w:footerReference r:id="rId10" w:type="even"/>
          <w:footerReference r:id="rId11" w:type="default"/>
          <w:headerReference r:id="rId12" w:type="first"/>
          <w:footerReference r:id="rId13" w:type="first"/>
          <w:pgSz w:code="1" w:h="15840" w:w="12240"/>
          <w:pgMar w:bottom="2016" w:footer="1296" w:gutter="0" w:header="720" w:left="2016" w:right="2016" w:top="1440"/>
          <w:cols w:space="720"/>
          <w:docGrid w:linePitch="272"/>
        </w:sectPr>
      </w:pPr>
      <w:r>
        <w:rPr>
          <w:rFonts w:ascii="Arial" w:cs="Arial" w:hAnsi="Arial"/>
          <w:noProof/>
        </w:rPr>
        <mc:AlternateContent>
          <mc:Choice Requires="wps">
            <w:drawing>
              <wp:inline distB="0" distL="0" distR="0" distT="0" wp14:anchorId="2E608562" wp14:editId="33216384">
                <wp:extent cx="5303520" cy="635"/>
                <wp:effectExtent b="9525" l="11430" r="9525" t="9525"/>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AlternateContent>
      </w:r>
      <w:r w:rsidR="00FB3A86">
        <w:rPr>
          <w:rFonts w:ascii="Arial" w:cs="Arial" w:hAnsi="Arial"/>
        </w:rPr>
        <w:t>.</w:t>
      </w:r>
    </w:p>
    <w:p w14:paraId="536D8A2D" w14:textId="3B13115A" w:rsidP="00441B6F" w:rsidR="00790ADA" w:rsidRDefault="00B01FCD" w:rsidRPr="00FB3A86">
      <w:pPr>
        <w:pStyle w:val="AbstHead"/>
        <w:spacing w:after="0"/>
        <w:jc w:val="both"/>
        <w:rPr>
          <w:rFonts w:ascii="Arial" w:cs="Arial" w:hAnsi="Arial"/>
        </w:rPr>
      </w:pPr>
      <w:r w:rsidRPr="00FB3A86">
        <w:rPr>
          <w:rFonts w:ascii="Arial" w:cs="Arial" w:hAnsi="Arial"/>
        </w:rPr>
        <w:t>ABSTRACT</w:t>
      </w:r>
      <w:r w:rsidR="0066510A">
        <w:rPr>
          <w:rFonts w:ascii="Arial" w:cs="Arial" w:hAnsi="Arial"/>
        </w:rPr>
        <w:t xml:space="preserve"> </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shd w:color="auto" w:fill="F2F2F2" w:val="clear"/>
        <w:tblLook w:firstColumn="1" w:firstRow="1" w:lastColumn="0" w:lastRow="0" w:noHBand="0" w:noVBand="1" w:val="04A0"/>
      </w:tblPr>
      <w:tblGrid>
        <w:gridCol w:w="8198"/>
      </w:tblGrid>
      <w:tr w14:paraId="193E7A09" w14:textId="77777777" w:rsidR="00296529" w:rsidRPr="001E44FE" w:rsidTr="001E44FE">
        <w:tc>
          <w:tcPr>
            <w:tcW w:type="dxa" w:w="9576"/>
            <w:shd w:color="auto" w:fill="F2F2F2" w:val="clear"/>
          </w:tcPr>
          <w:p w14:paraId="4357C572" w14:textId="033F465D" w:rsidP="00441B6F" w:rsidR="00505F06" w:rsidRDefault="00004E5B" w:rsidRPr="00BA1B01">
            <w:pPr>
              <w:pStyle w:val="Body"/>
              <w:spacing w:after="0"/>
              <w:rPr>
                <w:rFonts w:ascii="Arial" w:cs="Arial" w:eastAsia="Calibri" w:hAnsi="Arial"/>
                <w:szCs w:val="22"/>
              </w:rPr>
            </w:pPr>
            <w:r w:rsidRPr="002C5763">
              <w:rPr>
                <w:rFonts w:ascii="Arial" w:cs="Arial" w:hAnsi="Arial"/>
                <w:color w:themeColor="text1" w:val="000000"/>
              </w:rPr>
              <w:t>Rice (</w:t>
            </w:r>
            <w:r w:rsidRPr="002C5763">
              <w:rPr>
                <w:rFonts w:ascii="Arial" w:cs="Arial" w:hAnsi="Arial"/>
                <w:i/>
                <w:color w:themeColor="text1" w:val="000000"/>
              </w:rPr>
              <w:t>Oryza sativa</w:t>
            </w:r>
            <w:r w:rsidRPr="002C5763">
              <w:rPr>
                <w:rFonts w:ascii="Arial" w:cs="Arial" w:hAnsi="Arial"/>
                <w:color w:themeColor="text1" w:val="000000"/>
              </w:rPr>
              <w:t xml:space="preserve"> L.) is a staple grain crop that has a high contribution to food security in the whole world, but also a major contributor of greenhouse gases (GHG), especially methane (CH</w:t>
            </w:r>
            <w:r w:rsidRPr="002C5763">
              <w:rPr>
                <w:rFonts w:ascii="Arial" w:cs="Arial" w:hAnsi="Arial"/>
                <w:color w:themeColor="text1" w:val="000000"/>
                <w:vertAlign w:val="subscript"/>
              </w:rPr>
              <w:t>4</w:t>
            </w:r>
            <w:r w:rsidRPr="002C5763">
              <w:rPr>
                <w:rFonts w:ascii="Arial" w:cs="Arial" w:hAnsi="Arial"/>
                <w:color w:themeColor="text1" w:val="000000"/>
              </w:rPr>
              <w:t>) and nitrous oxide (N</w:t>
            </w:r>
            <w:r w:rsidRPr="002C5763">
              <w:rPr>
                <w:rFonts w:ascii="Arial" w:cs="Arial" w:hAnsi="Arial"/>
                <w:color w:themeColor="text1" w:val="000000"/>
                <w:vertAlign w:val="subscript"/>
              </w:rPr>
              <w:t>2</w:t>
            </w:r>
            <w:r w:rsidRPr="002C5763">
              <w:rPr>
                <w:rFonts w:ascii="Arial" w:cs="Arial" w:hAnsi="Arial"/>
                <w:color w:themeColor="text1" w:val="000000"/>
              </w:rPr>
              <w:t>O). Factors of climate change, like high carbon dioxide (</w:t>
            </w:r>
            <w:r w:rsidRPr="002C5763">
              <w:rPr>
                <w:rFonts w:ascii="Arial" w:cs="Arial" w:hAnsi="Arial"/>
              </w:rPr>
              <w:t>CO</w:t>
            </w:r>
            <w:r w:rsidRPr="002C5763">
              <w:rPr>
                <w:rFonts w:ascii="Arial" w:cs="Arial" w:hAnsi="Arial"/>
                <w:vertAlign w:val="subscript"/>
              </w:rPr>
              <w:t>2</w:t>
            </w:r>
            <w:r w:rsidRPr="002C5763">
              <w:rPr>
                <w:rFonts w:ascii="Arial" w:cs="Arial" w:hAnsi="Arial"/>
                <w:color w:themeColor="text1" w:val="000000"/>
              </w:rPr>
              <w:t xml:space="preserve">) levels in the atmosphere and temperature increases, have significant impacts on the physiological activity of rice, the activity of soil microbes, and the cycling of nutrients that, in turn, affect the GHG emission of paddy fields. The review summarizes existing findings on the effect of high </w:t>
            </w:r>
            <w:r w:rsidRPr="002C5763">
              <w:rPr>
                <w:rFonts w:ascii="Arial" w:cs="Arial" w:hAnsi="Arial"/>
              </w:rPr>
              <w:t>CO</w:t>
            </w:r>
            <w:r w:rsidRPr="002C5763">
              <w:rPr>
                <w:rFonts w:ascii="Arial" w:cs="Arial" w:hAnsi="Arial"/>
                <w:vertAlign w:val="subscript"/>
              </w:rPr>
              <w:t xml:space="preserve">2 </w:t>
            </w:r>
            <w:r w:rsidRPr="002C5763">
              <w:rPr>
                <w:rFonts w:ascii="Arial" w:cs="Arial" w:hAnsi="Arial"/>
                <w:color w:themeColor="text1" w:val="000000"/>
              </w:rPr>
              <w:t>and temperature on CH</w:t>
            </w:r>
            <w:r w:rsidRPr="002C5763">
              <w:rPr>
                <w:rFonts w:ascii="Arial" w:cs="Arial" w:hAnsi="Arial"/>
                <w:color w:themeColor="text1" w:val="000000"/>
                <w:vertAlign w:val="subscript"/>
              </w:rPr>
              <w:t>4</w:t>
            </w:r>
            <w:r w:rsidRPr="002C5763">
              <w:rPr>
                <w:rFonts w:ascii="Arial" w:cs="Arial" w:hAnsi="Arial"/>
                <w:color w:themeColor="text1" w:val="000000"/>
              </w:rPr>
              <w:t xml:space="preserve"> and N</w:t>
            </w:r>
            <w:r w:rsidRPr="002C5763">
              <w:rPr>
                <w:rFonts w:ascii="Arial" w:cs="Arial" w:hAnsi="Arial"/>
                <w:color w:themeColor="text1" w:val="000000"/>
                <w:vertAlign w:val="subscript"/>
              </w:rPr>
              <w:t>2</w:t>
            </w:r>
            <w:r w:rsidRPr="002C5763">
              <w:rPr>
                <w:rFonts w:ascii="Arial" w:cs="Arial" w:hAnsi="Arial"/>
                <w:color w:themeColor="text1" w:val="000000"/>
              </w:rPr>
              <w:t xml:space="preserve">O flux in rice ecosystems individually and in a combined manner. It has been observed that high </w:t>
            </w:r>
            <w:r w:rsidRPr="002C5763">
              <w:rPr>
                <w:rFonts w:ascii="Arial" w:cs="Arial" w:hAnsi="Arial"/>
              </w:rPr>
              <w:t>CO</w:t>
            </w:r>
            <w:r w:rsidRPr="002C5763">
              <w:rPr>
                <w:rFonts w:ascii="Arial" w:cs="Arial" w:hAnsi="Arial"/>
                <w:vertAlign w:val="subscript"/>
              </w:rPr>
              <w:t xml:space="preserve">2 </w:t>
            </w:r>
            <w:r w:rsidRPr="002C5763">
              <w:rPr>
                <w:rFonts w:ascii="Arial" w:cs="Arial" w:hAnsi="Arial"/>
                <w:color w:themeColor="text1" w:val="000000"/>
              </w:rPr>
              <w:t>increases biomass production, root exudation, and soil microbial activities, thus affecting the generation of methane, but temperature rises promote decomposition of organic matter and conversion of nitrogen to methane and nitrous oxide. The different experimental and field-based studies and simulation models, including De</w:t>
            </w:r>
            <w:r>
              <w:rPr>
                <w:rFonts w:ascii="Arial" w:cs="Arial" w:hAnsi="Arial"/>
                <w:color w:themeColor="text1" w:val="000000"/>
              </w:rPr>
              <w:t>n</w:t>
            </w:r>
            <w:r w:rsidRPr="002C5763">
              <w:rPr>
                <w:rFonts w:ascii="Arial" w:cs="Arial" w:hAnsi="Arial"/>
                <w:color w:themeColor="text1" w:val="000000"/>
              </w:rPr>
              <w:t>itrification-De</w:t>
            </w:r>
            <w:r>
              <w:rPr>
                <w:rFonts w:ascii="Arial" w:cs="Arial" w:hAnsi="Arial"/>
                <w:color w:themeColor="text1" w:val="000000"/>
              </w:rPr>
              <w:t>c</w:t>
            </w:r>
            <w:r w:rsidRPr="002C5763">
              <w:rPr>
                <w:rFonts w:ascii="Arial" w:cs="Arial" w:hAnsi="Arial"/>
                <w:color w:themeColor="text1" w:val="000000"/>
              </w:rPr>
              <w:t>omposition (DNDC), Daily time-step version of the CENTURY ecosystem model (DAYCENT), and Agricultural Production Systems Simulator (APSIM), that have been employed to forecast the future trends of emissions and the effectiveness of mitigation strategies are also discussed. The results indicate that climate variables and soil processes are highly interconnected, and integrated management practices are necessary to ensure productivity and sustainability of the environment. The review wraps up by determining research gaps, such as the necessity of long-term field tests, further parameterization of the model, and site-specific methods of mitigation that include water and nutrient management.</w:t>
            </w:r>
          </w:p>
        </w:tc>
      </w:tr>
    </w:tbl>
    <w:p w14:paraId="0CDC7A06" w14:textId="77777777" w:rsidP="00441B6F" w:rsidR="00636EB2" w:rsidRDefault="00636EB2">
      <w:pPr>
        <w:pStyle w:val="Body"/>
        <w:spacing w:after="0"/>
        <w:rPr>
          <w:rFonts w:ascii="Arial" w:cs="Arial" w:hAnsi="Arial"/>
          <w:i/>
        </w:rPr>
      </w:pPr>
    </w:p>
    <w:p w14:paraId="0141E7FD" w14:textId="79FA4243" w:rsidP="00441B6F" w:rsidR="00A24E7E" w:rsidRDefault="00A24E7E">
      <w:pPr>
        <w:pStyle w:val="Body"/>
        <w:spacing w:after="0"/>
        <w:rPr>
          <w:rFonts w:ascii="Arial" w:cs="Arial" w:hAnsi="Arial"/>
          <w:i/>
        </w:rPr>
      </w:pPr>
      <w:r w:rsidRPr="00906247">
        <w:rPr>
          <w:rFonts w:ascii="Arial" w:cs="Arial" w:hAnsi="Arial"/>
          <w:b/>
          <w:bCs/>
          <w:i/>
        </w:rPr>
        <w:t>Keywords:</w:t>
      </w:r>
      <w:r>
        <w:rPr>
          <w:rFonts w:ascii="Arial" w:cs="Arial" w:hAnsi="Arial"/>
          <w:i/>
        </w:rPr>
        <w:t xml:space="preserve"> </w:t>
      </w:r>
      <w:r w:rsidR="00004E5B" w:rsidRPr="00004E5B">
        <w:rPr>
          <w:rFonts w:ascii="Arial" w:cs="Arial" w:hAnsi="Arial"/>
          <w:i/>
        </w:rPr>
        <w:t>Rice, CO</w:t>
      </w:r>
      <w:r w:rsidR="00004E5B" w:rsidRPr="00004E5B">
        <w:rPr>
          <w:rFonts w:ascii="Arial" w:cs="Arial" w:hAnsi="Arial"/>
          <w:i/>
          <w:vertAlign w:val="subscript"/>
        </w:rPr>
        <w:t>2</w:t>
      </w:r>
      <w:r w:rsidR="00004E5B" w:rsidRPr="00004E5B">
        <w:rPr>
          <w:rFonts w:ascii="Arial" w:cs="Arial" w:hAnsi="Arial"/>
          <w:i/>
        </w:rPr>
        <w:t>, Temperature, Greenhouse gas, Methane (CH</w:t>
      </w:r>
      <w:r w:rsidR="00004E5B" w:rsidRPr="00004E5B">
        <w:rPr>
          <w:rFonts w:ascii="Arial" w:cs="Arial" w:hAnsi="Arial"/>
          <w:i/>
          <w:vertAlign w:val="subscript"/>
        </w:rPr>
        <w:t>4</w:t>
      </w:r>
      <w:r w:rsidR="00004E5B" w:rsidRPr="00004E5B">
        <w:rPr>
          <w:rFonts w:ascii="Arial" w:cs="Arial" w:hAnsi="Arial"/>
          <w:i/>
        </w:rPr>
        <w:t>), Nitrous oxide (N</w:t>
      </w:r>
      <w:r w:rsidR="00004E5B" w:rsidRPr="00004E5B">
        <w:rPr>
          <w:rFonts w:ascii="Arial" w:cs="Arial" w:hAnsi="Arial"/>
          <w:i/>
          <w:vertAlign w:val="subscript"/>
        </w:rPr>
        <w:t>2</w:t>
      </w:r>
      <w:r w:rsidR="00004E5B" w:rsidRPr="00004E5B">
        <w:rPr>
          <w:rFonts w:ascii="Arial" w:cs="Arial" w:hAnsi="Arial"/>
          <w:i/>
        </w:rPr>
        <w:t>O), Simulation, Climate change, Paddy fields, Sustainable management.</w:t>
      </w:r>
    </w:p>
    <w:p w14:paraId="586D840A" w14:textId="77777777" w:rsidP="00441B6F" w:rsidR="00790ADA" w:rsidRDefault="00790ADA">
      <w:pPr>
        <w:pStyle w:val="Body"/>
        <w:spacing w:after="0"/>
        <w:rPr>
          <w:rFonts w:ascii="Arial" w:cs="Arial" w:hAnsi="Arial"/>
          <w:i/>
        </w:rPr>
      </w:pPr>
    </w:p>
    <w:p w14:paraId="5124FA64" w14:textId="77777777" w:rsidP="00441B6F" w:rsidR="0024282C" w:rsidRDefault="0024282C">
      <w:pPr>
        <w:pStyle w:val="Body"/>
        <w:spacing w:after="0"/>
        <w:rPr>
          <w:rFonts w:ascii="Arial" w:cs="Arial" w:hAnsi="Arial"/>
          <w:i/>
          <w:sz w:val="18"/>
        </w:rPr>
      </w:pPr>
    </w:p>
    <w:p w14:paraId="12A6B342" w14:textId="77777777" w:rsidP="00441B6F" w:rsidR="00505F06" w:rsidRDefault="00505F06" w:rsidRPr="00A24E7E">
      <w:pPr>
        <w:pStyle w:val="Body"/>
        <w:spacing w:after="0"/>
        <w:rPr>
          <w:rFonts w:ascii="Arial" w:cs="Arial" w:hAnsi="Arial"/>
          <w:i/>
        </w:rPr>
      </w:pPr>
    </w:p>
    <w:p w14:paraId="2037B828" w14:textId="46B5D7E6" w:rsidP="00441B6F" w:rsidR="007F7B32" w:rsidRDefault="00902823">
      <w:pPr>
        <w:pStyle w:val="AbstHead"/>
        <w:spacing w:after="0"/>
        <w:jc w:val="both"/>
        <w:rPr>
          <w:rFonts w:ascii="Arial" w:cs="Arial" w:hAnsi="Arial"/>
        </w:rPr>
      </w:pPr>
      <w:r>
        <w:rPr>
          <w:rFonts w:ascii="Arial" w:cs="Arial" w:hAnsi="Arial"/>
        </w:rPr>
        <w:t xml:space="preserve">1. </w:t>
      </w:r>
      <w:r w:rsidR="00B01FCD" w:rsidRPr="00FB3A86">
        <w:rPr>
          <w:rFonts w:ascii="Arial" w:cs="Arial" w:hAnsi="Arial"/>
        </w:rPr>
        <w:t>INTRODUCTION</w:t>
      </w:r>
      <w:r w:rsidR="007F7B32">
        <w:rPr>
          <w:rFonts w:ascii="Arial" w:cs="Arial" w:hAnsi="Arial"/>
        </w:rPr>
        <w:t xml:space="preserve"> </w:t>
      </w:r>
    </w:p>
    <w:p w14:paraId="4300861A" w14:textId="60C89B35"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The continuous increase in the emission of greenhouse (GHG) gases, especially carbon dioxide (CO</w:t>
      </w:r>
      <w:r w:rsidRPr="002C5763">
        <w:rPr>
          <w:rFonts w:ascii="Arial" w:cs="Arial" w:hAnsi="Arial"/>
          <w:sz w:val="20"/>
          <w:szCs w:val="20"/>
          <w:vertAlign w:val="subscript"/>
        </w:rPr>
        <w:t>2</w:t>
      </w:r>
      <w:r w:rsidRPr="002C5763">
        <w:rPr>
          <w:rFonts w:ascii="Arial" w:cs="Arial" w:hAnsi="Arial"/>
          <w:sz w:val="20"/>
          <w:szCs w:val="20"/>
        </w:rPr>
        <w:t>), methane (CH</w:t>
      </w:r>
      <w:r w:rsidRPr="002C5763">
        <w:rPr>
          <w:rFonts w:ascii="Arial" w:cs="Arial" w:hAnsi="Arial"/>
          <w:sz w:val="20"/>
          <w:szCs w:val="20"/>
          <w:vertAlign w:val="subscript"/>
        </w:rPr>
        <w:t>4</w:t>
      </w:r>
      <w:r w:rsidRPr="002C5763">
        <w:rPr>
          <w:rFonts w:ascii="Arial" w:cs="Arial" w:hAnsi="Arial"/>
          <w:sz w:val="20"/>
          <w:szCs w:val="20"/>
        </w:rPr>
        <w:t>), and nitrous oxide (N</w:t>
      </w:r>
      <w:r w:rsidRPr="002C5763">
        <w:rPr>
          <w:rFonts w:ascii="Arial" w:cs="Arial" w:hAnsi="Arial"/>
          <w:sz w:val="20"/>
          <w:szCs w:val="20"/>
          <w:vertAlign w:val="subscript"/>
        </w:rPr>
        <w:t>2</w:t>
      </w:r>
      <w:r w:rsidRPr="002C5763">
        <w:rPr>
          <w:rFonts w:ascii="Arial" w:cs="Arial" w:hAnsi="Arial"/>
          <w:sz w:val="20"/>
          <w:szCs w:val="20"/>
        </w:rPr>
        <w:t>O), is resulting in rapid shifts in the global climate. During the pre-industrial era (1750 AD), CO</w:t>
      </w:r>
      <w:r w:rsidRPr="002C5763">
        <w:rPr>
          <w:rFonts w:ascii="Arial" w:cs="Arial" w:hAnsi="Arial"/>
          <w:sz w:val="20"/>
          <w:szCs w:val="20"/>
          <w:vertAlign w:val="subscript"/>
        </w:rPr>
        <w:t>2</w:t>
      </w:r>
      <w:r w:rsidRPr="002C5763">
        <w:rPr>
          <w:rFonts w:ascii="Arial" w:cs="Arial" w:hAnsi="Arial"/>
          <w:sz w:val="20"/>
          <w:szCs w:val="20"/>
        </w:rPr>
        <w:t xml:space="preserve"> levels in the atmosphere amounted to 280 parts per million. They have risen over the past years to approximately 410 parts per million (IPCC, 2021). Emissions in 2010 -2019 were higher than in any previous decade, even though the average annual increase rate of CO</w:t>
      </w:r>
      <w:r w:rsidRPr="002C5763">
        <w:rPr>
          <w:rFonts w:ascii="Arial" w:cs="Arial" w:hAnsi="Arial"/>
          <w:sz w:val="20"/>
          <w:szCs w:val="20"/>
          <w:vertAlign w:val="subscript"/>
        </w:rPr>
        <w:t xml:space="preserve">2 </w:t>
      </w:r>
      <w:r w:rsidRPr="002C5763">
        <w:rPr>
          <w:rFonts w:ascii="Arial" w:cs="Arial" w:hAnsi="Arial"/>
          <w:sz w:val="20"/>
          <w:szCs w:val="20"/>
        </w:rPr>
        <w:t>was lower in 2000-2009 (2.1 year</w:t>
      </w:r>
      <w:r w:rsidRPr="002C5763">
        <w:rPr>
          <w:rFonts w:ascii="Arial" w:cs="Arial" w:hAnsi="Arial"/>
          <w:sz w:val="20"/>
          <w:szCs w:val="20"/>
          <w:vertAlign w:val="superscript"/>
        </w:rPr>
        <w:t>-1</w:t>
      </w:r>
      <w:r w:rsidRPr="002C5763">
        <w:rPr>
          <w:rFonts w:ascii="Arial" w:cs="Arial" w:hAnsi="Arial"/>
          <w:sz w:val="20"/>
          <w:szCs w:val="20"/>
        </w:rPr>
        <w:t>) compared to 2010-2019 (1.3 year</w:t>
      </w:r>
      <w:r w:rsidRPr="002C5763">
        <w:rPr>
          <w:rFonts w:ascii="Arial" w:cs="Arial" w:hAnsi="Arial"/>
          <w:sz w:val="20"/>
          <w:szCs w:val="20"/>
          <w:vertAlign w:val="superscript"/>
        </w:rPr>
        <w:t>-1</w:t>
      </w:r>
      <w:r w:rsidRPr="002C5763">
        <w:rPr>
          <w:rFonts w:ascii="Arial" w:cs="Arial" w:hAnsi="Arial"/>
          <w:sz w:val="20"/>
          <w:szCs w:val="20"/>
        </w:rPr>
        <w:t>) (IPCC, 2022). Today, the forecasts indicate that the concentration of CO</w:t>
      </w:r>
      <w:r w:rsidRPr="002C5763">
        <w:rPr>
          <w:rFonts w:ascii="Arial" w:cs="Arial" w:hAnsi="Arial"/>
          <w:sz w:val="20"/>
          <w:szCs w:val="20"/>
          <w:vertAlign w:val="subscript"/>
        </w:rPr>
        <w:t xml:space="preserve">2 </w:t>
      </w:r>
      <w:r w:rsidRPr="002C5763">
        <w:rPr>
          <w:rFonts w:ascii="Arial" w:cs="Arial" w:hAnsi="Arial"/>
          <w:sz w:val="20"/>
          <w:szCs w:val="20"/>
        </w:rPr>
        <w:t xml:space="preserve">will reach 700 parts per million by the century's end and 550 parts per million by 2050 (Kumar </w:t>
      </w:r>
      <w:r w:rsidRPr="002C5763">
        <w:rPr>
          <w:rFonts w:ascii="Arial" w:cs="Arial" w:hAnsi="Arial"/>
          <w:i/>
          <w:iCs/>
          <w:sz w:val="20"/>
          <w:szCs w:val="20"/>
        </w:rPr>
        <w:t>et al.,</w:t>
      </w:r>
      <w:r w:rsidRPr="002C5763">
        <w:rPr>
          <w:rFonts w:ascii="Arial" w:cs="Arial" w:hAnsi="Arial"/>
          <w:sz w:val="20"/>
          <w:szCs w:val="20"/>
        </w:rPr>
        <w:t xml:space="preserve"> 2019).</w:t>
      </w:r>
    </w:p>
    <w:p w14:paraId="06255D7A" w14:textId="73832BF3"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lastRenderedPageBreak/>
        <w:t xml:space="preserve">The increase in temperature is expected to be between 1.5°C and </w:t>
      </w:r>
      <w:r w:rsidR="00056A1F">
        <w:rPr>
          <w:rFonts w:ascii="Arial" w:cs="Arial" w:hAnsi="Arial"/>
          <w:sz w:val="20"/>
          <w:szCs w:val="20"/>
        </w:rPr>
        <w:t>5 °C</w:t>
      </w:r>
      <w:r w:rsidRPr="002C5763">
        <w:rPr>
          <w:rFonts w:ascii="Arial" w:cs="Arial" w:hAnsi="Arial"/>
          <w:sz w:val="20"/>
          <w:szCs w:val="20"/>
        </w:rPr>
        <w:t xml:space="preserve"> alongside the increase in CO</w:t>
      </w:r>
      <w:r w:rsidRPr="002C5763">
        <w:rPr>
          <w:rFonts w:ascii="Arial" w:cs="Arial" w:hAnsi="Arial"/>
          <w:sz w:val="20"/>
          <w:szCs w:val="20"/>
          <w:vertAlign w:val="subscript"/>
        </w:rPr>
        <w:t>2</w:t>
      </w:r>
      <w:r w:rsidRPr="002C5763">
        <w:rPr>
          <w:rFonts w:ascii="Arial" w:cs="Arial" w:hAnsi="Arial"/>
          <w:sz w:val="20"/>
          <w:szCs w:val="20"/>
        </w:rPr>
        <w:t>, and an average increase of 3 °C by 2100, and a probable increase of 1.5 °C by 2040 (IPCC, 2021). The three primary GHGs of CO</w:t>
      </w:r>
      <w:r w:rsidRPr="002C5763">
        <w:rPr>
          <w:rFonts w:ascii="Arial" w:cs="Arial" w:hAnsi="Arial"/>
          <w:sz w:val="20"/>
          <w:szCs w:val="20"/>
          <w:vertAlign w:val="subscript"/>
        </w:rPr>
        <w:t>2</w:t>
      </w:r>
      <w:r w:rsidRPr="002C5763">
        <w:rPr>
          <w:rFonts w:ascii="Arial" w:cs="Arial" w:hAnsi="Arial"/>
          <w:sz w:val="20"/>
          <w:szCs w:val="20"/>
        </w:rPr>
        <w:t>, CH</w:t>
      </w:r>
      <w:r w:rsidRPr="002C5763">
        <w:rPr>
          <w:rFonts w:ascii="Arial" w:cs="Arial" w:hAnsi="Arial"/>
          <w:sz w:val="20"/>
          <w:szCs w:val="20"/>
          <w:vertAlign w:val="subscript"/>
        </w:rPr>
        <w:t>4</w:t>
      </w:r>
      <w:r w:rsidRPr="002C5763">
        <w:rPr>
          <w:rFonts w:ascii="Arial" w:cs="Arial" w:hAnsi="Arial"/>
          <w:sz w:val="20"/>
          <w:szCs w:val="20"/>
        </w:rPr>
        <w:t>, and N</w:t>
      </w:r>
      <w:r w:rsidRPr="002C5763">
        <w:rPr>
          <w:rFonts w:ascii="Arial" w:cs="Arial" w:hAnsi="Arial"/>
          <w:sz w:val="20"/>
          <w:szCs w:val="20"/>
          <w:vertAlign w:val="subscript"/>
        </w:rPr>
        <w:t>2</w:t>
      </w:r>
      <w:r w:rsidRPr="002C5763">
        <w:rPr>
          <w:rFonts w:ascii="Arial" w:cs="Arial" w:hAnsi="Arial"/>
          <w:sz w:val="20"/>
          <w:szCs w:val="20"/>
        </w:rPr>
        <w:t>O contribute to almost 87 percent of the radiative forcing in the world (IPCC, 2013). The IPCC (2021) estimates that their concentration has increased by 47, 156, and 23 percent since 1750, respectively. Agriculture, forestry, and other land uses (AFOLU) contribute approximately 24% of the total anthropogenic emissions, and the percentage of greenhouse gas emissions in India exceeds 14 percent of the overall emissions (</w:t>
      </w:r>
      <w:proofErr w:type="spellStart"/>
      <w:r w:rsidRPr="002C5763">
        <w:rPr>
          <w:rFonts w:ascii="Arial" w:cs="Arial" w:hAnsi="Arial"/>
          <w:sz w:val="20"/>
          <w:szCs w:val="20"/>
        </w:rPr>
        <w:t>MoEFCC</w:t>
      </w:r>
      <w:proofErr w:type="spellEnd"/>
      <w:r w:rsidRPr="002C5763">
        <w:rPr>
          <w:rFonts w:ascii="Arial" w:cs="Arial" w:hAnsi="Arial"/>
          <w:sz w:val="20"/>
          <w:szCs w:val="20"/>
        </w:rPr>
        <w:t>, 2021). Enteric fermentation, fertilizer application, manure control, and rice cultivation are considered primary sources; rice fields contribute to a significant amount of CH</w:t>
      </w:r>
      <w:r w:rsidRPr="002C5763">
        <w:rPr>
          <w:rFonts w:ascii="Arial" w:cs="Arial" w:hAnsi="Arial"/>
          <w:sz w:val="20"/>
          <w:szCs w:val="20"/>
          <w:vertAlign w:val="subscript"/>
        </w:rPr>
        <w:t>4</w:t>
      </w:r>
      <w:r w:rsidRPr="002C5763">
        <w:rPr>
          <w:rFonts w:ascii="Arial" w:cs="Arial" w:hAnsi="Arial"/>
          <w:sz w:val="20"/>
          <w:szCs w:val="20"/>
        </w:rPr>
        <w:t xml:space="preserve"> emissions.</w:t>
      </w:r>
    </w:p>
    <w:p w14:paraId="627FD67A" w14:textId="77777777"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Although the decomposition of organic matter by anaerobic microbes in soils contributes to the generation of methane, N</w:t>
      </w:r>
      <w:r w:rsidRPr="002C5763">
        <w:rPr>
          <w:rFonts w:ascii="Arial" w:cs="Arial" w:hAnsi="Arial"/>
          <w:sz w:val="20"/>
          <w:szCs w:val="20"/>
          <w:vertAlign w:val="subscript"/>
        </w:rPr>
        <w:t>2</w:t>
      </w:r>
      <w:r w:rsidRPr="002C5763">
        <w:rPr>
          <w:rFonts w:ascii="Arial" w:cs="Arial" w:hAnsi="Arial"/>
          <w:sz w:val="20"/>
          <w:szCs w:val="20"/>
        </w:rPr>
        <w:t>O is primarily emitted by the process of nitrifying and denitrifying the soils due to the presence of nitrogen fertilizers and organic manures. Rice (</w:t>
      </w:r>
      <w:r w:rsidRPr="002C5763">
        <w:rPr>
          <w:rFonts w:ascii="Arial" w:cs="Arial" w:hAnsi="Arial"/>
          <w:i/>
          <w:sz w:val="20"/>
          <w:szCs w:val="20"/>
        </w:rPr>
        <w:t>Oryza sativa</w:t>
      </w:r>
      <w:r w:rsidRPr="002C5763">
        <w:rPr>
          <w:rFonts w:ascii="Arial" w:cs="Arial" w:hAnsi="Arial"/>
          <w:sz w:val="20"/>
          <w:szCs w:val="20"/>
        </w:rPr>
        <w:t xml:space="preserve"> L.) is the second most important staple crop in the world, as it provides up to 60 percent of calories eaten by half the world population. Its production is highly vulnerable to the climatic changes, particularly the CO</w:t>
      </w:r>
      <w:r w:rsidRPr="002C5763">
        <w:rPr>
          <w:rFonts w:ascii="Arial" w:cs="Arial" w:hAnsi="Arial"/>
          <w:sz w:val="20"/>
          <w:szCs w:val="20"/>
          <w:vertAlign w:val="subscript"/>
        </w:rPr>
        <w:t>2</w:t>
      </w:r>
      <w:r w:rsidRPr="002C5763">
        <w:rPr>
          <w:rFonts w:ascii="Arial" w:cs="Arial" w:hAnsi="Arial"/>
          <w:sz w:val="20"/>
          <w:szCs w:val="20"/>
        </w:rPr>
        <w:t xml:space="preserve"> and temperature levels. Increasing temperatures may accelerate crop growth, reduce grain filling, and make crops sterile at sensitive growth phases, threatening crop yields, although higher CO</w:t>
      </w:r>
      <w:r w:rsidRPr="002C5763">
        <w:rPr>
          <w:rFonts w:ascii="Arial" w:cs="Arial" w:hAnsi="Arial"/>
          <w:sz w:val="20"/>
          <w:szCs w:val="20"/>
          <w:vertAlign w:val="subscript"/>
        </w:rPr>
        <w:t>2</w:t>
      </w:r>
      <w:r w:rsidRPr="002C5763">
        <w:rPr>
          <w:rFonts w:ascii="Arial" w:cs="Arial" w:hAnsi="Arial"/>
          <w:sz w:val="20"/>
          <w:szCs w:val="20"/>
        </w:rPr>
        <w:t xml:space="preserve"> has the potential to enhance photosynthesis and water-use efficiency, especially in C3 crops such as rice (Ainsworth and Rogers 2007; </w:t>
      </w:r>
      <w:proofErr w:type="spellStart"/>
      <w:r w:rsidRPr="002C5763">
        <w:rPr>
          <w:rFonts w:ascii="Arial" w:cs="Arial" w:hAnsi="Arial"/>
          <w:sz w:val="20"/>
          <w:szCs w:val="20"/>
        </w:rPr>
        <w:t>Johkan</w:t>
      </w:r>
      <w:proofErr w:type="spellEnd"/>
      <w:r w:rsidRPr="002C5763">
        <w:rPr>
          <w:rFonts w:ascii="Arial" w:cs="Arial" w:hAnsi="Arial"/>
          <w:sz w:val="20"/>
          <w:szCs w:val="20"/>
        </w:rPr>
        <w:t xml:space="preserve"> </w:t>
      </w:r>
      <w:r w:rsidRPr="002C5763">
        <w:rPr>
          <w:rFonts w:ascii="Arial" w:cs="Arial" w:hAnsi="Arial"/>
          <w:i/>
          <w:iCs/>
          <w:sz w:val="20"/>
          <w:szCs w:val="20"/>
        </w:rPr>
        <w:t>et al.</w:t>
      </w:r>
      <w:r w:rsidRPr="002C5763">
        <w:rPr>
          <w:rFonts w:ascii="Arial" w:cs="Arial" w:hAnsi="Arial"/>
          <w:sz w:val="20"/>
          <w:szCs w:val="20"/>
        </w:rPr>
        <w:t xml:space="preserve"> 2011).</w:t>
      </w:r>
    </w:p>
    <w:p w14:paraId="5D53F942" w14:textId="77777777" w:rsidP="00004E5B" w:rsidR="00004E5B" w:rsidRDefault="00004E5B" w:rsidRPr="002C5763">
      <w:pPr>
        <w:pStyle w:val="NormalWeb"/>
        <w:jc w:val="both"/>
        <w:rPr>
          <w:rFonts w:ascii="Arial" w:cs="Arial" w:hAnsi="Arial"/>
          <w:color w:themeColor="text1" w:val="000000"/>
          <w:sz w:val="20"/>
          <w:szCs w:val="20"/>
        </w:rPr>
      </w:pPr>
      <w:r w:rsidRPr="002C5763">
        <w:rPr>
          <w:rFonts w:ascii="Arial" w:cs="Arial" w:hAnsi="Arial"/>
          <w:sz w:val="20"/>
          <w:szCs w:val="20"/>
        </w:rPr>
        <w:t>Field and controlled-environment experiments such as open-top chambers, Temperature gradient tunnels, and free-air CO</w:t>
      </w:r>
      <w:r w:rsidRPr="002C5763">
        <w:rPr>
          <w:rFonts w:ascii="Arial" w:cs="Arial" w:hAnsi="Arial"/>
          <w:sz w:val="20"/>
          <w:szCs w:val="20"/>
          <w:vertAlign w:val="subscript"/>
        </w:rPr>
        <w:t>2</w:t>
      </w:r>
      <w:r w:rsidRPr="002C5763">
        <w:rPr>
          <w:rFonts w:ascii="Arial" w:cs="Arial" w:hAnsi="Arial"/>
          <w:sz w:val="20"/>
          <w:szCs w:val="20"/>
        </w:rPr>
        <w:t xml:space="preserve"> Enrichment systems have been employed to understand the effect of high CO</w:t>
      </w:r>
      <w:r w:rsidRPr="002C5763">
        <w:rPr>
          <w:rFonts w:ascii="Arial" w:cs="Arial" w:hAnsi="Arial"/>
          <w:sz w:val="20"/>
          <w:szCs w:val="20"/>
          <w:vertAlign w:val="subscript"/>
        </w:rPr>
        <w:t>2</w:t>
      </w:r>
      <w:r w:rsidRPr="002C5763">
        <w:rPr>
          <w:rFonts w:ascii="Arial" w:cs="Arial" w:hAnsi="Arial"/>
          <w:sz w:val="20"/>
          <w:szCs w:val="20"/>
        </w:rPr>
        <w:t xml:space="preserve"> concentration and temperature on crop growth, greenhouse gas emissions, and nutrient cycling (Chakrabarti </w:t>
      </w:r>
      <w:r w:rsidRPr="002C5763">
        <w:rPr>
          <w:rFonts w:ascii="Arial" w:cs="Arial" w:hAnsi="Arial"/>
          <w:i/>
          <w:iCs/>
          <w:sz w:val="20"/>
          <w:szCs w:val="20"/>
        </w:rPr>
        <w:t>et al.,</w:t>
      </w:r>
      <w:r w:rsidRPr="002C5763">
        <w:rPr>
          <w:rFonts w:ascii="Arial" w:cs="Arial" w:hAnsi="Arial"/>
          <w:sz w:val="20"/>
          <w:szCs w:val="20"/>
        </w:rPr>
        <w:t xml:space="preserve"> 2020; Maity </w:t>
      </w:r>
      <w:r w:rsidRPr="002C5763">
        <w:rPr>
          <w:rFonts w:ascii="Arial" w:cs="Arial" w:hAnsi="Arial"/>
          <w:i/>
          <w:iCs/>
          <w:sz w:val="20"/>
          <w:szCs w:val="20"/>
        </w:rPr>
        <w:t>et al.,</w:t>
      </w:r>
      <w:r w:rsidRPr="002C5763">
        <w:rPr>
          <w:rFonts w:ascii="Arial" w:cs="Arial" w:hAnsi="Arial"/>
          <w:sz w:val="20"/>
          <w:szCs w:val="20"/>
        </w:rPr>
        <w:t xml:space="preserve"> 2020). Simulation models, including DNDC, CENTURY, </w:t>
      </w:r>
      <w:proofErr w:type="spellStart"/>
      <w:r w:rsidRPr="002C5763">
        <w:rPr>
          <w:rFonts w:ascii="Arial" w:cs="Arial" w:hAnsi="Arial"/>
          <w:sz w:val="20"/>
          <w:szCs w:val="20"/>
        </w:rPr>
        <w:t>InfoCrop</w:t>
      </w:r>
      <w:proofErr w:type="spellEnd"/>
      <w:r w:rsidRPr="002C5763">
        <w:rPr>
          <w:rFonts w:ascii="Arial" w:cs="Arial" w:hAnsi="Arial"/>
          <w:sz w:val="20"/>
          <w:szCs w:val="20"/>
        </w:rPr>
        <w:t>, and others, are now invaluable in order to model greenhouse gas emissions, the agricultural yield, and guide adaptation activities. These models incorporate the knowledge on crop physiology, weather, management methods, and soil properties to generate correct predictions on optimization of resource utilization and minimization of hazards associated with climate conditions. To address future challenges in agriculture, this introduction brings forth the need to conduct proper research on the interactions between increased CO</w:t>
      </w:r>
      <w:r w:rsidRPr="002C5763">
        <w:rPr>
          <w:rFonts w:ascii="Arial" w:cs="Arial" w:hAnsi="Arial"/>
          <w:sz w:val="20"/>
          <w:szCs w:val="20"/>
          <w:vertAlign w:val="subscript"/>
        </w:rPr>
        <w:t xml:space="preserve">2 </w:t>
      </w:r>
      <w:r w:rsidRPr="002C5763">
        <w:rPr>
          <w:rFonts w:ascii="Arial" w:cs="Arial" w:hAnsi="Arial"/>
          <w:sz w:val="20"/>
          <w:szCs w:val="20"/>
        </w:rPr>
        <w:t>levels, temperature, and rice ecosystems. It also highlights the importance of doing experimental studies alongside valid simulation models.</w:t>
      </w:r>
    </w:p>
    <w:p w14:paraId="798E4B3D" w14:textId="77777777" w:rsidP="00004E5B" w:rsidR="00004E5B" w:rsidRDefault="00004E5B" w:rsidRPr="00414ECE">
      <w:pPr>
        <w:pStyle w:val="Heading3"/>
        <w:spacing w:line="360" w:lineRule="auto"/>
        <w:jc w:val="both"/>
        <w:rPr>
          <w:rFonts w:ascii="Times New Roman" w:cs="Times New Roman" w:hAnsi="Times New Roman"/>
          <w:color w:themeColor="text1" w:val="000000"/>
        </w:rPr>
      </w:pPr>
      <w:r w:rsidRPr="00582A2A">
        <w:rPr>
          <w:rFonts w:ascii="Arial" w:cs="Arial" w:hAnsi="Arial"/>
          <w:b/>
          <w:bCs/>
        </w:rPr>
        <w:t>2</w:t>
      </w:r>
      <w:r>
        <w:rPr>
          <w:rFonts w:ascii="Arial" w:cs="Arial" w:hAnsi="Arial"/>
        </w:rPr>
        <w:t xml:space="preserve">. </w:t>
      </w:r>
      <w:r w:rsidRPr="002C5763">
        <w:rPr>
          <w:rStyle w:val="Strong"/>
          <w:rFonts w:ascii="Arial" w:cs="Arial" w:hAnsi="Arial"/>
          <w:color w:themeColor="text1" w:val="000000"/>
          <w:sz w:val="22"/>
          <w:szCs w:val="22"/>
        </w:rPr>
        <w:t>Impact of Climate Change on Rice</w:t>
      </w:r>
    </w:p>
    <w:p w14:paraId="62E96370" w14:textId="77777777"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Rice (</w:t>
      </w:r>
      <w:r w:rsidRPr="002C5763">
        <w:rPr>
          <w:rFonts w:ascii="Arial" w:cs="Arial" w:hAnsi="Arial"/>
          <w:i/>
          <w:sz w:val="20"/>
          <w:szCs w:val="20"/>
        </w:rPr>
        <w:t>Oryza sativa</w:t>
      </w:r>
      <w:r w:rsidRPr="002C5763">
        <w:rPr>
          <w:rFonts w:ascii="Arial" w:cs="Arial" w:hAnsi="Arial"/>
          <w:sz w:val="20"/>
          <w:szCs w:val="20"/>
        </w:rPr>
        <w:t xml:space="preserve"> L.) is one of the most significant staple crops in the world, and nearly fifty percent of the global population relies on it as a daily nourishment, particularly in most countries in Asia (Maclean </w:t>
      </w:r>
      <w:r w:rsidRPr="002C5763">
        <w:rPr>
          <w:rFonts w:ascii="Arial" w:cs="Arial" w:hAnsi="Arial"/>
          <w:i/>
          <w:iCs/>
          <w:sz w:val="20"/>
          <w:szCs w:val="20"/>
        </w:rPr>
        <w:t>et al.,</w:t>
      </w:r>
      <w:r w:rsidRPr="002C5763">
        <w:rPr>
          <w:rFonts w:ascii="Arial" w:cs="Arial" w:hAnsi="Arial"/>
          <w:sz w:val="20"/>
          <w:szCs w:val="20"/>
        </w:rPr>
        <w:t xml:space="preserve"> 2002; Seck </w:t>
      </w:r>
      <w:r w:rsidRPr="002C5763">
        <w:rPr>
          <w:rFonts w:ascii="Arial" w:cs="Arial" w:hAnsi="Arial"/>
          <w:i/>
          <w:iCs/>
          <w:sz w:val="20"/>
          <w:szCs w:val="20"/>
        </w:rPr>
        <w:t>et al.,</w:t>
      </w:r>
      <w:r w:rsidRPr="002C5763">
        <w:rPr>
          <w:rFonts w:ascii="Arial" w:cs="Arial" w:hAnsi="Arial"/>
          <w:sz w:val="20"/>
          <w:szCs w:val="20"/>
        </w:rPr>
        <w:t xml:space="preserve"> 2012). More than half of the global population obtains 20 percent of their daily caloric intake through rice, which is responsible for approximately 11 percent of arable land worldwide (van </w:t>
      </w:r>
      <w:proofErr w:type="spellStart"/>
      <w:r w:rsidRPr="002C5763">
        <w:rPr>
          <w:rFonts w:ascii="Arial" w:cs="Arial" w:hAnsi="Arial"/>
          <w:sz w:val="20"/>
          <w:szCs w:val="20"/>
        </w:rPr>
        <w:t>Groenigen</w:t>
      </w:r>
      <w:proofErr w:type="spellEnd"/>
      <w:r w:rsidRPr="002C5763">
        <w:rPr>
          <w:rFonts w:ascii="Arial" w:cs="Arial" w:hAnsi="Arial"/>
          <w:sz w:val="20"/>
          <w:szCs w:val="20"/>
        </w:rPr>
        <w:t xml:space="preserve"> et al., 2013; </w:t>
      </w:r>
      <w:proofErr w:type="spellStart"/>
      <w:r w:rsidRPr="002C5763">
        <w:rPr>
          <w:rFonts w:ascii="Arial" w:cs="Arial" w:hAnsi="Arial"/>
          <w:sz w:val="20"/>
          <w:szCs w:val="20"/>
        </w:rPr>
        <w:t>Gutaker</w:t>
      </w:r>
      <w:proofErr w:type="spellEnd"/>
      <w:r w:rsidRPr="002C5763">
        <w:rPr>
          <w:rFonts w:ascii="Arial" w:cs="Arial" w:hAnsi="Arial"/>
          <w:sz w:val="20"/>
          <w:szCs w:val="20"/>
        </w:rPr>
        <w:t xml:space="preserve"> </w:t>
      </w:r>
      <w:r w:rsidRPr="002C5763">
        <w:rPr>
          <w:rFonts w:ascii="Arial" w:cs="Arial" w:hAnsi="Arial"/>
          <w:i/>
          <w:iCs/>
          <w:sz w:val="20"/>
          <w:szCs w:val="20"/>
        </w:rPr>
        <w:t>et al.,</w:t>
      </w:r>
      <w:r w:rsidRPr="002C5763">
        <w:rPr>
          <w:rFonts w:ascii="Arial" w:cs="Arial" w:hAnsi="Arial"/>
          <w:sz w:val="20"/>
          <w:szCs w:val="20"/>
        </w:rPr>
        <w:t xml:space="preserve"> 2020). By 2050, the world population is projected to grow by approximately 30% because of the advances in economic activity and the rise in population (</w:t>
      </w:r>
      <w:proofErr w:type="spellStart"/>
      <w:r w:rsidRPr="002C5763">
        <w:rPr>
          <w:rFonts w:ascii="Arial" w:cs="Arial" w:hAnsi="Arial"/>
          <w:sz w:val="20"/>
          <w:szCs w:val="20"/>
        </w:rPr>
        <w:t>Alexandratos</w:t>
      </w:r>
      <w:proofErr w:type="spellEnd"/>
      <w:r w:rsidRPr="002C5763">
        <w:rPr>
          <w:rFonts w:ascii="Arial" w:cs="Arial" w:hAnsi="Arial"/>
          <w:sz w:val="20"/>
          <w:szCs w:val="20"/>
        </w:rPr>
        <w:t xml:space="preserve"> and </w:t>
      </w:r>
      <w:proofErr w:type="spellStart"/>
      <w:r w:rsidRPr="002C5763">
        <w:rPr>
          <w:rFonts w:ascii="Arial" w:cs="Arial" w:hAnsi="Arial"/>
          <w:sz w:val="20"/>
          <w:szCs w:val="20"/>
        </w:rPr>
        <w:t>Bruinsma</w:t>
      </w:r>
      <w:proofErr w:type="spellEnd"/>
      <w:r w:rsidRPr="002C5763">
        <w:rPr>
          <w:rFonts w:ascii="Arial" w:cs="Arial" w:hAnsi="Arial"/>
          <w:sz w:val="20"/>
          <w:szCs w:val="20"/>
        </w:rPr>
        <w:t xml:space="preserve">, 2012; Chen </w:t>
      </w:r>
      <w:r w:rsidRPr="002C5763">
        <w:rPr>
          <w:rFonts w:ascii="Arial" w:cs="Arial" w:hAnsi="Arial"/>
          <w:i/>
          <w:iCs/>
          <w:sz w:val="20"/>
          <w:szCs w:val="20"/>
        </w:rPr>
        <w:t>et al.,</w:t>
      </w:r>
      <w:r w:rsidRPr="002C5763">
        <w:rPr>
          <w:rFonts w:ascii="Arial" w:cs="Arial" w:hAnsi="Arial"/>
          <w:sz w:val="20"/>
          <w:szCs w:val="20"/>
        </w:rPr>
        <w:t xml:space="preserve"> 2005).</w:t>
      </w:r>
    </w:p>
    <w:p w14:paraId="2E989854" w14:textId="7F22038D"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An example is that, with the increasing demand for food, the production of rice is expected to increase in China by 92 million tons in 2005 to nearly 130 million tons by 2030 (</w:t>
      </w:r>
      <w:proofErr w:type="spellStart"/>
      <w:r w:rsidRPr="002C5763">
        <w:rPr>
          <w:rFonts w:ascii="Arial" w:cs="Arial" w:hAnsi="Arial"/>
          <w:sz w:val="20"/>
          <w:szCs w:val="20"/>
        </w:rPr>
        <w:t>Gujja</w:t>
      </w:r>
      <w:proofErr w:type="spellEnd"/>
      <w:r w:rsidRPr="002C5763">
        <w:rPr>
          <w:rFonts w:ascii="Arial" w:cs="Arial" w:hAnsi="Arial"/>
          <w:sz w:val="20"/>
          <w:szCs w:val="20"/>
        </w:rPr>
        <w:t xml:space="preserve"> and </w:t>
      </w:r>
      <w:proofErr w:type="spellStart"/>
      <w:r w:rsidRPr="002C5763">
        <w:rPr>
          <w:rFonts w:ascii="Arial" w:cs="Arial" w:hAnsi="Arial"/>
          <w:sz w:val="20"/>
          <w:szCs w:val="20"/>
        </w:rPr>
        <w:t>Thiyagarajan</w:t>
      </w:r>
      <w:proofErr w:type="spellEnd"/>
      <w:r w:rsidRPr="002C5763">
        <w:rPr>
          <w:rFonts w:ascii="Arial" w:cs="Arial" w:hAnsi="Arial"/>
          <w:sz w:val="20"/>
          <w:szCs w:val="20"/>
        </w:rPr>
        <w:t xml:space="preserve">, 2009). The fact that rice production should also increase at a faster rate than the population rate is vital because, even with the increasing demand, the area of land under cultivation is decreasing, especially in Asia (Bruinsma, 2009). Several studies have </w:t>
      </w:r>
      <w:r w:rsidRPr="002C5763">
        <w:rPr>
          <w:rFonts w:ascii="Arial" w:cs="Arial" w:hAnsi="Arial"/>
          <w:sz w:val="20"/>
          <w:szCs w:val="20"/>
        </w:rPr>
        <w:lastRenderedPageBreak/>
        <w:t>investigated the impacts of high temperatures and CO</w:t>
      </w:r>
      <w:r w:rsidRPr="002C5763">
        <w:rPr>
          <w:rFonts w:ascii="Arial" w:cs="Arial" w:hAnsi="Arial"/>
          <w:sz w:val="20"/>
          <w:szCs w:val="20"/>
          <w:vertAlign w:val="subscript"/>
        </w:rPr>
        <w:t xml:space="preserve">2 </w:t>
      </w:r>
      <w:r w:rsidRPr="002C5763">
        <w:rPr>
          <w:rFonts w:ascii="Arial" w:cs="Arial" w:hAnsi="Arial"/>
          <w:sz w:val="20"/>
          <w:szCs w:val="20"/>
        </w:rPr>
        <w:t xml:space="preserve">levels in the atmosphere on rice production in both field and controlled conditions (Ainsworth and Long, 2005; Rogers </w:t>
      </w:r>
      <w:r w:rsidRPr="002C5763">
        <w:rPr>
          <w:rFonts w:ascii="Arial" w:cs="Arial" w:hAnsi="Arial"/>
          <w:i/>
          <w:iCs/>
          <w:sz w:val="20"/>
          <w:szCs w:val="20"/>
        </w:rPr>
        <w:t>et al.,</w:t>
      </w:r>
      <w:r w:rsidRPr="002C5763">
        <w:rPr>
          <w:rFonts w:ascii="Arial" w:cs="Arial" w:hAnsi="Arial"/>
          <w:sz w:val="20"/>
          <w:szCs w:val="20"/>
        </w:rPr>
        <w:t xml:space="preserve"> 2006; Dey </w:t>
      </w:r>
      <w:r w:rsidRPr="002C5763">
        <w:rPr>
          <w:rFonts w:ascii="Arial" w:cs="Arial" w:hAnsi="Arial"/>
          <w:i/>
          <w:iCs/>
          <w:sz w:val="20"/>
          <w:szCs w:val="20"/>
        </w:rPr>
        <w:t>et al.,</w:t>
      </w:r>
      <w:r w:rsidRPr="002C5763">
        <w:rPr>
          <w:rFonts w:ascii="Arial" w:cs="Arial" w:hAnsi="Arial"/>
          <w:sz w:val="20"/>
          <w:szCs w:val="20"/>
        </w:rPr>
        <w:t xml:space="preserve"> 2016; Maity </w:t>
      </w:r>
      <w:r w:rsidRPr="002C5763">
        <w:rPr>
          <w:rFonts w:ascii="Arial" w:cs="Arial" w:hAnsi="Arial"/>
          <w:i/>
          <w:iCs/>
          <w:sz w:val="20"/>
          <w:szCs w:val="20"/>
        </w:rPr>
        <w:t>et al</w:t>
      </w:r>
      <w:r w:rsidRPr="002C5763">
        <w:rPr>
          <w:rFonts w:ascii="Arial" w:cs="Arial" w:hAnsi="Arial"/>
          <w:sz w:val="20"/>
          <w:szCs w:val="20"/>
        </w:rPr>
        <w:t>., 2019a).</w:t>
      </w:r>
    </w:p>
    <w:p w14:paraId="2F18A3C9" w14:textId="77777777"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As it has been shown, increased CO</w:t>
      </w:r>
      <w:r w:rsidRPr="002C5763">
        <w:rPr>
          <w:rFonts w:ascii="Arial" w:cs="Arial" w:hAnsi="Arial"/>
          <w:sz w:val="20"/>
          <w:szCs w:val="20"/>
          <w:vertAlign w:val="subscript"/>
        </w:rPr>
        <w:t>2</w:t>
      </w:r>
      <w:r w:rsidRPr="002C5763">
        <w:rPr>
          <w:rFonts w:ascii="Arial" w:cs="Arial" w:hAnsi="Arial"/>
          <w:sz w:val="20"/>
          <w:szCs w:val="20"/>
        </w:rPr>
        <w:t xml:space="preserve"> leads to an increase in the shoot-root ratios, tiller growth, photosynthesis, and dry matter buildup, which further translates into increased grain production of rice (</w:t>
      </w:r>
      <w:proofErr w:type="spellStart"/>
      <w:r w:rsidRPr="002C5763">
        <w:rPr>
          <w:rFonts w:ascii="Arial" w:cs="Arial" w:hAnsi="Arial"/>
          <w:sz w:val="20"/>
          <w:szCs w:val="20"/>
        </w:rPr>
        <w:t>Seneweera</w:t>
      </w:r>
      <w:proofErr w:type="spellEnd"/>
      <w:r w:rsidRPr="002C5763">
        <w:rPr>
          <w:rFonts w:ascii="Arial" w:cs="Arial" w:hAnsi="Arial"/>
          <w:sz w:val="20"/>
          <w:szCs w:val="20"/>
        </w:rPr>
        <w:t xml:space="preserve"> and Conroy, 2005; Kim </w:t>
      </w:r>
      <w:r w:rsidRPr="002C5763">
        <w:rPr>
          <w:rFonts w:ascii="Arial" w:cs="Arial" w:hAnsi="Arial"/>
          <w:i/>
          <w:iCs/>
          <w:sz w:val="20"/>
          <w:szCs w:val="20"/>
        </w:rPr>
        <w:t>et al.,</w:t>
      </w:r>
      <w:r w:rsidRPr="002C5763">
        <w:rPr>
          <w:rFonts w:ascii="Arial" w:cs="Arial" w:hAnsi="Arial"/>
          <w:sz w:val="20"/>
          <w:szCs w:val="20"/>
        </w:rPr>
        <w:t xml:space="preserve"> 2001, 2003; Wang </w:t>
      </w:r>
      <w:r w:rsidRPr="002C5763">
        <w:rPr>
          <w:rFonts w:ascii="Arial" w:cs="Arial" w:hAnsi="Arial"/>
          <w:i/>
          <w:iCs/>
          <w:sz w:val="20"/>
          <w:szCs w:val="20"/>
        </w:rPr>
        <w:t>et al.,</w:t>
      </w:r>
      <w:r w:rsidRPr="002C5763">
        <w:rPr>
          <w:rFonts w:ascii="Arial" w:cs="Arial" w:hAnsi="Arial"/>
          <w:sz w:val="20"/>
          <w:szCs w:val="20"/>
        </w:rPr>
        <w:t xml:space="preserve"> 2015). Due to increased CO</w:t>
      </w:r>
      <w:r w:rsidRPr="002C5763">
        <w:rPr>
          <w:rFonts w:ascii="Arial" w:cs="Arial" w:hAnsi="Arial"/>
          <w:sz w:val="20"/>
          <w:szCs w:val="20"/>
          <w:vertAlign w:val="subscript"/>
        </w:rPr>
        <w:t xml:space="preserve">2 </w:t>
      </w:r>
      <w:proofErr w:type="spellStart"/>
      <w:r w:rsidRPr="002C5763">
        <w:rPr>
          <w:rFonts w:ascii="Arial" w:cs="Arial" w:hAnsi="Arial"/>
          <w:sz w:val="20"/>
          <w:szCs w:val="20"/>
        </w:rPr>
        <w:t>favoring</w:t>
      </w:r>
      <w:proofErr w:type="spellEnd"/>
      <w:r w:rsidRPr="002C5763">
        <w:rPr>
          <w:rFonts w:ascii="Arial" w:cs="Arial" w:hAnsi="Arial"/>
          <w:sz w:val="20"/>
          <w:szCs w:val="20"/>
        </w:rPr>
        <w:t xml:space="preserve"> leaf photosynthesis, enhancing water-use efficiency, and biomass accumulation, this so-called fertilization effect is particularly beneficial to C</w:t>
      </w:r>
      <w:r w:rsidRPr="002C5763">
        <w:rPr>
          <w:rFonts w:ascii="Arial" w:cs="Arial" w:hAnsi="Arial"/>
          <w:sz w:val="20"/>
          <w:szCs w:val="20"/>
          <w:vertAlign w:val="subscript"/>
        </w:rPr>
        <w:t>3</w:t>
      </w:r>
      <w:r w:rsidRPr="002C5763">
        <w:rPr>
          <w:rFonts w:ascii="Arial" w:cs="Arial" w:hAnsi="Arial"/>
          <w:sz w:val="20"/>
          <w:szCs w:val="20"/>
        </w:rPr>
        <w:t xml:space="preserve"> crops such as rice (Ainsworth and Long, 2004; Chen </w:t>
      </w:r>
      <w:r w:rsidRPr="002C5763">
        <w:rPr>
          <w:rFonts w:ascii="Arial" w:cs="Arial" w:hAnsi="Arial"/>
          <w:i/>
          <w:iCs/>
          <w:sz w:val="20"/>
          <w:szCs w:val="20"/>
        </w:rPr>
        <w:t>et al.,</w:t>
      </w:r>
      <w:r w:rsidRPr="002C5763">
        <w:rPr>
          <w:rFonts w:ascii="Arial" w:cs="Arial" w:hAnsi="Arial"/>
          <w:sz w:val="20"/>
          <w:szCs w:val="20"/>
        </w:rPr>
        <w:t xml:space="preserve"> 2014; Moore </w:t>
      </w:r>
      <w:r w:rsidRPr="002C5763">
        <w:rPr>
          <w:rFonts w:ascii="Arial" w:cs="Arial" w:hAnsi="Arial"/>
          <w:i/>
          <w:iCs/>
          <w:sz w:val="20"/>
          <w:szCs w:val="20"/>
        </w:rPr>
        <w:t>et al.,</w:t>
      </w:r>
      <w:r w:rsidRPr="002C5763">
        <w:rPr>
          <w:rFonts w:ascii="Arial" w:cs="Arial" w:hAnsi="Arial"/>
          <w:sz w:val="20"/>
          <w:szCs w:val="20"/>
        </w:rPr>
        <w:t xml:space="preserve"> 1999; Vu, 2005). Nevertheless, this has a negative influence on rice growth and production as higher temperatures exceeding the threshold tolerance negatively influence rice production. High temperatures have been linked to reduced panicle counts, reduced number of </w:t>
      </w:r>
      <w:proofErr w:type="spellStart"/>
      <w:r w:rsidRPr="002C5763">
        <w:rPr>
          <w:rFonts w:ascii="Arial" w:cs="Arial" w:hAnsi="Arial"/>
          <w:sz w:val="20"/>
          <w:szCs w:val="20"/>
        </w:rPr>
        <w:t>spikelets</w:t>
      </w:r>
      <w:proofErr w:type="spellEnd"/>
      <w:r w:rsidRPr="002C5763">
        <w:rPr>
          <w:rFonts w:ascii="Arial" w:cs="Arial" w:hAnsi="Arial"/>
          <w:sz w:val="20"/>
          <w:szCs w:val="20"/>
        </w:rPr>
        <w:t xml:space="preserve"> per panicle, and increased spikelet sterility (Wahid </w:t>
      </w:r>
      <w:r w:rsidRPr="002C5763">
        <w:rPr>
          <w:rFonts w:ascii="Arial" w:cs="Arial" w:hAnsi="Arial"/>
          <w:i/>
          <w:iCs/>
          <w:sz w:val="20"/>
          <w:szCs w:val="20"/>
        </w:rPr>
        <w:t>et al.,</w:t>
      </w:r>
      <w:r w:rsidRPr="002C5763">
        <w:rPr>
          <w:rFonts w:ascii="Arial" w:cs="Arial" w:hAnsi="Arial"/>
          <w:sz w:val="20"/>
          <w:szCs w:val="20"/>
        </w:rPr>
        <w:t xml:space="preserve"> 2007; Jagadish </w:t>
      </w:r>
      <w:r w:rsidRPr="002C5763">
        <w:rPr>
          <w:rFonts w:ascii="Arial" w:cs="Arial" w:hAnsi="Arial"/>
          <w:i/>
          <w:iCs/>
          <w:sz w:val="20"/>
          <w:szCs w:val="20"/>
        </w:rPr>
        <w:t>et al.,</w:t>
      </w:r>
      <w:r w:rsidRPr="002C5763">
        <w:rPr>
          <w:rFonts w:ascii="Arial" w:cs="Arial" w:hAnsi="Arial"/>
          <w:sz w:val="20"/>
          <w:szCs w:val="20"/>
        </w:rPr>
        <w:t xml:space="preserve"> 2007; Krishnan </w:t>
      </w:r>
      <w:r w:rsidRPr="002C5763">
        <w:rPr>
          <w:rFonts w:ascii="Arial" w:cs="Arial" w:hAnsi="Arial"/>
          <w:i/>
          <w:iCs/>
          <w:sz w:val="20"/>
          <w:szCs w:val="20"/>
        </w:rPr>
        <w:t>et al.,</w:t>
      </w:r>
      <w:r w:rsidRPr="002C5763">
        <w:rPr>
          <w:rFonts w:ascii="Arial" w:cs="Arial" w:hAnsi="Arial"/>
          <w:sz w:val="20"/>
          <w:szCs w:val="20"/>
        </w:rPr>
        <w:t xml:space="preserve"> 2011; Wang </w:t>
      </w:r>
      <w:r w:rsidRPr="002C5763">
        <w:rPr>
          <w:rFonts w:ascii="Arial" w:cs="Arial" w:hAnsi="Arial"/>
          <w:i/>
          <w:iCs/>
          <w:sz w:val="20"/>
          <w:szCs w:val="20"/>
        </w:rPr>
        <w:t>et al.,</w:t>
      </w:r>
      <w:r w:rsidRPr="002C5763">
        <w:rPr>
          <w:rFonts w:ascii="Arial" w:cs="Arial" w:hAnsi="Arial"/>
          <w:sz w:val="20"/>
          <w:szCs w:val="20"/>
        </w:rPr>
        <w:t xml:space="preserve"> 2018) (Figure 1).</w:t>
      </w:r>
    </w:p>
    <w:p w14:paraId="5F50249E" w14:textId="77777777" w:rsidP="00004E5B" w:rsidR="00004E5B" w:rsidRDefault="00004E5B" w:rsidRPr="002C5763">
      <w:pPr>
        <w:pStyle w:val="NormalWeb"/>
        <w:jc w:val="center"/>
        <w:rPr>
          <w:rFonts w:ascii="Arial" w:cs="Arial" w:hAnsi="Arial"/>
          <w:sz w:val="20"/>
          <w:szCs w:val="20"/>
        </w:rPr>
      </w:pPr>
      <w:r w:rsidRPr="002C5763">
        <w:rPr>
          <w:rFonts w:ascii="Arial" w:cs="Arial" w:hAnsi="Arial"/>
          <w:noProof/>
          <w:sz w:val="20"/>
          <w:szCs w:val="20"/>
        </w:rPr>
        <w:drawing>
          <wp:inline distB="0" distL="0" distR="0" distT="0" wp14:anchorId="5567A13F" wp14:editId="22498520">
            <wp:extent cx="4163887" cy="2780444"/>
            <wp:effectExtent b="0" l="0" r="0" t="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4219901" cy="2817848"/>
                    </a:xfrm>
                    <a:prstGeom prst="rect">
                      <a:avLst/>
                    </a:prstGeom>
                    <a:noFill/>
                    <a:ln>
                      <a:noFill/>
                    </a:ln>
                  </pic:spPr>
                </pic:pic>
              </a:graphicData>
            </a:graphic>
          </wp:inline>
        </w:drawing>
      </w:r>
    </w:p>
    <w:p w14:paraId="2099AFFF" w14:textId="77777777" w:rsidP="00004E5B" w:rsidR="00004E5B" w:rsidRDefault="00004E5B" w:rsidRPr="002C5763">
      <w:pPr>
        <w:pStyle w:val="NormalWeb"/>
        <w:jc w:val="center"/>
        <w:rPr>
          <w:rFonts w:ascii="Arial" w:cs="Arial" w:hAnsi="Arial"/>
          <w:sz w:val="20"/>
          <w:szCs w:val="20"/>
        </w:rPr>
      </w:pPr>
      <w:r w:rsidRPr="002C5763">
        <w:rPr>
          <w:rFonts w:ascii="Arial" w:cs="Arial" w:hAnsi="Arial"/>
          <w:b/>
          <w:bCs/>
          <w:sz w:val="20"/>
          <w:szCs w:val="20"/>
        </w:rPr>
        <w:t>Figure 1.</w:t>
      </w:r>
      <w:r w:rsidRPr="002C5763">
        <w:rPr>
          <w:rFonts w:ascii="Arial" w:cs="Arial" w:hAnsi="Arial"/>
          <w:sz w:val="20"/>
          <w:szCs w:val="20"/>
        </w:rPr>
        <w:t xml:space="preserve"> Impact of Climate Change on Rice</w:t>
      </w:r>
    </w:p>
    <w:p w14:paraId="43018102" w14:textId="77777777"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 xml:space="preserve">Increased temperatures also inhibit photosynthetic activities by reducing the activity of the Rubisco enzyme and increasing the rate of respiration (Ainsworth and Rogers, 2007; Cai </w:t>
      </w:r>
      <w:r w:rsidRPr="002C5763">
        <w:rPr>
          <w:rFonts w:ascii="Arial" w:cs="Arial" w:hAnsi="Arial"/>
          <w:i/>
          <w:iCs/>
          <w:sz w:val="20"/>
          <w:szCs w:val="20"/>
        </w:rPr>
        <w:t>et al.,</w:t>
      </w:r>
      <w:r w:rsidRPr="002C5763">
        <w:rPr>
          <w:rFonts w:ascii="Arial" w:cs="Arial" w:hAnsi="Arial"/>
          <w:sz w:val="20"/>
          <w:szCs w:val="20"/>
        </w:rPr>
        <w:t xml:space="preserve"> 2018). Based on the findings of the experiment, rice yields can be increased by 13-30 percent under different growth conditions and depending on the level of CO</w:t>
      </w:r>
      <w:r w:rsidRPr="002C5763">
        <w:rPr>
          <w:rFonts w:ascii="Arial" w:cs="Arial" w:hAnsi="Arial"/>
          <w:sz w:val="20"/>
          <w:szCs w:val="20"/>
          <w:vertAlign w:val="subscript"/>
        </w:rPr>
        <w:t>2</w:t>
      </w:r>
      <w:r w:rsidRPr="002C5763">
        <w:rPr>
          <w:rFonts w:ascii="Arial" w:cs="Arial" w:hAnsi="Arial"/>
          <w:sz w:val="20"/>
          <w:szCs w:val="20"/>
        </w:rPr>
        <w:t xml:space="preserve"> (Yang </w:t>
      </w:r>
      <w:r w:rsidRPr="002C5763">
        <w:rPr>
          <w:rFonts w:ascii="Arial" w:cs="Arial" w:hAnsi="Arial"/>
          <w:i/>
          <w:iCs/>
          <w:sz w:val="20"/>
          <w:szCs w:val="20"/>
        </w:rPr>
        <w:t>et al.,</w:t>
      </w:r>
      <w:r w:rsidRPr="002C5763">
        <w:rPr>
          <w:rFonts w:ascii="Arial" w:cs="Arial" w:hAnsi="Arial"/>
          <w:sz w:val="20"/>
          <w:szCs w:val="20"/>
        </w:rPr>
        <w:t xml:space="preserve"> 2009; Zhang </w:t>
      </w:r>
      <w:r w:rsidRPr="002C5763">
        <w:rPr>
          <w:rFonts w:ascii="Arial" w:cs="Arial" w:hAnsi="Arial"/>
          <w:i/>
          <w:iCs/>
          <w:sz w:val="20"/>
          <w:szCs w:val="20"/>
        </w:rPr>
        <w:t>et al.,</w:t>
      </w:r>
      <w:r w:rsidRPr="002C5763">
        <w:rPr>
          <w:rFonts w:ascii="Arial" w:cs="Arial" w:hAnsi="Arial"/>
          <w:sz w:val="20"/>
          <w:szCs w:val="20"/>
        </w:rPr>
        <w:t xml:space="preserve"> 2012; Baker, 2004). As an illustration, Kim et al. (2003) and Yang et al. (2006) found that high CO</w:t>
      </w:r>
      <w:r w:rsidRPr="002C5763">
        <w:rPr>
          <w:rFonts w:ascii="Arial" w:cs="Arial" w:hAnsi="Arial"/>
          <w:sz w:val="20"/>
          <w:szCs w:val="20"/>
          <w:vertAlign w:val="subscript"/>
        </w:rPr>
        <w:t xml:space="preserve">2 </w:t>
      </w:r>
      <w:r w:rsidRPr="002C5763">
        <w:rPr>
          <w:rFonts w:ascii="Arial" w:cs="Arial" w:hAnsi="Arial"/>
          <w:sz w:val="20"/>
          <w:szCs w:val="20"/>
        </w:rPr>
        <w:t xml:space="preserve">yield increased up to 17% compared to the ambient environment, and Maity </w:t>
      </w:r>
      <w:r w:rsidRPr="002C5763">
        <w:rPr>
          <w:rFonts w:ascii="Arial" w:cs="Arial" w:hAnsi="Arial"/>
          <w:i/>
          <w:iCs/>
          <w:sz w:val="20"/>
          <w:szCs w:val="20"/>
        </w:rPr>
        <w:t>et al.</w:t>
      </w:r>
      <w:r w:rsidRPr="002C5763">
        <w:rPr>
          <w:rFonts w:ascii="Arial" w:cs="Arial" w:hAnsi="Arial"/>
          <w:sz w:val="20"/>
          <w:szCs w:val="20"/>
        </w:rPr>
        <w:t xml:space="preserve"> (2020) measured 24.5% of yield increase. On the same note, it was revealed that the rise in CO</w:t>
      </w:r>
      <w:r w:rsidRPr="002C5763">
        <w:rPr>
          <w:rFonts w:ascii="Arial" w:cs="Arial" w:hAnsi="Arial"/>
          <w:sz w:val="20"/>
          <w:szCs w:val="20"/>
          <w:vertAlign w:val="subscript"/>
        </w:rPr>
        <w:t xml:space="preserve">2 </w:t>
      </w:r>
      <w:r w:rsidRPr="002C5763">
        <w:rPr>
          <w:rFonts w:ascii="Arial" w:cs="Arial" w:hAnsi="Arial"/>
          <w:sz w:val="20"/>
          <w:szCs w:val="20"/>
        </w:rPr>
        <w:t>enhanced quantum yield and radiation utilization efficiency (De Costa et al., 2006).</w:t>
      </w:r>
    </w:p>
    <w:p w14:paraId="2BBF0C7C" w14:textId="2D21E74A" w:rsidP="00004E5B" w:rsidR="00004E5B" w:rsidRDefault="00004E5B" w:rsidRPr="002C5763">
      <w:pPr>
        <w:pStyle w:val="NormalWeb"/>
        <w:jc w:val="both"/>
        <w:rPr>
          <w:rFonts w:ascii="Arial" w:cs="Arial" w:hAnsi="Arial"/>
          <w:sz w:val="20"/>
          <w:szCs w:val="20"/>
        </w:rPr>
      </w:pPr>
      <w:r w:rsidRPr="002C5763">
        <w:rPr>
          <w:rFonts w:ascii="Arial" w:cs="Arial" w:hAnsi="Arial"/>
          <w:sz w:val="20"/>
          <w:szCs w:val="20"/>
        </w:rPr>
        <w:t xml:space="preserve">Nonetheless, the adverse impact of elevated temperatures on reproductive organs such as </w:t>
      </w:r>
      <w:proofErr w:type="spellStart"/>
      <w:r w:rsidRPr="002C5763">
        <w:rPr>
          <w:rFonts w:ascii="Arial" w:cs="Arial" w:hAnsi="Arial"/>
          <w:sz w:val="20"/>
          <w:szCs w:val="20"/>
        </w:rPr>
        <w:t>spikelets</w:t>
      </w:r>
      <w:proofErr w:type="spellEnd"/>
      <w:r w:rsidRPr="002C5763">
        <w:rPr>
          <w:rFonts w:ascii="Arial" w:cs="Arial" w:hAnsi="Arial"/>
          <w:sz w:val="20"/>
          <w:szCs w:val="20"/>
        </w:rPr>
        <w:t xml:space="preserve"> and grain filling often balances the beneficial impact of CO</w:t>
      </w:r>
      <w:r w:rsidRPr="002C5763">
        <w:rPr>
          <w:rFonts w:ascii="Arial" w:cs="Arial" w:hAnsi="Arial"/>
          <w:sz w:val="20"/>
          <w:szCs w:val="20"/>
          <w:vertAlign w:val="subscript"/>
        </w:rPr>
        <w:t>2</w:t>
      </w:r>
      <w:r w:rsidRPr="002C5763">
        <w:rPr>
          <w:rFonts w:ascii="Arial" w:cs="Arial" w:hAnsi="Arial"/>
          <w:sz w:val="20"/>
          <w:szCs w:val="20"/>
        </w:rPr>
        <w:t xml:space="preserve"> (Peng </w:t>
      </w:r>
      <w:r w:rsidRPr="002C5763">
        <w:rPr>
          <w:rFonts w:ascii="Arial" w:cs="Arial" w:hAnsi="Arial"/>
          <w:i/>
          <w:iCs/>
          <w:sz w:val="20"/>
          <w:szCs w:val="20"/>
        </w:rPr>
        <w:t>et al.,</w:t>
      </w:r>
      <w:r w:rsidRPr="002C5763">
        <w:rPr>
          <w:rFonts w:ascii="Arial" w:cs="Arial" w:hAnsi="Arial"/>
          <w:sz w:val="20"/>
          <w:szCs w:val="20"/>
        </w:rPr>
        <w:t xml:space="preserve"> 2004; Fitzgerald and Resurreccion, 2009). The blooming and grain filling stages are especially harmful when it is hot. The elevated temperature, such as above 33 °C, reduces pollen viability </w:t>
      </w:r>
      <w:r w:rsidRPr="002C5763">
        <w:rPr>
          <w:rFonts w:ascii="Arial" w:cs="Arial" w:hAnsi="Arial"/>
          <w:sz w:val="20"/>
          <w:szCs w:val="20"/>
        </w:rPr>
        <w:lastRenderedPageBreak/>
        <w:t>and augments chalky grains, which reduces grain quality and yield (</w:t>
      </w:r>
      <w:proofErr w:type="spellStart"/>
      <w:r w:rsidRPr="002C5763">
        <w:rPr>
          <w:rFonts w:ascii="Arial" w:cs="Arial" w:hAnsi="Arial"/>
          <w:sz w:val="20"/>
          <w:szCs w:val="20"/>
        </w:rPr>
        <w:t>Hurkman</w:t>
      </w:r>
      <w:proofErr w:type="spellEnd"/>
      <w:r w:rsidRPr="002C5763">
        <w:rPr>
          <w:rFonts w:ascii="Arial" w:cs="Arial" w:hAnsi="Arial"/>
          <w:sz w:val="20"/>
          <w:szCs w:val="20"/>
        </w:rPr>
        <w:t xml:space="preserve"> </w:t>
      </w:r>
      <w:r w:rsidRPr="002C5763">
        <w:rPr>
          <w:rFonts w:ascii="Arial" w:cs="Arial" w:hAnsi="Arial"/>
          <w:i/>
          <w:iCs/>
          <w:sz w:val="20"/>
          <w:szCs w:val="20"/>
        </w:rPr>
        <w:t>et al.,</w:t>
      </w:r>
      <w:r w:rsidRPr="002C5763">
        <w:rPr>
          <w:rFonts w:ascii="Arial" w:cs="Arial" w:hAnsi="Arial"/>
          <w:sz w:val="20"/>
          <w:szCs w:val="20"/>
        </w:rPr>
        <w:t xml:space="preserve"> 2009; Morita </w:t>
      </w:r>
      <w:r w:rsidRPr="002C5763">
        <w:rPr>
          <w:rFonts w:ascii="Arial" w:cs="Arial" w:hAnsi="Arial"/>
          <w:i/>
          <w:iCs/>
          <w:sz w:val="20"/>
          <w:szCs w:val="20"/>
        </w:rPr>
        <w:t>et al.,</w:t>
      </w:r>
      <w:r w:rsidRPr="002C5763">
        <w:rPr>
          <w:rFonts w:ascii="Arial" w:cs="Arial" w:hAnsi="Arial"/>
          <w:sz w:val="20"/>
          <w:szCs w:val="20"/>
        </w:rPr>
        <w:t xml:space="preserve"> 2004). A </w:t>
      </w:r>
      <w:r w:rsidR="001F5BA7">
        <w:rPr>
          <w:rFonts w:ascii="Arial" w:cs="Arial" w:hAnsi="Arial"/>
          <w:sz w:val="20"/>
          <w:szCs w:val="20"/>
        </w:rPr>
        <w:t>1 °C</w:t>
      </w:r>
      <w:r w:rsidRPr="002C5763">
        <w:rPr>
          <w:rFonts w:ascii="Arial" w:cs="Arial" w:hAnsi="Arial"/>
          <w:sz w:val="20"/>
          <w:szCs w:val="20"/>
        </w:rPr>
        <w:t xml:space="preserve"> rise in temperature in the range of 30 °C to </w:t>
      </w:r>
      <w:r w:rsidR="001F5BA7">
        <w:rPr>
          <w:rFonts w:ascii="Arial" w:cs="Arial" w:hAnsi="Arial"/>
          <w:sz w:val="20"/>
          <w:szCs w:val="20"/>
        </w:rPr>
        <w:t>40 °C</w:t>
      </w:r>
      <w:r w:rsidRPr="002C5763">
        <w:rPr>
          <w:rFonts w:ascii="Arial" w:cs="Arial" w:hAnsi="Arial"/>
          <w:sz w:val="20"/>
          <w:szCs w:val="20"/>
        </w:rPr>
        <w:t xml:space="preserve"> during blooming can lead to a decrease in yield by 10 percent, as shown in an IRRI study of 2004. In India, 1 °C, 2 °C, and 3 °C temperature increases were demonstrated to lead to a loss in the yields by 5.4, 7.4, and 25.1 percent in Punjab (Aggarwal </w:t>
      </w:r>
      <w:r w:rsidRPr="002C5763">
        <w:rPr>
          <w:rFonts w:ascii="Arial" w:cs="Arial" w:hAnsi="Arial"/>
          <w:i/>
          <w:iCs/>
          <w:sz w:val="20"/>
          <w:szCs w:val="20"/>
        </w:rPr>
        <w:t>et al</w:t>
      </w:r>
      <w:r w:rsidRPr="002C5763">
        <w:rPr>
          <w:rFonts w:ascii="Arial" w:cs="Arial" w:hAnsi="Arial"/>
          <w:sz w:val="20"/>
          <w:szCs w:val="20"/>
        </w:rPr>
        <w:t>., 2009).</w:t>
      </w:r>
    </w:p>
    <w:p w14:paraId="5B4EB3F5" w14:textId="77777777" w:rsidP="00004E5B" w:rsidR="00004E5B" w:rsidRDefault="00004E5B" w:rsidRPr="002C5763">
      <w:pPr>
        <w:pStyle w:val="NormalWeb"/>
        <w:jc w:val="both"/>
        <w:rPr>
          <w:rFonts w:ascii="Arial" w:cs="Arial" w:hAnsi="Arial"/>
          <w:color w:themeColor="text1" w:val="000000"/>
          <w:sz w:val="20"/>
          <w:szCs w:val="20"/>
        </w:rPr>
      </w:pPr>
      <w:r w:rsidRPr="002C5763">
        <w:rPr>
          <w:rFonts w:ascii="Arial" w:cs="Arial" w:hAnsi="Arial"/>
          <w:sz w:val="20"/>
          <w:szCs w:val="20"/>
        </w:rPr>
        <w:t>The meta-analyses claim that greater CO</w:t>
      </w:r>
      <w:r w:rsidRPr="002C5763">
        <w:rPr>
          <w:rFonts w:ascii="Arial" w:cs="Arial" w:hAnsi="Arial"/>
          <w:sz w:val="20"/>
          <w:szCs w:val="20"/>
          <w:vertAlign w:val="subscript"/>
        </w:rPr>
        <w:t xml:space="preserve">2 </w:t>
      </w:r>
      <w:r w:rsidRPr="002C5763">
        <w:rPr>
          <w:rFonts w:ascii="Arial" w:cs="Arial" w:hAnsi="Arial"/>
          <w:sz w:val="20"/>
          <w:szCs w:val="20"/>
        </w:rPr>
        <w:t xml:space="preserve">may lead to increased grain production by as much as 23% since it enhances the mass of single grains, tillering, and the number of grains (Ainsworth, 2008). Nevertheless, the overall effect of warming is the decline in yields, and researchers forecast a decrease of 4.7% to 25% depending on how intense the change in climate is (Wang </w:t>
      </w:r>
      <w:r w:rsidRPr="002C5763">
        <w:rPr>
          <w:rFonts w:ascii="Arial" w:cs="Arial" w:hAnsi="Arial"/>
          <w:i/>
          <w:iCs/>
          <w:sz w:val="20"/>
          <w:szCs w:val="20"/>
        </w:rPr>
        <w:t>et al.,</w:t>
      </w:r>
      <w:r w:rsidRPr="002C5763">
        <w:rPr>
          <w:rFonts w:ascii="Arial" w:cs="Arial" w:hAnsi="Arial"/>
          <w:sz w:val="20"/>
          <w:szCs w:val="20"/>
        </w:rPr>
        <w:t xml:space="preserve"> 2016; Hasegawa </w:t>
      </w:r>
      <w:r w:rsidRPr="002C5763">
        <w:rPr>
          <w:rFonts w:ascii="Arial" w:cs="Arial" w:hAnsi="Arial"/>
          <w:i/>
          <w:iCs/>
          <w:sz w:val="20"/>
          <w:szCs w:val="20"/>
        </w:rPr>
        <w:t>et al.,</w:t>
      </w:r>
      <w:r w:rsidRPr="002C5763">
        <w:rPr>
          <w:rFonts w:ascii="Arial" w:cs="Arial" w:hAnsi="Arial"/>
          <w:sz w:val="20"/>
          <w:szCs w:val="20"/>
        </w:rPr>
        <w:t xml:space="preserve"> 2013). The fertilization response of increased CO</w:t>
      </w:r>
      <w:r w:rsidRPr="002C5763">
        <w:rPr>
          <w:rFonts w:ascii="Arial" w:cs="Arial" w:hAnsi="Arial"/>
          <w:sz w:val="20"/>
          <w:szCs w:val="20"/>
          <w:vertAlign w:val="subscript"/>
        </w:rPr>
        <w:t xml:space="preserve">2 </w:t>
      </w:r>
      <w:r w:rsidRPr="002C5763">
        <w:rPr>
          <w:rFonts w:ascii="Arial" w:cs="Arial" w:hAnsi="Arial"/>
          <w:sz w:val="20"/>
          <w:szCs w:val="20"/>
        </w:rPr>
        <w:t xml:space="preserve">is the possible adjustment strategy to the cultivation of rice in climate change conditions, which is expected to counteract the adverse effects of increased temperatures partially (Fischer, 2009; Muller </w:t>
      </w:r>
      <w:r w:rsidRPr="002C5763">
        <w:rPr>
          <w:rFonts w:ascii="Arial" w:cs="Arial" w:hAnsi="Arial"/>
          <w:i/>
          <w:iCs/>
          <w:sz w:val="20"/>
          <w:szCs w:val="20"/>
        </w:rPr>
        <w:t>et al.,</w:t>
      </w:r>
      <w:r w:rsidRPr="002C5763">
        <w:rPr>
          <w:rFonts w:ascii="Arial" w:cs="Arial" w:hAnsi="Arial"/>
          <w:sz w:val="20"/>
          <w:szCs w:val="20"/>
        </w:rPr>
        <w:t xml:space="preserve"> 2010; Singh </w:t>
      </w:r>
      <w:r w:rsidRPr="002C5763">
        <w:rPr>
          <w:rFonts w:ascii="Arial" w:cs="Arial" w:hAnsi="Arial"/>
          <w:i/>
          <w:iCs/>
          <w:sz w:val="20"/>
          <w:szCs w:val="20"/>
        </w:rPr>
        <w:t>et al.,</w:t>
      </w:r>
      <w:r w:rsidRPr="002C5763">
        <w:rPr>
          <w:rFonts w:ascii="Arial" w:cs="Arial" w:hAnsi="Arial"/>
          <w:sz w:val="20"/>
          <w:szCs w:val="20"/>
        </w:rPr>
        <w:t xml:space="preserve"> 2013; Maity </w:t>
      </w:r>
      <w:r w:rsidRPr="002C5763">
        <w:rPr>
          <w:rFonts w:ascii="Arial" w:cs="Arial" w:hAnsi="Arial"/>
          <w:i/>
          <w:iCs/>
          <w:sz w:val="20"/>
          <w:szCs w:val="20"/>
        </w:rPr>
        <w:t>et al</w:t>
      </w:r>
      <w:r w:rsidRPr="002C5763">
        <w:rPr>
          <w:rFonts w:ascii="Arial" w:cs="Arial" w:hAnsi="Arial"/>
          <w:sz w:val="20"/>
          <w:szCs w:val="20"/>
        </w:rPr>
        <w:t>., 2019b).</w:t>
      </w:r>
    </w:p>
    <w:p w14:paraId="755A9FB5" w14:textId="77777777" w:rsidP="00004E5B" w:rsidR="00004E5B" w:rsidRDefault="00004E5B" w:rsidRPr="00414ECE">
      <w:pPr>
        <w:pStyle w:val="Heading3"/>
        <w:spacing w:line="360" w:lineRule="auto"/>
        <w:jc w:val="both"/>
        <w:rPr>
          <w:rFonts w:ascii="Times New Roman" w:cs="Times New Roman" w:hAnsi="Times New Roman"/>
          <w:color w:themeColor="text1" w:val="000000"/>
        </w:rPr>
      </w:pPr>
      <w:r w:rsidRPr="00582A2A">
        <w:rPr>
          <w:rFonts w:ascii="Arial" w:cs="Arial" w:hAnsi="Arial"/>
          <w:b/>
          <w:bCs/>
        </w:rPr>
        <w:t>3.</w:t>
      </w:r>
      <w:r>
        <w:rPr>
          <w:rFonts w:ascii="Arial" w:cs="Arial" w:hAnsi="Arial"/>
        </w:rPr>
        <w:t xml:space="preserve"> </w:t>
      </w:r>
      <w:r w:rsidRPr="00E03B48">
        <w:rPr>
          <w:rStyle w:val="Strong"/>
          <w:rFonts w:ascii="Arial" w:cs="Arial" w:hAnsi="Arial"/>
          <w:color w:themeColor="text1" w:val="000000"/>
          <w:sz w:val="22"/>
          <w:szCs w:val="22"/>
        </w:rPr>
        <w:t>Changes in Plant and Soil Nitrogen Dynamics in Rice Due to Elevated CO</w:t>
      </w:r>
      <w:r w:rsidRPr="00E03B48">
        <w:rPr>
          <w:rStyle w:val="Strong"/>
          <w:rFonts w:ascii="Cambria Math" w:cs="Cambria Math" w:hAnsi="Cambria Math"/>
          <w:color w:themeColor="text1" w:val="000000"/>
          <w:sz w:val="22"/>
          <w:szCs w:val="22"/>
        </w:rPr>
        <w:t>₂</w:t>
      </w:r>
      <w:r w:rsidRPr="00E03B48">
        <w:rPr>
          <w:rStyle w:val="Strong"/>
          <w:rFonts w:ascii="Arial" w:cs="Arial" w:hAnsi="Arial"/>
          <w:color w:themeColor="text1" w:val="000000"/>
          <w:sz w:val="22"/>
          <w:szCs w:val="22"/>
        </w:rPr>
        <w:t xml:space="preserve"> and Temperature Rise</w:t>
      </w:r>
    </w:p>
    <w:p w14:paraId="30ADDD90"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 xml:space="preserve">Global warming has impacts on the cycling of nutrients through complex interactions of biogeochemical feedback with climate change (Melillo </w:t>
      </w:r>
      <w:r w:rsidRPr="00E03B48">
        <w:rPr>
          <w:rFonts w:ascii="Arial" w:cs="Arial" w:hAnsi="Arial"/>
          <w:i/>
          <w:iCs/>
          <w:sz w:val="20"/>
          <w:szCs w:val="20"/>
        </w:rPr>
        <w:t>et al.,</w:t>
      </w:r>
      <w:r w:rsidRPr="00E03B48">
        <w:rPr>
          <w:rFonts w:ascii="Arial" w:cs="Arial" w:hAnsi="Arial"/>
          <w:sz w:val="20"/>
          <w:szCs w:val="20"/>
        </w:rPr>
        <w:t xml:space="preserve"> 2011; Butler </w:t>
      </w:r>
      <w:r w:rsidRPr="00E03B48">
        <w:rPr>
          <w:rFonts w:ascii="Arial" w:cs="Arial" w:hAnsi="Arial"/>
          <w:i/>
          <w:iCs/>
          <w:sz w:val="20"/>
          <w:szCs w:val="20"/>
        </w:rPr>
        <w:t>et al.,</w:t>
      </w:r>
      <w:r w:rsidRPr="00E03B48">
        <w:rPr>
          <w:rFonts w:ascii="Arial" w:cs="Arial" w:hAnsi="Arial"/>
          <w:sz w:val="20"/>
          <w:szCs w:val="20"/>
        </w:rPr>
        <w:t xml:space="preserve"> 2012; Auyeung </w:t>
      </w:r>
      <w:r w:rsidRPr="00E03B48">
        <w:rPr>
          <w:rFonts w:ascii="Arial" w:cs="Arial" w:hAnsi="Arial"/>
          <w:i/>
          <w:iCs/>
          <w:sz w:val="20"/>
          <w:szCs w:val="20"/>
        </w:rPr>
        <w:t>et al.,</w:t>
      </w:r>
      <w:r w:rsidRPr="00E03B48">
        <w:rPr>
          <w:rFonts w:ascii="Arial" w:cs="Arial" w:hAnsi="Arial"/>
          <w:sz w:val="20"/>
          <w:szCs w:val="20"/>
        </w:rPr>
        <w:t xml:space="preserve"> 2013). High growth rates of plants owing to the high levels of CO</w:t>
      </w:r>
      <w:r w:rsidRPr="00E03B48">
        <w:rPr>
          <w:rFonts w:ascii="Arial" w:cs="Arial" w:hAnsi="Arial"/>
          <w:sz w:val="20"/>
          <w:szCs w:val="20"/>
          <w:vertAlign w:val="subscript"/>
        </w:rPr>
        <w:t>2</w:t>
      </w:r>
      <w:r w:rsidRPr="00E03B48">
        <w:rPr>
          <w:rFonts w:ascii="Arial" w:cs="Arial" w:hAnsi="Arial"/>
          <w:sz w:val="20"/>
          <w:szCs w:val="20"/>
        </w:rPr>
        <w:t xml:space="preserve"> in the atmosphere lead to an increase in the requirement of nitrogen (N) in crops (Luo </w:t>
      </w:r>
      <w:r w:rsidRPr="00E03B48">
        <w:rPr>
          <w:rFonts w:ascii="Arial" w:cs="Arial" w:hAnsi="Arial"/>
          <w:i/>
          <w:iCs/>
          <w:sz w:val="20"/>
          <w:szCs w:val="20"/>
        </w:rPr>
        <w:t>et al.,</w:t>
      </w:r>
      <w:r w:rsidRPr="00E03B48">
        <w:rPr>
          <w:rFonts w:ascii="Arial" w:cs="Arial" w:hAnsi="Arial"/>
          <w:sz w:val="20"/>
          <w:szCs w:val="20"/>
        </w:rPr>
        <w:t xml:space="preserve"> 2006). However, several studies have revealed that even though total N uptake may increase in the high CO</w:t>
      </w:r>
      <w:r w:rsidRPr="00E03B48">
        <w:rPr>
          <w:rFonts w:ascii="Arial" w:cs="Arial" w:hAnsi="Arial"/>
          <w:sz w:val="20"/>
          <w:szCs w:val="20"/>
          <w:vertAlign w:val="subscript"/>
        </w:rPr>
        <w:t xml:space="preserve">2 </w:t>
      </w:r>
      <w:r w:rsidRPr="00E03B48">
        <w:rPr>
          <w:rFonts w:ascii="Arial" w:cs="Arial" w:hAnsi="Arial"/>
          <w:sz w:val="20"/>
          <w:szCs w:val="20"/>
        </w:rPr>
        <w:t>conditions, the quantity of nitrogen in plant tissues often decreases, which is commonly referred to as the "dilution effect" (</w:t>
      </w:r>
      <w:proofErr w:type="spellStart"/>
      <w:r w:rsidRPr="00E03B48">
        <w:rPr>
          <w:rFonts w:ascii="Arial" w:cs="Arial" w:hAnsi="Arial"/>
          <w:sz w:val="20"/>
          <w:szCs w:val="20"/>
        </w:rPr>
        <w:t>Poorter</w:t>
      </w:r>
      <w:proofErr w:type="spellEnd"/>
      <w:r w:rsidRPr="00E03B48">
        <w:rPr>
          <w:rFonts w:ascii="Arial" w:cs="Arial" w:hAnsi="Arial"/>
          <w:sz w:val="20"/>
          <w:szCs w:val="20"/>
        </w:rPr>
        <w:t xml:space="preserve"> </w:t>
      </w:r>
      <w:r w:rsidRPr="00E03B48">
        <w:rPr>
          <w:rFonts w:ascii="Arial" w:cs="Arial" w:hAnsi="Arial"/>
          <w:i/>
          <w:iCs/>
          <w:sz w:val="20"/>
          <w:szCs w:val="20"/>
        </w:rPr>
        <w:t>et al.,</w:t>
      </w:r>
      <w:r w:rsidRPr="00E03B48">
        <w:rPr>
          <w:rFonts w:ascii="Arial" w:cs="Arial" w:hAnsi="Arial"/>
          <w:sz w:val="20"/>
          <w:szCs w:val="20"/>
        </w:rPr>
        <w:t xml:space="preserve"> 1996; Abebe </w:t>
      </w:r>
      <w:r w:rsidRPr="00E03B48">
        <w:rPr>
          <w:rFonts w:ascii="Arial" w:cs="Arial" w:hAnsi="Arial"/>
          <w:i/>
          <w:iCs/>
          <w:sz w:val="20"/>
          <w:szCs w:val="20"/>
        </w:rPr>
        <w:t>et al.,</w:t>
      </w:r>
      <w:r w:rsidRPr="00E03B48">
        <w:rPr>
          <w:rFonts w:ascii="Arial" w:cs="Arial" w:hAnsi="Arial"/>
          <w:sz w:val="20"/>
          <w:szCs w:val="20"/>
        </w:rPr>
        <w:t xml:space="preserve"> 2016; </w:t>
      </w:r>
      <w:r w:rsidRPr="00E03B48">
        <w:rPr>
          <w:rFonts w:ascii="Arial" w:cs="Arial" w:hAnsi="Arial"/>
          <w:i/>
          <w:iCs/>
          <w:sz w:val="20"/>
          <w:szCs w:val="20"/>
        </w:rPr>
        <w:t>Raj et al.,</w:t>
      </w:r>
      <w:r w:rsidRPr="00E03B48">
        <w:rPr>
          <w:rFonts w:ascii="Arial" w:cs="Arial" w:hAnsi="Arial"/>
          <w:sz w:val="20"/>
          <w:szCs w:val="20"/>
        </w:rPr>
        <w:t xml:space="preserve"> 2019). Unlike non-leguminous crops, the legume plants, such as chickpeas, are capable of fixing atmospheric N</w:t>
      </w:r>
      <w:r w:rsidRPr="00E03B48">
        <w:rPr>
          <w:rFonts w:ascii="Arial" w:cs="Arial" w:hAnsi="Arial"/>
          <w:sz w:val="20"/>
          <w:szCs w:val="20"/>
          <w:vertAlign w:val="subscript"/>
        </w:rPr>
        <w:t>2</w:t>
      </w:r>
      <w:r w:rsidRPr="00E03B48">
        <w:rPr>
          <w:rFonts w:ascii="Arial" w:cs="Arial" w:hAnsi="Arial"/>
          <w:sz w:val="20"/>
          <w:szCs w:val="20"/>
        </w:rPr>
        <w:t xml:space="preserve">, which can partially overcome this limitation (Rogers </w:t>
      </w:r>
      <w:r w:rsidRPr="00E03B48">
        <w:rPr>
          <w:rFonts w:ascii="Arial" w:cs="Arial" w:hAnsi="Arial"/>
          <w:i/>
          <w:iCs/>
          <w:sz w:val="20"/>
          <w:szCs w:val="20"/>
        </w:rPr>
        <w:t>et al.,</w:t>
      </w:r>
      <w:r w:rsidRPr="00E03B48">
        <w:rPr>
          <w:rFonts w:ascii="Arial" w:cs="Arial" w:hAnsi="Arial"/>
          <w:sz w:val="20"/>
          <w:szCs w:val="20"/>
        </w:rPr>
        <w:t xml:space="preserve"> 2006; Chakrabarti </w:t>
      </w:r>
      <w:r w:rsidRPr="00E03B48">
        <w:rPr>
          <w:rFonts w:ascii="Arial" w:cs="Arial" w:hAnsi="Arial"/>
          <w:i/>
          <w:iCs/>
          <w:sz w:val="20"/>
          <w:szCs w:val="20"/>
        </w:rPr>
        <w:t>et a</w:t>
      </w:r>
      <w:r w:rsidRPr="00E03B48">
        <w:rPr>
          <w:rFonts w:ascii="Arial" w:cs="Arial" w:hAnsi="Arial"/>
          <w:sz w:val="20"/>
          <w:szCs w:val="20"/>
        </w:rPr>
        <w:t>l., 2019, 2020).</w:t>
      </w:r>
    </w:p>
    <w:p w14:paraId="1919AC11"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Research also suggests that increased CO</w:t>
      </w:r>
      <w:r w:rsidRPr="00E03B48">
        <w:rPr>
          <w:rFonts w:ascii="Arial" w:cs="Arial" w:hAnsi="Arial"/>
          <w:sz w:val="20"/>
          <w:szCs w:val="20"/>
          <w:vertAlign w:val="subscript"/>
        </w:rPr>
        <w:t xml:space="preserve">2 </w:t>
      </w:r>
      <w:r w:rsidRPr="00E03B48">
        <w:rPr>
          <w:rFonts w:ascii="Arial" w:cs="Arial" w:hAnsi="Arial"/>
          <w:sz w:val="20"/>
          <w:szCs w:val="20"/>
        </w:rPr>
        <w:t xml:space="preserve">enhances biomass growth, especially in cereal crops like rice and wheat, and leads to increased total nitrogen uptake but decreased nitrogen concentration per unit biomass (Kim </w:t>
      </w:r>
      <w:r w:rsidRPr="00E03B48">
        <w:rPr>
          <w:rFonts w:ascii="Arial" w:cs="Arial" w:hAnsi="Arial"/>
          <w:i/>
          <w:iCs/>
          <w:sz w:val="20"/>
          <w:szCs w:val="20"/>
        </w:rPr>
        <w:t>et al.,</w:t>
      </w:r>
      <w:r w:rsidRPr="00E03B48">
        <w:rPr>
          <w:rFonts w:ascii="Arial" w:cs="Arial" w:hAnsi="Arial"/>
          <w:sz w:val="20"/>
          <w:szCs w:val="20"/>
        </w:rPr>
        <w:t xml:space="preserve"> 2001; Ainsworth </w:t>
      </w:r>
      <w:r w:rsidRPr="00E03B48">
        <w:rPr>
          <w:rFonts w:ascii="Arial" w:cs="Arial" w:hAnsi="Arial"/>
          <w:i/>
          <w:iCs/>
          <w:sz w:val="20"/>
          <w:szCs w:val="20"/>
        </w:rPr>
        <w:t>et a</w:t>
      </w:r>
      <w:r w:rsidRPr="00E03B48">
        <w:rPr>
          <w:rFonts w:ascii="Arial" w:cs="Arial" w:hAnsi="Arial"/>
          <w:sz w:val="20"/>
          <w:szCs w:val="20"/>
        </w:rPr>
        <w:t xml:space="preserve">l., 2007; Chakrabarti </w:t>
      </w:r>
      <w:r w:rsidRPr="00E03B48">
        <w:rPr>
          <w:rFonts w:ascii="Arial" w:cs="Arial" w:hAnsi="Arial"/>
          <w:i/>
          <w:iCs/>
          <w:sz w:val="20"/>
          <w:szCs w:val="20"/>
        </w:rPr>
        <w:t>et al</w:t>
      </w:r>
      <w:r w:rsidRPr="00E03B48">
        <w:rPr>
          <w:rFonts w:ascii="Arial" w:cs="Arial" w:hAnsi="Arial"/>
          <w:sz w:val="20"/>
          <w:szCs w:val="20"/>
        </w:rPr>
        <w:t>., 2019). On the same note, it has been determined that an increase in CO</w:t>
      </w:r>
      <w:r w:rsidRPr="00E03B48">
        <w:rPr>
          <w:rFonts w:ascii="Arial" w:cs="Arial" w:hAnsi="Arial"/>
          <w:sz w:val="20"/>
          <w:szCs w:val="20"/>
          <w:vertAlign w:val="subscript"/>
        </w:rPr>
        <w:t xml:space="preserve">2 </w:t>
      </w:r>
      <w:r w:rsidRPr="00E03B48">
        <w:rPr>
          <w:rFonts w:ascii="Arial" w:cs="Arial" w:hAnsi="Arial"/>
          <w:sz w:val="20"/>
          <w:szCs w:val="20"/>
        </w:rPr>
        <w:t xml:space="preserve">leads to a reduction in the nitrogen content of rice grains, which is attributed to increased carbohydrate accumulation (Rogers </w:t>
      </w:r>
      <w:r w:rsidRPr="00E03B48">
        <w:rPr>
          <w:rFonts w:ascii="Arial" w:cs="Arial" w:hAnsi="Arial"/>
          <w:i/>
          <w:iCs/>
          <w:sz w:val="20"/>
          <w:szCs w:val="20"/>
        </w:rPr>
        <w:t>et al.,</w:t>
      </w:r>
      <w:r w:rsidRPr="00E03B48">
        <w:rPr>
          <w:rFonts w:ascii="Arial" w:cs="Arial" w:hAnsi="Arial"/>
          <w:sz w:val="20"/>
          <w:szCs w:val="20"/>
        </w:rPr>
        <w:t xml:space="preserve"> 1999; Gifford </w:t>
      </w:r>
      <w:r w:rsidRPr="00E03B48">
        <w:rPr>
          <w:rFonts w:ascii="Arial" w:cs="Arial" w:hAnsi="Arial"/>
          <w:i/>
          <w:iCs/>
          <w:sz w:val="20"/>
          <w:szCs w:val="20"/>
        </w:rPr>
        <w:t>et al</w:t>
      </w:r>
      <w:r w:rsidRPr="00E03B48">
        <w:rPr>
          <w:rFonts w:ascii="Arial" w:cs="Arial" w:hAnsi="Arial"/>
          <w:sz w:val="20"/>
          <w:szCs w:val="20"/>
        </w:rPr>
        <w:t xml:space="preserve">., 2000; Wang </w:t>
      </w:r>
      <w:r w:rsidRPr="00E03B48">
        <w:rPr>
          <w:rFonts w:ascii="Arial" w:cs="Arial" w:hAnsi="Arial"/>
          <w:i/>
          <w:iCs/>
          <w:sz w:val="20"/>
          <w:szCs w:val="20"/>
        </w:rPr>
        <w:t>et al</w:t>
      </w:r>
      <w:r w:rsidRPr="00E03B48">
        <w:rPr>
          <w:rFonts w:ascii="Arial" w:cs="Arial" w:hAnsi="Arial"/>
          <w:sz w:val="20"/>
          <w:szCs w:val="20"/>
        </w:rPr>
        <w:t>., 2011). This has been the case with other crops such as maize, where the crude protein content has decreased with the increase in CO</w:t>
      </w:r>
      <w:r w:rsidRPr="00E03B48">
        <w:rPr>
          <w:rFonts w:ascii="Arial" w:cs="Arial" w:hAnsi="Arial"/>
          <w:sz w:val="20"/>
          <w:szCs w:val="20"/>
          <w:vertAlign w:val="subscript"/>
        </w:rPr>
        <w:t>2</w:t>
      </w:r>
      <w:r w:rsidRPr="00E03B48">
        <w:rPr>
          <w:rFonts w:ascii="Arial" w:cs="Arial" w:hAnsi="Arial"/>
          <w:sz w:val="20"/>
          <w:szCs w:val="20"/>
        </w:rPr>
        <w:t xml:space="preserve"> (Abebe </w:t>
      </w:r>
      <w:r w:rsidRPr="00E03B48">
        <w:rPr>
          <w:rFonts w:ascii="Arial" w:cs="Arial" w:hAnsi="Arial"/>
          <w:i/>
          <w:iCs/>
          <w:sz w:val="20"/>
          <w:szCs w:val="20"/>
        </w:rPr>
        <w:t>et al</w:t>
      </w:r>
      <w:r w:rsidRPr="00E03B48">
        <w:rPr>
          <w:rFonts w:ascii="Arial" w:cs="Arial" w:hAnsi="Arial"/>
          <w:sz w:val="20"/>
          <w:szCs w:val="20"/>
        </w:rPr>
        <w:t>., 2016). Increased temperatures complicate this process.</w:t>
      </w:r>
    </w:p>
    <w:p w14:paraId="08EAB7FC"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Although photosynthesis is enhanced with the high CO</w:t>
      </w:r>
      <w:r w:rsidRPr="00E03B48">
        <w:rPr>
          <w:rFonts w:ascii="Arial" w:cs="Arial" w:hAnsi="Arial"/>
          <w:sz w:val="20"/>
          <w:szCs w:val="20"/>
          <w:vertAlign w:val="subscript"/>
        </w:rPr>
        <w:t xml:space="preserve">2 </w:t>
      </w:r>
      <w:r w:rsidRPr="00E03B48">
        <w:rPr>
          <w:rFonts w:ascii="Arial" w:cs="Arial" w:hAnsi="Arial"/>
          <w:sz w:val="20"/>
          <w:szCs w:val="20"/>
        </w:rPr>
        <w:t xml:space="preserve">concentration, the high temperatures reduce the absorption of nitrogen as they decrease crop yields (Raj and Chakrabarti, 2016; </w:t>
      </w:r>
      <w:proofErr w:type="spellStart"/>
      <w:r w:rsidRPr="00E03B48">
        <w:rPr>
          <w:rFonts w:ascii="Arial" w:cs="Arial" w:hAnsi="Arial"/>
          <w:sz w:val="20"/>
          <w:szCs w:val="20"/>
        </w:rPr>
        <w:t>Rankoth</w:t>
      </w:r>
      <w:proofErr w:type="spellEnd"/>
      <w:r w:rsidRPr="00E03B48">
        <w:rPr>
          <w:rFonts w:ascii="Arial" w:cs="Arial" w:hAnsi="Arial"/>
          <w:sz w:val="20"/>
          <w:szCs w:val="20"/>
        </w:rPr>
        <w:t xml:space="preserve"> and De Costa, 2013). As an illustration, higher temperatures caused a significant decline in the amount of nitrogen uptake per plant of rice (Weerakoon </w:t>
      </w:r>
      <w:r w:rsidRPr="00E03B48">
        <w:rPr>
          <w:rFonts w:ascii="Arial" w:cs="Arial" w:hAnsi="Arial"/>
          <w:i/>
          <w:iCs/>
          <w:sz w:val="20"/>
          <w:szCs w:val="20"/>
        </w:rPr>
        <w:t>et al.,</w:t>
      </w:r>
      <w:r w:rsidRPr="00E03B48">
        <w:rPr>
          <w:rFonts w:ascii="Arial" w:cs="Arial" w:hAnsi="Arial"/>
          <w:sz w:val="20"/>
          <w:szCs w:val="20"/>
        </w:rPr>
        <w:t xml:space="preserve"> 2005; </w:t>
      </w:r>
      <w:proofErr w:type="spellStart"/>
      <w:r w:rsidRPr="00E03B48">
        <w:rPr>
          <w:rFonts w:ascii="Arial" w:cs="Arial" w:hAnsi="Arial"/>
          <w:sz w:val="20"/>
          <w:szCs w:val="20"/>
        </w:rPr>
        <w:t>Rankoth</w:t>
      </w:r>
      <w:proofErr w:type="spellEnd"/>
      <w:r w:rsidRPr="00E03B48">
        <w:rPr>
          <w:rFonts w:ascii="Arial" w:cs="Arial" w:hAnsi="Arial"/>
          <w:sz w:val="20"/>
          <w:szCs w:val="20"/>
        </w:rPr>
        <w:t xml:space="preserve"> and De Costa, 2013). Although such an effect is reduced at high temperatures due to reduced biomass generation, raising CO</w:t>
      </w:r>
      <w:r w:rsidRPr="00E03B48">
        <w:rPr>
          <w:rFonts w:ascii="Arial" w:cs="Arial" w:hAnsi="Arial"/>
          <w:sz w:val="20"/>
          <w:szCs w:val="20"/>
          <w:vertAlign w:val="subscript"/>
        </w:rPr>
        <w:t xml:space="preserve">2 </w:t>
      </w:r>
      <w:r w:rsidRPr="00E03B48">
        <w:rPr>
          <w:rFonts w:ascii="Arial" w:cs="Arial" w:hAnsi="Arial"/>
          <w:sz w:val="20"/>
          <w:szCs w:val="20"/>
        </w:rPr>
        <w:t xml:space="preserve">concentration alone has been associated with the promotion of nitrogen uptake in rice (Yang </w:t>
      </w:r>
      <w:r w:rsidRPr="00E03B48">
        <w:rPr>
          <w:rFonts w:ascii="Arial" w:cs="Arial" w:hAnsi="Arial"/>
          <w:i/>
          <w:iCs/>
          <w:sz w:val="20"/>
          <w:szCs w:val="20"/>
        </w:rPr>
        <w:t>et al.,</w:t>
      </w:r>
      <w:r w:rsidRPr="00E03B48">
        <w:rPr>
          <w:rFonts w:ascii="Arial" w:cs="Arial" w:hAnsi="Arial"/>
          <w:sz w:val="20"/>
          <w:szCs w:val="20"/>
        </w:rPr>
        <w:t xml:space="preserve"> 2007; Maity </w:t>
      </w:r>
      <w:r w:rsidRPr="00E03B48">
        <w:rPr>
          <w:rFonts w:ascii="Arial" w:cs="Arial" w:hAnsi="Arial"/>
          <w:i/>
          <w:iCs/>
          <w:sz w:val="20"/>
          <w:szCs w:val="20"/>
        </w:rPr>
        <w:t>et al.,</w:t>
      </w:r>
      <w:r w:rsidRPr="00E03B48">
        <w:rPr>
          <w:rFonts w:ascii="Arial" w:cs="Arial" w:hAnsi="Arial"/>
          <w:sz w:val="20"/>
          <w:szCs w:val="20"/>
        </w:rPr>
        <w:t xml:space="preserve"> 2020). The provision of nitrogen is critical in regulating the role of the ecosystem in response to the elevated CO</w:t>
      </w:r>
      <w:r w:rsidRPr="00E03B48">
        <w:rPr>
          <w:rFonts w:ascii="Arial" w:cs="Arial" w:hAnsi="Arial"/>
          <w:sz w:val="20"/>
          <w:szCs w:val="20"/>
          <w:vertAlign w:val="subscript"/>
        </w:rPr>
        <w:t>2</w:t>
      </w:r>
      <w:r w:rsidRPr="00E03B48">
        <w:rPr>
          <w:rFonts w:ascii="Arial" w:cs="Arial" w:hAnsi="Arial"/>
          <w:sz w:val="20"/>
          <w:szCs w:val="20"/>
        </w:rPr>
        <w:t xml:space="preserve">. High soil carbon-to-nitrogen (C: N) ratios can lead to progressive nitrogen limitations due to a slowdown in mineralization and sedimentary microbial nitrogen immobilization (Hungate </w:t>
      </w:r>
      <w:r w:rsidRPr="00E03B48">
        <w:rPr>
          <w:rFonts w:ascii="Arial" w:cs="Arial" w:hAnsi="Arial"/>
          <w:i/>
          <w:iCs/>
          <w:sz w:val="20"/>
          <w:szCs w:val="20"/>
        </w:rPr>
        <w:t>et al.</w:t>
      </w:r>
      <w:r w:rsidRPr="00E03B48">
        <w:rPr>
          <w:rFonts w:ascii="Arial" w:cs="Arial" w:hAnsi="Arial"/>
          <w:sz w:val="20"/>
          <w:szCs w:val="20"/>
        </w:rPr>
        <w:t xml:space="preserve">, 2003; Graaff </w:t>
      </w:r>
      <w:r w:rsidRPr="00E03B48">
        <w:rPr>
          <w:rFonts w:ascii="Arial" w:cs="Arial" w:hAnsi="Arial"/>
          <w:i/>
          <w:iCs/>
          <w:sz w:val="20"/>
          <w:szCs w:val="20"/>
        </w:rPr>
        <w:t>et al</w:t>
      </w:r>
      <w:r w:rsidRPr="00E03B48">
        <w:rPr>
          <w:rFonts w:ascii="Arial" w:cs="Arial" w:hAnsi="Arial"/>
          <w:sz w:val="20"/>
          <w:szCs w:val="20"/>
        </w:rPr>
        <w:t>., 2006, 2007) (Figure 2).</w:t>
      </w:r>
    </w:p>
    <w:p w14:paraId="2FA0EDAE" w14:textId="77777777" w:rsidP="00004E5B" w:rsidR="00004E5B" w:rsidRDefault="00004E5B" w:rsidRPr="00E03B48">
      <w:pPr>
        <w:pStyle w:val="NormalWeb"/>
        <w:jc w:val="center"/>
        <w:rPr>
          <w:rFonts w:ascii="Arial" w:cs="Arial" w:hAnsi="Arial"/>
          <w:sz w:val="20"/>
          <w:szCs w:val="20"/>
        </w:rPr>
      </w:pPr>
      <w:r w:rsidRPr="00E03B48">
        <w:rPr>
          <w:rFonts w:ascii="Arial" w:cs="Arial" w:hAnsi="Arial"/>
          <w:noProof/>
          <w:sz w:val="20"/>
          <w:szCs w:val="20"/>
        </w:rPr>
        <w:lastRenderedPageBreak/>
        <w:drawing>
          <wp:inline distB="0" distL="0" distR="0" distT="0" wp14:anchorId="6F9AA633" wp14:editId="1AE6D656">
            <wp:extent cx="4047073" cy="3535729"/>
            <wp:effectExtent b="0" l="0" r="0" t="0"/>
            <wp:docPr descr="C:\Users\acer\Downloads\_- visual selection (1).png"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cer\Downloads\_- visual selection (1).png" id="0" name="Picture 1"/>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a:off x="0" y="0"/>
                      <a:ext cx="4059704" cy="3546764"/>
                    </a:xfrm>
                    <a:prstGeom prst="rect">
                      <a:avLst/>
                    </a:prstGeom>
                    <a:noFill/>
                    <a:ln>
                      <a:noFill/>
                    </a:ln>
                  </pic:spPr>
                </pic:pic>
              </a:graphicData>
            </a:graphic>
          </wp:inline>
        </w:drawing>
      </w:r>
    </w:p>
    <w:p w14:paraId="4BCAE95A" w14:textId="77777777" w:rsidP="00004E5B" w:rsidR="00004E5B" w:rsidRDefault="00004E5B" w:rsidRPr="00E03B48">
      <w:pPr>
        <w:pStyle w:val="NormalWeb"/>
        <w:jc w:val="center"/>
        <w:rPr>
          <w:rFonts w:ascii="Arial" w:cs="Arial" w:hAnsi="Arial"/>
          <w:sz w:val="20"/>
          <w:szCs w:val="20"/>
        </w:rPr>
      </w:pPr>
      <w:r w:rsidRPr="00E03B48">
        <w:rPr>
          <w:rFonts w:ascii="Arial" w:cs="Arial" w:hAnsi="Arial"/>
          <w:b/>
          <w:sz w:val="20"/>
          <w:szCs w:val="20"/>
        </w:rPr>
        <w:t>Figure 2.</w:t>
      </w:r>
      <w:r w:rsidRPr="00E03B48">
        <w:rPr>
          <w:rFonts w:ascii="Arial" w:cs="Arial" w:hAnsi="Arial"/>
          <w:sz w:val="20"/>
          <w:szCs w:val="20"/>
        </w:rPr>
        <w:t xml:space="preserve"> Impact of Elevated CO</w:t>
      </w:r>
      <w:r w:rsidRPr="00E03B48">
        <w:rPr>
          <w:rFonts w:ascii="Cambria Math" w:cs="Cambria Math" w:hAnsi="Cambria Math"/>
          <w:sz w:val="20"/>
          <w:szCs w:val="20"/>
        </w:rPr>
        <w:t>₂</w:t>
      </w:r>
      <w:r w:rsidRPr="00E03B48">
        <w:rPr>
          <w:rFonts w:ascii="Arial" w:cs="Arial" w:hAnsi="Arial"/>
          <w:sz w:val="20"/>
          <w:szCs w:val="20"/>
        </w:rPr>
        <w:t xml:space="preserve"> and Temperature on Rice Nitrogen Dynamics</w:t>
      </w:r>
    </w:p>
    <w:p w14:paraId="426703ED"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However, in other cases, the stimulation of CO</w:t>
      </w:r>
      <w:r w:rsidRPr="00E03B48">
        <w:rPr>
          <w:rFonts w:ascii="Arial" w:cs="Arial" w:hAnsi="Arial"/>
          <w:sz w:val="20"/>
          <w:szCs w:val="20"/>
          <w:vertAlign w:val="subscript"/>
        </w:rPr>
        <w:t xml:space="preserve">2 </w:t>
      </w:r>
      <w:r w:rsidRPr="00E03B48">
        <w:rPr>
          <w:rFonts w:ascii="Arial" w:cs="Arial" w:hAnsi="Arial"/>
          <w:sz w:val="20"/>
          <w:szCs w:val="20"/>
        </w:rPr>
        <w:t xml:space="preserve">can also cause soil organic matter to be broken down as a result of enhanced rhizo-deposition, a phenomenon known as priming, which can partly offset the effects of nitrogen limitation (Carney </w:t>
      </w:r>
      <w:r w:rsidRPr="00E03B48">
        <w:rPr>
          <w:rFonts w:ascii="Arial" w:cs="Arial" w:hAnsi="Arial"/>
          <w:i/>
          <w:iCs/>
          <w:sz w:val="20"/>
          <w:szCs w:val="20"/>
        </w:rPr>
        <w:t>et al</w:t>
      </w:r>
      <w:r w:rsidRPr="00E03B48">
        <w:rPr>
          <w:rFonts w:ascii="Arial" w:cs="Arial" w:hAnsi="Arial"/>
          <w:sz w:val="20"/>
          <w:szCs w:val="20"/>
        </w:rPr>
        <w:t xml:space="preserve">., 2007; de Graaff </w:t>
      </w:r>
      <w:r w:rsidRPr="00E03B48">
        <w:rPr>
          <w:rFonts w:ascii="Arial" w:cs="Arial" w:hAnsi="Arial"/>
          <w:i/>
          <w:iCs/>
          <w:sz w:val="20"/>
          <w:szCs w:val="20"/>
        </w:rPr>
        <w:t>et al</w:t>
      </w:r>
      <w:r w:rsidRPr="00E03B48">
        <w:rPr>
          <w:rFonts w:ascii="Arial" w:cs="Arial" w:hAnsi="Arial"/>
          <w:sz w:val="20"/>
          <w:szCs w:val="20"/>
        </w:rPr>
        <w:t xml:space="preserve">., 2006). Temperature increase also affects the nitrogen cycle through augmentation of mineralization of nitrogen in the soil and consequently through augmentation of the quantity of nitrogen (Norby and Luo, 2004; Joshi </w:t>
      </w:r>
      <w:r w:rsidRPr="00E03B48">
        <w:rPr>
          <w:rFonts w:ascii="Arial" w:cs="Arial" w:hAnsi="Arial"/>
          <w:i/>
          <w:iCs/>
          <w:sz w:val="20"/>
          <w:szCs w:val="20"/>
        </w:rPr>
        <w:t>et al</w:t>
      </w:r>
      <w:r w:rsidRPr="00E03B48">
        <w:rPr>
          <w:rFonts w:ascii="Arial" w:cs="Arial" w:hAnsi="Arial"/>
          <w:sz w:val="20"/>
          <w:szCs w:val="20"/>
        </w:rPr>
        <w:t xml:space="preserve">., 2006). However, higher temperatures could have a negative impact on subsurface biomass, reducing microbial biomass nitrogen (MBN) in spite of increased mineralization (Maity </w:t>
      </w:r>
      <w:r w:rsidRPr="00E03B48">
        <w:rPr>
          <w:rFonts w:ascii="Arial" w:cs="Arial" w:hAnsi="Arial"/>
          <w:i/>
          <w:iCs/>
          <w:sz w:val="20"/>
          <w:szCs w:val="20"/>
        </w:rPr>
        <w:t>et al.,</w:t>
      </w:r>
      <w:r w:rsidRPr="00E03B48">
        <w:rPr>
          <w:rFonts w:ascii="Arial" w:cs="Arial" w:hAnsi="Arial"/>
          <w:sz w:val="20"/>
          <w:szCs w:val="20"/>
        </w:rPr>
        <w:t xml:space="preserve"> 2020). In addition, excessive heat stress at critical stages of phenology may lead to decreased crop growth and uptake of nitrogen (Idso and Idso, 2001).</w:t>
      </w:r>
    </w:p>
    <w:p w14:paraId="050E79F6" w14:textId="77777777" w:rsidP="00004E5B" w:rsidR="00004E5B" w:rsidRDefault="00004E5B" w:rsidRPr="00E03B48">
      <w:pPr>
        <w:pStyle w:val="NormalWeb"/>
        <w:jc w:val="both"/>
        <w:rPr>
          <w:rFonts w:ascii="Arial" w:cs="Arial" w:hAnsi="Arial"/>
          <w:color w:themeColor="text1" w:val="000000"/>
          <w:sz w:val="20"/>
          <w:szCs w:val="20"/>
        </w:rPr>
      </w:pPr>
      <w:r w:rsidRPr="00E03B48">
        <w:rPr>
          <w:rFonts w:ascii="Arial" w:cs="Arial" w:hAnsi="Arial"/>
          <w:sz w:val="20"/>
          <w:szCs w:val="20"/>
        </w:rPr>
        <w:t xml:space="preserve">Nayak </w:t>
      </w:r>
      <w:r w:rsidRPr="00E03B48">
        <w:rPr>
          <w:rFonts w:ascii="Arial" w:cs="Arial" w:hAnsi="Arial"/>
          <w:i/>
          <w:iCs/>
          <w:sz w:val="20"/>
          <w:szCs w:val="20"/>
        </w:rPr>
        <w:t>et al.</w:t>
      </w:r>
      <w:r w:rsidRPr="00E03B48">
        <w:rPr>
          <w:rFonts w:ascii="Arial" w:cs="Arial" w:hAnsi="Arial"/>
          <w:sz w:val="20"/>
          <w:szCs w:val="20"/>
        </w:rPr>
        <w:t xml:space="preserve"> (2007), Roldan </w:t>
      </w:r>
      <w:r w:rsidRPr="00E03B48">
        <w:rPr>
          <w:rFonts w:ascii="Arial" w:cs="Arial" w:hAnsi="Arial"/>
          <w:i/>
          <w:iCs/>
          <w:sz w:val="20"/>
          <w:szCs w:val="20"/>
        </w:rPr>
        <w:t>et al.</w:t>
      </w:r>
      <w:r w:rsidRPr="00E03B48">
        <w:rPr>
          <w:rFonts w:ascii="Arial" w:cs="Arial" w:hAnsi="Arial"/>
          <w:sz w:val="20"/>
          <w:szCs w:val="20"/>
        </w:rPr>
        <w:t xml:space="preserve"> (2006), and He </w:t>
      </w:r>
      <w:r w:rsidRPr="00E03B48">
        <w:rPr>
          <w:rFonts w:ascii="Arial" w:cs="Arial" w:hAnsi="Arial"/>
          <w:i/>
          <w:iCs/>
          <w:sz w:val="20"/>
          <w:szCs w:val="20"/>
        </w:rPr>
        <w:t>et al.</w:t>
      </w:r>
      <w:r w:rsidRPr="00E03B48">
        <w:rPr>
          <w:rFonts w:ascii="Arial" w:cs="Arial" w:hAnsi="Arial"/>
          <w:sz w:val="20"/>
          <w:szCs w:val="20"/>
        </w:rPr>
        <w:t xml:space="preserve"> (2003) posit that carbon and nitrogen through microbial biomass (MBC) are vital in soil stability, structure, and nutrient cycling. It is found that the growth of root biomass and exudation increases with an increase in CO</w:t>
      </w:r>
      <w:r w:rsidRPr="00E03B48">
        <w:rPr>
          <w:rFonts w:ascii="Arial" w:cs="Arial" w:hAnsi="Arial"/>
          <w:sz w:val="20"/>
          <w:szCs w:val="20"/>
          <w:vertAlign w:val="subscript"/>
        </w:rPr>
        <w:t>2</w:t>
      </w:r>
      <w:r w:rsidRPr="00E03B48">
        <w:rPr>
          <w:rFonts w:ascii="Arial" w:cs="Arial" w:hAnsi="Arial"/>
          <w:sz w:val="20"/>
          <w:szCs w:val="20"/>
        </w:rPr>
        <w:t xml:space="preserve">, positively affecting microbial activity and increasing MBC and MBN (Das </w:t>
      </w:r>
      <w:r w:rsidRPr="00E03B48">
        <w:rPr>
          <w:rFonts w:ascii="Arial" w:cs="Arial" w:hAnsi="Arial"/>
          <w:i/>
          <w:iCs/>
          <w:sz w:val="20"/>
          <w:szCs w:val="20"/>
        </w:rPr>
        <w:t>et al</w:t>
      </w:r>
      <w:r w:rsidRPr="00E03B48">
        <w:rPr>
          <w:rFonts w:ascii="Arial" w:cs="Arial" w:hAnsi="Arial"/>
          <w:sz w:val="20"/>
          <w:szCs w:val="20"/>
        </w:rPr>
        <w:t xml:space="preserve">., 2011; Bhattacharyya </w:t>
      </w:r>
      <w:r w:rsidRPr="00E03B48">
        <w:rPr>
          <w:rFonts w:ascii="Arial" w:cs="Arial" w:hAnsi="Arial"/>
          <w:i/>
          <w:iCs/>
          <w:sz w:val="20"/>
          <w:szCs w:val="20"/>
        </w:rPr>
        <w:t>et al.,</w:t>
      </w:r>
      <w:r w:rsidRPr="00E03B48">
        <w:rPr>
          <w:rFonts w:ascii="Arial" w:cs="Arial" w:hAnsi="Arial"/>
          <w:sz w:val="20"/>
          <w:szCs w:val="20"/>
        </w:rPr>
        <w:t xml:space="preserve"> 2013; Maity </w:t>
      </w:r>
      <w:r w:rsidRPr="00E03B48">
        <w:rPr>
          <w:rFonts w:ascii="Arial" w:cs="Arial" w:hAnsi="Arial"/>
          <w:i/>
          <w:iCs/>
          <w:sz w:val="20"/>
          <w:szCs w:val="20"/>
        </w:rPr>
        <w:t>et al.,</w:t>
      </w:r>
      <w:r w:rsidRPr="00E03B48">
        <w:rPr>
          <w:rFonts w:ascii="Arial" w:cs="Arial" w:hAnsi="Arial"/>
          <w:sz w:val="20"/>
          <w:szCs w:val="20"/>
        </w:rPr>
        <w:t xml:space="preserve"> 2020). However, lower-belowground biomass can reduce microbial nitrogen storage during stress of high temperature conditions, thereby affecting the overall supply of nitrogen. The dynamics of nitrogen in the rice ecosystem are being changed complexly by temperature variations and rising CO</w:t>
      </w:r>
      <w:r w:rsidRPr="00E03B48">
        <w:rPr>
          <w:rFonts w:ascii="Arial" w:cs="Arial" w:hAnsi="Arial"/>
          <w:sz w:val="20"/>
          <w:szCs w:val="20"/>
          <w:vertAlign w:val="subscript"/>
        </w:rPr>
        <w:t>2</w:t>
      </w:r>
      <w:r w:rsidRPr="00E03B48">
        <w:rPr>
          <w:rFonts w:ascii="Arial" w:cs="Arial" w:hAnsi="Arial"/>
          <w:sz w:val="20"/>
          <w:szCs w:val="20"/>
        </w:rPr>
        <w:t>. Even though increased CO</w:t>
      </w:r>
      <w:r w:rsidRPr="00E03B48">
        <w:rPr>
          <w:rFonts w:ascii="Arial" w:cs="Arial" w:hAnsi="Arial"/>
          <w:sz w:val="20"/>
          <w:szCs w:val="20"/>
          <w:vertAlign w:val="subscript"/>
        </w:rPr>
        <w:t xml:space="preserve">2 </w:t>
      </w:r>
      <w:r w:rsidRPr="00E03B48">
        <w:rPr>
          <w:rFonts w:ascii="Arial" w:cs="Arial" w:hAnsi="Arial"/>
          <w:sz w:val="20"/>
          <w:szCs w:val="20"/>
        </w:rPr>
        <w:t>enhances the absorption of nitrogen and growth of plants, increased CO</w:t>
      </w:r>
      <w:r w:rsidRPr="00E03B48">
        <w:rPr>
          <w:rFonts w:ascii="Arial" w:cs="Arial" w:hAnsi="Arial"/>
          <w:sz w:val="20"/>
          <w:szCs w:val="20"/>
          <w:vertAlign w:val="subscript"/>
        </w:rPr>
        <w:t>2</w:t>
      </w:r>
      <w:r w:rsidRPr="00E03B48">
        <w:rPr>
          <w:rFonts w:ascii="Arial" w:cs="Arial" w:hAnsi="Arial"/>
          <w:sz w:val="20"/>
          <w:szCs w:val="20"/>
        </w:rPr>
        <w:t xml:space="preserve"> also reduces the tissue nitrogen concentration. Conversely, the rising temperature can also restrict the capability of nitrogen to be absorbed since it will decrease the yield and strain physiological processes. These interactions, in turn, enable one to conclude that adaptive nutrient management techniques are needed to ensure sustainable rice production in a changing environment.</w:t>
      </w:r>
    </w:p>
    <w:p w14:paraId="17698433" w14:textId="77777777" w:rsidP="00004E5B" w:rsidR="00004E5B" w:rsidRDefault="00004E5B" w:rsidRPr="00414ECE">
      <w:pPr>
        <w:pStyle w:val="Heading3"/>
        <w:spacing w:line="360" w:lineRule="auto"/>
        <w:jc w:val="both"/>
        <w:rPr>
          <w:rFonts w:ascii="Times New Roman" w:cs="Times New Roman" w:hAnsi="Times New Roman"/>
          <w:color w:themeColor="text1" w:val="000000"/>
        </w:rPr>
      </w:pPr>
      <w:r w:rsidRPr="00582A2A">
        <w:rPr>
          <w:rFonts w:ascii="Arial" w:cs="Arial" w:hAnsi="Arial"/>
          <w:b/>
          <w:bCs/>
          <w:sz w:val="22"/>
          <w:szCs w:val="22"/>
        </w:rPr>
        <w:lastRenderedPageBreak/>
        <w:t>4.</w:t>
      </w:r>
      <w:r>
        <w:rPr>
          <w:rFonts w:ascii="Arial" w:cs="Arial" w:hAnsi="Arial"/>
          <w:sz w:val="22"/>
          <w:szCs w:val="22"/>
        </w:rPr>
        <w:t xml:space="preserve"> </w:t>
      </w:r>
      <w:r w:rsidRPr="00E03B48">
        <w:rPr>
          <w:rStyle w:val="Strong"/>
          <w:rFonts w:ascii="Arial" w:cs="Arial" w:hAnsi="Arial"/>
          <w:color w:themeColor="text1" w:val="000000"/>
          <w:sz w:val="22"/>
          <w:szCs w:val="22"/>
        </w:rPr>
        <w:t>Greenhouse Gas (GHG) Emissions</w:t>
      </w:r>
    </w:p>
    <w:p w14:paraId="460143FC"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According to the Intergovernmental Panel on Climate Change (IPCC), GHGs are atmospheric constituents that are not only natural but also anthropogenic and absorb and release radiation in the thermal infrared spectrum in the wavelengths that the surface, atmosphere, and clouds of the Earth emit. One of the causes of global warming is the greenhouse effect, which is a consequence of the given process. The primary greenhouse gases (GHGs) in the atmosphere are water vapor (H</w:t>
      </w:r>
      <w:r w:rsidRPr="00E03B48">
        <w:rPr>
          <w:rFonts w:ascii="Arial" w:cs="Arial" w:hAnsi="Arial"/>
          <w:sz w:val="20"/>
          <w:szCs w:val="20"/>
          <w:vertAlign w:val="subscript"/>
        </w:rPr>
        <w:t>2</w:t>
      </w:r>
      <w:r w:rsidRPr="00E03B48">
        <w:rPr>
          <w:rFonts w:ascii="Arial" w:cs="Arial" w:hAnsi="Arial"/>
          <w:sz w:val="20"/>
          <w:szCs w:val="20"/>
        </w:rPr>
        <w:t>O), carbon dioxide (CO</w:t>
      </w:r>
      <w:r w:rsidRPr="00E03B48">
        <w:rPr>
          <w:rFonts w:ascii="Arial" w:cs="Arial" w:hAnsi="Arial"/>
          <w:sz w:val="20"/>
          <w:szCs w:val="20"/>
          <w:vertAlign w:val="subscript"/>
        </w:rPr>
        <w:t>2</w:t>
      </w:r>
      <w:r w:rsidRPr="00E03B48">
        <w:rPr>
          <w:rFonts w:ascii="Arial" w:cs="Arial" w:hAnsi="Arial"/>
          <w:sz w:val="20"/>
          <w:szCs w:val="20"/>
        </w:rPr>
        <w:t>), nitrous oxide (N</w:t>
      </w:r>
      <w:r w:rsidRPr="00E03B48">
        <w:rPr>
          <w:rFonts w:ascii="Arial" w:cs="Arial" w:hAnsi="Arial"/>
          <w:sz w:val="20"/>
          <w:szCs w:val="20"/>
          <w:vertAlign w:val="subscript"/>
        </w:rPr>
        <w:t>2</w:t>
      </w:r>
      <w:r w:rsidRPr="00E03B48">
        <w:rPr>
          <w:rFonts w:ascii="Arial" w:cs="Arial" w:hAnsi="Arial"/>
          <w:sz w:val="20"/>
          <w:szCs w:val="20"/>
        </w:rPr>
        <w:t>O), methane (CH</w:t>
      </w:r>
      <w:r w:rsidRPr="00E03B48">
        <w:rPr>
          <w:rFonts w:ascii="Arial" w:cs="Arial" w:hAnsi="Arial"/>
          <w:sz w:val="20"/>
          <w:szCs w:val="20"/>
          <w:vertAlign w:val="subscript"/>
        </w:rPr>
        <w:t>4</w:t>
      </w:r>
      <w:r w:rsidRPr="00E03B48">
        <w:rPr>
          <w:rFonts w:ascii="Arial" w:cs="Arial" w:hAnsi="Arial"/>
          <w:sz w:val="20"/>
          <w:szCs w:val="20"/>
        </w:rPr>
        <w:t>), and ozone (O</w:t>
      </w:r>
      <w:r w:rsidRPr="00E03B48">
        <w:rPr>
          <w:rFonts w:ascii="Arial" w:cs="Arial" w:hAnsi="Arial"/>
          <w:sz w:val="20"/>
          <w:szCs w:val="20"/>
          <w:vertAlign w:val="subscript"/>
        </w:rPr>
        <w:t>3</w:t>
      </w:r>
      <w:r w:rsidRPr="00E03B48">
        <w:rPr>
          <w:rFonts w:ascii="Arial" w:cs="Arial" w:hAnsi="Arial"/>
          <w:sz w:val="20"/>
          <w:szCs w:val="20"/>
        </w:rPr>
        <w:t xml:space="preserve">). Other gases such as </w:t>
      </w:r>
      <w:proofErr w:type="spellStart"/>
      <w:r w:rsidRPr="00E03B48">
        <w:rPr>
          <w:rFonts w:ascii="Arial" w:cs="Arial" w:hAnsi="Arial"/>
          <w:sz w:val="20"/>
          <w:szCs w:val="20"/>
        </w:rPr>
        <w:t>sulfur</w:t>
      </w:r>
      <w:proofErr w:type="spellEnd"/>
      <w:r w:rsidRPr="00E03B48">
        <w:rPr>
          <w:rFonts w:ascii="Arial" w:cs="Arial" w:hAnsi="Arial"/>
          <w:sz w:val="20"/>
          <w:szCs w:val="20"/>
        </w:rPr>
        <w:t xml:space="preserve"> hexafluoride (SF6), hydrofluorocarbons (HFCs), and perfluorocarbons (PFCs) are also covered by the Kyoto Protocol. Human activity is also the cause of emissions of halocarbons and other substances that include chlorine and bromine, which are under the Montreal Protocol.</w:t>
      </w:r>
    </w:p>
    <w:p w14:paraId="399A01E0"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 xml:space="preserve">Swedish scientist Svante Arrhenius, in 1896, in his groundbreaking study, raised the concern of whether the presence of heat-trapping gases changed the surface temperature of the earth, thus initiating the relevance of GHGs to the change in temperature of the earth at the surface (Arrhenius, 1896). It is only the infrared radiation-absorbing molecules that have three or more atoms, including CO </w:t>
      </w:r>
      <w:r w:rsidRPr="00E03B48">
        <w:rPr>
          <w:rFonts w:ascii="Arial" w:cs="Arial" w:hAnsi="Arial"/>
          <w:sz w:val="20"/>
          <w:szCs w:val="20"/>
          <w:vertAlign w:val="subscript"/>
        </w:rPr>
        <w:t>2</w:t>
      </w:r>
      <w:r w:rsidRPr="00E03B48">
        <w:rPr>
          <w:rFonts w:ascii="Arial" w:cs="Arial" w:hAnsi="Arial"/>
          <w:sz w:val="20"/>
          <w:szCs w:val="20"/>
        </w:rPr>
        <w:t xml:space="preserve">, CH </w:t>
      </w:r>
      <w:r w:rsidRPr="00E03B48">
        <w:rPr>
          <w:rFonts w:ascii="Arial" w:cs="Arial" w:hAnsi="Arial"/>
          <w:sz w:val="20"/>
          <w:szCs w:val="20"/>
          <w:vertAlign w:val="subscript"/>
        </w:rPr>
        <w:t>4</w:t>
      </w:r>
      <w:r w:rsidRPr="00E03B48">
        <w:rPr>
          <w:rFonts w:ascii="Arial" w:cs="Arial" w:hAnsi="Arial"/>
          <w:sz w:val="20"/>
          <w:szCs w:val="20"/>
        </w:rPr>
        <w:t>, and N</w:t>
      </w:r>
      <w:r w:rsidRPr="00E03B48">
        <w:rPr>
          <w:rFonts w:ascii="Arial" w:cs="Arial" w:hAnsi="Arial"/>
          <w:sz w:val="20"/>
          <w:szCs w:val="20"/>
          <w:vertAlign w:val="subscript"/>
        </w:rPr>
        <w:t>2</w:t>
      </w:r>
      <w:r w:rsidRPr="00E03B48">
        <w:rPr>
          <w:rFonts w:ascii="Arial" w:cs="Arial" w:hAnsi="Arial"/>
          <w:sz w:val="20"/>
          <w:szCs w:val="20"/>
        </w:rPr>
        <w:t>O, that act like a greenhouse gas (GHG). Since they do not have a dipole moment, the diatomic molecules like nitrogen (N</w:t>
      </w:r>
      <w:r w:rsidRPr="00E03B48">
        <w:rPr>
          <w:rFonts w:ascii="Arial" w:cs="Arial" w:hAnsi="Arial"/>
          <w:sz w:val="20"/>
          <w:szCs w:val="20"/>
          <w:vertAlign w:val="subscript"/>
        </w:rPr>
        <w:t>2</w:t>
      </w:r>
      <w:r w:rsidRPr="00E03B48">
        <w:rPr>
          <w:rFonts w:ascii="Arial" w:cs="Arial" w:hAnsi="Arial"/>
          <w:sz w:val="20"/>
          <w:szCs w:val="20"/>
        </w:rPr>
        <w:t>) and oxygen (O</w:t>
      </w:r>
      <w:r w:rsidRPr="00E03B48">
        <w:rPr>
          <w:rFonts w:ascii="Arial" w:cs="Arial" w:hAnsi="Arial"/>
          <w:sz w:val="20"/>
          <w:szCs w:val="20"/>
          <w:vertAlign w:val="subscript"/>
        </w:rPr>
        <w:t>2</w:t>
      </w:r>
      <w:r w:rsidRPr="00E03B48">
        <w:rPr>
          <w:rFonts w:ascii="Arial" w:cs="Arial" w:hAnsi="Arial"/>
          <w:sz w:val="20"/>
          <w:szCs w:val="20"/>
        </w:rPr>
        <w:t>) do not absorb in the infrared. The warming potential of GHGs is measured by watts per square meter (Wm</w:t>
      </w:r>
      <w:r w:rsidRPr="00E03B48">
        <w:rPr>
          <w:rFonts w:ascii="Arial" w:cs="Arial" w:hAnsi="Arial"/>
          <w:sz w:val="20"/>
          <w:szCs w:val="20"/>
          <w:vertAlign w:val="superscript"/>
        </w:rPr>
        <w:t>2-</w:t>
      </w:r>
      <w:r w:rsidRPr="00E03B48">
        <w:rPr>
          <w:rFonts w:ascii="Arial" w:cs="Arial" w:hAnsi="Arial"/>
          <w:sz w:val="20"/>
          <w:szCs w:val="20"/>
        </w:rPr>
        <w:t>), which is a unit of the change in the energy balance of the Earth (IPCC, 2007).</w:t>
      </w:r>
    </w:p>
    <w:p w14:paraId="6446B45B"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A greater amount of energy is stored on Earth when positive radiative forcing is greater, and it is sent back to space when negative radiative forcing is greater. The global warming potential (GWP) provides an assessment of the warming effects of various gases over the period of their atmospheric lifetime using CO</w:t>
      </w:r>
      <w:r w:rsidRPr="00E03B48">
        <w:rPr>
          <w:rFonts w:ascii="Arial" w:cs="Arial" w:hAnsi="Arial"/>
          <w:sz w:val="20"/>
          <w:szCs w:val="20"/>
          <w:vertAlign w:val="subscript"/>
        </w:rPr>
        <w:t xml:space="preserve">2 </w:t>
      </w:r>
      <w:r w:rsidRPr="00E03B48">
        <w:rPr>
          <w:rFonts w:ascii="Arial" w:cs="Arial" w:hAnsi="Arial"/>
          <w:sz w:val="20"/>
          <w:szCs w:val="20"/>
        </w:rPr>
        <w:t>as a baseline. Long-term emissions such as CO</w:t>
      </w:r>
      <w:r w:rsidRPr="00E03B48">
        <w:rPr>
          <w:rFonts w:ascii="Arial" w:cs="Arial" w:hAnsi="Arial"/>
          <w:sz w:val="20"/>
          <w:szCs w:val="20"/>
          <w:vertAlign w:val="subscript"/>
        </w:rPr>
        <w:t>2</w:t>
      </w:r>
      <w:r w:rsidRPr="00E03B48">
        <w:rPr>
          <w:rFonts w:ascii="Arial" w:cs="Arial" w:hAnsi="Arial"/>
          <w:sz w:val="20"/>
          <w:szCs w:val="20"/>
        </w:rPr>
        <w:t>, CH</w:t>
      </w:r>
      <w:r w:rsidRPr="00E03B48">
        <w:rPr>
          <w:rFonts w:ascii="Arial" w:cs="Arial" w:hAnsi="Arial"/>
          <w:sz w:val="20"/>
          <w:szCs w:val="20"/>
          <w:vertAlign w:val="subscript"/>
        </w:rPr>
        <w:t>4,</w:t>
      </w:r>
      <w:r w:rsidRPr="00E03B48">
        <w:rPr>
          <w:rFonts w:ascii="Arial" w:cs="Arial" w:hAnsi="Arial"/>
          <w:sz w:val="20"/>
          <w:szCs w:val="20"/>
        </w:rPr>
        <w:t xml:space="preserve"> and N</w:t>
      </w:r>
      <w:r w:rsidRPr="00E03B48">
        <w:rPr>
          <w:rFonts w:ascii="Arial" w:cs="Arial" w:hAnsi="Arial"/>
          <w:sz w:val="20"/>
          <w:szCs w:val="20"/>
          <w:vertAlign w:val="subscript"/>
        </w:rPr>
        <w:t>2</w:t>
      </w:r>
      <w:r w:rsidRPr="00E03B48">
        <w:rPr>
          <w:rFonts w:ascii="Arial" w:cs="Arial" w:hAnsi="Arial"/>
          <w:sz w:val="20"/>
          <w:szCs w:val="20"/>
        </w:rPr>
        <w:t xml:space="preserve">O are the primary contributors to climate change, but water vapor is not considered to be a major contributor, even though it is common due to its short atmospheric presence. </w:t>
      </w:r>
      <w:proofErr w:type="spellStart"/>
      <w:r w:rsidRPr="00E03B48">
        <w:rPr>
          <w:rFonts w:ascii="Arial" w:cs="Arial" w:hAnsi="Arial"/>
          <w:sz w:val="20"/>
          <w:szCs w:val="20"/>
        </w:rPr>
        <w:t>MoEFCC</w:t>
      </w:r>
      <w:proofErr w:type="spellEnd"/>
      <w:r w:rsidRPr="00E03B48">
        <w:rPr>
          <w:rFonts w:ascii="Arial" w:cs="Arial" w:hAnsi="Arial"/>
          <w:sz w:val="20"/>
          <w:szCs w:val="20"/>
        </w:rPr>
        <w:t xml:space="preserve"> (2021) and IPCC (1995) assert that the GWP of CH</w:t>
      </w:r>
      <w:r w:rsidRPr="00E03B48">
        <w:rPr>
          <w:rFonts w:ascii="Arial" w:cs="Arial" w:hAnsi="Arial"/>
          <w:sz w:val="20"/>
          <w:szCs w:val="20"/>
          <w:vertAlign w:val="subscript"/>
        </w:rPr>
        <w:t>4</w:t>
      </w:r>
      <w:r w:rsidRPr="00E03B48">
        <w:rPr>
          <w:rFonts w:ascii="Arial" w:cs="Arial" w:hAnsi="Arial"/>
          <w:sz w:val="20"/>
          <w:szCs w:val="20"/>
        </w:rPr>
        <w:t xml:space="preserve"> and N</w:t>
      </w:r>
      <w:r w:rsidRPr="00E03B48">
        <w:rPr>
          <w:rFonts w:ascii="Arial" w:cs="Arial" w:hAnsi="Arial"/>
          <w:sz w:val="20"/>
          <w:szCs w:val="20"/>
          <w:vertAlign w:val="subscript"/>
        </w:rPr>
        <w:t>2</w:t>
      </w:r>
      <w:r w:rsidRPr="00E03B48">
        <w:rPr>
          <w:rFonts w:ascii="Arial" w:cs="Arial" w:hAnsi="Arial"/>
          <w:sz w:val="20"/>
          <w:szCs w:val="20"/>
        </w:rPr>
        <w:t>O are approximately 21 and 310 times that of CO</w:t>
      </w:r>
      <w:r w:rsidRPr="00E03B48">
        <w:rPr>
          <w:rFonts w:ascii="Arial" w:cs="Arial" w:hAnsi="Arial"/>
          <w:sz w:val="20"/>
          <w:szCs w:val="20"/>
          <w:vertAlign w:val="subscript"/>
        </w:rPr>
        <w:t>2</w:t>
      </w:r>
      <w:r w:rsidRPr="00E03B48">
        <w:rPr>
          <w:rFonts w:ascii="Arial" w:cs="Arial" w:hAnsi="Arial"/>
          <w:sz w:val="20"/>
          <w:szCs w:val="20"/>
        </w:rPr>
        <w:t>, respectively. The levels of GHGs have significantly increased over the last couple of years (Figure 3).</w:t>
      </w:r>
    </w:p>
    <w:p w14:paraId="0781F9ED" w14:textId="77777777" w:rsidP="00004E5B" w:rsidR="00004E5B" w:rsidRDefault="00004E5B" w:rsidRPr="00E03B48">
      <w:pPr>
        <w:pStyle w:val="NormalWeb"/>
        <w:jc w:val="center"/>
        <w:rPr>
          <w:rFonts w:ascii="Arial" w:cs="Arial" w:hAnsi="Arial"/>
          <w:sz w:val="20"/>
          <w:szCs w:val="20"/>
        </w:rPr>
      </w:pPr>
      <w:r w:rsidRPr="00E03B48">
        <w:rPr>
          <w:rFonts w:ascii="Arial" w:cs="Arial" w:hAnsi="Arial"/>
          <w:noProof/>
          <w:sz w:val="20"/>
          <w:szCs w:val="20"/>
        </w:rPr>
        <w:drawing>
          <wp:inline distB="0" distL="0" distR="0" distT="0" wp14:anchorId="24B9529F" wp14:editId="7542E49E">
            <wp:extent cx="4190835" cy="2798441"/>
            <wp:effectExtent b="0" l="0" r="0" t="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16">
                      <a:extLst>
                        <a:ext uri="{28A0092B-C50C-407E-A947-70E740481C1C}">
                          <a14:useLocalDpi xmlns:a14="http://schemas.microsoft.com/office/drawing/2010/main" val="0"/>
                        </a:ext>
                      </a:extLst>
                    </a:blip>
                    <a:srcRect/>
                    <a:stretch>
                      <a:fillRect/>
                    </a:stretch>
                  </pic:blipFill>
                  <pic:spPr bwMode="auto">
                    <a:xfrm>
                      <a:off x="0" y="0"/>
                      <a:ext cx="4227668" cy="2823037"/>
                    </a:xfrm>
                    <a:prstGeom prst="rect">
                      <a:avLst/>
                    </a:prstGeom>
                    <a:noFill/>
                    <a:ln>
                      <a:noFill/>
                    </a:ln>
                  </pic:spPr>
                </pic:pic>
              </a:graphicData>
            </a:graphic>
          </wp:inline>
        </w:drawing>
      </w:r>
    </w:p>
    <w:p w14:paraId="205DBE09" w14:textId="77777777" w:rsidP="00004E5B" w:rsidR="00004E5B" w:rsidRDefault="00004E5B" w:rsidRPr="00E03B48">
      <w:pPr>
        <w:pStyle w:val="NormalWeb"/>
        <w:jc w:val="center"/>
        <w:rPr>
          <w:rFonts w:ascii="Arial" w:cs="Arial" w:hAnsi="Arial"/>
          <w:sz w:val="20"/>
          <w:szCs w:val="20"/>
        </w:rPr>
      </w:pPr>
      <w:r w:rsidRPr="00E03B48">
        <w:rPr>
          <w:rFonts w:ascii="Arial" w:cs="Arial" w:hAnsi="Arial"/>
          <w:b/>
          <w:bCs/>
          <w:sz w:val="20"/>
          <w:szCs w:val="20"/>
        </w:rPr>
        <w:lastRenderedPageBreak/>
        <w:t>Figure 3.</w:t>
      </w:r>
      <w:r w:rsidRPr="00E03B48">
        <w:rPr>
          <w:rFonts w:ascii="Arial" w:cs="Arial" w:hAnsi="Arial"/>
          <w:sz w:val="20"/>
          <w:szCs w:val="20"/>
        </w:rPr>
        <w:t xml:space="preserve"> Greenhouse Gas (GHG) Emissions</w:t>
      </w:r>
    </w:p>
    <w:p w14:paraId="475016F1"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As of 2019, CO</w:t>
      </w:r>
      <w:r w:rsidRPr="00E03B48">
        <w:rPr>
          <w:rFonts w:ascii="Cambria Math" w:cs="Cambria Math" w:hAnsi="Cambria Math"/>
          <w:sz w:val="20"/>
          <w:szCs w:val="20"/>
        </w:rPr>
        <w:t>₂</w:t>
      </w:r>
      <w:r w:rsidRPr="00E03B48">
        <w:rPr>
          <w:rFonts w:ascii="Arial" w:cs="Arial" w:hAnsi="Arial"/>
          <w:sz w:val="20"/>
          <w:szCs w:val="20"/>
        </w:rPr>
        <w:t>, CH</w:t>
      </w:r>
      <w:r w:rsidRPr="00E03B48">
        <w:rPr>
          <w:rFonts w:ascii="Arial" w:cs="Arial" w:hAnsi="Arial"/>
          <w:sz w:val="20"/>
          <w:szCs w:val="20"/>
          <w:vertAlign w:val="subscript"/>
        </w:rPr>
        <w:t>4</w:t>
      </w:r>
      <w:r w:rsidRPr="00E03B48">
        <w:rPr>
          <w:rFonts w:ascii="Arial" w:cs="Arial" w:hAnsi="Arial"/>
          <w:sz w:val="20"/>
          <w:szCs w:val="20"/>
        </w:rPr>
        <w:t>, and NO</w:t>
      </w:r>
      <w:r w:rsidRPr="00E03B48">
        <w:rPr>
          <w:rFonts w:ascii="Arial" w:cs="Arial" w:hAnsi="Arial"/>
          <w:sz w:val="20"/>
          <w:szCs w:val="20"/>
          <w:vertAlign w:val="subscript"/>
        </w:rPr>
        <w:t>2</w:t>
      </w:r>
      <w:r w:rsidRPr="00E03B48">
        <w:rPr>
          <w:rFonts w:ascii="Arial" w:cs="Arial" w:hAnsi="Arial"/>
          <w:sz w:val="20"/>
          <w:szCs w:val="20"/>
        </w:rPr>
        <w:t xml:space="preserve"> concentration levels had reached 410 ppm, 1866 ppb, and 332 ppb, respectively (IPCC, 2021). These point to increases of 47, 156, and 23 percent since the pre-industrial period (1750). Although the concentrations of CH</w:t>
      </w:r>
      <w:r w:rsidRPr="00E03B48">
        <w:rPr>
          <w:rFonts w:ascii="Arial" w:cs="Arial" w:hAnsi="Arial"/>
          <w:sz w:val="20"/>
          <w:szCs w:val="20"/>
          <w:vertAlign w:val="subscript"/>
        </w:rPr>
        <w:t>4</w:t>
      </w:r>
      <w:r w:rsidRPr="00E03B48">
        <w:rPr>
          <w:rFonts w:ascii="Arial" w:cs="Arial" w:hAnsi="Arial"/>
          <w:sz w:val="20"/>
          <w:szCs w:val="20"/>
        </w:rPr>
        <w:t xml:space="preserve"> and N</w:t>
      </w:r>
      <w:r w:rsidRPr="00E03B48">
        <w:rPr>
          <w:rFonts w:ascii="Arial" w:cs="Arial" w:hAnsi="Arial"/>
          <w:sz w:val="20"/>
          <w:szCs w:val="20"/>
          <w:vertAlign w:val="subscript"/>
        </w:rPr>
        <w:t>2</w:t>
      </w:r>
      <w:r w:rsidRPr="00E03B48">
        <w:rPr>
          <w:rFonts w:ascii="Arial" w:cs="Arial" w:hAnsi="Arial"/>
          <w:sz w:val="20"/>
          <w:szCs w:val="20"/>
        </w:rPr>
        <w:t>O had not been this elevated in at least 800,000 years, the concentration of CO</w:t>
      </w:r>
      <w:r w:rsidRPr="00E03B48">
        <w:rPr>
          <w:rFonts w:ascii="Arial" w:cs="Arial" w:hAnsi="Arial"/>
          <w:sz w:val="20"/>
          <w:szCs w:val="20"/>
          <w:vertAlign w:val="subscript"/>
        </w:rPr>
        <w:t xml:space="preserve">2 </w:t>
      </w:r>
      <w:r w:rsidRPr="00E03B48">
        <w:rPr>
          <w:rFonts w:ascii="Arial" w:cs="Arial" w:hAnsi="Arial"/>
          <w:sz w:val="20"/>
          <w:szCs w:val="20"/>
        </w:rPr>
        <w:t>in 2019 was the highest in the last two million years. The major sources of greenhouse gas emissions in the world are energy generation, industry, forestry, agriculture, transportation, and buildings, with 59 ± 6.6 Gt CO</w:t>
      </w:r>
      <w:r w:rsidRPr="00E03B48">
        <w:rPr>
          <w:rFonts w:ascii="Arial" w:cs="Arial" w:hAnsi="Arial"/>
          <w:sz w:val="20"/>
          <w:szCs w:val="20"/>
          <w:vertAlign w:val="subscript"/>
        </w:rPr>
        <w:t xml:space="preserve">2 </w:t>
      </w:r>
      <w:r w:rsidRPr="00E03B48">
        <w:rPr>
          <w:rFonts w:ascii="Arial" w:cs="Arial" w:hAnsi="Arial"/>
          <w:sz w:val="20"/>
          <w:szCs w:val="20"/>
        </w:rPr>
        <w:t>equivalent of anthropogenic GHG emissions in 2019, the most recent one increasing by 54 percent above 1990 and 12 percent above 2010.</w:t>
      </w:r>
    </w:p>
    <w:p w14:paraId="668CF3D0"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The average annual emissions of 2010-2019 were 56 +/- 6.0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which is 9.1 Gt CO</w:t>
      </w:r>
      <w:r w:rsidRPr="00E03B48">
        <w:rPr>
          <w:rFonts w:ascii="Arial" w:cs="Arial" w:hAnsi="Arial"/>
          <w:sz w:val="20"/>
          <w:szCs w:val="20"/>
          <w:vertAlign w:val="subscript"/>
        </w:rPr>
        <w:t>2</w:t>
      </w:r>
      <w:r w:rsidRPr="00E03B48">
        <w:rPr>
          <w:rFonts w:ascii="Arial" w:cs="Arial" w:hAnsi="Arial"/>
          <w:sz w:val="20"/>
          <w:szCs w:val="20"/>
          <w:vertAlign w:val="superscript"/>
        </w:rPr>
        <w:t xml:space="preserve"> -</w:t>
      </w:r>
      <w:proofErr w:type="spellStart"/>
      <w:r w:rsidRPr="00E03B48">
        <w:rPr>
          <w:rFonts w:ascii="Arial" w:cs="Arial" w:hAnsi="Arial"/>
          <w:sz w:val="20"/>
          <w:szCs w:val="20"/>
          <w:vertAlign w:val="superscript"/>
        </w:rPr>
        <w:t>eq</w:t>
      </w:r>
      <w:proofErr w:type="spellEnd"/>
      <w:r w:rsidRPr="00E03B48">
        <w:rPr>
          <w:rFonts w:ascii="Arial" w:cs="Arial" w:hAnsi="Arial"/>
          <w:sz w:val="20"/>
          <w:szCs w:val="20"/>
          <w:vertAlign w:val="superscript"/>
        </w:rPr>
        <w:t xml:space="preserve"> </w:t>
      </w:r>
      <w:r w:rsidRPr="00E03B48">
        <w:rPr>
          <w:rFonts w:ascii="Arial" w:cs="Arial" w:hAnsi="Arial"/>
          <w:sz w:val="20"/>
          <w:szCs w:val="20"/>
        </w:rPr>
        <w:t>higher than the previous decade (IPCC, 2022). Of these emissions, 64% (38 ± 3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of the total was attributed to fossil fuel and industry, 11% (6.6 ± 4.6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of the total was attributed to land-use change and forestry, 18% (11 ± 3.2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of the total was attributed to CH </w:t>
      </w:r>
      <w:r w:rsidRPr="00E03B48">
        <w:rPr>
          <w:rFonts w:ascii="Arial" w:cs="Arial" w:hAnsi="Arial"/>
          <w:sz w:val="20"/>
          <w:szCs w:val="20"/>
          <w:vertAlign w:val="subscript"/>
        </w:rPr>
        <w:t>4</w:t>
      </w:r>
      <w:r w:rsidRPr="00E03B48">
        <w:rPr>
          <w:rFonts w:ascii="Arial" w:cs="Arial" w:hAnsi="Arial"/>
          <w:sz w:val="20"/>
          <w:szCs w:val="20"/>
        </w:rPr>
        <w:t>, 4% (2.7 ± 1.6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of the total was attributed to N</w:t>
      </w:r>
      <w:r w:rsidRPr="00E03B48">
        <w:rPr>
          <w:rFonts w:ascii="Arial" w:cs="Arial" w:hAnsi="Arial"/>
          <w:sz w:val="20"/>
          <w:szCs w:val="20"/>
          <w:vertAlign w:val="subscript"/>
        </w:rPr>
        <w:t>2</w:t>
      </w:r>
      <w:r w:rsidRPr="00E03B48">
        <w:rPr>
          <w:rFonts w:ascii="Arial" w:cs="Arial" w:hAnsi="Arial"/>
          <w:sz w:val="20"/>
          <w:szCs w:val="20"/>
        </w:rPr>
        <w:t xml:space="preserve"> CO</w:t>
      </w:r>
      <w:r w:rsidRPr="00E03B48">
        <w:rPr>
          <w:rFonts w:ascii="Arial" w:cs="Arial" w:hAnsi="Arial"/>
          <w:sz w:val="20"/>
          <w:szCs w:val="20"/>
          <w:vertAlign w:val="subscript"/>
        </w:rPr>
        <w:t xml:space="preserve">2 </w:t>
      </w:r>
      <w:r w:rsidRPr="00E03B48">
        <w:rPr>
          <w:rFonts w:ascii="Arial" w:cs="Arial" w:hAnsi="Arial"/>
          <w:sz w:val="20"/>
          <w:szCs w:val="20"/>
        </w:rPr>
        <w:t>is the most ubiquitous human greenhouse gas as more than 75 percent of the world emissions are contributed by it.</w:t>
      </w:r>
    </w:p>
    <w:p w14:paraId="487271B7" w14:textId="296C2F3E"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In 2019, the sector emissions were as follows: buildings 6% (3.3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transportation 15% (8.7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industry 24% (14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agriculture, forestry, and other land uses (AFOLU) 22% (13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and the energy supply sector 34% (20 Gt CO</w:t>
      </w:r>
      <w:r w:rsidRPr="00E03B48">
        <w:rPr>
          <w:rFonts w:ascii="Arial" w:cs="Arial" w:hAnsi="Arial"/>
          <w:sz w:val="20"/>
          <w:szCs w:val="20"/>
          <w:vertAlign w:val="subscript"/>
        </w:rPr>
        <w:t>2</w:t>
      </w:r>
      <w:r w:rsidRPr="00E03B48">
        <w:rPr>
          <w:rFonts w:ascii="Arial" w:cs="Arial" w:hAnsi="Arial"/>
          <w:sz w:val="20"/>
          <w:szCs w:val="20"/>
        </w:rPr>
        <w:t>-eq). In 2016, India made up 2,231 Mt CO</w:t>
      </w:r>
      <w:r w:rsidRPr="00E03B48">
        <w:rPr>
          <w:rFonts w:ascii="Arial" w:cs="Arial" w:hAnsi="Arial"/>
          <w:sz w:val="20"/>
          <w:szCs w:val="20"/>
          <w:vertAlign w:val="subscript"/>
        </w:rPr>
        <w:t>2</w:t>
      </w:r>
      <w:r w:rsidRPr="00E03B48">
        <w:rPr>
          <w:rFonts w:ascii="Arial" w:cs="Arial" w:hAnsi="Arial"/>
          <w:sz w:val="20"/>
          <w:szCs w:val="20"/>
        </w:rPr>
        <w:t xml:space="preserve"> (78.59%), 409 Mt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of CH</w:t>
      </w:r>
      <w:r w:rsidRPr="00E03B48">
        <w:rPr>
          <w:rFonts w:ascii="Arial" w:cs="Arial" w:hAnsi="Arial"/>
          <w:sz w:val="20"/>
          <w:szCs w:val="20"/>
          <w:vertAlign w:val="subscript"/>
        </w:rPr>
        <w:t>4</w:t>
      </w:r>
      <w:r w:rsidRPr="00E03B48">
        <w:rPr>
          <w:rFonts w:ascii="Arial" w:cs="Arial" w:hAnsi="Arial"/>
          <w:sz w:val="20"/>
          <w:szCs w:val="20"/>
        </w:rPr>
        <w:t xml:space="preserve"> (14.43%), and 145 Mt CO2-eq of N</w:t>
      </w:r>
      <w:r w:rsidRPr="00E03B48">
        <w:rPr>
          <w:rFonts w:ascii="Arial" w:cs="Arial" w:hAnsi="Arial"/>
          <w:sz w:val="20"/>
          <w:szCs w:val="20"/>
          <w:vertAlign w:val="subscript"/>
        </w:rPr>
        <w:t>2</w:t>
      </w:r>
      <w:r w:rsidRPr="00E03B48">
        <w:rPr>
          <w:rFonts w:ascii="Arial" w:cs="Arial" w:hAnsi="Arial"/>
          <w:sz w:val="20"/>
          <w:szCs w:val="20"/>
        </w:rPr>
        <w:t>O (5.12) in GHG emissions, not counting Land Use, Land-Use Change, and Forestry (LULUCF) emissions (</w:t>
      </w:r>
      <w:proofErr w:type="spellStart"/>
      <w:r w:rsidRPr="00E03B48">
        <w:rPr>
          <w:rFonts w:ascii="Arial" w:cs="Arial" w:hAnsi="Arial"/>
          <w:sz w:val="20"/>
          <w:szCs w:val="20"/>
        </w:rPr>
        <w:t>MoEFCC</w:t>
      </w:r>
      <w:proofErr w:type="spellEnd"/>
      <w:r w:rsidRPr="00E03B48">
        <w:rPr>
          <w:rFonts w:ascii="Arial" w:cs="Arial" w:hAnsi="Arial"/>
          <w:sz w:val="20"/>
          <w:szCs w:val="20"/>
        </w:rPr>
        <w:t xml:space="preserve">, 2021). In 2016, 75 </w:t>
      </w:r>
      <w:r w:rsidR="001F5BA7">
        <w:rPr>
          <w:rFonts w:ascii="Arial" w:cs="Arial" w:hAnsi="Arial"/>
          <w:sz w:val="20"/>
          <w:szCs w:val="20"/>
        </w:rPr>
        <w:t>percent</w:t>
      </w:r>
      <w:r w:rsidRPr="00E03B48">
        <w:rPr>
          <w:rFonts w:ascii="Arial" w:cs="Arial" w:hAnsi="Arial"/>
          <w:sz w:val="20"/>
          <w:szCs w:val="20"/>
        </w:rPr>
        <w:t xml:space="preserve"> of the total greenhouse gas emissions were related to the energy sector, 3 percent to waste, 8 percent to industrial activities, and 14 percent to the agricultural sector.</w:t>
      </w:r>
    </w:p>
    <w:p w14:paraId="69815CAF" w14:textId="77777777" w:rsidP="00004E5B" w:rsidR="00004E5B" w:rsidRDefault="00004E5B" w:rsidRPr="00E03B48">
      <w:pPr>
        <w:pStyle w:val="NormalWeb"/>
        <w:jc w:val="both"/>
        <w:rPr>
          <w:rFonts w:ascii="Arial" w:cs="Arial" w:hAnsi="Arial"/>
          <w:color w:themeColor="text1" w:val="000000"/>
          <w:sz w:val="20"/>
          <w:szCs w:val="20"/>
        </w:rPr>
      </w:pPr>
      <w:r w:rsidRPr="00E03B48">
        <w:rPr>
          <w:rFonts w:ascii="Arial" w:cs="Arial" w:hAnsi="Arial"/>
          <w:sz w:val="20"/>
          <w:szCs w:val="20"/>
        </w:rPr>
        <w:t>The national emissions, including LULUCF, increased by 9.75 percent between 2014 and 2015. The generation of electricity contributed about 40 percent of the energy-related emissions, with the construction and industry contributing 18.68 percent of the entire amount. The transportation sector contributed thirteen percent to the total energy emission, 407,821 Gg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or approximately 14 percent of the total emissions in India. 407,821 Gg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or approximately 14 percent, of the total emissions were produced by the agriculture sector. The second Biennial Update Report (BUR), which reported on the period between 2000 and 2014, reported that 73.2% of total emissions were as a result of energy, 7.8% of industry, 16% of agriculture, and 3 percent of waste. The gases were composed of 76.6 percent CO</w:t>
      </w:r>
      <w:r w:rsidRPr="00E03B48">
        <w:rPr>
          <w:rFonts w:ascii="Arial" w:cs="Arial" w:hAnsi="Arial"/>
          <w:sz w:val="20"/>
          <w:szCs w:val="20"/>
          <w:vertAlign w:val="subscript"/>
        </w:rPr>
        <w:t>2</w:t>
      </w:r>
      <w:r w:rsidRPr="00E03B48">
        <w:rPr>
          <w:rFonts w:ascii="Arial" w:cs="Arial" w:hAnsi="Arial"/>
          <w:sz w:val="20"/>
          <w:szCs w:val="20"/>
        </w:rPr>
        <w:t>, then CH</w:t>
      </w:r>
      <w:r w:rsidRPr="00E03B48">
        <w:rPr>
          <w:rFonts w:ascii="Arial" w:cs="Arial" w:hAnsi="Arial"/>
          <w:sz w:val="20"/>
          <w:szCs w:val="20"/>
          <w:vertAlign w:val="subscript"/>
        </w:rPr>
        <w:t>4</w:t>
      </w:r>
      <w:r w:rsidRPr="00E03B48">
        <w:rPr>
          <w:rFonts w:ascii="Arial" w:cs="Arial" w:hAnsi="Arial"/>
          <w:sz w:val="20"/>
          <w:szCs w:val="20"/>
        </w:rPr>
        <w:t xml:space="preserve"> (16.1 percent), N</w:t>
      </w:r>
      <w:r w:rsidRPr="00E03B48">
        <w:rPr>
          <w:rFonts w:ascii="Arial" w:cs="Arial" w:hAnsi="Arial"/>
          <w:sz w:val="20"/>
          <w:szCs w:val="20"/>
          <w:vertAlign w:val="subscript"/>
        </w:rPr>
        <w:t>2</w:t>
      </w:r>
      <w:r w:rsidRPr="00E03B48">
        <w:rPr>
          <w:rFonts w:ascii="Arial" w:cs="Arial" w:hAnsi="Arial"/>
          <w:sz w:val="20"/>
          <w:szCs w:val="20"/>
        </w:rPr>
        <w:t>O (5.7 percent), and F-gases (1.6 percent) (</w:t>
      </w:r>
      <w:proofErr w:type="spellStart"/>
      <w:r w:rsidRPr="00E03B48">
        <w:rPr>
          <w:rFonts w:ascii="Arial" w:cs="Arial" w:hAnsi="Arial"/>
          <w:sz w:val="20"/>
          <w:szCs w:val="20"/>
        </w:rPr>
        <w:t>MoEFCC</w:t>
      </w:r>
      <w:proofErr w:type="spellEnd"/>
      <w:r w:rsidRPr="00E03B48">
        <w:rPr>
          <w:rFonts w:ascii="Arial" w:cs="Arial" w:hAnsi="Arial"/>
          <w:sz w:val="20"/>
          <w:szCs w:val="20"/>
        </w:rPr>
        <w:t>, 2018). Such figures demonstrate that the GHG emission sources are divided into many categories, but still, burning of fossil fuels and energy-related processes are the biggest contributors, and so there is a need to contain climate change by addressing these problems.</w:t>
      </w:r>
    </w:p>
    <w:p w14:paraId="22CD924C" w14:textId="77777777" w:rsidP="00004E5B" w:rsidR="00004E5B" w:rsidRDefault="00004E5B" w:rsidRPr="002D7B13">
      <w:pPr>
        <w:pStyle w:val="Heading3"/>
        <w:spacing w:line="360" w:lineRule="auto"/>
        <w:jc w:val="both"/>
        <w:rPr>
          <w:rFonts w:ascii="Times New Roman" w:cs="Times New Roman" w:hAnsi="Times New Roman"/>
          <w:color w:themeColor="text1" w:val="000000"/>
        </w:rPr>
      </w:pPr>
      <w:r w:rsidRPr="00582A2A">
        <w:rPr>
          <w:rFonts w:ascii="Arial" w:cs="Arial" w:hAnsi="Arial"/>
          <w:b/>
          <w:bCs/>
          <w:sz w:val="22"/>
          <w:szCs w:val="22"/>
        </w:rPr>
        <w:t>5.</w:t>
      </w:r>
      <w:r>
        <w:rPr>
          <w:rFonts w:ascii="Arial" w:cs="Arial" w:hAnsi="Arial"/>
          <w:sz w:val="22"/>
          <w:szCs w:val="22"/>
        </w:rPr>
        <w:t xml:space="preserve"> </w:t>
      </w:r>
      <w:r w:rsidRPr="00E03B48">
        <w:rPr>
          <w:rStyle w:val="Strong"/>
          <w:rFonts w:ascii="Arial" w:cs="Arial" w:hAnsi="Arial"/>
          <w:color w:themeColor="text1" w:val="000000"/>
          <w:sz w:val="22"/>
          <w:szCs w:val="22"/>
        </w:rPr>
        <w:t>Greenhouse Gas Emissions from Agriculture</w:t>
      </w:r>
    </w:p>
    <w:p w14:paraId="43723697"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Agricultural soils are one of the primary sources and consumers of greenhouse gases (GHGs) and play an important role in climate change and global warming. The agriculture industry is one of the major emitters of two powerful greenhouse gases, namely methane (CH</w:t>
      </w:r>
      <w:r w:rsidRPr="00E03B48">
        <w:rPr>
          <w:rFonts w:ascii="Arial" w:cs="Arial" w:hAnsi="Arial"/>
          <w:sz w:val="20"/>
          <w:szCs w:val="20"/>
          <w:vertAlign w:val="subscript"/>
        </w:rPr>
        <w:t>4</w:t>
      </w:r>
      <w:r w:rsidRPr="00E03B48">
        <w:rPr>
          <w:rFonts w:ascii="Arial" w:cs="Arial" w:hAnsi="Arial"/>
          <w:sz w:val="20"/>
          <w:szCs w:val="20"/>
        </w:rPr>
        <w:t>) and nitrous oxide (N</w:t>
      </w:r>
      <w:r w:rsidRPr="00E03B48">
        <w:rPr>
          <w:rFonts w:ascii="Arial" w:cs="Arial" w:hAnsi="Arial"/>
          <w:sz w:val="20"/>
          <w:szCs w:val="20"/>
          <w:vertAlign w:val="subscript"/>
        </w:rPr>
        <w:t>2</w:t>
      </w:r>
      <w:r w:rsidRPr="00E03B48">
        <w:rPr>
          <w:rFonts w:ascii="Arial" w:cs="Arial" w:hAnsi="Arial"/>
          <w:sz w:val="20"/>
          <w:szCs w:val="20"/>
        </w:rPr>
        <w:t>O). The primary agricultural sources of methane emissions include rice cultivation and the raising of animals, including enteric fermentation and waste management. Conversely, the primary source of nitrous oxide is the use of fertilizers on farm soils. In 2019, agriculture, forestry, and other land use (AFOLU) contributed approximately 22% (13 Gt CO</w:t>
      </w:r>
      <w:r w:rsidRPr="00E03B48">
        <w:rPr>
          <w:rFonts w:ascii="Arial" w:cs="Arial" w:hAnsi="Arial"/>
          <w:sz w:val="20"/>
          <w:szCs w:val="20"/>
          <w:vertAlign w:val="subscript"/>
        </w:rPr>
        <w:t>2</w:t>
      </w:r>
      <w:r w:rsidRPr="00E03B48">
        <w:rPr>
          <w:rFonts w:ascii="Arial" w:cs="Arial" w:hAnsi="Arial"/>
          <w:sz w:val="20"/>
          <w:szCs w:val="20"/>
          <w:vertAlign w:val="superscript"/>
        </w:rPr>
        <w:t>-</w:t>
      </w:r>
      <w:r w:rsidRPr="00E03B48">
        <w:rPr>
          <w:rFonts w:ascii="Arial" w:cs="Arial" w:hAnsi="Arial"/>
          <w:sz w:val="20"/>
          <w:szCs w:val="20"/>
          <w:vertAlign w:val="superscript"/>
        </w:rPr>
        <w:lastRenderedPageBreak/>
        <w:t>eq</w:t>
      </w:r>
      <w:r w:rsidRPr="00E03B48">
        <w:rPr>
          <w:rFonts w:ascii="Arial" w:cs="Arial" w:hAnsi="Arial"/>
          <w:sz w:val="20"/>
          <w:szCs w:val="20"/>
        </w:rPr>
        <w:t>) of the total anthropogenic GHG emissions published, reaching 59 +/-6.6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(IPCC, 2022).</w:t>
      </w:r>
    </w:p>
    <w:p w14:paraId="0FA5158D"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It was found that more than half of the AFOLU emissions were caused by deforestation. Previous assessments of the yearly contribution of AFOLU by the year 2012 estimated it to range between 10 and 12 Gt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(IPCC, 2014). In 2016, the agriculture sector generated 407,821 Gg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of all emissions in India, making it approximately 14 percent of the total emissions (</w:t>
      </w:r>
      <w:proofErr w:type="spellStart"/>
      <w:r w:rsidRPr="00E03B48">
        <w:rPr>
          <w:rFonts w:ascii="Arial" w:cs="Arial" w:hAnsi="Arial"/>
          <w:sz w:val="20"/>
          <w:szCs w:val="20"/>
        </w:rPr>
        <w:t>MoEFCC</w:t>
      </w:r>
      <w:proofErr w:type="spellEnd"/>
      <w:r w:rsidRPr="00E03B48">
        <w:rPr>
          <w:rFonts w:ascii="Arial" w:cs="Arial" w:hAnsi="Arial"/>
          <w:sz w:val="20"/>
          <w:szCs w:val="20"/>
        </w:rPr>
        <w:t>, 2021). It was the first instance in the inventory in India where there was a decrease in the sector since 2014. Enteric fermentation (54.6) and fertilizer consumption (19.1), rice farming (17.5), manure handling (6.7), and field combustion of agricultural waste (2.2) were the next most common sources of agricultural emissions. Comparatively, according to the Indian Network on Climate Change Assessment (INCCA, 2010), the agriculture sector of the nation emitted 334.41 million tonnes of CO</w:t>
      </w:r>
      <w:r w:rsidRPr="00E03B48">
        <w:rPr>
          <w:rFonts w:ascii="Arial" w:cs="Arial" w:hAnsi="Arial"/>
          <w:sz w:val="20"/>
          <w:szCs w:val="20"/>
          <w:vertAlign w:val="subscript"/>
        </w:rPr>
        <w:t xml:space="preserve">2 </w:t>
      </w:r>
      <w:r w:rsidRPr="00E03B48">
        <w:rPr>
          <w:rFonts w:ascii="Arial" w:cs="Arial" w:hAnsi="Arial"/>
          <w:sz w:val="20"/>
          <w:szCs w:val="20"/>
        </w:rPr>
        <w:t>equivalent in 2007 (Figure 4).</w:t>
      </w:r>
    </w:p>
    <w:p w14:paraId="4B387BC4" w14:textId="77777777" w:rsidP="00004E5B" w:rsidR="00004E5B" w:rsidRDefault="00004E5B" w:rsidRPr="00E03B48">
      <w:pPr>
        <w:pStyle w:val="NormalWeb"/>
        <w:jc w:val="center"/>
        <w:rPr>
          <w:rFonts w:ascii="Arial" w:cs="Arial" w:hAnsi="Arial"/>
          <w:sz w:val="20"/>
          <w:szCs w:val="20"/>
        </w:rPr>
      </w:pPr>
      <w:r w:rsidRPr="00E03B48">
        <w:rPr>
          <w:rFonts w:ascii="Arial" w:cs="Arial" w:hAnsi="Arial"/>
          <w:noProof/>
          <w:sz w:val="20"/>
          <w:szCs w:val="20"/>
        </w:rPr>
        <w:drawing>
          <wp:inline distB="0" distL="0" distR="0" distT="0" wp14:anchorId="3C785468" wp14:editId="3C5DCB09">
            <wp:extent cx="3614457" cy="2413563"/>
            <wp:effectExtent b="0" l="0" r="0" t="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3652567" cy="2439011"/>
                    </a:xfrm>
                    <a:prstGeom prst="rect">
                      <a:avLst/>
                    </a:prstGeom>
                    <a:noFill/>
                    <a:ln>
                      <a:noFill/>
                    </a:ln>
                  </pic:spPr>
                </pic:pic>
              </a:graphicData>
            </a:graphic>
          </wp:inline>
        </w:drawing>
      </w:r>
    </w:p>
    <w:p w14:paraId="50F0FB39" w14:textId="77777777" w:rsidP="00004E5B" w:rsidR="00004E5B" w:rsidRDefault="00004E5B" w:rsidRPr="00E03B48">
      <w:pPr>
        <w:pStyle w:val="NormalWeb"/>
        <w:jc w:val="center"/>
        <w:rPr>
          <w:rFonts w:ascii="Arial" w:cs="Arial" w:hAnsi="Arial"/>
          <w:sz w:val="20"/>
          <w:szCs w:val="20"/>
        </w:rPr>
      </w:pPr>
      <w:r w:rsidRPr="00E03B48">
        <w:rPr>
          <w:rFonts w:ascii="Arial" w:cs="Arial" w:hAnsi="Arial"/>
          <w:b/>
          <w:sz w:val="20"/>
          <w:szCs w:val="20"/>
        </w:rPr>
        <w:t>Figure 4.</w:t>
      </w:r>
      <w:r w:rsidRPr="00E03B48">
        <w:rPr>
          <w:rFonts w:ascii="Arial" w:cs="Arial" w:hAnsi="Arial"/>
          <w:sz w:val="20"/>
          <w:szCs w:val="20"/>
        </w:rPr>
        <w:t xml:space="preserve"> Greenhouse Gas Emissions from Agriculture</w:t>
      </w:r>
    </w:p>
    <w:p w14:paraId="47E29E8F" w14:textId="77777777" w:rsidP="00004E5B" w:rsidR="00004E5B" w:rsidRDefault="00004E5B" w:rsidRPr="00E03B48">
      <w:pPr>
        <w:pStyle w:val="NormalWeb"/>
        <w:jc w:val="both"/>
        <w:rPr>
          <w:rFonts w:ascii="Arial" w:cs="Arial" w:hAnsi="Arial"/>
          <w:color w:themeColor="text1" w:val="000000"/>
          <w:sz w:val="20"/>
          <w:szCs w:val="20"/>
        </w:rPr>
      </w:pPr>
      <w:r w:rsidRPr="00E03B48">
        <w:rPr>
          <w:rFonts w:ascii="Arial" w:cs="Arial" w:hAnsi="Arial"/>
          <w:sz w:val="20"/>
          <w:szCs w:val="20"/>
        </w:rPr>
        <w:t>Enteric fermentation alone caused 212 million tons of CO</w:t>
      </w:r>
      <w:r w:rsidRPr="00E03B48">
        <w:rPr>
          <w:rFonts w:ascii="Arial" w:cs="Arial" w:hAnsi="Arial"/>
          <w:sz w:val="20"/>
          <w:szCs w:val="20"/>
          <w:vertAlign w:val="subscript"/>
        </w:rPr>
        <w:t>2</w:t>
      </w:r>
      <w:r w:rsidRPr="00E03B48">
        <w:rPr>
          <w:rFonts w:ascii="Arial" w:cs="Arial" w:hAnsi="Arial"/>
          <w:sz w:val="20"/>
          <w:szCs w:val="20"/>
          <w:vertAlign w:val="superscript"/>
        </w:rPr>
        <w:t>-eq</w:t>
      </w:r>
      <w:r w:rsidRPr="00E03B48">
        <w:rPr>
          <w:rFonts w:ascii="Arial" w:cs="Arial" w:hAnsi="Arial"/>
          <w:sz w:val="20"/>
          <w:szCs w:val="20"/>
        </w:rPr>
        <w:t xml:space="preserve"> (or 10.1 million tons of CH</w:t>
      </w:r>
      <w:r w:rsidRPr="00E03B48">
        <w:rPr>
          <w:rFonts w:ascii="Arial" w:cs="Arial" w:hAnsi="Arial"/>
          <w:sz w:val="20"/>
          <w:szCs w:val="20"/>
          <w:vertAlign w:val="subscript"/>
        </w:rPr>
        <w:t>4</w:t>
      </w:r>
      <w:r w:rsidRPr="00E03B48">
        <w:rPr>
          <w:rFonts w:ascii="Arial" w:cs="Arial" w:hAnsi="Arial"/>
          <w:sz w:val="20"/>
          <w:szCs w:val="20"/>
        </w:rPr>
        <w:t>) of carbon dioxide, and was by far the largest contributor to all agricultural emissions. 63.4 percent of all agricultural emissions were due to rice agriculture, and 2.44 million tons to manure management. Also, agricultural practices contributed over 50 percent of all the N</w:t>
      </w:r>
      <w:r w:rsidRPr="00E03B48">
        <w:rPr>
          <w:rFonts w:ascii="Arial" w:cs="Arial" w:hAnsi="Arial"/>
          <w:sz w:val="20"/>
          <w:szCs w:val="20"/>
          <w:vertAlign w:val="subscript"/>
        </w:rPr>
        <w:t>2</w:t>
      </w:r>
      <w:r w:rsidRPr="00E03B48">
        <w:rPr>
          <w:rFonts w:ascii="Arial" w:cs="Arial" w:hAnsi="Arial"/>
          <w:sz w:val="20"/>
          <w:szCs w:val="20"/>
        </w:rPr>
        <w:t>O emissions in the country, or approximately 0.15 million tons. Specific research also stipulates the emission intensity of a particular farming technique. As an example, puddled rice fields in India were found to emit 0.14 Mt of N</w:t>
      </w:r>
      <w:r w:rsidRPr="00E03B48">
        <w:rPr>
          <w:rFonts w:ascii="Arial" w:cs="Arial" w:hAnsi="Arial"/>
          <w:sz w:val="20"/>
          <w:szCs w:val="20"/>
          <w:vertAlign w:val="subscript"/>
        </w:rPr>
        <w:t>2</w:t>
      </w:r>
      <w:r w:rsidRPr="00E03B48">
        <w:rPr>
          <w:rFonts w:ascii="Arial" w:cs="Arial" w:hAnsi="Arial"/>
          <w:sz w:val="20"/>
          <w:szCs w:val="20"/>
        </w:rPr>
        <w:t>O and 3.37 Mt of CH</w:t>
      </w:r>
      <w:r w:rsidRPr="00E03B48">
        <w:rPr>
          <w:rFonts w:ascii="Arial" w:cs="Arial" w:hAnsi="Arial"/>
          <w:sz w:val="20"/>
          <w:szCs w:val="20"/>
          <w:vertAlign w:val="subscript"/>
        </w:rPr>
        <w:t xml:space="preserve">4 </w:t>
      </w:r>
      <w:r w:rsidRPr="00E03B48">
        <w:rPr>
          <w:rFonts w:ascii="Arial" w:cs="Arial" w:hAnsi="Arial"/>
          <w:sz w:val="20"/>
          <w:szCs w:val="20"/>
        </w:rPr>
        <w:t>annually (Bhatia et al., 2013). These findings demonstrate the significant role played by agriculture in GHG emissions, particularly in the production of rice, the use of fertilizers, and the handling of animals, and the fact that there is a pressing need to use mitigation practices in agriculture.</w:t>
      </w:r>
    </w:p>
    <w:p w14:paraId="5BE9C085" w14:textId="77777777" w:rsidP="00004E5B" w:rsidR="00004E5B" w:rsidRDefault="00004E5B" w:rsidRPr="002D7B13">
      <w:pPr>
        <w:pStyle w:val="Heading3"/>
        <w:spacing w:line="360" w:lineRule="auto"/>
        <w:jc w:val="both"/>
        <w:rPr>
          <w:rFonts w:ascii="Times New Roman" w:cs="Times New Roman" w:hAnsi="Times New Roman"/>
          <w:color w:themeColor="text1" w:val="000000"/>
        </w:rPr>
      </w:pPr>
      <w:r w:rsidRPr="00582A2A">
        <w:rPr>
          <w:rFonts w:ascii="Arial" w:cs="Arial" w:hAnsi="Arial"/>
          <w:b/>
          <w:bCs/>
          <w:sz w:val="22"/>
          <w:szCs w:val="22"/>
        </w:rPr>
        <w:t>6</w:t>
      </w:r>
      <w:r>
        <w:rPr>
          <w:rFonts w:ascii="Arial" w:cs="Arial" w:hAnsi="Arial"/>
          <w:sz w:val="22"/>
          <w:szCs w:val="22"/>
        </w:rPr>
        <w:t xml:space="preserve">. </w:t>
      </w:r>
      <w:r w:rsidRPr="00E03B48">
        <w:rPr>
          <w:rStyle w:val="Strong"/>
          <w:rFonts w:ascii="Arial" w:cs="Arial" w:hAnsi="Arial"/>
          <w:color w:themeColor="text1" w:val="000000"/>
          <w:sz w:val="22"/>
          <w:szCs w:val="22"/>
        </w:rPr>
        <w:t>Impact of Elevated CO</w:t>
      </w:r>
      <w:r w:rsidRPr="00E03B48">
        <w:rPr>
          <w:rStyle w:val="Strong"/>
          <w:rFonts w:ascii="Cambria Math" w:cs="Cambria Math" w:hAnsi="Cambria Math"/>
          <w:color w:themeColor="text1" w:val="000000"/>
          <w:sz w:val="22"/>
          <w:szCs w:val="22"/>
        </w:rPr>
        <w:t>₂</w:t>
      </w:r>
      <w:r w:rsidRPr="00E03B48">
        <w:rPr>
          <w:rStyle w:val="Strong"/>
          <w:rFonts w:ascii="Arial" w:cs="Arial" w:hAnsi="Arial"/>
          <w:color w:themeColor="text1" w:val="000000"/>
          <w:sz w:val="22"/>
          <w:szCs w:val="22"/>
        </w:rPr>
        <w:t xml:space="preserve"> and Temperature on GHG Emissions in Rice</w:t>
      </w:r>
    </w:p>
    <w:p w14:paraId="318B8FB9"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Most of the methane (CH</w:t>
      </w:r>
      <w:r w:rsidRPr="00E03B48">
        <w:rPr>
          <w:rFonts w:ascii="Arial" w:cs="Arial" w:hAnsi="Arial"/>
          <w:sz w:val="20"/>
          <w:szCs w:val="20"/>
          <w:vertAlign w:val="subscript"/>
        </w:rPr>
        <w:t>4</w:t>
      </w:r>
      <w:r w:rsidRPr="00E03B48">
        <w:rPr>
          <w:rFonts w:ascii="Arial" w:cs="Arial" w:hAnsi="Arial"/>
          <w:sz w:val="20"/>
          <w:szCs w:val="20"/>
        </w:rPr>
        <w:t xml:space="preserve">) generated under the anoxic environment of paddy soils in the submerged soils is produced through the anaerobic degradation of organic carbon molecules (Bhatia </w:t>
      </w:r>
      <w:r w:rsidRPr="009C3369">
        <w:rPr>
          <w:rFonts w:ascii="Arial" w:cs="Arial" w:hAnsi="Arial"/>
          <w:i/>
          <w:iCs/>
          <w:sz w:val="20"/>
          <w:szCs w:val="20"/>
        </w:rPr>
        <w:t>et al</w:t>
      </w:r>
      <w:r w:rsidRPr="00E03B48">
        <w:rPr>
          <w:rFonts w:ascii="Arial" w:cs="Arial" w:hAnsi="Arial"/>
          <w:sz w:val="20"/>
          <w:szCs w:val="20"/>
        </w:rPr>
        <w:t>., 2005, 2013; Conrad, 1996). Some of the factors that influence the rate and quantity of CH</w:t>
      </w:r>
      <w:r w:rsidRPr="00E03B48">
        <w:rPr>
          <w:rFonts w:ascii="Arial" w:cs="Arial" w:hAnsi="Arial"/>
          <w:sz w:val="20"/>
          <w:szCs w:val="20"/>
          <w:vertAlign w:val="subscript"/>
        </w:rPr>
        <w:t xml:space="preserve">4 </w:t>
      </w:r>
      <w:r w:rsidRPr="00E03B48">
        <w:rPr>
          <w:rFonts w:ascii="Arial" w:cs="Arial" w:hAnsi="Arial"/>
          <w:sz w:val="20"/>
          <w:szCs w:val="20"/>
        </w:rPr>
        <w:t xml:space="preserve">emissions in rice fields include availability of soil organic matter, redox potential (Eh) and biomass of crops above and below the soil, crop duration and water management </w:t>
      </w:r>
      <w:r w:rsidRPr="00E03B48">
        <w:rPr>
          <w:rFonts w:ascii="Arial" w:cs="Arial" w:hAnsi="Arial"/>
          <w:sz w:val="20"/>
          <w:szCs w:val="20"/>
        </w:rPr>
        <w:lastRenderedPageBreak/>
        <w:t xml:space="preserve">methods (Jain </w:t>
      </w:r>
      <w:r w:rsidRPr="009C3369">
        <w:rPr>
          <w:rFonts w:ascii="Arial" w:cs="Arial" w:hAnsi="Arial"/>
          <w:i/>
          <w:iCs/>
          <w:sz w:val="20"/>
          <w:szCs w:val="20"/>
        </w:rPr>
        <w:t>et al</w:t>
      </w:r>
      <w:r w:rsidRPr="00E03B48">
        <w:rPr>
          <w:rFonts w:ascii="Arial" w:cs="Arial" w:hAnsi="Arial"/>
          <w:sz w:val="20"/>
          <w:szCs w:val="20"/>
        </w:rPr>
        <w:t xml:space="preserve">., 2004; Xu </w:t>
      </w:r>
      <w:r w:rsidRPr="009C3369">
        <w:rPr>
          <w:rFonts w:ascii="Arial" w:cs="Arial" w:hAnsi="Arial"/>
          <w:i/>
          <w:iCs/>
          <w:sz w:val="20"/>
          <w:szCs w:val="20"/>
        </w:rPr>
        <w:t>et al</w:t>
      </w:r>
      <w:r w:rsidRPr="00E03B48">
        <w:rPr>
          <w:rFonts w:ascii="Arial" w:cs="Arial" w:hAnsi="Arial"/>
          <w:sz w:val="20"/>
          <w:szCs w:val="20"/>
        </w:rPr>
        <w:t xml:space="preserve">., 2017; Gupta </w:t>
      </w:r>
      <w:r w:rsidRPr="009C3369">
        <w:rPr>
          <w:rFonts w:ascii="Arial" w:cs="Arial" w:hAnsi="Arial"/>
          <w:i/>
          <w:iCs/>
          <w:sz w:val="20"/>
          <w:szCs w:val="20"/>
        </w:rPr>
        <w:t>et al</w:t>
      </w:r>
      <w:r w:rsidRPr="00E03B48">
        <w:rPr>
          <w:rFonts w:ascii="Arial" w:cs="Arial" w:hAnsi="Arial"/>
          <w:sz w:val="20"/>
          <w:szCs w:val="20"/>
        </w:rPr>
        <w:t>., 2016; Le Mer and Roger, 2001). Also, the nature, use, and quantities of nitrogen fertilizers have significant effects on CH</w:t>
      </w:r>
      <w:r w:rsidRPr="00E03B48">
        <w:rPr>
          <w:rFonts w:ascii="Arial" w:cs="Arial" w:hAnsi="Arial"/>
          <w:sz w:val="20"/>
          <w:szCs w:val="20"/>
          <w:vertAlign w:val="subscript"/>
        </w:rPr>
        <w:t>4</w:t>
      </w:r>
      <w:r w:rsidRPr="00E03B48">
        <w:rPr>
          <w:rFonts w:ascii="Arial" w:cs="Arial" w:hAnsi="Arial"/>
          <w:sz w:val="20"/>
          <w:szCs w:val="20"/>
        </w:rPr>
        <w:t xml:space="preserve"> emissions (Kumar and </w:t>
      </w:r>
      <w:proofErr w:type="spellStart"/>
      <w:r w:rsidRPr="00E03B48">
        <w:rPr>
          <w:rFonts w:ascii="Arial" w:cs="Arial" w:hAnsi="Arial"/>
          <w:sz w:val="20"/>
          <w:szCs w:val="20"/>
        </w:rPr>
        <w:t>Malyan</w:t>
      </w:r>
      <w:proofErr w:type="spellEnd"/>
      <w:r w:rsidRPr="00E03B48">
        <w:rPr>
          <w:rFonts w:ascii="Arial" w:cs="Arial" w:hAnsi="Arial"/>
          <w:sz w:val="20"/>
          <w:szCs w:val="20"/>
        </w:rPr>
        <w:t xml:space="preserve">, 2016; Hussain </w:t>
      </w:r>
      <w:r w:rsidRPr="009C3369">
        <w:rPr>
          <w:rFonts w:ascii="Arial" w:cs="Arial" w:hAnsi="Arial"/>
          <w:i/>
          <w:iCs/>
          <w:sz w:val="20"/>
          <w:szCs w:val="20"/>
        </w:rPr>
        <w:t>et al</w:t>
      </w:r>
      <w:r w:rsidRPr="00E03B48">
        <w:rPr>
          <w:rFonts w:ascii="Arial" w:cs="Arial" w:hAnsi="Arial"/>
          <w:sz w:val="20"/>
          <w:szCs w:val="20"/>
        </w:rPr>
        <w:t>., 2015; Majumdar, 2003).</w:t>
      </w:r>
    </w:p>
    <w:p w14:paraId="52158B24" w14:textId="5498A73E"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The result of augmenting photosynthesis due to a rise in atmospheric CO</w:t>
      </w:r>
      <w:r w:rsidRPr="00E03B48">
        <w:rPr>
          <w:rFonts w:ascii="Arial" w:cs="Arial" w:hAnsi="Arial"/>
          <w:sz w:val="20"/>
          <w:szCs w:val="20"/>
          <w:vertAlign w:val="subscript"/>
        </w:rPr>
        <w:t>2</w:t>
      </w:r>
      <w:r w:rsidRPr="00E03B48">
        <w:rPr>
          <w:rFonts w:ascii="Arial" w:cs="Arial" w:hAnsi="Arial"/>
          <w:sz w:val="20"/>
          <w:szCs w:val="20"/>
        </w:rPr>
        <w:t xml:space="preserve"> is augmented photosynthetic generation (</w:t>
      </w:r>
      <w:proofErr w:type="spellStart"/>
      <w:r w:rsidRPr="00E03B48">
        <w:rPr>
          <w:rFonts w:ascii="Arial" w:cs="Arial" w:hAnsi="Arial"/>
          <w:sz w:val="20"/>
          <w:szCs w:val="20"/>
        </w:rPr>
        <w:t>Daepp</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2000; Prior </w:t>
      </w:r>
      <w:r w:rsidRPr="009C3369">
        <w:rPr>
          <w:rFonts w:ascii="Arial" w:cs="Arial" w:hAnsi="Arial"/>
          <w:i/>
          <w:iCs/>
          <w:sz w:val="20"/>
          <w:szCs w:val="20"/>
        </w:rPr>
        <w:t>et al</w:t>
      </w:r>
      <w:r w:rsidRPr="00E03B48">
        <w:rPr>
          <w:rFonts w:ascii="Arial" w:cs="Arial" w:hAnsi="Arial"/>
          <w:sz w:val="20"/>
          <w:szCs w:val="20"/>
        </w:rPr>
        <w:t xml:space="preserve">., 2011). Other of these </w:t>
      </w:r>
      <w:proofErr w:type="spellStart"/>
      <w:r w:rsidRPr="00E03B48">
        <w:rPr>
          <w:rFonts w:ascii="Arial" w:cs="Arial" w:hAnsi="Arial"/>
          <w:sz w:val="20"/>
          <w:szCs w:val="20"/>
        </w:rPr>
        <w:t>photosyntheses</w:t>
      </w:r>
      <w:proofErr w:type="spellEnd"/>
      <w:r w:rsidRPr="00E03B48">
        <w:rPr>
          <w:rFonts w:ascii="Arial" w:cs="Arial" w:hAnsi="Arial"/>
          <w:sz w:val="20"/>
          <w:szCs w:val="20"/>
        </w:rPr>
        <w:t xml:space="preserve"> are exchanged to roots, which promotes root exudation (Bhattacharyya </w:t>
      </w:r>
      <w:r w:rsidRPr="009C3369">
        <w:rPr>
          <w:rFonts w:ascii="Arial" w:cs="Arial" w:hAnsi="Arial"/>
          <w:i/>
          <w:iCs/>
          <w:sz w:val="20"/>
          <w:szCs w:val="20"/>
        </w:rPr>
        <w:t>et al.,</w:t>
      </w:r>
      <w:r w:rsidRPr="00E03B48">
        <w:rPr>
          <w:rFonts w:ascii="Arial" w:cs="Arial" w:hAnsi="Arial"/>
          <w:sz w:val="20"/>
          <w:szCs w:val="20"/>
        </w:rPr>
        <w:t xml:space="preserve"> 2014). The exudates alter biomass, diversity, and activity of soil microbial communities (Norby </w:t>
      </w:r>
      <w:r w:rsidRPr="009C3369">
        <w:rPr>
          <w:rFonts w:ascii="Arial" w:cs="Arial" w:hAnsi="Arial"/>
          <w:i/>
          <w:iCs/>
          <w:sz w:val="20"/>
          <w:szCs w:val="20"/>
        </w:rPr>
        <w:t>et al.,</w:t>
      </w:r>
      <w:r w:rsidRPr="00E03B48">
        <w:rPr>
          <w:rFonts w:ascii="Arial" w:cs="Arial" w:hAnsi="Arial"/>
          <w:sz w:val="20"/>
          <w:szCs w:val="20"/>
        </w:rPr>
        <w:t xml:space="preserve"> 2004; Treseder </w:t>
      </w:r>
      <w:r w:rsidRPr="009C3369">
        <w:rPr>
          <w:rFonts w:ascii="Arial" w:cs="Arial" w:hAnsi="Arial"/>
          <w:i/>
          <w:iCs/>
          <w:sz w:val="20"/>
          <w:szCs w:val="20"/>
        </w:rPr>
        <w:t>et al</w:t>
      </w:r>
      <w:r w:rsidRPr="00E03B48">
        <w:rPr>
          <w:rFonts w:ascii="Arial" w:cs="Arial" w:hAnsi="Arial"/>
          <w:sz w:val="20"/>
          <w:szCs w:val="20"/>
        </w:rPr>
        <w:t xml:space="preserve">., 2003), which alters the cycling of carbon and nitrogen in the soil (Barnard </w:t>
      </w:r>
      <w:r w:rsidRPr="009C3369">
        <w:rPr>
          <w:rFonts w:ascii="Arial" w:cs="Arial" w:hAnsi="Arial"/>
          <w:i/>
          <w:iCs/>
          <w:sz w:val="20"/>
          <w:szCs w:val="20"/>
        </w:rPr>
        <w:t>et al.</w:t>
      </w:r>
      <w:r w:rsidRPr="00E03B48">
        <w:rPr>
          <w:rFonts w:ascii="Arial" w:cs="Arial" w:hAnsi="Arial"/>
          <w:sz w:val="20"/>
          <w:szCs w:val="20"/>
        </w:rPr>
        <w:t xml:space="preserve">, 2005; Cheng </w:t>
      </w:r>
      <w:r w:rsidRPr="009C3369">
        <w:rPr>
          <w:rFonts w:ascii="Arial" w:cs="Arial" w:hAnsi="Arial"/>
          <w:i/>
          <w:iCs/>
          <w:sz w:val="20"/>
          <w:szCs w:val="20"/>
        </w:rPr>
        <w:t>et al</w:t>
      </w:r>
      <w:r w:rsidRPr="00E03B48">
        <w:rPr>
          <w:rFonts w:ascii="Arial" w:cs="Arial" w:hAnsi="Arial"/>
          <w:sz w:val="20"/>
          <w:szCs w:val="20"/>
        </w:rPr>
        <w:t>., 2000; Fey and Conrad, 2000). Increases in CH</w:t>
      </w:r>
      <w:r w:rsidRPr="00E03B48">
        <w:rPr>
          <w:rFonts w:ascii="Arial" w:cs="Arial" w:hAnsi="Arial"/>
          <w:sz w:val="20"/>
          <w:szCs w:val="20"/>
          <w:vertAlign w:val="subscript"/>
        </w:rPr>
        <w:t>4</w:t>
      </w:r>
      <w:r w:rsidRPr="00E03B48">
        <w:rPr>
          <w:rFonts w:ascii="Arial" w:cs="Arial" w:hAnsi="Arial"/>
          <w:sz w:val="20"/>
          <w:szCs w:val="20"/>
        </w:rPr>
        <w:t xml:space="preserve"> emissions during conditions of high CO</w:t>
      </w:r>
      <w:r w:rsidRPr="00E03B48">
        <w:rPr>
          <w:rFonts w:ascii="Arial" w:cs="Arial" w:hAnsi="Arial"/>
          <w:sz w:val="20"/>
          <w:szCs w:val="20"/>
          <w:vertAlign w:val="subscript"/>
        </w:rPr>
        <w:t>2</w:t>
      </w:r>
      <w:r w:rsidRPr="00E03B48">
        <w:rPr>
          <w:rFonts w:ascii="Arial" w:cs="Arial" w:hAnsi="Arial"/>
          <w:sz w:val="20"/>
          <w:szCs w:val="20"/>
        </w:rPr>
        <w:t xml:space="preserve"> have been demonstrated to be significant in many studies (Lou </w:t>
      </w:r>
      <w:r w:rsidRPr="009C3369">
        <w:rPr>
          <w:rFonts w:ascii="Arial" w:cs="Arial" w:hAnsi="Arial"/>
          <w:i/>
          <w:iCs/>
          <w:sz w:val="20"/>
          <w:szCs w:val="20"/>
        </w:rPr>
        <w:t>et al.,</w:t>
      </w:r>
      <w:r w:rsidRPr="00E03B48">
        <w:rPr>
          <w:rFonts w:ascii="Arial" w:cs="Arial" w:hAnsi="Arial"/>
          <w:sz w:val="20"/>
          <w:szCs w:val="20"/>
        </w:rPr>
        <w:t xml:space="preserve"> 2008; Cheng </w:t>
      </w:r>
      <w:r w:rsidRPr="009C3369">
        <w:rPr>
          <w:rFonts w:ascii="Arial" w:cs="Arial" w:hAnsi="Arial"/>
          <w:i/>
          <w:iCs/>
          <w:sz w:val="20"/>
          <w:szCs w:val="20"/>
        </w:rPr>
        <w:t>et al.,</w:t>
      </w:r>
      <w:r w:rsidRPr="00E03B48">
        <w:rPr>
          <w:rFonts w:ascii="Arial" w:cs="Arial" w:hAnsi="Arial"/>
          <w:sz w:val="20"/>
          <w:szCs w:val="20"/>
        </w:rPr>
        <w:t xml:space="preserve"> 2006, 2008; Xu </w:t>
      </w:r>
      <w:r w:rsidRPr="009C3369">
        <w:rPr>
          <w:rFonts w:ascii="Arial" w:cs="Arial" w:hAnsi="Arial"/>
          <w:i/>
          <w:iCs/>
          <w:sz w:val="20"/>
          <w:szCs w:val="20"/>
        </w:rPr>
        <w:t>et al</w:t>
      </w:r>
      <w:r w:rsidRPr="00E03B48">
        <w:rPr>
          <w:rFonts w:ascii="Arial" w:cs="Arial" w:hAnsi="Arial"/>
          <w:sz w:val="20"/>
          <w:szCs w:val="20"/>
        </w:rPr>
        <w:t xml:space="preserve">., 2004; Ziska </w:t>
      </w:r>
      <w:r w:rsidRPr="009C3369">
        <w:rPr>
          <w:rFonts w:ascii="Arial" w:cs="Arial" w:hAnsi="Arial"/>
          <w:i/>
          <w:iCs/>
          <w:sz w:val="20"/>
          <w:szCs w:val="20"/>
        </w:rPr>
        <w:t>et al.,</w:t>
      </w:r>
      <w:r w:rsidRPr="00E03B48">
        <w:rPr>
          <w:rFonts w:ascii="Arial" w:cs="Arial" w:hAnsi="Arial"/>
          <w:sz w:val="20"/>
          <w:szCs w:val="20"/>
        </w:rPr>
        <w:t xml:space="preserve"> 1998</w:t>
      </w:r>
      <w:r w:rsidR="001F5BA7">
        <w:rPr>
          <w:rFonts w:ascii="Arial" w:cs="Arial" w:hAnsi="Arial"/>
          <w:sz w:val="20"/>
          <w:szCs w:val="20"/>
        </w:rPr>
        <w:t>)</w:t>
      </w:r>
      <w:r w:rsidRPr="00E03B48">
        <w:rPr>
          <w:rFonts w:ascii="Arial" w:cs="Arial" w:hAnsi="Arial"/>
          <w:sz w:val="20"/>
          <w:szCs w:val="20"/>
        </w:rPr>
        <w:t>.</w:t>
      </w:r>
    </w:p>
    <w:p w14:paraId="1F87C33D"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Indicatively, Xu et al. (2004) recorded an increase of up to 200% under the CO</w:t>
      </w:r>
      <w:r w:rsidRPr="00E03B48">
        <w:rPr>
          <w:rFonts w:ascii="Cambria Math" w:cs="Cambria Math" w:hAnsi="Cambria Math"/>
          <w:sz w:val="20"/>
          <w:szCs w:val="20"/>
        </w:rPr>
        <w:t>₂</w:t>
      </w:r>
      <w:r w:rsidRPr="00E03B48">
        <w:rPr>
          <w:rFonts w:ascii="Arial" w:cs="Arial" w:hAnsi="Arial"/>
          <w:sz w:val="20"/>
          <w:szCs w:val="20"/>
        </w:rPr>
        <w:t xml:space="preserve"> enrichment of +200 µmol mol</w:t>
      </w:r>
      <w:r w:rsidRPr="00E03B48">
        <w:rPr>
          <w:rFonts w:ascii="Arial" w:cs="Arial" w:hAnsi="Arial"/>
          <w:sz w:val="20"/>
          <w:szCs w:val="20"/>
          <w:vertAlign w:val="superscript"/>
        </w:rPr>
        <w:t>-1,</w:t>
      </w:r>
      <w:r w:rsidRPr="00E03B48">
        <w:rPr>
          <w:rFonts w:ascii="Arial" w:cs="Arial" w:hAnsi="Arial"/>
          <w:sz w:val="20"/>
          <w:szCs w:val="20"/>
        </w:rPr>
        <w:t xml:space="preserve"> whilst Allen et al. (2003) reported a 50 percent to 100 percent increase in CH</w:t>
      </w:r>
      <w:r w:rsidRPr="00E03B48">
        <w:rPr>
          <w:rFonts w:ascii="Arial" w:cs="Arial" w:hAnsi="Arial"/>
          <w:sz w:val="20"/>
          <w:szCs w:val="20"/>
          <w:vertAlign w:val="subscript"/>
        </w:rPr>
        <w:t>4</w:t>
      </w:r>
      <w:r w:rsidRPr="00E03B48">
        <w:rPr>
          <w:rFonts w:ascii="Arial" w:cs="Arial" w:hAnsi="Arial"/>
          <w:sz w:val="20"/>
          <w:szCs w:val="20"/>
        </w:rPr>
        <w:t xml:space="preserve"> emission with the enrichment of CO</w:t>
      </w:r>
      <w:r w:rsidRPr="00E03B48">
        <w:rPr>
          <w:rFonts w:ascii="Arial" w:cs="Arial" w:hAnsi="Arial"/>
          <w:sz w:val="20"/>
          <w:szCs w:val="20"/>
          <w:vertAlign w:val="subscript"/>
        </w:rPr>
        <w:t>2</w:t>
      </w:r>
      <w:r w:rsidRPr="00E03B48">
        <w:rPr>
          <w:rFonts w:ascii="Arial" w:cs="Arial" w:hAnsi="Arial"/>
          <w:sz w:val="20"/>
          <w:szCs w:val="20"/>
        </w:rPr>
        <w:t xml:space="preserve"> by +300. Whereas Wang </w:t>
      </w:r>
      <w:r w:rsidRPr="009C3369">
        <w:rPr>
          <w:rFonts w:ascii="Arial" w:cs="Arial" w:hAnsi="Arial"/>
          <w:i/>
          <w:iCs/>
          <w:sz w:val="20"/>
          <w:szCs w:val="20"/>
        </w:rPr>
        <w:t>et al</w:t>
      </w:r>
      <w:r w:rsidRPr="00E03B48">
        <w:rPr>
          <w:rFonts w:ascii="Arial" w:cs="Arial" w:hAnsi="Arial"/>
          <w:sz w:val="20"/>
          <w:szCs w:val="20"/>
        </w:rPr>
        <w:t>. (2018) reported an average 43% rise in CH</w:t>
      </w:r>
      <w:r w:rsidRPr="00E03B48">
        <w:rPr>
          <w:rFonts w:ascii="Arial" w:cs="Arial" w:hAnsi="Arial"/>
          <w:sz w:val="20"/>
          <w:szCs w:val="20"/>
          <w:vertAlign w:val="subscript"/>
        </w:rPr>
        <w:t>4</w:t>
      </w:r>
      <w:r w:rsidRPr="00E03B48">
        <w:rPr>
          <w:rFonts w:ascii="Arial" w:cs="Arial" w:hAnsi="Arial"/>
          <w:sz w:val="20"/>
          <w:szCs w:val="20"/>
        </w:rPr>
        <w:t xml:space="preserve"> emissions by rice fields when CO</w:t>
      </w:r>
      <w:r w:rsidRPr="00E03B48">
        <w:rPr>
          <w:rFonts w:ascii="Arial" w:cs="Arial" w:hAnsi="Arial"/>
          <w:sz w:val="20"/>
          <w:szCs w:val="20"/>
          <w:vertAlign w:val="subscript"/>
        </w:rPr>
        <w:t>2</w:t>
      </w:r>
      <w:r w:rsidRPr="00E03B48">
        <w:rPr>
          <w:rFonts w:ascii="Arial" w:cs="Arial" w:hAnsi="Arial"/>
          <w:sz w:val="20"/>
          <w:szCs w:val="20"/>
        </w:rPr>
        <w:t xml:space="preserve"> was raised, Van </w:t>
      </w:r>
      <w:proofErr w:type="spellStart"/>
      <w:r w:rsidRPr="00E03B48">
        <w:rPr>
          <w:rFonts w:ascii="Arial" w:cs="Arial" w:hAnsi="Arial"/>
          <w:sz w:val="20"/>
          <w:szCs w:val="20"/>
        </w:rPr>
        <w:t>Groenigen</w:t>
      </w:r>
      <w:proofErr w:type="spellEnd"/>
      <w:r w:rsidRPr="00E03B48">
        <w:rPr>
          <w:rFonts w:ascii="Arial" w:cs="Arial" w:hAnsi="Arial"/>
          <w:sz w:val="20"/>
          <w:szCs w:val="20"/>
        </w:rPr>
        <w:t xml:space="preserve"> et al. (2013) reported a rise in CH</w:t>
      </w:r>
      <w:r w:rsidRPr="00E03B48">
        <w:rPr>
          <w:rFonts w:ascii="Arial" w:cs="Arial" w:hAnsi="Arial"/>
          <w:sz w:val="20"/>
          <w:szCs w:val="20"/>
          <w:vertAlign w:val="subscript"/>
        </w:rPr>
        <w:t>4</w:t>
      </w:r>
      <w:r w:rsidRPr="00E03B48">
        <w:rPr>
          <w:rFonts w:ascii="Arial" w:cs="Arial" w:hAnsi="Arial"/>
          <w:sz w:val="20"/>
          <w:szCs w:val="20"/>
        </w:rPr>
        <w:t xml:space="preserve"> emissions of 42.2 and rice yields of 24.6 due to the rise in CO</w:t>
      </w:r>
      <w:r w:rsidRPr="00E03B48">
        <w:rPr>
          <w:rFonts w:ascii="Arial" w:cs="Arial" w:hAnsi="Arial"/>
          <w:sz w:val="20"/>
          <w:szCs w:val="20"/>
          <w:vertAlign w:val="subscript"/>
        </w:rPr>
        <w:t>2</w:t>
      </w:r>
      <w:r w:rsidRPr="00E03B48">
        <w:rPr>
          <w:rFonts w:ascii="Arial" w:cs="Arial" w:hAnsi="Arial"/>
          <w:sz w:val="20"/>
          <w:szCs w:val="20"/>
        </w:rPr>
        <w:t xml:space="preserve"> (Figure 5).</w:t>
      </w:r>
    </w:p>
    <w:p w14:paraId="3659C8DD" w14:textId="77777777" w:rsidP="00004E5B" w:rsidR="00004E5B" w:rsidRDefault="00004E5B" w:rsidRPr="00E03B48">
      <w:pPr>
        <w:pStyle w:val="NormalWeb"/>
        <w:jc w:val="center"/>
        <w:rPr>
          <w:rFonts w:ascii="Arial" w:cs="Arial" w:hAnsi="Arial"/>
          <w:sz w:val="20"/>
          <w:szCs w:val="20"/>
        </w:rPr>
      </w:pPr>
      <w:r w:rsidRPr="00E03B48">
        <w:rPr>
          <w:rFonts w:ascii="Arial" w:cs="Arial" w:hAnsi="Arial"/>
          <w:noProof/>
          <w:sz w:val="20"/>
          <w:szCs w:val="20"/>
        </w:rPr>
        <w:drawing>
          <wp:inline distB="0" distL="0" distR="0" distT="0" wp14:anchorId="2623D275" wp14:editId="474D9BDC">
            <wp:extent cx="5237839" cy="3497580"/>
            <wp:effectExtent b="7620" l="0" r="1270" t="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5263640" cy="3514809"/>
                    </a:xfrm>
                    <a:prstGeom prst="rect">
                      <a:avLst/>
                    </a:prstGeom>
                    <a:noFill/>
                    <a:ln>
                      <a:noFill/>
                    </a:ln>
                  </pic:spPr>
                </pic:pic>
              </a:graphicData>
            </a:graphic>
          </wp:inline>
        </w:drawing>
      </w:r>
    </w:p>
    <w:p w14:paraId="2D7B87A0" w14:textId="77777777" w:rsidP="00004E5B" w:rsidR="00004E5B" w:rsidRDefault="00004E5B" w:rsidRPr="00E03B48">
      <w:pPr>
        <w:pStyle w:val="NormalWeb"/>
        <w:jc w:val="center"/>
        <w:rPr>
          <w:rFonts w:ascii="Arial" w:cs="Arial" w:hAnsi="Arial"/>
          <w:sz w:val="20"/>
          <w:szCs w:val="20"/>
        </w:rPr>
      </w:pPr>
      <w:r w:rsidRPr="00E03B48">
        <w:rPr>
          <w:rFonts w:ascii="Arial" w:cs="Arial" w:hAnsi="Arial"/>
          <w:b/>
          <w:bCs/>
          <w:sz w:val="20"/>
          <w:szCs w:val="20"/>
        </w:rPr>
        <w:t>Figure 5.</w:t>
      </w:r>
      <w:r w:rsidRPr="00E03B48">
        <w:rPr>
          <w:rFonts w:ascii="Arial" w:cs="Arial" w:hAnsi="Arial"/>
          <w:sz w:val="20"/>
          <w:szCs w:val="20"/>
        </w:rPr>
        <w:t xml:space="preserve"> Impact of Elevated CO</w:t>
      </w:r>
      <w:r w:rsidRPr="00E03B48">
        <w:rPr>
          <w:rFonts w:ascii="Cambria Math" w:cs="Cambria Math" w:hAnsi="Cambria Math"/>
          <w:sz w:val="20"/>
          <w:szCs w:val="20"/>
        </w:rPr>
        <w:t>₂</w:t>
      </w:r>
      <w:r w:rsidRPr="00E03B48">
        <w:rPr>
          <w:rFonts w:ascii="Arial" w:cs="Arial" w:hAnsi="Arial"/>
          <w:sz w:val="20"/>
          <w:szCs w:val="20"/>
        </w:rPr>
        <w:t xml:space="preserve"> and Temperature on GHG Emissions in Rice</w:t>
      </w:r>
    </w:p>
    <w:p w14:paraId="770EC795"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 xml:space="preserve">Methane-eating methanotrophs are repressed, methane-generating methanogens are encouraged (Okubo </w:t>
      </w:r>
      <w:r w:rsidRPr="009C3369">
        <w:rPr>
          <w:rFonts w:ascii="Arial" w:cs="Arial" w:hAnsi="Arial"/>
          <w:i/>
          <w:iCs/>
          <w:sz w:val="20"/>
          <w:szCs w:val="20"/>
        </w:rPr>
        <w:t>et al</w:t>
      </w:r>
      <w:r w:rsidRPr="00E03B48">
        <w:rPr>
          <w:rFonts w:ascii="Arial" w:cs="Arial" w:hAnsi="Arial"/>
          <w:sz w:val="20"/>
          <w:szCs w:val="20"/>
        </w:rPr>
        <w:t>., 2015), the volume of tillers grows (</w:t>
      </w:r>
      <w:proofErr w:type="spellStart"/>
      <w:r w:rsidRPr="00E03B48">
        <w:rPr>
          <w:rFonts w:ascii="Arial" w:cs="Arial" w:hAnsi="Arial"/>
          <w:sz w:val="20"/>
          <w:szCs w:val="20"/>
        </w:rPr>
        <w:t>Seneweera</w:t>
      </w:r>
      <w:proofErr w:type="spellEnd"/>
      <w:r w:rsidRPr="00E03B48">
        <w:rPr>
          <w:rFonts w:ascii="Arial" w:cs="Arial" w:hAnsi="Arial"/>
          <w:sz w:val="20"/>
          <w:szCs w:val="20"/>
        </w:rPr>
        <w:t xml:space="preserve">, 2011; Yagi </w:t>
      </w:r>
      <w:r w:rsidRPr="009C3369">
        <w:rPr>
          <w:rFonts w:ascii="Arial" w:cs="Arial" w:hAnsi="Arial"/>
          <w:i/>
          <w:iCs/>
          <w:sz w:val="20"/>
          <w:szCs w:val="20"/>
        </w:rPr>
        <w:t>et al.,</w:t>
      </w:r>
      <w:r w:rsidRPr="00E03B48">
        <w:rPr>
          <w:rFonts w:ascii="Arial" w:cs="Arial" w:hAnsi="Arial"/>
          <w:sz w:val="20"/>
          <w:szCs w:val="20"/>
        </w:rPr>
        <w:t xml:space="preserve"> 2000), aerenchyma tissues swell (Kim </w:t>
      </w:r>
      <w:r w:rsidRPr="009C3369">
        <w:rPr>
          <w:rFonts w:ascii="Arial" w:cs="Arial" w:hAnsi="Arial"/>
          <w:i/>
          <w:iCs/>
          <w:sz w:val="20"/>
          <w:szCs w:val="20"/>
        </w:rPr>
        <w:t>et al</w:t>
      </w:r>
      <w:r w:rsidRPr="00E03B48">
        <w:rPr>
          <w:rFonts w:ascii="Arial" w:cs="Arial" w:hAnsi="Arial"/>
          <w:sz w:val="20"/>
          <w:szCs w:val="20"/>
        </w:rPr>
        <w:t xml:space="preserve">., 2003), and a lot of root exudation and organic matter are supplied because of augmented photosynthesis (Prior </w:t>
      </w:r>
      <w:r w:rsidRPr="009C3369">
        <w:rPr>
          <w:rFonts w:ascii="Arial" w:cs="Arial" w:hAnsi="Arial"/>
          <w:i/>
          <w:iCs/>
          <w:sz w:val="20"/>
          <w:szCs w:val="20"/>
        </w:rPr>
        <w:t>et al.,</w:t>
      </w:r>
      <w:r w:rsidRPr="00E03B48">
        <w:rPr>
          <w:rFonts w:ascii="Arial" w:cs="Arial" w:hAnsi="Arial"/>
          <w:sz w:val="20"/>
          <w:szCs w:val="20"/>
        </w:rPr>
        <w:t xml:space="preserve"> 2011; Toriyama </w:t>
      </w:r>
      <w:r w:rsidRPr="009C3369">
        <w:rPr>
          <w:rFonts w:ascii="Arial" w:cs="Arial" w:hAnsi="Arial"/>
          <w:i/>
          <w:iCs/>
          <w:sz w:val="20"/>
          <w:szCs w:val="20"/>
        </w:rPr>
        <w:t>et al</w:t>
      </w:r>
      <w:r w:rsidRPr="00E03B48">
        <w:rPr>
          <w:rFonts w:ascii="Arial" w:cs="Arial" w:hAnsi="Arial"/>
          <w:sz w:val="20"/>
          <w:szCs w:val="20"/>
        </w:rPr>
        <w:t xml:space="preserve"> These processes are further enhanced by temperature (Allen </w:t>
      </w:r>
      <w:r w:rsidRPr="009C3369">
        <w:rPr>
          <w:rFonts w:ascii="Arial" w:cs="Arial" w:hAnsi="Arial"/>
          <w:i/>
          <w:iCs/>
          <w:sz w:val="20"/>
          <w:szCs w:val="20"/>
        </w:rPr>
        <w:t>et al.,</w:t>
      </w:r>
      <w:r w:rsidRPr="00E03B48">
        <w:rPr>
          <w:rFonts w:ascii="Arial" w:cs="Arial" w:hAnsi="Arial"/>
          <w:sz w:val="20"/>
          <w:szCs w:val="20"/>
        </w:rPr>
        <w:t xml:space="preserve"> 2003; Ziska </w:t>
      </w:r>
      <w:r w:rsidRPr="009C3369">
        <w:rPr>
          <w:rFonts w:ascii="Arial" w:cs="Arial" w:hAnsi="Arial"/>
          <w:i/>
          <w:iCs/>
          <w:sz w:val="20"/>
          <w:szCs w:val="20"/>
        </w:rPr>
        <w:t>et al.,</w:t>
      </w:r>
      <w:r w:rsidRPr="00E03B48">
        <w:rPr>
          <w:rFonts w:ascii="Arial" w:cs="Arial" w:hAnsi="Arial"/>
          <w:sz w:val="20"/>
          <w:szCs w:val="20"/>
        </w:rPr>
        <w:t xml:space="preserve"> 1998), </w:t>
      </w:r>
      <w:r w:rsidRPr="00E03B48">
        <w:rPr>
          <w:rFonts w:ascii="Arial" w:cs="Arial" w:hAnsi="Arial"/>
          <w:sz w:val="20"/>
          <w:szCs w:val="20"/>
        </w:rPr>
        <w:lastRenderedPageBreak/>
        <w:t>and high CO</w:t>
      </w:r>
      <w:r w:rsidRPr="00E03B48">
        <w:rPr>
          <w:rFonts w:ascii="Arial" w:cs="Arial" w:hAnsi="Arial"/>
          <w:sz w:val="20"/>
          <w:szCs w:val="20"/>
          <w:vertAlign w:val="subscript"/>
        </w:rPr>
        <w:t>2</w:t>
      </w:r>
      <w:r w:rsidRPr="00E03B48">
        <w:rPr>
          <w:rFonts w:ascii="Arial" w:cs="Arial" w:hAnsi="Arial"/>
          <w:sz w:val="20"/>
          <w:szCs w:val="20"/>
        </w:rPr>
        <w:t xml:space="preserve"> too enhances root development (Lou </w:t>
      </w:r>
      <w:r w:rsidRPr="009C3369">
        <w:rPr>
          <w:rFonts w:ascii="Arial" w:cs="Arial" w:hAnsi="Arial"/>
          <w:i/>
          <w:iCs/>
          <w:sz w:val="20"/>
          <w:szCs w:val="20"/>
        </w:rPr>
        <w:t>et al.,</w:t>
      </w:r>
      <w:r w:rsidRPr="00E03B48">
        <w:rPr>
          <w:rFonts w:ascii="Arial" w:cs="Arial" w:hAnsi="Arial"/>
          <w:sz w:val="20"/>
          <w:szCs w:val="20"/>
        </w:rPr>
        <w:t xml:space="preserve"> 2008) and the presence of microorganisms in the upper soil layer (</w:t>
      </w:r>
      <w:proofErr w:type="spellStart"/>
      <w:r w:rsidRPr="00E03B48">
        <w:rPr>
          <w:rFonts w:ascii="Arial" w:cs="Arial" w:hAnsi="Arial"/>
          <w:sz w:val="20"/>
          <w:szCs w:val="20"/>
        </w:rPr>
        <w:t>Inubushi</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2003).</w:t>
      </w:r>
    </w:p>
    <w:p w14:paraId="0D0BA3C1"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 xml:space="preserve">Other studies report contradictory effects, however. Schrope </w:t>
      </w:r>
      <w:r w:rsidRPr="009C3369">
        <w:rPr>
          <w:rFonts w:ascii="Arial" w:cs="Arial" w:hAnsi="Arial"/>
          <w:i/>
          <w:iCs/>
          <w:sz w:val="20"/>
          <w:szCs w:val="20"/>
        </w:rPr>
        <w:t>et al.</w:t>
      </w:r>
      <w:r w:rsidRPr="00E03B48">
        <w:rPr>
          <w:rFonts w:ascii="Arial" w:cs="Arial" w:hAnsi="Arial"/>
          <w:sz w:val="20"/>
          <w:szCs w:val="20"/>
        </w:rPr>
        <w:t xml:space="preserve"> (1999) found that high CO</w:t>
      </w:r>
      <w:r w:rsidRPr="00E03B48">
        <w:rPr>
          <w:rFonts w:ascii="Arial" w:cs="Arial" w:hAnsi="Arial"/>
          <w:sz w:val="20"/>
          <w:szCs w:val="20"/>
          <w:vertAlign w:val="subscript"/>
        </w:rPr>
        <w:t>2</w:t>
      </w:r>
      <w:r w:rsidRPr="00E03B48">
        <w:rPr>
          <w:rFonts w:ascii="Arial" w:cs="Arial" w:hAnsi="Arial"/>
          <w:sz w:val="20"/>
          <w:szCs w:val="20"/>
        </w:rPr>
        <w:t xml:space="preserve"> increases the transfer of oxygen to roots, preventing the production of methane in the rhizosphere, although the biomass of roots increased. Rice residues and root exudates are the primary producers of methane (</w:t>
      </w:r>
      <w:proofErr w:type="spellStart"/>
      <w:r w:rsidRPr="00E03B48">
        <w:rPr>
          <w:rFonts w:ascii="Arial" w:cs="Arial" w:hAnsi="Arial"/>
          <w:sz w:val="20"/>
          <w:szCs w:val="20"/>
        </w:rPr>
        <w:t>Inubushi</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2003; Qian </w:t>
      </w:r>
      <w:r w:rsidRPr="009C3369">
        <w:rPr>
          <w:rFonts w:ascii="Arial" w:cs="Arial" w:hAnsi="Arial"/>
          <w:i/>
          <w:iCs/>
          <w:sz w:val="20"/>
          <w:szCs w:val="20"/>
        </w:rPr>
        <w:t>et al</w:t>
      </w:r>
      <w:r w:rsidRPr="00E03B48">
        <w:rPr>
          <w:rFonts w:ascii="Arial" w:cs="Arial" w:hAnsi="Arial"/>
          <w:sz w:val="20"/>
          <w:szCs w:val="20"/>
        </w:rPr>
        <w:t xml:space="preserve">., 2020), and root biomass has a close association with greenhouse gas production (Bhatia </w:t>
      </w:r>
      <w:r w:rsidRPr="009C3369">
        <w:rPr>
          <w:rFonts w:ascii="Arial" w:cs="Arial" w:hAnsi="Arial"/>
          <w:i/>
          <w:iCs/>
          <w:sz w:val="20"/>
          <w:szCs w:val="20"/>
        </w:rPr>
        <w:t>et al.,</w:t>
      </w:r>
      <w:r w:rsidRPr="00E03B48">
        <w:rPr>
          <w:rFonts w:ascii="Arial" w:cs="Arial" w:hAnsi="Arial"/>
          <w:sz w:val="20"/>
          <w:szCs w:val="20"/>
        </w:rPr>
        <w:t xml:space="preserve"> 2011). Pereira </w:t>
      </w:r>
      <w:r w:rsidRPr="009C3369">
        <w:rPr>
          <w:rFonts w:ascii="Arial" w:cs="Arial" w:hAnsi="Arial"/>
          <w:i/>
          <w:iCs/>
          <w:sz w:val="20"/>
          <w:szCs w:val="20"/>
        </w:rPr>
        <w:t>et al.</w:t>
      </w:r>
      <w:r w:rsidRPr="00E03B48">
        <w:rPr>
          <w:rFonts w:ascii="Arial" w:cs="Arial" w:hAnsi="Arial"/>
          <w:sz w:val="20"/>
          <w:szCs w:val="20"/>
        </w:rPr>
        <w:t xml:space="preserve"> (2013) also noted that the biomass above the ground was significantly greater when high temperature and increased CO</w:t>
      </w:r>
      <w:r w:rsidRPr="00E03B48">
        <w:rPr>
          <w:rFonts w:ascii="Arial" w:cs="Arial" w:hAnsi="Arial"/>
          <w:sz w:val="20"/>
          <w:szCs w:val="20"/>
          <w:vertAlign w:val="subscript"/>
        </w:rPr>
        <w:t>2</w:t>
      </w:r>
      <w:r w:rsidRPr="00E03B48">
        <w:rPr>
          <w:rFonts w:ascii="Arial" w:cs="Arial" w:hAnsi="Arial"/>
          <w:sz w:val="20"/>
          <w:szCs w:val="20"/>
        </w:rPr>
        <w:t xml:space="preserve"> were combined than when high temperature was applied only.</w:t>
      </w:r>
    </w:p>
    <w:p w14:paraId="1295EA13"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Enhanced CO</w:t>
      </w:r>
      <w:r w:rsidRPr="00E03B48">
        <w:rPr>
          <w:rFonts w:ascii="Arial" w:cs="Arial" w:hAnsi="Arial"/>
          <w:sz w:val="20"/>
          <w:szCs w:val="20"/>
          <w:vertAlign w:val="subscript"/>
        </w:rPr>
        <w:t>2</w:t>
      </w:r>
      <w:r w:rsidRPr="00E03B48">
        <w:rPr>
          <w:rFonts w:ascii="Arial" w:cs="Arial" w:hAnsi="Arial"/>
          <w:sz w:val="20"/>
          <w:szCs w:val="20"/>
        </w:rPr>
        <w:t xml:space="preserve"> further promotes emissions of CH</w:t>
      </w:r>
      <w:r w:rsidRPr="00E03B48">
        <w:rPr>
          <w:rFonts w:ascii="Arial" w:cs="Arial" w:hAnsi="Arial"/>
          <w:sz w:val="20"/>
          <w:szCs w:val="20"/>
          <w:vertAlign w:val="subscript"/>
        </w:rPr>
        <w:t xml:space="preserve">4 </w:t>
      </w:r>
      <w:r w:rsidRPr="00E03B48">
        <w:rPr>
          <w:rFonts w:ascii="Arial" w:cs="Arial" w:hAnsi="Arial"/>
          <w:sz w:val="20"/>
          <w:szCs w:val="20"/>
        </w:rPr>
        <w:t xml:space="preserve">by increasing the supply of carbon to soils, the decomposition of residues, and the activity of microorganisms (Aulakh </w:t>
      </w:r>
      <w:r w:rsidRPr="009C3369">
        <w:rPr>
          <w:rFonts w:ascii="Arial" w:cs="Arial" w:hAnsi="Arial"/>
          <w:i/>
          <w:iCs/>
          <w:sz w:val="20"/>
          <w:szCs w:val="20"/>
        </w:rPr>
        <w:t>et al.,</w:t>
      </w:r>
      <w:r w:rsidRPr="00E03B48">
        <w:rPr>
          <w:rFonts w:ascii="Arial" w:cs="Arial" w:hAnsi="Arial"/>
          <w:sz w:val="20"/>
          <w:szCs w:val="20"/>
        </w:rPr>
        <w:t xml:space="preserve"> 2001a; Zheng </w:t>
      </w:r>
      <w:r w:rsidRPr="009C3369">
        <w:rPr>
          <w:rFonts w:ascii="Arial" w:cs="Arial" w:hAnsi="Arial"/>
          <w:i/>
          <w:iCs/>
          <w:sz w:val="20"/>
          <w:szCs w:val="20"/>
        </w:rPr>
        <w:t>et al.,</w:t>
      </w:r>
      <w:r w:rsidRPr="00E03B48">
        <w:rPr>
          <w:rFonts w:ascii="Arial" w:cs="Arial" w:hAnsi="Arial"/>
          <w:sz w:val="20"/>
          <w:szCs w:val="20"/>
        </w:rPr>
        <w:t xml:space="preserve"> 2006; Xie </w:t>
      </w:r>
      <w:r w:rsidRPr="009C3369">
        <w:rPr>
          <w:rFonts w:ascii="Arial" w:cs="Arial" w:hAnsi="Arial"/>
          <w:i/>
          <w:iCs/>
          <w:sz w:val="20"/>
          <w:szCs w:val="20"/>
        </w:rPr>
        <w:t>et al.,</w:t>
      </w:r>
      <w:r w:rsidRPr="00E03B48">
        <w:rPr>
          <w:rFonts w:ascii="Arial" w:cs="Arial" w:hAnsi="Arial"/>
          <w:sz w:val="20"/>
          <w:szCs w:val="20"/>
        </w:rPr>
        <w:t xml:space="preserve"> 2012), the enrichment of aerenchyma tissues, and the number of tillers (</w:t>
      </w:r>
      <w:proofErr w:type="spellStart"/>
      <w:r w:rsidRPr="00E03B48">
        <w:rPr>
          <w:rFonts w:ascii="Arial" w:cs="Arial" w:hAnsi="Arial"/>
          <w:sz w:val="20"/>
          <w:szCs w:val="20"/>
        </w:rPr>
        <w:t>Inubushi</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2003; Cheng </w:t>
      </w:r>
      <w:r w:rsidRPr="009C3369">
        <w:rPr>
          <w:rFonts w:ascii="Arial" w:cs="Arial" w:hAnsi="Arial"/>
          <w:i/>
          <w:iCs/>
          <w:sz w:val="20"/>
          <w:szCs w:val="20"/>
        </w:rPr>
        <w:t>et al</w:t>
      </w:r>
      <w:r w:rsidRPr="00E03B48">
        <w:rPr>
          <w:rFonts w:ascii="Arial" w:cs="Arial" w:hAnsi="Arial"/>
          <w:sz w:val="20"/>
          <w:szCs w:val="20"/>
        </w:rPr>
        <w:t xml:space="preserve">., 2003). According to </w:t>
      </w:r>
      <w:proofErr w:type="spellStart"/>
      <w:r w:rsidRPr="00E03B48">
        <w:rPr>
          <w:rFonts w:ascii="Arial" w:cs="Arial" w:hAnsi="Arial"/>
          <w:sz w:val="20"/>
          <w:szCs w:val="20"/>
        </w:rPr>
        <w:t>Tokida</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(2010), soil warming and a combination of increasing CO</w:t>
      </w:r>
      <w:r w:rsidRPr="00E03B48">
        <w:rPr>
          <w:rFonts w:ascii="Arial" w:cs="Arial" w:hAnsi="Arial"/>
          <w:sz w:val="20"/>
          <w:szCs w:val="20"/>
          <w:vertAlign w:val="subscript"/>
        </w:rPr>
        <w:t>2</w:t>
      </w:r>
      <w:r w:rsidRPr="00E03B48">
        <w:rPr>
          <w:rFonts w:ascii="Arial" w:cs="Arial" w:hAnsi="Arial"/>
          <w:sz w:val="20"/>
          <w:szCs w:val="20"/>
        </w:rPr>
        <w:t xml:space="preserve"> and temperature levels boosted CH</w:t>
      </w:r>
      <w:r w:rsidRPr="00E03B48">
        <w:rPr>
          <w:rFonts w:ascii="Arial" w:cs="Arial" w:hAnsi="Arial"/>
          <w:sz w:val="20"/>
          <w:szCs w:val="20"/>
          <w:vertAlign w:val="subscript"/>
        </w:rPr>
        <w:t>4</w:t>
      </w:r>
      <w:r w:rsidRPr="00E03B48">
        <w:rPr>
          <w:rFonts w:ascii="Arial" w:cs="Arial" w:hAnsi="Arial"/>
          <w:sz w:val="20"/>
          <w:szCs w:val="20"/>
        </w:rPr>
        <w:t xml:space="preserve"> emissions by 44 percent and nearly 80 percent, respectively. On the same note, Cheng </w:t>
      </w:r>
      <w:r w:rsidRPr="009C3369">
        <w:rPr>
          <w:rFonts w:ascii="Arial" w:cs="Arial" w:hAnsi="Arial"/>
          <w:i/>
          <w:iCs/>
          <w:sz w:val="20"/>
          <w:szCs w:val="20"/>
        </w:rPr>
        <w:t>et al.</w:t>
      </w:r>
      <w:r w:rsidRPr="00E03B48">
        <w:rPr>
          <w:rFonts w:ascii="Arial" w:cs="Arial" w:hAnsi="Arial"/>
          <w:sz w:val="20"/>
          <w:szCs w:val="20"/>
        </w:rPr>
        <w:t xml:space="preserve"> (2006) found that under the conditions of increased CO</w:t>
      </w:r>
      <w:r w:rsidRPr="00E03B48">
        <w:rPr>
          <w:rFonts w:ascii="Arial" w:cs="Arial" w:hAnsi="Arial"/>
          <w:sz w:val="20"/>
          <w:szCs w:val="20"/>
          <w:vertAlign w:val="subscript"/>
        </w:rPr>
        <w:t>2</w:t>
      </w:r>
      <w:r w:rsidRPr="00E03B48">
        <w:rPr>
          <w:rFonts w:ascii="Arial" w:cs="Arial" w:hAnsi="Arial"/>
          <w:sz w:val="20"/>
          <w:szCs w:val="20"/>
        </w:rPr>
        <w:t xml:space="preserve"> (550 mmol mol</w:t>
      </w:r>
      <w:r w:rsidRPr="00E03B48">
        <w:rPr>
          <w:rFonts w:ascii="Arial" w:cs="Arial" w:hAnsi="Arial"/>
          <w:sz w:val="20"/>
          <w:szCs w:val="20"/>
          <w:vertAlign w:val="superscript"/>
        </w:rPr>
        <w:t>-1</w:t>
      </w:r>
      <w:r w:rsidRPr="00E03B48">
        <w:rPr>
          <w:rFonts w:ascii="Arial" w:cs="Arial" w:hAnsi="Arial"/>
          <w:sz w:val="20"/>
          <w:szCs w:val="20"/>
        </w:rPr>
        <w:t>), the emission of CH</w:t>
      </w:r>
      <w:r w:rsidRPr="00E03B48">
        <w:rPr>
          <w:rFonts w:ascii="Arial" w:cs="Arial" w:hAnsi="Arial"/>
          <w:sz w:val="20"/>
          <w:szCs w:val="20"/>
          <w:vertAlign w:val="subscript"/>
        </w:rPr>
        <w:t>4</w:t>
      </w:r>
      <w:r w:rsidRPr="00E03B48">
        <w:rPr>
          <w:rFonts w:ascii="Arial" w:cs="Arial" w:hAnsi="Arial"/>
          <w:sz w:val="20"/>
          <w:szCs w:val="20"/>
        </w:rPr>
        <w:t xml:space="preserve"> increased by 38 percent and 51 percent in 1999 and 2000, respectively, whereas Allen </w:t>
      </w:r>
      <w:r w:rsidRPr="009C3369">
        <w:rPr>
          <w:rFonts w:ascii="Arial" w:cs="Arial" w:hAnsi="Arial"/>
          <w:i/>
          <w:iCs/>
          <w:sz w:val="20"/>
          <w:szCs w:val="20"/>
        </w:rPr>
        <w:t>et al.</w:t>
      </w:r>
      <w:r w:rsidRPr="00E03B48">
        <w:rPr>
          <w:rFonts w:ascii="Arial" w:cs="Arial" w:hAnsi="Arial"/>
          <w:sz w:val="20"/>
          <w:szCs w:val="20"/>
        </w:rPr>
        <w:t xml:space="preserve"> (2003) observed that under conditions of elevated CO</w:t>
      </w:r>
      <w:r w:rsidRPr="00E03B48">
        <w:rPr>
          <w:rFonts w:ascii="Arial" w:cs="Arial" w:hAnsi="Arial"/>
          <w:sz w:val="20"/>
          <w:szCs w:val="20"/>
          <w:vertAlign w:val="subscript"/>
        </w:rPr>
        <w:t>2</w:t>
      </w:r>
      <w:r w:rsidRPr="00E03B48">
        <w:rPr>
          <w:rFonts w:ascii="Arial" w:cs="Arial" w:hAnsi="Arial"/>
          <w:sz w:val="20"/>
          <w:szCs w:val="20"/>
        </w:rPr>
        <w:t xml:space="preserve"> and high temperature, the emission of CH</w:t>
      </w:r>
      <w:r w:rsidRPr="00E03B48">
        <w:rPr>
          <w:rFonts w:ascii="Arial" w:cs="Arial" w:hAnsi="Arial"/>
          <w:sz w:val="20"/>
          <w:szCs w:val="20"/>
          <w:vertAlign w:val="subscript"/>
        </w:rPr>
        <w:t>4</w:t>
      </w:r>
      <w:r w:rsidRPr="00E03B48">
        <w:rPr>
          <w:rFonts w:ascii="Arial" w:cs="Arial" w:hAnsi="Arial"/>
          <w:sz w:val="20"/>
          <w:szCs w:val="20"/>
        </w:rPr>
        <w:t xml:space="preserve"> increased fourfold.</w:t>
      </w:r>
    </w:p>
    <w:p w14:paraId="1C418EE8"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The principal source of nitrous oxide (N</w:t>
      </w:r>
      <w:r w:rsidRPr="00E03B48">
        <w:rPr>
          <w:rFonts w:ascii="Arial" w:cs="Arial" w:hAnsi="Arial"/>
          <w:sz w:val="20"/>
          <w:szCs w:val="20"/>
          <w:vertAlign w:val="subscript"/>
        </w:rPr>
        <w:t>2</w:t>
      </w:r>
      <w:r w:rsidRPr="00E03B48">
        <w:rPr>
          <w:rFonts w:ascii="Arial" w:cs="Arial" w:hAnsi="Arial"/>
          <w:sz w:val="20"/>
          <w:szCs w:val="20"/>
        </w:rPr>
        <w:t>O) emissions in flooded rice fields is through the process of microbial nitrification and denitrification (Bhattacharyya et al., 2012</w:t>
      </w:r>
      <w:proofErr w:type="gramStart"/>
      <w:r w:rsidRPr="00E03B48">
        <w:rPr>
          <w:rFonts w:ascii="Arial" w:cs="Arial" w:hAnsi="Arial"/>
          <w:sz w:val="20"/>
          <w:szCs w:val="20"/>
        </w:rPr>
        <w:t>a,b</w:t>
      </w:r>
      <w:proofErr w:type="gramEnd"/>
      <w:r w:rsidRPr="00E03B48">
        <w:rPr>
          <w:rFonts w:ascii="Arial" w:cs="Arial" w:hAnsi="Arial"/>
          <w:sz w:val="20"/>
          <w:szCs w:val="20"/>
        </w:rPr>
        <w:t xml:space="preserve">; Granli and Bockmann, 1994; Aulakh </w:t>
      </w:r>
      <w:r w:rsidRPr="009C3369">
        <w:rPr>
          <w:rFonts w:ascii="Arial" w:cs="Arial" w:hAnsi="Arial"/>
          <w:i/>
          <w:iCs/>
          <w:sz w:val="20"/>
          <w:szCs w:val="20"/>
        </w:rPr>
        <w:t>et al.,</w:t>
      </w:r>
      <w:r w:rsidRPr="00E03B48">
        <w:rPr>
          <w:rFonts w:ascii="Arial" w:cs="Arial" w:hAnsi="Arial"/>
          <w:sz w:val="20"/>
          <w:szCs w:val="20"/>
        </w:rPr>
        <w:t xml:space="preserve"> 2001b). Fertilizer application, especially urea, is a boost to the emission of N</w:t>
      </w:r>
      <w:r w:rsidRPr="00E03B48">
        <w:rPr>
          <w:rFonts w:ascii="Arial" w:cs="Arial" w:hAnsi="Arial"/>
          <w:sz w:val="20"/>
          <w:szCs w:val="20"/>
          <w:vertAlign w:val="subscript"/>
        </w:rPr>
        <w:t>2</w:t>
      </w:r>
      <w:r w:rsidRPr="00E03B48">
        <w:rPr>
          <w:rFonts w:ascii="Arial" w:cs="Arial" w:hAnsi="Arial"/>
          <w:sz w:val="20"/>
          <w:szCs w:val="20"/>
        </w:rPr>
        <w:t xml:space="preserve">O by providing nitrification and denitrification, which is caused by the presence of ammonium, which nourishes ammonia-oxidizing bacteria (Gupta </w:t>
      </w:r>
      <w:r w:rsidRPr="009C3369">
        <w:rPr>
          <w:rFonts w:ascii="Arial" w:cs="Arial" w:hAnsi="Arial"/>
          <w:i/>
          <w:iCs/>
          <w:sz w:val="20"/>
          <w:szCs w:val="20"/>
        </w:rPr>
        <w:t>et al.,</w:t>
      </w:r>
      <w:r w:rsidRPr="00E03B48">
        <w:rPr>
          <w:rFonts w:ascii="Arial" w:cs="Arial" w:hAnsi="Arial"/>
          <w:sz w:val="20"/>
          <w:szCs w:val="20"/>
        </w:rPr>
        <w:t xml:space="preserve"> 2016; </w:t>
      </w:r>
      <w:proofErr w:type="spellStart"/>
      <w:r w:rsidRPr="00E03B48">
        <w:rPr>
          <w:rFonts w:ascii="Arial" w:cs="Arial" w:hAnsi="Arial"/>
          <w:sz w:val="20"/>
          <w:szCs w:val="20"/>
        </w:rPr>
        <w:t>Malyan</w:t>
      </w:r>
      <w:proofErr w:type="spellEnd"/>
      <w:r w:rsidRPr="00E03B48">
        <w:rPr>
          <w:rFonts w:ascii="Arial" w:cs="Arial" w:hAnsi="Arial"/>
          <w:sz w:val="20"/>
          <w:szCs w:val="20"/>
        </w:rPr>
        <w:t xml:space="preserve">, 2017; Kumar and </w:t>
      </w:r>
      <w:proofErr w:type="spellStart"/>
      <w:r w:rsidRPr="00E03B48">
        <w:rPr>
          <w:rFonts w:ascii="Arial" w:cs="Arial" w:hAnsi="Arial"/>
          <w:sz w:val="20"/>
          <w:szCs w:val="20"/>
        </w:rPr>
        <w:t>Malyan</w:t>
      </w:r>
      <w:proofErr w:type="spellEnd"/>
      <w:r w:rsidRPr="00E03B48">
        <w:rPr>
          <w:rFonts w:ascii="Arial" w:cs="Arial" w:hAnsi="Arial"/>
          <w:sz w:val="20"/>
          <w:szCs w:val="20"/>
        </w:rPr>
        <w:t>, 2016). High levels of CO</w:t>
      </w:r>
      <w:r w:rsidRPr="00E03B48">
        <w:rPr>
          <w:rFonts w:ascii="Arial" w:cs="Arial" w:hAnsi="Arial"/>
          <w:sz w:val="20"/>
          <w:szCs w:val="20"/>
          <w:vertAlign w:val="subscript"/>
        </w:rPr>
        <w:t>2</w:t>
      </w:r>
      <w:r w:rsidRPr="00E03B48">
        <w:rPr>
          <w:rFonts w:ascii="Arial" w:cs="Arial" w:hAnsi="Arial"/>
          <w:sz w:val="20"/>
          <w:szCs w:val="20"/>
        </w:rPr>
        <w:t xml:space="preserve"> increase the release of N</w:t>
      </w:r>
      <w:r w:rsidRPr="00E03B48">
        <w:rPr>
          <w:rFonts w:ascii="Arial" w:cs="Arial" w:hAnsi="Arial"/>
          <w:sz w:val="20"/>
          <w:szCs w:val="20"/>
          <w:vertAlign w:val="subscript"/>
        </w:rPr>
        <w:t>2</w:t>
      </w:r>
      <w:r w:rsidRPr="00E03B48">
        <w:rPr>
          <w:rFonts w:ascii="Arial" w:cs="Arial" w:hAnsi="Arial"/>
          <w:sz w:val="20"/>
          <w:szCs w:val="20"/>
        </w:rPr>
        <w:t xml:space="preserve">O and the denitrification of microorganisms in the soil by enhancing carbon availability (van </w:t>
      </w:r>
      <w:proofErr w:type="spellStart"/>
      <w:r w:rsidRPr="00E03B48">
        <w:rPr>
          <w:rFonts w:ascii="Arial" w:cs="Arial" w:hAnsi="Arial"/>
          <w:sz w:val="20"/>
          <w:szCs w:val="20"/>
        </w:rPr>
        <w:t>Groenigen</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2011; Barnard </w:t>
      </w:r>
      <w:r w:rsidRPr="009C3369">
        <w:rPr>
          <w:rFonts w:ascii="Arial" w:cs="Arial" w:hAnsi="Arial"/>
          <w:i/>
          <w:iCs/>
          <w:sz w:val="20"/>
          <w:szCs w:val="20"/>
        </w:rPr>
        <w:t>et al.,</w:t>
      </w:r>
      <w:r w:rsidRPr="00E03B48">
        <w:rPr>
          <w:rFonts w:ascii="Arial" w:cs="Arial" w:hAnsi="Arial"/>
          <w:sz w:val="20"/>
          <w:szCs w:val="20"/>
        </w:rPr>
        <w:t xml:space="preserve"> 2005). The increase in the N</w:t>
      </w:r>
      <w:r w:rsidRPr="00E03B48">
        <w:rPr>
          <w:rFonts w:ascii="Arial" w:cs="Arial" w:hAnsi="Arial"/>
          <w:sz w:val="20"/>
          <w:szCs w:val="20"/>
          <w:vertAlign w:val="subscript"/>
        </w:rPr>
        <w:t>2</w:t>
      </w:r>
      <w:r w:rsidRPr="00E03B48">
        <w:rPr>
          <w:rFonts w:ascii="Arial" w:cs="Arial" w:hAnsi="Arial"/>
          <w:sz w:val="20"/>
          <w:szCs w:val="20"/>
        </w:rPr>
        <w:t xml:space="preserve">O emissions in tropical rice fields was 21.4 to 24.6 percent in the conditions of increasing </w:t>
      </w:r>
      <w:r w:rsidRPr="00E03B48">
        <w:rPr>
          <w:rFonts w:ascii="Arial" w:cs="Arial" w:hAnsi="Arial"/>
          <w:color w:themeColor="text1" w:val="000000"/>
          <w:sz w:val="20"/>
          <w:szCs w:val="20"/>
        </w:rPr>
        <w:t>CO</w:t>
      </w:r>
      <w:r w:rsidRPr="00E03B48">
        <w:rPr>
          <w:rFonts w:ascii="Arial" w:cs="Arial" w:hAnsi="Arial"/>
          <w:color w:themeColor="text1" w:val="000000"/>
          <w:sz w:val="20"/>
          <w:szCs w:val="20"/>
          <w:vertAlign w:val="subscript"/>
        </w:rPr>
        <w:t xml:space="preserve">2 </w:t>
      </w:r>
      <w:r w:rsidRPr="00E03B48">
        <w:rPr>
          <w:rFonts w:ascii="Arial" w:cs="Arial" w:hAnsi="Arial"/>
          <w:sz w:val="20"/>
          <w:szCs w:val="20"/>
        </w:rPr>
        <w:t xml:space="preserve">and warmth (Bhattacharyya </w:t>
      </w:r>
      <w:r w:rsidRPr="009C3369">
        <w:rPr>
          <w:rFonts w:ascii="Arial" w:cs="Arial" w:hAnsi="Arial"/>
          <w:i/>
          <w:iCs/>
          <w:sz w:val="20"/>
          <w:szCs w:val="20"/>
        </w:rPr>
        <w:t>et al.,</w:t>
      </w:r>
      <w:r w:rsidRPr="00E03B48">
        <w:rPr>
          <w:rFonts w:ascii="Arial" w:cs="Arial" w:hAnsi="Arial"/>
          <w:sz w:val="20"/>
          <w:szCs w:val="20"/>
        </w:rPr>
        <w:t xml:space="preserve"> 2013).</w:t>
      </w:r>
    </w:p>
    <w:p w14:paraId="1A141002" w14:textId="77777777" w:rsidP="00004E5B" w:rsidR="00004E5B" w:rsidRDefault="00004E5B" w:rsidRPr="00E03B48">
      <w:pPr>
        <w:pStyle w:val="NormalWeb"/>
        <w:jc w:val="both"/>
        <w:rPr>
          <w:rFonts w:ascii="Arial" w:cs="Arial" w:hAnsi="Arial"/>
          <w:sz w:val="20"/>
          <w:szCs w:val="20"/>
        </w:rPr>
      </w:pPr>
      <w:r w:rsidRPr="00E03B48">
        <w:rPr>
          <w:rFonts w:ascii="Arial" w:cs="Arial" w:hAnsi="Arial"/>
          <w:sz w:val="20"/>
          <w:szCs w:val="20"/>
        </w:rPr>
        <w:t>In spite of the fact that 10 percent of the data were in rice paddies, and the results of various studies remain incongruent, in a global meta-analysis, N</w:t>
      </w:r>
      <w:r w:rsidRPr="00E03B48">
        <w:rPr>
          <w:rFonts w:ascii="Arial" w:cs="Arial" w:hAnsi="Arial"/>
          <w:sz w:val="20"/>
          <w:szCs w:val="20"/>
          <w:vertAlign w:val="subscript"/>
        </w:rPr>
        <w:t>2</w:t>
      </w:r>
      <w:r w:rsidRPr="00E03B48">
        <w:rPr>
          <w:rFonts w:ascii="Arial" w:cs="Arial" w:hAnsi="Arial"/>
          <w:sz w:val="20"/>
          <w:szCs w:val="20"/>
        </w:rPr>
        <w:t xml:space="preserve">O emissions rose by 4.6 percent with rising </w:t>
      </w:r>
      <w:r w:rsidRPr="00E03B48">
        <w:rPr>
          <w:rFonts w:ascii="Arial" w:cs="Arial" w:hAnsi="Arial"/>
          <w:color w:themeColor="text1" w:val="000000"/>
          <w:sz w:val="20"/>
          <w:szCs w:val="20"/>
        </w:rPr>
        <w:t>CO</w:t>
      </w:r>
      <w:r w:rsidRPr="00E03B48">
        <w:rPr>
          <w:rFonts w:ascii="Arial" w:cs="Arial" w:hAnsi="Arial"/>
          <w:color w:themeColor="text1" w:val="000000"/>
          <w:sz w:val="20"/>
          <w:szCs w:val="20"/>
          <w:vertAlign w:val="subscript"/>
        </w:rPr>
        <w:t>2</w:t>
      </w:r>
      <w:r w:rsidRPr="00E03B48">
        <w:rPr>
          <w:rFonts w:ascii="Arial" w:cs="Arial" w:hAnsi="Arial"/>
          <w:sz w:val="20"/>
          <w:szCs w:val="20"/>
        </w:rPr>
        <w:t xml:space="preserve"> (Liu </w:t>
      </w:r>
      <w:r w:rsidRPr="009C3369">
        <w:rPr>
          <w:rFonts w:ascii="Arial" w:cs="Arial" w:hAnsi="Arial"/>
          <w:i/>
          <w:iCs/>
          <w:sz w:val="20"/>
          <w:szCs w:val="20"/>
        </w:rPr>
        <w:t>et al.,</w:t>
      </w:r>
      <w:r w:rsidRPr="00E03B48">
        <w:rPr>
          <w:rFonts w:ascii="Arial" w:cs="Arial" w:hAnsi="Arial"/>
          <w:sz w:val="20"/>
          <w:szCs w:val="20"/>
        </w:rPr>
        <w:t xml:space="preserve"> 2018). Despite the findings that Pereira et al. (2013) have found no apparent difference in N</w:t>
      </w:r>
      <w:r w:rsidRPr="00E03B48">
        <w:rPr>
          <w:rFonts w:ascii="Arial" w:cs="Arial" w:hAnsi="Arial"/>
          <w:sz w:val="20"/>
          <w:szCs w:val="20"/>
          <w:vertAlign w:val="subscript"/>
        </w:rPr>
        <w:t>2</w:t>
      </w:r>
      <w:r w:rsidRPr="00E03B48">
        <w:rPr>
          <w:rFonts w:ascii="Arial" w:cs="Arial" w:hAnsi="Arial"/>
          <w:sz w:val="20"/>
          <w:szCs w:val="20"/>
        </w:rPr>
        <w:t>O emissions at elevated temperature, only temperature increases have also been associated with rising N</w:t>
      </w:r>
      <w:r w:rsidRPr="00E03B48">
        <w:rPr>
          <w:rFonts w:ascii="Arial" w:cs="Arial" w:hAnsi="Arial"/>
          <w:sz w:val="20"/>
          <w:szCs w:val="20"/>
          <w:vertAlign w:val="subscript"/>
        </w:rPr>
        <w:t>2</w:t>
      </w:r>
      <w:r w:rsidRPr="00E03B48">
        <w:rPr>
          <w:rFonts w:ascii="Arial" w:cs="Arial" w:hAnsi="Arial"/>
          <w:sz w:val="20"/>
          <w:szCs w:val="20"/>
        </w:rPr>
        <w:t xml:space="preserve">O emissions due to enhanced microbial activities (Wrage </w:t>
      </w:r>
      <w:r w:rsidRPr="009C3369">
        <w:rPr>
          <w:rFonts w:ascii="Arial" w:cs="Arial" w:hAnsi="Arial"/>
          <w:i/>
          <w:iCs/>
          <w:sz w:val="20"/>
          <w:szCs w:val="20"/>
        </w:rPr>
        <w:t>et al.,</w:t>
      </w:r>
      <w:r w:rsidRPr="00E03B48">
        <w:rPr>
          <w:rFonts w:ascii="Arial" w:cs="Arial" w:hAnsi="Arial"/>
          <w:sz w:val="20"/>
          <w:szCs w:val="20"/>
        </w:rPr>
        <w:t xml:space="preserve"> 2001). Even though there are studies that have attributed the increased denitrification and N2O release to an increase in plant growth and root exudation with high CO</w:t>
      </w:r>
      <w:r w:rsidRPr="00E03B48">
        <w:rPr>
          <w:rFonts w:ascii="Arial" w:cs="Arial" w:hAnsi="Arial"/>
          <w:sz w:val="20"/>
          <w:szCs w:val="20"/>
          <w:vertAlign w:val="subscript"/>
        </w:rPr>
        <w:t>2</w:t>
      </w:r>
      <w:r w:rsidRPr="00E03B48">
        <w:rPr>
          <w:rFonts w:ascii="Arial" w:cs="Arial" w:hAnsi="Arial"/>
          <w:sz w:val="20"/>
          <w:szCs w:val="20"/>
        </w:rPr>
        <w:t xml:space="preserve"> (Baggs </w:t>
      </w:r>
      <w:r w:rsidRPr="009C3369">
        <w:rPr>
          <w:rFonts w:ascii="Arial" w:cs="Arial" w:hAnsi="Arial"/>
          <w:i/>
          <w:iCs/>
          <w:sz w:val="20"/>
          <w:szCs w:val="20"/>
        </w:rPr>
        <w:t>et al.,</w:t>
      </w:r>
      <w:r w:rsidRPr="00E03B48">
        <w:rPr>
          <w:rFonts w:ascii="Arial" w:cs="Arial" w:hAnsi="Arial"/>
          <w:sz w:val="20"/>
          <w:szCs w:val="20"/>
        </w:rPr>
        <w:t xml:space="preserve"> 2003; Kettunen </w:t>
      </w:r>
      <w:r w:rsidRPr="009C3369">
        <w:rPr>
          <w:rFonts w:ascii="Arial" w:cs="Arial" w:hAnsi="Arial"/>
          <w:i/>
          <w:iCs/>
          <w:sz w:val="20"/>
          <w:szCs w:val="20"/>
        </w:rPr>
        <w:t>et al.,</w:t>
      </w:r>
      <w:r w:rsidRPr="00E03B48">
        <w:rPr>
          <w:rFonts w:ascii="Arial" w:cs="Arial" w:hAnsi="Arial"/>
          <w:sz w:val="20"/>
          <w:szCs w:val="20"/>
        </w:rPr>
        <w:t xml:space="preserve"> 2005), the same is not always observed in the flooded rice system (Cheng </w:t>
      </w:r>
      <w:r w:rsidRPr="009C3369">
        <w:rPr>
          <w:rFonts w:ascii="Arial" w:cs="Arial" w:hAnsi="Arial"/>
          <w:i/>
          <w:iCs/>
          <w:sz w:val="20"/>
          <w:szCs w:val="20"/>
        </w:rPr>
        <w:t>et al.,</w:t>
      </w:r>
      <w:r w:rsidRPr="00E03B48">
        <w:rPr>
          <w:rFonts w:ascii="Arial" w:cs="Arial" w:hAnsi="Arial"/>
          <w:sz w:val="20"/>
          <w:szCs w:val="20"/>
        </w:rPr>
        <w:t xml:space="preserve"> 2006).</w:t>
      </w:r>
    </w:p>
    <w:p w14:paraId="0EB6D946" w14:textId="77777777" w:rsidP="00004E5B" w:rsidR="00004E5B" w:rsidRDefault="00004E5B" w:rsidRPr="00E03B48">
      <w:pPr>
        <w:pStyle w:val="NormalWeb"/>
        <w:jc w:val="both"/>
        <w:rPr>
          <w:rFonts w:ascii="Arial" w:cs="Arial" w:hAnsi="Arial"/>
          <w:color w:themeColor="text1" w:val="000000"/>
          <w:sz w:val="20"/>
          <w:szCs w:val="20"/>
        </w:rPr>
      </w:pPr>
      <w:r w:rsidRPr="00E03B48">
        <w:rPr>
          <w:rFonts w:ascii="Arial" w:cs="Arial" w:hAnsi="Arial"/>
          <w:sz w:val="20"/>
          <w:szCs w:val="20"/>
        </w:rPr>
        <w:t xml:space="preserve">In several studies, elevated </w:t>
      </w:r>
      <w:r w:rsidRPr="00E03B48">
        <w:rPr>
          <w:rFonts w:ascii="Arial" w:cs="Arial" w:hAnsi="Arial"/>
          <w:color w:themeColor="text1" w:val="000000"/>
          <w:sz w:val="20"/>
          <w:szCs w:val="20"/>
        </w:rPr>
        <w:t>CO</w:t>
      </w:r>
      <w:r w:rsidRPr="00E03B48">
        <w:rPr>
          <w:rFonts w:ascii="Arial" w:cs="Arial" w:hAnsi="Arial"/>
          <w:color w:themeColor="text1" w:val="000000"/>
          <w:sz w:val="20"/>
          <w:szCs w:val="20"/>
          <w:vertAlign w:val="subscript"/>
        </w:rPr>
        <w:t xml:space="preserve">2 </w:t>
      </w:r>
      <w:r w:rsidRPr="00E03B48">
        <w:rPr>
          <w:rFonts w:ascii="Arial" w:cs="Arial" w:hAnsi="Arial"/>
          <w:sz w:val="20"/>
          <w:szCs w:val="20"/>
        </w:rPr>
        <w:t>has either a negative (</w:t>
      </w:r>
      <w:proofErr w:type="spellStart"/>
      <w:r w:rsidRPr="00E03B48">
        <w:rPr>
          <w:rFonts w:ascii="Arial" w:cs="Arial" w:hAnsi="Arial"/>
          <w:sz w:val="20"/>
          <w:szCs w:val="20"/>
        </w:rPr>
        <w:t>Butterbach-Bahl</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2013; Hu </w:t>
      </w:r>
      <w:r w:rsidRPr="009C3369">
        <w:rPr>
          <w:rFonts w:ascii="Arial" w:cs="Arial" w:hAnsi="Arial"/>
          <w:i/>
          <w:iCs/>
          <w:sz w:val="20"/>
          <w:szCs w:val="20"/>
        </w:rPr>
        <w:t>et al.,</w:t>
      </w:r>
      <w:r w:rsidRPr="00E03B48">
        <w:rPr>
          <w:rFonts w:ascii="Arial" w:cs="Arial" w:hAnsi="Arial"/>
          <w:sz w:val="20"/>
          <w:szCs w:val="20"/>
        </w:rPr>
        <w:t xml:space="preserve"> 2001; Pereira </w:t>
      </w:r>
      <w:r w:rsidRPr="009C3369">
        <w:rPr>
          <w:rFonts w:ascii="Arial" w:cs="Arial" w:hAnsi="Arial"/>
          <w:i/>
          <w:iCs/>
          <w:sz w:val="20"/>
          <w:szCs w:val="20"/>
        </w:rPr>
        <w:t>et al.,</w:t>
      </w:r>
      <w:r w:rsidRPr="00E03B48">
        <w:rPr>
          <w:rFonts w:ascii="Arial" w:cs="Arial" w:hAnsi="Arial"/>
          <w:sz w:val="20"/>
          <w:szCs w:val="20"/>
        </w:rPr>
        <w:t xml:space="preserve"> 2013; Yao </w:t>
      </w:r>
      <w:r w:rsidRPr="009C3369">
        <w:rPr>
          <w:rFonts w:ascii="Arial" w:cs="Arial" w:hAnsi="Arial"/>
          <w:i/>
          <w:iCs/>
          <w:sz w:val="20"/>
          <w:szCs w:val="20"/>
        </w:rPr>
        <w:t>et al.,</w:t>
      </w:r>
      <w:r w:rsidRPr="00E03B48">
        <w:rPr>
          <w:rFonts w:ascii="Arial" w:cs="Arial" w:hAnsi="Arial"/>
          <w:sz w:val="20"/>
          <w:szCs w:val="20"/>
        </w:rPr>
        <w:t xml:space="preserve"> 2020), positive (Baggs </w:t>
      </w:r>
      <w:r w:rsidRPr="009C3369">
        <w:rPr>
          <w:rFonts w:ascii="Arial" w:cs="Arial" w:hAnsi="Arial"/>
          <w:i/>
          <w:iCs/>
          <w:sz w:val="20"/>
          <w:szCs w:val="20"/>
        </w:rPr>
        <w:t>et al.,</w:t>
      </w:r>
      <w:r w:rsidRPr="00E03B48">
        <w:rPr>
          <w:rFonts w:ascii="Arial" w:cs="Arial" w:hAnsi="Arial"/>
          <w:sz w:val="20"/>
          <w:szCs w:val="20"/>
        </w:rPr>
        <w:t xml:space="preserve"> 2003; Kettunen </w:t>
      </w:r>
      <w:r w:rsidRPr="009C3369">
        <w:rPr>
          <w:rFonts w:ascii="Arial" w:cs="Arial" w:hAnsi="Arial"/>
          <w:i/>
          <w:iCs/>
          <w:sz w:val="20"/>
          <w:szCs w:val="20"/>
        </w:rPr>
        <w:t>et al.,</w:t>
      </w:r>
      <w:r w:rsidRPr="00E03B48">
        <w:rPr>
          <w:rFonts w:ascii="Arial" w:cs="Arial" w:hAnsi="Arial"/>
          <w:sz w:val="20"/>
          <w:szCs w:val="20"/>
        </w:rPr>
        <w:t xml:space="preserve"> 2005; Bhattacharyya </w:t>
      </w:r>
      <w:r w:rsidRPr="009C3369">
        <w:rPr>
          <w:rFonts w:ascii="Arial" w:cs="Arial" w:hAnsi="Arial"/>
          <w:i/>
          <w:iCs/>
          <w:sz w:val="20"/>
          <w:szCs w:val="20"/>
        </w:rPr>
        <w:t>et al.,</w:t>
      </w:r>
      <w:r w:rsidRPr="00E03B48">
        <w:rPr>
          <w:rFonts w:ascii="Arial" w:cs="Arial" w:hAnsi="Arial"/>
          <w:sz w:val="20"/>
          <w:szCs w:val="20"/>
        </w:rPr>
        <w:t xml:space="preserve"> 2013; Wang </w:t>
      </w:r>
      <w:r w:rsidRPr="009C3369">
        <w:rPr>
          <w:rFonts w:ascii="Arial" w:cs="Arial" w:hAnsi="Arial"/>
          <w:i/>
          <w:iCs/>
          <w:sz w:val="20"/>
          <w:szCs w:val="20"/>
        </w:rPr>
        <w:t>et al</w:t>
      </w:r>
      <w:r w:rsidRPr="00E03B48">
        <w:rPr>
          <w:rFonts w:ascii="Arial" w:cs="Arial" w:hAnsi="Arial"/>
          <w:sz w:val="20"/>
          <w:szCs w:val="20"/>
        </w:rPr>
        <w:t xml:space="preserve">., 2018), or no apparent effect (Xu </w:t>
      </w:r>
      <w:r w:rsidRPr="009C3369">
        <w:rPr>
          <w:rFonts w:ascii="Arial" w:cs="Arial" w:hAnsi="Arial"/>
          <w:i/>
          <w:iCs/>
          <w:sz w:val="20"/>
          <w:szCs w:val="20"/>
        </w:rPr>
        <w:t>et al.,</w:t>
      </w:r>
      <w:r w:rsidRPr="00E03B48">
        <w:rPr>
          <w:rFonts w:ascii="Arial" w:cs="Arial" w:hAnsi="Arial"/>
          <w:sz w:val="20"/>
          <w:szCs w:val="20"/>
        </w:rPr>
        <w:t xml:space="preserve"> 2002; Wang, It has been observed that increased plant nitrogen uptake leads to reduced N</w:t>
      </w:r>
      <w:r w:rsidRPr="00E03B48">
        <w:rPr>
          <w:rFonts w:ascii="Arial" w:cs="Arial" w:hAnsi="Arial"/>
          <w:sz w:val="20"/>
          <w:szCs w:val="20"/>
          <w:vertAlign w:val="subscript"/>
        </w:rPr>
        <w:t>2</w:t>
      </w:r>
      <w:r w:rsidRPr="00E03B48">
        <w:rPr>
          <w:rFonts w:ascii="Arial" w:cs="Arial" w:hAnsi="Arial"/>
          <w:sz w:val="20"/>
          <w:szCs w:val="20"/>
        </w:rPr>
        <w:t xml:space="preserve">O emissions during growth in increased </w:t>
      </w:r>
      <w:r w:rsidRPr="00E03B48">
        <w:rPr>
          <w:rFonts w:ascii="Arial" w:cs="Arial" w:hAnsi="Arial"/>
          <w:color w:themeColor="text1" w:val="000000"/>
          <w:sz w:val="20"/>
          <w:szCs w:val="20"/>
        </w:rPr>
        <w:t>CO</w:t>
      </w:r>
      <w:r w:rsidRPr="00E03B48">
        <w:rPr>
          <w:rFonts w:ascii="Arial" w:cs="Arial" w:hAnsi="Arial"/>
          <w:color w:themeColor="text1" w:val="000000"/>
          <w:sz w:val="20"/>
          <w:szCs w:val="20"/>
          <w:vertAlign w:val="subscript"/>
        </w:rPr>
        <w:t xml:space="preserve">2 </w:t>
      </w:r>
      <w:r w:rsidRPr="00E03B48">
        <w:rPr>
          <w:rFonts w:ascii="Arial" w:cs="Arial" w:hAnsi="Arial"/>
          <w:sz w:val="20"/>
          <w:szCs w:val="20"/>
        </w:rPr>
        <w:t xml:space="preserve">that limit the dictation of nitrogen to the microbial denitrification (Yao </w:t>
      </w:r>
      <w:r w:rsidRPr="009C3369">
        <w:rPr>
          <w:rFonts w:ascii="Arial" w:cs="Arial" w:hAnsi="Arial"/>
          <w:i/>
          <w:iCs/>
          <w:sz w:val="20"/>
          <w:szCs w:val="20"/>
        </w:rPr>
        <w:t>et al</w:t>
      </w:r>
      <w:r w:rsidRPr="00E03B48">
        <w:rPr>
          <w:rFonts w:ascii="Arial" w:cs="Arial" w:hAnsi="Arial"/>
          <w:sz w:val="20"/>
          <w:szCs w:val="20"/>
        </w:rPr>
        <w:t xml:space="preserve">., 2020; Sun </w:t>
      </w:r>
      <w:r w:rsidRPr="009C3369">
        <w:rPr>
          <w:rFonts w:ascii="Arial" w:cs="Arial" w:hAnsi="Arial"/>
          <w:i/>
          <w:iCs/>
          <w:sz w:val="20"/>
          <w:szCs w:val="20"/>
        </w:rPr>
        <w:t>et al.,</w:t>
      </w:r>
      <w:r w:rsidRPr="00E03B48">
        <w:rPr>
          <w:rFonts w:ascii="Arial" w:cs="Arial" w:hAnsi="Arial"/>
          <w:sz w:val="20"/>
          <w:szCs w:val="20"/>
        </w:rPr>
        <w:t xml:space="preserve"> 2018; </w:t>
      </w:r>
      <w:proofErr w:type="spellStart"/>
      <w:r w:rsidRPr="00E03B48">
        <w:rPr>
          <w:rFonts w:ascii="Arial" w:cs="Arial" w:hAnsi="Arial"/>
          <w:sz w:val="20"/>
          <w:szCs w:val="20"/>
        </w:rPr>
        <w:t>Butterbach-Bahl</w:t>
      </w:r>
      <w:proofErr w:type="spellEnd"/>
      <w:r w:rsidRPr="00E03B48">
        <w:rPr>
          <w:rFonts w:ascii="Arial" w:cs="Arial" w:hAnsi="Arial"/>
          <w:sz w:val="20"/>
          <w:szCs w:val="20"/>
        </w:rPr>
        <w:t xml:space="preserve"> </w:t>
      </w:r>
      <w:r w:rsidRPr="009C3369">
        <w:rPr>
          <w:rFonts w:ascii="Arial" w:cs="Arial" w:hAnsi="Arial"/>
          <w:i/>
          <w:iCs/>
          <w:sz w:val="20"/>
          <w:szCs w:val="20"/>
        </w:rPr>
        <w:t>et al.,</w:t>
      </w:r>
      <w:r w:rsidRPr="00E03B48">
        <w:rPr>
          <w:rFonts w:ascii="Arial" w:cs="Arial" w:hAnsi="Arial"/>
          <w:sz w:val="20"/>
          <w:szCs w:val="20"/>
        </w:rPr>
        <w:t xml:space="preserve"> 2013).</w:t>
      </w:r>
    </w:p>
    <w:p w14:paraId="17B9FCEB" w14:textId="77777777" w:rsidP="00004E5B" w:rsidR="00004E5B" w:rsidRDefault="00004E5B" w:rsidRPr="008B54BB">
      <w:pPr>
        <w:pStyle w:val="Heading3"/>
        <w:spacing w:line="360" w:lineRule="auto"/>
        <w:jc w:val="both"/>
        <w:rPr>
          <w:rFonts w:ascii="Times New Roman" w:cs="Times New Roman" w:hAnsi="Times New Roman"/>
          <w:color w:themeColor="text1" w:val="000000"/>
        </w:rPr>
      </w:pPr>
      <w:r w:rsidRPr="00582A2A">
        <w:rPr>
          <w:rFonts w:ascii="Arial" w:cs="Arial" w:hAnsi="Arial"/>
          <w:b/>
          <w:bCs/>
          <w:sz w:val="22"/>
          <w:szCs w:val="22"/>
        </w:rPr>
        <w:lastRenderedPageBreak/>
        <w:t>7.</w:t>
      </w:r>
      <w:r>
        <w:rPr>
          <w:rFonts w:ascii="Arial" w:cs="Arial" w:hAnsi="Arial"/>
          <w:sz w:val="22"/>
          <w:szCs w:val="22"/>
        </w:rPr>
        <w:t xml:space="preserve"> </w:t>
      </w:r>
      <w:r w:rsidRPr="009C3369">
        <w:rPr>
          <w:rStyle w:val="Strong"/>
          <w:rFonts w:ascii="Arial" w:cs="Arial" w:hAnsi="Arial"/>
          <w:color w:themeColor="text1" w:val="000000"/>
          <w:sz w:val="22"/>
          <w:szCs w:val="22"/>
        </w:rPr>
        <w:t>Mechanism of Methane Production and Emission from Soils</w:t>
      </w:r>
    </w:p>
    <w:p w14:paraId="55287679" w14:textId="77777777" w:rsidP="00004E5B" w:rsidR="00004E5B" w:rsidRDefault="00004E5B" w:rsidRPr="009C3369">
      <w:pPr>
        <w:jc w:val="both"/>
        <w:rPr>
          <w:rFonts w:ascii="Arial" w:cs="Arial" w:hAnsi="Arial"/>
          <w:lang w:eastAsia="en-IN"/>
        </w:rPr>
      </w:pPr>
      <w:r w:rsidRPr="009C3369">
        <w:rPr>
          <w:rFonts w:ascii="Arial" w:cs="Arial" w:hAnsi="Arial"/>
          <w:lang w:eastAsia="en-IN"/>
        </w:rPr>
        <w:t>The three primary sources of methane (CH</w:t>
      </w:r>
      <w:r w:rsidRPr="009C3369">
        <w:rPr>
          <w:rFonts w:ascii="Arial" w:cs="Arial" w:hAnsi="Arial"/>
          <w:vertAlign w:val="subscript"/>
          <w:lang w:eastAsia="en-IN"/>
        </w:rPr>
        <w:t>4</w:t>
      </w:r>
      <w:r w:rsidRPr="009C3369">
        <w:rPr>
          <w:rFonts w:ascii="Arial" w:cs="Arial" w:hAnsi="Arial"/>
          <w:lang w:eastAsia="en-IN"/>
        </w:rPr>
        <w:t>) in the agricultural sector are waste management, wetland rice fields, and enteric fermentation in ruminant animals. Since a condition of anaerobiosis evolves in flooded soils, submerged rice fields are a significant source of CH</w:t>
      </w:r>
      <w:r w:rsidRPr="009C3369">
        <w:rPr>
          <w:rFonts w:ascii="Arial" w:cs="Arial" w:hAnsi="Arial"/>
          <w:vertAlign w:val="subscript"/>
          <w:lang w:eastAsia="en-IN"/>
        </w:rPr>
        <w:t>4</w:t>
      </w:r>
      <w:r w:rsidRPr="009C3369">
        <w:rPr>
          <w:rFonts w:ascii="Arial" w:cs="Arial" w:hAnsi="Arial"/>
          <w:lang w:eastAsia="en-IN"/>
        </w:rPr>
        <w:t xml:space="preserve"> (Neue </w:t>
      </w:r>
      <w:r w:rsidRPr="009C3369">
        <w:rPr>
          <w:rFonts w:ascii="Arial" w:cs="Arial" w:hAnsi="Arial"/>
          <w:i/>
          <w:iCs/>
          <w:lang w:eastAsia="en-IN"/>
        </w:rPr>
        <w:t>et al.,</w:t>
      </w:r>
      <w:r w:rsidRPr="009C3369">
        <w:rPr>
          <w:rFonts w:ascii="Arial" w:cs="Arial" w:hAnsi="Arial"/>
          <w:lang w:eastAsia="en-IN"/>
        </w:rPr>
        <w:t xml:space="preserve"> 1997). Methane is produced by microorganisms degrading organic matter under anaerobic conditions and generally in redox potential below -150 mV (Oremland, 1988; Wang </w:t>
      </w:r>
      <w:r w:rsidRPr="009C3369">
        <w:rPr>
          <w:rFonts w:ascii="Arial" w:cs="Arial" w:hAnsi="Arial"/>
          <w:i/>
          <w:iCs/>
          <w:lang w:eastAsia="en-IN"/>
        </w:rPr>
        <w:t>et al.,</w:t>
      </w:r>
      <w:r w:rsidRPr="009C3369">
        <w:rPr>
          <w:rFonts w:ascii="Arial" w:cs="Arial" w:hAnsi="Arial"/>
          <w:lang w:eastAsia="en-IN"/>
        </w:rPr>
        <w:t xml:space="preserve"> 1993). This environment transforms organic matter to carbon dioxide and finally methane via a series of reactions that reduce electron acceptors like molecular oxygen, nitrate, iron (III), manganese (IV), and sulfate (</w:t>
      </w:r>
      <w:proofErr w:type="spellStart"/>
      <w:r w:rsidRPr="009C3369">
        <w:rPr>
          <w:rFonts w:ascii="Arial" w:cs="Arial" w:hAnsi="Arial"/>
          <w:lang w:eastAsia="en-IN"/>
        </w:rPr>
        <w:t>Ponnamperuma</w:t>
      </w:r>
      <w:proofErr w:type="spellEnd"/>
      <w:r w:rsidRPr="009C3369">
        <w:rPr>
          <w:rFonts w:ascii="Arial" w:cs="Arial" w:hAnsi="Arial"/>
          <w:lang w:eastAsia="en-IN"/>
        </w:rPr>
        <w:t>, 1972).</w:t>
      </w:r>
    </w:p>
    <w:p w14:paraId="0C55D527" w14:textId="77777777" w:rsidP="00004E5B" w:rsidR="00004E5B" w:rsidRDefault="00004E5B" w:rsidRPr="009C3369">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 xml:space="preserve">As the redox potential declines through these steps, it creates </w:t>
      </w:r>
      <w:proofErr w:type="spellStart"/>
      <w:r w:rsidRPr="009C3369">
        <w:rPr>
          <w:rFonts w:ascii="Arial" w:cs="Arial" w:hAnsi="Arial"/>
          <w:color w:themeColor="text1" w:val="000000"/>
          <w:sz w:val="20"/>
          <w:szCs w:val="20"/>
        </w:rPr>
        <w:t>favorable</w:t>
      </w:r>
      <w:proofErr w:type="spellEnd"/>
      <w:r w:rsidRPr="009C3369">
        <w:rPr>
          <w:rFonts w:ascii="Arial" w:cs="Arial" w:hAnsi="Arial"/>
          <w:color w:themeColor="text1" w:val="000000"/>
          <w:sz w:val="20"/>
          <w:szCs w:val="20"/>
        </w:rPr>
        <w:t xml:space="preserve"> conditions for methanogenesis (</w:t>
      </w:r>
      <w:proofErr w:type="spellStart"/>
      <w:r w:rsidRPr="009C3369">
        <w:rPr>
          <w:rFonts w:ascii="Arial" w:cs="Arial" w:hAnsi="Arial"/>
          <w:color w:themeColor="text1" w:val="000000"/>
          <w:sz w:val="20"/>
          <w:szCs w:val="20"/>
        </w:rPr>
        <w:t>Ponnamperuma</w:t>
      </w:r>
      <w:proofErr w:type="spellEnd"/>
      <w:r w:rsidRPr="009C3369">
        <w:rPr>
          <w:rFonts w:ascii="Arial" w:cs="Arial" w:hAnsi="Arial"/>
          <w:color w:themeColor="text1" w:val="000000"/>
          <w:sz w:val="20"/>
          <w:szCs w:val="20"/>
        </w:rPr>
        <w:t>, 1972; De Datta, 1981), as illustrated by the following reactions:</w:t>
      </w:r>
    </w:p>
    <w:p w14:paraId="53DF00CC" w14:textId="77777777"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-475 kJ</w:t>
      </w:r>
    </w:p>
    <w:p w14:paraId="2D2E84D3" w14:textId="77777777"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5CH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+ 4NO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 4HCO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+ 3H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xml:space="preserve">            -448 kJ</w:t>
      </w:r>
    </w:p>
    <w:p w14:paraId="6CAA7003" w14:textId="77777777"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+ 2MnO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2Mn²</w:t>
      </w:r>
      <w:r w:rsidRPr="009C3369">
        <w:rPr>
          <w:rFonts w:ascii="Cambria Math" w:cs="Cambria Math" w:hAnsi="Cambria Math"/>
          <w:color w:themeColor="text1" w:val="000000"/>
          <w:sz w:val="20"/>
          <w:szCs w:val="20"/>
        </w:rPr>
        <w:t>⁺</w:t>
      </w:r>
      <w:r w:rsidRPr="009C3369">
        <w:rPr>
          <w:rFonts w:ascii="Arial" w:cs="Arial" w:hAnsi="Arial"/>
          <w:color w:themeColor="text1" w:val="000000"/>
          <w:sz w:val="20"/>
          <w:szCs w:val="20"/>
        </w:rPr>
        <w:t xml:space="preserve"> + 4HCO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xml:space="preserve">             -349 kJ</w:t>
      </w:r>
    </w:p>
    <w:p w14:paraId="6198095E" w14:textId="6B1FF6DB"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+ 4Fe</w:t>
      </w:r>
      <w:r w:rsidR="00B55EAB">
        <w:rPr>
          <w:rFonts w:ascii="Arial" w:cs="Arial" w:hAnsi="Arial"/>
          <w:color w:themeColor="text1" w:val="000000"/>
          <w:sz w:val="20"/>
          <w:szCs w:val="20"/>
        </w:rPr>
        <w:t xml:space="preserve"> </w:t>
      </w:r>
      <w:r w:rsidRPr="009C3369">
        <w:rPr>
          <w:rFonts w:ascii="Arial" w:cs="Arial" w:hAnsi="Arial"/>
          <w:color w:themeColor="text1" w:val="000000"/>
          <w:sz w:val="20"/>
          <w:szCs w:val="20"/>
        </w:rPr>
        <w:t>(OH)</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+ 7CO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4Fe²</w:t>
      </w:r>
      <w:r w:rsidRPr="009C3369">
        <w:rPr>
          <w:rFonts w:ascii="Cambria Math" w:cs="Cambria Math" w:hAnsi="Cambria Math"/>
          <w:color w:themeColor="text1" w:val="000000"/>
          <w:sz w:val="20"/>
          <w:szCs w:val="20"/>
        </w:rPr>
        <w:t>⁺</w:t>
      </w:r>
      <w:r w:rsidRPr="009C3369">
        <w:rPr>
          <w:rFonts w:ascii="Arial" w:cs="Arial" w:hAnsi="Arial"/>
          <w:color w:themeColor="text1" w:val="000000"/>
          <w:sz w:val="20"/>
          <w:szCs w:val="20"/>
        </w:rPr>
        <w:t xml:space="preserve"> + 8HCO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+ 3H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w:t>
      </w:r>
      <w:r w:rsidRPr="009C3369">
        <w:rPr>
          <w:rFonts w:ascii="Arial" w:cs="Arial" w:hAnsi="Arial"/>
          <w:color w:themeColor="text1" w:val="000000"/>
          <w:sz w:val="20"/>
          <w:szCs w:val="20"/>
        </w:rPr>
        <w:t> </w:t>
      </w:r>
      <w:r w:rsidRPr="009C3369">
        <w:rPr>
          <w:rFonts w:ascii="Arial" w:cs="Arial" w:hAnsi="Arial"/>
          <w:color w:themeColor="text1" w:val="000000"/>
          <w:sz w:val="20"/>
          <w:szCs w:val="20"/>
        </w:rPr>
        <w:t xml:space="preserve">           -114 kJ</w:t>
      </w:r>
    </w:p>
    <w:p w14:paraId="20AC32BE" w14:textId="77777777"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2CH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SO</w:t>
      </w:r>
      <w:r w:rsidRPr="009C3369">
        <w:rPr>
          <w:rFonts w:ascii="Cambria Math" w:cs="Cambria Math" w:hAnsi="Cambria Math"/>
          <w:color w:themeColor="text1" w:val="000000"/>
          <w:sz w:val="20"/>
          <w:szCs w:val="20"/>
        </w:rPr>
        <w:t>₄</w:t>
      </w:r>
      <w:r w:rsidRPr="009C3369">
        <w:rPr>
          <w:rFonts w:ascii="Arial" w:cs="Arial" w:hAnsi="Arial"/>
          <w:color w:themeColor="text1" w:val="000000"/>
          <w:sz w:val="20"/>
          <w:szCs w:val="20"/>
        </w:rPr>
        <w:t>²</w:t>
      </w:r>
      <w:r w:rsidRPr="009C3369">
        <w:rPr>
          <w:rFonts w:ascii="Cambria Math" w:cs="Cambria Math" w:hAnsi="Cambria Math"/>
          <w:color w:themeColor="text1" w:val="000000"/>
          <w:sz w:val="20"/>
          <w:szCs w:val="20"/>
        </w:rPr>
        <w:t>⁻</w:t>
      </w:r>
      <w:r w:rsidRPr="009C3369">
        <w:rPr>
          <w:rFonts w:ascii="Arial" w:cs="Arial" w:hAnsi="Arial"/>
          <w:color w:themeColor="text1" w:val="000000"/>
          <w:sz w:val="20"/>
          <w:szCs w:val="20"/>
        </w:rPr>
        <w:t xml:space="preserve"> → 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S + 2HCO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xml:space="preserve">            -77 kJ</w:t>
      </w:r>
    </w:p>
    <w:p w14:paraId="09236377" w14:textId="77777777" w:rsidP="00004E5B" w:rsidR="00004E5B" w:rsidRDefault="00004E5B" w:rsidRPr="009C3369">
      <w:pPr>
        <w:pStyle w:val="NormalWeb"/>
        <w:numPr>
          <w:ilvl w:val="0"/>
          <w:numId w:val="31"/>
        </w:numPr>
        <w:jc w:val="both"/>
        <w:rPr>
          <w:rFonts w:ascii="Arial" w:cs="Arial" w:hAnsi="Arial"/>
          <w:color w:themeColor="text1" w:val="000000"/>
          <w:sz w:val="20"/>
          <w:szCs w:val="20"/>
        </w:rPr>
      </w:pPr>
      <w:r w:rsidRPr="009C3369">
        <w:rPr>
          <w:rFonts w:ascii="Arial" w:cs="Arial" w:hAnsi="Arial"/>
          <w:color w:themeColor="text1" w:val="000000"/>
          <w:sz w:val="20"/>
          <w:szCs w:val="20"/>
        </w:rPr>
        <w:t>2CH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CH</w:t>
      </w:r>
      <w:r w:rsidRPr="009C3369">
        <w:rPr>
          <w:rFonts w:ascii="Cambria Math" w:cs="Cambria Math" w:hAnsi="Cambria Math"/>
          <w:color w:themeColor="text1" w:val="000000"/>
          <w:sz w:val="20"/>
          <w:szCs w:val="20"/>
        </w:rPr>
        <w:t>₄</w:t>
      </w:r>
      <w:r w:rsidRPr="009C3369">
        <w:rPr>
          <w:rFonts w:ascii="Arial" w:cs="Arial" w:hAnsi="Arial"/>
          <w:color w:themeColor="text1" w:val="000000"/>
          <w:sz w:val="20"/>
          <w:szCs w:val="20"/>
        </w:rPr>
        <w:t xml:space="preserve"> +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w:t>
      </w:r>
      <w:r w:rsidRPr="009C3369">
        <w:rPr>
          <w:rFonts w:ascii="Arial" w:cs="Arial" w:hAnsi="Arial"/>
          <w:color w:themeColor="text1" w:val="000000"/>
          <w:sz w:val="20"/>
          <w:szCs w:val="20"/>
        </w:rPr>
        <w:t xml:space="preserve">         -58 kJ</w:t>
      </w:r>
    </w:p>
    <w:p w14:paraId="2DAB87CD" w14:textId="77777777" w:rsidP="00004E5B" w:rsidR="00004E5B" w:rsidRDefault="00004E5B" w:rsidRPr="009C3369">
      <w:pPr>
        <w:jc w:val="both"/>
        <w:rPr>
          <w:rFonts w:ascii="Arial" w:cs="Arial" w:hAnsi="Arial"/>
          <w:lang w:eastAsia="en-IN"/>
        </w:rPr>
      </w:pPr>
      <w:r w:rsidRPr="009C3369">
        <w:rPr>
          <w:rFonts w:ascii="Arial" w:cs="Arial" w:hAnsi="Arial"/>
          <w:lang w:eastAsia="en-IN"/>
        </w:rPr>
        <w:t xml:space="preserve">Penning and Conrad (2007) declare that the microorganisms that decompose the complex organic compounds in anaerobic conditions are called methanogens. This is termed as methanogenesis. Some of the sources of the organic matter that these microbes utilize include algal biomass, plant litter, stubbles, microbial biomass, aquatic animals, weeds, rice roots, rhizodeposition by rice and weeds, and organic fertilizers (Kimura </w:t>
      </w:r>
      <w:r w:rsidRPr="009C3369">
        <w:rPr>
          <w:rFonts w:ascii="Arial" w:cs="Arial" w:hAnsi="Arial"/>
          <w:i/>
          <w:iCs/>
          <w:lang w:eastAsia="en-IN"/>
        </w:rPr>
        <w:t>et al.,</w:t>
      </w:r>
      <w:r w:rsidRPr="009C3369">
        <w:rPr>
          <w:rFonts w:ascii="Arial" w:cs="Arial" w:hAnsi="Arial"/>
          <w:lang w:eastAsia="en-IN"/>
        </w:rPr>
        <w:t xml:space="preserve"> 2004; Lu </w:t>
      </w:r>
      <w:r w:rsidRPr="009C3369">
        <w:rPr>
          <w:rFonts w:ascii="Arial" w:cs="Arial" w:hAnsi="Arial"/>
          <w:i/>
          <w:iCs/>
          <w:lang w:eastAsia="en-IN"/>
        </w:rPr>
        <w:t xml:space="preserve">et al., </w:t>
      </w:r>
      <w:r w:rsidRPr="009C3369">
        <w:rPr>
          <w:rFonts w:ascii="Arial" w:cs="Arial" w:hAnsi="Arial"/>
          <w:lang w:eastAsia="en-IN"/>
        </w:rPr>
        <w:t xml:space="preserve">2003; Conrad, 2002; </w:t>
      </w:r>
      <w:proofErr w:type="spellStart"/>
      <w:r w:rsidRPr="009C3369">
        <w:rPr>
          <w:rFonts w:ascii="Arial" w:cs="Arial" w:hAnsi="Arial"/>
          <w:lang w:eastAsia="en-IN"/>
        </w:rPr>
        <w:t>Kuzyakov</w:t>
      </w:r>
      <w:proofErr w:type="spellEnd"/>
      <w:r w:rsidRPr="009C3369">
        <w:rPr>
          <w:rFonts w:ascii="Arial" w:cs="Arial" w:hAnsi="Arial"/>
          <w:lang w:eastAsia="en-IN"/>
        </w:rPr>
        <w:t xml:space="preserve"> and </w:t>
      </w:r>
      <w:proofErr w:type="spellStart"/>
      <w:r w:rsidRPr="009C3369">
        <w:rPr>
          <w:rFonts w:ascii="Arial" w:cs="Arial" w:hAnsi="Arial"/>
          <w:lang w:eastAsia="en-IN"/>
        </w:rPr>
        <w:t>Domanski</w:t>
      </w:r>
      <w:proofErr w:type="spellEnd"/>
      <w:r w:rsidRPr="009C3369">
        <w:rPr>
          <w:rFonts w:ascii="Arial" w:cs="Arial" w:hAnsi="Arial"/>
          <w:lang w:eastAsia="en-IN"/>
        </w:rPr>
        <w:t xml:space="preserve">, 2000; Kimura, 2000; Brune </w:t>
      </w:r>
      <w:r w:rsidRPr="009C3369">
        <w:rPr>
          <w:rFonts w:ascii="Arial" w:cs="Arial" w:hAnsi="Arial"/>
          <w:i/>
          <w:iCs/>
          <w:lang w:eastAsia="en-IN"/>
        </w:rPr>
        <w:t>et al.,</w:t>
      </w:r>
      <w:r w:rsidRPr="009C3369">
        <w:rPr>
          <w:rFonts w:ascii="Arial" w:cs="Arial" w:hAnsi="Arial"/>
          <w:lang w:eastAsia="en-IN"/>
        </w:rPr>
        <w:t xml:space="preserve"> 2000).</w:t>
      </w:r>
    </w:p>
    <w:p w14:paraId="28858676" w14:textId="77777777" w:rsidP="00004E5B" w:rsidR="00004E5B" w:rsidRDefault="00004E5B" w:rsidRPr="009C3369">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The conversion of organic matter into simpler substrates accessible to methanogens follows a multi-step process:</w:t>
      </w:r>
    </w:p>
    <w:p w14:paraId="25841F2E" w14:textId="77777777" w:rsidP="00004E5B" w:rsidR="00004E5B" w:rsidRDefault="00004E5B" w:rsidRPr="009C3369">
      <w:pPr>
        <w:pStyle w:val="NormalWeb"/>
        <w:numPr>
          <w:ilvl w:val="0"/>
          <w:numId w:val="32"/>
        </w:numPr>
        <w:jc w:val="both"/>
        <w:rPr>
          <w:rFonts w:ascii="Arial" w:cs="Arial" w:hAnsi="Arial"/>
          <w:color w:themeColor="text1" w:val="000000"/>
          <w:sz w:val="20"/>
          <w:szCs w:val="20"/>
        </w:rPr>
      </w:pPr>
      <w:r w:rsidRPr="009C3369">
        <w:rPr>
          <w:rStyle w:val="Strong"/>
          <w:rFonts w:ascii="Arial" w:cs="Arial" w:eastAsiaTheme="majorEastAsia" w:hAnsi="Arial"/>
          <w:color w:themeColor="text1" w:val="000000"/>
          <w:sz w:val="20"/>
          <w:szCs w:val="20"/>
        </w:rPr>
        <w:t>Hydrolysis</w:t>
      </w:r>
      <w:r w:rsidRPr="009C3369">
        <w:rPr>
          <w:rFonts w:ascii="Arial" w:cs="Arial" w:hAnsi="Arial"/>
          <w:color w:themeColor="text1" w:val="000000"/>
          <w:sz w:val="20"/>
          <w:szCs w:val="20"/>
        </w:rPr>
        <w:t xml:space="preserve"> – Organic matter, composed of biodegradable humus and resistant humic substances, is broken down into simpler, soluble molecules such as cellulose, hemicellulose, lignin, and proteins.</w:t>
      </w:r>
    </w:p>
    <w:p w14:paraId="58ACF808" w14:textId="77777777" w:rsidP="00004E5B" w:rsidR="00004E5B" w:rsidRDefault="00004E5B" w:rsidRPr="009C3369">
      <w:pPr>
        <w:pStyle w:val="NormalWeb"/>
        <w:numPr>
          <w:ilvl w:val="0"/>
          <w:numId w:val="32"/>
        </w:numPr>
        <w:jc w:val="both"/>
        <w:rPr>
          <w:rFonts w:ascii="Arial" w:cs="Arial" w:hAnsi="Arial"/>
          <w:color w:themeColor="text1" w:val="000000"/>
          <w:sz w:val="20"/>
          <w:szCs w:val="20"/>
        </w:rPr>
      </w:pPr>
      <w:r w:rsidRPr="009C3369">
        <w:rPr>
          <w:rStyle w:val="Strong"/>
          <w:rFonts w:ascii="Arial" w:cs="Arial" w:eastAsiaTheme="majorEastAsia" w:hAnsi="Arial"/>
          <w:color w:themeColor="text1" w:val="000000"/>
          <w:sz w:val="20"/>
          <w:szCs w:val="20"/>
        </w:rPr>
        <w:t>Acidogenesis</w:t>
      </w:r>
      <w:r w:rsidRPr="009C3369">
        <w:rPr>
          <w:rFonts w:ascii="Arial" w:cs="Arial" w:hAnsi="Arial"/>
          <w:color w:themeColor="text1" w:val="000000"/>
          <w:sz w:val="20"/>
          <w:szCs w:val="20"/>
        </w:rPr>
        <w:t xml:space="preserve"> – The products of hydrolysis are further fermented by bacteria into volatile fatty acids like acetate, propionate, butyrate, and lactate, along with ammonia, organic acids, alcohols (ethanol and methanol), hydrogen, and carbon dioxide (Cairo and Paris, 1988).</w:t>
      </w:r>
    </w:p>
    <w:p w14:paraId="7EB44051" w14:textId="77777777" w:rsidP="00004E5B" w:rsidR="00004E5B" w:rsidRDefault="00004E5B" w:rsidRPr="009C3369">
      <w:pPr>
        <w:pStyle w:val="NormalWeb"/>
        <w:numPr>
          <w:ilvl w:val="0"/>
          <w:numId w:val="32"/>
        </w:numPr>
        <w:jc w:val="both"/>
        <w:rPr>
          <w:rFonts w:ascii="Arial" w:cs="Arial" w:hAnsi="Arial"/>
          <w:color w:themeColor="text1" w:val="000000"/>
          <w:sz w:val="20"/>
          <w:szCs w:val="20"/>
        </w:rPr>
      </w:pPr>
      <w:r w:rsidRPr="009C3369">
        <w:rPr>
          <w:rStyle w:val="Strong"/>
          <w:rFonts w:ascii="Arial" w:cs="Arial" w:eastAsiaTheme="majorEastAsia" w:hAnsi="Arial"/>
          <w:color w:themeColor="text1" w:val="000000"/>
          <w:sz w:val="20"/>
          <w:szCs w:val="20"/>
        </w:rPr>
        <w:t>Acetogenesis</w:t>
      </w:r>
      <w:r w:rsidRPr="009C3369">
        <w:rPr>
          <w:rFonts w:ascii="Arial" w:cs="Arial" w:hAnsi="Arial"/>
          <w:color w:themeColor="text1" w:val="000000"/>
          <w:sz w:val="20"/>
          <w:szCs w:val="20"/>
        </w:rPr>
        <w:t xml:space="preserve"> – Acetogens convert volatile fatty acids into acetic acid, carbon dioxide, and hydrogen. These bacteria thrive in anaerobic conditions (Rosencrantz </w:t>
      </w:r>
      <w:r w:rsidRPr="009C3369">
        <w:rPr>
          <w:rFonts w:ascii="Arial" w:cs="Arial" w:hAnsi="Arial"/>
          <w:i/>
          <w:iCs/>
          <w:color w:themeColor="text1" w:val="000000"/>
          <w:sz w:val="20"/>
          <w:szCs w:val="20"/>
        </w:rPr>
        <w:t>et al</w:t>
      </w:r>
      <w:r w:rsidRPr="009C3369">
        <w:rPr>
          <w:rFonts w:ascii="Arial" w:cs="Arial" w:hAnsi="Arial"/>
          <w:color w:themeColor="text1" w:val="000000"/>
          <w:sz w:val="20"/>
          <w:szCs w:val="20"/>
        </w:rPr>
        <w:t>., 1999).</w:t>
      </w:r>
    </w:p>
    <w:p w14:paraId="64145577" w14:textId="77777777" w:rsidP="00004E5B" w:rsidR="00004E5B" w:rsidRDefault="00004E5B" w:rsidRPr="009C3369">
      <w:pPr>
        <w:pStyle w:val="NormalWeb"/>
        <w:numPr>
          <w:ilvl w:val="0"/>
          <w:numId w:val="32"/>
        </w:numPr>
        <w:jc w:val="both"/>
        <w:rPr>
          <w:rFonts w:ascii="Arial" w:cs="Arial" w:hAnsi="Arial"/>
          <w:color w:themeColor="text1" w:val="000000"/>
          <w:sz w:val="20"/>
          <w:szCs w:val="20"/>
        </w:rPr>
      </w:pPr>
      <w:r w:rsidRPr="009C3369">
        <w:rPr>
          <w:rStyle w:val="Strong"/>
          <w:rFonts w:ascii="Arial" w:cs="Arial" w:eastAsiaTheme="majorEastAsia" w:hAnsi="Arial"/>
          <w:color w:themeColor="text1" w:val="000000"/>
          <w:sz w:val="20"/>
          <w:szCs w:val="20"/>
        </w:rPr>
        <w:t>Methanogenesis</w:t>
      </w:r>
      <w:r w:rsidRPr="009C3369">
        <w:rPr>
          <w:rFonts w:ascii="Arial" w:cs="Arial" w:hAnsi="Arial"/>
          <w:color w:themeColor="text1" w:val="000000"/>
          <w:sz w:val="20"/>
          <w:szCs w:val="20"/>
        </w:rPr>
        <w:t xml:space="preserve"> – Methanogens utilize substrates such as formic acid, methanol, methylamines, acetate, alcohols, and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to produce methane under anaerobic conditions (</w:t>
      </w:r>
      <w:proofErr w:type="spellStart"/>
      <w:r w:rsidRPr="009C3369">
        <w:rPr>
          <w:rFonts w:ascii="Arial" w:cs="Arial" w:hAnsi="Arial"/>
          <w:color w:themeColor="text1" w:val="000000"/>
          <w:sz w:val="20"/>
          <w:szCs w:val="20"/>
        </w:rPr>
        <w:t>Thauer</w:t>
      </w:r>
      <w:proofErr w:type="spellEnd"/>
      <w:r w:rsidRPr="009C3369">
        <w:rPr>
          <w:rFonts w:ascii="Arial" w:cs="Arial" w:hAnsi="Arial"/>
          <w:color w:themeColor="text1" w:val="000000"/>
          <w:sz w:val="20"/>
          <w:szCs w:val="20"/>
        </w:rPr>
        <w:t xml:space="preserve">, 1998; </w:t>
      </w:r>
      <w:proofErr w:type="spellStart"/>
      <w:r w:rsidRPr="009C3369">
        <w:rPr>
          <w:rFonts w:ascii="Arial" w:cs="Arial" w:hAnsi="Arial"/>
          <w:color w:themeColor="text1" w:val="000000"/>
          <w:sz w:val="20"/>
          <w:szCs w:val="20"/>
        </w:rPr>
        <w:t>Nazaries</w:t>
      </w:r>
      <w:proofErr w:type="spellEnd"/>
      <w:r w:rsidRPr="009C3369">
        <w:rPr>
          <w:rFonts w:ascii="Arial" w:cs="Arial" w:hAnsi="Arial"/>
          <w:color w:themeColor="text1" w:val="000000"/>
          <w:sz w:val="20"/>
          <w:szCs w:val="20"/>
        </w:rPr>
        <w:t xml:space="preserve"> </w:t>
      </w:r>
      <w:r w:rsidRPr="009C3369">
        <w:rPr>
          <w:rFonts w:ascii="Arial" w:cs="Arial" w:hAnsi="Arial"/>
          <w:i/>
          <w:iCs/>
          <w:color w:themeColor="text1" w:val="000000"/>
          <w:sz w:val="20"/>
          <w:szCs w:val="20"/>
        </w:rPr>
        <w:t>et al.,</w:t>
      </w:r>
      <w:r w:rsidRPr="009C3369">
        <w:rPr>
          <w:rFonts w:ascii="Arial" w:cs="Arial" w:hAnsi="Arial"/>
          <w:color w:themeColor="text1" w:val="000000"/>
          <w:sz w:val="20"/>
          <w:szCs w:val="20"/>
        </w:rPr>
        <w:t xml:space="preserve"> 2013; Dubey, 2005; Le Mer and Roger, 2001). Acetate or CO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/H</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are considered the primary precursors for methane production in rice soils (Mitra </w:t>
      </w:r>
      <w:r w:rsidRPr="009C3369">
        <w:rPr>
          <w:rFonts w:ascii="Arial" w:cs="Arial" w:hAnsi="Arial"/>
          <w:i/>
          <w:iCs/>
          <w:color w:themeColor="text1" w:val="000000"/>
          <w:sz w:val="20"/>
          <w:szCs w:val="20"/>
        </w:rPr>
        <w:t>et al.,</w:t>
      </w:r>
      <w:r w:rsidRPr="009C3369">
        <w:rPr>
          <w:rFonts w:ascii="Arial" w:cs="Arial" w:hAnsi="Arial"/>
          <w:color w:themeColor="text1" w:val="000000"/>
          <w:sz w:val="20"/>
          <w:szCs w:val="20"/>
        </w:rPr>
        <w:t xml:space="preserve"> 2012).</w:t>
      </w:r>
    </w:p>
    <w:p w14:paraId="7B1FA1C0" w14:textId="77777777" w:rsidP="00004E5B" w:rsidR="00004E5B" w:rsidRDefault="00004E5B">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 xml:space="preserve">Methanogenesis initiates once the non-methanogenic electron acceptors are depleted, resulting in a shift in the thermodynamic environment that </w:t>
      </w:r>
      <w:proofErr w:type="spellStart"/>
      <w:r w:rsidRPr="009C3369">
        <w:rPr>
          <w:rFonts w:ascii="Arial" w:cs="Arial" w:hAnsi="Arial"/>
          <w:color w:themeColor="text1" w:val="000000"/>
          <w:sz w:val="20"/>
          <w:szCs w:val="20"/>
        </w:rPr>
        <w:t>favors</w:t>
      </w:r>
      <w:proofErr w:type="spellEnd"/>
      <w:r w:rsidRPr="009C3369">
        <w:rPr>
          <w:rFonts w:ascii="Arial" w:cs="Arial" w:hAnsi="Arial"/>
          <w:color w:themeColor="text1" w:val="000000"/>
          <w:sz w:val="20"/>
          <w:szCs w:val="20"/>
        </w:rPr>
        <w:t xml:space="preserve"> methane production (Conrad, 1996).</w:t>
      </w:r>
    </w:p>
    <w:p w14:paraId="078D35B2" w14:textId="77777777" w:rsidP="00004E5B" w:rsidR="00004E5B" w:rsidRDefault="00004E5B" w:rsidRPr="008B54BB">
      <w:pPr>
        <w:pStyle w:val="Heading3"/>
        <w:spacing w:line="360" w:lineRule="auto"/>
        <w:jc w:val="both"/>
        <w:rPr>
          <w:rFonts w:ascii="Times New Roman" w:cs="Times New Roman" w:hAnsi="Times New Roman"/>
          <w:color w:themeColor="text1" w:val="000000"/>
        </w:rPr>
      </w:pPr>
      <w:r w:rsidRPr="00582A2A">
        <w:rPr>
          <w:rFonts w:ascii="Arial" w:cs="Arial" w:hAnsi="Arial"/>
          <w:b/>
          <w:bCs/>
          <w:color w:themeColor="text1" w:val="000000"/>
          <w:sz w:val="22"/>
          <w:szCs w:val="22"/>
        </w:rPr>
        <w:lastRenderedPageBreak/>
        <w:t>8.</w:t>
      </w:r>
      <w:r>
        <w:rPr>
          <w:rFonts w:ascii="Arial" w:cs="Arial" w:hAnsi="Arial"/>
          <w:color w:themeColor="text1" w:val="000000"/>
          <w:sz w:val="22"/>
          <w:szCs w:val="22"/>
        </w:rPr>
        <w:t xml:space="preserve"> </w:t>
      </w:r>
      <w:r w:rsidRPr="009C3369">
        <w:rPr>
          <w:rStyle w:val="Strong"/>
          <w:rFonts w:ascii="Arial" w:cs="Arial" w:hAnsi="Arial"/>
          <w:color w:themeColor="text1" w:val="000000"/>
          <w:sz w:val="22"/>
          <w:szCs w:val="22"/>
        </w:rPr>
        <w:t>Mechanism of Nitrous Oxide (N</w:t>
      </w:r>
      <w:r w:rsidRPr="009C3369">
        <w:rPr>
          <w:rStyle w:val="Strong"/>
          <w:rFonts w:ascii="Cambria Math" w:cs="Cambria Math" w:hAnsi="Cambria Math"/>
          <w:color w:themeColor="text1" w:val="000000"/>
          <w:sz w:val="22"/>
          <w:szCs w:val="22"/>
        </w:rPr>
        <w:t>₂</w:t>
      </w:r>
      <w:r w:rsidRPr="009C3369">
        <w:rPr>
          <w:rStyle w:val="Strong"/>
          <w:rFonts w:ascii="Arial" w:cs="Arial" w:hAnsi="Arial"/>
          <w:color w:themeColor="text1" w:val="000000"/>
          <w:sz w:val="22"/>
          <w:szCs w:val="22"/>
        </w:rPr>
        <w:t>O) Production and Emission in Soil</w:t>
      </w:r>
    </w:p>
    <w:p w14:paraId="4F51935A" w14:textId="77777777" w:rsidP="00004E5B" w:rsidR="00004E5B" w:rsidRDefault="00004E5B" w:rsidRPr="009C3369">
      <w:pPr>
        <w:jc w:val="both"/>
        <w:rPr>
          <w:rFonts w:ascii="Arial" w:cs="Arial" w:hAnsi="Arial"/>
        </w:rPr>
      </w:pPr>
      <w:r w:rsidRPr="009C3369">
        <w:rPr>
          <w:rFonts w:ascii="Arial" w:cs="Arial" w:hAnsi="Arial"/>
          <w:lang w:eastAsia="en-IN"/>
        </w:rPr>
        <w:t>Soils contribute about 70 percent of the nitrous oxide (N</w:t>
      </w:r>
      <w:r w:rsidRPr="009C3369">
        <w:rPr>
          <w:rFonts w:ascii="Arial" w:cs="Arial" w:hAnsi="Arial"/>
          <w:vertAlign w:val="subscript"/>
          <w:lang w:eastAsia="en-IN"/>
        </w:rPr>
        <w:t>2</w:t>
      </w:r>
      <w:r w:rsidRPr="009C3369">
        <w:rPr>
          <w:rFonts w:ascii="Arial" w:cs="Arial" w:hAnsi="Arial"/>
          <w:lang w:eastAsia="en-IN"/>
        </w:rPr>
        <w:t>O) emissions that the biosphere emits into the atmosphere (Bouwman, 1996). Some of the biological and chemical processes that cause the formation of N</w:t>
      </w:r>
      <w:r w:rsidRPr="009C3369">
        <w:rPr>
          <w:rFonts w:ascii="Cambria Math" w:cs="Cambria Math" w:hAnsi="Cambria Math"/>
          <w:lang w:eastAsia="en-IN"/>
        </w:rPr>
        <w:t>₂</w:t>
      </w:r>
      <w:r w:rsidRPr="009C3369">
        <w:rPr>
          <w:rFonts w:ascii="Arial" w:cs="Arial" w:hAnsi="Arial"/>
          <w:lang w:eastAsia="en-IN"/>
        </w:rPr>
        <w:t>O include nitrification, incomplete denitrification, nitrifier denitrification, fungal denitrification, and reduction of nitrate (NO</w:t>
      </w:r>
      <w:r w:rsidRPr="009C3369">
        <w:rPr>
          <w:rFonts w:ascii="Arial" w:cs="Arial" w:hAnsi="Arial"/>
          <w:vertAlign w:val="subscript"/>
          <w:lang w:eastAsia="en-IN"/>
        </w:rPr>
        <w:t>3</w:t>
      </w:r>
      <w:r w:rsidRPr="009C3369">
        <w:rPr>
          <w:rFonts w:ascii="Arial" w:cs="Arial" w:hAnsi="Arial"/>
          <w:vertAlign w:val="superscript"/>
          <w:lang w:eastAsia="en-IN"/>
        </w:rPr>
        <w:t>-</w:t>
      </w:r>
      <w:r w:rsidRPr="009C3369">
        <w:rPr>
          <w:rFonts w:ascii="Arial" w:cs="Arial" w:hAnsi="Arial"/>
          <w:lang w:eastAsia="en-IN"/>
        </w:rPr>
        <w:t>) into ammonium (NH</w:t>
      </w:r>
      <w:r w:rsidRPr="009C3369">
        <w:rPr>
          <w:rFonts w:ascii="Arial" w:cs="Arial" w:hAnsi="Arial"/>
          <w:vertAlign w:val="subscript"/>
          <w:lang w:eastAsia="en-IN"/>
        </w:rPr>
        <w:t>4</w:t>
      </w:r>
      <w:r w:rsidRPr="009C3369">
        <w:rPr>
          <w:rFonts w:ascii="Arial" w:cs="Arial" w:hAnsi="Arial"/>
          <w:vertAlign w:val="superscript"/>
          <w:lang w:eastAsia="en-IN"/>
        </w:rPr>
        <w:t>+</w:t>
      </w:r>
      <w:r w:rsidRPr="009C3369">
        <w:rPr>
          <w:rFonts w:ascii="Arial" w:cs="Arial" w:hAnsi="Arial"/>
          <w:lang w:eastAsia="en-IN"/>
        </w:rPr>
        <w:t xml:space="preserve">) (Kool </w:t>
      </w:r>
      <w:r w:rsidRPr="009C3369">
        <w:rPr>
          <w:rFonts w:ascii="Arial" w:cs="Arial" w:hAnsi="Arial"/>
          <w:i/>
          <w:iCs/>
          <w:lang w:eastAsia="en-IN"/>
        </w:rPr>
        <w:t>et al.,</w:t>
      </w:r>
      <w:r w:rsidRPr="009C3369">
        <w:rPr>
          <w:rFonts w:ascii="Arial" w:cs="Arial" w:hAnsi="Arial"/>
          <w:lang w:eastAsia="en-IN"/>
        </w:rPr>
        <w:t xml:space="preserve"> 2010). However, Snyder </w:t>
      </w:r>
      <w:r w:rsidRPr="009C3369">
        <w:rPr>
          <w:rFonts w:ascii="Arial" w:cs="Arial" w:hAnsi="Arial"/>
          <w:i/>
          <w:iCs/>
          <w:lang w:eastAsia="en-IN"/>
        </w:rPr>
        <w:t xml:space="preserve">et al. </w:t>
      </w:r>
      <w:r w:rsidRPr="009C3369">
        <w:rPr>
          <w:rFonts w:ascii="Arial" w:cs="Arial" w:hAnsi="Arial"/>
          <w:lang w:eastAsia="en-IN"/>
        </w:rPr>
        <w:t>(2009) remark that nitrification and denitrification are believed to be the primary processes that produce N</w:t>
      </w:r>
      <w:r w:rsidRPr="009C3369">
        <w:rPr>
          <w:rFonts w:ascii="Arial" w:cs="Arial" w:hAnsi="Arial"/>
          <w:vertAlign w:val="subscript"/>
          <w:lang w:eastAsia="en-IN"/>
        </w:rPr>
        <w:t>2</w:t>
      </w:r>
      <w:r w:rsidRPr="009C3369">
        <w:rPr>
          <w:rFonts w:ascii="Arial" w:cs="Arial" w:hAnsi="Arial"/>
          <w:lang w:eastAsia="en-IN"/>
        </w:rPr>
        <w:t xml:space="preserve">O. </w:t>
      </w:r>
    </w:p>
    <w:p w14:paraId="078ECB8D" w14:textId="77777777" w:rsidP="00004E5B" w:rsidR="00004E5B" w:rsidRDefault="00004E5B" w:rsidRPr="009C3369">
      <w:pPr>
        <w:pStyle w:val="Heading4"/>
        <w:numPr>
          <w:ilvl w:val="0"/>
          <w:numId w:val="33"/>
        </w:numPr>
        <w:ind w:left="360"/>
        <w:jc w:val="both"/>
        <w:rPr>
          <w:rFonts w:ascii="Arial" w:cs="Arial" w:hAnsi="Arial"/>
          <w:iCs w:val="0"/>
          <w:color w:themeColor="text1" w:val="000000"/>
        </w:rPr>
      </w:pPr>
      <w:r w:rsidRPr="009C3369">
        <w:rPr>
          <w:rStyle w:val="Strong"/>
          <w:rFonts w:ascii="Arial" w:cs="Arial" w:hAnsi="Arial"/>
          <w:color w:themeColor="text1" w:val="000000"/>
        </w:rPr>
        <w:t>Denitrification</w:t>
      </w:r>
    </w:p>
    <w:p w14:paraId="0C238A43" w14:textId="77777777" w:rsidP="00004E5B" w:rsidR="00004E5B" w:rsidRDefault="00004E5B" w:rsidRPr="009C3369">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Denitrification occurs in wet, poorly aerated soils, where oxygen availability is limited (Smith, 1990). In this process, nitrate (NO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is reduced to nitrogen gas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through a series of intermediates as described by Firestone (1982) and Robertson &amp; </w:t>
      </w:r>
      <w:proofErr w:type="spellStart"/>
      <w:r w:rsidRPr="009C3369">
        <w:rPr>
          <w:rFonts w:ascii="Arial" w:cs="Arial" w:hAnsi="Arial"/>
          <w:color w:themeColor="text1" w:val="000000"/>
          <w:sz w:val="20"/>
          <w:szCs w:val="20"/>
        </w:rPr>
        <w:t>Groffman</w:t>
      </w:r>
      <w:proofErr w:type="spellEnd"/>
      <w:r w:rsidRPr="009C3369">
        <w:rPr>
          <w:rFonts w:ascii="Arial" w:cs="Arial" w:hAnsi="Arial"/>
          <w:color w:themeColor="text1" w:val="000000"/>
          <w:sz w:val="20"/>
          <w:szCs w:val="20"/>
        </w:rPr>
        <w:t xml:space="preserve"> (2007):</w:t>
      </w:r>
    </w:p>
    <w:p w14:paraId="4A7BDBFE" w14:textId="77777777" w:rsidP="00004E5B" w:rsidR="00004E5B" w:rsidRDefault="00004E5B" w:rsidRPr="009C3369">
      <w:pPr>
        <w:pStyle w:val="NormalWeb"/>
        <w:jc w:val="center"/>
        <w:rPr>
          <w:rFonts w:ascii="Arial" w:cs="Arial" w:hAnsi="Arial"/>
          <w:color w:themeColor="text1" w:val="000000"/>
          <w:sz w:val="20"/>
          <w:szCs w:val="20"/>
        </w:rPr>
      </w:pPr>
      <w:r w:rsidRPr="009C3369">
        <w:rPr>
          <w:rFonts w:ascii="Arial" w:cs="Arial" w:hAnsi="Arial"/>
          <w:color w:themeColor="text1" w:val="000000"/>
          <w:sz w:val="20"/>
          <w:szCs w:val="20"/>
        </w:rPr>
        <w:t>NO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 NO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 NO →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 N</w:t>
      </w:r>
      <w:r w:rsidRPr="009C3369">
        <w:rPr>
          <w:rFonts w:ascii="Cambria Math" w:cs="Cambria Math" w:hAnsi="Cambria Math"/>
          <w:color w:themeColor="text1" w:val="000000"/>
          <w:sz w:val="20"/>
          <w:szCs w:val="20"/>
        </w:rPr>
        <w:t>₂</w:t>
      </w:r>
    </w:p>
    <w:p w14:paraId="0CB38D32" w14:textId="77777777" w:rsidP="00004E5B" w:rsidR="00004E5B" w:rsidRDefault="00004E5B" w:rsidRPr="009C3369">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Although this transformation can proceed to completion, a small, variable fraction of nitrogen is often emitted as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gas (</w:t>
      </w:r>
      <w:proofErr w:type="spellStart"/>
      <w:r w:rsidRPr="009C3369">
        <w:rPr>
          <w:rFonts w:ascii="Arial" w:cs="Arial" w:hAnsi="Arial"/>
          <w:color w:themeColor="text1" w:val="000000"/>
          <w:sz w:val="20"/>
          <w:szCs w:val="20"/>
        </w:rPr>
        <w:t>Poth</w:t>
      </w:r>
      <w:proofErr w:type="spellEnd"/>
      <w:r w:rsidRPr="009C3369">
        <w:rPr>
          <w:rFonts w:ascii="Arial" w:cs="Arial" w:hAnsi="Arial"/>
          <w:color w:themeColor="text1" w:val="000000"/>
          <w:sz w:val="20"/>
          <w:szCs w:val="20"/>
        </w:rPr>
        <w:t xml:space="preserve"> and </w:t>
      </w:r>
      <w:proofErr w:type="spellStart"/>
      <w:r w:rsidRPr="009C3369">
        <w:rPr>
          <w:rFonts w:ascii="Arial" w:cs="Arial" w:hAnsi="Arial"/>
          <w:color w:themeColor="text1" w:val="000000"/>
          <w:sz w:val="20"/>
          <w:szCs w:val="20"/>
        </w:rPr>
        <w:t>Focht</w:t>
      </w:r>
      <w:proofErr w:type="spellEnd"/>
      <w:r w:rsidRPr="009C3369">
        <w:rPr>
          <w:rFonts w:ascii="Arial" w:cs="Arial" w:hAnsi="Arial"/>
          <w:color w:themeColor="text1" w:val="000000"/>
          <w:sz w:val="20"/>
          <w:szCs w:val="20"/>
        </w:rPr>
        <w:t>, 1985). Additionally, denitrification can act as both a source and sink for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because certain microbes reduce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further into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(Firestone </w:t>
      </w:r>
      <w:r w:rsidRPr="009C3369">
        <w:rPr>
          <w:rFonts w:ascii="Arial" w:cs="Arial" w:hAnsi="Arial"/>
          <w:i/>
          <w:iCs/>
          <w:color w:themeColor="text1" w:val="000000"/>
          <w:sz w:val="20"/>
          <w:szCs w:val="20"/>
        </w:rPr>
        <w:t>et al.,</w:t>
      </w:r>
      <w:r w:rsidRPr="009C3369">
        <w:rPr>
          <w:rFonts w:ascii="Arial" w:cs="Arial" w:hAnsi="Arial"/>
          <w:color w:themeColor="text1" w:val="000000"/>
          <w:sz w:val="20"/>
          <w:szCs w:val="20"/>
        </w:rPr>
        <w:t xml:space="preserve"> 1989).</w:t>
      </w:r>
    </w:p>
    <w:p w14:paraId="5F3C7C8C" w14:textId="77777777" w:rsidP="00004E5B" w:rsidR="00004E5B" w:rsidRDefault="00004E5B" w:rsidRPr="009C3369">
      <w:pPr>
        <w:pStyle w:val="Heading4"/>
        <w:numPr>
          <w:ilvl w:val="0"/>
          <w:numId w:val="33"/>
        </w:numPr>
        <w:ind w:left="360"/>
        <w:jc w:val="both"/>
        <w:rPr>
          <w:rFonts w:ascii="Arial" w:cs="Arial" w:hAnsi="Arial"/>
          <w:iCs w:val="0"/>
          <w:color w:themeColor="text1" w:val="000000"/>
        </w:rPr>
      </w:pPr>
      <w:r w:rsidRPr="009C3369">
        <w:rPr>
          <w:rStyle w:val="Strong"/>
          <w:rFonts w:ascii="Arial" w:cs="Arial" w:hAnsi="Arial"/>
          <w:color w:themeColor="text1" w:val="000000"/>
        </w:rPr>
        <w:t>Nitrification</w:t>
      </w:r>
    </w:p>
    <w:p w14:paraId="2E82E858" w14:textId="77777777" w:rsidP="00004E5B" w:rsidR="00004E5B" w:rsidRDefault="00004E5B" w:rsidRPr="009C3369">
      <w:pPr>
        <w:pStyle w:val="NormalWeb"/>
        <w:jc w:val="both"/>
        <w:rPr>
          <w:rFonts w:ascii="Arial" w:cs="Arial" w:hAnsi="Arial"/>
          <w:color w:themeColor="text1" w:val="000000"/>
          <w:sz w:val="20"/>
          <w:szCs w:val="20"/>
        </w:rPr>
      </w:pPr>
      <w:r w:rsidRPr="009C3369">
        <w:rPr>
          <w:rFonts w:ascii="Arial" w:cs="Arial" w:hAnsi="Arial"/>
          <w:color w:themeColor="text1" w:val="000000"/>
          <w:sz w:val="20"/>
          <w:szCs w:val="20"/>
        </w:rPr>
        <w:t>Nitrification is the biological oxidation of ammonium (NH</w:t>
      </w:r>
      <w:r w:rsidRPr="009C3369">
        <w:rPr>
          <w:rFonts w:ascii="Cambria Math" w:cs="Cambria Math" w:hAnsi="Cambria Math"/>
          <w:color w:themeColor="text1" w:val="000000"/>
          <w:sz w:val="20"/>
          <w:szCs w:val="20"/>
        </w:rPr>
        <w:t>₄⁺</w:t>
      </w:r>
      <w:r w:rsidRPr="009C3369">
        <w:rPr>
          <w:rFonts w:ascii="Arial" w:cs="Arial" w:hAnsi="Arial"/>
          <w:color w:themeColor="text1" w:val="000000"/>
          <w:sz w:val="20"/>
          <w:szCs w:val="20"/>
        </w:rPr>
        <w:t>) into nitrate (NO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passing through nitrite (NO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as an intermediate, with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being released as a by-product. Under oxygen-limited conditions, nitrifying bacteria may use nitrite as an electron acceptor, resulting in emissions of small amounts of N</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O and nitric oxide (NO) (Yoshida and Alexander, 1970). Specifically, NH</w:t>
      </w:r>
      <w:r w:rsidRPr="009C3369">
        <w:rPr>
          <w:rFonts w:ascii="Cambria Math" w:cs="Cambria Math" w:hAnsi="Cambria Math"/>
          <w:color w:themeColor="text1" w:val="000000"/>
          <w:sz w:val="20"/>
          <w:szCs w:val="20"/>
        </w:rPr>
        <w:t>₄⁺</w:t>
      </w:r>
      <w:r w:rsidRPr="009C3369">
        <w:rPr>
          <w:rFonts w:ascii="Arial" w:cs="Arial" w:hAnsi="Arial"/>
          <w:color w:themeColor="text1" w:val="000000"/>
          <w:sz w:val="20"/>
          <w:szCs w:val="20"/>
        </w:rPr>
        <w:t xml:space="preserve"> is oxidized to NO</w:t>
      </w:r>
      <w:r w:rsidRPr="009C3369">
        <w:rPr>
          <w:rFonts w:ascii="Cambria Math" w:cs="Cambria Math" w:hAnsi="Cambria Math"/>
          <w:color w:themeColor="text1" w:val="000000"/>
          <w:sz w:val="20"/>
          <w:szCs w:val="20"/>
        </w:rPr>
        <w:t>₂⁻</w:t>
      </w:r>
      <w:r w:rsidRPr="009C3369">
        <w:rPr>
          <w:rFonts w:ascii="Arial" w:cs="Arial" w:hAnsi="Arial"/>
          <w:color w:themeColor="text1" w:val="000000"/>
          <w:sz w:val="20"/>
          <w:szCs w:val="20"/>
        </w:rPr>
        <w:t xml:space="preserve"> by </w:t>
      </w:r>
      <w:r w:rsidRPr="009C3369">
        <w:rPr>
          <w:rStyle w:val="Strong"/>
          <w:rFonts w:ascii="Arial" w:cs="Arial" w:eastAsiaTheme="majorEastAsia" w:hAnsi="Arial"/>
          <w:color w:themeColor="text1" w:val="000000"/>
          <w:sz w:val="20"/>
          <w:szCs w:val="20"/>
        </w:rPr>
        <w:t>Nitrosomonas</w:t>
      </w:r>
      <w:r w:rsidRPr="009C3369">
        <w:rPr>
          <w:rFonts w:ascii="Arial" w:cs="Arial" w:hAnsi="Arial"/>
          <w:color w:themeColor="text1" w:val="000000"/>
          <w:sz w:val="20"/>
          <w:szCs w:val="20"/>
        </w:rPr>
        <w:t xml:space="preserve"> species and further converted to NO</w:t>
      </w:r>
      <w:r w:rsidRPr="009C3369">
        <w:rPr>
          <w:rFonts w:ascii="Cambria Math" w:cs="Cambria Math" w:hAnsi="Cambria Math"/>
          <w:color w:themeColor="text1" w:val="000000"/>
          <w:sz w:val="20"/>
          <w:szCs w:val="20"/>
        </w:rPr>
        <w:t>₃⁻</w:t>
      </w:r>
      <w:r w:rsidRPr="009C3369">
        <w:rPr>
          <w:rFonts w:ascii="Arial" w:cs="Arial" w:hAnsi="Arial"/>
          <w:color w:themeColor="text1" w:val="000000"/>
          <w:sz w:val="20"/>
          <w:szCs w:val="20"/>
        </w:rPr>
        <w:t xml:space="preserve"> by </w:t>
      </w:r>
      <w:r w:rsidRPr="009C3369">
        <w:rPr>
          <w:rStyle w:val="Strong"/>
          <w:rFonts w:ascii="Arial" w:cs="Arial" w:eastAsiaTheme="majorEastAsia" w:hAnsi="Arial"/>
          <w:color w:themeColor="text1" w:val="000000"/>
          <w:sz w:val="20"/>
          <w:szCs w:val="20"/>
        </w:rPr>
        <w:t>Nitrobacter</w:t>
      </w:r>
      <w:r w:rsidRPr="009C3369">
        <w:rPr>
          <w:rFonts w:ascii="Arial" w:cs="Arial" w:hAnsi="Arial"/>
          <w:color w:themeColor="text1" w:val="000000"/>
          <w:sz w:val="20"/>
          <w:szCs w:val="20"/>
        </w:rPr>
        <w:t xml:space="preserve"> and </w:t>
      </w:r>
      <w:proofErr w:type="spellStart"/>
      <w:r w:rsidRPr="009C3369">
        <w:rPr>
          <w:rStyle w:val="Strong"/>
          <w:rFonts w:ascii="Arial" w:cs="Arial" w:eastAsiaTheme="majorEastAsia" w:hAnsi="Arial"/>
          <w:color w:themeColor="text1" w:val="000000"/>
          <w:sz w:val="20"/>
          <w:szCs w:val="20"/>
        </w:rPr>
        <w:t>Nitrospira</w:t>
      </w:r>
      <w:proofErr w:type="spellEnd"/>
      <w:r w:rsidRPr="009C3369">
        <w:rPr>
          <w:rFonts w:ascii="Arial" w:cs="Arial" w:hAnsi="Arial"/>
          <w:color w:themeColor="text1" w:val="000000"/>
          <w:sz w:val="20"/>
          <w:szCs w:val="20"/>
        </w:rPr>
        <w:t xml:space="preserve"> species (Norton, 2008). </w:t>
      </w:r>
    </w:p>
    <w:p w14:paraId="6F183781" w14:textId="77777777" w:rsidP="00004E5B" w:rsidR="00004E5B" w:rsidRDefault="00004E5B" w:rsidRPr="009C3369">
      <w:pPr>
        <w:pStyle w:val="Heading4"/>
        <w:numPr>
          <w:ilvl w:val="0"/>
          <w:numId w:val="33"/>
        </w:numPr>
        <w:ind w:left="360"/>
        <w:jc w:val="both"/>
        <w:rPr>
          <w:rFonts w:ascii="Arial" w:cs="Arial" w:hAnsi="Arial"/>
          <w:i w:val="0"/>
          <w:color w:themeColor="text1" w:val="000000"/>
        </w:rPr>
      </w:pPr>
      <w:r w:rsidRPr="009C3369">
        <w:rPr>
          <w:rStyle w:val="Strong"/>
          <w:rFonts w:ascii="Arial" w:cs="Arial" w:hAnsi="Arial"/>
          <w:color w:themeColor="text1" w:val="000000"/>
        </w:rPr>
        <w:t>Factors Affecting N</w:t>
      </w:r>
      <w:r w:rsidRPr="009C3369">
        <w:rPr>
          <w:rStyle w:val="Strong"/>
          <w:rFonts w:ascii="Cambria Math" w:cs="Cambria Math" w:hAnsi="Cambria Math"/>
          <w:color w:themeColor="text1" w:val="000000"/>
        </w:rPr>
        <w:t>₂</w:t>
      </w:r>
      <w:r w:rsidRPr="009C3369">
        <w:rPr>
          <w:rStyle w:val="Strong"/>
          <w:rFonts w:ascii="Arial" w:cs="Arial" w:hAnsi="Arial"/>
          <w:color w:themeColor="text1" w:val="000000"/>
        </w:rPr>
        <w:t>O Emissions</w:t>
      </w:r>
    </w:p>
    <w:p w14:paraId="0F165145" w14:textId="77777777" w:rsidP="00004E5B" w:rsidR="00004E5B" w:rsidRDefault="00004E5B" w:rsidRPr="009C3369">
      <w:pPr>
        <w:jc w:val="both"/>
        <w:rPr>
          <w:rFonts w:ascii="Arial" w:cs="Arial" w:hAnsi="Arial"/>
          <w:lang w:eastAsia="en-IN"/>
        </w:rPr>
      </w:pPr>
      <w:r w:rsidRPr="009C3369">
        <w:rPr>
          <w:rFonts w:ascii="Arial" w:cs="Arial" w:hAnsi="Arial"/>
          <w:lang w:eastAsia="en-IN"/>
        </w:rPr>
        <w:t>The concentration of oxygen in the soil, its moisture content, its texture, and the availability of nitrate and ammonium are some of the environmental elements that affect N</w:t>
      </w:r>
      <w:r w:rsidRPr="009C3369">
        <w:rPr>
          <w:rFonts w:ascii="Cambria Math" w:cs="Cambria Math" w:hAnsi="Cambria Math"/>
          <w:lang w:eastAsia="en-IN"/>
        </w:rPr>
        <w:t>₂</w:t>
      </w:r>
      <w:r w:rsidRPr="009C3369">
        <w:rPr>
          <w:rFonts w:ascii="Arial" w:cs="Arial" w:hAnsi="Arial"/>
          <w:lang w:eastAsia="en-IN"/>
        </w:rPr>
        <w:t xml:space="preserve">O emissions (Mosier, 1996; Granli and Bøckman, 1994; Firestone, 1982). In contrast to continuous aerobic or anaerobic states, switching between aerobic and anaerobic conditions dramatically raises emissions (Cai </w:t>
      </w:r>
      <w:r w:rsidRPr="009C3369">
        <w:rPr>
          <w:rFonts w:ascii="Arial" w:cs="Arial" w:hAnsi="Arial"/>
          <w:i/>
          <w:iCs/>
          <w:lang w:eastAsia="en-IN"/>
        </w:rPr>
        <w:t>et al.,</w:t>
      </w:r>
      <w:r w:rsidRPr="009C3369">
        <w:rPr>
          <w:rFonts w:ascii="Arial" w:cs="Arial" w:hAnsi="Arial"/>
          <w:lang w:eastAsia="en-IN"/>
        </w:rPr>
        <w:t xml:space="preserve"> 1997). Continuously flooded rice fields can contribute under some circumstances, but they are not thought to be significant producers of atmospheric N2O since extremely anaerobic conditions encourage the conversion of N</w:t>
      </w:r>
      <w:r w:rsidRPr="009C3369">
        <w:rPr>
          <w:rFonts w:ascii="Arial" w:cs="Arial" w:hAnsi="Arial"/>
          <w:vertAlign w:val="subscript"/>
          <w:lang w:eastAsia="en-IN"/>
        </w:rPr>
        <w:t>2</w:t>
      </w:r>
      <w:r w:rsidRPr="009C3369">
        <w:rPr>
          <w:rFonts w:ascii="Arial" w:cs="Arial" w:hAnsi="Arial"/>
          <w:lang w:eastAsia="en-IN"/>
        </w:rPr>
        <w:t>O to N</w:t>
      </w:r>
      <w:r w:rsidRPr="009C3369">
        <w:rPr>
          <w:rFonts w:ascii="Cambria Math" w:cs="Cambria Math" w:hAnsi="Cambria Math"/>
          <w:lang w:eastAsia="en-IN"/>
        </w:rPr>
        <w:t>₂</w:t>
      </w:r>
      <w:r w:rsidRPr="009C3369">
        <w:rPr>
          <w:rFonts w:ascii="Arial" w:cs="Arial" w:hAnsi="Arial"/>
          <w:lang w:eastAsia="en-IN"/>
        </w:rPr>
        <w:t>. While temporal and geographical parameters, including temperature, water-filled pore space (WFPS), nitrate content, and accessible carbon, all work together to influence the amount of N</w:t>
      </w:r>
      <w:r w:rsidRPr="009C3369">
        <w:rPr>
          <w:rFonts w:ascii="Cambria Math" w:cs="Cambria Math" w:hAnsi="Cambria Math"/>
          <w:lang w:eastAsia="en-IN"/>
        </w:rPr>
        <w:t>₂</w:t>
      </w:r>
      <w:r w:rsidRPr="009C3369">
        <w:rPr>
          <w:rFonts w:ascii="Arial" w:cs="Arial" w:hAnsi="Arial"/>
          <w:lang w:eastAsia="en-IN"/>
        </w:rPr>
        <w:t xml:space="preserve">O released, the microbial composition is crucial in regulating emissions (Bedard-Haughn </w:t>
      </w:r>
      <w:r w:rsidRPr="009C3369">
        <w:rPr>
          <w:rFonts w:ascii="Arial" w:cs="Arial" w:hAnsi="Arial"/>
          <w:i/>
          <w:iCs/>
          <w:lang w:eastAsia="en-IN"/>
        </w:rPr>
        <w:t>et al.,</w:t>
      </w:r>
      <w:r w:rsidRPr="009C3369">
        <w:rPr>
          <w:rFonts w:ascii="Arial" w:cs="Arial" w:hAnsi="Arial"/>
          <w:lang w:eastAsia="en-IN"/>
        </w:rPr>
        <w:t xml:space="preserve"> 2006).</w:t>
      </w:r>
    </w:p>
    <w:p w14:paraId="66386BDA" w14:textId="77777777" w:rsidP="00004E5B" w:rsidR="00004E5B" w:rsidRDefault="00004E5B">
      <w:pPr>
        <w:pStyle w:val="Body"/>
        <w:spacing w:after="0"/>
        <w:rPr>
          <w:rFonts w:ascii="Arial" w:cs="Arial" w:hAnsi="Arial"/>
          <w:sz w:val="22"/>
          <w:szCs w:val="22"/>
        </w:rPr>
      </w:pPr>
    </w:p>
    <w:p w14:paraId="1D8E7558" w14:textId="77777777" w:rsidP="00004E5B" w:rsidR="00004E5B" w:rsidRDefault="00004E5B" w:rsidRPr="002D7B13">
      <w:pPr>
        <w:pStyle w:val="Heading3"/>
        <w:spacing w:line="360" w:lineRule="auto"/>
        <w:jc w:val="both"/>
        <w:rPr>
          <w:rFonts w:ascii="Times New Roman" w:cs="Times New Roman" w:hAnsi="Times New Roman"/>
          <w:color w:themeColor="text1" w:val="000000"/>
        </w:rPr>
      </w:pPr>
      <w:r w:rsidRPr="00582A2A">
        <w:rPr>
          <w:rFonts w:ascii="Arial" w:cs="Arial" w:hAnsi="Arial"/>
          <w:b/>
          <w:bCs/>
          <w:sz w:val="22"/>
          <w:szCs w:val="22"/>
        </w:rPr>
        <w:t>9.</w:t>
      </w:r>
      <w:r>
        <w:rPr>
          <w:rFonts w:ascii="Arial" w:cs="Arial" w:hAnsi="Arial"/>
          <w:sz w:val="22"/>
          <w:szCs w:val="22"/>
        </w:rPr>
        <w:t xml:space="preserve"> </w:t>
      </w:r>
      <w:r w:rsidRPr="009C3369">
        <w:rPr>
          <w:rStyle w:val="Strong"/>
          <w:rFonts w:ascii="Arial" w:cs="Arial" w:hAnsi="Arial"/>
          <w:color w:themeColor="text1" w:val="000000"/>
          <w:sz w:val="22"/>
          <w:szCs w:val="22"/>
        </w:rPr>
        <w:t>Assessing the Impact of Climate Change on Crop Growth and Quantification of GHG Emissions Using Simulation Models</w:t>
      </w:r>
    </w:p>
    <w:p w14:paraId="7D388110" w14:textId="77777777" w:rsidP="00004E5B" w:rsidR="00004E5B" w:rsidRDefault="00004E5B" w:rsidRPr="00052166">
      <w:pPr>
        <w:pStyle w:val="NormalWeb"/>
        <w:jc w:val="both"/>
        <w:rPr>
          <w:rFonts w:ascii="Arial" w:cs="Arial" w:hAnsi="Arial"/>
          <w:sz w:val="20"/>
          <w:szCs w:val="20"/>
        </w:rPr>
      </w:pPr>
      <w:r w:rsidRPr="00052166">
        <w:rPr>
          <w:rFonts w:ascii="Arial" w:cs="Arial" w:hAnsi="Arial"/>
          <w:sz w:val="20"/>
          <w:szCs w:val="20"/>
        </w:rPr>
        <w:t xml:space="preserve">There is an increasing recognition that the agricultural production system simulation models are helpful tools to manage crop optimization, aiming to achieve sustainable productivity, minimizing the effects on the environment (Betts, 2005; Dubey </w:t>
      </w:r>
      <w:r w:rsidRPr="00052166">
        <w:rPr>
          <w:rFonts w:ascii="Arial" w:cs="Arial" w:hAnsi="Arial"/>
          <w:i/>
          <w:iCs/>
          <w:sz w:val="20"/>
          <w:szCs w:val="20"/>
        </w:rPr>
        <w:t>et al.,</w:t>
      </w:r>
      <w:r w:rsidRPr="00052166">
        <w:rPr>
          <w:rFonts w:ascii="Arial" w:cs="Arial" w:hAnsi="Arial"/>
          <w:sz w:val="20"/>
          <w:szCs w:val="20"/>
        </w:rPr>
        <w:t xml:space="preserve"> 2020; Bandyopadhyay </w:t>
      </w:r>
      <w:r w:rsidRPr="00052166">
        <w:rPr>
          <w:rFonts w:ascii="Arial" w:cs="Arial" w:hAnsi="Arial"/>
          <w:i/>
          <w:iCs/>
          <w:sz w:val="20"/>
          <w:szCs w:val="20"/>
        </w:rPr>
        <w:t>et al.,</w:t>
      </w:r>
      <w:r w:rsidRPr="00052166">
        <w:rPr>
          <w:rFonts w:ascii="Arial" w:cs="Arial" w:hAnsi="Arial"/>
          <w:sz w:val="20"/>
          <w:szCs w:val="20"/>
        </w:rPr>
        <w:t xml:space="preserve"> 2020). The fact that an appropriately calibrated and tested crop model is able to predict crop growth, development, and yield makes it a significant instrument in establishing optimal </w:t>
      </w:r>
      <w:r w:rsidRPr="00052166">
        <w:rPr>
          <w:rFonts w:ascii="Arial" w:cs="Arial" w:hAnsi="Arial"/>
          <w:sz w:val="20"/>
          <w:szCs w:val="20"/>
        </w:rPr>
        <w:lastRenderedPageBreak/>
        <w:t xml:space="preserve">management practices. Simulation models are additionally being deployed to address problems in agricultural research and planning, as the scarcity of resources grows, and </w:t>
      </w:r>
      <w:proofErr w:type="spellStart"/>
      <w:r w:rsidRPr="00052166">
        <w:rPr>
          <w:rFonts w:ascii="Arial" w:cs="Arial" w:hAnsi="Arial"/>
          <w:sz w:val="20"/>
          <w:szCs w:val="20"/>
        </w:rPr>
        <w:t>modeling</w:t>
      </w:r>
      <w:proofErr w:type="spellEnd"/>
      <w:r w:rsidRPr="00052166">
        <w:rPr>
          <w:rFonts w:ascii="Arial" w:cs="Arial" w:hAnsi="Arial"/>
          <w:sz w:val="20"/>
          <w:szCs w:val="20"/>
        </w:rPr>
        <w:t xml:space="preserve"> techniques have also been developed (Uusitalo </w:t>
      </w:r>
      <w:r w:rsidRPr="00052166">
        <w:rPr>
          <w:rFonts w:ascii="Arial" w:cs="Arial" w:hAnsi="Arial"/>
          <w:i/>
          <w:iCs/>
          <w:sz w:val="20"/>
          <w:szCs w:val="20"/>
        </w:rPr>
        <w:t>et al.,</w:t>
      </w:r>
      <w:r w:rsidRPr="00052166">
        <w:rPr>
          <w:rFonts w:ascii="Arial" w:cs="Arial" w:hAnsi="Arial"/>
          <w:sz w:val="20"/>
          <w:szCs w:val="20"/>
        </w:rPr>
        <w:t xml:space="preserve"> 2015; </w:t>
      </w:r>
      <w:proofErr w:type="spellStart"/>
      <w:r w:rsidRPr="00052166">
        <w:rPr>
          <w:rFonts w:ascii="Arial" w:cs="Arial" w:hAnsi="Arial"/>
          <w:sz w:val="20"/>
          <w:szCs w:val="20"/>
        </w:rPr>
        <w:t>Dhakar</w:t>
      </w:r>
      <w:proofErr w:type="spellEnd"/>
      <w:r w:rsidRPr="00052166">
        <w:rPr>
          <w:rFonts w:ascii="Arial" w:cs="Arial" w:hAnsi="Arial"/>
          <w:sz w:val="20"/>
          <w:szCs w:val="20"/>
        </w:rPr>
        <w:t xml:space="preserve"> </w:t>
      </w:r>
      <w:r w:rsidRPr="00052166">
        <w:rPr>
          <w:rFonts w:ascii="Arial" w:cs="Arial" w:hAnsi="Arial"/>
          <w:i/>
          <w:iCs/>
          <w:sz w:val="20"/>
          <w:szCs w:val="20"/>
        </w:rPr>
        <w:t>et al.,</w:t>
      </w:r>
      <w:r w:rsidRPr="00052166">
        <w:rPr>
          <w:rFonts w:ascii="Arial" w:cs="Arial" w:hAnsi="Arial"/>
          <w:sz w:val="20"/>
          <w:szCs w:val="20"/>
        </w:rPr>
        <w:t xml:space="preserve"> 2019; Bandyopadhyay </w:t>
      </w:r>
      <w:r w:rsidRPr="00052166">
        <w:rPr>
          <w:rFonts w:ascii="Arial" w:cs="Arial" w:hAnsi="Arial"/>
          <w:i/>
          <w:iCs/>
          <w:sz w:val="20"/>
          <w:szCs w:val="20"/>
        </w:rPr>
        <w:t>et al.,</w:t>
      </w:r>
      <w:r w:rsidRPr="00052166">
        <w:rPr>
          <w:rFonts w:ascii="Arial" w:cs="Arial" w:hAnsi="Arial"/>
          <w:sz w:val="20"/>
          <w:szCs w:val="20"/>
        </w:rPr>
        <w:t xml:space="preserve"> 2020) (Figure 6).</w:t>
      </w:r>
    </w:p>
    <w:p w14:paraId="7BBC49AE" w14:textId="77777777" w:rsidP="00004E5B" w:rsidR="00004E5B" w:rsidRDefault="00004E5B" w:rsidRPr="00052166">
      <w:pPr>
        <w:pStyle w:val="NormalWeb"/>
        <w:jc w:val="center"/>
        <w:rPr>
          <w:rFonts w:ascii="Arial" w:cs="Arial" w:hAnsi="Arial"/>
          <w:sz w:val="20"/>
          <w:szCs w:val="20"/>
        </w:rPr>
      </w:pPr>
      <w:r w:rsidRPr="00052166">
        <w:rPr>
          <w:rFonts w:ascii="Arial" w:cs="Arial" w:hAnsi="Arial"/>
          <w:noProof/>
          <w:sz w:val="20"/>
          <w:szCs w:val="20"/>
        </w:rPr>
        <w:drawing>
          <wp:inline distB="0" distL="0" distR="0" distT="0" wp14:anchorId="07611A19" wp14:editId="3332D606">
            <wp:extent cx="5420422" cy="3619500"/>
            <wp:effectExtent b="0" l="0" r="8890" t="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5435592" cy="3629630"/>
                    </a:xfrm>
                    <a:prstGeom prst="rect">
                      <a:avLst/>
                    </a:prstGeom>
                    <a:noFill/>
                    <a:ln>
                      <a:noFill/>
                    </a:ln>
                  </pic:spPr>
                </pic:pic>
              </a:graphicData>
            </a:graphic>
          </wp:inline>
        </w:drawing>
      </w:r>
    </w:p>
    <w:p w14:paraId="0163969E" w14:textId="77777777" w:rsidP="00004E5B" w:rsidR="00004E5B" w:rsidRDefault="00004E5B" w:rsidRPr="00052166">
      <w:pPr>
        <w:pStyle w:val="NormalWeb"/>
        <w:jc w:val="center"/>
        <w:rPr>
          <w:rFonts w:ascii="Arial" w:cs="Arial" w:hAnsi="Arial"/>
          <w:sz w:val="20"/>
          <w:szCs w:val="20"/>
        </w:rPr>
      </w:pPr>
      <w:r w:rsidRPr="00052166">
        <w:rPr>
          <w:rFonts w:ascii="Arial" w:cs="Arial" w:hAnsi="Arial"/>
          <w:b/>
          <w:bCs/>
          <w:sz w:val="20"/>
          <w:szCs w:val="20"/>
        </w:rPr>
        <w:t>Figure 6.</w:t>
      </w:r>
      <w:r w:rsidRPr="00052166">
        <w:rPr>
          <w:rFonts w:ascii="Arial" w:cs="Arial" w:hAnsi="Arial"/>
          <w:sz w:val="20"/>
          <w:szCs w:val="20"/>
        </w:rPr>
        <w:t xml:space="preserve"> Assessing the Impact of Climate Change on Crop Growth and Quantification of GHG Emissions Using Simulation Models</w:t>
      </w:r>
    </w:p>
    <w:p w14:paraId="6495EF5B" w14:textId="77777777" w:rsidP="00004E5B" w:rsidR="00004E5B" w:rsidRDefault="00004E5B" w:rsidRPr="00052166">
      <w:pPr>
        <w:pStyle w:val="NormalWeb"/>
        <w:jc w:val="both"/>
        <w:rPr>
          <w:rFonts w:ascii="Arial" w:cs="Arial" w:hAnsi="Arial"/>
          <w:sz w:val="20"/>
          <w:szCs w:val="20"/>
        </w:rPr>
      </w:pPr>
      <w:r w:rsidRPr="00052166">
        <w:rPr>
          <w:rFonts w:ascii="Arial" w:cs="Arial" w:hAnsi="Arial"/>
          <w:sz w:val="20"/>
          <w:szCs w:val="20"/>
        </w:rPr>
        <w:t xml:space="preserve">Kropff </w:t>
      </w:r>
      <w:r w:rsidRPr="00052166">
        <w:rPr>
          <w:rFonts w:ascii="Arial" w:cs="Arial" w:hAnsi="Arial"/>
          <w:i/>
          <w:iCs/>
          <w:sz w:val="20"/>
          <w:szCs w:val="20"/>
        </w:rPr>
        <w:t>et al.</w:t>
      </w:r>
      <w:r w:rsidRPr="00052166">
        <w:rPr>
          <w:rFonts w:ascii="Arial" w:cs="Arial" w:hAnsi="Arial"/>
          <w:sz w:val="20"/>
          <w:szCs w:val="20"/>
        </w:rPr>
        <w:t xml:space="preserve"> (1996), Tsuji et al. (1998), Matthews and Stephens (2002), among others, state that crop models are necessary in predicting the implications of climate change and variability, setting research objectives, transferring technology, and estimating crop yields in different scenarios. Moreover, the models help to understand the impact of crop management methods, soil characteristics, and weather conditions on crop yield, irrigation timing, and other activities related to production (Aggarwal </w:t>
      </w:r>
      <w:r w:rsidRPr="00052166">
        <w:rPr>
          <w:rFonts w:ascii="Arial" w:cs="Arial" w:hAnsi="Arial"/>
          <w:i/>
          <w:iCs/>
          <w:sz w:val="20"/>
          <w:szCs w:val="20"/>
        </w:rPr>
        <w:t>et al.,</w:t>
      </w:r>
      <w:r w:rsidRPr="00052166">
        <w:rPr>
          <w:rFonts w:ascii="Arial" w:cs="Arial" w:hAnsi="Arial"/>
          <w:sz w:val="20"/>
          <w:szCs w:val="20"/>
        </w:rPr>
        <w:t xml:space="preserve"> 2006b; Bhatia </w:t>
      </w:r>
      <w:r w:rsidRPr="00052166">
        <w:rPr>
          <w:rFonts w:ascii="Arial" w:cs="Arial" w:hAnsi="Arial"/>
          <w:i/>
          <w:iCs/>
          <w:sz w:val="20"/>
          <w:szCs w:val="20"/>
        </w:rPr>
        <w:t>et al.,</w:t>
      </w:r>
      <w:r w:rsidRPr="00052166">
        <w:rPr>
          <w:rFonts w:ascii="Arial" w:cs="Arial" w:hAnsi="Arial"/>
          <w:sz w:val="20"/>
          <w:szCs w:val="20"/>
        </w:rPr>
        <w:t xml:space="preserve"> 2012; </w:t>
      </w:r>
      <w:proofErr w:type="spellStart"/>
      <w:r w:rsidRPr="00052166">
        <w:rPr>
          <w:rFonts w:ascii="Arial" w:cs="Arial" w:hAnsi="Arial"/>
          <w:sz w:val="20"/>
          <w:szCs w:val="20"/>
        </w:rPr>
        <w:t>Dhakar</w:t>
      </w:r>
      <w:proofErr w:type="spellEnd"/>
      <w:r w:rsidRPr="00052166">
        <w:rPr>
          <w:rFonts w:ascii="Arial" w:cs="Arial" w:hAnsi="Arial"/>
          <w:sz w:val="20"/>
          <w:szCs w:val="20"/>
        </w:rPr>
        <w:t xml:space="preserve"> </w:t>
      </w:r>
      <w:r w:rsidRPr="00052166">
        <w:rPr>
          <w:rFonts w:ascii="Arial" w:cs="Arial" w:hAnsi="Arial"/>
          <w:i/>
          <w:iCs/>
          <w:sz w:val="20"/>
          <w:szCs w:val="20"/>
        </w:rPr>
        <w:t>et al.,</w:t>
      </w:r>
      <w:r w:rsidRPr="00052166">
        <w:rPr>
          <w:rFonts w:ascii="Arial" w:cs="Arial" w:hAnsi="Arial"/>
          <w:sz w:val="20"/>
          <w:szCs w:val="20"/>
        </w:rPr>
        <w:t xml:space="preserve"> 2019).</w:t>
      </w:r>
    </w:p>
    <w:p w14:paraId="670C6C98" w14:textId="77777777" w:rsidP="00004E5B" w:rsidR="00004E5B" w:rsidRDefault="00004E5B" w:rsidRPr="00052166">
      <w:pPr>
        <w:pStyle w:val="NormalWeb"/>
        <w:jc w:val="both"/>
        <w:rPr>
          <w:rFonts w:ascii="Arial" w:cs="Arial" w:hAnsi="Arial"/>
          <w:sz w:val="20"/>
          <w:szCs w:val="20"/>
        </w:rPr>
      </w:pPr>
      <w:r w:rsidRPr="00052166">
        <w:rPr>
          <w:rFonts w:ascii="Arial" w:cs="Arial" w:hAnsi="Arial"/>
          <w:sz w:val="20"/>
          <w:szCs w:val="20"/>
        </w:rPr>
        <w:t xml:space="preserve">Dynamic crop simulation models can be used to predict crop growth and yield under varying conditions, and are process-based and founded on accepted scientific theories to simulate interactions between weather, soil, and crop systems (Boote </w:t>
      </w:r>
      <w:r w:rsidRPr="00052166">
        <w:rPr>
          <w:rFonts w:ascii="Arial" w:cs="Arial" w:hAnsi="Arial"/>
          <w:i/>
          <w:iCs/>
          <w:sz w:val="20"/>
          <w:szCs w:val="20"/>
        </w:rPr>
        <w:t>et al.,</w:t>
      </w:r>
      <w:r w:rsidRPr="00052166">
        <w:rPr>
          <w:rFonts w:ascii="Arial" w:cs="Arial" w:hAnsi="Arial"/>
          <w:sz w:val="20"/>
          <w:szCs w:val="20"/>
        </w:rPr>
        <w:t xml:space="preserve"> 2013; Kumar </w:t>
      </w:r>
      <w:r w:rsidRPr="00052166">
        <w:rPr>
          <w:rFonts w:ascii="Arial" w:cs="Arial" w:hAnsi="Arial"/>
          <w:i/>
          <w:iCs/>
          <w:sz w:val="20"/>
          <w:szCs w:val="20"/>
        </w:rPr>
        <w:t>et al.,</w:t>
      </w:r>
      <w:r w:rsidRPr="00052166">
        <w:rPr>
          <w:rFonts w:ascii="Arial" w:cs="Arial" w:hAnsi="Arial"/>
          <w:sz w:val="20"/>
          <w:szCs w:val="20"/>
        </w:rPr>
        <w:t xml:space="preserve"> 2013; </w:t>
      </w:r>
      <w:proofErr w:type="spellStart"/>
      <w:r w:rsidRPr="00052166">
        <w:rPr>
          <w:rFonts w:ascii="Arial" w:cs="Arial" w:hAnsi="Arial"/>
          <w:sz w:val="20"/>
          <w:szCs w:val="20"/>
        </w:rPr>
        <w:t>Bemal</w:t>
      </w:r>
      <w:proofErr w:type="spellEnd"/>
      <w:r w:rsidRPr="00052166">
        <w:rPr>
          <w:rFonts w:ascii="Arial" w:cs="Arial" w:hAnsi="Arial"/>
          <w:sz w:val="20"/>
          <w:szCs w:val="20"/>
        </w:rPr>
        <w:t xml:space="preserve"> </w:t>
      </w:r>
      <w:r w:rsidRPr="00052166">
        <w:rPr>
          <w:rFonts w:ascii="Arial" w:cs="Arial" w:hAnsi="Arial"/>
          <w:i/>
          <w:iCs/>
          <w:sz w:val="20"/>
          <w:szCs w:val="20"/>
        </w:rPr>
        <w:t>et al.,</w:t>
      </w:r>
      <w:r w:rsidRPr="00052166">
        <w:rPr>
          <w:rFonts w:ascii="Arial" w:cs="Arial" w:hAnsi="Arial"/>
          <w:sz w:val="20"/>
          <w:szCs w:val="20"/>
        </w:rPr>
        <w:t xml:space="preserve"> 2013; Shamim </w:t>
      </w:r>
      <w:r w:rsidRPr="00052166">
        <w:rPr>
          <w:rFonts w:ascii="Arial" w:cs="Arial" w:hAnsi="Arial"/>
          <w:i/>
          <w:iCs/>
          <w:sz w:val="20"/>
          <w:szCs w:val="20"/>
        </w:rPr>
        <w:t>et al</w:t>
      </w:r>
      <w:r w:rsidRPr="00052166">
        <w:rPr>
          <w:rFonts w:ascii="Arial" w:cs="Arial" w:hAnsi="Arial"/>
          <w:sz w:val="20"/>
          <w:szCs w:val="20"/>
        </w:rPr>
        <w:t xml:space="preserve">., 2012; Dass </w:t>
      </w:r>
      <w:r w:rsidRPr="00052166">
        <w:rPr>
          <w:rFonts w:ascii="Arial" w:cs="Arial" w:hAnsi="Arial"/>
          <w:i/>
          <w:iCs/>
          <w:sz w:val="20"/>
          <w:szCs w:val="20"/>
        </w:rPr>
        <w:t>et al</w:t>
      </w:r>
      <w:r w:rsidRPr="00052166">
        <w:rPr>
          <w:rFonts w:ascii="Arial" w:cs="Arial" w:hAnsi="Arial"/>
          <w:sz w:val="20"/>
          <w:szCs w:val="20"/>
        </w:rPr>
        <w:t xml:space="preserve">., 2012). Indian Agricultural Research Institute (IARI) created a model of wheat growth, which was later called the WTGROWS model, and this is the point where the crop simulation model development in India started (Aggarwal </w:t>
      </w:r>
      <w:r w:rsidRPr="00052166">
        <w:rPr>
          <w:rFonts w:ascii="Arial" w:cs="Arial" w:hAnsi="Arial"/>
          <w:i/>
          <w:iCs/>
          <w:sz w:val="20"/>
          <w:szCs w:val="20"/>
        </w:rPr>
        <w:t>et al.,</w:t>
      </w:r>
      <w:r w:rsidRPr="00052166">
        <w:rPr>
          <w:rFonts w:ascii="Arial" w:cs="Arial" w:hAnsi="Arial"/>
          <w:sz w:val="20"/>
          <w:szCs w:val="20"/>
        </w:rPr>
        <w:t xml:space="preserve"> 1994). The </w:t>
      </w:r>
      <w:proofErr w:type="spellStart"/>
      <w:r w:rsidRPr="00052166">
        <w:rPr>
          <w:rFonts w:ascii="Arial" w:cs="Arial" w:hAnsi="Arial"/>
          <w:sz w:val="20"/>
          <w:szCs w:val="20"/>
        </w:rPr>
        <w:t>InfoCrop</w:t>
      </w:r>
      <w:proofErr w:type="spellEnd"/>
      <w:r w:rsidRPr="00052166">
        <w:rPr>
          <w:rFonts w:ascii="Arial" w:cs="Arial" w:hAnsi="Arial"/>
          <w:sz w:val="20"/>
          <w:szCs w:val="20"/>
        </w:rPr>
        <w:t xml:space="preserve"> model then presented a flexible agricultural research framework that was designed to recapitulate annual crops in the tropical settings (Aggarwal </w:t>
      </w:r>
      <w:r w:rsidRPr="00052166">
        <w:rPr>
          <w:rFonts w:ascii="Arial" w:cs="Arial" w:hAnsi="Arial"/>
          <w:i/>
          <w:iCs/>
          <w:sz w:val="20"/>
          <w:szCs w:val="20"/>
        </w:rPr>
        <w:t>et al.,</w:t>
      </w:r>
      <w:r w:rsidRPr="00052166">
        <w:rPr>
          <w:rFonts w:ascii="Arial" w:cs="Arial" w:hAnsi="Arial"/>
          <w:sz w:val="20"/>
          <w:szCs w:val="20"/>
        </w:rPr>
        <w:t xml:space="preserve"> 2006a, b).</w:t>
      </w:r>
    </w:p>
    <w:p w14:paraId="62AEF628" w14:textId="77777777" w:rsidP="00004E5B" w:rsidR="00004E5B" w:rsidRDefault="00004E5B" w:rsidRPr="00052166">
      <w:pPr>
        <w:pStyle w:val="NormalWeb"/>
        <w:jc w:val="both"/>
        <w:rPr>
          <w:rFonts w:ascii="Arial" w:cs="Arial" w:hAnsi="Arial"/>
          <w:sz w:val="20"/>
          <w:szCs w:val="20"/>
        </w:rPr>
      </w:pPr>
      <w:r w:rsidRPr="00052166">
        <w:rPr>
          <w:rFonts w:ascii="Arial" w:cs="Arial" w:hAnsi="Arial"/>
          <w:sz w:val="20"/>
          <w:szCs w:val="20"/>
        </w:rPr>
        <w:lastRenderedPageBreak/>
        <w:t xml:space="preserve">Crop simulation models that provide information on climatic effects, management intervention, and yield optimization can be applied to numerous agricultural scenarios once calibrated and validated with independent data (Jalota </w:t>
      </w:r>
      <w:r w:rsidRPr="00052166">
        <w:rPr>
          <w:rFonts w:ascii="Arial" w:cs="Arial" w:hAnsi="Arial"/>
          <w:i/>
          <w:iCs/>
          <w:sz w:val="20"/>
          <w:szCs w:val="20"/>
        </w:rPr>
        <w:t>et al.,</w:t>
      </w:r>
      <w:r w:rsidRPr="00052166">
        <w:rPr>
          <w:rFonts w:ascii="Arial" w:cs="Arial" w:hAnsi="Arial"/>
          <w:sz w:val="20"/>
          <w:szCs w:val="20"/>
        </w:rPr>
        <w:t xml:space="preserve"> 2012; Jones </w:t>
      </w:r>
      <w:r w:rsidRPr="00052166">
        <w:rPr>
          <w:rFonts w:ascii="Arial" w:cs="Arial" w:hAnsi="Arial"/>
          <w:i/>
          <w:iCs/>
          <w:sz w:val="20"/>
          <w:szCs w:val="20"/>
        </w:rPr>
        <w:t>et al.,</w:t>
      </w:r>
      <w:r w:rsidRPr="00052166">
        <w:rPr>
          <w:rFonts w:ascii="Arial" w:cs="Arial" w:hAnsi="Arial"/>
          <w:sz w:val="20"/>
          <w:szCs w:val="20"/>
        </w:rPr>
        <w:t xml:space="preserve"> 2001). These models are today critical assets in addressing the problems of climate change and increasing the resilience of agriculture in the dynamic environment.</w:t>
      </w:r>
    </w:p>
    <w:p w14:paraId="6D264ECB" w14:textId="77777777" w:rsidP="00004E5B" w:rsidR="00004E5B" w:rsidRDefault="00004E5B" w:rsidRPr="00F50C85">
      <w:pPr>
        <w:pStyle w:val="NormalWeb"/>
        <w:spacing w:line="360" w:lineRule="auto"/>
        <w:jc w:val="both"/>
        <w:rPr>
          <w:color w:themeColor="text1" w:val="000000"/>
        </w:rPr>
      </w:pPr>
      <w:r w:rsidRPr="00052166">
        <w:rPr>
          <w:rFonts w:ascii="Arial" w:cs="Arial" w:hAnsi="Arial"/>
          <w:b/>
          <w:bCs/>
          <w:sz w:val="22"/>
          <w:szCs w:val="22"/>
        </w:rPr>
        <w:t>10</w:t>
      </w:r>
      <w:r>
        <w:rPr>
          <w:rFonts w:ascii="Arial" w:cs="Arial" w:hAnsi="Arial"/>
          <w:sz w:val="22"/>
          <w:szCs w:val="22"/>
        </w:rPr>
        <w:t xml:space="preserve">. </w:t>
      </w:r>
      <w:r w:rsidRPr="00052166">
        <w:rPr>
          <w:rStyle w:val="Strong"/>
          <w:rFonts w:ascii="Arial" w:cs="Arial" w:eastAsiaTheme="majorEastAsia" w:hAnsi="Arial"/>
          <w:color w:themeColor="text1" w:val="000000"/>
          <w:sz w:val="22"/>
          <w:szCs w:val="22"/>
        </w:rPr>
        <w:t xml:space="preserve">Simulating the Impact of Climate Change on Crops and GHG Emissions Using the </w:t>
      </w:r>
      <w:proofErr w:type="spellStart"/>
      <w:r w:rsidRPr="00052166">
        <w:rPr>
          <w:rStyle w:val="Strong"/>
          <w:rFonts w:ascii="Arial" w:cs="Arial" w:eastAsiaTheme="majorEastAsia" w:hAnsi="Arial"/>
          <w:color w:themeColor="text1" w:val="000000"/>
          <w:sz w:val="22"/>
          <w:szCs w:val="22"/>
        </w:rPr>
        <w:t>InfoCrop</w:t>
      </w:r>
      <w:proofErr w:type="spellEnd"/>
      <w:r w:rsidRPr="00052166">
        <w:rPr>
          <w:rStyle w:val="Strong"/>
          <w:rFonts w:ascii="Arial" w:cs="Arial" w:eastAsiaTheme="majorEastAsia" w:hAnsi="Arial"/>
          <w:color w:themeColor="text1" w:val="000000"/>
          <w:sz w:val="22"/>
          <w:szCs w:val="22"/>
        </w:rPr>
        <w:t xml:space="preserve"> Model</w:t>
      </w:r>
    </w:p>
    <w:p w14:paraId="71A9C205" w14:textId="77777777" w:rsidP="00004E5B" w:rsidR="00004E5B" w:rsidRDefault="00004E5B" w:rsidRPr="00052166">
      <w:pPr>
        <w:spacing w:after="240" w:before="240"/>
        <w:jc w:val="both"/>
        <w:rPr>
          <w:rFonts w:ascii="Arial" w:cs="Arial" w:hAnsi="Arial"/>
          <w:lang w:eastAsia="en-IN"/>
        </w:rPr>
      </w:pPr>
      <w:r w:rsidRPr="00052166">
        <w:rPr>
          <w:rFonts w:ascii="Arial" w:cs="Arial" w:hAnsi="Arial"/>
          <w:lang w:eastAsia="en-IN"/>
        </w:rPr>
        <w:t xml:space="preserve">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is a popular tool that is used to simulate ways in which climate change could impact crop output, growth, and greenhouse gas (GHG) emissions in various regions of India. Agarwal </w:t>
      </w:r>
      <w:r w:rsidRPr="00052166">
        <w:rPr>
          <w:rFonts w:ascii="Arial" w:cs="Arial" w:hAnsi="Arial"/>
          <w:i/>
          <w:iCs/>
          <w:lang w:eastAsia="en-IN"/>
        </w:rPr>
        <w:t xml:space="preserve">et al. </w:t>
      </w:r>
      <w:r w:rsidRPr="00052166">
        <w:rPr>
          <w:rFonts w:ascii="Arial" w:cs="Arial" w:hAnsi="Arial"/>
          <w:lang w:eastAsia="en-IN"/>
        </w:rPr>
        <w:t xml:space="preserve">(2010) assessed wheat and rice production of the Upper Ganga Basin with the help of 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Based on their results, the consequences of climate change are expected to be worse due to the A2 profile of PRECIS (IITM, Pune, India) at 2080 AD, compared to the B2 profile, although a 1 °C rise in temperature would be beneficial to the low-baseline region. Kumar </w:t>
      </w:r>
      <w:r w:rsidRPr="00052166">
        <w:rPr>
          <w:rFonts w:ascii="Arial" w:cs="Arial" w:hAnsi="Arial"/>
          <w:i/>
          <w:iCs/>
          <w:lang w:eastAsia="en-IN"/>
        </w:rPr>
        <w:t>et al.</w:t>
      </w:r>
      <w:r w:rsidRPr="00052166">
        <w:rPr>
          <w:rFonts w:ascii="Arial" w:cs="Arial" w:hAnsi="Arial"/>
          <w:lang w:eastAsia="en-IN"/>
        </w:rPr>
        <w:t xml:space="preserve"> (2011) examined the impact of climatic changes on key crops in environmentally sensitive regions such as the Western Ghats, coastal districts, and the northeastern states in India using </w:t>
      </w:r>
      <w:proofErr w:type="spellStart"/>
      <w:r w:rsidRPr="00052166">
        <w:rPr>
          <w:rFonts w:ascii="Arial" w:cs="Arial" w:hAnsi="Arial"/>
          <w:lang w:eastAsia="en-IN"/>
        </w:rPr>
        <w:t>InfoCrop</w:t>
      </w:r>
      <w:proofErr w:type="spellEnd"/>
      <w:r w:rsidRPr="00052166">
        <w:rPr>
          <w:rFonts w:ascii="Arial" w:cs="Arial" w:hAnsi="Arial"/>
          <w:lang w:eastAsia="en-IN"/>
        </w:rPr>
        <w:t>.</w:t>
      </w:r>
    </w:p>
    <w:p w14:paraId="188538D3" w14:textId="77777777" w:rsidP="00004E5B" w:rsidR="00004E5B" w:rsidRDefault="00004E5B" w:rsidRPr="00052166">
      <w:pPr>
        <w:spacing w:after="240" w:before="240"/>
        <w:jc w:val="both"/>
        <w:rPr>
          <w:rFonts w:ascii="Arial" w:cs="Arial" w:hAnsi="Arial"/>
          <w:lang w:eastAsia="en-IN"/>
        </w:rPr>
      </w:pPr>
      <w:r w:rsidRPr="00052166">
        <w:rPr>
          <w:rFonts w:ascii="Arial" w:cs="Arial" w:hAnsi="Arial"/>
          <w:lang w:eastAsia="en-IN"/>
        </w:rPr>
        <w:t>The study indicates that there would be an increase in yields of coconut, rice, irrigated rice, and potatoes in the Western Ghats, coastal areas, and the northeast, respectively. Conversely, there is a loss in the yield of crops such as rice, sorghum, and maize in the western Ghats, and irrigated maize, wheat, and mustard in the northeast and coastal regions. Specifically, there are likely to be changes in kharif-irrigated rice production of the Western Ghats of between +5% and -11% by 2030, depending on the area. Rainfed rice yields are forecasted to decline by -35 to +35 percent, with a significant portion of the crop being forecasted to decline by up to 10 percent. On the same note, the yield of irrigated rice in the coastal areas would reduce by up to 10% by the year 2030.</w:t>
      </w:r>
    </w:p>
    <w:p w14:paraId="49E1A5A2" w14:textId="6EDF319B" w:rsidP="00004E5B" w:rsidR="00004E5B" w:rsidRDefault="00004E5B" w:rsidRPr="00052166">
      <w:pPr>
        <w:spacing w:after="240" w:before="240"/>
        <w:jc w:val="both"/>
        <w:rPr>
          <w:rFonts w:ascii="Arial" w:cs="Arial" w:hAnsi="Arial"/>
          <w:lang w:eastAsia="en-IN"/>
        </w:rPr>
      </w:pPr>
      <w:r w:rsidRPr="00052166">
        <w:rPr>
          <w:rFonts w:ascii="Arial" w:cs="Arial" w:hAnsi="Arial"/>
          <w:lang w:eastAsia="en-IN"/>
        </w:rPr>
        <w:t xml:space="preserve">According to Soora </w:t>
      </w:r>
      <w:r w:rsidRPr="00052166">
        <w:rPr>
          <w:rFonts w:ascii="Arial" w:cs="Arial" w:hAnsi="Arial"/>
          <w:i/>
          <w:iCs/>
          <w:lang w:eastAsia="en-IN"/>
        </w:rPr>
        <w:t>et al.</w:t>
      </w:r>
      <w:r w:rsidRPr="00052166">
        <w:rPr>
          <w:rFonts w:ascii="Arial" w:cs="Arial" w:hAnsi="Arial"/>
          <w:lang w:eastAsia="en-IN"/>
        </w:rPr>
        <w:t xml:space="preserve"> (2013), India's irrigated rice yields are projected to drop to approximately 4 percent, 7 percent, and 10 percent by the year 2020 (2010-2039) and 2050 (2040-2069), and 2080 (2070-2099), respectively, based on the application of the </w:t>
      </w:r>
      <w:proofErr w:type="spellStart"/>
      <w:r w:rsidRPr="00052166">
        <w:rPr>
          <w:rFonts w:ascii="Arial" w:cs="Arial" w:hAnsi="Arial"/>
          <w:lang w:eastAsia="en-IN"/>
        </w:rPr>
        <w:t>InfoCrop</w:t>
      </w:r>
      <w:proofErr w:type="spellEnd"/>
      <w:r w:rsidRPr="00052166">
        <w:rPr>
          <w:rFonts w:ascii="Arial" w:cs="Arial" w:hAnsi="Arial"/>
          <w:lang w:eastAsia="en-IN"/>
        </w:rPr>
        <w:t xml:space="preserve">-rice model to determine future climatic scenarios. Rainfed rice yields are expected to reduce by nearly 6 percent in 2020; however, in other eventualities, they will not reduce significantly (less than 2.5 percent). Although </w:t>
      </w:r>
      <w:r w:rsidR="001F5BA7">
        <w:rPr>
          <w:rFonts w:ascii="Arial" w:cs="Arial" w:hAnsi="Arial"/>
          <w:lang w:eastAsia="en-IN"/>
        </w:rPr>
        <w:t>a 1 °C</w:t>
      </w:r>
      <w:r w:rsidRPr="00052166">
        <w:rPr>
          <w:rFonts w:ascii="Arial" w:cs="Arial" w:hAnsi="Arial"/>
          <w:lang w:eastAsia="en-IN"/>
        </w:rPr>
        <w:t xml:space="preserve"> temperature change would not have produced a significant effect, Banerjee </w:t>
      </w:r>
      <w:r w:rsidRPr="00052166">
        <w:rPr>
          <w:rFonts w:ascii="Arial" w:cs="Arial" w:hAnsi="Arial"/>
          <w:i/>
          <w:iCs/>
          <w:lang w:eastAsia="en-IN"/>
        </w:rPr>
        <w:t>et al.</w:t>
      </w:r>
      <w:r w:rsidRPr="00052166">
        <w:rPr>
          <w:rFonts w:ascii="Arial" w:cs="Arial" w:hAnsi="Arial"/>
          <w:lang w:eastAsia="en-IN"/>
        </w:rPr>
        <w:t xml:space="preserve"> (2016) noted that a </w:t>
      </w:r>
      <w:r w:rsidR="001F5BA7">
        <w:rPr>
          <w:rFonts w:ascii="Arial" w:cs="Arial" w:hAnsi="Arial"/>
          <w:lang w:eastAsia="en-IN"/>
        </w:rPr>
        <w:t>3 °C</w:t>
      </w:r>
      <w:r w:rsidRPr="00052166">
        <w:rPr>
          <w:rFonts w:ascii="Arial" w:cs="Arial" w:hAnsi="Arial"/>
          <w:lang w:eastAsia="en-IN"/>
        </w:rPr>
        <w:t xml:space="preserve"> temperature rise would cause a 21.1 percent yield reduction of wet-season rice.</w:t>
      </w:r>
    </w:p>
    <w:p w14:paraId="709C0D6B" w14:textId="77777777" w:rsidP="00004E5B" w:rsidR="00004E5B" w:rsidRDefault="00004E5B" w:rsidRPr="00052166">
      <w:pPr>
        <w:spacing w:after="240" w:before="240"/>
        <w:jc w:val="both"/>
        <w:rPr>
          <w:rFonts w:ascii="Arial" w:cs="Arial" w:hAnsi="Arial"/>
          <w:lang w:eastAsia="en-IN"/>
        </w:rPr>
      </w:pPr>
      <w:r w:rsidRPr="00052166">
        <w:rPr>
          <w:rFonts w:ascii="Arial" w:cs="Arial" w:hAnsi="Arial"/>
          <w:lang w:eastAsia="en-IN"/>
        </w:rPr>
        <w:t xml:space="preserve">Other researchers, such as </w:t>
      </w:r>
      <w:proofErr w:type="spellStart"/>
      <w:r w:rsidRPr="00052166">
        <w:rPr>
          <w:rFonts w:ascii="Arial" w:cs="Arial" w:hAnsi="Arial"/>
          <w:lang w:eastAsia="en-IN"/>
        </w:rPr>
        <w:t>Boomiraj</w:t>
      </w:r>
      <w:proofErr w:type="spellEnd"/>
      <w:r w:rsidRPr="00052166">
        <w:rPr>
          <w:rFonts w:ascii="Arial" w:cs="Arial" w:hAnsi="Arial"/>
          <w:lang w:eastAsia="en-IN"/>
        </w:rPr>
        <w:t xml:space="preserve"> </w:t>
      </w:r>
      <w:r w:rsidRPr="00052166">
        <w:rPr>
          <w:rFonts w:ascii="Arial" w:cs="Arial" w:hAnsi="Arial"/>
          <w:i/>
          <w:iCs/>
          <w:lang w:eastAsia="en-IN"/>
        </w:rPr>
        <w:t>et al.</w:t>
      </w:r>
      <w:r w:rsidRPr="00052166">
        <w:rPr>
          <w:rFonts w:ascii="Arial" w:cs="Arial" w:hAnsi="Arial"/>
          <w:lang w:eastAsia="en-IN"/>
        </w:rPr>
        <w:t xml:space="preserve"> (2010), came up with similar results, which utilized a mustard development simulation only to discover that although increased CO</w:t>
      </w:r>
      <w:r w:rsidRPr="00052166">
        <w:rPr>
          <w:rFonts w:ascii="Arial" w:cs="Arial" w:hAnsi="Arial"/>
          <w:vertAlign w:val="subscript"/>
          <w:lang w:eastAsia="en-IN"/>
        </w:rPr>
        <w:t>2</w:t>
      </w:r>
      <w:r w:rsidRPr="00052166">
        <w:rPr>
          <w:rFonts w:ascii="Arial" w:cs="Arial" w:hAnsi="Arial"/>
          <w:lang w:eastAsia="en-IN"/>
        </w:rPr>
        <w:t xml:space="preserve"> enhanced physiological processes and yields, the increased temperature counterbalanced such achievements. Also, the current, 2020, and 2050 scenarios show that terminal heat stress might lead to a decrease in the wheat yield by 18.1, 16.1, and 11.1, respectively (Dubey </w:t>
      </w:r>
      <w:r w:rsidRPr="00052166">
        <w:rPr>
          <w:rFonts w:ascii="Arial" w:cs="Arial" w:hAnsi="Arial"/>
          <w:i/>
          <w:iCs/>
          <w:lang w:eastAsia="en-IN"/>
        </w:rPr>
        <w:t>et al.,</w:t>
      </w:r>
      <w:r w:rsidRPr="00052166">
        <w:rPr>
          <w:rFonts w:ascii="Arial" w:cs="Arial" w:hAnsi="Arial"/>
          <w:lang w:eastAsia="en-IN"/>
        </w:rPr>
        <w:t xml:space="preserve"> 2020). Bhatia et al. (2012) also modeled GHG emissions of rice fields in India through different management strategies with the help of the </w:t>
      </w:r>
      <w:proofErr w:type="spellStart"/>
      <w:r w:rsidRPr="00052166">
        <w:rPr>
          <w:rFonts w:ascii="Arial" w:cs="Arial" w:hAnsi="Arial"/>
          <w:lang w:eastAsia="en-IN"/>
        </w:rPr>
        <w:t>InfoCrop</w:t>
      </w:r>
      <w:proofErr w:type="spellEnd"/>
      <w:r w:rsidRPr="00052166">
        <w:rPr>
          <w:rFonts w:ascii="Arial" w:cs="Arial" w:hAnsi="Arial"/>
          <w:lang w:eastAsia="en-IN"/>
        </w:rPr>
        <w:t xml:space="preserve"> tool. As a result of their analysis, 42.21 million hectares of rice fields generate 2.07 </w:t>
      </w:r>
      <w:proofErr w:type="spellStart"/>
      <w:r w:rsidRPr="00052166">
        <w:rPr>
          <w:rFonts w:ascii="Arial" w:cs="Arial" w:hAnsi="Arial"/>
          <w:lang w:eastAsia="en-IN"/>
        </w:rPr>
        <w:t>Tg</w:t>
      </w:r>
      <w:proofErr w:type="spellEnd"/>
      <w:r w:rsidRPr="00052166">
        <w:rPr>
          <w:rFonts w:ascii="Arial" w:cs="Arial" w:hAnsi="Arial"/>
          <w:lang w:eastAsia="en-IN"/>
        </w:rPr>
        <w:t xml:space="preserve"> CH</w:t>
      </w:r>
      <w:r w:rsidRPr="00052166">
        <w:rPr>
          <w:rFonts w:ascii="Arial" w:cs="Arial" w:hAnsi="Arial"/>
          <w:vertAlign w:val="subscript"/>
          <w:lang w:eastAsia="en-IN"/>
        </w:rPr>
        <w:t>4</w:t>
      </w:r>
      <w:r w:rsidRPr="00052166">
        <w:rPr>
          <w:rFonts w:ascii="Arial" w:cs="Arial" w:hAnsi="Arial"/>
          <w:lang w:eastAsia="en-IN"/>
        </w:rPr>
        <w:t xml:space="preserve">C, 02 </w:t>
      </w:r>
      <w:proofErr w:type="spellStart"/>
      <w:r w:rsidRPr="00052166">
        <w:rPr>
          <w:rFonts w:ascii="Arial" w:cs="Arial" w:hAnsi="Arial"/>
          <w:lang w:eastAsia="en-IN"/>
        </w:rPr>
        <w:t>Tg</w:t>
      </w:r>
      <w:proofErr w:type="spellEnd"/>
      <w:r w:rsidRPr="00052166">
        <w:rPr>
          <w:rFonts w:ascii="Arial" w:cs="Arial" w:hAnsi="Arial"/>
          <w:lang w:eastAsia="en-IN"/>
        </w:rPr>
        <w:t xml:space="preserve"> N</w:t>
      </w:r>
      <w:r w:rsidRPr="00052166">
        <w:rPr>
          <w:rFonts w:ascii="Arial" w:cs="Arial" w:hAnsi="Arial"/>
          <w:vertAlign w:val="subscript"/>
          <w:lang w:eastAsia="en-IN"/>
        </w:rPr>
        <w:t>2</w:t>
      </w:r>
      <w:r w:rsidRPr="00052166">
        <w:rPr>
          <w:rFonts w:ascii="Arial" w:cs="Arial" w:hAnsi="Arial"/>
          <w:lang w:eastAsia="en-IN"/>
        </w:rPr>
        <w:t xml:space="preserve">O-N, and 72.90 </w:t>
      </w:r>
      <w:proofErr w:type="spellStart"/>
      <w:r w:rsidRPr="00052166">
        <w:rPr>
          <w:rFonts w:ascii="Arial" w:cs="Arial" w:hAnsi="Arial"/>
          <w:lang w:eastAsia="en-IN"/>
        </w:rPr>
        <w:t>Tg</w:t>
      </w:r>
      <w:proofErr w:type="spellEnd"/>
      <w:r w:rsidRPr="00052166">
        <w:rPr>
          <w:rFonts w:ascii="Arial" w:cs="Arial" w:hAnsi="Arial"/>
          <w:lang w:eastAsia="en-IN"/>
        </w:rPr>
        <w:t xml:space="preserve"> CO</w:t>
      </w:r>
      <w:r w:rsidRPr="00052166">
        <w:rPr>
          <w:rFonts w:ascii="Arial" w:cs="Arial" w:hAnsi="Arial"/>
          <w:vertAlign w:val="subscript"/>
          <w:lang w:eastAsia="en-IN"/>
        </w:rPr>
        <w:t>2</w:t>
      </w:r>
      <w:r w:rsidRPr="00052166">
        <w:rPr>
          <w:rFonts w:ascii="Arial" w:cs="Arial" w:hAnsi="Arial"/>
          <w:lang w:eastAsia="en-IN"/>
        </w:rPr>
        <w:t xml:space="preserve">C every year, and these contribute to a global warming potential (GWP) of 88.5 </w:t>
      </w:r>
      <w:proofErr w:type="spellStart"/>
      <w:r w:rsidRPr="00052166">
        <w:rPr>
          <w:rFonts w:ascii="Arial" w:cs="Arial" w:hAnsi="Arial"/>
          <w:lang w:eastAsia="en-IN"/>
        </w:rPr>
        <w:t>Tg</w:t>
      </w:r>
      <w:proofErr w:type="spellEnd"/>
      <w:r w:rsidRPr="00052166">
        <w:rPr>
          <w:rFonts w:ascii="Arial" w:cs="Arial" w:hAnsi="Arial"/>
          <w:lang w:eastAsia="en-IN"/>
        </w:rPr>
        <w:t xml:space="preserve"> CO</w:t>
      </w:r>
      <w:r w:rsidRPr="00052166">
        <w:rPr>
          <w:rFonts w:ascii="Arial" w:cs="Arial" w:hAnsi="Arial"/>
          <w:vertAlign w:val="subscript"/>
          <w:lang w:eastAsia="en-IN"/>
        </w:rPr>
        <w:t xml:space="preserve">2 </w:t>
      </w:r>
      <w:r w:rsidRPr="00052166">
        <w:rPr>
          <w:rFonts w:ascii="Arial" w:cs="Arial" w:hAnsi="Arial"/>
          <w:lang w:eastAsia="en-IN"/>
        </w:rPr>
        <w:t>equivalent.</w:t>
      </w:r>
    </w:p>
    <w:p w14:paraId="2DBBAC58" w14:textId="77777777" w:rsidP="00004E5B" w:rsidR="00004E5B" w:rsidRDefault="00004E5B" w:rsidRPr="00052166">
      <w:pPr>
        <w:spacing w:after="240" w:before="240"/>
        <w:jc w:val="both"/>
        <w:rPr>
          <w:rFonts w:ascii="Arial" w:cs="Arial" w:hAnsi="Arial"/>
          <w:lang w:eastAsia="en-IN"/>
        </w:rPr>
      </w:pPr>
      <w:r w:rsidRPr="00052166">
        <w:rPr>
          <w:rFonts w:ascii="Arial" w:cs="Arial" w:hAnsi="Arial"/>
          <w:lang w:eastAsia="en-IN"/>
        </w:rPr>
        <w:t xml:space="preserve">These investigations demonstrate that 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is a useful instrument to understand the interaction between the properties of soils, crop management, and climatic conditions. It also aids in guiding adaptation practices to sustainable agriculture by having valuable </w:t>
      </w:r>
      <w:r w:rsidRPr="00052166">
        <w:rPr>
          <w:rFonts w:ascii="Arial" w:cs="Arial" w:hAnsi="Arial"/>
          <w:lang w:eastAsia="en-IN"/>
        </w:rPr>
        <w:lastRenderedPageBreak/>
        <w:t>information regarding the effects of climate change on crop production and greenhouse gas emissions.</w:t>
      </w:r>
    </w:p>
    <w:p w14:paraId="13CF8A28" w14:textId="77777777" w:rsidP="00004E5B" w:rsidR="00004E5B" w:rsidRDefault="00004E5B" w:rsidRPr="00FB3A86">
      <w:pPr>
        <w:pStyle w:val="Body"/>
        <w:spacing w:after="0"/>
        <w:rPr>
          <w:rFonts w:ascii="Arial" w:cs="Arial" w:hAnsi="Arial"/>
        </w:rPr>
      </w:pPr>
    </w:p>
    <w:p w14:paraId="1BF3E05F" w14:textId="77777777" w:rsidP="00004E5B" w:rsidR="00004E5B" w:rsidRDefault="00004E5B">
      <w:pPr>
        <w:pStyle w:val="ConcHead"/>
        <w:spacing w:after="0"/>
        <w:jc w:val="both"/>
        <w:rPr>
          <w:rFonts w:ascii="Arial" w:cs="Arial" w:hAnsi="Arial"/>
        </w:rPr>
      </w:pPr>
      <w:r>
        <w:rPr>
          <w:rFonts w:ascii="Arial" w:cs="Arial" w:hAnsi="Arial"/>
        </w:rPr>
        <w:t xml:space="preserve">11. </w:t>
      </w:r>
      <w:r w:rsidRPr="00FB3A86">
        <w:rPr>
          <w:rFonts w:ascii="Arial" w:cs="Arial" w:hAnsi="Arial"/>
        </w:rPr>
        <w:t>Conclusion</w:t>
      </w:r>
    </w:p>
    <w:p w14:paraId="16ABBC68" w14:textId="1D92EB79" w:rsidP="00004E5B" w:rsidR="00004E5B" w:rsidRDefault="00004E5B" w:rsidRPr="00052166">
      <w:pPr>
        <w:pStyle w:val="NormalWeb"/>
        <w:jc w:val="both"/>
        <w:rPr>
          <w:rFonts w:ascii="Arial" w:cs="Arial" w:hAnsi="Arial"/>
          <w:color w:themeColor="text1" w:val="000000"/>
          <w:sz w:val="20"/>
          <w:szCs w:val="20"/>
        </w:rPr>
      </w:pPr>
      <w:r w:rsidRPr="00052166">
        <w:rPr>
          <w:rFonts w:ascii="Arial" w:cs="Arial" w:hAnsi="Arial"/>
          <w:color w:themeColor="text1" w:val="000000"/>
          <w:sz w:val="20"/>
          <w:szCs w:val="20"/>
        </w:rPr>
        <w:t>The review highlights that carbon dioxide and temperature have a substantial role in the emission of greenhouse gases within the rice systems involving complex interactions of plants</w:t>
      </w:r>
      <w:r w:rsidR="001F5BA7">
        <w:rPr>
          <w:rFonts w:ascii="Arial" w:cs="Arial" w:hAnsi="Arial"/>
          <w:color w:themeColor="text1" w:val="000000"/>
          <w:sz w:val="20"/>
          <w:szCs w:val="20"/>
        </w:rPr>
        <w:t>,</w:t>
      </w:r>
      <w:r w:rsidRPr="00052166">
        <w:rPr>
          <w:rFonts w:ascii="Arial" w:cs="Arial" w:hAnsi="Arial"/>
          <w:color w:themeColor="text1" w:val="000000"/>
          <w:sz w:val="20"/>
          <w:szCs w:val="20"/>
        </w:rPr>
        <w:t xml:space="preserve"> soils, and microbes. Although high CO</w:t>
      </w:r>
      <w:r w:rsidRPr="00052166">
        <w:rPr>
          <w:rFonts w:ascii="Arial" w:cs="Arial" w:hAnsi="Arial"/>
          <w:color w:themeColor="text1" w:val="000000"/>
          <w:sz w:val="20"/>
          <w:szCs w:val="20"/>
          <w:vertAlign w:val="subscript"/>
        </w:rPr>
        <w:t>2</w:t>
      </w:r>
      <w:r w:rsidRPr="00052166">
        <w:rPr>
          <w:rFonts w:ascii="Arial" w:cs="Arial" w:hAnsi="Arial"/>
          <w:color w:themeColor="text1" w:val="000000"/>
          <w:sz w:val="20"/>
          <w:szCs w:val="20"/>
        </w:rPr>
        <w:t xml:space="preserve"> can boost biomass growth and root proliferation, which indirectly enhances increases in methane emissions, intensifying heat boosts decomposition activities by microbes, which increase the amount of both methane and nitrous oxide. Simulation models have been useful in the prediction of emission patterns and their mitigation strategies, but the models require calibration and detailed data inputs on the sites to be accurate. Higher CO</w:t>
      </w:r>
      <w:r w:rsidRPr="00052166">
        <w:rPr>
          <w:rFonts w:ascii="Arial" w:cs="Arial" w:hAnsi="Arial"/>
          <w:color w:themeColor="text1" w:val="000000"/>
          <w:sz w:val="20"/>
          <w:szCs w:val="20"/>
          <w:vertAlign w:val="subscript"/>
        </w:rPr>
        <w:t>2</w:t>
      </w:r>
      <w:r w:rsidRPr="00052166">
        <w:rPr>
          <w:rFonts w:ascii="Arial" w:cs="Arial" w:hAnsi="Arial"/>
          <w:color w:themeColor="text1" w:val="000000"/>
          <w:sz w:val="20"/>
          <w:szCs w:val="20"/>
        </w:rPr>
        <w:t xml:space="preserve"> and higher temperatures typically have nonlinear effects, and it might be that studies that have varied factors individually have not </w:t>
      </w:r>
      <w:r w:rsidR="001F5BA7">
        <w:rPr>
          <w:rFonts w:ascii="Arial" w:cs="Arial" w:hAnsi="Arial"/>
          <w:color w:themeColor="text1" w:val="000000"/>
          <w:sz w:val="20"/>
          <w:szCs w:val="20"/>
        </w:rPr>
        <w:t>considered</w:t>
      </w:r>
      <w:r w:rsidRPr="00052166">
        <w:rPr>
          <w:rFonts w:ascii="Arial" w:cs="Arial" w:hAnsi="Arial"/>
          <w:color w:themeColor="text1" w:val="000000"/>
          <w:sz w:val="20"/>
          <w:szCs w:val="20"/>
        </w:rPr>
        <w:t xml:space="preserve"> the actual implications of climate change. Adaptive strategies that will sustain rice cultivation in the future climatic conditions will be necessitated by sustainable water management, enhanced fertilizer management, and resilience-based breeding programs. Also, there should be increased long-term monitoring and </w:t>
      </w:r>
      <w:proofErr w:type="spellStart"/>
      <w:r w:rsidRPr="00052166">
        <w:rPr>
          <w:rFonts w:ascii="Arial" w:cs="Arial" w:hAnsi="Arial"/>
          <w:color w:themeColor="text1" w:val="000000"/>
          <w:sz w:val="20"/>
          <w:szCs w:val="20"/>
        </w:rPr>
        <w:t>modeling</w:t>
      </w:r>
      <w:proofErr w:type="spellEnd"/>
      <w:r w:rsidRPr="00052166">
        <w:rPr>
          <w:rFonts w:ascii="Arial" w:cs="Arial" w:hAnsi="Arial"/>
          <w:color w:themeColor="text1" w:val="000000"/>
          <w:sz w:val="20"/>
          <w:szCs w:val="20"/>
        </w:rPr>
        <w:t xml:space="preserve"> activities to learn more about the dynamics of emissions, as well as develop policies that will help mitigate the role that agriculture contributes to global warming. Further interdisciplinary studies and mechanisms that involve farmers will be very important in balancing productivity and mitigating the climate.</w:t>
      </w:r>
    </w:p>
    <w:p w14:paraId="2E83E392" w14:textId="77777777" w:rsidP="00441B6F" w:rsidR="00315186" w:rsidRDefault="00315186" w:rsidRPr="00315186"/>
    <w:p w14:paraId="14BE1748" w14:textId="77777777" w:rsidP="00441B6F" w:rsidR="00860000" w:rsidRDefault="00860000" w:rsidRPr="00786D36">
      <w:pPr>
        <w:pStyle w:val="ReferHead"/>
        <w:spacing w:after="0"/>
        <w:jc w:val="both"/>
        <w:rPr>
          <w:rFonts w:ascii="Arial" w:cs="Arial" w:hAnsi="Arial"/>
          <w:bCs/>
        </w:rPr>
      </w:pPr>
      <w:r w:rsidRPr="00786D36">
        <w:rPr>
          <w:rFonts w:ascii="Arial" w:cs="Arial" w:hAnsi="Arial"/>
          <w:bCs/>
        </w:rPr>
        <w:t>Competing interests</w:t>
      </w:r>
    </w:p>
    <w:p w14:paraId="5B8FE452" w14:textId="77777777" w:rsidP="00441B6F" w:rsidR="00860000" w:rsidRDefault="00860000" w:rsidRPr="00786D36">
      <w:pPr>
        <w:pStyle w:val="ReferHead"/>
        <w:spacing w:after="0"/>
        <w:jc w:val="both"/>
        <w:rPr>
          <w:rFonts w:ascii="Arial" w:cs="Arial" w:hAnsi="Arial"/>
        </w:rPr>
      </w:pPr>
    </w:p>
    <w:p w14:paraId="6A7BC503" w14:textId="3F8A29FA" w:rsidP="00441B6F" w:rsidR="00371FB6" w:rsidRDefault="005C25A7">
      <w:pPr>
        <w:pStyle w:val="ReferHead"/>
        <w:spacing w:after="0"/>
        <w:jc w:val="both"/>
        <w:rPr>
          <w:rFonts w:ascii="Arial" w:cs="Arial" w:hAnsi="Arial"/>
          <w:b w:val="0"/>
          <w:caps w:val="0"/>
          <w:sz w:val="20"/>
        </w:rPr>
      </w:pPr>
      <w:r w:rsidRPr="00052166">
        <w:rPr>
          <w:rFonts w:ascii="Arial" w:cs="Arial" w:hAnsi="Arial"/>
          <w:b w:val="0"/>
          <w:caps w:val="0"/>
          <w:sz w:val="20"/>
        </w:rPr>
        <w:t>Authors have declared that no competing interests exist</w:t>
      </w:r>
      <w:r>
        <w:rPr>
          <w:rFonts w:ascii="Arial" w:cs="Arial" w:hAnsi="Arial"/>
          <w:b w:val="0"/>
          <w:caps w:val="0"/>
          <w:sz w:val="20"/>
        </w:rPr>
        <w:t>.</w:t>
      </w:r>
    </w:p>
    <w:p w14:paraId="614CB604" w14:textId="77777777" w:rsidP="00441B6F" w:rsidR="00860000" w:rsidRDefault="00860000">
      <w:pPr>
        <w:pStyle w:val="ReferHead"/>
        <w:spacing w:after="0"/>
        <w:jc w:val="both"/>
        <w:rPr>
          <w:rFonts w:ascii="Arial" w:cs="Arial" w:hAnsi="Arial"/>
        </w:rPr>
      </w:pPr>
    </w:p>
    <w:p w14:paraId="56EFAD50" w14:textId="77777777" w:rsidP="00441B6F" w:rsidR="00B01FCD" w:rsidRDefault="00B01FCD">
      <w:pPr>
        <w:pStyle w:val="ReferHead"/>
        <w:spacing w:after="0"/>
        <w:jc w:val="both"/>
        <w:rPr>
          <w:rFonts w:ascii="Arial" w:cs="Arial" w:hAnsi="Arial"/>
        </w:rPr>
      </w:pPr>
      <w:r w:rsidRPr="00FB3A86">
        <w:rPr>
          <w:rFonts w:ascii="Arial" w:cs="Arial" w:hAnsi="Arial"/>
        </w:rPr>
        <w:t>References</w:t>
      </w:r>
    </w:p>
    <w:p w14:paraId="43D8CB8D" w14:textId="77777777" w:rsidP="00441B6F" w:rsidR="00790ADA" w:rsidRDefault="00790ADA" w:rsidRPr="00FB3A86">
      <w:pPr>
        <w:pStyle w:val="ReferHead"/>
        <w:spacing w:after="0"/>
        <w:jc w:val="both"/>
        <w:rPr>
          <w:rFonts w:ascii="Arial" w:cs="Arial" w:hAnsi="Arial"/>
        </w:rPr>
      </w:pPr>
    </w:p>
    <w:p w14:paraId="0E3F5BC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Abebe, A., Pathak, H., Singh, S. D., Bhatia, A., Harit, R. C., &amp; Kumar, V. (2016). Growth, yield, and quality of maize with elevated atmospheric carbon dioxide and temperature in north-west India. </w:t>
      </w:r>
      <w:r w:rsidRPr="00052166">
        <w:rPr>
          <w:rFonts w:ascii="Arial" w:cs="Arial" w:hAnsi="Arial"/>
          <w:i/>
          <w:iCs/>
          <w:lang w:eastAsia="en-IN"/>
        </w:rPr>
        <w:t>Agriculture, Ecosystems &amp; Environment, 218</w:t>
      </w:r>
      <w:r w:rsidRPr="00052166">
        <w:rPr>
          <w:rFonts w:ascii="Arial" w:cs="Arial" w:hAnsi="Arial"/>
          <w:lang w:eastAsia="en-IN"/>
        </w:rPr>
        <w:t>, 66–72.</w:t>
      </w:r>
    </w:p>
    <w:p w14:paraId="2FB0DF0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Aggarwal, P. K., Banerjee, B., </w:t>
      </w:r>
      <w:proofErr w:type="spellStart"/>
      <w:r w:rsidRPr="00052166">
        <w:rPr>
          <w:rFonts w:ascii="Arial" w:cs="Arial" w:hAnsi="Arial"/>
          <w:lang w:eastAsia="en-IN"/>
        </w:rPr>
        <w:t>Daryaei</w:t>
      </w:r>
      <w:proofErr w:type="spellEnd"/>
      <w:r w:rsidRPr="00052166">
        <w:rPr>
          <w:rFonts w:ascii="Arial" w:cs="Arial" w:hAnsi="Arial"/>
          <w:lang w:eastAsia="en-IN"/>
        </w:rPr>
        <w:t xml:space="preserve">, M. G., Bhatia, A., Bala, A., &amp; Rani, S. (2006b). </w:t>
      </w:r>
      <w:proofErr w:type="spellStart"/>
      <w:r w:rsidRPr="00052166">
        <w:rPr>
          <w:rFonts w:ascii="Arial" w:cs="Arial" w:hAnsi="Arial"/>
          <w:lang w:eastAsia="en-IN"/>
        </w:rPr>
        <w:t>InfoCrop</w:t>
      </w:r>
      <w:proofErr w:type="spellEnd"/>
      <w:r w:rsidRPr="00052166">
        <w:rPr>
          <w:rFonts w:ascii="Arial" w:cs="Arial" w:hAnsi="Arial"/>
          <w:lang w:eastAsia="en-IN"/>
        </w:rPr>
        <w:t xml:space="preserve">: A dynamic simulation model for the assessment of crop yields, losses due to pests, and environmental impact of </w:t>
      </w:r>
      <w:proofErr w:type="spellStart"/>
      <w:r w:rsidRPr="00052166">
        <w:rPr>
          <w:rFonts w:ascii="Arial" w:cs="Arial" w:hAnsi="Arial"/>
          <w:lang w:eastAsia="en-IN"/>
        </w:rPr>
        <w:t>agro</w:t>
      </w:r>
      <w:proofErr w:type="spellEnd"/>
      <w:r w:rsidRPr="00052166">
        <w:rPr>
          <w:rFonts w:ascii="Arial" w:cs="Arial" w:hAnsi="Arial"/>
          <w:lang w:eastAsia="en-IN"/>
        </w:rPr>
        <w:t xml:space="preserve">-ecosystems in tropical environments. II. Model performance. </w:t>
      </w:r>
      <w:r w:rsidRPr="00052166">
        <w:rPr>
          <w:rFonts w:ascii="Arial" w:cs="Arial" w:hAnsi="Arial"/>
          <w:i/>
          <w:iCs/>
          <w:lang w:eastAsia="en-IN"/>
        </w:rPr>
        <w:t>Agricultural Systems, 89</w:t>
      </w:r>
      <w:r w:rsidRPr="00052166">
        <w:rPr>
          <w:rFonts w:ascii="Arial" w:cs="Arial" w:hAnsi="Arial"/>
          <w:lang w:eastAsia="en-IN"/>
        </w:rPr>
        <w:t>, 47–67.</w:t>
      </w:r>
    </w:p>
    <w:p w14:paraId="2F68BB14"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Ainsworth, E. A., Rogers, A., Leakey, A. D. B., Heady, L. E., </w:t>
      </w:r>
      <w:proofErr w:type="spellStart"/>
      <w:r w:rsidRPr="00052166">
        <w:rPr>
          <w:rFonts w:ascii="Arial" w:cs="Arial" w:hAnsi="Arial"/>
          <w:lang w:eastAsia="en-IN"/>
        </w:rPr>
        <w:t>Gibon</w:t>
      </w:r>
      <w:proofErr w:type="spellEnd"/>
      <w:r w:rsidRPr="00052166">
        <w:rPr>
          <w:rFonts w:ascii="Arial" w:cs="Arial" w:hAnsi="Arial"/>
          <w:lang w:eastAsia="en-IN"/>
        </w:rPr>
        <w:t xml:space="preserve">, Y., Stitt, M., &amp; Schurr, U. (2007). Does elevated atmospheric [CO2] alter diurnal C uptake and the balance of C and N metabolites in growing and fully expanded soybean leaves? </w:t>
      </w:r>
      <w:r w:rsidRPr="00052166">
        <w:rPr>
          <w:rFonts w:ascii="Arial" w:cs="Arial" w:hAnsi="Arial"/>
          <w:i/>
          <w:iCs/>
          <w:lang w:eastAsia="en-IN"/>
        </w:rPr>
        <w:t>Journal of Experimental Botany, 58</w:t>
      </w:r>
      <w:r w:rsidRPr="00052166">
        <w:rPr>
          <w:rFonts w:ascii="Arial" w:cs="Arial" w:hAnsi="Arial"/>
          <w:lang w:eastAsia="en-IN"/>
        </w:rPr>
        <w:t>(3), 579–591.</w:t>
      </w:r>
    </w:p>
    <w:p w14:paraId="5FDDB632"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Akman, Z. (2009). Comparison of high temperature tolerance in maize, rice, and sorghum seeds by plant growth regulators. </w:t>
      </w:r>
      <w:r w:rsidRPr="00052166">
        <w:rPr>
          <w:rFonts w:ascii="Arial" w:cs="Arial" w:hAnsi="Arial"/>
          <w:i/>
          <w:iCs/>
          <w:lang w:eastAsia="en-IN"/>
        </w:rPr>
        <w:t>Journal of Animal and Veterinary Advances, 8</w:t>
      </w:r>
      <w:r w:rsidRPr="00052166">
        <w:rPr>
          <w:rFonts w:ascii="Arial" w:cs="Arial" w:hAnsi="Arial"/>
          <w:lang w:eastAsia="en-IN"/>
        </w:rPr>
        <w:t>(2), 358–36.</w:t>
      </w:r>
    </w:p>
    <w:p w14:paraId="57A38463"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Alexandratos</w:t>
      </w:r>
      <w:proofErr w:type="spellEnd"/>
      <w:r w:rsidRPr="00052166">
        <w:rPr>
          <w:rFonts w:ascii="Arial" w:cs="Arial" w:hAnsi="Arial"/>
          <w:lang w:eastAsia="en-IN"/>
        </w:rPr>
        <w:t xml:space="preserve">, N., &amp; Bruinsma, J. (2012). World agriculture towards 2030/2050. </w:t>
      </w:r>
      <w:r w:rsidRPr="00052166">
        <w:rPr>
          <w:rFonts w:ascii="Arial" w:cs="Arial" w:hAnsi="Arial"/>
          <w:i/>
          <w:iCs/>
          <w:lang w:eastAsia="en-IN"/>
        </w:rPr>
        <w:t>Land Use Policy, 20</w:t>
      </w:r>
      <w:r w:rsidRPr="00052166">
        <w:rPr>
          <w:rFonts w:ascii="Arial" w:cs="Arial" w:hAnsi="Arial"/>
          <w:lang w:eastAsia="en-IN"/>
        </w:rPr>
        <w:t>, 375–396.</w:t>
      </w:r>
    </w:p>
    <w:p w14:paraId="371ABD3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lastRenderedPageBreak/>
        <w:t xml:space="preserve">Ali, M. A., Sattar, M. A., Nazmul-Islam, M., &amp; </w:t>
      </w:r>
      <w:proofErr w:type="spellStart"/>
      <w:r w:rsidRPr="00052166">
        <w:rPr>
          <w:rFonts w:ascii="Arial" w:cs="Arial" w:hAnsi="Arial"/>
          <w:lang w:eastAsia="en-IN"/>
        </w:rPr>
        <w:t>Inubushi</w:t>
      </w:r>
      <w:proofErr w:type="spellEnd"/>
      <w:r w:rsidRPr="00052166">
        <w:rPr>
          <w:rFonts w:ascii="Arial" w:cs="Arial" w:hAnsi="Arial"/>
          <w:lang w:eastAsia="en-IN"/>
        </w:rPr>
        <w:t xml:space="preserve">, K. (2014). Integrated effects of organic, inorganic, and biological amendments on methane emission, soil quality, and rice productivity in irrigated paddy ecosystem of Bangladesh: Field study of two consecutive rice growing seasons. </w:t>
      </w:r>
      <w:r w:rsidRPr="00052166">
        <w:rPr>
          <w:rFonts w:ascii="Arial" w:cs="Arial" w:hAnsi="Arial"/>
          <w:i/>
          <w:iCs/>
          <w:lang w:eastAsia="en-IN"/>
        </w:rPr>
        <w:t>Plant and Soil, 378</w:t>
      </w:r>
      <w:r w:rsidRPr="00052166">
        <w:rPr>
          <w:rFonts w:ascii="Arial" w:cs="Arial" w:hAnsi="Arial"/>
          <w:lang w:eastAsia="en-IN"/>
        </w:rPr>
        <w:t>, 239–252.</w:t>
      </w:r>
    </w:p>
    <w:p w14:paraId="17D95BA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Ali, M. K., Azhar, A., &amp; Galani, S. (2013). Response of rice (Oryza sativa L.) under elevated temperature at the early growth stage: Physiological markers. </w:t>
      </w:r>
      <w:r w:rsidRPr="00052166">
        <w:rPr>
          <w:rFonts w:ascii="Arial" w:cs="Arial" w:hAnsi="Arial"/>
          <w:i/>
          <w:iCs/>
          <w:lang w:eastAsia="en-IN"/>
        </w:rPr>
        <w:t>Russian Journal of Agricultural and Socio-Economic Sciences, 20</w:t>
      </w:r>
      <w:r w:rsidRPr="00052166">
        <w:rPr>
          <w:rFonts w:ascii="Arial" w:cs="Arial" w:hAnsi="Arial"/>
          <w:lang w:eastAsia="en-IN"/>
        </w:rPr>
        <w:t>(8).</w:t>
      </w:r>
    </w:p>
    <w:p w14:paraId="089E788E"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Allen Jr., L. H., Albrecht, S. L., Colon-Guasp, W., Covell, S. A., Baker, J. T., Pan, D., &amp; Boote, K. J. (2003). Methane emissions from rice increased with elevated carbon dioxide and temperature. </w:t>
      </w:r>
      <w:r w:rsidRPr="00052166">
        <w:rPr>
          <w:rFonts w:ascii="Arial" w:cs="Arial" w:hAnsi="Arial"/>
          <w:i/>
          <w:iCs/>
          <w:lang w:eastAsia="en-IN"/>
        </w:rPr>
        <w:t>Journal of Environmental Quality, 32</w:t>
      </w:r>
      <w:r w:rsidRPr="00052166">
        <w:rPr>
          <w:rFonts w:ascii="Arial" w:cs="Arial" w:hAnsi="Arial"/>
          <w:lang w:eastAsia="en-IN"/>
        </w:rPr>
        <w:t>(6), 1978–1991.</w:t>
      </w:r>
    </w:p>
    <w:p w14:paraId="4283935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Allen, L. H., Kimball, B. A., Bunce, J. A., Yoshimoto, M., Harazono, Y., Baker, J. T., Boote, K. J., &amp; White, J. W. (2020). Fluctuations of CO2 in free-air CO2 enrichment (FACE) depress plant photosynthesis, growth, and yield. </w:t>
      </w:r>
      <w:r w:rsidRPr="00052166">
        <w:rPr>
          <w:rFonts w:ascii="Arial" w:cs="Arial" w:hAnsi="Arial"/>
          <w:i/>
          <w:iCs/>
          <w:lang w:eastAsia="en-IN"/>
        </w:rPr>
        <w:t>Agricultural and Forest Meteorology, 284</w:t>
      </w:r>
      <w:r w:rsidRPr="00052166">
        <w:rPr>
          <w:rFonts w:ascii="Arial" w:cs="Arial" w:hAnsi="Arial"/>
          <w:lang w:eastAsia="en-IN"/>
        </w:rPr>
        <w:t>, 107899.</w:t>
      </w:r>
    </w:p>
    <w:p w14:paraId="4CB91DF7"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Amthor, J. S. (2001). Effects of atmospheric CO2 concentration on wheat yield: Review of results from experiments using various approaches to control CO2 concentration. </w:t>
      </w:r>
      <w:r w:rsidRPr="00052166">
        <w:rPr>
          <w:rFonts w:ascii="Arial" w:cs="Arial" w:hAnsi="Arial"/>
          <w:i/>
          <w:iCs/>
          <w:lang w:eastAsia="en-IN"/>
        </w:rPr>
        <w:t>Field Crops Research, 73</w:t>
      </w:r>
      <w:r w:rsidRPr="00052166">
        <w:rPr>
          <w:rFonts w:ascii="Arial" w:cs="Arial" w:hAnsi="Arial"/>
          <w:lang w:eastAsia="en-IN"/>
        </w:rPr>
        <w:t>, 1–34.</w:t>
      </w:r>
    </w:p>
    <w:p w14:paraId="74BF7BFF"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Attri</w:t>
      </w:r>
      <w:proofErr w:type="spellEnd"/>
      <w:r w:rsidRPr="00052166">
        <w:rPr>
          <w:rFonts w:ascii="Arial" w:cs="Arial" w:hAnsi="Arial"/>
          <w:lang w:eastAsia="en-IN"/>
        </w:rPr>
        <w:t xml:space="preserve">, S. D., &amp; Rathore, L. S. (2003). Simulation of the impact of projected climate change on wheat in India. </w:t>
      </w:r>
      <w:r w:rsidRPr="00052166">
        <w:rPr>
          <w:rFonts w:ascii="Arial" w:cs="Arial" w:hAnsi="Arial"/>
          <w:i/>
          <w:iCs/>
          <w:lang w:eastAsia="en-IN"/>
        </w:rPr>
        <w:t>International Journal of Climatology, 23</w:t>
      </w:r>
      <w:r w:rsidRPr="00052166">
        <w:rPr>
          <w:rFonts w:ascii="Arial" w:cs="Arial" w:hAnsi="Arial"/>
          <w:lang w:eastAsia="en-IN"/>
        </w:rPr>
        <w:t>(6), 693–705.</w:t>
      </w:r>
    </w:p>
    <w:p w14:paraId="7104DBB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Aulakh, M. S., Khera, T. S., Doran, J. W., &amp; Bronson, K. F. (2001b). Denitrification, N2O, and CO2 fluxes in rice-wheat cropping system as affected by crop residues, fertilizer N, and legume green manure. </w:t>
      </w:r>
      <w:r w:rsidRPr="00052166">
        <w:rPr>
          <w:rFonts w:ascii="Arial" w:cs="Arial" w:hAnsi="Arial"/>
          <w:i/>
          <w:iCs/>
          <w:lang w:eastAsia="en-IN"/>
        </w:rPr>
        <w:t>Biology and Fertility of Soils, 34</w:t>
      </w:r>
      <w:r w:rsidRPr="00052166">
        <w:rPr>
          <w:rFonts w:ascii="Arial" w:cs="Arial" w:hAnsi="Arial"/>
          <w:lang w:eastAsia="en-IN"/>
        </w:rPr>
        <w:t>, 375–389.</w:t>
      </w:r>
    </w:p>
    <w:p w14:paraId="626E2C3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Aulakh, M. S., Wassmann, R., &amp; </w:t>
      </w:r>
      <w:proofErr w:type="spellStart"/>
      <w:r w:rsidRPr="00052166">
        <w:rPr>
          <w:rFonts w:ascii="Arial" w:cs="Arial" w:hAnsi="Arial"/>
          <w:lang w:eastAsia="en-IN"/>
        </w:rPr>
        <w:t>Rennenberg</w:t>
      </w:r>
      <w:proofErr w:type="spellEnd"/>
      <w:r w:rsidRPr="00052166">
        <w:rPr>
          <w:rFonts w:ascii="Arial" w:cs="Arial" w:hAnsi="Arial"/>
          <w:lang w:eastAsia="en-IN"/>
        </w:rPr>
        <w:t xml:space="preserve">, H. (2001a). Methane emissions from rice fields—Quantification, mechanisms, role of management, and mitigation options. </w:t>
      </w:r>
      <w:r w:rsidRPr="00052166">
        <w:rPr>
          <w:rFonts w:ascii="Arial" w:cs="Arial" w:hAnsi="Arial"/>
          <w:i/>
          <w:iCs/>
          <w:lang w:eastAsia="en-IN"/>
        </w:rPr>
        <w:t>Advances in Agronomy, 70</w:t>
      </w:r>
      <w:r w:rsidRPr="00052166">
        <w:rPr>
          <w:rFonts w:ascii="Arial" w:cs="Arial" w:hAnsi="Arial"/>
          <w:lang w:eastAsia="en-IN"/>
        </w:rPr>
        <w:t>, 193–260.</w:t>
      </w:r>
    </w:p>
    <w:p w14:paraId="37A3E68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Auyeung, D. S., Suseela, V., &amp; Dukes, J. S. (2013). Warming and drought reduce the temperature sensitivity of nitrogen transformations. </w:t>
      </w:r>
      <w:r w:rsidRPr="00052166">
        <w:rPr>
          <w:rFonts w:ascii="Arial" w:cs="Arial" w:hAnsi="Arial"/>
          <w:i/>
          <w:iCs/>
          <w:lang w:eastAsia="en-IN"/>
        </w:rPr>
        <w:t>Global Change Biology, 19</w:t>
      </w:r>
      <w:r w:rsidRPr="00052166">
        <w:rPr>
          <w:rFonts w:ascii="Arial" w:cs="Arial" w:hAnsi="Arial"/>
          <w:lang w:eastAsia="en-IN"/>
        </w:rPr>
        <w:t>(2), 662–676.</w:t>
      </w:r>
    </w:p>
    <w:p w14:paraId="25CF454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Babu, Y. J., Li, C., </w:t>
      </w:r>
      <w:proofErr w:type="spellStart"/>
      <w:r w:rsidRPr="00052166">
        <w:rPr>
          <w:rFonts w:ascii="Arial" w:cs="Arial" w:hAnsi="Arial"/>
          <w:lang w:eastAsia="en-IN"/>
        </w:rPr>
        <w:t>Frolking</w:t>
      </w:r>
      <w:proofErr w:type="spellEnd"/>
      <w:r w:rsidRPr="00052166">
        <w:rPr>
          <w:rFonts w:ascii="Arial" w:cs="Arial" w:hAnsi="Arial"/>
          <w:lang w:eastAsia="en-IN"/>
        </w:rPr>
        <w:t xml:space="preserve">, S., Nayak, D. R., &amp; Adhya, T. K. (2006). Field validation of the DNDC model for methane and nitrous oxide emissions from rice-based production systems of India. </w:t>
      </w:r>
      <w:r w:rsidRPr="00052166">
        <w:rPr>
          <w:rFonts w:ascii="Arial" w:cs="Arial" w:hAnsi="Arial"/>
          <w:i/>
          <w:iCs/>
          <w:lang w:eastAsia="en-IN"/>
        </w:rPr>
        <w:t>Nutrient Cycling in Agroecosystems, 74</w:t>
      </w:r>
      <w:r w:rsidRPr="00052166">
        <w:rPr>
          <w:rFonts w:ascii="Arial" w:cs="Arial" w:hAnsi="Arial"/>
          <w:lang w:eastAsia="en-IN"/>
        </w:rPr>
        <w:t>, 157–174.</w:t>
      </w:r>
    </w:p>
    <w:p w14:paraId="1BA24B4E"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Baggs, E. M., Rees, R. M., Smith, K. A., &amp; Vinten, A. J. A. (2000). Nitrous oxide emission from soils after incorporating crop residues. </w:t>
      </w:r>
      <w:r w:rsidRPr="00052166">
        <w:rPr>
          <w:rFonts w:ascii="Arial" w:cs="Arial" w:hAnsi="Arial"/>
          <w:i/>
          <w:iCs/>
          <w:lang w:eastAsia="en-IN"/>
        </w:rPr>
        <w:t>Soil Use and Management, 16</w:t>
      </w:r>
      <w:r w:rsidRPr="00052166">
        <w:rPr>
          <w:rFonts w:ascii="Arial" w:cs="Arial" w:hAnsi="Arial"/>
          <w:lang w:eastAsia="en-IN"/>
        </w:rPr>
        <w:t>(2), 82–87.</w:t>
      </w:r>
    </w:p>
    <w:p w14:paraId="3C2FA8E2"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Baggs, E. M., Richter, M., Cadisch, G., &amp; Hartwig, U. A. (2003). Denitrification in grass swards is increased under elevated atmospheric CO2. </w:t>
      </w:r>
      <w:r w:rsidRPr="00052166">
        <w:rPr>
          <w:rFonts w:ascii="Arial" w:cs="Arial" w:hAnsi="Arial"/>
          <w:i/>
          <w:iCs/>
          <w:lang w:eastAsia="en-IN"/>
        </w:rPr>
        <w:t>Soil Biology &amp; Biochemistry, 35</w:t>
      </w:r>
      <w:r w:rsidRPr="00052166">
        <w:rPr>
          <w:rFonts w:ascii="Arial" w:cs="Arial" w:hAnsi="Arial"/>
          <w:lang w:eastAsia="en-IN"/>
        </w:rPr>
        <w:t>, 729–732.</w:t>
      </w:r>
    </w:p>
    <w:p w14:paraId="0B6EACC3"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Baker, J. T. (2004). Yield responses of southern US rice cultivars to CO2 and temperature. </w:t>
      </w:r>
      <w:r w:rsidRPr="00052166">
        <w:rPr>
          <w:rFonts w:ascii="Arial" w:cs="Arial" w:hAnsi="Arial"/>
          <w:i/>
          <w:iCs/>
          <w:lang w:eastAsia="en-IN"/>
        </w:rPr>
        <w:t>Agricultural and Forest Meteorology, 122</w:t>
      </w:r>
      <w:r w:rsidRPr="00052166">
        <w:rPr>
          <w:rFonts w:ascii="Arial" w:cs="Arial" w:hAnsi="Arial"/>
          <w:lang w:eastAsia="en-IN"/>
        </w:rPr>
        <w:t>, 129–137.</w:t>
      </w:r>
    </w:p>
    <w:p w14:paraId="2FE6735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lastRenderedPageBreak/>
        <w:t xml:space="preserve">Bandyopadhyay, K. K., Chopra, U. K., Pradhan, S., Krishnan, P., &amp; Ranjan, R. (2020). Simulation of grain yield, seasonal evapotranspiration, global warming potential, and yield gap analysis of wheat under varied water and nitrogen management practices using 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w:t>
      </w:r>
      <w:r w:rsidRPr="00052166">
        <w:rPr>
          <w:rFonts w:ascii="Arial" w:cs="Arial" w:hAnsi="Arial"/>
          <w:i/>
          <w:iCs/>
          <w:lang w:eastAsia="en-IN"/>
        </w:rPr>
        <w:t>Agricultural Research, 9</w:t>
      </w:r>
      <w:r w:rsidRPr="00052166">
        <w:rPr>
          <w:rFonts w:ascii="Arial" w:cs="Arial" w:hAnsi="Arial"/>
          <w:lang w:eastAsia="en-IN"/>
        </w:rPr>
        <w:t>, 277–290.</w:t>
      </w:r>
    </w:p>
    <w:p w14:paraId="36E34A1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Banerjee, B., Pathak, H., &amp; Aggarwal, P. K. (2002). Effects of dicyandiamide, farmyard manure, and irrigation on crop yields and ammonia volatilization from an alluvial soil under a rice (Oryza sativa L.)-wheat (Triticum aestivum L.) cropping system. </w:t>
      </w:r>
      <w:r w:rsidRPr="00052166">
        <w:rPr>
          <w:rFonts w:ascii="Arial" w:cs="Arial" w:hAnsi="Arial"/>
          <w:i/>
          <w:iCs/>
          <w:lang w:eastAsia="en-IN"/>
        </w:rPr>
        <w:t>Biology and Fertility of Soils, 36</w:t>
      </w:r>
      <w:r w:rsidRPr="00052166">
        <w:rPr>
          <w:rFonts w:ascii="Arial" w:cs="Arial" w:hAnsi="Arial"/>
          <w:lang w:eastAsia="en-IN"/>
        </w:rPr>
        <w:t>, 207–214.</w:t>
      </w:r>
    </w:p>
    <w:p w14:paraId="489E0F6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Banerjee, S., Das, S., Mukherjee, A., Mukherjee, A., &amp; Saikia, B. (2016). Adaptation strategies to combat climate change on rice and mustard in Eastern India. </w:t>
      </w:r>
      <w:r w:rsidRPr="00052166">
        <w:rPr>
          <w:rFonts w:ascii="Arial" w:cs="Arial" w:hAnsi="Arial"/>
          <w:i/>
          <w:iCs/>
          <w:lang w:eastAsia="en-IN"/>
        </w:rPr>
        <w:t>Mitigation and Adaptation Strategies for Global Change, 21</w:t>
      </w:r>
      <w:r w:rsidRPr="00052166">
        <w:rPr>
          <w:rFonts w:ascii="Arial" w:cs="Arial" w:hAnsi="Arial"/>
          <w:lang w:eastAsia="en-IN"/>
        </w:rPr>
        <w:t>, 249–261.</w:t>
      </w:r>
    </w:p>
    <w:p w14:paraId="72C19AF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Barnard, R., Leadley, P. W., Lensi, R., &amp; Barthes, L. (2005). Plant, soil microbial, and soil inorganic nitrogen responses to elevated CO</w:t>
      </w:r>
      <w:r w:rsidRPr="00052166">
        <w:rPr>
          <w:rFonts w:ascii="Cambria Math" w:cs="Cambria Math" w:hAnsi="Cambria Math"/>
          <w:lang w:eastAsia="en-IN"/>
        </w:rPr>
        <w:t>₂</w:t>
      </w:r>
      <w:r w:rsidRPr="00052166">
        <w:rPr>
          <w:rFonts w:ascii="Arial" w:cs="Arial" w:hAnsi="Arial"/>
          <w:lang w:eastAsia="en-IN"/>
        </w:rPr>
        <w:t xml:space="preserve">: A study in microcosms of </w:t>
      </w:r>
      <w:r w:rsidRPr="00052166">
        <w:rPr>
          <w:rFonts w:ascii="Arial" w:cs="Arial" w:hAnsi="Arial"/>
          <w:i/>
          <w:iCs/>
          <w:lang w:eastAsia="en-IN"/>
        </w:rPr>
        <w:t>Holcus lanatus</w:t>
      </w:r>
      <w:r w:rsidRPr="00052166">
        <w:rPr>
          <w:rFonts w:ascii="Arial" w:cs="Arial" w:hAnsi="Arial"/>
          <w:lang w:eastAsia="en-IN"/>
        </w:rPr>
        <w:t xml:space="preserve">. </w:t>
      </w:r>
      <w:r w:rsidRPr="00052166">
        <w:rPr>
          <w:rFonts w:ascii="Arial" w:cs="Arial" w:hAnsi="Arial"/>
          <w:i/>
          <w:iCs/>
          <w:lang w:eastAsia="en-IN"/>
        </w:rPr>
        <w:t xml:space="preserve">Acta </w:t>
      </w:r>
      <w:proofErr w:type="spellStart"/>
      <w:r w:rsidRPr="00052166">
        <w:rPr>
          <w:rFonts w:ascii="Arial" w:cs="Arial" w:hAnsi="Arial"/>
          <w:i/>
          <w:iCs/>
          <w:lang w:eastAsia="en-IN"/>
        </w:rPr>
        <w:t>Oecologica</w:t>
      </w:r>
      <w:proofErr w:type="spellEnd"/>
      <w:r w:rsidRPr="00052166">
        <w:rPr>
          <w:rFonts w:ascii="Arial" w:cs="Arial" w:hAnsi="Arial"/>
          <w:i/>
          <w:iCs/>
          <w:lang w:eastAsia="en-IN"/>
        </w:rPr>
        <w:t>, 27</w:t>
      </w:r>
      <w:r w:rsidRPr="00052166">
        <w:rPr>
          <w:rFonts w:ascii="Arial" w:cs="Arial" w:hAnsi="Arial"/>
          <w:lang w:eastAsia="en-IN"/>
        </w:rPr>
        <w:t>, 171–178.</w:t>
      </w:r>
    </w:p>
    <w:p w14:paraId="0863BB13"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Bates, B. C., Kundzewicz, Z. W., Wu, S., &amp; </w:t>
      </w:r>
      <w:proofErr w:type="spellStart"/>
      <w:r w:rsidRPr="00052166">
        <w:rPr>
          <w:rFonts w:ascii="Arial" w:cs="Arial" w:hAnsi="Arial"/>
          <w:lang w:eastAsia="en-IN"/>
        </w:rPr>
        <w:t>Palutikof</w:t>
      </w:r>
      <w:proofErr w:type="spellEnd"/>
      <w:r w:rsidRPr="00052166">
        <w:rPr>
          <w:rFonts w:ascii="Arial" w:cs="Arial" w:hAnsi="Arial"/>
          <w:lang w:eastAsia="en-IN"/>
        </w:rPr>
        <w:t xml:space="preserve">, J. P. (2008). </w:t>
      </w:r>
      <w:r w:rsidRPr="00052166">
        <w:rPr>
          <w:rFonts w:ascii="Arial" w:cs="Arial" w:hAnsi="Arial"/>
          <w:i/>
          <w:iCs/>
          <w:lang w:eastAsia="en-IN"/>
        </w:rPr>
        <w:t>Climate Change and Water</w:t>
      </w:r>
      <w:r w:rsidRPr="00052166">
        <w:rPr>
          <w:rFonts w:ascii="Arial" w:cs="Arial" w:hAnsi="Arial"/>
          <w:lang w:eastAsia="en-IN"/>
        </w:rPr>
        <w:t>. Technical Paper of the Intergovernmental Panel on Climate Change. IPCC Secretariat, Geneva.</w:t>
      </w:r>
    </w:p>
    <w:p w14:paraId="750C6F63"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Bemal</w:t>
      </w:r>
      <w:proofErr w:type="spellEnd"/>
      <w:r w:rsidRPr="00052166">
        <w:rPr>
          <w:rFonts w:ascii="Arial" w:cs="Arial" w:hAnsi="Arial"/>
          <w:lang w:eastAsia="en-IN"/>
        </w:rPr>
        <w:t xml:space="preserve">, S., Singh, D., &amp; Singh, S. (2013). Impact analysis of climate variability on rice productivity in the eastern agroclimatic zone of Haryana by using the DSSAT crop model. </w:t>
      </w:r>
      <w:r w:rsidRPr="00052166">
        <w:rPr>
          <w:rFonts w:ascii="Arial" w:cs="Arial" w:hAnsi="Arial"/>
          <w:i/>
          <w:iCs/>
          <w:lang w:eastAsia="en-IN"/>
        </w:rPr>
        <w:t>Journal of Agrometeorology, 15</w:t>
      </w:r>
      <w:r w:rsidRPr="00052166">
        <w:rPr>
          <w:rFonts w:ascii="Arial" w:cs="Arial" w:hAnsi="Arial"/>
          <w:lang w:eastAsia="en-IN"/>
        </w:rPr>
        <w:t>(</w:t>
      </w:r>
      <w:proofErr w:type="spellStart"/>
      <w:r w:rsidRPr="00052166">
        <w:rPr>
          <w:rFonts w:ascii="Arial" w:cs="Arial" w:hAnsi="Arial"/>
          <w:lang w:eastAsia="en-IN"/>
        </w:rPr>
        <w:t>Spl</w:t>
      </w:r>
      <w:proofErr w:type="spellEnd"/>
      <w:r w:rsidRPr="00052166">
        <w:rPr>
          <w:rFonts w:ascii="Arial" w:cs="Arial" w:hAnsi="Arial"/>
          <w:lang w:eastAsia="en-IN"/>
        </w:rPr>
        <w:t xml:space="preserve"> Issue-II), 80–84.</w:t>
      </w:r>
    </w:p>
    <w:p w14:paraId="791A1E9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Bhattacharyya, P., Roy, K. S., Dash, P. K., </w:t>
      </w:r>
      <w:proofErr w:type="spellStart"/>
      <w:r w:rsidRPr="00052166">
        <w:rPr>
          <w:rFonts w:ascii="Arial" w:cs="Arial" w:hAnsi="Arial"/>
          <w:lang w:eastAsia="en-IN"/>
        </w:rPr>
        <w:t>Neogi</w:t>
      </w:r>
      <w:proofErr w:type="spellEnd"/>
      <w:r w:rsidRPr="00052166">
        <w:rPr>
          <w:rFonts w:ascii="Arial" w:cs="Arial" w:hAnsi="Arial"/>
          <w:lang w:eastAsia="en-IN"/>
        </w:rPr>
        <w:t>, S., Shahid, M., Nayak, A. K., Raja, R., Karthikeyan, S., Balachandar, D., &amp; Rao, K. S. (2014). Effect of elevated carbon dioxide and temperature on phosphorus uptake in tropical flooded rice (</w:t>
      </w:r>
      <w:r w:rsidRPr="00052166">
        <w:rPr>
          <w:rFonts w:ascii="Arial" w:cs="Arial" w:hAnsi="Arial"/>
          <w:i/>
          <w:iCs/>
          <w:lang w:eastAsia="en-IN"/>
        </w:rPr>
        <w:t>Oryza sativa</w:t>
      </w:r>
      <w:r w:rsidRPr="00052166">
        <w:rPr>
          <w:rFonts w:ascii="Arial" w:cs="Arial" w:hAnsi="Arial"/>
          <w:lang w:eastAsia="en-IN"/>
        </w:rPr>
        <w:t xml:space="preserve"> L.). </w:t>
      </w:r>
      <w:r w:rsidRPr="00052166">
        <w:rPr>
          <w:rFonts w:ascii="Arial" w:cs="Arial" w:hAnsi="Arial"/>
          <w:i/>
          <w:iCs/>
          <w:lang w:eastAsia="en-IN"/>
        </w:rPr>
        <w:t>European Journal of Agronomy, 53</w:t>
      </w:r>
      <w:r w:rsidRPr="00052166">
        <w:rPr>
          <w:rFonts w:ascii="Arial" w:cs="Arial" w:hAnsi="Arial"/>
          <w:lang w:eastAsia="en-IN"/>
        </w:rPr>
        <w:t>, 28–37.</w:t>
      </w:r>
    </w:p>
    <w:p w14:paraId="7A14DAAD"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Byjesh</w:t>
      </w:r>
      <w:proofErr w:type="spellEnd"/>
      <w:r w:rsidRPr="00052166">
        <w:rPr>
          <w:rFonts w:ascii="Arial" w:cs="Arial" w:hAnsi="Arial"/>
          <w:lang w:eastAsia="en-IN"/>
        </w:rPr>
        <w:t xml:space="preserve">, K., Kumar, S. N., &amp; Aggarwal, P. K. (2010). Simulating impacts, potential adaptation, and vulnerability of maize to climate change in India. </w:t>
      </w:r>
      <w:r w:rsidRPr="00052166">
        <w:rPr>
          <w:rFonts w:ascii="Arial" w:cs="Arial" w:hAnsi="Arial"/>
          <w:i/>
          <w:iCs/>
          <w:lang w:eastAsia="en-IN"/>
        </w:rPr>
        <w:t>Mitigation and Adaptation Strategies for Global Change, 15</w:t>
      </w:r>
      <w:r w:rsidRPr="00052166">
        <w:rPr>
          <w:rFonts w:ascii="Arial" w:cs="Arial" w:hAnsi="Arial"/>
          <w:lang w:eastAsia="en-IN"/>
        </w:rPr>
        <w:t>, 413–431.</w:t>
      </w:r>
    </w:p>
    <w:p w14:paraId="0D160BDF"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Chakrabarti, B., Singh, S. D., Bhatia, A., Kumar, V., &amp; Harit, R. C. (2019). Yield and nitrogen uptake in wheat and chickpea grown under elevated carbon dioxide levels. </w:t>
      </w:r>
      <w:r w:rsidRPr="00052166">
        <w:rPr>
          <w:rFonts w:ascii="Arial" w:cs="Arial" w:hAnsi="Arial"/>
          <w:i/>
          <w:iCs/>
          <w:lang w:eastAsia="en-IN"/>
        </w:rPr>
        <w:t>National Academy of Sciences Letters</w:t>
      </w:r>
      <w:r w:rsidRPr="00052166">
        <w:rPr>
          <w:rFonts w:ascii="Arial" w:cs="Arial" w:hAnsi="Arial"/>
          <w:lang w:eastAsia="en-IN"/>
        </w:rPr>
        <w:t>. https://doi.org/10.1007/s40009-019-00816-y</w:t>
      </w:r>
    </w:p>
    <w:p w14:paraId="21D22894"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Chen, C. P., Sakai, H., </w:t>
      </w:r>
      <w:proofErr w:type="spellStart"/>
      <w:r w:rsidRPr="00052166">
        <w:rPr>
          <w:rFonts w:ascii="Arial" w:cs="Arial" w:hAnsi="Arial"/>
          <w:lang w:eastAsia="en-IN"/>
        </w:rPr>
        <w:t>Tokida</w:t>
      </w:r>
      <w:proofErr w:type="spellEnd"/>
      <w:r w:rsidRPr="00052166">
        <w:rPr>
          <w:rFonts w:ascii="Arial" w:cs="Arial" w:hAnsi="Arial"/>
          <w:lang w:eastAsia="en-IN"/>
        </w:rPr>
        <w:t xml:space="preserve">, T., Usui, Y., Nakamura, H., &amp; Hasegawa, T. (2014). Do the rich always become richer? Characterizing the leaf physiological response of the high-yielding rice cultivar </w:t>
      </w:r>
      <w:proofErr w:type="spellStart"/>
      <w:r w:rsidRPr="00052166">
        <w:rPr>
          <w:rFonts w:ascii="Arial" w:cs="Arial" w:hAnsi="Arial"/>
          <w:i/>
          <w:iCs/>
          <w:lang w:eastAsia="en-IN"/>
        </w:rPr>
        <w:t>Takanari</w:t>
      </w:r>
      <w:proofErr w:type="spellEnd"/>
      <w:r w:rsidRPr="00052166">
        <w:rPr>
          <w:rFonts w:ascii="Arial" w:cs="Arial" w:hAnsi="Arial"/>
          <w:lang w:eastAsia="en-IN"/>
        </w:rPr>
        <w:t xml:space="preserve"> to free-air CO</w:t>
      </w:r>
      <w:r w:rsidRPr="00052166">
        <w:rPr>
          <w:rFonts w:ascii="Cambria Math" w:cs="Cambria Math" w:hAnsi="Cambria Math"/>
          <w:lang w:eastAsia="en-IN"/>
        </w:rPr>
        <w:t>₂</w:t>
      </w:r>
      <w:r w:rsidRPr="00052166">
        <w:rPr>
          <w:rFonts w:ascii="Arial" w:cs="Arial" w:hAnsi="Arial"/>
          <w:lang w:eastAsia="en-IN"/>
        </w:rPr>
        <w:t xml:space="preserve"> enrichment. </w:t>
      </w:r>
      <w:r w:rsidRPr="00052166">
        <w:rPr>
          <w:rFonts w:ascii="Arial" w:cs="Arial" w:hAnsi="Arial"/>
          <w:i/>
          <w:iCs/>
          <w:lang w:eastAsia="en-IN"/>
        </w:rPr>
        <w:t>Plant Cell Physiology, 55</w:t>
      </w:r>
      <w:r w:rsidRPr="00052166">
        <w:rPr>
          <w:rFonts w:ascii="Arial" w:cs="Arial" w:hAnsi="Arial"/>
          <w:lang w:eastAsia="en-IN"/>
        </w:rPr>
        <w:t>(2), 381–391.</w:t>
      </w:r>
    </w:p>
    <w:p w14:paraId="166B82F2"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Conrad, R. (2007). Microbial ecology of methanogens and methanotrophs. </w:t>
      </w:r>
      <w:r w:rsidRPr="00052166">
        <w:rPr>
          <w:rFonts w:ascii="Arial" w:cs="Arial" w:hAnsi="Arial"/>
          <w:i/>
          <w:iCs/>
          <w:lang w:eastAsia="en-IN"/>
        </w:rPr>
        <w:t>Advances in Agronomy, 96</w:t>
      </w:r>
      <w:r w:rsidRPr="00052166">
        <w:rPr>
          <w:rFonts w:ascii="Arial" w:cs="Arial" w:hAnsi="Arial"/>
          <w:lang w:eastAsia="en-IN"/>
        </w:rPr>
        <w:t>, 1–63.</w:t>
      </w:r>
    </w:p>
    <w:p w14:paraId="358B34D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Daepp, M., Suter, D., Almeida, J. P., Isopp, H., Hartwig, U. A., Frehner, M., Blum, H., </w:t>
      </w:r>
      <w:proofErr w:type="spellStart"/>
      <w:r w:rsidRPr="00052166">
        <w:rPr>
          <w:rFonts w:ascii="Arial" w:cs="Arial" w:hAnsi="Arial"/>
          <w:lang w:eastAsia="en-IN"/>
        </w:rPr>
        <w:t>Nösberger</w:t>
      </w:r>
      <w:proofErr w:type="spellEnd"/>
      <w:r w:rsidRPr="00052166">
        <w:rPr>
          <w:rFonts w:ascii="Arial" w:cs="Arial" w:hAnsi="Arial"/>
          <w:lang w:eastAsia="en-IN"/>
        </w:rPr>
        <w:t xml:space="preserve">, J., &amp; </w:t>
      </w:r>
      <w:proofErr w:type="spellStart"/>
      <w:r w:rsidRPr="00052166">
        <w:rPr>
          <w:rFonts w:ascii="Arial" w:cs="Arial" w:hAnsi="Arial"/>
          <w:lang w:eastAsia="en-IN"/>
        </w:rPr>
        <w:t>Lüscher</w:t>
      </w:r>
      <w:proofErr w:type="spellEnd"/>
      <w:r w:rsidRPr="00052166">
        <w:rPr>
          <w:rFonts w:ascii="Arial" w:cs="Arial" w:hAnsi="Arial"/>
          <w:lang w:eastAsia="en-IN"/>
        </w:rPr>
        <w:t xml:space="preserve">, A. (2000). Yield response of </w:t>
      </w:r>
      <w:proofErr w:type="spellStart"/>
      <w:r w:rsidRPr="00052166">
        <w:rPr>
          <w:rFonts w:ascii="Arial" w:cs="Arial" w:hAnsi="Arial"/>
          <w:i/>
          <w:iCs/>
          <w:lang w:eastAsia="en-IN"/>
        </w:rPr>
        <w:t>Lolium</w:t>
      </w:r>
      <w:proofErr w:type="spellEnd"/>
      <w:r w:rsidRPr="00052166">
        <w:rPr>
          <w:rFonts w:ascii="Arial" w:cs="Arial" w:hAnsi="Arial"/>
          <w:i/>
          <w:iCs/>
          <w:lang w:eastAsia="en-IN"/>
        </w:rPr>
        <w:t xml:space="preserve"> </w:t>
      </w:r>
      <w:proofErr w:type="spellStart"/>
      <w:r w:rsidRPr="00052166">
        <w:rPr>
          <w:rFonts w:ascii="Arial" w:cs="Arial" w:hAnsi="Arial"/>
          <w:i/>
          <w:iCs/>
          <w:lang w:eastAsia="en-IN"/>
        </w:rPr>
        <w:t>perenne</w:t>
      </w:r>
      <w:proofErr w:type="spellEnd"/>
      <w:r w:rsidRPr="00052166">
        <w:rPr>
          <w:rFonts w:ascii="Arial" w:cs="Arial" w:hAnsi="Arial"/>
          <w:lang w:eastAsia="en-IN"/>
        </w:rPr>
        <w:t xml:space="preserve"> swards to free air CO</w:t>
      </w:r>
      <w:r w:rsidRPr="00052166">
        <w:rPr>
          <w:rFonts w:ascii="Cambria Math" w:cs="Cambria Math" w:hAnsi="Cambria Math"/>
          <w:lang w:eastAsia="en-IN"/>
        </w:rPr>
        <w:t>₂</w:t>
      </w:r>
      <w:r w:rsidRPr="00052166">
        <w:rPr>
          <w:rFonts w:ascii="Arial" w:cs="Arial" w:hAnsi="Arial"/>
          <w:lang w:eastAsia="en-IN"/>
        </w:rPr>
        <w:t xml:space="preserve"> enrichment increased over six years in a high N input system on fertile soil. </w:t>
      </w:r>
      <w:r w:rsidRPr="00052166">
        <w:rPr>
          <w:rFonts w:ascii="Arial" w:cs="Arial" w:hAnsi="Arial"/>
          <w:i/>
          <w:iCs/>
          <w:lang w:eastAsia="en-IN"/>
        </w:rPr>
        <w:t>Global Change Biology, 6</w:t>
      </w:r>
      <w:r w:rsidRPr="00052166">
        <w:rPr>
          <w:rFonts w:ascii="Arial" w:cs="Arial" w:hAnsi="Arial"/>
          <w:lang w:eastAsia="en-IN"/>
        </w:rPr>
        <w:t>(7), 805–816.</w:t>
      </w:r>
    </w:p>
    <w:p w14:paraId="3876D50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lastRenderedPageBreak/>
        <w:t xml:space="preserve">Das, S., &amp; Adhya, T. K. (2014). Effect of combined application of organic manure and inorganic fertilizer on methane and nitrous oxide emissions from a tropical flooded soil planted to rice. </w:t>
      </w:r>
      <w:proofErr w:type="spellStart"/>
      <w:r w:rsidRPr="00052166">
        <w:rPr>
          <w:rFonts w:ascii="Arial" w:cs="Arial" w:hAnsi="Arial"/>
          <w:i/>
          <w:iCs/>
          <w:lang w:eastAsia="en-IN"/>
        </w:rPr>
        <w:t>Geoderma</w:t>
      </w:r>
      <w:proofErr w:type="spellEnd"/>
      <w:r w:rsidRPr="00052166">
        <w:rPr>
          <w:rFonts w:ascii="Arial" w:cs="Arial" w:hAnsi="Arial"/>
          <w:i/>
          <w:iCs/>
          <w:lang w:eastAsia="en-IN"/>
        </w:rPr>
        <w:t>, 213</w:t>
      </w:r>
      <w:r w:rsidRPr="00052166">
        <w:rPr>
          <w:rFonts w:ascii="Arial" w:cs="Arial" w:hAnsi="Arial"/>
          <w:lang w:eastAsia="en-IN"/>
        </w:rPr>
        <w:t>, 185–192.</w:t>
      </w:r>
    </w:p>
    <w:p w14:paraId="41D82F5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Dey, S. K., Chakrabarti, B., Prasanna, R., Mittal, R., Singh, S. D., &amp; Pathak, H. (2016). Growth and biomass partitioning in </w:t>
      </w:r>
      <w:proofErr w:type="spellStart"/>
      <w:r w:rsidRPr="00052166">
        <w:rPr>
          <w:rFonts w:ascii="Arial" w:cs="Arial" w:hAnsi="Arial"/>
          <w:lang w:eastAsia="en-IN"/>
        </w:rPr>
        <w:t>mungbean</w:t>
      </w:r>
      <w:proofErr w:type="spellEnd"/>
      <w:r w:rsidRPr="00052166">
        <w:rPr>
          <w:rFonts w:ascii="Arial" w:cs="Arial" w:hAnsi="Arial"/>
          <w:lang w:eastAsia="en-IN"/>
        </w:rPr>
        <w:t xml:space="preserve"> with elevated carbon dioxide, phosphorus levels, and cyanobacteria inoculation. </w:t>
      </w:r>
      <w:r w:rsidRPr="00052166">
        <w:rPr>
          <w:rFonts w:ascii="Arial" w:cs="Arial" w:hAnsi="Arial"/>
          <w:i/>
          <w:iCs/>
          <w:lang w:eastAsia="en-IN"/>
        </w:rPr>
        <w:t>Journal of Agrometeorology, 18</w:t>
      </w:r>
      <w:r w:rsidRPr="00052166">
        <w:rPr>
          <w:rFonts w:ascii="Arial" w:cs="Arial" w:hAnsi="Arial"/>
          <w:lang w:eastAsia="en-IN"/>
        </w:rPr>
        <w:t>(1), 7–12.</w:t>
      </w:r>
    </w:p>
    <w:p w14:paraId="1D9DBBE2"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Dhakar</w:t>
      </w:r>
      <w:proofErr w:type="spellEnd"/>
      <w:r w:rsidRPr="00052166">
        <w:rPr>
          <w:rFonts w:ascii="Arial" w:cs="Arial" w:hAnsi="Arial"/>
          <w:lang w:eastAsia="en-IN"/>
        </w:rPr>
        <w:t xml:space="preserve">, R., Sehgal, V. K., Chakraborty, D., Mukherjee, J., &amp; Kumar, S. N. (2019). Evaluating 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for growth, development, and yield of spring wheat at farmers' fields in a semi-arid environment.</w:t>
      </w:r>
    </w:p>
    <w:p w14:paraId="473D905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Dwivedi, S. K., Kumar, S., Mishra, J. S., Prakash, V., Rao, K. K., Bhatt, B. P., &amp; Srivastava, A. K. (2022). Interactive effect of elevated [CO</w:t>
      </w:r>
      <w:r w:rsidRPr="00052166">
        <w:rPr>
          <w:rFonts w:ascii="Cambria Math" w:cs="Cambria Math" w:hAnsi="Cambria Math"/>
          <w:lang w:eastAsia="en-IN"/>
        </w:rPr>
        <w:t>₂</w:t>
      </w:r>
      <w:r w:rsidRPr="00052166">
        <w:rPr>
          <w:rFonts w:ascii="Arial" w:cs="Arial" w:hAnsi="Arial"/>
          <w:lang w:eastAsia="en-IN"/>
        </w:rPr>
        <w:t>] and temperature on the photosynthetic process, anti</w:t>
      </w:r>
      <w:r w:rsidRPr="00052166">
        <w:rPr>
          <w:rFonts w:ascii="Cambria Math" w:cs="Cambria Math" w:hAnsi="Cambria Math"/>
          <w:lang w:eastAsia="en-IN"/>
        </w:rPr>
        <w:t>‐</w:t>
      </w:r>
      <w:r w:rsidRPr="00052166">
        <w:rPr>
          <w:rFonts w:ascii="Arial" w:cs="Arial" w:hAnsi="Arial"/>
          <w:lang w:eastAsia="en-IN"/>
        </w:rPr>
        <w:t xml:space="preserve">oxidative properties, and grain yield of rice. </w:t>
      </w:r>
      <w:r w:rsidRPr="00052166">
        <w:rPr>
          <w:rFonts w:ascii="Arial" w:cs="Arial" w:hAnsi="Arial"/>
          <w:i/>
          <w:iCs/>
          <w:lang w:eastAsia="en-IN"/>
        </w:rPr>
        <w:t>Journal of Agronomy and Crop Science, 208</w:t>
      </w:r>
      <w:r w:rsidRPr="00052166">
        <w:rPr>
          <w:rFonts w:ascii="Arial" w:cs="Arial" w:hAnsi="Arial"/>
          <w:lang w:eastAsia="en-IN"/>
        </w:rPr>
        <w:t>(3), 384–393.</w:t>
      </w:r>
    </w:p>
    <w:p w14:paraId="1FD62448"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Ebrayi</w:t>
      </w:r>
      <w:proofErr w:type="spellEnd"/>
      <w:r w:rsidRPr="00052166">
        <w:rPr>
          <w:rFonts w:ascii="Arial" w:cs="Arial" w:hAnsi="Arial"/>
          <w:lang w:eastAsia="en-IN"/>
        </w:rPr>
        <w:t xml:space="preserve">, K. N., Pathak, H., Kalra, N., Bhatia, A., &amp; Jain, N. (2007). Simulation of nitrogen dynamics in soil using the </w:t>
      </w:r>
      <w:proofErr w:type="spellStart"/>
      <w:r w:rsidRPr="00052166">
        <w:rPr>
          <w:rFonts w:ascii="Arial" w:cs="Arial" w:hAnsi="Arial"/>
          <w:lang w:eastAsia="en-IN"/>
        </w:rPr>
        <w:t>InfoCrop</w:t>
      </w:r>
      <w:proofErr w:type="spellEnd"/>
      <w:r w:rsidRPr="00052166">
        <w:rPr>
          <w:rFonts w:ascii="Arial" w:cs="Arial" w:hAnsi="Arial"/>
          <w:lang w:eastAsia="en-IN"/>
        </w:rPr>
        <w:t xml:space="preserve"> model. </w:t>
      </w:r>
      <w:r w:rsidRPr="00052166">
        <w:rPr>
          <w:rFonts w:ascii="Arial" w:cs="Arial" w:hAnsi="Arial"/>
          <w:i/>
          <w:iCs/>
          <w:lang w:eastAsia="en-IN"/>
        </w:rPr>
        <w:t>Environmental Monitoring and Assessment, 131</w:t>
      </w:r>
      <w:r w:rsidRPr="00052166">
        <w:rPr>
          <w:rFonts w:ascii="Arial" w:cs="Arial" w:hAnsi="Arial"/>
          <w:lang w:eastAsia="en-IN"/>
        </w:rPr>
        <w:t>(1–3), 451–465.</w:t>
      </w:r>
    </w:p>
    <w:p w14:paraId="753AA21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Endo, M., Tsuchiya, T., Hamada, K., Kawamura, S., Yano, K., Ohshima, M., &amp; </w:t>
      </w:r>
      <w:proofErr w:type="spellStart"/>
      <w:r w:rsidRPr="00052166">
        <w:rPr>
          <w:rFonts w:ascii="Arial" w:cs="Arial" w:hAnsi="Arial"/>
          <w:lang w:eastAsia="en-IN"/>
        </w:rPr>
        <w:t>Kawagishi</w:t>
      </w:r>
      <w:proofErr w:type="spellEnd"/>
      <w:r w:rsidRPr="00052166">
        <w:rPr>
          <w:rFonts w:ascii="Arial" w:cs="Arial" w:hAnsi="Arial"/>
          <w:lang w:eastAsia="en-IN"/>
        </w:rPr>
        <w:t xml:space="preserve">-Kobayashi, M. (2009). High temperatures cause male sterility in rice plants with transcriptional alterations during pollen development. </w:t>
      </w:r>
      <w:r w:rsidRPr="00052166">
        <w:rPr>
          <w:rFonts w:ascii="Arial" w:cs="Arial" w:hAnsi="Arial"/>
          <w:i/>
          <w:iCs/>
          <w:lang w:eastAsia="en-IN"/>
        </w:rPr>
        <w:t>Plant Cell Physiology, 50</w:t>
      </w:r>
      <w:r w:rsidRPr="00052166">
        <w:rPr>
          <w:rFonts w:ascii="Arial" w:cs="Arial" w:hAnsi="Arial"/>
          <w:lang w:eastAsia="en-IN"/>
        </w:rPr>
        <w:t>(11), 1911–1922.</w:t>
      </w:r>
    </w:p>
    <w:p w14:paraId="656A2912"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FAOSTAT. (2021). Food and Agriculture Data. Food and Agriculture Organization of the United Nations, Rome.</w:t>
      </w:r>
    </w:p>
    <w:p w14:paraId="34B67F2A"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Farrell, T. C., Fox, K. M., Williams, R. L., &amp; Fukai, S. (2006). Genotypic variation for cold tolerance during reproductive development in rice: Screening with cold air and cold water. </w:t>
      </w:r>
      <w:r w:rsidRPr="00052166">
        <w:rPr>
          <w:rFonts w:ascii="Arial" w:cs="Arial" w:hAnsi="Arial"/>
          <w:i/>
          <w:iCs/>
          <w:lang w:eastAsia="en-IN"/>
        </w:rPr>
        <w:t>Field Crops Research, 98</w:t>
      </w:r>
      <w:r w:rsidRPr="00052166">
        <w:rPr>
          <w:rFonts w:ascii="Arial" w:cs="Arial" w:hAnsi="Arial"/>
          <w:lang w:eastAsia="en-IN"/>
        </w:rPr>
        <w:t>, 178–194.</w:t>
      </w:r>
    </w:p>
    <w:p w14:paraId="5839501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Fey, A., &amp; Conrad, R. (2000). Effect of temperature on carbon and electron flow and on the Archaeal community in methanogenic rice field soil. </w:t>
      </w:r>
      <w:r w:rsidRPr="00052166">
        <w:rPr>
          <w:rFonts w:ascii="Arial" w:cs="Arial" w:hAnsi="Arial"/>
          <w:i/>
          <w:iCs/>
          <w:lang w:eastAsia="en-IN"/>
        </w:rPr>
        <w:t>Applied and Environmental Microbiology, 66</w:t>
      </w:r>
      <w:r w:rsidRPr="00052166">
        <w:rPr>
          <w:rFonts w:ascii="Arial" w:cs="Arial" w:hAnsi="Arial"/>
          <w:lang w:eastAsia="en-IN"/>
        </w:rPr>
        <w:t>, 4790–4797.</w:t>
      </w:r>
    </w:p>
    <w:p w14:paraId="29C34AE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Frank, D. C., Esper, J., Raible, C. C., </w:t>
      </w:r>
      <w:proofErr w:type="spellStart"/>
      <w:r w:rsidRPr="00052166">
        <w:rPr>
          <w:rFonts w:ascii="Arial" w:cs="Arial" w:hAnsi="Arial"/>
          <w:lang w:eastAsia="en-IN"/>
        </w:rPr>
        <w:t>Buntgen</w:t>
      </w:r>
      <w:proofErr w:type="spellEnd"/>
      <w:r w:rsidRPr="00052166">
        <w:rPr>
          <w:rFonts w:ascii="Arial" w:cs="Arial" w:hAnsi="Arial"/>
          <w:lang w:eastAsia="en-IN"/>
        </w:rPr>
        <w:t xml:space="preserve">, U., </w:t>
      </w:r>
      <w:proofErr w:type="spellStart"/>
      <w:r w:rsidRPr="00052166">
        <w:rPr>
          <w:rFonts w:ascii="Arial" w:cs="Arial" w:hAnsi="Arial"/>
          <w:lang w:eastAsia="en-IN"/>
        </w:rPr>
        <w:t>Trouet</w:t>
      </w:r>
      <w:proofErr w:type="spellEnd"/>
      <w:r w:rsidRPr="00052166">
        <w:rPr>
          <w:rFonts w:ascii="Arial" w:cs="Arial" w:hAnsi="Arial"/>
          <w:lang w:eastAsia="en-IN"/>
        </w:rPr>
        <w:t xml:space="preserve">, V., Stocker, B., &amp; Joos, F. (2010). Ensemble reconstruction constraints on the global carbon cycle sensitivity to climate. </w:t>
      </w:r>
      <w:r w:rsidRPr="00052166">
        <w:rPr>
          <w:rFonts w:ascii="Arial" w:cs="Arial" w:hAnsi="Arial"/>
          <w:i/>
          <w:iCs/>
          <w:lang w:eastAsia="en-IN"/>
        </w:rPr>
        <w:t>Nature, 463</w:t>
      </w:r>
      <w:r w:rsidRPr="00052166">
        <w:rPr>
          <w:rFonts w:ascii="Arial" w:cs="Arial" w:hAnsi="Arial"/>
          <w:lang w:eastAsia="en-IN"/>
        </w:rPr>
        <w:t>, 527–530.</w:t>
      </w:r>
    </w:p>
    <w:p w14:paraId="441DDFCE"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Gaihre</w:t>
      </w:r>
      <w:proofErr w:type="spellEnd"/>
      <w:r w:rsidRPr="00052166">
        <w:rPr>
          <w:rFonts w:ascii="Arial" w:cs="Arial" w:hAnsi="Arial"/>
          <w:lang w:eastAsia="en-IN"/>
        </w:rPr>
        <w:t>, Y. K., Wassmann, R., Tirol-Padre, A., Villegas-</w:t>
      </w:r>
      <w:proofErr w:type="spellStart"/>
      <w:r w:rsidRPr="00052166">
        <w:rPr>
          <w:rFonts w:ascii="Arial" w:cs="Arial" w:hAnsi="Arial"/>
          <w:lang w:eastAsia="en-IN"/>
        </w:rPr>
        <w:t>Pangga</w:t>
      </w:r>
      <w:proofErr w:type="spellEnd"/>
      <w:r w:rsidRPr="00052166">
        <w:rPr>
          <w:rFonts w:ascii="Arial" w:cs="Arial" w:hAnsi="Arial"/>
          <w:lang w:eastAsia="en-IN"/>
        </w:rPr>
        <w:t xml:space="preserve">, G., Aquino, E., &amp; Kimball, B. A. (2014). Seasonal assessment of greenhouse gas emissions from irrigated lowland rice fields under infrared warming. </w:t>
      </w:r>
      <w:r w:rsidRPr="00052166">
        <w:rPr>
          <w:rFonts w:ascii="Arial" w:cs="Arial" w:hAnsi="Arial"/>
          <w:i/>
          <w:iCs/>
          <w:lang w:eastAsia="en-IN"/>
        </w:rPr>
        <w:t>Agriculture, Ecosystems &amp; Environment, 184</w:t>
      </w:r>
      <w:r w:rsidRPr="00052166">
        <w:rPr>
          <w:rFonts w:ascii="Arial" w:cs="Arial" w:hAnsi="Arial"/>
          <w:lang w:eastAsia="en-IN"/>
        </w:rPr>
        <w:t>, 88–100.</w:t>
      </w:r>
    </w:p>
    <w:p w14:paraId="491FB1C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Green, S. M. (2013). Ebullition of methane from rice paddies: The importance of furthering understanding. </w:t>
      </w:r>
      <w:r w:rsidRPr="00052166">
        <w:rPr>
          <w:rFonts w:ascii="Arial" w:cs="Arial" w:hAnsi="Arial"/>
          <w:i/>
          <w:iCs/>
          <w:lang w:eastAsia="en-IN"/>
        </w:rPr>
        <w:t>Plant and Soil, 370</w:t>
      </w:r>
      <w:r w:rsidRPr="00052166">
        <w:rPr>
          <w:rFonts w:ascii="Arial" w:cs="Arial" w:hAnsi="Arial"/>
          <w:lang w:eastAsia="en-IN"/>
        </w:rPr>
        <w:t>, 31–34.</w:t>
      </w:r>
    </w:p>
    <w:p w14:paraId="5FF43E97"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Gutaker, R. M., Groen, S. C., Bellis, E. S., Choi, J. Y., Pires, I. S., Bocinsky, R. K., Slayton, E. R., Wilkins, O., Castillo, C. C., Negrão, S., Oliveira, M. M., Fuller, D. Q., </w:t>
      </w:r>
      <w:proofErr w:type="spellStart"/>
      <w:r w:rsidRPr="00052166">
        <w:rPr>
          <w:rFonts w:ascii="Arial" w:cs="Arial" w:hAnsi="Arial"/>
          <w:lang w:eastAsia="en-IN"/>
        </w:rPr>
        <w:t>d’Alpoim</w:t>
      </w:r>
      <w:proofErr w:type="spellEnd"/>
      <w:r w:rsidRPr="00052166">
        <w:rPr>
          <w:rFonts w:ascii="Arial" w:cs="Arial" w:hAnsi="Arial"/>
          <w:lang w:eastAsia="en-IN"/>
        </w:rPr>
        <w:t xml:space="preserve"> </w:t>
      </w:r>
      <w:r w:rsidRPr="00052166">
        <w:rPr>
          <w:rFonts w:ascii="Arial" w:cs="Arial" w:hAnsi="Arial"/>
          <w:lang w:eastAsia="en-IN"/>
        </w:rPr>
        <w:lastRenderedPageBreak/>
        <w:t xml:space="preserve">Guedes, J., &amp; Lasky, J. R. (2020). Genomic history and ecology of the geographic spread of rice. </w:t>
      </w:r>
      <w:r w:rsidRPr="00052166">
        <w:rPr>
          <w:rFonts w:ascii="Arial" w:cs="Arial" w:hAnsi="Arial"/>
          <w:i/>
          <w:iCs/>
          <w:lang w:eastAsia="en-IN"/>
        </w:rPr>
        <w:t>Nature Plants, 6</w:t>
      </w:r>
      <w:r w:rsidRPr="00052166">
        <w:rPr>
          <w:rFonts w:ascii="Arial" w:cs="Arial" w:hAnsi="Arial"/>
          <w:lang w:eastAsia="en-IN"/>
        </w:rPr>
        <w:t>, 492–502.</w:t>
      </w:r>
    </w:p>
    <w:p w14:paraId="38120724"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Hamid, N., Jawaid, F. A. I. Z. A., &amp; Amin, D. E. E. N. A. Z. (2009). Effect of short-term exposure to two different carbon dioxide concentrations on growth and some biochemical parameters of edible beans (</w:t>
      </w:r>
      <w:r w:rsidRPr="00052166">
        <w:rPr>
          <w:rFonts w:ascii="Arial" w:cs="Arial" w:hAnsi="Arial"/>
          <w:i/>
          <w:iCs/>
          <w:lang w:eastAsia="en-IN"/>
        </w:rPr>
        <w:t>Vigna radiata</w:t>
      </w:r>
      <w:r w:rsidRPr="00052166">
        <w:rPr>
          <w:rFonts w:ascii="Arial" w:cs="Arial" w:hAnsi="Arial"/>
          <w:lang w:eastAsia="en-IN"/>
        </w:rPr>
        <w:t xml:space="preserve"> and </w:t>
      </w:r>
      <w:r w:rsidRPr="00052166">
        <w:rPr>
          <w:rFonts w:ascii="Arial" w:cs="Arial" w:hAnsi="Arial"/>
          <w:i/>
          <w:iCs/>
          <w:lang w:eastAsia="en-IN"/>
        </w:rPr>
        <w:t>Vigna unguiculata</w:t>
      </w:r>
      <w:r w:rsidRPr="00052166">
        <w:rPr>
          <w:rFonts w:ascii="Arial" w:cs="Arial" w:hAnsi="Arial"/>
          <w:lang w:eastAsia="en-IN"/>
        </w:rPr>
        <w:t xml:space="preserve">). </w:t>
      </w:r>
      <w:r w:rsidRPr="00052166">
        <w:rPr>
          <w:rFonts w:ascii="Arial" w:cs="Arial" w:hAnsi="Arial"/>
          <w:i/>
          <w:iCs/>
          <w:lang w:eastAsia="en-IN"/>
        </w:rPr>
        <w:t>Pakistan Journal of Botany, 41</w:t>
      </w:r>
      <w:r w:rsidRPr="00052166">
        <w:rPr>
          <w:rFonts w:ascii="Arial" w:cs="Arial" w:hAnsi="Arial"/>
          <w:lang w:eastAsia="en-IN"/>
        </w:rPr>
        <w:t>(4), 1831–1836.</w:t>
      </w:r>
    </w:p>
    <w:p w14:paraId="26A8B337"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Hasegawa, T., Sakai, H., </w:t>
      </w:r>
      <w:proofErr w:type="spellStart"/>
      <w:r w:rsidRPr="00052166">
        <w:rPr>
          <w:rFonts w:ascii="Arial" w:cs="Arial" w:hAnsi="Arial"/>
          <w:lang w:eastAsia="en-IN"/>
        </w:rPr>
        <w:t>Tokida</w:t>
      </w:r>
      <w:proofErr w:type="spellEnd"/>
      <w:r w:rsidRPr="00052166">
        <w:rPr>
          <w:rFonts w:ascii="Arial" w:cs="Arial" w:hAnsi="Arial"/>
          <w:lang w:eastAsia="en-IN"/>
        </w:rPr>
        <w:t xml:space="preserve">, T., Nakamura, H., Zhu, C. W., Usui, Y., Yoshimoto, M., Fukuoka, M., Wakatsuki, H., </w:t>
      </w:r>
      <w:proofErr w:type="spellStart"/>
      <w:r w:rsidRPr="00052166">
        <w:rPr>
          <w:rFonts w:ascii="Arial" w:cs="Arial" w:hAnsi="Arial"/>
          <w:lang w:eastAsia="en-IN"/>
        </w:rPr>
        <w:t>Katayanagi</w:t>
      </w:r>
      <w:proofErr w:type="spellEnd"/>
      <w:r w:rsidRPr="00052166">
        <w:rPr>
          <w:rFonts w:ascii="Arial" w:cs="Arial" w:hAnsi="Arial"/>
          <w:lang w:eastAsia="en-IN"/>
        </w:rPr>
        <w:t xml:space="preserve">, N., Matsunami, T., Kaneta, Y., Sato, T., </w:t>
      </w:r>
      <w:proofErr w:type="spellStart"/>
      <w:r w:rsidRPr="00052166">
        <w:rPr>
          <w:rFonts w:ascii="Arial" w:cs="Arial" w:hAnsi="Arial"/>
          <w:lang w:eastAsia="en-IN"/>
        </w:rPr>
        <w:t>Takakai</w:t>
      </w:r>
      <w:proofErr w:type="spellEnd"/>
      <w:r w:rsidRPr="00052166">
        <w:rPr>
          <w:rFonts w:ascii="Arial" w:cs="Arial" w:hAnsi="Arial"/>
          <w:lang w:eastAsia="en-IN"/>
        </w:rPr>
        <w:t>, F., Sameshima, R., Okada, M., Mae, T., &amp; Makino, A. (2013). Rice cultivar responses to elevated CO</w:t>
      </w:r>
      <w:r w:rsidRPr="00052166">
        <w:rPr>
          <w:rFonts w:ascii="Cambria Math" w:cs="Cambria Math" w:hAnsi="Cambria Math"/>
          <w:lang w:eastAsia="en-IN"/>
        </w:rPr>
        <w:t>₂</w:t>
      </w:r>
      <w:r w:rsidRPr="00052166">
        <w:rPr>
          <w:rFonts w:ascii="Arial" w:cs="Arial" w:hAnsi="Arial"/>
          <w:lang w:eastAsia="en-IN"/>
        </w:rPr>
        <w:t xml:space="preserve"> at two free-air CO</w:t>
      </w:r>
      <w:r w:rsidRPr="00052166">
        <w:rPr>
          <w:rFonts w:ascii="Cambria Math" w:cs="Cambria Math" w:hAnsi="Cambria Math"/>
          <w:lang w:eastAsia="en-IN"/>
        </w:rPr>
        <w:t>₂</w:t>
      </w:r>
      <w:r w:rsidRPr="00052166">
        <w:rPr>
          <w:rFonts w:ascii="Arial" w:cs="Arial" w:hAnsi="Arial"/>
          <w:lang w:eastAsia="en-IN"/>
        </w:rPr>
        <w:t xml:space="preserve"> enrichment (FACE) sites in Japan. </w:t>
      </w:r>
      <w:r w:rsidRPr="00052166">
        <w:rPr>
          <w:rFonts w:ascii="Arial" w:cs="Arial" w:hAnsi="Arial"/>
          <w:i/>
          <w:iCs/>
          <w:lang w:eastAsia="en-IN"/>
        </w:rPr>
        <w:t>Functional Plant Biology, 40</w:t>
      </w:r>
      <w:r w:rsidRPr="00052166">
        <w:rPr>
          <w:rFonts w:ascii="Arial" w:cs="Arial" w:hAnsi="Arial"/>
          <w:lang w:eastAsia="en-IN"/>
        </w:rPr>
        <w:t>, 148–159.</w:t>
      </w:r>
    </w:p>
    <w:p w14:paraId="30F0153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He, Z. L., Yang, X. E., </w:t>
      </w:r>
      <w:proofErr w:type="spellStart"/>
      <w:r w:rsidRPr="00052166">
        <w:rPr>
          <w:rFonts w:ascii="Arial" w:cs="Arial" w:hAnsi="Arial"/>
          <w:lang w:eastAsia="en-IN"/>
        </w:rPr>
        <w:t>Baligar</w:t>
      </w:r>
      <w:proofErr w:type="spellEnd"/>
      <w:r w:rsidRPr="00052166">
        <w:rPr>
          <w:rFonts w:ascii="Arial" w:cs="Arial" w:hAnsi="Arial"/>
          <w:lang w:eastAsia="en-IN"/>
        </w:rPr>
        <w:t xml:space="preserve">, V. C., &amp; Calvert, D. V. (2003). Microbiological and biochemical indexing systems for assessing acid soil quality. </w:t>
      </w:r>
      <w:r w:rsidRPr="00052166">
        <w:rPr>
          <w:rFonts w:ascii="Arial" w:cs="Arial" w:hAnsi="Arial"/>
          <w:i/>
          <w:iCs/>
          <w:lang w:eastAsia="en-IN"/>
        </w:rPr>
        <w:t>Advances in Agronomy, 78</w:t>
      </w:r>
      <w:r w:rsidRPr="00052166">
        <w:rPr>
          <w:rFonts w:ascii="Arial" w:cs="Arial" w:hAnsi="Arial"/>
          <w:lang w:eastAsia="en-IN"/>
        </w:rPr>
        <w:t>, 89–138.</w:t>
      </w:r>
    </w:p>
    <w:p w14:paraId="056B408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Hebbar, K. B., Venugopalan, M. V., Seshasai, M. V. R., Rao, K. V., Patil, B. C., Prakash, A. H., Kumar, V., Hebbar, K. R., Jeyakumar, P., </w:t>
      </w:r>
      <w:proofErr w:type="spellStart"/>
      <w:r w:rsidRPr="00052166">
        <w:rPr>
          <w:rFonts w:ascii="Arial" w:cs="Arial" w:hAnsi="Arial"/>
          <w:lang w:eastAsia="en-IN"/>
        </w:rPr>
        <w:t>Bandhopadhyay</w:t>
      </w:r>
      <w:proofErr w:type="spellEnd"/>
      <w:r w:rsidRPr="00052166">
        <w:rPr>
          <w:rFonts w:ascii="Arial" w:cs="Arial" w:hAnsi="Arial"/>
          <w:lang w:eastAsia="en-IN"/>
        </w:rPr>
        <w:t xml:space="preserve">, K. K., &amp; Rao, M. R. K. (2008). Predicting cotton production using </w:t>
      </w:r>
      <w:proofErr w:type="spellStart"/>
      <w:r w:rsidRPr="00052166">
        <w:rPr>
          <w:rFonts w:ascii="Arial" w:cs="Arial" w:hAnsi="Arial"/>
          <w:lang w:eastAsia="en-IN"/>
        </w:rPr>
        <w:t>InfoCrop</w:t>
      </w:r>
      <w:proofErr w:type="spellEnd"/>
      <w:r w:rsidRPr="00052166">
        <w:rPr>
          <w:rFonts w:ascii="Arial" w:cs="Arial" w:hAnsi="Arial"/>
          <w:lang w:eastAsia="en-IN"/>
        </w:rPr>
        <w:t xml:space="preserve">-cotton simulation model, remote sensing, and spatial </w:t>
      </w:r>
      <w:proofErr w:type="spellStart"/>
      <w:r w:rsidRPr="00052166">
        <w:rPr>
          <w:rFonts w:ascii="Arial" w:cs="Arial" w:hAnsi="Arial"/>
          <w:lang w:eastAsia="en-IN"/>
        </w:rPr>
        <w:t>agro</w:t>
      </w:r>
      <w:proofErr w:type="spellEnd"/>
      <w:r w:rsidRPr="00052166">
        <w:rPr>
          <w:rFonts w:ascii="Arial" w:cs="Arial" w:hAnsi="Arial"/>
          <w:lang w:eastAsia="en-IN"/>
        </w:rPr>
        <w:t xml:space="preserve">-climatic data. </w:t>
      </w:r>
      <w:r w:rsidRPr="00052166">
        <w:rPr>
          <w:rFonts w:ascii="Arial" w:cs="Arial" w:hAnsi="Arial"/>
          <w:i/>
          <w:iCs/>
          <w:lang w:eastAsia="en-IN"/>
        </w:rPr>
        <w:t>Current Science</w:t>
      </w:r>
      <w:r w:rsidRPr="00052166">
        <w:rPr>
          <w:rFonts w:ascii="Arial" w:cs="Arial" w:hAnsi="Arial"/>
          <w:lang w:eastAsia="en-IN"/>
        </w:rPr>
        <w:t>, 1570–1579.</w:t>
      </w:r>
    </w:p>
    <w:p w14:paraId="7E96D7C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Hymus, G. J., Baker, N. R., &amp; Long, S. P. (2001). Growth in elevated CO</w:t>
      </w:r>
      <w:r w:rsidRPr="00052166">
        <w:rPr>
          <w:rFonts w:ascii="Cambria Math" w:cs="Cambria Math" w:hAnsi="Cambria Math"/>
          <w:lang w:eastAsia="en-IN"/>
        </w:rPr>
        <w:t>₂</w:t>
      </w:r>
      <w:r w:rsidRPr="00052166">
        <w:rPr>
          <w:rFonts w:ascii="Arial" w:cs="Arial" w:hAnsi="Arial"/>
          <w:lang w:eastAsia="en-IN"/>
        </w:rPr>
        <w:t xml:space="preserve"> can both increase and decrease photochemistry and photo-inhibition of photosynthesis predictably. </w:t>
      </w:r>
      <w:r w:rsidRPr="00052166">
        <w:rPr>
          <w:rFonts w:ascii="Arial" w:cs="Arial" w:hAnsi="Arial"/>
          <w:i/>
          <w:iCs/>
          <w:lang w:eastAsia="en-IN"/>
        </w:rPr>
        <w:t>Plant Physiology, 127</w:t>
      </w:r>
      <w:r w:rsidRPr="00052166">
        <w:rPr>
          <w:rFonts w:ascii="Arial" w:cs="Arial" w:hAnsi="Arial"/>
          <w:lang w:eastAsia="en-IN"/>
        </w:rPr>
        <w:t>(3), 1204–1211.</w:t>
      </w:r>
    </w:p>
    <w:p w14:paraId="7BDFCBBF"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Idso, S. B., &amp; Idso, K. E. (2001). Effects of atmospheric CO</w:t>
      </w:r>
      <w:r w:rsidRPr="00052166">
        <w:rPr>
          <w:rFonts w:ascii="Cambria Math" w:cs="Cambria Math" w:hAnsi="Cambria Math"/>
          <w:lang w:eastAsia="en-IN"/>
        </w:rPr>
        <w:t>₂</w:t>
      </w:r>
      <w:r w:rsidRPr="00052166">
        <w:rPr>
          <w:rFonts w:ascii="Arial" w:cs="Arial" w:hAnsi="Arial"/>
          <w:lang w:eastAsia="en-IN"/>
        </w:rPr>
        <w:t xml:space="preserve"> enrichment on plant constituents related to animal and human health. </w:t>
      </w:r>
      <w:r w:rsidRPr="00052166">
        <w:rPr>
          <w:rFonts w:ascii="Arial" w:cs="Arial" w:hAnsi="Arial"/>
          <w:i/>
          <w:iCs/>
          <w:lang w:eastAsia="en-IN"/>
        </w:rPr>
        <w:t>Environmental and Experimental Botany, 45</w:t>
      </w:r>
      <w:r w:rsidRPr="00052166">
        <w:rPr>
          <w:rFonts w:ascii="Arial" w:cs="Arial" w:hAnsi="Arial"/>
          <w:lang w:eastAsia="en-IN"/>
        </w:rPr>
        <w:t>(2), 179–199.</w:t>
      </w:r>
    </w:p>
    <w:p w14:paraId="539846E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INCCA. (2010). </w:t>
      </w:r>
      <w:r w:rsidRPr="00052166">
        <w:rPr>
          <w:rFonts w:ascii="Arial" w:cs="Arial" w:hAnsi="Arial"/>
          <w:i/>
          <w:iCs/>
          <w:lang w:eastAsia="en-IN"/>
        </w:rPr>
        <w:t>India: Greenhouse gas emission 2007</w:t>
      </w:r>
      <w:r w:rsidRPr="00052166">
        <w:rPr>
          <w:rFonts w:ascii="Arial" w:cs="Arial" w:hAnsi="Arial"/>
          <w:lang w:eastAsia="en-IN"/>
        </w:rPr>
        <w:t>. Ministry of Environment and Forests, Government of India, New Delhi, India.</w:t>
      </w:r>
    </w:p>
    <w:p w14:paraId="13E5417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IRRI. (2004). </w:t>
      </w:r>
      <w:r w:rsidRPr="00052166">
        <w:rPr>
          <w:rFonts w:ascii="Arial" w:cs="Arial" w:hAnsi="Arial"/>
          <w:i/>
          <w:iCs/>
          <w:lang w:eastAsia="en-IN"/>
        </w:rPr>
        <w:t>Climate change</w:t>
      </w:r>
      <w:r w:rsidRPr="00052166">
        <w:rPr>
          <w:rFonts w:ascii="Arial" w:cs="Arial" w:hAnsi="Arial"/>
          <w:lang w:eastAsia="en-IN"/>
        </w:rPr>
        <w:t xml:space="preserve">. In </w:t>
      </w:r>
      <w:r w:rsidRPr="00052166">
        <w:rPr>
          <w:rFonts w:ascii="Arial" w:cs="Arial" w:hAnsi="Arial"/>
          <w:i/>
          <w:iCs/>
          <w:lang w:eastAsia="en-IN"/>
        </w:rPr>
        <w:t>IRRI’s Environmental Agenda—An approach towards sustainable development</w:t>
      </w:r>
      <w:r w:rsidRPr="00052166">
        <w:rPr>
          <w:rFonts w:ascii="Arial" w:cs="Arial" w:hAnsi="Arial"/>
          <w:lang w:eastAsia="en-IN"/>
        </w:rPr>
        <w:t xml:space="preserve"> (pp. 11–33). IRRI, Philippines.</w:t>
      </w:r>
    </w:p>
    <w:p w14:paraId="5D0D76DA"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Jagadish, S., </w:t>
      </w:r>
      <w:proofErr w:type="spellStart"/>
      <w:r w:rsidRPr="00052166">
        <w:rPr>
          <w:rFonts w:ascii="Arial" w:cs="Arial" w:hAnsi="Arial"/>
          <w:lang w:eastAsia="en-IN"/>
        </w:rPr>
        <w:t>Craufurd</w:t>
      </w:r>
      <w:proofErr w:type="spellEnd"/>
      <w:r w:rsidRPr="00052166">
        <w:rPr>
          <w:rFonts w:ascii="Arial" w:cs="Arial" w:hAnsi="Arial"/>
          <w:lang w:eastAsia="en-IN"/>
        </w:rPr>
        <w:t>, P., &amp; Wheeler, T. (2007). High temperature stress and spikelet fertility in rice (</w:t>
      </w:r>
      <w:r w:rsidRPr="00052166">
        <w:rPr>
          <w:rFonts w:ascii="Arial" w:cs="Arial" w:hAnsi="Arial"/>
          <w:i/>
          <w:iCs/>
          <w:lang w:eastAsia="en-IN"/>
        </w:rPr>
        <w:t>Oryza sativa</w:t>
      </w:r>
      <w:r w:rsidRPr="00052166">
        <w:rPr>
          <w:rFonts w:ascii="Arial" w:cs="Arial" w:hAnsi="Arial"/>
          <w:lang w:eastAsia="en-IN"/>
        </w:rPr>
        <w:t xml:space="preserve"> L.). </w:t>
      </w:r>
      <w:r w:rsidRPr="00052166">
        <w:rPr>
          <w:rFonts w:ascii="Arial" w:cs="Arial" w:hAnsi="Arial"/>
          <w:i/>
          <w:iCs/>
          <w:lang w:eastAsia="en-IN"/>
        </w:rPr>
        <w:t>Journal of Experimental Botany, 58</w:t>
      </w:r>
      <w:r w:rsidRPr="00052166">
        <w:rPr>
          <w:rFonts w:ascii="Arial" w:cs="Arial" w:hAnsi="Arial"/>
          <w:lang w:eastAsia="en-IN"/>
        </w:rPr>
        <w:t>, 1627–1635.</w:t>
      </w:r>
    </w:p>
    <w:p w14:paraId="6895765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Jones, J. W., Keating, B. A., &amp; Porter, C. H. (2001). Approaches to modular model development. </w:t>
      </w:r>
      <w:r w:rsidRPr="00052166">
        <w:rPr>
          <w:rFonts w:ascii="Arial" w:cs="Arial" w:hAnsi="Arial"/>
          <w:i/>
          <w:iCs/>
          <w:lang w:eastAsia="en-IN"/>
        </w:rPr>
        <w:t>Agricultural Systems</w:t>
      </w:r>
      <w:r w:rsidRPr="00052166">
        <w:rPr>
          <w:rFonts w:ascii="Arial" w:cs="Arial" w:hAnsi="Arial"/>
          <w:lang w:eastAsia="en-IN"/>
        </w:rPr>
        <w:t xml:space="preserve">, </w:t>
      </w:r>
      <w:r w:rsidRPr="00052166">
        <w:rPr>
          <w:rFonts w:ascii="Arial" w:cs="Arial" w:hAnsi="Arial"/>
          <w:i/>
          <w:iCs/>
          <w:lang w:eastAsia="en-IN"/>
        </w:rPr>
        <w:t>70</w:t>
      </w:r>
      <w:r w:rsidRPr="00052166">
        <w:rPr>
          <w:rFonts w:ascii="Arial" w:cs="Arial" w:hAnsi="Arial"/>
          <w:lang w:eastAsia="en-IN"/>
        </w:rPr>
        <w:t>(2–3), 421–443.</w:t>
      </w:r>
    </w:p>
    <w:p w14:paraId="48EAC093"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Joshi, A. B., Vann, D. R., &amp; Johnson, A. H. (2006). Litter quality and climate decouple nitrogen mineralization and productivity in Chilean temperate rainforests. </w:t>
      </w:r>
      <w:r w:rsidRPr="00052166">
        <w:rPr>
          <w:rFonts w:ascii="Arial" w:cs="Arial" w:hAnsi="Arial"/>
          <w:i/>
          <w:iCs/>
          <w:lang w:eastAsia="en-IN"/>
        </w:rPr>
        <w:t>Soil Science Society of America Journal</w:t>
      </w:r>
      <w:r w:rsidRPr="00052166">
        <w:rPr>
          <w:rFonts w:ascii="Arial" w:cs="Arial" w:hAnsi="Arial"/>
          <w:lang w:eastAsia="en-IN"/>
        </w:rPr>
        <w:t xml:space="preserve">, </w:t>
      </w:r>
      <w:r w:rsidRPr="00052166">
        <w:rPr>
          <w:rFonts w:ascii="Arial" w:cs="Arial" w:hAnsi="Arial"/>
          <w:i/>
          <w:iCs/>
          <w:lang w:eastAsia="en-IN"/>
        </w:rPr>
        <w:t>70</w:t>
      </w:r>
      <w:r w:rsidRPr="00052166">
        <w:rPr>
          <w:rFonts w:ascii="Arial" w:cs="Arial" w:hAnsi="Arial"/>
          <w:lang w:eastAsia="en-IN"/>
        </w:rPr>
        <w:t>(1), 153–162.</w:t>
      </w:r>
    </w:p>
    <w:p w14:paraId="70EAABB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Kammann, C., Müller, C., </w:t>
      </w:r>
      <w:proofErr w:type="spellStart"/>
      <w:r w:rsidRPr="00052166">
        <w:rPr>
          <w:rFonts w:ascii="Arial" w:cs="Arial" w:hAnsi="Arial"/>
          <w:lang w:eastAsia="en-IN"/>
        </w:rPr>
        <w:t>Grünhage</w:t>
      </w:r>
      <w:proofErr w:type="spellEnd"/>
      <w:r w:rsidRPr="00052166">
        <w:rPr>
          <w:rFonts w:ascii="Arial" w:cs="Arial" w:hAnsi="Arial"/>
          <w:lang w:eastAsia="en-IN"/>
        </w:rPr>
        <w:t xml:space="preserve">, L., &amp; Jäger, H.-J. (2008). Elevated CO2 stimulates N2O emissions in permanent grassland. </w:t>
      </w:r>
      <w:r w:rsidRPr="00052166">
        <w:rPr>
          <w:rFonts w:ascii="Arial" w:cs="Arial" w:hAnsi="Arial"/>
          <w:i/>
          <w:iCs/>
          <w:lang w:eastAsia="en-IN"/>
        </w:rPr>
        <w:t>Soil Biology and Biochemistry</w:t>
      </w:r>
      <w:r w:rsidRPr="00052166">
        <w:rPr>
          <w:rFonts w:ascii="Arial" w:cs="Arial" w:hAnsi="Arial"/>
          <w:lang w:eastAsia="en-IN"/>
        </w:rPr>
        <w:t xml:space="preserve">, </w:t>
      </w:r>
      <w:r w:rsidRPr="00052166">
        <w:rPr>
          <w:rFonts w:ascii="Arial" w:cs="Arial" w:hAnsi="Arial"/>
          <w:i/>
          <w:iCs/>
          <w:lang w:eastAsia="en-IN"/>
        </w:rPr>
        <w:t>40</w:t>
      </w:r>
      <w:r w:rsidRPr="00052166">
        <w:rPr>
          <w:rFonts w:ascii="Arial" w:cs="Arial" w:hAnsi="Arial"/>
          <w:lang w:eastAsia="en-IN"/>
        </w:rPr>
        <w:t>, 2194–2205.</w:t>
      </w:r>
    </w:p>
    <w:p w14:paraId="75CB071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lastRenderedPageBreak/>
        <w:t xml:space="preserve">Kim, H. Y., </w:t>
      </w:r>
      <w:proofErr w:type="spellStart"/>
      <w:r w:rsidRPr="00052166">
        <w:rPr>
          <w:rFonts w:ascii="Arial" w:cs="Arial" w:hAnsi="Arial"/>
          <w:lang w:eastAsia="en-IN"/>
        </w:rPr>
        <w:t>Lieffering</w:t>
      </w:r>
      <w:proofErr w:type="spellEnd"/>
      <w:r w:rsidRPr="00052166">
        <w:rPr>
          <w:rFonts w:ascii="Arial" w:cs="Arial" w:hAnsi="Arial"/>
          <w:lang w:eastAsia="en-IN"/>
        </w:rPr>
        <w:t xml:space="preserve">, M., Kobayashi, K., Okada, M., Mitchell, M. W., &amp; </w:t>
      </w:r>
      <w:proofErr w:type="spellStart"/>
      <w:r w:rsidRPr="00052166">
        <w:rPr>
          <w:rFonts w:ascii="Arial" w:cs="Arial" w:hAnsi="Arial"/>
          <w:lang w:eastAsia="en-IN"/>
        </w:rPr>
        <w:t>Gumpertz</w:t>
      </w:r>
      <w:proofErr w:type="spellEnd"/>
      <w:r w:rsidRPr="00052166">
        <w:rPr>
          <w:rFonts w:ascii="Arial" w:cs="Arial" w:hAnsi="Arial"/>
          <w:lang w:eastAsia="en-IN"/>
        </w:rPr>
        <w:t xml:space="preserve">, M. (2003). Effects of free-air CO2 enrichment and nitrogen supply on the yield of temperate paddy rice crops. </w:t>
      </w:r>
      <w:r w:rsidRPr="00052166">
        <w:rPr>
          <w:rFonts w:ascii="Arial" w:cs="Arial" w:hAnsi="Arial"/>
          <w:i/>
          <w:iCs/>
          <w:lang w:eastAsia="en-IN"/>
        </w:rPr>
        <w:t>Field Crops Research</w:t>
      </w:r>
      <w:r w:rsidRPr="00052166">
        <w:rPr>
          <w:rFonts w:ascii="Arial" w:cs="Arial" w:hAnsi="Arial"/>
          <w:lang w:eastAsia="en-IN"/>
        </w:rPr>
        <w:t xml:space="preserve">, </w:t>
      </w:r>
      <w:r w:rsidRPr="00052166">
        <w:rPr>
          <w:rFonts w:ascii="Arial" w:cs="Arial" w:hAnsi="Arial"/>
          <w:i/>
          <w:iCs/>
          <w:lang w:eastAsia="en-IN"/>
        </w:rPr>
        <w:t>83</w:t>
      </w:r>
      <w:r w:rsidRPr="00052166">
        <w:rPr>
          <w:rFonts w:ascii="Arial" w:cs="Arial" w:hAnsi="Arial"/>
          <w:lang w:eastAsia="en-IN"/>
        </w:rPr>
        <w:t>, 261–270.</w:t>
      </w:r>
    </w:p>
    <w:p w14:paraId="08DBD56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Kumar, S. S., &amp; </w:t>
      </w:r>
      <w:proofErr w:type="spellStart"/>
      <w:r w:rsidRPr="00052166">
        <w:rPr>
          <w:rFonts w:ascii="Arial" w:cs="Arial" w:hAnsi="Arial"/>
          <w:lang w:eastAsia="en-IN"/>
        </w:rPr>
        <w:t>Malyan</w:t>
      </w:r>
      <w:proofErr w:type="spellEnd"/>
      <w:r w:rsidRPr="00052166">
        <w:rPr>
          <w:rFonts w:ascii="Arial" w:cs="Arial" w:hAnsi="Arial"/>
          <w:lang w:eastAsia="en-IN"/>
        </w:rPr>
        <w:t xml:space="preserve">, S. (2016). Nitrification inhibitors: A perspective tool to mitigate greenhouse gas emission from rice soils. </w:t>
      </w:r>
      <w:r w:rsidRPr="00052166">
        <w:rPr>
          <w:rFonts w:ascii="Arial" w:cs="Arial" w:hAnsi="Arial"/>
          <w:i/>
          <w:iCs/>
          <w:lang w:eastAsia="en-IN"/>
        </w:rPr>
        <w:t>Current World Environment</w:t>
      </w:r>
      <w:r w:rsidRPr="00052166">
        <w:rPr>
          <w:rFonts w:ascii="Arial" w:cs="Arial" w:hAnsi="Arial"/>
          <w:lang w:eastAsia="en-IN"/>
        </w:rPr>
        <w:t xml:space="preserve">, </w:t>
      </w:r>
      <w:r w:rsidRPr="00052166">
        <w:rPr>
          <w:rFonts w:ascii="Arial" w:cs="Arial" w:hAnsi="Arial"/>
          <w:i/>
          <w:iCs/>
          <w:lang w:eastAsia="en-IN"/>
        </w:rPr>
        <w:t>11</w:t>
      </w:r>
      <w:r w:rsidRPr="00052166">
        <w:rPr>
          <w:rFonts w:ascii="Arial" w:cs="Arial" w:hAnsi="Arial"/>
          <w:lang w:eastAsia="en-IN"/>
        </w:rPr>
        <w:t>, 423–428.</w:t>
      </w:r>
    </w:p>
    <w:p w14:paraId="74966E03"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Kuzyakov, Y., &amp; Domanski, G. (2000). Carbon input by plants into the soil: A review. </w:t>
      </w:r>
      <w:r w:rsidRPr="00052166">
        <w:rPr>
          <w:rFonts w:ascii="Arial" w:cs="Arial" w:hAnsi="Arial"/>
          <w:i/>
          <w:iCs/>
          <w:lang w:eastAsia="en-IN"/>
        </w:rPr>
        <w:t>Journal of Plant Nutrition and Soil Science</w:t>
      </w:r>
      <w:r w:rsidRPr="00052166">
        <w:rPr>
          <w:rFonts w:ascii="Arial" w:cs="Arial" w:hAnsi="Arial"/>
          <w:lang w:eastAsia="en-IN"/>
        </w:rPr>
        <w:t xml:space="preserve">, </w:t>
      </w:r>
      <w:r w:rsidRPr="00052166">
        <w:rPr>
          <w:rFonts w:ascii="Arial" w:cs="Arial" w:hAnsi="Arial"/>
          <w:i/>
          <w:iCs/>
          <w:lang w:eastAsia="en-IN"/>
        </w:rPr>
        <w:t>163</w:t>
      </w:r>
      <w:r w:rsidRPr="00052166">
        <w:rPr>
          <w:rFonts w:ascii="Arial" w:cs="Arial" w:hAnsi="Arial"/>
          <w:lang w:eastAsia="en-IN"/>
        </w:rPr>
        <w:t>, 421–431.</w:t>
      </w:r>
    </w:p>
    <w:p w14:paraId="4A075FA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Laar, H. V., Goudriaan, J. V., &amp; Keulen, H. V. (1997). SUCROS97: Simulation of crop growth for potential and water-limited production situations as applied to spring wheat.</w:t>
      </w:r>
    </w:p>
    <w:p w14:paraId="17EC64C1"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Le Mer, J., &amp; Roger, P. (2001). Production, oxidation, emission, and consumption of methane by soils: A review. </w:t>
      </w:r>
      <w:r w:rsidRPr="00052166">
        <w:rPr>
          <w:rFonts w:ascii="Arial" w:cs="Arial" w:hAnsi="Arial"/>
          <w:i/>
          <w:iCs/>
          <w:lang w:eastAsia="en-IN"/>
        </w:rPr>
        <w:t>European Journal of Soil Biology</w:t>
      </w:r>
      <w:r w:rsidRPr="00052166">
        <w:rPr>
          <w:rFonts w:ascii="Arial" w:cs="Arial" w:hAnsi="Arial"/>
          <w:lang w:eastAsia="en-IN"/>
        </w:rPr>
        <w:t xml:space="preserve">, </w:t>
      </w:r>
      <w:r w:rsidRPr="00052166">
        <w:rPr>
          <w:rFonts w:ascii="Arial" w:cs="Arial" w:hAnsi="Arial"/>
          <w:i/>
          <w:iCs/>
          <w:lang w:eastAsia="en-IN"/>
        </w:rPr>
        <w:t>37</w:t>
      </w:r>
      <w:r w:rsidRPr="00052166">
        <w:rPr>
          <w:rFonts w:ascii="Arial" w:cs="Arial" w:hAnsi="Arial"/>
          <w:lang w:eastAsia="en-IN"/>
        </w:rPr>
        <w:t>, 25–50.</w:t>
      </w:r>
    </w:p>
    <w:p w14:paraId="62E1FB9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Luo, Y., Su, B., Currie, W. S., Dukes, J. S., Finzi, A. C., Hartwig, U., Hungate, B., McMurtrie, R. E., Oren, R., Parton, W. J., Pataki, D. E., Shaw, R. M., Zak, D. R., &amp; Field, C. B. (2004). Progressive nitrogen limitation of ecosystem responses to rising atmospheric carbon dioxide. </w:t>
      </w:r>
      <w:proofErr w:type="spellStart"/>
      <w:r w:rsidRPr="00052166">
        <w:rPr>
          <w:rFonts w:ascii="Arial" w:cs="Arial" w:hAnsi="Arial"/>
          <w:i/>
          <w:iCs/>
          <w:lang w:eastAsia="en-IN"/>
        </w:rPr>
        <w:t>BioScience</w:t>
      </w:r>
      <w:proofErr w:type="spellEnd"/>
      <w:r w:rsidRPr="00052166">
        <w:rPr>
          <w:rFonts w:ascii="Arial" w:cs="Arial" w:hAnsi="Arial"/>
          <w:lang w:eastAsia="en-IN"/>
        </w:rPr>
        <w:t xml:space="preserve">, </w:t>
      </w:r>
      <w:r w:rsidRPr="00052166">
        <w:rPr>
          <w:rFonts w:ascii="Arial" w:cs="Arial" w:hAnsi="Arial"/>
          <w:i/>
          <w:iCs/>
          <w:lang w:eastAsia="en-IN"/>
        </w:rPr>
        <w:t>54</w:t>
      </w:r>
      <w:r w:rsidRPr="00052166">
        <w:rPr>
          <w:rFonts w:ascii="Arial" w:cs="Arial" w:hAnsi="Arial"/>
          <w:lang w:eastAsia="en-IN"/>
        </w:rPr>
        <w:t>, 731–739.</w:t>
      </w:r>
    </w:p>
    <w:p w14:paraId="127E4BB1"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Lv</w:t>
      </w:r>
      <w:proofErr w:type="spellEnd"/>
      <w:r w:rsidRPr="00052166">
        <w:rPr>
          <w:rFonts w:ascii="Arial" w:cs="Arial" w:hAnsi="Arial"/>
          <w:lang w:eastAsia="en-IN"/>
        </w:rPr>
        <w:t xml:space="preserve">, Z., Zhu, Y., Liu, X., Ye, H., Tian, Y., &amp; Li, F. (2018). Climate change impacts on regional rice production in China. </w:t>
      </w:r>
      <w:r w:rsidRPr="00052166">
        <w:rPr>
          <w:rFonts w:ascii="Arial" w:cs="Arial" w:hAnsi="Arial"/>
          <w:i/>
          <w:iCs/>
          <w:lang w:eastAsia="en-IN"/>
        </w:rPr>
        <w:t>Climatic Change</w:t>
      </w:r>
      <w:r w:rsidRPr="00052166">
        <w:rPr>
          <w:rFonts w:ascii="Arial" w:cs="Arial" w:hAnsi="Arial"/>
          <w:lang w:eastAsia="en-IN"/>
        </w:rPr>
        <w:t xml:space="preserve">, </w:t>
      </w:r>
      <w:r w:rsidRPr="00052166">
        <w:rPr>
          <w:rFonts w:ascii="Arial" w:cs="Arial" w:hAnsi="Arial"/>
          <w:i/>
          <w:iCs/>
          <w:lang w:eastAsia="en-IN"/>
        </w:rPr>
        <w:t>147</w:t>
      </w:r>
      <w:r w:rsidRPr="00052166">
        <w:rPr>
          <w:rFonts w:ascii="Arial" w:cs="Arial" w:hAnsi="Arial"/>
          <w:lang w:eastAsia="en-IN"/>
        </w:rPr>
        <w:t>, 523–537.</w:t>
      </w:r>
    </w:p>
    <w:p w14:paraId="122A8BB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Maclean, J. L., Dawe, D. C., Hardy, B., &amp; Hettel, G. P. (Eds.). (2002). </w:t>
      </w:r>
      <w:r w:rsidRPr="00052166">
        <w:rPr>
          <w:rFonts w:ascii="Arial" w:cs="Arial" w:hAnsi="Arial"/>
          <w:i/>
          <w:iCs/>
          <w:lang w:eastAsia="en-IN"/>
        </w:rPr>
        <w:t>Rice almanac</w:t>
      </w:r>
      <w:r w:rsidRPr="00052166">
        <w:rPr>
          <w:rFonts w:ascii="Arial" w:cs="Arial" w:hAnsi="Arial"/>
          <w:lang w:eastAsia="en-IN"/>
        </w:rPr>
        <w:t xml:space="preserve"> (3rd ed.). Philippines: IRRI, WARDA, CIAT, &amp; FAO.</w:t>
      </w:r>
    </w:p>
    <w:p w14:paraId="053F7B4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Maity, P. P. (2018). Interactive effect of elevated carbon dioxide and temperature on nitrogen transformation in soil under rice crop. ICAR-Indian Agricultural Research Institute, New Delhi, India. Retrieved from </w:t>
      </w:r>
      <w:hyperlink r:id="rId20" w:history="1" w:tgtFrame="_new">
        <w:r w:rsidRPr="00052166">
          <w:rPr>
            <w:rFonts w:ascii="Arial" w:cs="Arial" w:hAnsi="Arial"/>
            <w:color w:val="0000FF"/>
            <w:u w:val="single"/>
            <w:lang w:eastAsia="en-IN"/>
          </w:rPr>
          <w:t>http://krishikosh.egranth.ac.in/handle/1/5810093319</w:t>
        </w:r>
      </w:hyperlink>
    </w:p>
    <w:p w14:paraId="6F67F27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Mitra, S., Majumdar, D., &amp; Wassmann, R. (2012). Methane production and emission in surface and subsurface rice soils and their blends. </w:t>
      </w:r>
      <w:r w:rsidRPr="00052166">
        <w:rPr>
          <w:rFonts w:ascii="Arial" w:cs="Arial" w:hAnsi="Arial"/>
          <w:i/>
          <w:iCs/>
          <w:lang w:eastAsia="en-IN"/>
        </w:rPr>
        <w:t>Agriculture, Ecosystems &amp; Environment</w:t>
      </w:r>
      <w:r w:rsidRPr="00052166">
        <w:rPr>
          <w:rFonts w:ascii="Arial" w:cs="Arial" w:hAnsi="Arial"/>
          <w:lang w:eastAsia="en-IN"/>
        </w:rPr>
        <w:t xml:space="preserve">, </w:t>
      </w:r>
      <w:r w:rsidRPr="00052166">
        <w:rPr>
          <w:rFonts w:ascii="Arial" w:cs="Arial" w:hAnsi="Arial"/>
          <w:i/>
          <w:iCs/>
          <w:lang w:eastAsia="en-IN"/>
        </w:rPr>
        <w:t>158</w:t>
      </w:r>
      <w:r w:rsidRPr="00052166">
        <w:rPr>
          <w:rFonts w:ascii="Arial" w:cs="Arial" w:hAnsi="Arial"/>
          <w:lang w:eastAsia="en-IN"/>
        </w:rPr>
        <w:t>, 94–102.</w:t>
      </w:r>
    </w:p>
    <w:p w14:paraId="01CD52CA"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Ministry of Environment, Forest and Climate Change [</w:t>
      </w:r>
      <w:proofErr w:type="spellStart"/>
      <w:r w:rsidRPr="00052166">
        <w:rPr>
          <w:rFonts w:ascii="Arial" w:cs="Arial" w:hAnsi="Arial"/>
          <w:lang w:eastAsia="en-IN"/>
        </w:rPr>
        <w:t>MoEFCC</w:t>
      </w:r>
      <w:proofErr w:type="spellEnd"/>
      <w:r w:rsidRPr="00052166">
        <w:rPr>
          <w:rFonts w:ascii="Arial" w:cs="Arial" w:hAnsi="Arial"/>
          <w:lang w:eastAsia="en-IN"/>
        </w:rPr>
        <w:t xml:space="preserve">]. (2018). </w:t>
      </w:r>
      <w:r w:rsidRPr="00052166">
        <w:rPr>
          <w:rFonts w:ascii="Arial" w:cs="Arial" w:hAnsi="Arial"/>
          <w:i/>
          <w:iCs/>
          <w:lang w:eastAsia="en-IN"/>
        </w:rPr>
        <w:t>India Second Biennial Update Report to the UNFCCC</w:t>
      </w:r>
      <w:r w:rsidRPr="00052166">
        <w:rPr>
          <w:rFonts w:ascii="Arial" w:cs="Arial" w:hAnsi="Arial"/>
          <w:lang w:eastAsia="en-IN"/>
        </w:rPr>
        <w:t xml:space="preserve"> (p. 228). New Delhi, India.</w:t>
      </w:r>
    </w:p>
    <w:p w14:paraId="3CEDD298"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Myers, S. S., </w:t>
      </w:r>
      <w:proofErr w:type="spellStart"/>
      <w:r w:rsidRPr="00052166">
        <w:rPr>
          <w:rFonts w:ascii="Arial" w:cs="Arial" w:hAnsi="Arial"/>
          <w:lang w:eastAsia="en-IN"/>
        </w:rPr>
        <w:t>Zanobetti</w:t>
      </w:r>
      <w:proofErr w:type="spellEnd"/>
      <w:r w:rsidRPr="00052166">
        <w:rPr>
          <w:rFonts w:ascii="Arial" w:cs="Arial" w:hAnsi="Arial"/>
          <w:lang w:eastAsia="en-IN"/>
        </w:rPr>
        <w:t xml:space="preserve">, A., </w:t>
      </w:r>
      <w:proofErr w:type="spellStart"/>
      <w:r w:rsidRPr="00052166">
        <w:rPr>
          <w:rFonts w:ascii="Arial" w:cs="Arial" w:hAnsi="Arial"/>
          <w:lang w:eastAsia="en-IN"/>
        </w:rPr>
        <w:t>Kloog</w:t>
      </w:r>
      <w:proofErr w:type="spellEnd"/>
      <w:r w:rsidRPr="00052166">
        <w:rPr>
          <w:rFonts w:ascii="Arial" w:cs="Arial" w:hAnsi="Arial"/>
          <w:lang w:eastAsia="en-IN"/>
        </w:rPr>
        <w:t xml:space="preserve">, I., </w:t>
      </w:r>
      <w:proofErr w:type="spellStart"/>
      <w:r w:rsidRPr="00052166">
        <w:rPr>
          <w:rFonts w:ascii="Arial" w:cs="Arial" w:hAnsi="Arial"/>
          <w:lang w:eastAsia="en-IN"/>
        </w:rPr>
        <w:t>Huybers</w:t>
      </w:r>
      <w:proofErr w:type="spellEnd"/>
      <w:r w:rsidRPr="00052166">
        <w:rPr>
          <w:rFonts w:ascii="Arial" w:cs="Arial" w:hAnsi="Arial"/>
          <w:lang w:eastAsia="en-IN"/>
        </w:rPr>
        <w:t xml:space="preserve">, P., Leakey, A. D., Bloom, A. J., Carlisle, E., Dietterich, L. H., Fitzgerald, G., Hasegawa, T., &amp; Holbrook, N. M. (2014). Increasing CO2 threatens human nutrition. </w:t>
      </w:r>
      <w:r w:rsidRPr="00052166">
        <w:rPr>
          <w:rFonts w:ascii="Arial" w:cs="Arial" w:hAnsi="Arial"/>
          <w:i/>
          <w:iCs/>
          <w:lang w:eastAsia="en-IN"/>
        </w:rPr>
        <w:t>Nature</w:t>
      </w:r>
      <w:r w:rsidRPr="00052166">
        <w:rPr>
          <w:rFonts w:ascii="Arial" w:cs="Arial" w:hAnsi="Arial"/>
          <w:lang w:eastAsia="en-IN"/>
        </w:rPr>
        <w:t xml:space="preserve">, </w:t>
      </w:r>
      <w:r w:rsidRPr="00052166">
        <w:rPr>
          <w:rFonts w:ascii="Arial" w:cs="Arial" w:hAnsi="Arial"/>
          <w:i/>
          <w:iCs/>
          <w:lang w:eastAsia="en-IN"/>
        </w:rPr>
        <w:t>510</w:t>
      </w:r>
      <w:r w:rsidRPr="00052166">
        <w:rPr>
          <w:rFonts w:ascii="Arial" w:cs="Arial" w:hAnsi="Arial"/>
          <w:lang w:eastAsia="en-IN"/>
        </w:rPr>
        <w:t>(7503), 139–142.</w:t>
      </w:r>
    </w:p>
    <w:p w14:paraId="0AB4E871"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Naresh Kumar, S., Govindakrishnan, P. M., </w:t>
      </w:r>
      <w:proofErr w:type="spellStart"/>
      <w:r w:rsidRPr="00052166">
        <w:rPr>
          <w:rFonts w:ascii="Arial" w:cs="Arial" w:hAnsi="Arial"/>
          <w:lang w:eastAsia="en-IN"/>
        </w:rPr>
        <w:t>Swarooparani</w:t>
      </w:r>
      <w:proofErr w:type="spellEnd"/>
      <w:r w:rsidRPr="00052166">
        <w:rPr>
          <w:rFonts w:ascii="Arial" w:cs="Arial" w:hAnsi="Arial"/>
          <w:lang w:eastAsia="en-IN"/>
        </w:rPr>
        <w:t xml:space="preserve">, D. N., Chauhan, N., Jain, S., &amp; Aggarwal, P. K. (2015). Assessment of the impact of climate change on potato and potential adaptation gains in the Indo-Gangetic Plains of India. </w:t>
      </w:r>
      <w:r w:rsidRPr="00052166">
        <w:rPr>
          <w:rFonts w:ascii="Arial" w:cs="Arial" w:hAnsi="Arial"/>
          <w:i/>
          <w:iCs/>
          <w:lang w:eastAsia="en-IN"/>
        </w:rPr>
        <w:t>International Journal of Plant Production</w:t>
      </w:r>
      <w:r w:rsidRPr="00052166">
        <w:rPr>
          <w:rFonts w:ascii="Arial" w:cs="Arial" w:hAnsi="Arial"/>
          <w:lang w:eastAsia="en-IN"/>
        </w:rPr>
        <w:t xml:space="preserve">, </w:t>
      </w:r>
      <w:r w:rsidRPr="00052166">
        <w:rPr>
          <w:rFonts w:ascii="Arial" w:cs="Arial" w:hAnsi="Arial"/>
          <w:i/>
          <w:iCs/>
          <w:lang w:eastAsia="en-IN"/>
        </w:rPr>
        <w:t>9</w:t>
      </w:r>
      <w:r w:rsidRPr="00052166">
        <w:rPr>
          <w:rFonts w:ascii="Arial" w:cs="Arial" w:hAnsi="Arial"/>
          <w:lang w:eastAsia="en-IN"/>
        </w:rPr>
        <w:t>(1), 151–170.</w:t>
      </w:r>
    </w:p>
    <w:p w14:paraId="5945EBA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Naresh Kumar, S., Aggarwal, P. K., Kumar, U., Jain, S., </w:t>
      </w:r>
      <w:proofErr w:type="spellStart"/>
      <w:r w:rsidRPr="00052166">
        <w:rPr>
          <w:rFonts w:ascii="Arial" w:cs="Arial" w:hAnsi="Arial"/>
          <w:lang w:eastAsia="en-IN"/>
        </w:rPr>
        <w:t>Swarooparani</w:t>
      </w:r>
      <w:proofErr w:type="spellEnd"/>
      <w:r w:rsidRPr="00052166">
        <w:rPr>
          <w:rFonts w:ascii="Arial" w:cs="Arial" w:hAnsi="Arial"/>
          <w:lang w:eastAsia="en-IN"/>
        </w:rPr>
        <w:t xml:space="preserve">, D. N., Chauhan, N., &amp; Saxena, R. (2014b). Vulnerability of Indian mustard (Brassica juncea (L.) </w:t>
      </w:r>
      <w:proofErr w:type="spellStart"/>
      <w:r w:rsidRPr="00052166">
        <w:rPr>
          <w:rFonts w:ascii="Arial" w:cs="Arial" w:hAnsi="Arial"/>
          <w:lang w:eastAsia="en-IN"/>
        </w:rPr>
        <w:t>Czernj</w:t>
      </w:r>
      <w:proofErr w:type="spellEnd"/>
      <w:r w:rsidRPr="00052166">
        <w:rPr>
          <w:rFonts w:ascii="Arial" w:cs="Arial" w:hAnsi="Arial"/>
          <w:lang w:eastAsia="en-IN"/>
        </w:rPr>
        <w:t xml:space="preserve">. </w:t>
      </w:r>
      <w:r w:rsidRPr="00052166">
        <w:rPr>
          <w:rFonts w:ascii="Arial" w:cs="Arial" w:hAnsi="Arial"/>
          <w:lang w:eastAsia="en-IN"/>
        </w:rPr>
        <w:lastRenderedPageBreak/>
        <w:t xml:space="preserve">Cosson) to climate variability and future adaptation strategies. </w:t>
      </w:r>
      <w:r w:rsidRPr="00052166">
        <w:rPr>
          <w:rFonts w:ascii="Arial" w:cs="Arial" w:hAnsi="Arial"/>
          <w:i/>
          <w:iCs/>
          <w:lang w:eastAsia="en-IN"/>
        </w:rPr>
        <w:t>Mitigation and Adaptation Strategies to Global Change</w:t>
      </w:r>
      <w:r w:rsidRPr="00052166">
        <w:rPr>
          <w:rFonts w:ascii="Arial" w:cs="Arial" w:hAnsi="Arial"/>
          <w:lang w:eastAsia="en-IN"/>
        </w:rPr>
        <w:t>. https://doi.org/10.1007/s11027-014-9606-Z</w:t>
      </w:r>
    </w:p>
    <w:p w14:paraId="6A6E2CC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Norby, R. J., &amp; Luo, Y. (2004). Evaluating ecosystem responses to rising atmospheric CO2 and global warming in a multi</w:t>
      </w:r>
      <w:r w:rsidRPr="00052166">
        <w:rPr>
          <w:rFonts w:ascii="Cambria Math" w:cs="Cambria Math" w:hAnsi="Cambria Math"/>
          <w:lang w:eastAsia="en-IN"/>
        </w:rPr>
        <w:t>‐</w:t>
      </w:r>
      <w:r w:rsidRPr="00052166">
        <w:rPr>
          <w:rFonts w:ascii="Arial" w:cs="Arial" w:hAnsi="Arial"/>
          <w:lang w:eastAsia="en-IN"/>
        </w:rPr>
        <w:t xml:space="preserve">factor world. </w:t>
      </w:r>
      <w:r w:rsidRPr="00052166">
        <w:rPr>
          <w:rFonts w:ascii="Arial" w:cs="Arial" w:hAnsi="Arial"/>
          <w:i/>
          <w:iCs/>
          <w:lang w:eastAsia="en-IN"/>
        </w:rPr>
        <w:t>New Phytologist</w:t>
      </w:r>
      <w:r w:rsidRPr="00052166">
        <w:rPr>
          <w:rFonts w:ascii="Arial" w:cs="Arial" w:hAnsi="Arial"/>
          <w:lang w:eastAsia="en-IN"/>
        </w:rPr>
        <w:t xml:space="preserve">, </w:t>
      </w:r>
      <w:r w:rsidRPr="00052166">
        <w:rPr>
          <w:rFonts w:ascii="Arial" w:cs="Arial" w:hAnsi="Arial"/>
          <w:i/>
          <w:iCs/>
          <w:lang w:eastAsia="en-IN"/>
        </w:rPr>
        <w:t>162</w:t>
      </w:r>
      <w:r w:rsidRPr="00052166">
        <w:rPr>
          <w:rFonts w:ascii="Arial" w:cs="Arial" w:hAnsi="Arial"/>
          <w:lang w:eastAsia="en-IN"/>
        </w:rPr>
        <w:t>(2), 281–293.</w:t>
      </w:r>
    </w:p>
    <w:p w14:paraId="1FB8903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Okubo, T., Liu, D., Tsurumaru, H., Ikeda, S., Asakawa, S., </w:t>
      </w:r>
      <w:proofErr w:type="spellStart"/>
      <w:r w:rsidRPr="00052166">
        <w:rPr>
          <w:rFonts w:ascii="Arial" w:cs="Arial" w:hAnsi="Arial"/>
          <w:lang w:eastAsia="en-IN"/>
        </w:rPr>
        <w:t>Tokida</w:t>
      </w:r>
      <w:proofErr w:type="spellEnd"/>
      <w:r w:rsidRPr="00052166">
        <w:rPr>
          <w:rFonts w:ascii="Arial" w:cs="Arial" w:hAnsi="Arial"/>
          <w:lang w:eastAsia="en-IN"/>
        </w:rPr>
        <w:t xml:space="preserve">, T., Tago, K., </w:t>
      </w:r>
      <w:proofErr w:type="spellStart"/>
      <w:r w:rsidRPr="00052166">
        <w:rPr>
          <w:rFonts w:ascii="Arial" w:cs="Arial" w:hAnsi="Arial"/>
          <w:lang w:eastAsia="en-IN"/>
        </w:rPr>
        <w:t>Hayatsu</w:t>
      </w:r>
      <w:proofErr w:type="spellEnd"/>
      <w:r w:rsidRPr="00052166">
        <w:rPr>
          <w:rFonts w:ascii="Arial" w:cs="Arial" w:hAnsi="Arial"/>
          <w:lang w:eastAsia="en-IN"/>
        </w:rPr>
        <w:t xml:space="preserve">, M., Aoki, N., Ishimaru, K., Ujiie, K., Usui, Y., Nakamura, H., Sakai, H., Hayashi, K., Hasegawa, T., &amp; </w:t>
      </w:r>
      <w:proofErr w:type="spellStart"/>
      <w:r w:rsidRPr="00052166">
        <w:rPr>
          <w:rFonts w:ascii="Arial" w:cs="Arial" w:hAnsi="Arial"/>
          <w:lang w:eastAsia="en-IN"/>
        </w:rPr>
        <w:t>Minamisawa</w:t>
      </w:r>
      <w:proofErr w:type="spellEnd"/>
      <w:r w:rsidRPr="00052166">
        <w:rPr>
          <w:rFonts w:ascii="Arial" w:cs="Arial" w:hAnsi="Arial"/>
          <w:lang w:eastAsia="en-IN"/>
        </w:rPr>
        <w:t xml:space="preserve">, K. (2015). Elevated atmospheric CO2 levels affect the community structure of rice root-associated bacteria. </w:t>
      </w:r>
      <w:r w:rsidRPr="00052166">
        <w:rPr>
          <w:rFonts w:ascii="Arial" w:cs="Arial" w:hAnsi="Arial"/>
          <w:i/>
          <w:iCs/>
          <w:lang w:eastAsia="en-IN"/>
        </w:rPr>
        <w:t>Frontiers in Microbiology</w:t>
      </w:r>
      <w:r w:rsidRPr="00052166">
        <w:rPr>
          <w:rFonts w:ascii="Arial" w:cs="Arial" w:hAnsi="Arial"/>
          <w:lang w:eastAsia="en-IN"/>
        </w:rPr>
        <w:t xml:space="preserve">, </w:t>
      </w:r>
      <w:r w:rsidRPr="00052166">
        <w:rPr>
          <w:rFonts w:ascii="Arial" w:cs="Arial" w:hAnsi="Arial"/>
          <w:i/>
          <w:iCs/>
          <w:lang w:eastAsia="en-IN"/>
        </w:rPr>
        <w:t>6</w:t>
      </w:r>
      <w:r w:rsidRPr="00052166">
        <w:rPr>
          <w:rFonts w:ascii="Arial" w:cs="Arial" w:hAnsi="Arial"/>
          <w:lang w:eastAsia="en-IN"/>
        </w:rPr>
        <w:t>, 136.</w:t>
      </w:r>
    </w:p>
    <w:p w14:paraId="0681FB48"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Pal, M. R., Jagadish, S. V. K., </w:t>
      </w:r>
      <w:proofErr w:type="spellStart"/>
      <w:r w:rsidRPr="00052166">
        <w:rPr>
          <w:rFonts w:ascii="Arial" w:cs="Arial" w:hAnsi="Arial"/>
          <w:lang w:eastAsia="en-IN"/>
        </w:rPr>
        <w:t>Craufurd</w:t>
      </w:r>
      <w:proofErr w:type="spellEnd"/>
      <w:r w:rsidRPr="00052166">
        <w:rPr>
          <w:rFonts w:ascii="Arial" w:cs="Arial" w:hAnsi="Arial"/>
          <w:lang w:eastAsia="en-IN"/>
        </w:rPr>
        <w:t xml:space="preserve">, P. Q., Fitzgerald, M., Lafarge, T., &amp; Wheeler, T. R. (2012). Effect of elevated CO2 and high temperature on seed-set and grain quality of rice. </w:t>
      </w:r>
      <w:r w:rsidRPr="00052166">
        <w:rPr>
          <w:rFonts w:ascii="Arial" w:cs="Arial" w:hAnsi="Arial"/>
          <w:i/>
          <w:iCs/>
          <w:lang w:eastAsia="en-IN"/>
        </w:rPr>
        <w:t>Journal of Experimental Botany</w:t>
      </w:r>
      <w:r w:rsidRPr="00052166">
        <w:rPr>
          <w:rFonts w:ascii="Arial" w:cs="Arial" w:hAnsi="Arial"/>
          <w:lang w:eastAsia="en-IN"/>
        </w:rPr>
        <w:t xml:space="preserve">, </w:t>
      </w:r>
      <w:r w:rsidRPr="00052166">
        <w:rPr>
          <w:rFonts w:ascii="Arial" w:cs="Arial" w:hAnsi="Arial"/>
          <w:i/>
          <w:iCs/>
          <w:lang w:eastAsia="en-IN"/>
        </w:rPr>
        <w:t>63</w:t>
      </w:r>
      <w:r w:rsidRPr="00052166">
        <w:rPr>
          <w:rFonts w:ascii="Arial" w:cs="Arial" w:hAnsi="Arial"/>
          <w:lang w:eastAsia="en-IN"/>
        </w:rPr>
        <w:t>(10), 3843–3852.</w:t>
      </w:r>
    </w:p>
    <w:p w14:paraId="4391B673"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Pal, M., Rao, L. S., Srivastava, A. C., Jain, V., &amp; Sengupta, U. K. (2003). Impact of CO2 enrichment and variable nitrogen supplies on composition and partitioning of essential nutrients of wheat. </w:t>
      </w:r>
      <w:proofErr w:type="spellStart"/>
      <w:r w:rsidRPr="00052166">
        <w:rPr>
          <w:rFonts w:ascii="Arial" w:cs="Arial" w:hAnsi="Arial"/>
          <w:i/>
          <w:iCs/>
          <w:lang w:eastAsia="en-IN"/>
        </w:rPr>
        <w:t>Biologia</w:t>
      </w:r>
      <w:proofErr w:type="spellEnd"/>
      <w:r w:rsidRPr="00052166">
        <w:rPr>
          <w:rFonts w:ascii="Arial" w:cs="Arial" w:hAnsi="Arial"/>
          <w:i/>
          <w:iCs/>
          <w:lang w:eastAsia="en-IN"/>
        </w:rPr>
        <w:t xml:space="preserve"> Plantarum</w:t>
      </w:r>
      <w:r w:rsidRPr="00052166">
        <w:rPr>
          <w:rFonts w:ascii="Arial" w:cs="Arial" w:hAnsi="Arial"/>
          <w:lang w:eastAsia="en-IN"/>
        </w:rPr>
        <w:t xml:space="preserve">, </w:t>
      </w:r>
      <w:r w:rsidRPr="00052166">
        <w:rPr>
          <w:rFonts w:ascii="Arial" w:cs="Arial" w:hAnsi="Arial"/>
          <w:i/>
          <w:iCs/>
          <w:lang w:eastAsia="en-IN"/>
        </w:rPr>
        <w:t>47</w:t>
      </w:r>
      <w:r w:rsidRPr="00052166">
        <w:rPr>
          <w:rFonts w:ascii="Arial" w:cs="Arial" w:hAnsi="Arial"/>
          <w:lang w:eastAsia="en-IN"/>
        </w:rPr>
        <w:t>(2), 227–231.</w:t>
      </w:r>
    </w:p>
    <w:p w14:paraId="4811239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Prasad, P. V. V., Pisipati, S. R., </w:t>
      </w:r>
      <w:proofErr w:type="spellStart"/>
      <w:r w:rsidRPr="00052166">
        <w:rPr>
          <w:rFonts w:ascii="Arial" w:cs="Arial" w:hAnsi="Arial"/>
          <w:lang w:eastAsia="en-IN"/>
        </w:rPr>
        <w:t>Momčilović</w:t>
      </w:r>
      <w:proofErr w:type="spellEnd"/>
      <w:r w:rsidRPr="00052166">
        <w:rPr>
          <w:rFonts w:ascii="Arial" w:cs="Arial" w:hAnsi="Arial"/>
          <w:lang w:eastAsia="en-IN"/>
        </w:rPr>
        <w:t>, I., &amp; Ristic, Z. (2011). Independent and combined effects of high temperature and drought stress during grain filling on plant yield and chloroplast EF</w:t>
      </w:r>
      <w:r w:rsidRPr="00052166">
        <w:rPr>
          <w:rFonts w:ascii="Cambria Math" w:cs="Cambria Math" w:hAnsi="Cambria Math"/>
          <w:lang w:eastAsia="en-IN"/>
        </w:rPr>
        <w:t>‐</w:t>
      </w:r>
      <w:r w:rsidRPr="00052166">
        <w:rPr>
          <w:rFonts w:ascii="Arial" w:cs="Arial" w:hAnsi="Arial"/>
          <w:lang w:eastAsia="en-IN"/>
        </w:rPr>
        <w:t xml:space="preserve">Tu expression in spring wheat. </w:t>
      </w:r>
      <w:r w:rsidRPr="00052166">
        <w:rPr>
          <w:rFonts w:ascii="Arial" w:cs="Arial" w:hAnsi="Arial"/>
          <w:i/>
          <w:iCs/>
          <w:lang w:eastAsia="en-IN"/>
        </w:rPr>
        <w:t>Journal of Agronomy and Crop Science</w:t>
      </w:r>
      <w:r w:rsidRPr="00052166">
        <w:rPr>
          <w:rFonts w:ascii="Arial" w:cs="Arial" w:hAnsi="Arial"/>
          <w:lang w:eastAsia="en-IN"/>
        </w:rPr>
        <w:t xml:space="preserve">, </w:t>
      </w:r>
      <w:r w:rsidRPr="00052166">
        <w:rPr>
          <w:rFonts w:ascii="Arial" w:cs="Arial" w:hAnsi="Arial"/>
          <w:i/>
          <w:iCs/>
          <w:lang w:eastAsia="en-IN"/>
        </w:rPr>
        <w:t>197</w:t>
      </w:r>
      <w:r w:rsidRPr="00052166">
        <w:rPr>
          <w:rFonts w:ascii="Arial" w:cs="Arial" w:hAnsi="Arial"/>
          <w:lang w:eastAsia="en-IN"/>
        </w:rPr>
        <w:t>(6), 430–441.</w:t>
      </w:r>
    </w:p>
    <w:p w14:paraId="548EE1BF"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Prior, S. A., Runion, G. B., Marble, S. C., Rogers, H. H., Gilliam, C. H., &amp; Torbett, H. A. (2011). A review of elevated atmospheric CO2 effects on plant growth and water relations: Implications for horticulture. </w:t>
      </w:r>
      <w:proofErr w:type="spellStart"/>
      <w:r w:rsidRPr="00052166">
        <w:rPr>
          <w:rFonts w:ascii="Arial" w:cs="Arial" w:hAnsi="Arial"/>
          <w:i/>
          <w:iCs/>
          <w:lang w:eastAsia="en-IN"/>
        </w:rPr>
        <w:t>HortScience</w:t>
      </w:r>
      <w:proofErr w:type="spellEnd"/>
      <w:r w:rsidRPr="00052166">
        <w:rPr>
          <w:rFonts w:ascii="Arial" w:cs="Arial" w:hAnsi="Arial"/>
          <w:lang w:eastAsia="en-IN"/>
        </w:rPr>
        <w:t xml:space="preserve">, </w:t>
      </w:r>
      <w:r w:rsidRPr="00052166">
        <w:rPr>
          <w:rFonts w:ascii="Arial" w:cs="Arial" w:hAnsi="Arial"/>
          <w:i/>
          <w:iCs/>
          <w:lang w:eastAsia="en-IN"/>
        </w:rPr>
        <w:t>46</w:t>
      </w:r>
      <w:r w:rsidRPr="00052166">
        <w:rPr>
          <w:rFonts w:ascii="Arial" w:cs="Arial" w:hAnsi="Arial"/>
          <w:lang w:eastAsia="en-IN"/>
        </w:rPr>
        <w:t>(2), 158–162.</w:t>
      </w:r>
    </w:p>
    <w:p w14:paraId="0877355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Qian, H., Huang, S., Chen, J., Wang, L., Hungate, B. A., van Kessel, C., Zhang, J., Deng, A., Jiang, Y., van </w:t>
      </w:r>
      <w:proofErr w:type="spellStart"/>
      <w:r w:rsidRPr="00052166">
        <w:rPr>
          <w:rFonts w:ascii="Arial" w:cs="Arial" w:hAnsi="Arial"/>
          <w:lang w:eastAsia="en-IN"/>
        </w:rPr>
        <w:t>Groenigen</w:t>
      </w:r>
      <w:proofErr w:type="spellEnd"/>
      <w:r w:rsidRPr="00052166">
        <w:rPr>
          <w:rFonts w:ascii="Arial" w:cs="Arial" w:hAnsi="Arial"/>
          <w:lang w:eastAsia="en-IN"/>
        </w:rPr>
        <w:t xml:space="preserve">, K. J., &amp; Zhang, W. (2020). Lower-than-expected CH4 emissions from rice paddies with rising CO2 concentrations. </w:t>
      </w:r>
      <w:r w:rsidRPr="00052166">
        <w:rPr>
          <w:rFonts w:ascii="Arial" w:cs="Arial" w:hAnsi="Arial"/>
          <w:i/>
          <w:iCs/>
          <w:lang w:eastAsia="en-IN"/>
        </w:rPr>
        <w:t>Global Change Biology</w:t>
      </w:r>
      <w:r w:rsidRPr="00052166">
        <w:rPr>
          <w:rFonts w:ascii="Arial" w:cs="Arial" w:hAnsi="Arial"/>
          <w:lang w:eastAsia="en-IN"/>
        </w:rPr>
        <w:t xml:space="preserve">, </w:t>
      </w:r>
      <w:r w:rsidRPr="00052166">
        <w:rPr>
          <w:rFonts w:ascii="Arial" w:cs="Arial" w:hAnsi="Arial"/>
          <w:i/>
          <w:iCs/>
          <w:lang w:eastAsia="en-IN"/>
        </w:rPr>
        <w:t>26</w:t>
      </w:r>
      <w:r w:rsidRPr="00052166">
        <w:rPr>
          <w:rFonts w:ascii="Arial" w:cs="Arial" w:hAnsi="Arial"/>
          <w:lang w:eastAsia="en-IN"/>
        </w:rPr>
        <w:t>(4), 2368–2376.</w:t>
      </w:r>
    </w:p>
    <w:p w14:paraId="6045A24B"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Raj, A., Chakrabarti, B., Pathak, H., Singh, S. D., Mina, U., &amp; </w:t>
      </w:r>
      <w:proofErr w:type="spellStart"/>
      <w:r w:rsidRPr="00052166">
        <w:rPr>
          <w:rFonts w:ascii="Arial" w:cs="Arial" w:hAnsi="Arial"/>
          <w:lang w:eastAsia="en-IN"/>
        </w:rPr>
        <w:t>Purakayastha</w:t>
      </w:r>
      <w:proofErr w:type="spellEnd"/>
      <w:r w:rsidRPr="00052166">
        <w:rPr>
          <w:rFonts w:ascii="Arial" w:cs="Arial" w:hAnsi="Arial"/>
          <w:lang w:eastAsia="en-IN"/>
        </w:rPr>
        <w:t xml:space="preserve">, T. J. (2019). Growth, yield, and nitrogen uptake in rice crop grown under elevated carbon dioxide and different doses of nitrogen fertilizer. </w:t>
      </w:r>
      <w:r w:rsidRPr="00052166">
        <w:rPr>
          <w:rFonts w:ascii="Arial" w:cs="Arial" w:hAnsi="Arial"/>
          <w:i/>
          <w:iCs/>
          <w:lang w:eastAsia="en-IN"/>
        </w:rPr>
        <w:t>Indian Journal of Experimental Biology</w:t>
      </w:r>
      <w:r w:rsidRPr="00052166">
        <w:rPr>
          <w:rFonts w:ascii="Arial" w:cs="Arial" w:hAnsi="Arial"/>
          <w:lang w:eastAsia="en-IN"/>
        </w:rPr>
        <w:t xml:space="preserve">, </w:t>
      </w:r>
      <w:r w:rsidRPr="00052166">
        <w:rPr>
          <w:rFonts w:ascii="Arial" w:cs="Arial" w:hAnsi="Arial"/>
          <w:i/>
          <w:iCs/>
          <w:lang w:eastAsia="en-IN"/>
        </w:rPr>
        <w:t>57</w:t>
      </w:r>
      <w:r w:rsidRPr="00052166">
        <w:rPr>
          <w:rFonts w:ascii="Arial" w:cs="Arial" w:hAnsi="Arial"/>
          <w:lang w:eastAsia="en-IN"/>
        </w:rPr>
        <w:t>, 181–187.</w:t>
      </w:r>
    </w:p>
    <w:p w14:paraId="6A6FFBB9"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Ruser, R., </w:t>
      </w:r>
      <w:proofErr w:type="spellStart"/>
      <w:r w:rsidRPr="00052166">
        <w:rPr>
          <w:rFonts w:ascii="Arial" w:cs="Arial" w:hAnsi="Arial"/>
          <w:lang w:eastAsia="en-IN"/>
        </w:rPr>
        <w:t>Flessa</w:t>
      </w:r>
      <w:proofErr w:type="spellEnd"/>
      <w:r w:rsidRPr="00052166">
        <w:rPr>
          <w:rFonts w:ascii="Arial" w:cs="Arial" w:hAnsi="Arial"/>
          <w:lang w:eastAsia="en-IN"/>
        </w:rPr>
        <w:t xml:space="preserve">, H., Russow, R., Schmidt, G., </w:t>
      </w:r>
      <w:proofErr w:type="spellStart"/>
      <w:r w:rsidRPr="00052166">
        <w:rPr>
          <w:rFonts w:ascii="Arial" w:cs="Arial" w:hAnsi="Arial"/>
          <w:lang w:eastAsia="en-IN"/>
        </w:rPr>
        <w:t>Buegger</w:t>
      </w:r>
      <w:proofErr w:type="spellEnd"/>
      <w:r w:rsidRPr="00052166">
        <w:rPr>
          <w:rFonts w:ascii="Arial" w:cs="Arial" w:hAnsi="Arial"/>
          <w:lang w:eastAsia="en-IN"/>
        </w:rPr>
        <w:t xml:space="preserve">, F., &amp; Munch, J. C. (2006). Emission of N2O, N2, and CO2 from soil fertilized with nitrate: Effect of compaction, soil moisture, and rewetting. </w:t>
      </w:r>
      <w:r w:rsidRPr="00052166">
        <w:rPr>
          <w:rFonts w:ascii="Arial" w:cs="Arial" w:hAnsi="Arial"/>
          <w:i/>
          <w:iCs/>
          <w:lang w:eastAsia="en-IN"/>
        </w:rPr>
        <w:t>Soil Biology and Biochemistry</w:t>
      </w:r>
      <w:r w:rsidRPr="00052166">
        <w:rPr>
          <w:rFonts w:ascii="Arial" w:cs="Arial" w:hAnsi="Arial"/>
          <w:lang w:eastAsia="en-IN"/>
        </w:rPr>
        <w:t xml:space="preserve">, </w:t>
      </w:r>
      <w:r w:rsidRPr="00052166">
        <w:rPr>
          <w:rFonts w:ascii="Arial" w:cs="Arial" w:hAnsi="Arial"/>
          <w:i/>
          <w:iCs/>
          <w:lang w:eastAsia="en-IN"/>
        </w:rPr>
        <w:t>38</w:t>
      </w:r>
      <w:r w:rsidRPr="00052166">
        <w:rPr>
          <w:rFonts w:ascii="Arial" w:cs="Arial" w:hAnsi="Arial"/>
          <w:lang w:eastAsia="en-IN"/>
        </w:rPr>
        <w:t>(2), 263–274.</w:t>
      </w:r>
    </w:p>
    <w:p w14:paraId="6518D84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Saha, R., Islam, M. M., Walia, H., &amp; Sandhu, J. (2017, October). Effect of heat stress on rice seed development: Discovering global regulatory players and modeling of rice metabolism. In the </w:t>
      </w:r>
      <w:r w:rsidRPr="00052166">
        <w:rPr>
          <w:rFonts w:ascii="Arial" w:cs="Arial" w:hAnsi="Arial"/>
          <w:i/>
          <w:iCs/>
          <w:lang w:eastAsia="en-IN"/>
        </w:rPr>
        <w:t>2017 AIChE Annual Meeting</w:t>
      </w:r>
      <w:r w:rsidRPr="00052166">
        <w:rPr>
          <w:rFonts w:ascii="Arial" w:cs="Arial" w:hAnsi="Arial"/>
          <w:lang w:eastAsia="en-IN"/>
        </w:rPr>
        <w:t>. AIChE.</w:t>
      </w:r>
    </w:p>
    <w:p w14:paraId="052ED1A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Sanyal, S., Chakrabarti, B., Prasanna, R., Bhatia, A., Kumar, S. N., </w:t>
      </w:r>
      <w:proofErr w:type="spellStart"/>
      <w:r w:rsidRPr="00052166">
        <w:rPr>
          <w:rFonts w:ascii="Arial" w:cs="Arial" w:hAnsi="Arial"/>
          <w:lang w:eastAsia="en-IN"/>
        </w:rPr>
        <w:t>Purakayastha</w:t>
      </w:r>
      <w:proofErr w:type="spellEnd"/>
      <w:r w:rsidRPr="00052166">
        <w:rPr>
          <w:rFonts w:ascii="Arial" w:cs="Arial" w:hAnsi="Arial"/>
          <w:lang w:eastAsia="en-IN"/>
        </w:rPr>
        <w:t xml:space="preserve">, T. J., Joshi, R., &amp; Sharma, A. (2022). Influence of cyanobacterial inoculants, elevated carbon dioxide, and temperature on plant and soil nitrogen in soybean. </w:t>
      </w:r>
      <w:r w:rsidRPr="00052166">
        <w:rPr>
          <w:rFonts w:ascii="Arial" w:cs="Arial" w:hAnsi="Arial"/>
          <w:i/>
          <w:iCs/>
          <w:lang w:eastAsia="en-IN"/>
        </w:rPr>
        <w:t>Journal of Basic Microbiology</w:t>
      </w:r>
      <w:r w:rsidRPr="00052166">
        <w:rPr>
          <w:rFonts w:ascii="Arial" w:cs="Arial" w:hAnsi="Arial"/>
          <w:lang w:eastAsia="en-IN"/>
        </w:rPr>
        <w:t xml:space="preserve">, </w:t>
      </w:r>
      <w:r w:rsidRPr="00052166">
        <w:rPr>
          <w:rFonts w:ascii="Arial" w:cs="Arial" w:hAnsi="Arial"/>
          <w:i/>
          <w:iCs/>
          <w:lang w:eastAsia="en-IN"/>
        </w:rPr>
        <w:t>62</w:t>
      </w:r>
      <w:r w:rsidRPr="00052166">
        <w:rPr>
          <w:rFonts w:ascii="Arial" w:cs="Arial" w:hAnsi="Arial"/>
          <w:lang w:eastAsia="en-IN"/>
        </w:rPr>
        <w:t>(10), 1216–1228.</w:t>
      </w:r>
    </w:p>
    <w:p w14:paraId="702C9DD2"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lastRenderedPageBreak/>
        <w:t>Seneweera</w:t>
      </w:r>
      <w:proofErr w:type="spellEnd"/>
      <w:r w:rsidRPr="00052166">
        <w:rPr>
          <w:rFonts w:ascii="Arial" w:cs="Arial" w:hAnsi="Arial"/>
          <w:lang w:eastAsia="en-IN"/>
        </w:rPr>
        <w:t xml:space="preserve">, S. P., &amp; Conroy, J. P. (2005). Enhanced leaf elongation rates of wheat at elevated CO2: Is it related to carbon and nitrogen dynamics within the growing leaf blade? </w:t>
      </w:r>
      <w:r w:rsidRPr="00052166">
        <w:rPr>
          <w:rFonts w:ascii="Arial" w:cs="Arial" w:hAnsi="Arial"/>
          <w:i/>
          <w:iCs/>
          <w:lang w:eastAsia="en-IN"/>
        </w:rPr>
        <w:t>Environmental and Experimental Botany</w:t>
      </w:r>
      <w:r w:rsidRPr="00052166">
        <w:rPr>
          <w:rFonts w:ascii="Arial" w:cs="Arial" w:hAnsi="Arial"/>
          <w:lang w:eastAsia="en-IN"/>
        </w:rPr>
        <w:t xml:space="preserve">, </w:t>
      </w:r>
      <w:r w:rsidRPr="00052166">
        <w:rPr>
          <w:rFonts w:ascii="Arial" w:cs="Arial" w:hAnsi="Arial"/>
          <w:i/>
          <w:iCs/>
          <w:lang w:eastAsia="en-IN"/>
        </w:rPr>
        <w:t>54</w:t>
      </w:r>
      <w:r w:rsidRPr="00052166">
        <w:rPr>
          <w:rFonts w:ascii="Arial" w:cs="Arial" w:hAnsi="Arial"/>
          <w:lang w:eastAsia="en-IN"/>
        </w:rPr>
        <w:t>(2), 174–181.</w:t>
      </w:r>
    </w:p>
    <w:p w14:paraId="7AAF720E"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Shi, Y., Jiao, Z., Huang, G., Chen, X., Hou, A., &amp; Wang, Y. (2006). Water management influences methane and nitrous oxide emissions from rice fields in relation to soil redox and microbial community. </w:t>
      </w:r>
      <w:r w:rsidRPr="00052166">
        <w:rPr>
          <w:rFonts w:ascii="Arial" w:cs="Arial" w:hAnsi="Arial"/>
          <w:i/>
          <w:iCs/>
          <w:lang w:eastAsia="en-IN"/>
        </w:rPr>
        <w:t>Communications in Soil Science and Plant Analysis</w:t>
      </w:r>
      <w:r w:rsidRPr="00052166">
        <w:rPr>
          <w:rFonts w:ascii="Arial" w:cs="Arial" w:hAnsi="Arial"/>
          <w:lang w:eastAsia="en-IN"/>
        </w:rPr>
        <w:t xml:space="preserve">, </w:t>
      </w:r>
      <w:r w:rsidRPr="00052166">
        <w:rPr>
          <w:rFonts w:ascii="Arial" w:cs="Arial" w:hAnsi="Arial"/>
          <w:i/>
          <w:iCs/>
          <w:lang w:eastAsia="en-IN"/>
        </w:rPr>
        <w:t>37</w:t>
      </w:r>
      <w:r w:rsidRPr="00052166">
        <w:rPr>
          <w:rFonts w:ascii="Arial" w:cs="Arial" w:hAnsi="Arial"/>
          <w:lang w:eastAsia="en-IN"/>
        </w:rPr>
        <w:t>, 1889–1903.</w:t>
      </w:r>
    </w:p>
    <w:p w14:paraId="37B76B2A"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Swain, D. K., &amp; Yadav, A. (2009). Simulating the impact of climate change on rice yield using the CERES-rice model. </w:t>
      </w:r>
      <w:r w:rsidRPr="00052166">
        <w:rPr>
          <w:rFonts w:ascii="Arial" w:cs="Arial" w:hAnsi="Arial"/>
          <w:i/>
          <w:iCs/>
          <w:lang w:eastAsia="en-IN"/>
        </w:rPr>
        <w:t>Journal of Environmental Information</w:t>
      </w:r>
      <w:r w:rsidRPr="00052166">
        <w:rPr>
          <w:rFonts w:ascii="Arial" w:cs="Arial" w:hAnsi="Arial"/>
          <w:lang w:eastAsia="en-IN"/>
        </w:rPr>
        <w:t xml:space="preserve">, </w:t>
      </w:r>
      <w:r w:rsidRPr="00052166">
        <w:rPr>
          <w:rFonts w:ascii="Arial" w:cs="Arial" w:hAnsi="Arial"/>
          <w:i/>
          <w:iCs/>
          <w:lang w:eastAsia="en-IN"/>
        </w:rPr>
        <w:t>13</w:t>
      </w:r>
      <w:r w:rsidRPr="00052166">
        <w:rPr>
          <w:rFonts w:ascii="Arial" w:cs="Arial" w:hAnsi="Arial"/>
          <w:lang w:eastAsia="en-IN"/>
        </w:rPr>
        <w:t>(2), 104–110.</w:t>
      </w:r>
    </w:p>
    <w:p w14:paraId="1296E947"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Taylor, S. H., Aspinwall, M. J., Blackman, C. J., Choat, B., Tissue, D. T., &amp; Ghannoum, O. (2018). CO2 availability influences the hydraulic function of C3 and C4 grass leaves. </w:t>
      </w:r>
      <w:r w:rsidRPr="00052166">
        <w:rPr>
          <w:rFonts w:ascii="Arial" w:cs="Arial" w:hAnsi="Arial"/>
          <w:i/>
          <w:iCs/>
          <w:lang w:eastAsia="en-IN"/>
        </w:rPr>
        <w:t>Journal of Experimental Botany</w:t>
      </w:r>
      <w:r w:rsidRPr="00052166">
        <w:rPr>
          <w:rFonts w:ascii="Arial" w:cs="Arial" w:hAnsi="Arial"/>
          <w:lang w:eastAsia="en-IN"/>
        </w:rPr>
        <w:t xml:space="preserve">, </w:t>
      </w:r>
      <w:r w:rsidRPr="00052166">
        <w:rPr>
          <w:rFonts w:ascii="Arial" w:cs="Arial" w:hAnsi="Arial"/>
          <w:i/>
          <w:iCs/>
          <w:lang w:eastAsia="en-IN"/>
        </w:rPr>
        <w:t>69</w:t>
      </w:r>
      <w:r w:rsidRPr="00052166">
        <w:rPr>
          <w:rFonts w:ascii="Arial" w:cs="Arial" w:hAnsi="Arial"/>
          <w:lang w:eastAsia="en-IN"/>
        </w:rPr>
        <w:t>(10), 2731–2741.</w:t>
      </w:r>
    </w:p>
    <w:p w14:paraId="427FF30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United States Environmental Protection Agency [US-EPA]. (2006). </w:t>
      </w:r>
      <w:r w:rsidRPr="00052166">
        <w:rPr>
          <w:rFonts w:ascii="Arial" w:cs="Arial" w:hAnsi="Arial"/>
          <w:i/>
          <w:iCs/>
          <w:lang w:eastAsia="en-IN"/>
        </w:rPr>
        <w:t>Global anthropogenic non-CO2 greenhouse gas emissions: 1990–2020</w:t>
      </w:r>
      <w:r w:rsidRPr="00052166">
        <w:rPr>
          <w:rFonts w:ascii="Arial" w:cs="Arial" w:hAnsi="Arial"/>
          <w:lang w:eastAsia="en-IN"/>
        </w:rPr>
        <w:t xml:space="preserve"> (EPA 430-R-06-003). Washington, DC, United States.</w:t>
      </w:r>
    </w:p>
    <w:p w14:paraId="419C24A5" w14:textId="77777777" w:rsidP="005C25A7" w:rsidR="005C25A7" w:rsidRDefault="005C25A7" w:rsidRPr="00052166">
      <w:pPr>
        <w:spacing w:after="100" w:afterAutospacing="1" w:before="100" w:beforeAutospacing="1"/>
        <w:ind w:left="360"/>
        <w:jc w:val="both"/>
        <w:rPr>
          <w:rFonts w:ascii="Arial" w:cs="Arial" w:hAnsi="Arial"/>
          <w:lang w:eastAsia="en-IN"/>
        </w:rPr>
      </w:pPr>
      <w:proofErr w:type="spellStart"/>
      <w:r w:rsidRPr="00052166">
        <w:rPr>
          <w:rFonts w:ascii="Arial" w:cs="Arial" w:hAnsi="Arial"/>
          <w:lang w:eastAsia="en-IN"/>
        </w:rPr>
        <w:t>Ussiri</w:t>
      </w:r>
      <w:proofErr w:type="spellEnd"/>
      <w:r w:rsidRPr="00052166">
        <w:rPr>
          <w:rFonts w:ascii="Arial" w:cs="Arial" w:hAnsi="Arial"/>
          <w:lang w:eastAsia="en-IN"/>
        </w:rPr>
        <w:t xml:space="preserve">, D. A. N., &amp; Lal, R. (2009). Long-term tillage effects on soil carbon storage and carbon dioxide emissions in continuous corn cropping systems from an </w:t>
      </w:r>
      <w:proofErr w:type="spellStart"/>
      <w:r w:rsidRPr="00052166">
        <w:rPr>
          <w:rFonts w:ascii="Arial" w:cs="Arial" w:hAnsi="Arial"/>
          <w:lang w:eastAsia="en-IN"/>
        </w:rPr>
        <w:t>Alfisol</w:t>
      </w:r>
      <w:proofErr w:type="spellEnd"/>
      <w:r w:rsidRPr="00052166">
        <w:rPr>
          <w:rFonts w:ascii="Arial" w:cs="Arial" w:hAnsi="Arial"/>
          <w:lang w:eastAsia="en-IN"/>
        </w:rPr>
        <w:t xml:space="preserve"> in Ohio. </w:t>
      </w:r>
      <w:r w:rsidRPr="00052166">
        <w:rPr>
          <w:rFonts w:ascii="Arial" w:cs="Arial" w:hAnsi="Arial"/>
          <w:i/>
          <w:iCs/>
          <w:lang w:eastAsia="en-IN"/>
        </w:rPr>
        <w:t>Soil and Tillage Research</w:t>
      </w:r>
      <w:r w:rsidRPr="00052166">
        <w:rPr>
          <w:rFonts w:ascii="Arial" w:cs="Arial" w:hAnsi="Arial"/>
          <w:lang w:eastAsia="en-IN"/>
        </w:rPr>
        <w:t xml:space="preserve">, </w:t>
      </w:r>
      <w:r w:rsidRPr="00052166">
        <w:rPr>
          <w:rFonts w:ascii="Arial" w:cs="Arial" w:hAnsi="Arial"/>
          <w:i/>
          <w:iCs/>
          <w:lang w:eastAsia="en-IN"/>
        </w:rPr>
        <w:t>104</w:t>
      </w:r>
      <w:r w:rsidRPr="00052166">
        <w:rPr>
          <w:rFonts w:ascii="Arial" w:cs="Arial" w:hAnsi="Arial"/>
          <w:lang w:eastAsia="en-IN"/>
        </w:rPr>
        <w:t>, 39–47.</w:t>
      </w:r>
    </w:p>
    <w:p w14:paraId="1E36AF8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Uusitalo, L., Lehikoinen, A., Helle, I., &amp; </w:t>
      </w:r>
      <w:proofErr w:type="spellStart"/>
      <w:r w:rsidRPr="00052166">
        <w:rPr>
          <w:rFonts w:ascii="Arial" w:cs="Arial" w:hAnsi="Arial"/>
          <w:lang w:eastAsia="en-IN"/>
        </w:rPr>
        <w:t>Myrberg</w:t>
      </w:r>
      <w:proofErr w:type="spellEnd"/>
      <w:r w:rsidRPr="00052166">
        <w:rPr>
          <w:rFonts w:ascii="Arial" w:cs="Arial" w:hAnsi="Arial"/>
          <w:lang w:eastAsia="en-IN"/>
        </w:rPr>
        <w:t xml:space="preserve">, K. (2015). An overview of methods to evaluate the uncertainty of deterministic models in decision support. </w:t>
      </w:r>
      <w:r w:rsidRPr="00052166">
        <w:rPr>
          <w:rFonts w:ascii="Arial" w:cs="Arial" w:hAnsi="Arial"/>
          <w:i/>
          <w:iCs/>
          <w:lang w:eastAsia="en-IN"/>
        </w:rPr>
        <w:t>Environmental Modelling &amp; Software</w:t>
      </w:r>
      <w:r w:rsidRPr="00052166">
        <w:rPr>
          <w:rFonts w:ascii="Arial" w:cs="Arial" w:hAnsi="Arial"/>
          <w:lang w:eastAsia="en-IN"/>
        </w:rPr>
        <w:t xml:space="preserve">, </w:t>
      </w:r>
      <w:r w:rsidRPr="00052166">
        <w:rPr>
          <w:rFonts w:ascii="Arial" w:cs="Arial" w:hAnsi="Arial"/>
          <w:i/>
          <w:iCs/>
          <w:lang w:eastAsia="en-IN"/>
        </w:rPr>
        <w:t>63</w:t>
      </w:r>
      <w:r w:rsidRPr="00052166">
        <w:rPr>
          <w:rFonts w:ascii="Arial" w:cs="Arial" w:hAnsi="Arial"/>
          <w:lang w:eastAsia="en-IN"/>
        </w:rPr>
        <w:t>, 24–31.</w:t>
      </w:r>
    </w:p>
    <w:p w14:paraId="32F78802"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Vagen, I. M., Moe, R., &amp; </w:t>
      </w:r>
      <w:proofErr w:type="spellStart"/>
      <w:r w:rsidRPr="00052166">
        <w:rPr>
          <w:rFonts w:ascii="Arial" w:cs="Arial" w:hAnsi="Arial"/>
          <w:lang w:eastAsia="en-IN"/>
        </w:rPr>
        <w:t>Ronglan</w:t>
      </w:r>
      <w:proofErr w:type="spellEnd"/>
      <w:r w:rsidRPr="00052166">
        <w:rPr>
          <w:rFonts w:ascii="Arial" w:cs="Arial" w:hAnsi="Arial"/>
          <w:lang w:eastAsia="en-IN"/>
        </w:rPr>
        <w:t xml:space="preserve">, E. (2003). Diurnal temperature alternations (DIF/drop) affect chlorophyll content and chlorophyll a/chlorophyll b ratio in Melissa officinalis L. and </w:t>
      </w:r>
      <w:proofErr w:type="spellStart"/>
      <w:r w:rsidRPr="00052166">
        <w:rPr>
          <w:rFonts w:ascii="Arial" w:cs="Arial" w:hAnsi="Arial"/>
          <w:lang w:eastAsia="en-IN"/>
        </w:rPr>
        <w:t>Ocimum</w:t>
      </w:r>
      <w:proofErr w:type="spellEnd"/>
      <w:r w:rsidRPr="00052166">
        <w:rPr>
          <w:rFonts w:ascii="Arial" w:cs="Arial" w:hAnsi="Arial"/>
          <w:lang w:eastAsia="en-IN"/>
        </w:rPr>
        <w:t xml:space="preserve"> </w:t>
      </w:r>
      <w:proofErr w:type="spellStart"/>
      <w:r w:rsidRPr="00052166">
        <w:rPr>
          <w:rFonts w:ascii="Arial" w:cs="Arial" w:hAnsi="Arial"/>
          <w:lang w:eastAsia="en-IN"/>
        </w:rPr>
        <w:t>basilicum</w:t>
      </w:r>
      <w:proofErr w:type="spellEnd"/>
      <w:r w:rsidRPr="00052166">
        <w:rPr>
          <w:rFonts w:ascii="Arial" w:cs="Arial" w:hAnsi="Arial"/>
          <w:lang w:eastAsia="en-IN"/>
        </w:rPr>
        <w:t xml:space="preserve"> L., but not in Viola × </w:t>
      </w:r>
      <w:proofErr w:type="spellStart"/>
      <w:r w:rsidRPr="00052166">
        <w:rPr>
          <w:rFonts w:ascii="Arial" w:cs="Arial" w:hAnsi="Arial"/>
          <w:lang w:eastAsia="en-IN"/>
        </w:rPr>
        <w:t>wittrockiana</w:t>
      </w:r>
      <w:proofErr w:type="spellEnd"/>
      <w:r w:rsidRPr="00052166">
        <w:rPr>
          <w:rFonts w:ascii="Arial" w:cs="Arial" w:hAnsi="Arial"/>
          <w:lang w:eastAsia="en-IN"/>
        </w:rPr>
        <w:t xml:space="preserve"> Gams. </w:t>
      </w:r>
      <w:r w:rsidRPr="00052166">
        <w:rPr>
          <w:rFonts w:ascii="Arial" w:cs="Arial" w:hAnsi="Arial"/>
          <w:i/>
          <w:iCs/>
          <w:lang w:eastAsia="en-IN"/>
        </w:rPr>
        <w:t xml:space="preserve">Scientia </w:t>
      </w:r>
      <w:proofErr w:type="spellStart"/>
      <w:r w:rsidRPr="00052166">
        <w:rPr>
          <w:rFonts w:ascii="Arial" w:cs="Arial" w:hAnsi="Arial"/>
          <w:i/>
          <w:iCs/>
          <w:lang w:eastAsia="en-IN"/>
        </w:rPr>
        <w:t>Horticulturae</w:t>
      </w:r>
      <w:proofErr w:type="spellEnd"/>
      <w:r w:rsidRPr="00052166">
        <w:rPr>
          <w:rFonts w:ascii="Arial" w:cs="Arial" w:hAnsi="Arial"/>
          <w:lang w:eastAsia="en-IN"/>
        </w:rPr>
        <w:t xml:space="preserve">, </w:t>
      </w:r>
      <w:r w:rsidRPr="00052166">
        <w:rPr>
          <w:rFonts w:ascii="Arial" w:cs="Arial" w:hAnsi="Arial"/>
          <w:i/>
          <w:iCs/>
          <w:lang w:eastAsia="en-IN"/>
        </w:rPr>
        <w:t>97</w:t>
      </w:r>
      <w:r w:rsidRPr="00052166">
        <w:rPr>
          <w:rFonts w:ascii="Arial" w:cs="Arial" w:hAnsi="Arial"/>
          <w:lang w:eastAsia="en-IN"/>
        </w:rPr>
        <w:t>(2), 153–162.</w:t>
      </w:r>
    </w:p>
    <w:p w14:paraId="5D298BA4"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Verge, X. P. C., De Kimpe, C., &amp; Desjardins, R. L. (2007). Agricultural production, greenhouse gas emissions, and mitigation potential. </w:t>
      </w:r>
      <w:r w:rsidRPr="00052166">
        <w:rPr>
          <w:rFonts w:ascii="Arial" w:cs="Arial" w:hAnsi="Arial"/>
          <w:i/>
          <w:iCs/>
          <w:lang w:eastAsia="en-IN"/>
        </w:rPr>
        <w:t>Agricultural and Forest Meteorology</w:t>
      </w:r>
      <w:r w:rsidRPr="00052166">
        <w:rPr>
          <w:rFonts w:ascii="Arial" w:cs="Arial" w:hAnsi="Arial"/>
          <w:lang w:eastAsia="en-IN"/>
        </w:rPr>
        <w:t xml:space="preserve">, </w:t>
      </w:r>
      <w:r w:rsidRPr="00052166">
        <w:rPr>
          <w:rFonts w:ascii="Arial" w:cs="Arial" w:hAnsi="Arial"/>
          <w:i/>
          <w:iCs/>
          <w:lang w:eastAsia="en-IN"/>
        </w:rPr>
        <w:t>142</w:t>
      </w:r>
      <w:r w:rsidRPr="00052166">
        <w:rPr>
          <w:rFonts w:ascii="Arial" w:cs="Arial" w:hAnsi="Arial"/>
          <w:lang w:eastAsia="en-IN"/>
        </w:rPr>
        <w:t>, 255–269.</w:t>
      </w:r>
    </w:p>
    <w:p w14:paraId="1DDF076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Vu, J. C. V. (2005). Acclimation of peanut (Arachis hypogaea L.) leaf photosynthesis to elevated growth CO2 and temperature. </w:t>
      </w:r>
      <w:r w:rsidRPr="00052166">
        <w:rPr>
          <w:rFonts w:ascii="Arial" w:cs="Arial" w:hAnsi="Arial"/>
          <w:i/>
          <w:iCs/>
          <w:lang w:eastAsia="en-IN"/>
        </w:rPr>
        <w:t>Environmental and Experimental Botany</w:t>
      </w:r>
      <w:r w:rsidRPr="00052166">
        <w:rPr>
          <w:rFonts w:ascii="Arial" w:cs="Arial" w:hAnsi="Arial"/>
          <w:lang w:eastAsia="en-IN"/>
        </w:rPr>
        <w:t xml:space="preserve">, </w:t>
      </w:r>
      <w:r w:rsidRPr="00052166">
        <w:rPr>
          <w:rFonts w:ascii="Arial" w:cs="Arial" w:hAnsi="Arial"/>
          <w:i/>
          <w:iCs/>
          <w:lang w:eastAsia="en-IN"/>
        </w:rPr>
        <w:t>53</w:t>
      </w:r>
      <w:r w:rsidRPr="00052166">
        <w:rPr>
          <w:rFonts w:ascii="Arial" w:cs="Arial" w:hAnsi="Arial"/>
          <w:lang w:eastAsia="en-IN"/>
        </w:rPr>
        <w:t>, 85–95.</w:t>
      </w:r>
    </w:p>
    <w:p w14:paraId="102B67FD"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Wahid, A., </w:t>
      </w:r>
      <w:proofErr w:type="spellStart"/>
      <w:r w:rsidRPr="00052166">
        <w:rPr>
          <w:rFonts w:ascii="Arial" w:cs="Arial" w:hAnsi="Arial"/>
          <w:lang w:eastAsia="en-IN"/>
        </w:rPr>
        <w:t>Gelani</w:t>
      </w:r>
      <w:proofErr w:type="spellEnd"/>
      <w:r w:rsidRPr="00052166">
        <w:rPr>
          <w:rFonts w:ascii="Arial" w:cs="Arial" w:hAnsi="Arial"/>
          <w:lang w:eastAsia="en-IN"/>
        </w:rPr>
        <w:t xml:space="preserve">, S., Ashraf, M., &amp; </w:t>
      </w:r>
      <w:proofErr w:type="spellStart"/>
      <w:r w:rsidRPr="00052166">
        <w:rPr>
          <w:rFonts w:ascii="Arial" w:cs="Arial" w:hAnsi="Arial"/>
          <w:lang w:eastAsia="en-IN"/>
        </w:rPr>
        <w:t>Foolad</w:t>
      </w:r>
      <w:proofErr w:type="spellEnd"/>
      <w:r w:rsidRPr="00052166">
        <w:rPr>
          <w:rFonts w:ascii="Arial" w:cs="Arial" w:hAnsi="Arial"/>
          <w:lang w:eastAsia="en-IN"/>
        </w:rPr>
        <w:t xml:space="preserve">, M. R. (2007). Heat tolerance in plants: An overview. </w:t>
      </w:r>
      <w:r w:rsidRPr="00052166">
        <w:rPr>
          <w:rFonts w:ascii="Arial" w:cs="Arial" w:hAnsi="Arial"/>
          <w:i/>
          <w:iCs/>
          <w:lang w:eastAsia="en-IN"/>
        </w:rPr>
        <w:t>Environmental and Experimental Botany</w:t>
      </w:r>
      <w:r w:rsidRPr="00052166">
        <w:rPr>
          <w:rFonts w:ascii="Arial" w:cs="Arial" w:hAnsi="Arial"/>
          <w:lang w:eastAsia="en-IN"/>
        </w:rPr>
        <w:t xml:space="preserve">, </w:t>
      </w:r>
      <w:r w:rsidRPr="00052166">
        <w:rPr>
          <w:rFonts w:ascii="Arial" w:cs="Arial" w:hAnsi="Arial"/>
          <w:i/>
          <w:iCs/>
          <w:lang w:eastAsia="en-IN"/>
        </w:rPr>
        <w:t>61</w:t>
      </w:r>
      <w:r w:rsidRPr="00052166">
        <w:rPr>
          <w:rFonts w:ascii="Arial" w:cs="Arial" w:hAnsi="Arial"/>
          <w:lang w:eastAsia="en-IN"/>
        </w:rPr>
        <w:t>(3), 199–223.</w:t>
      </w:r>
    </w:p>
    <w:p w14:paraId="6C411486"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Wrage, N., </w:t>
      </w:r>
      <w:proofErr w:type="spellStart"/>
      <w:r w:rsidRPr="00052166">
        <w:rPr>
          <w:rFonts w:ascii="Arial" w:cs="Arial" w:hAnsi="Arial"/>
          <w:lang w:eastAsia="en-IN"/>
        </w:rPr>
        <w:t>Velthof</w:t>
      </w:r>
      <w:proofErr w:type="spellEnd"/>
      <w:r w:rsidRPr="00052166">
        <w:rPr>
          <w:rFonts w:ascii="Arial" w:cs="Arial" w:hAnsi="Arial"/>
          <w:lang w:eastAsia="en-IN"/>
        </w:rPr>
        <w:t xml:space="preserve">, G. L., van </w:t>
      </w:r>
      <w:proofErr w:type="spellStart"/>
      <w:r w:rsidRPr="00052166">
        <w:rPr>
          <w:rFonts w:ascii="Arial" w:cs="Arial" w:hAnsi="Arial"/>
          <w:lang w:eastAsia="en-IN"/>
        </w:rPr>
        <w:t>Beusichem</w:t>
      </w:r>
      <w:proofErr w:type="spellEnd"/>
      <w:r w:rsidRPr="00052166">
        <w:rPr>
          <w:rFonts w:ascii="Arial" w:cs="Arial" w:hAnsi="Arial"/>
          <w:lang w:eastAsia="en-IN"/>
        </w:rPr>
        <w:t xml:space="preserve">, M. L., &amp; </w:t>
      </w:r>
      <w:proofErr w:type="spellStart"/>
      <w:r w:rsidRPr="00052166">
        <w:rPr>
          <w:rFonts w:ascii="Arial" w:cs="Arial" w:hAnsi="Arial"/>
          <w:lang w:eastAsia="en-IN"/>
        </w:rPr>
        <w:t>Oenema</w:t>
      </w:r>
      <w:proofErr w:type="spellEnd"/>
      <w:r w:rsidRPr="00052166">
        <w:rPr>
          <w:rFonts w:ascii="Arial" w:cs="Arial" w:hAnsi="Arial"/>
          <w:lang w:eastAsia="en-IN"/>
        </w:rPr>
        <w:t xml:space="preserve">, O. (2001). Role of nitrifier denitrification in the production of nitrous oxide. </w:t>
      </w:r>
      <w:r w:rsidRPr="00052166">
        <w:rPr>
          <w:rFonts w:ascii="Arial" w:cs="Arial" w:hAnsi="Arial"/>
          <w:i/>
          <w:iCs/>
          <w:lang w:eastAsia="en-IN"/>
        </w:rPr>
        <w:t>Soil Biology and Biochemistry</w:t>
      </w:r>
      <w:r w:rsidRPr="00052166">
        <w:rPr>
          <w:rFonts w:ascii="Arial" w:cs="Arial" w:hAnsi="Arial"/>
          <w:lang w:eastAsia="en-IN"/>
        </w:rPr>
        <w:t xml:space="preserve">, </w:t>
      </w:r>
      <w:r w:rsidRPr="00052166">
        <w:rPr>
          <w:rFonts w:ascii="Arial" w:cs="Arial" w:hAnsi="Arial"/>
          <w:i/>
          <w:iCs/>
          <w:lang w:eastAsia="en-IN"/>
        </w:rPr>
        <w:t>33</w:t>
      </w:r>
      <w:r w:rsidRPr="00052166">
        <w:rPr>
          <w:rFonts w:ascii="Arial" w:cs="Arial" w:hAnsi="Arial"/>
          <w:lang w:eastAsia="en-IN"/>
        </w:rPr>
        <w:t>, 1723–1732.</w:t>
      </w:r>
    </w:p>
    <w:p w14:paraId="17BD3AB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Wu, Y., Wang, H., Xu, N., Li, J., Xing, J., &amp; Zou, H. (2021). Effects of 10 years of elevated atmospheric CO2 on soil bacterial community structure in </w:t>
      </w:r>
      <w:proofErr w:type="spellStart"/>
      <w:r w:rsidRPr="00052166">
        <w:rPr>
          <w:rFonts w:ascii="Arial" w:cs="Arial" w:hAnsi="Arial"/>
          <w:lang w:eastAsia="en-IN"/>
        </w:rPr>
        <w:t>Sanjiang</w:t>
      </w:r>
      <w:proofErr w:type="spellEnd"/>
      <w:r w:rsidRPr="00052166">
        <w:rPr>
          <w:rFonts w:ascii="Arial" w:cs="Arial" w:hAnsi="Arial"/>
          <w:lang w:eastAsia="en-IN"/>
        </w:rPr>
        <w:t xml:space="preserve"> Plain, Northeastern China. </w:t>
      </w:r>
      <w:r w:rsidRPr="00052166">
        <w:rPr>
          <w:rFonts w:ascii="Arial" w:cs="Arial" w:hAnsi="Arial"/>
          <w:i/>
          <w:iCs/>
          <w:lang w:eastAsia="en-IN"/>
        </w:rPr>
        <w:t>Plant and Soil</w:t>
      </w:r>
      <w:r w:rsidRPr="00052166">
        <w:rPr>
          <w:rFonts w:ascii="Arial" w:cs="Arial" w:hAnsi="Arial"/>
          <w:lang w:eastAsia="en-IN"/>
        </w:rPr>
        <w:t>, 1–15.</w:t>
      </w:r>
    </w:p>
    <w:p w14:paraId="51813BE4"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lastRenderedPageBreak/>
        <w:t xml:space="preserve">Xie, B., Zhou, Z., Mei, B., Zheng, X., Dong, H., Wang, R., Han, S., Cui, F., Wang, Y., &amp; Zhu, J. (2012). Influences of free-air CO2 enrichment (FACE), nitrogen fertilizer, and crop residue incorporation on CH4 emissions from irrigated rice fields. </w:t>
      </w:r>
      <w:r w:rsidRPr="00052166">
        <w:rPr>
          <w:rFonts w:ascii="Arial" w:cs="Arial" w:hAnsi="Arial"/>
          <w:i/>
          <w:iCs/>
          <w:lang w:eastAsia="en-IN"/>
        </w:rPr>
        <w:t>Nutrient Cycling in Agroecosystems</w:t>
      </w:r>
      <w:r w:rsidRPr="00052166">
        <w:rPr>
          <w:rFonts w:ascii="Arial" w:cs="Arial" w:hAnsi="Arial"/>
          <w:lang w:eastAsia="en-IN"/>
        </w:rPr>
        <w:t xml:space="preserve">, </w:t>
      </w:r>
      <w:r w:rsidRPr="00052166">
        <w:rPr>
          <w:rFonts w:ascii="Arial" w:cs="Arial" w:hAnsi="Arial"/>
          <w:i/>
          <w:iCs/>
          <w:lang w:eastAsia="en-IN"/>
        </w:rPr>
        <w:t>93</w:t>
      </w:r>
      <w:r w:rsidRPr="00052166">
        <w:rPr>
          <w:rFonts w:ascii="Arial" w:cs="Arial" w:hAnsi="Arial"/>
          <w:lang w:eastAsia="en-IN"/>
        </w:rPr>
        <w:t>, 373–385.</w:t>
      </w:r>
    </w:p>
    <w:p w14:paraId="65E37E61"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Yadav, R. L. (2003). Assessing on-farm efficiency and economics of fertilizer N, P, and K in rice wheat systems of India. </w:t>
      </w:r>
      <w:r w:rsidRPr="00052166">
        <w:rPr>
          <w:rFonts w:ascii="Arial" w:cs="Arial" w:hAnsi="Arial"/>
          <w:i/>
          <w:iCs/>
          <w:lang w:eastAsia="en-IN"/>
        </w:rPr>
        <w:t>Field Crops Research</w:t>
      </w:r>
      <w:r w:rsidRPr="00052166">
        <w:rPr>
          <w:rFonts w:ascii="Arial" w:cs="Arial" w:hAnsi="Arial"/>
          <w:lang w:eastAsia="en-IN"/>
        </w:rPr>
        <w:t xml:space="preserve">, </w:t>
      </w:r>
      <w:r w:rsidRPr="00052166">
        <w:rPr>
          <w:rFonts w:ascii="Arial" w:cs="Arial" w:hAnsi="Arial"/>
          <w:i/>
          <w:iCs/>
          <w:lang w:eastAsia="en-IN"/>
        </w:rPr>
        <w:t>81</w:t>
      </w:r>
      <w:r w:rsidRPr="00052166">
        <w:rPr>
          <w:rFonts w:ascii="Arial" w:cs="Arial" w:hAnsi="Arial"/>
          <w:lang w:eastAsia="en-IN"/>
        </w:rPr>
        <w:t>(1), 39–51.</w:t>
      </w:r>
    </w:p>
    <w:p w14:paraId="6374464C"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Yadvinder-Singh, Bijay-Singh, &amp; Timsina, J. (2005). Crop residue management for nutrient cycling and improving soil productivity in rice-based cropping systems in the tropics. </w:t>
      </w:r>
      <w:r w:rsidRPr="00052166">
        <w:rPr>
          <w:rFonts w:ascii="Arial" w:cs="Arial" w:hAnsi="Arial"/>
          <w:i/>
          <w:iCs/>
          <w:lang w:eastAsia="en-IN"/>
        </w:rPr>
        <w:t>Advances in Agronomy</w:t>
      </w:r>
      <w:r w:rsidRPr="00052166">
        <w:rPr>
          <w:rFonts w:ascii="Arial" w:cs="Arial" w:hAnsi="Arial"/>
          <w:lang w:eastAsia="en-IN"/>
        </w:rPr>
        <w:t xml:space="preserve">, </w:t>
      </w:r>
      <w:r w:rsidRPr="00052166">
        <w:rPr>
          <w:rFonts w:ascii="Arial" w:cs="Arial" w:hAnsi="Arial"/>
          <w:i/>
          <w:iCs/>
          <w:lang w:eastAsia="en-IN"/>
        </w:rPr>
        <w:t>85</w:t>
      </w:r>
      <w:r w:rsidRPr="00052166">
        <w:rPr>
          <w:rFonts w:ascii="Arial" w:cs="Arial" w:hAnsi="Arial"/>
          <w:lang w:eastAsia="en-IN"/>
        </w:rPr>
        <w:t>, 269–407.</w:t>
      </w:r>
    </w:p>
    <w:p w14:paraId="7EB9C37F"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You, L., </w:t>
      </w:r>
      <w:proofErr w:type="spellStart"/>
      <w:r w:rsidRPr="00052166">
        <w:rPr>
          <w:rFonts w:ascii="Arial" w:cs="Arial" w:hAnsi="Arial"/>
          <w:lang w:eastAsia="en-IN"/>
        </w:rPr>
        <w:t>Rosegrant</w:t>
      </w:r>
      <w:proofErr w:type="spellEnd"/>
      <w:r w:rsidRPr="00052166">
        <w:rPr>
          <w:rFonts w:ascii="Arial" w:cs="Arial" w:hAnsi="Arial"/>
          <w:lang w:eastAsia="en-IN"/>
        </w:rPr>
        <w:t xml:space="preserve">, M. W., Wood, S., &amp; Sun, D. (2009). Impact of growing season temperature on wheat productivity in China. </w:t>
      </w:r>
      <w:r w:rsidRPr="00052166">
        <w:rPr>
          <w:rFonts w:ascii="Arial" w:cs="Arial" w:hAnsi="Arial"/>
          <w:i/>
          <w:iCs/>
          <w:lang w:eastAsia="en-IN"/>
        </w:rPr>
        <w:t>Agricultural and Forest Meteorology</w:t>
      </w:r>
      <w:r w:rsidRPr="00052166">
        <w:rPr>
          <w:rFonts w:ascii="Arial" w:cs="Arial" w:hAnsi="Arial"/>
          <w:lang w:eastAsia="en-IN"/>
        </w:rPr>
        <w:t xml:space="preserve">, </w:t>
      </w:r>
      <w:r w:rsidRPr="00052166">
        <w:rPr>
          <w:rFonts w:ascii="Arial" w:cs="Arial" w:hAnsi="Arial"/>
          <w:i/>
          <w:iCs/>
          <w:lang w:eastAsia="en-IN"/>
        </w:rPr>
        <w:t>149</w:t>
      </w:r>
      <w:r w:rsidRPr="00052166">
        <w:rPr>
          <w:rFonts w:ascii="Arial" w:cs="Arial" w:hAnsi="Arial"/>
          <w:lang w:eastAsia="en-IN"/>
        </w:rPr>
        <w:t>, 1009–1014.</w:t>
      </w:r>
    </w:p>
    <w:p w14:paraId="378DE2F0"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Yue, J., Shi, Y., Liang, W., Wu, J., Wang, C., &amp; Huang, G. (2005). Methane and nitrous oxide emissions from rice fields and related microorganisms in black soil, northeastern China. </w:t>
      </w:r>
      <w:r w:rsidRPr="00052166">
        <w:rPr>
          <w:rFonts w:ascii="Arial" w:cs="Arial" w:hAnsi="Arial"/>
          <w:i/>
          <w:iCs/>
          <w:lang w:eastAsia="en-IN"/>
        </w:rPr>
        <w:t>Nutrient Cycling in Agroecosystems</w:t>
      </w:r>
      <w:r w:rsidRPr="00052166">
        <w:rPr>
          <w:rFonts w:ascii="Arial" w:cs="Arial" w:hAnsi="Arial"/>
          <w:lang w:eastAsia="en-IN"/>
        </w:rPr>
        <w:t xml:space="preserve">, </w:t>
      </w:r>
      <w:r w:rsidRPr="00052166">
        <w:rPr>
          <w:rFonts w:ascii="Arial" w:cs="Arial" w:hAnsi="Arial"/>
          <w:i/>
          <w:iCs/>
          <w:lang w:eastAsia="en-IN"/>
        </w:rPr>
        <w:t>73</w:t>
      </w:r>
      <w:r w:rsidRPr="00052166">
        <w:rPr>
          <w:rFonts w:ascii="Arial" w:cs="Arial" w:hAnsi="Arial"/>
          <w:lang w:eastAsia="en-IN"/>
        </w:rPr>
        <w:t>, 293–301.</w:t>
      </w:r>
    </w:p>
    <w:p w14:paraId="5947D825"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Zacharias, M., Singh, S. D., Naresh Kumar, S., Harit, R. C., &amp; Aggarwal, P. K. (2010). Impact of elevated temperature at different phenological stages on the growth and yield of wheat and rice. </w:t>
      </w:r>
      <w:r w:rsidRPr="00052166">
        <w:rPr>
          <w:rFonts w:ascii="Arial" w:cs="Arial" w:hAnsi="Arial"/>
          <w:i/>
          <w:iCs/>
          <w:lang w:eastAsia="en-IN"/>
        </w:rPr>
        <w:t>Indian Journal of Plant Physiology</w:t>
      </w:r>
      <w:r w:rsidRPr="00052166">
        <w:rPr>
          <w:rFonts w:ascii="Arial" w:cs="Arial" w:hAnsi="Arial"/>
          <w:lang w:eastAsia="en-IN"/>
        </w:rPr>
        <w:t xml:space="preserve">, </w:t>
      </w:r>
      <w:r w:rsidRPr="00052166">
        <w:rPr>
          <w:rFonts w:ascii="Arial" w:cs="Arial" w:hAnsi="Arial"/>
          <w:i/>
          <w:iCs/>
          <w:lang w:eastAsia="en-IN"/>
        </w:rPr>
        <w:t>15</w:t>
      </w:r>
      <w:r w:rsidRPr="00052166">
        <w:rPr>
          <w:rFonts w:ascii="Arial" w:cs="Arial" w:hAnsi="Arial"/>
          <w:lang w:eastAsia="en-IN"/>
        </w:rPr>
        <w:t>(4), 350–358.</w:t>
      </w:r>
    </w:p>
    <w:p w14:paraId="343BDDCE" w14:textId="77777777" w:rsidP="005C25A7" w:rsidR="005C25A7" w:rsidRDefault="005C25A7" w:rsidRPr="00052166">
      <w:pPr>
        <w:spacing w:after="100" w:afterAutospacing="1" w:before="100" w:beforeAutospacing="1"/>
        <w:ind w:left="360"/>
        <w:jc w:val="both"/>
        <w:rPr>
          <w:rFonts w:ascii="Arial" w:cs="Arial" w:hAnsi="Arial"/>
          <w:lang w:eastAsia="en-IN"/>
        </w:rPr>
      </w:pPr>
      <w:r w:rsidRPr="00052166">
        <w:rPr>
          <w:rFonts w:ascii="Arial" w:cs="Arial" w:hAnsi="Arial"/>
          <w:lang w:eastAsia="en-IN"/>
        </w:rPr>
        <w:t xml:space="preserve">Zheng, X., Zhou, Z., Wang, Y., Zhu, J., Yue, J., Shi, Y., Kobayashi, K., </w:t>
      </w:r>
      <w:proofErr w:type="spellStart"/>
      <w:r w:rsidRPr="00052166">
        <w:rPr>
          <w:rFonts w:ascii="Arial" w:cs="Arial" w:hAnsi="Arial"/>
          <w:lang w:eastAsia="en-IN"/>
        </w:rPr>
        <w:t>Inubushi</w:t>
      </w:r>
      <w:proofErr w:type="spellEnd"/>
      <w:r w:rsidRPr="00052166">
        <w:rPr>
          <w:rFonts w:ascii="Arial" w:cs="Arial" w:hAnsi="Arial"/>
          <w:lang w:eastAsia="en-IN"/>
        </w:rPr>
        <w:t xml:space="preserve">, K., &amp; Huang, Y. (2006). Nitrogen-regulated effects of free-air CO2 enrichment on methane emissions from paddy rice fields. </w:t>
      </w:r>
      <w:r w:rsidRPr="00052166">
        <w:rPr>
          <w:rFonts w:ascii="Arial" w:cs="Arial" w:hAnsi="Arial"/>
          <w:i/>
          <w:iCs/>
          <w:lang w:eastAsia="en-IN"/>
        </w:rPr>
        <w:t>Global Change Biology</w:t>
      </w:r>
      <w:r w:rsidRPr="00052166">
        <w:rPr>
          <w:rFonts w:ascii="Arial" w:cs="Arial" w:hAnsi="Arial"/>
          <w:lang w:eastAsia="en-IN"/>
        </w:rPr>
        <w:t xml:space="preserve">, </w:t>
      </w:r>
      <w:r w:rsidRPr="00052166">
        <w:rPr>
          <w:rFonts w:ascii="Arial" w:cs="Arial" w:hAnsi="Arial"/>
          <w:i/>
          <w:iCs/>
          <w:lang w:eastAsia="en-IN"/>
        </w:rPr>
        <w:t>12</w:t>
      </w:r>
      <w:r w:rsidRPr="00052166">
        <w:rPr>
          <w:rFonts w:ascii="Arial" w:cs="Arial" w:hAnsi="Arial"/>
          <w:lang w:eastAsia="en-IN"/>
        </w:rPr>
        <w:t>, 1717–1732.</w:t>
      </w:r>
    </w:p>
    <w:p w14:paraId="5421C3C7" w14:textId="77777777" w:rsidP="005C25A7" w:rsidR="00B01FCD" w:rsidRDefault="00B01FCD" w:rsidRPr="00FB3A86">
      <w:pPr>
        <w:pStyle w:val="Body"/>
        <w:spacing w:after="0"/>
        <w:rPr>
          <w:rFonts w:ascii="Arial" w:cs="Arial" w:hAnsi="Arial"/>
          <w:b/>
        </w:rPr>
      </w:pPr>
    </w:p>
    <w:sectPr w:rsidR="00B01FCD" w:rsidRPr="00FB3A86" w:rsidSect="00C65BD1">
      <w:headerReference r:id="rId21" w:type="even"/>
      <w:headerReference r:id="rId22" w:type="default"/>
      <w:footerReference r:id="rId23" w:type="default"/>
      <w:headerReference r:id="rId24" w:type="first"/>
      <w:type w:val="continuous"/>
      <w:pgSz w:h="15840" w:w="12240"/>
      <w:pgMar w:bottom="2016" w:footer="1123" w:gutter="0" w:header="720" w:left="2016" w:right="2016" w:top="144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08E1" w14:textId="77777777" w:rsidR="00FE0D2F" w:rsidRDefault="00FE0D2F" w:rsidP="00C37E61">
      <w:r>
        <w:separator/>
      </w:r>
    </w:p>
  </w:endnote>
  <w:endnote w:type="continuationSeparator" w:id="0">
    <w:p w14:paraId="083572C7" w14:textId="77777777" w:rsidR="00FE0D2F" w:rsidRDefault="00FE0D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A6D3" w14:textId="77777777" w:rsidR="00C65BD1" w:rsidRDefault="00C6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E5CF" w14:textId="2F47E341" w:rsidR="00C37E61" w:rsidRPr="002A33C8" w:rsidRDefault="00C37E61" w:rsidP="002A3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D9D8" w14:textId="07870520" w:rsidR="00754C9A" w:rsidRPr="0099046A" w:rsidRDefault="00754C9A" w:rsidP="0099046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A0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FC434" w14:textId="77777777" w:rsidR="00FE0D2F" w:rsidRDefault="00FE0D2F" w:rsidP="00C37E61">
      <w:r>
        <w:separator/>
      </w:r>
    </w:p>
  </w:footnote>
  <w:footnote w:type="continuationSeparator" w:id="0">
    <w:p w14:paraId="2A5BD672" w14:textId="77777777" w:rsidR="00FE0D2F" w:rsidRDefault="00FE0D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20C8" w14:textId="053F4258" w:rsidR="00C65BD1" w:rsidRDefault="00C65BD1">
    <w:pPr>
      <w:pStyle w:val="Header"/>
    </w:pPr>
    <w:r>
      <w:rPr>
        <w:noProof/>
      </w:rPr>
      <w:pict w14:anchorId="4C26B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725E" w14:textId="6036065F" w:rsidR="00C65BD1" w:rsidRDefault="00C65BD1">
    <w:pPr>
      <w:pStyle w:val="Header"/>
    </w:pPr>
    <w:r>
      <w:rPr>
        <w:noProof/>
      </w:rPr>
      <w:pict w14:anchorId="378E1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0668" w14:textId="1B721B85" w:rsidR="00296529" w:rsidRPr="00296529" w:rsidRDefault="00C65BD1" w:rsidP="00296529">
    <w:pPr>
      <w:ind w:left="2160"/>
      <w:jc w:val="center"/>
      <w:rPr>
        <w:rFonts w:ascii="Times New Roman" w:eastAsia="Calibri" w:hAnsi="Times New Roman"/>
        <w:i/>
        <w:sz w:val="18"/>
        <w:szCs w:val="22"/>
      </w:rPr>
    </w:pPr>
    <w:r>
      <w:rPr>
        <w:noProof/>
      </w:rPr>
      <w:pict w14:anchorId="65236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AC8F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1C85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C69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7C82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2D9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914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579B" w14:textId="17ED1137" w:rsidR="00C65BD1" w:rsidRDefault="00C65BD1">
    <w:pPr>
      <w:pStyle w:val="Header"/>
    </w:pPr>
    <w:r>
      <w:rPr>
        <w:noProof/>
      </w:rPr>
      <w:pict w14:anchorId="5F353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B13C" w14:textId="753720AB" w:rsidR="00C65BD1" w:rsidRDefault="00C65BD1">
    <w:pPr>
      <w:pStyle w:val="Header"/>
    </w:pPr>
    <w:r>
      <w:rPr>
        <w:noProof/>
      </w:rPr>
      <w:pict w14:anchorId="34928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AC70" w14:textId="79DE36DD" w:rsidR="00C65BD1" w:rsidRDefault="00C65BD1">
    <w:pPr>
      <w:pStyle w:val="Header"/>
    </w:pPr>
    <w:r>
      <w:rPr>
        <w:noProof/>
      </w:rPr>
      <w:pict w14:anchorId="7F7D0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7B6"/>
    <w:multiLevelType w:val="hybridMultilevel"/>
    <w:tmpl w:val="907ED9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D2E71"/>
    <w:multiLevelType w:val="multilevel"/>
    <w:tmpl w:val="BB3E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D81967"/>
    <w:multiLevelType w:val="multilevel"/>
    <w:tmpl w:val="6E7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8"/>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E5B"/>
    <w:rsid w:val="00030174"/>
    <w:rsid w:val="0004579C"/>
    <w:rsid w:val="00056A1F"/>
    <w:rsid w:val="000A47FA"/>
    <w:rsid w:val="000A65D3"/>
    <w:rsid w:val="000B1E33"/>
    <w:rsid w:val="000D689F"/>
    <w:rsid w:val="000E7B7B"/>
    <w:rsid w:val="000E7D62"/>
    <w:rsid w:val="00103357"/>
    <w:rsid w:val="00123C9F"/>
    <w:rsid w:val="00126190"/>
    <w:rsid w:val="00130F17"/>
    <w:rsid w:val="001320BF"/>
    <w:rsid w:val="00163BC4"/>
    <w:rsid w:val="00163D38"/>
    <w:rsid w:val="001805D0"/>
    <w:rsid w:val="00191062"/>
    <w:rsid w:val="00192B72"/>
    <w:rsid w:val="001A29D8"/>
    <w:rsid w:val="001A5CAA"/>
    <w:rsid w:val="001B0427"/>
    <w:rsid w:val="001D3A51"/>
    <w:rsid w:val="001E10D2"/>
    <w:rsid w:val="001E25B4"/>
    <w:rsid w:val="001E44FE"/>
    <w:rsid w:val="001F5BA7"/>
    <w:rsid w:val="00200595"/>
    <w:rsid w:val="00204835"/>
    <w:rsid w:val="00231920"/>
    <w:rsid w:val="0023195C"/>
    <w:rsid w:val="0024061B"/>
    <w:rsid w:val="0024282C"/>
    <w:rsid w:val="002460DC"/>
    <w:rsid w:val="00250985"/>
    <w:rsid w:val="002556F6"/>
    <w:rsid w:val="00283105"/>
    <w:rsid w:val="00284C4C"/>
    <w:rsid w:val="00287E68"/>
    <w:rsid w:val="00296529"/>
    <w:rsid w:val="002A33C8"/>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3F58"/>
    <w:rsid w:val="0041027F"/>
    <w:rsid w:val="00412475"/>
    <w:rsid w:val="00412F09"/>
    <w:rsid w:val="00423789"/>
    <w:rsid w:val="00440F43"/>
    <w:rsid w:val="00441B6F"/>
    <w:rsid w:val="0044241B"/>
    <w:rsid w:val="00446221"/>
    <w:rsid w:val="00450E62"/>
    <w:rsid w:val="004539DB"/>
    <w:rsid w:val="00471A80"/>
    <w:rsid w:val="00496F54"/>
    <w:rsid w:val="004D305E"/>
    <w:rsid w:val="004D4277"/>
    <w:rsid w:val="00502516"/>
    <w:rsid w:val="00505F06"/>
    <w:rsid w:val="00506828"/>
    <w:rsid w:val="0053056E"/>
    <w:rsid w:val="00551F0B"/>
    <w:rsid w:val="00554FDA"/>
    <w:rsid w:val="005879C7"/>
    <w:rsid w:val="005B0D29"/>
    <w:rsid w:val="005C25A7"/>
    <w:rsid w:val="005C784C"/>
    <w:rsid w:val="005D17F6"/>
    <w:rsid w:val="005E5539"/>
    <w:rsid w:val="00602BF5"/>
    <w:rsid w:val="0060543F"/>
    <w:rsid w:val="00617FDD"/>
    <w:rsid w:val="00633614"/>
    <w:rsid w:val="00633F68"/>
    <w:rsid w:val="00636EB2"/>
    <w:rsid w:val="006375B8"/>
    <w:rsid w:val="00661300"/>
    <w:rsid w:val="0066510A"/>
    <w:rsid w:val="00673F9F"/>
    <w:rsid w:val="00686953"/>
    <w:rsid w:val="00687DEA"/>
    <w:rsid w:val="00687E67"/>
    <w:rsid w:val="006967F7"/>
    <w:rsid w:val="006A250C"/>
    <w:rsid w:val="006B21D3"/>
    <w:rsid w:val="006B57D0"/>
    <w:rsid w:val="006D30FF"/>
    <w:rsid w:val="006D6940"/>
    <w:rsid w:val="006E0DB6"/>
    <w:rsid w:val="006F11EC"/>
    <w:rsid w:val="0070082C"/>
    <w:rsid w:val="00714765"/>
    <w:rsid w:val="00723D81"/>
    <w:rsid w:val="007369E6"/>
    <w:rsid w:val="00746E59"/>
    <w:rsid w:val="00754C9A"/>
    <w:rsid w:val="0075599A"/>
    <w:rsid w:val="00761D52"/>
    <w:rsid w:val="0077749E"/>
    <w:rsid w:val="00786AE9"/>
    <w:rsid w:val="00790ADA"/>
    <w:rsid w:val="007D2288"/>
    <w:rsid w:val="007D2877"/>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247"/>
    <w:rsid w:val="00915CA6"/>
    <w:rsid w:val="00927834"/>
    <w:rsid w:val="00947B17"/>
    <w:rsid w:val="009500A6"/>
    <w:rsid w:val="00957C18"/>
    <w:rsid w:val="009635CF"/>
    <w:rsid w:val="009659BA"/>
    <w:rsid w:val="00983040"/>
    <w:rsid w:val="0099046A"/>
    <w:rsid w:val="009B3FB9"/>
    <w:rsid w:val="009C2465"/>
    <w:rsid w:val="009D35A0"/>
    <w:rsid w:val="009D7EB7"/>
    <w:rsid w:val="009E048A"/>
    <w:rsid w:val="009E08E9"/>
    <w:rsid w:val="009E3DB9"/>
    <w:rsid w:val="009E6E35"/>
    <w:rsid w:val="009F0EDA"/>
    <w:rsid w:val="00A03B96"/>
    <w:rsid w:val="00A05B19"/>
    <w:rsid w:val="00A07F28"/>
    <w:rsid w:val="00A1134E"/>
    <w:rsid w:val="00A23DFB"/>
    <w:rsid w:val="00A24E7E"/>
    <w:rsid w:val="00A258C3"/>
    <w:rsid w:val="00A347C0"/>
    <w:rsid w:val="00A51431"/>
    <w:rsid w:val="00A539AD"/>
    <w:rsid w:val="00A94063"/>
    <w:rsid w:val="00AA6219"/>
    <w:rsid w:val="00AA74E0"/>
    <w:rsid w:val="00AB397C"/>
    <w:rsid w:val="00AB703F"/>
    <w:rsid w:val="00AC6BB8"/>
    <w:rsid w:val="00AE008F"/>
    <w:rsid w:val="00B01FCD"/>
    <w:rsid w:val="00B1776C"/>
    <w:rsid w:val="00B3003A"/>
    <w:rsid w:val="00B52583"/>
    <w:rsid w:val="00B52896"/>
    <w:rsid w:val="00B55EA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BD1"/>
    <w:rsid w:val="00C70F1B"/>
    <w:rsid w:val="00C71A47"/>
    <w:rsid w:val="00C7464C"/>
    <w:rsid w:val="00C85588"/>
    <w:rsid w:val="00CB4711"/>
    <w:rsid w:val="00CC79F6"/>
    <w:rsid w:val="00CD6755"/>
    <w:rsid w:val="00CD6856"/>
    <w:rsid w:val="00CE0089"/>
    <w:rsid w:val="00CE793C"/>
    <w:rsid w:val="00CF193C"/>
    <w:rsid w:val="00CF22DF"/>
    <w:rsid w:val="00D173F1"/>
    <w:rsid w:val="00D66C2A"/>
    <w:rsid w:val="00D74CB0"/>
    <w:rsid w:val="00D8295D"/>
    <w:rsid w:val="00DA628E"/>
    <w:rsid w:val="00DC2A65"/>
    <w:rsid w:val="00DD35E4"/>
    <w:rsid w:val="00DE15F0"/>
    <w:rsid w:val="00DE439E"/>
    <w:rsid w:val="00DE5663"/>
    <w:rsid w:val="00DE78AA"/>
    <w:rsid w:val="00E053D0"/>
    <w:rsid w:val="00E15994"/>
    <w:rsid w:val="00E3114E"/>
    <w:rsid w:val="00E31A70"/>
    <w:rsid w:val="00E35B02"/>
    <w:rsid w:val="00E66496"/>
    <w:rsid w:val="00E66B35"/>
    <w:rsid w:val="00E66E10"/>
    <w:rsid w:val="00E75334"/>
    <w:rsid w:val="00E769F6"/>
    <w:rsid w:val="00E8407C"/>
    <w:rsid w:val="00E84F3C"/>
    <w:rsid w:val="00EA012C"/>
    <w:rsid w:val="00EA2BBB"/>
    <w:rsid w:val="00EC6A55"/>
    <w:rsid w:val="00ED0288"/>
    <w:rsid w:val="00EE52CB"/>
    <w:rsid w:val="00EF581D"/>
    <w:rsid w:val="00EF7FD8"/>
    <w:rsid w:val="00F03F7B"/>
    <w:rsid w:val="00F06F59"/>
    <w:rsid w:val="00F17988"/>
    <w:rsid w:val="00F469F0"/>
    <w:rsid w:val="00F53273"/>
    <w:rsid w:val="00F755E4"/>
    <w:rsid w:val="00F77D02"/>
    <w:rsid w:val="00FB3A86"/>
    <w:rsid w:val="00FD36C8"/>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CB2A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4E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04E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4241B"/>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3Char">
    <w:name w:val="Heading 3 Char"/>
    <w:basedOn w:val="DefaultParagraphFont"/>
    <w:link w:val="Heading3"/>
    <w:semiHidden/>
    <w:rsid w:val="00004E5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04E5B"/>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004E5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04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header1.xml" Type="http://schemas.openxmlformats.org/officeDocument/2006/relationships/header"/><Relationship Id="rId13" Target="footer3.xml" Type="http://schemas.openxmlformats.org/officeDocument/2006/relationships/footer"/><Relationship Id="rId18" Target="media/image5.jpeg" Type="http://schemas.openxmlformats.org/officeDocument/2006/relationships/image"/><Relationship Id="rId26" Target="theme/theme1.xml" Type="http://schemas.openxmlformats.org/officeDocument/2006/relationships/theme"/><Relationship Id="rId3" Target="styles.xml" Type="http://schemas.openxmlformats.org/officeDocument/2006/relationships/styles"/><Relationship Id="rId21" Target="header4.xml" Type="http://schemas.openxmlformats.org/officeDocument/2006/relationships/header"/><Relationship Id="rId7" Target="endnotes.xml" Type="http://schemas.openxmlformats.org/officeDocument/2006/relationships/endnotes"/><Relationship Id="rId12" Target="header3.xml" Type="http://schemas.openxmlformats.org/officeDocument/2006/relationships/header"/><Relationship Id="rId17" Target="media/image4.jpeg" Type="http://schemas.openxmlformats.org/officeDocument/2006/relationships/image"/><Relationship Id="rId25" Target="fontTable.xml" Type="http://schemas.openxmlformats.org/officeDocument/2006/relationships/fontTable"/><Relationship Id="rId2" Target="numbering.xml" Type="http://schemas.openxmlformats.org/officeDocument/2006/relationships/numbering"/><Relationship Id="rId16" Target="media/image3.jpeg" Type="http://schemas.openxmlformats.org/officeDocument/2006/relationships/image"/><Relationship Id="rId20" Target="http://krishikosh.egranth.ac.in/handle/1/5810093319"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1" Target="footer2.xml" Type="http://schemas.openxmlformats.org/officeDocument/2006/relationships/footer"/><Relationship Id="rId24" Target="header6.xml" Type="http://schemas.openxmlformats.org/officeDocument/2006/relationships/header"/><Relationship Id="rId5" Target="webSettings.xml" Type="http://schemas.openxmlformats.org/officeDocument/2006/relationships/webSettings"/><Relationship Id="rId15" Target="media/image2.png" Type="http://schemas.openxmlformats.org/officeDocument/2006/relationships/image"/><Relationship Id="rId23" Target="footer4.xml" Type="http://schemas.openxmlformats.org/officeDocument/2006/relationships/footer"/><Relationship Id="rId10" Target="footer1.xml" Type="http://schemas.openxmlformats.org/officeDocument/2006/relationships/footer"/><Relationship Id="rId19" Target="media/image6.jpeg" Type="http://schemas.openxmlformats.org/officeDocument/2006/relationships/image"/><Relationship Id="rId4" Target="settings.xml" Type="http://schemas.openxmlformats.org/officeDocument/2006/relationships/settings"/><Relationship Id="rId9" Target="header2.xml" Type="http://schemas.openxmlformats.org/officeDocument/2006/relationships/header"/><Relationship Id="rId14" Target="media/image1.jpeg" Type="http://schemas.openxmlformats.org/officeDocument/2006/relationships/image"/><Relationship Id="rId22" Target="header5.xml" Type="http://schemas.openxmlformats.org/officeDocument/2006/relationships/header"/></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073A-B5A5-4CA4-8261-5ECB22EC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23</Pages>
  <Words>9766</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2026-01-15T14:30:00Z</dcterms:created>
  <dcterms:modified xsi:type="dcterms:W3CDTF">2026-01-17T13:26:00Z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GrammarlyDocumentId" pid="2">
    <vt:lpwstr>a2eae281-1e73-4378-898b-72cc65cea845</vt:lpwstr>
  </property>
  <property fmtid="{D5CDD505-2E9C-101B-9397-08002B2CF9AE}" name="NXPowerLiteLastOptimized" pid="3">
    <vt:lpwstr>296644</vt:lpwstr>
  </property>
  <property fmtid="{D5CDD505-2E9C-101B-9397-08002B2CF9AE}" name="NXPowerLiteSettings" pid="4">
    <vt:lpwstr>C7000400038000</vt:lpwstr>
  </property>
  <property fmtid="{D5CDD505-2E9C-101B-9397-08002B2CF9AE}" name="NXPowerLiteVersion" pid="5">
    <vt:lpwstr>S10.9.4</vt:lpwstr>
  </property>
</Properties>
</file>