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43" w:rsidRDefault="00F65D43" w:rsidP="0009557B">
      <w:pPr>
        <w:pStyle w:val="NormalWeb"/>
        <w:spacing w:line="360" w:lineRule="auto"/>
        <w:jc w:val="right"/>
        <w:rPr>
          <w:rFonts w:ascii="Arial" w:hAnsi="Arial" w:cs="Arial"/>
          <w:b/>
          <w:bCs/>
          <w:iCs/>
          <w:kern w:val="28"/>
          <w:sz w:val="36"/>
          <w:szCs w:val="20"/>
          <w:lang w:val="en-US" w:eastAsia="en-US"/>
        </w:rPr>
      </w:pPr>
      <w:bookmarkStart w:id="0" w:name="OLE_LINK1"/>
      <w:bookmarkStart w:id="1" w:name="OLE_LINK2"/>
      <w:r w:rsidRPr="00F65D43">
        <w:rPr>
          <w:rFonts w:ascii="Arial" w:hAnsi="Arial" w:cs="Arial"/>
          <w:b/>
          <w:bCs/>
          <w:iCs/>
          <w:kern w:val="28"/>
          <w:sz w:val="36"/>
          <w:szCs w:val="20"/>
          <w:lang w:val="en-US" w:eastAsia="en-US"/>
        </w:rPr>
        <w:t>Original Research Article</w:t>
      </w:r>
    </w:p>
    <w:p w:rsidR="0009557B" w:rsidRDefault="00634D26" w:rsidP="0009557B">
      <w:pPr>
        <w:pStyle w:val="NormalWeb"/>
        <w:spacing w:line="360" w:lineRule="auto"/>
        <w:jc w:val="right"/>
        <w:rPr>
          <w:rFonts w:ascii="Arial" w:hAnsi="Arial" w:cs="Arial"/>
          <w:b/>
          <w:bCs/>
          <w:iCs/>
          <w:kern w:val="28"/>
          <w:sz w:val="36"/>
          <w:szCs w:val="20"/>
          <w:lang w:val="en-US" w:eastAsia="en-US"/>
        </w:rPr>
      </w:pPr>
      <w:r w:rsidRPr="005C04FB">
        <w:rPr>
          <w:rFonts w:ascii="Arial" w:hAnsi="Arial" w:cs="Arial"/>
          <w:b/>
          <w:bCs/>
          <w:iCs/>
          <w:kern w:val="28"/>
          <w:sz w:val="36"/>
          <w:szCs w:val="20"/>
          <w:lang w:val="en-US" w:eastAsia="en-US"/>
        </w:rPr>
        <w:t xml:space="preserve">Integrative Ethnobotanical and GC–MS Analysis of </w:t>
      </w:r>
      <w:proofErr w:type="spellStart"/>
      <w:r w:rsidRPr="0009557B">
        <w:rPr>
          <w:rFonts w:ascii="Arial" w:hAnsi="Arial" w:cs="Arial"/>
          <w:b/>
          <w:bCs/>
          <w:i/>
          <w:kern w:val="28"/>
          <w:sz w:val="36"/>
          <w:szCs w:val="20"/>
          <w:lang w:val="en-US" w:eastAsia="en-US"/>
        </w:rPr>
        <w:t>Valeriana</w:t>
      </w:r>
      <w:proofErr w:type="spellEnd"/>
      <w:r w:rsidRPr="0009557B">
        <w:rPr>
          <w:rFonts w:ascii="Arial" w:hAnsi="Arial" w:cs="Arial"/>
          <w:b/>
          <w:bCs/>
          <w:i/>
          <w:kern w:val="28"/>
          <w:sz w:val="36"/>
          <w:szCs w:val="20"/>
          <w:lang w:val="en-US" w:eastAsia="en-US"/>
        </w:rPr>
        <w:t xml:space="preserve"> </w:t>
      </w:r>
      <w:proofErr w:type="spellStart"/>
      <w:r w:rsidRPr="0009557B">
        <w:rPr>
          <w:rFonts w:ascii="Arial" w:hAnsi="Arial" w:cs="Arial"/>
          <w:b/>
          <w:bCs/>
          <w:i/>
          <w:kern w:val="28"/>
          <w:sz w:val="36"/>
          <w:szCs w:val="20"/>
          <w:lang w:val="en-US" w:eastAsia="en-US"/>
        </w:rPr>
        <w:t>jatamansi</w:t>
      </w:r>
      <w:proofErr w:type="spellEnd"/>
      <w:r w:rsidRPr="005C04FB">
        <w:rPr>
          <w:rFonts w:ascii="Arial" w:hAnsi="Arial" w:cs="Arial"/>
          <w:b/>
          <w:bCs/>
          <w:iCs/>
          <w:kern w:val="28"/>
          <w:sz w:val="36"/>
          <w:szCs w:val="20"/>
          <w:lang w:val="en-US" w:eastAsia="en-US"/>
        </w:rPr>
        <w:t xml:space="preserve"> Jones: Pharmacological Potential and Conservation Importance</w:t>
      </w:r>
    </w:p>
    <w:p w:rsidR="002011FB" w:rsidRDefault="002011FB" w:rsidP="001A4779">
      <w:pPr>
        <w:pStyle w:val="Heading3"/>
        <w:rPr>
          <w:rStyle w:val="Strong"/>
          <w:b/>
          <w:bCs/>
        </w:rPr>
      </w:pPr>
      <w:bookmarkStart w:id="2" w:name="OLE_LINK5"/>
      <w:bookmarkStart w:id="3" w:name="OLE_LINK6"/>
    </w:p>
    <w:p w:rsidR="001A4779" w:rsidRDefault="001A4779" w:rsidP="001A4779">
      <w:pPr>
        <w:pStyle w:val="Heading3"/>
      </w:pPr>
      <w:r>
        <w:rPr>
          <w:rStyle w:val="Strong"/>
          <w:b/>
          <w:bCs/>
        </w:rPr>
        <w:t>Abstract</w:t>
      </w:r>
    </w:p>
    <w:p w:rsidR="001A4779" w:rsidRPr="005C04FB" w:rsidRDefault="001A4779" w:rsidP="001A4779">
      <w:pPr>
        <w:pStyle w:val="NormalWeb"/>
        <w:spacing w:line="360" w:lineRule="auto"/>
        <w:jc w:val="both"/>
        <w:rPr>
          <w:rFonts w:ascii="Arial" w:hAnsi="Arial" w:cs="Arial"/>
          <w:sz w:val="22"/>
          <w:szCs w:val="22"/>
        </w:rPr>
      </w:pPr>
      <w:r w:rsidRPr="005C04FB">
        <w:rPr>
          <w:rFonts w:ascii="Arial" w:hAnsi="Arial" w:cs="Arial"/>
          <w:sz w:val="22"/>
          <w:szCs w:val="22"/>
        </w:rPr>
        <w:t xml:space="preserve">Medicinal plants remain vital to traditional and modern medicine due to their diverse bioactive compounds and cultural significance. The present study integrates ethnobotanical knowledge with phytochemical profiling to explore the medicinal potential of </w:t>
      </w:r>
      <w:proofErr w:type="spellStart"/>
      <w:r w:rsidRPr="005C04FB">
        <w:rPr>
          <w:rStyle w:val="Emphasis"/>
          <w:rFonts w:ascii="Arial" w:hAnsi="Arial" w:cs="Arial"/>
          <w:sz w:val="22"/>
          <w:szCs w:val="22"/>
        </w:rPr>
        <w:t>Valeriana</w:t>
      </w:r>
      <w:proofErr w:type="spellEnd"/>
      <w:r w:rsidRPr="005C04FB">
        <w:rPr>
          <w:rStyle w:val="Emphasis"/>
          <w:rFonts w:ascii="Arial" w:hAnsi="Arial" w:cs="Arial"/>
          <w:sz w:val="22"/>
          <w:szCs w:val="22"/>
        </w:rPr>
        <w:t xml:space="preserve"> </w:t>
      </w:r>
      <w:proofErr w:type="spellStart"/>
      <w:r w:rsidRPr="005C04FB">
        <w:rPr>
          <w:rStyle w:val="Emphasis"/>
          <w:rFonts w:ascii="Arial" w:hAnsi="Arial" w:cs="Arial"/>
          <w:sz w:val="22"/>
          <w:szCs w:val="22"/>
        </w:rPr>
        <w:t>jatamansi</w:t>
      </w:r>
      <w:proofErr w:type="spellEnd"/>
      <w:r w:rsidRPr="005C04FB">
        <w:rPr>
          <w:rFonts w:ascii="Arial" w:hAnsi="Arial" w:cs="Arial"/>
          <w:sz w:val="22"/>
          <w:szCs w:val="22"/>
        </w:rPr>
        <w:t xml:space="preserve"> Jones from the </w:t>
      </w:r>
      <w:proofErr w:type="spellStart"/>
      <w:r w:rsidRPr="005C04FB">
        <w:rPr>
          <w:rFonts w:ascii="Arial" w:hAnsi="Arial" w:cs="Arial"/>
          <w:sz w:val="22"/>
          <w:szCs w:val="22"/>
        </w:rPr>
        <w:t>Langate</w:t>
      </w:r>
      <w:proofErr w:type="spellEnd"/>
      <w:r w:rsidRPr="005C04FB">
        <w:rPr>
          <w:rFonts w:ascii="Arial" w:hAnsi="Arial" w:cs="Arial"/>
          <w:sz w:val="22"/>
          <w:szCs w:val="22"/>
        </w:rPr>
        <w:t xml:space="preserve"> Forest Division, Kashmir. Ethnobotanical surveys revealed the plant’s widespread traditional use for treating neurological, gastrointestinal, and inflammatory ailments. Methanolic rhizome extracts were </w:t>
      </w:r>
      <w:proofErr w:type="spellStart"/>
      <w:r w:rsidRPr="005C04FB">
        <w:rPr>
          <w:rFonts w:ascii="Arial" w:hAnsi="Arial" w:cs="Arial"/>
          <w:sz w:val="22"/>
          <w:szCs w:val="22"/>
        </w:rPr>
        <w:t>analyzed</w:t>
      </w:r>
      <w:proofErr w:type="spellEnd"/>
      <w:r w:rsidRPr="005C04FB">
        <w:rPr>
          <w:rFonts w:ascii="Arial" w:hAnsi="Arial" w:cs="Arial"/>
          <w:sz w:val="22"/>
          <w:szCs w:val="22"/>
        </w:rPr>
        <w:t xml:space="preserve"> using Gas Chromatography–Mass Spectrometry (GC–MS), identifying patchouli alcohol (46.01%), </w:t>
      </w:r>
      <w:proofErr w:type="spellStart"/>
      <w:r w:rsidRPr="005C04FB">
        <w:rPr>
          <w:rFonts w:ascii="Arial" w:hAnsi="Arial" w:cs="Arial"/>
          <w:sz w:val="22"/>
          <w:szCs w:val="22"/>
        </w:rPr>
        <w:t>maaliol</w:t>
      </w:r>
      <w:proofErr w:type="spellEnd"/>
      <w:r w:rsidRPr="005C04FB">
        <w:rPr>
          <w:rFonts w:ascii="Arial" w:hAnsi="Arial" w:cs="Arial"/>
          <w:sz w:val="22"/>
          <w:szCs w:val="22"/>
        </w:rPr>
        <w:t xml:space="preserve"> (26.53%), and </w:t>
      </w:r>
      <w:proofErr w:type="spellStart"/>
      <w:r w:rsidRPr="005C04FB">
        <w:rPr>
          <w:rFonts w:ascii="Arial" w:hAnsi="Arial" w:cs="Arial"/>
          <w:sz w:val="22"/>
          <w:szCs w:val="22"/>
        </w:rPr>
        <w:t>calarene</w:t>
      </w:r>
      <w:proofErr w:type="spellEnd"/>
      <w:r w:rsidRPr="005C04FB">
        <w:rPr>
          <w:rFonts w:ascii="Arial" w:hAnsi="Arial" w:cs="Arial"/>
          <w:sz w:val="22"/>
          <w:szCs w:val="22"/>
        </w:rPr>
        <w:t xml:space="preserve"> (17.39%) as major sesquiterpenes. These oxygenated and hydrocarbon sesquiterpenes contribute to the plant’s sedative, antioxidant, antimicrobial, and anti-inflammatory properties. The convergence of ethnomedicinal practices and chemical evidence supports the traditional therapeutic applications of </w:t>
      </w:r>
      <w:r w:rsidRPr="005C04FB">
        <w:rPr>
          <w:rStyle w:val="Emphasis"/>
          <w:rFonts w:ascii="Arial" w:hAnsi="Arial" w:cs="Arial"/>
          <w:sz w:val="22"/>
          <w:szCs w:val="22"/>
        </w:rPr>
        <w:t xml:space="preserve">V. </w:t>
      </w:r>
      <w:proofErr w:type="spellStart"/>
      <w:r w:rsidRPr="005C04FB">
        <w:rPr>
          <w:rStyle w:val="Emphasis"/>
          <w:rFonts w:ascii="Arial" w:hAnsi="Arial" w:cs="Arial"/>
          <w:sz w:val="22"/>
          <w:szCs w:val="22"/>
        </w:rPr>
        <w:t>jatamansi</w:t>
      </w:r>
      <w:proofErr w:type="spellEnd"/>
      <w:r w:rsidRPr="005C04FB">
        <w:rPr>
          <w:rFonts w:ascii="Arial" w:hAnsi="Arial" w:cs="Arial"/>
          <w:sz w:val="22"/>
          <w:szCs w:val="22"/>
        </w:rPr>
        <w:t xml:space="preserve"> </w:t>
      </w:r>
      <w:r w:rsidR="002C7A18" w:rsidRPr="005C04FB">
        <w:rPr>
          <w:rFonts w:ascii="Arial" w:hAnsi="Arial" w:cs="Arial"/>
          <w:sz w:val="22"/>
          <w:szCs w:val="22"/>
        </w:rPr>
        <w:t xml:space="preserve">Jones </w:t>
      </w:r>
      <w:r w:rsidRPr="005C04FB">
        <w:rPr>
          <w:rFonts w:ascii="Arial" w:hAnsi="Arial" w:cs="Arial"/>
          <w:sz w:val="22"/>
          <w:szCs w:val="22"/>
        </w:rPr>
        <w:t xml:space="preserve">and highlights the </w:t>
      </w:r>
      <w:proofErr w:type="spellStart"/>
      <w:r w:rsidRPr="005C04FB">
        <w:rPr>
          <w:rFonts w:ascii="Arial" w:hAnsi="Arial" w:cs="Arial"/>
          <w:sz w:val="22"/>
          <w:szCs w:val="22"/>
        </w:rPr>
        <w:t>Langate</w:t>
      </w:r>
      <w:proofErr w:type="spellEnd"/>
      <w:r w:rsidRPr="005C04FB">
        <w:rPr>
          <w:rFonts w:ascii="Arial" w:hAnsi="Arial" w:cs="Arial"/>
          <w:sz w:val="22"/>
          <w:szCs w:val="22"/>
        </w:rPr>
        <w:t xml:space="preserve"> population as a high patchouli alcohol chemotype. The findings emphasi</w:t>
      </w:r>
      <w:r w:rsidR="002C7A18" w:rsidRPr="005C04FB">
        <w:rPr>
          <w:rFonts w:ascii="Arial" w:hAnsi="Arial" w:cs="Arial"/>
          <w:sz w:val="22"/>
          <w:szCs w:val="22"/>
        </w:rPr>
        <w:t>s</w:t>
      </w:r>
      <w:r w:rsidRPr="005C04FB">
        <w:rPr>
          <w:rFonts w:ascii="Arial" w:hAnsi="Arial" w:cs="Arial"/>
          <w:sz w:val="22"/>
          <w:szCs w:val="22"/>
        </w:rPr>
        <w:t>e the need for conservation, sustainable utilization, and validation of indigenous pharmacological knowledge for future phytopharmaceutical development.</w:t>
      </w:r>
    </w:p>
    <w:p w:rsidR="002C7A18" w:rsidRDefault="002C7A18" w:rsidP="001A4779">
      <w:pPr>
        <w:pStyle w:val="NormalWeb"/>
        <w:spacing w:line="360" w:lineRule="auto"/>
        <w:jc w:val="both"/>
        <w:rPr>
          <w:rFonts w:ascii="Arial" w:hAnsi="Arial" w:cs="Arial"/>
          <w:sz w:val="22"/>
          <w:szCs w:val="22"/>
        </w:rPr>
      </w:pPr>
      <w:r w:rsidRPr="0009557B">
        <w:rPr>
          <w:rFonts w:ascii="Arial" w:hAnsi="Arial" w:cs="Arial"/>
          <w:b/>
          <w:bCs/>
          <w:sz w:val="22"/>
          <w:szCs w:val="22"/>
        </w:rPr>
        <w:t>Keywords:</w:t>
      </w:r>
      <w:r w:rsidRPr="0009557B">
        <w:rPr>
          <w:rFonts w:ascii="Arial" w:hAnsi="Arial" w:cs="Arial"/>
          <w:sz w:val="22"/>
          <w:szCs w:val="22"/>
        </w:rPr>
        <w:t xml:space="preserve"> </w:t>
      </w:r>
      <w:proofErr w:type="spellStart"/>
      <w:r w:rsidRPr="0009557B">
        <w:rPr>
          <w:rStyle w:val="Emphasis"/>
          <w:rFonts w:ascii="Arial" w:hAnsi="Arial" w:cs="Arial"/>
          <w:sz w:val="22"/>
          <w:szCs w:val="22"/>
        </w:rPr>
        <w:t>Valeriana</w:t>
      </w:r>
      <w:proofErr w:type="spellEnd"/>
      <w:r w:rsidRPr="0009557B">
        <w:rPr>
          <w:rStyle w:val="Emphasis"/>
          <w:rFonts w:ascii="Arial" w:hAnsi="Arial" w:cs="Arial"/>
          <w:sz w:val="22"/>
          <w:szCs w:val="22"/>
        </w:rPr>
        <w:t xml:space="preserve"> </w:t>
      </w:r>
      <w:proofErr w:type="spellStart"/>
      <w:r w:rsidRPr="0009557B">
        <w:rPr>
          <w:rStyle w:val="Emphasis"/>
          <w:rFonts w:ascii="Arial" w:hAnsi="Arial" w:cs="Arial"/>
          <w:sz w:val="22"/>
          <w:szCs w:val="22"/>
        </w:rPr>
        <w:t>jatamansi</w:t>
      </w:r>
      <w:proofErr w:type="spellEnd"/>
      <w:r w:rsidRPr="0009557B">
        <w:rPr>
          <w:rFonts w:ascii="Arial" w:hAnsi="Arial" w:cs="Arial"/>
          <w:sz w:val="22"/>
          <w:szCs w:val="22"/>
        </w:rPr>
        <w:t xml:space="preserve"> Jones; ethnobotany; GC–MS analysis; sesquiterpenes; traditional medicine; Kashmir Himalaya</w:t>
      </w:r>
    </w:p>
    <w:p w:rsidR="0009557B" w:rsidRPr="0009557B" w:rsidRDefault="0009557B" w:rsidP="001A4779">
      <w:pPr>
        <w:pStyle w:val="NormalWeb"/>
        <w:spacing w:line="360" w:lineRule="auto"/>
        <w:jc w:val="both"/>
        <w:rPr>
          <w:rFonts w:ascii="Arial" w:hAnsi="Arial" w:cs="Arial"/>
          <w:sz w:val="22"/>
          <w:szCs w:val="22"/>
        </w:rPr>
      </w:pPr>
    </w:p>
    <w:p w:rsidR="00C62886" w:rsidRPr="0093339B" w:rsidRDefault="001A4779" w:rsidP="0093339B">
      <w:pPr>
        <w:pStyle w:val="ListParagraph"/>
        <w:numPr>
          <w:ilvl w:val="0"/>
          <w:numId w:val="9"/>
        </w:numPr>
        <w:rPr>
          <w:rFonts w:ascii="Times New Roman" w:hAnsi="Times New Roman" w:cs="Times New Roman"/>
          <w:b/>
          <w:bCs/>
        </w:rPr>
      </w:pPr>
      <w:r w:rsidRPr="0093339B">
        <w:rPr>
          <w:rFonts w:ascii="Times New Roman" w:hAnsi="Times New Roman" w:cs="Times New Roman"/>
          <w:b/>
          <w:bCs/>
        </w:rPr>
        <w:t>Introduction</w:t>
      </w:r>
    </w:p>
    <w:p w:rsidR="00DF3358" w:rsidRPr="005C04FB" w:rsidRDefault="00DF3358" w:rsidP="00C4332A">
      <w:pPr>
        <w:pStyle w:val="NormalWeb"/>
        <w:spacing w:line="360" w:lineRule="auto"/>
        <w:jc w:val="both"/>
        <w:rPr>
          <w:rFonts w:ascii="Arial" w:hAnsi="Arial" w:cs="Arial"/>
          <w:color w:val="000000"/>
          <w:sz w:val="20"/>
          <w:szCs w:val="20"/>
        </w:rPr>
      </w:pPr>
      <w:bookmarkStart w:id="4" w:name="OLE_LINK3"/>
      <w:bookmarkStart w:id="5" w:name="OLE_LINK4"/>
      <w:r w:rsidRPr="005C04FB">
        <w:rPr>
          <w:rFonts w:ascii="Arial" w:hAnsi="Arial" w:cs="Arial"/>
          <w:sz w:val="20"/>
          <w:szCs w:val="20"/>
          <w:lang w:eastAsia="en-IN"/>
        </w:rPr>
        <w:t xml:space="preserve">Medicinal plants have long been a cornerstone of traditional healthcare systems and continue to play a crucial role in both primary healthcare and modern pharmaceutical research. This enduring significance is attributed to their diverse bioactive compounds, as well as their affordability and accessibility </w:t>
      </w:r>
      <w:r w:rsidRPr="005C04FB">
        <w:rPr>
          <w:rStyle w:val="paperpal-citation"/>
          <w:rFonts w:ascii="Arial" w:hAnsi="Arial" w:cs="Arial"/>
          <w:color w:val="000000"/>
          <w:sz w:val="20"/>
          <w:szCs w:val="20"/>
        </w:rPr>
        <w:t xml:space="preserve">(Wu </w:t>
      </w:r>
      <w:r w:rsidRPr="005C04FB">
        <w:rPr>
          <w:rStyle w:val="paperpal-citation"/>
          <w:rFonts w:ascii="Arial" w:hAnsi="Arial" w:cs="Arial"/>
          <w:i/>
          <w:iCs/>
          <w:color w:val="000000"/>
          <w:sz w:val="20"/>
          <w:szCs w:val="20"/>
        </w:rPr>
        <w:t xml:space="preserve">et al., </w:t>
      </w:r>
      <w:r w:rsidRPr="005C04FB">
        <w:rPr>
          <w:rStyle w:val="paperpal-citation"/>
          <w:rFonts w:ascii="Arial" w:hAnsi="Arial" w:cs="Arial"/>
          <w:color w:val="000000"/>
          <w:sz w:val="20"/>
          <w:szCs w:val="20"/>
        </w:rPr>
        <w:t>2023)</w:t>
      </w:r>
      <w:r w:rsidRPr="005C04FB">
        <w:rPr>
          <w:rStyle w:val="apple-converted-space"/>
          <w:rFonts w:ascii="Arial" w:hAnsi="Arial" w:cs="Arial"/>
          <w:color w:val="000000"/>
          <w:sz w:val="20"/>
          <w:szCs w:val="20"/>
        </w:rPr>
        <w:t xml:space="preserve">. </w:t>
      </w:r>
      <w:r w:rsidRPr="005C04FB">
        <w:rPr>
          <w:rFonts w:ascii="Arial" w:hAnsi="Arial" w:cs="Arial"/>
          <w:sz w:val="20"/>
          <w:szCs w:val="20"/>
          <w:lang w:eastAsia="en-IN"/>
        </w:rPr>
        <w:t xml:space="preserve"> Ethnopharmacological knowledge, particularly that preserved within Indigenous and rural communities, offers invaluable insights for identifying plants with therapeutic potential and initiating </w:t>
      </w:r>
      <w:r w:rsidRPr="005C04FB">
        <w:rPr>
          <w:rFonts w:ascii="Arial" w:hAnsi="Arial" w:cs="Arial"/>
          <w:sz w:val="20"/>
          <w:szCs w:val="20"/>
          <w:lang w:eastAsia="en-IN"/>
        </w:rPr>
        <w:lastRenderedPageBreak/>
        <w:t xml:space="preserve">pharmacological and phytochemical investigations </w:t>
      </w:r>
      <w:r w:rsidRPr="005C04FB">
        <w:rPr>
          <w:rStyle w:val="paperpal-citation"/>
          <w:rFonts w:ascii="Arial" w:hAnsi="Arial" w:cs="Arial"/>
          <w:color w:val="000000"/>
          <w:sz w:val="20"/>
          <w:szCs w:val="20"/>
        </w:rPr>
        <w:t xml:space="preserve">(Awoke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2024)</w:t>
      </w:r>
      <w:r w:rsidRPr="005C04FB">
        <w:rPr>
          <w:rFonts w:ascii="Arial" w:hAnsi="Arial" w:cs="Arial"/>
          <w:sz w:val="20"/>
          <w:szCs w:val="20"/>
          <w:lang w:eastAsia="en-IN"/>
        </w:rPr>
        <w:t xml:space="preserve">. However, the sustainability of these resources is increasingly threatened by overharvesting and habitat loss, underscoring the urgent need for conservation and systematic documentation efforts </w:t>
      </w:r>
      <w:r w:rsidRPr="005C04FB">
        <w:rPr>
          <w:rStyle w:val="paperpal-citation"/>
          <w:rFonts w:ascii="Arial" w:hAnsi="Arial" w:cs="Arial"/>
          <w:color w:val="000000"/>
          <w:sz w:val="20"/>
          <w:szCs w:val="20"/>
        </w:rPr>
        <w:t xml:space="preserve">(Chen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2018).</w:t>
      </w:r>
      <w:r w:rsidRPr="005C04FB">
        <w:rPr>
          <w:rFonts w:ascii="Arial" w:hAnsi="Arial" w:cs="Arial"/>
          <w:sz w:val="20"/>
          <w:szCs w:val="20"/>
          <w:lang w:eastAsia="en-IN"/>
        </w:rPr>
        <w:t xml:space="preserve"> </w:t>
      </w:r>
      <w:proofErr w:type="spellStart"/>
      <w:r w:rsidRPr="005C04FB">
        <w:rPr>
          <w:rFonts w:ascii="Arial" w:hAnsi="Arial" w:cs="Arial"/>
          <w:i/>
          <w:sz w:val="20"/>
          <w:szCs w:val="20"/>
          <w:lang w:eastAsia="en-IN"/>
        </w:rPr>
        <w:t>Valeriana</w:t>
      </w:r>
      <w:proofErr w:type="spellEnd"/>
      <w:r w:rsidRPr="005C04FB">
        <w:rPr>
          <w:rFonts w:ascii="Arial" w:hAnsi="Arial" w:cs="Arial"/>
          <w:i/>
          <w:sz w:val="20"/>
          <w:szCs w:val="20"/>
          <w:lang w:eastAsia="en-IN"/>
        </w:rPr>
        <w:t xml:space="preserve">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Jones (syn.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wallichii</w:t>
      </w:r>
      <w:proofErr w:type="spellEnd"/>
      <w:r w:rsidRPr="005C04FB">
        <w:rPr>
          <w:rFonts w:ascii="Arial" w:hAnsi="Arial" w:cs="Arial"/>
          <w:sz w:val="20"/>
          <w:szCs w:val="20"/>
          <w:lang w:eastAsia="en-IN"/>
        </w:rPr>
        <w:t xml:space="preserve"> DC.) is a prominent medicinal herb widely used in Ayurveda, traditional Chinese medicine, and other Asian medical practices to treat neurological and psychosomatic disorders such as anxiety, insomnia, epilepsy, and stress-related ailments </w:t>
      </w:r>
      <w:r w:rsidRPr="005C04FB">
        <w:rPr>
          <w:rStyle w:val="paperpal-citation"/>
          <w:rFonts w:ascii="Arial" w:hAnsi="Arial" w:cs="Arial"/>
          <w:color w:val="000000"/>
          <w:sz w:val="20"/>
          <w:szCs w:val="20"/>
        </w:rPr>
        <w:t xml:space="preserve">(Gautam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2021; </w:t>
      </w:r>
      <w:proofErr w:type="spellStart"/>
      <w:r w:rsidRPr="005C04FB">
        <w:rPr>
          <w:rStyle w:val="paperpal-citation"/>
          <w:rFonts w:ascii="Arial" w:hAnsi="Arial" w:cs="Arial"/>
          <w:color w:val="000000"/>
          <w:sz w:val="20"/>
          <w:szCs w:val="20"/>
        </w:rPr>
        <w:t>Jugran</w:t>
      </w:r>
      <w:proofErr w:type="spellEnd"/>
      <w:r w:rsidRPr="005C04FB">
        <w:rPr>
          <w:rStyle w:val="paperpal-citation"/>
          <w:rFonts w:ascii="Arial" w:hAnsi="Arial" w:cs="Arial"/>
          <w:color w:val="000000"/>
          <w:sz w:val="20"/>
          <w:szCs w:val="20"/>
        </w:rPr>
        <w:t xml:space="preserve">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2020; Yan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2019).</w:t>
      </w:r>
      <w:r w:rsidRPr="005C04FB">
        <w:rPr>
          <w:rFonts w:ascii="Arial" w:hAnsi="Arial" w:cs="Arial"/>
          <w:sz w:val="20"/>
          <w:szCs w:val="20"/>
          <w:lang w:eastAsia="en-IN"/>
        </w:rPr>
        <w:t xml:space="preserve"> Its roots and rhizomes are rich in iridoids, valepotriates, lignans, flavonoids, and sesquiterpenoids, which contribute to its sedative, antidepressant, antioxidant, and antimicrobial properties (</w:t>
      </w:r>
      <w:r w:rsidRPr="005C04FB">
        <w:rPr>
          <w:rStyle w:val="paperpal-citation"/>
          <w:rFonts w:ascii="Arial" w:hAnsi="Arial" w:cs="Arial"/>
          <w:color w:val="000000"/>
          <w:sz w:val="20"/>
          <w:szCs w:val="20"/>
        </w:rPr>
        <w:t xml:space="preserve">He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2025; Yan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2019; Zhang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2017)</w:t>
      </w:r>
      <w:r w:rsidRPr="005C04FB">
        <w:rPr>
          <w:rStyle w:val="ai-insert"/>
          <w:rFonts w:ascii="Arial" w:hAnsi="Arial" w:cs="Arial"/>
          <w:color w:val="000000"/>
          <w:sz w:val="20"/>
          <w:szCs w:val="20"/>
        </w:rPr>
        <w:t xml:space="preserve">. </w:t>
      </w:r>
      <w:r w:rsidRPr="005C04FB">
        <w:rPr>
          <w:rFonts w:ascii="Arial" w:hAnsi="Arial" w:cs="Arial"/>
          <w:sz w:val="20"/>
          <w:szCs w:val="20"/>
          <w:lang w:eastAsia="en-IN"/>
        </w:rPr>
        <w:t xml:space="preserve"> Ethnobotanical documentation remains a vital effort to preserve vanishing traditional knowledge, especially in biodiverse and culturally diverse regions </w:t>
      </w:r>
      <w:r w:rsidRPr="005C04FB">
        <w:rPr>
          <w:rStyle w:val="paperpal-citation"/>
          <w:rFonts w:ascii="Arial" w:hAnsi="Arial" w:cs="Arial"/>
          <w:color w:val="000000"/>
          <w:sz w:val="20"/>
          <w:szCs w:val="20"/>
        </w:rPr>
        <w:t>(</w:t>
      </w:r>
      <w:proofErr w:type="spellStart"/>
      <w:r w:rsidRPr="005C04FB">
        <w:rPr>
          <w:rStyle w:val="paperpal-citation"/>
          <w:rFonts w:ascii="Arial" w:hAnsi="Arial" w:cs="Arial"/>
          <w:color w:val="000000"/>
          <w:sz w:val="20"/>
          <w:szCs w:val="20"/>
        </w:rPr>
        <w:t>Oladeji</w:t>
      </w:r>
      <w:proofErr w:type="spellEnd"/>
      <w:r w:rsidRPr="005C04FB">
        <w:rPr>
          <w:rStyle w:val="paperpal-citation"/>
          <w:rFonts w:ascii="Arial" w:hAnsi="Arial" w:cs="Arial"/>
          <w:color w:val="000000"/>
          <w:sz w:val="20"/>
          <w:szCs w:val="20"/>
        </w:rPr>
        <w:t xml:space="preserve">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2020)</w:t>
      </w:r>
      <w:r w:rsidRPr="005C04FB">
        <w:rPr>
          <w:rStyle w:val="apple-converted-space"/>
          <w:rFonts w:ascii="Arial" w:hAnsi="Arial" w:cs="Arial"/>
          <w:color w:val="000000"/>
          <w:sz w:val="20"/>
          <w:szCs w:val="20"/>
        </w:rPr>
        <w:t xml:space="preserve">. </w:t>
      </w:r>
      <w:r w:rsidRPr="005C04FB">
        <w:rPr>
          <w:rFonts w:ascii="Arial" w:hAnsi="Arial" w:cs="Arial"/>
          <w:sz w:val="20"/>
          <w:szCs w:val="20"/>
          <w:lang w:eastAsia="en-IN"/>
        </w:rPr>
        <w:t xml:space="preserve"> Modern ethnobotanical research aims to develop hypothesis-driven and theoretically informed approaches to better understand human-plant interactions and contribute to biodiversity conservation and sustainable resource management </w:t>
      </w:r>
      <w:r w:rsidRPr="005C04FB">
        <w:rPr>
          <w:rStyle w:val="paperpal-citation"/>
          <w:rFonts w:ascii="Arial" w:hAnsi="Arial" w:cs="Arial"/>
          <w:color w:val="000000"/>
          <w:sz w:val="20"/>
          <w:szCs w:val="20"/>
        </w:rPr>
        <w:t xml:space="preserve">(De Albuquerque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2008; </w:t>
      </w:r>
      <w:proofErr w:type="spellStart"/>
      <w:r w:rsidRPr="005C04FB">
        <w:rPr>
          <w:rStyle w:val="paperpal-citation"/>
          <w:rFonts w:ascii="Arial" w:hAnsi="Arial" w:cs="Arial"/>
          <w:color w:val="000000"/>
          <w:sz w:val="20"/>
          <w:szCs w:val="20"/>
        </w:rPr>
        <w:t>Gaoue</w:t>
      </w:r>
      <w:proofErr w:type="spellEnd"/>
      <w:r w:rsidRPr="005C04FB">
        <w:rPr>
          <w:rStyle w:val="paperpal-citation"/>
          <w:rFonts w:ascii="Arial" w:hAnsi="Arial" w:cs="Arial"/>
          <w:color w:val="000000"/>
          <w:sz w:val="20"/>
          <w:szCs w:val="20"/>
        </w:rPr>
        <w:t xml:space="preserve">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2017)</w:t>
      </w:r>
      <w:r w:rsidRPr="005C04FB">
        <w:rPr>
          <w:rFonts w:ascii="Arial" w:hAnsi="Arial" w:cs="Arial"/>
          <w:sz w:val="20"/>
          <w:szCs w:val="20"/>
          <w:lang w:eastAsia="en-IN"/>
        </w:rPr>
        <w:t xml:space="preserve">. Complementing these efforts, gas chromatography–mass spectrometry (GC–MS) has become a key analytical technique for profiling volatile and semi-volatile plant constituents, facilitating quality control and bioactivity-guided studies. In ethnobotanical studies, GC-MS is employed to characterize bioactive compounds in plants traditionally used by indigenous and local communities to treat various ailments. This can help to scientifically validate ethnobotanical knowledge, understand the chemical basis of therapeutic effects, and guide the discovery of novel pharmaceuticals or antioxidants. In summary, ethnobotany and GC-MS complement each other by combining cultural botanical knowledge with precise chemical analyses. This integration aids conservation efforts, supports the sustainable use of plant biodiversity, and fosters novel drug discovery derived from traditional knowledge substantiated by molecular chemical data </w:t>
      </w:r>
      <w:r w:rsidRPr="005C04FB">
        <w:rPr>
          <w:rFonts w:ascii="Arial" w:hAnsi="Arial" w:cs="Arial"/>
          <w:color w:val="000000"/>
          <w:sz w:val="20"/>
          <w:szCs w:val="20"/>
        </w:rPr>
        <w:t>(</w:t>
      </w:r>
      <w:r w:rsidRPr="005C04FB">
        <w:rPr>
          <w:rStyle w:val="paperpal-citation"/>
          <w:rFonts w:ascii="Arial" w:hAnsi="Arial" w:cs="Arial"/>
          <w:color w:val="000000"/>
          <w:sz w:val="20"/>
          <w:szCs w:val="20"/>
        </w:rPr>
        <w:t xml:space="preserve">Lawson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2020; </w:t>
      </w:r>
      <w:proofErr w:type="spellStart"/>
      <w:r w:rsidRPr="005C04FB">
        <w:rPr>
          <w:rStyle w:val="paperpal-citation"/>
          <w:rFonts w:ascii="Arial" w:hAnsi="Arial" w:cs="Arial"/>
          <w:color w:val="000000"/>
          <w:sz w:val="20"/>
          <w:szCs w:val="20"/>
        </w:rPr>
        <w:t>Póvoa</w:t>
      </w:r>
      <w:proofErr w:type="spellEnd"/>
      <w:r w:rsidRPr="005C04FB">
        <w:rPr>
          <w:rStyle w:val="paperpal-citation"/>
          <w:rFonts w:ascii="Arial" w:hAnsi="Arial" w:cs="Arial"/>
          <w:color w:val="000000"/>
          <w:sz w:val="20"/>
          <w:szCs w:val="20"/>
        </w:rPr>
        <w:t xml:space="preserve">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2024)</w:t>
      </w:r>
      <w:r w:rsidRPr="005C04FB">
        <w:rPr>
          <w:rFonts w:ascii="Arial" w:hAnsi="Arial" w:cs="Arial"/>
          <w:sz w:val="20"/>
          <w:szCs w:val="20"/>
          <w:lang w:eastAsia="en-IN"/>
        </w:rPr>
        <w:t xml:space="preserve">. Within this interdisciplinary context, </w:t>
      </w:r>
      <w:r w:rsidR="00D151F5" w:rsidRPr="005C04FB">
        <w:rPr>
          <w:rFonts w:ascii="Arial" w:hAnsi="Arial" w:cs="Arial"/>
          <w:sz w:val="20"/>
          <w:szCs w:val="20"/>
        </w:rPr>
        <w:t xml:space="preserve">the present study aimed to comprehensively explore the ethnobotanical and phytochemical significance of </w:t>
      </w:r>
      <w:proofErr w:type="spellStart"/>
      <w:r w:rsidR="00D151F5" w:rsidRPr="005C04FB">
        <w:rPr>
          <w:rStyle w:val="Emphasis"/>
          <w:rFonts w:ascii="Arial" w:hAnsi="Arial" w:cs="Arial"/>
          <w:sz w:val="20"/>
          <w:szCs w:val="20"/>
        </w:rPr>
        <w:t>Valeriana</w:t>
      </w:r>
      <w:proofErr w:type="spellEnd"/>
      <w:r w:rsidR="00D151F5" w:rsidRPr="005C04FB">
        <w:rPr>
          <w:rStyle w:val="Emphasis"/>
          <w:rFonts w:ascii="Arial" w:hAnsi="Arial" w:cs="Arial"/>
          <w:sz w:val="20"/>
          <w:szCs w:val="20"/>
        </w:rPr>
        <w:t xml:space="preserve"> </w:t>
      </w:r>
      <w:proofErr w:type="spellStart"/>
      <w:r w:rsidR="00D151F5" w:rsidRPr="005C04FB">
        <w:rPr>
          <w:rStyle w:val="Emphasis"/>
          <w:rFonts w:ascii="Arial" w:hAnsi="Arial" w:cs="Arial"/>
          <w:sz w:val="20"/>
          <w:szCs w:val="20"/>
        </w:rPr>
        <w:t>jatamansi</w:t>
      </w:r>
      <w:proofErr w:type="spellEnd"/>
      <w:r w:rsidR="00D151F5" w:rsidRPr="005C04FB">
        <w:rPr>
          <w:rFonts w:ascii="Arial" w:hAnsi="Arial" w:cs="Arial"/>
          <w:sz w:val="20"/>
          <w:szCs w:val="20"/>
        </w:rPr>
        <w:t xml:space="preserve"> Jones by integrating traditional knowledge with advanced analytical techniques. Specifically, the research sought to document the traditional uses of </w:t>
      </w:r>
      <w:r w:rsidR="00D151F5" w:rsidRPr="005C04FB">
        <w:rPr>
          <w:rStyle w:val="Emphasis"/>
          <w:rFonts w:ascii="Arial" w:hAnsi="Arial" w:cs="Arial"/>
          <w:sz w:val="20"/>
          <w:szCs w:val="20"/>
        </w:rPr>
        <w:t xml:space="preserve">V. </w:t>
      </w:r>
      <w:proofErr w:type="spellStart"/>
      <w:r w:rsidR="00D151F5" w:rsidRPr="005C04FB">
        <w:rPr>
          <w:rStyle w:val="Emphasis"/>
          <w:rFonts w:ascii="Arial" w:hAnsi="Arial" w:cs="Arial"/>
          <w:sz w:val="20"/>
          <w:szCs w:val="20"/>
        </w:rPr>
        <w:t>jatamansi</w:t>
      </w:r>
      <w:proofErr w:type="spellEnd"/>
      <w:r w:rsidR="00D151F5" w:rsidRPr="005C04FB">
        <w:rPr>
          <w:rFonts w:ascii="Arial" w:hAnsi="Arial" w:cs="Arial"/>
          <w:sz w:val="20"/>
          <w:szCs w:val="20"/>
        </w:rPr>
        <w:t xml:space="preserve"> </w:t>
      </w:r>
      <w:r w:rsidR="006A5E3E" w:rsidRPr="005C04FB">
        <w:rPr>
          <w:rFonts w:ascii="Arial" w:hAnsi="Arial" w:cs="Arial"/>
          <w:sz w:val="20"/>
          <w:szCs w:val="20"/>
        </w:rPr>
        <w:t xml:space="preserve">Jones </w:t>
      </w:r>
      <w:r w:rsidR="00D151F5" w:rsidRPr="005C04FB">
        <w:rPr>
          <w:rFonts w:ascii="Arial" w:hAnsi="Arial" w:cs="Arial"/>
          <w:sz w:val="20"/>
          <w:szCs w:val="20"/>
        </w:rPr>
        <w:t>among indigenous and local communities, emphasizing its ethnomedicinal applications and cultural relevance. In parallel, Gas Chromatography–Mass Spectrometry (GC–MS) was employed to identify and characterize the plant’s volatile bioactive compounds.</w:t>
      </w:r>
    </w:p>
    <w:p w:rsidR="000319EB" w:rsidRDefault="000319EB" w:rsidP="0008348B">
      <w:pPr>
        <w:jc w:val="both"/>
        <w:rPr>
          <w:rFonts w:ascii="Arial" w:hAnsi="Arial" w:cs="Arial"/>
          <w:b/>
          <w:bCs/>
          <w:lang w:eastAsia="en-IN"/>
        </w:rPr>
      </w:pPr>
    </w:p>
    <w:p w:rsidR="0008348B" w:rsidRPr="00C4332A" w:rsidRDefault="0008348B" w:rsidP="00C4332A">
      <w:pPr>
        <w:spacing w:line="360" w:lineRule="auto"/>
        <w:jc w:val="both"/>
        <w:rPr>
          <w:lang w:eastAsia="en-IN"/>
        </w:rPr>
      </w:pPr>
      <w:r w:rsidRPr="00C4332A">
        <w:rPr>
          <w:b/>
          <w:bCs/>
          <w:lang w:eastAsia="en-IN"/>
        </w:rPr>
        <w:t xml:space="preserve">2.     </w:t>
      </w:r>
      <w:r w:rsidRPr="00C4332A">
        <w:rPr>
          <w:b/>
          <w:bCs/>
          <w:color w:val="000000"/>
          <w:lang w:eastAsia="en-IN"/>
        </w:rPr>
        <w:t>Materials and Methods:</w:t>
      </w:r>
    </w:p>
    <w:p w:rsidR="0008348B" w:rsidRPr="00C4332A" w:rsidRDefault="0008348B" w:rsidP="00C4332A">
      <w:pPr>
        <w:spacing w:line="360" w:lineRule="auto"/>
        <w:jc w:val="both"/>
        <w:rPr>
          <w:lang w:eastAsia="en-IN"/>
        </w:rPr>
      </w:pPr>
      <w:r w:rsidRPr="00C4332A">
        <w:rPr>
          <w:b/>
          <w:bCs/>
          <w:i/>
          <w:iCs/>
          <w:color w:val="000000"/>
          <w:lang w:eastAsia="en-IN"/>
        </w:rPr>
        <w:t>2.1 Study area</w:t>
      </w:r>
    </w:p>
    <w:p w:rsidR="0008348B" w:rsidRDefault="0008348B" w:rsidP="00C4332A">
      <w:pPr>
        <w:spacing w:line="360" w:lineRule="auto"/>
        <w:jc w:val="both"/>
        <w:rPr>
          <w:rFonts w:ascii="Arial" w:hAnsi="Arial" w:cs="Arial"/>
          <w:color w:val="0D0D0D"/>
          <w:sz w:val="20"/>
          <w:szCs w:val="20"/>
          <w:lang w:eastAsia="en-IN"/>
        </w:rPr>
      </w:pPr>
      <w:r w:rsidRPr="005C04FB">
        <w:rPr>
          <w:rFonts w:ascii="Arial" w:hAnsi="Arial" w:cs="Arial"/>
          <w:color w:val="0D0D0D"/>
          <w:sz w:val="20"/>
          <w:szCs w:val="20"/>
          <w:lang w:eastAsia="en-IN"/>
        </w:rPr>
        <w:t xml:space="preserve">The research was conducted in the </w:t>
      </w:r>
      <w:proofErr w:type="spellStart"/>
      <w:r w:rsidRPr="005C04FB">
        <w:rPr>
          <w:rFonts w:ascii="Arial" w:hAnsi="Arial" w:cs="Arial"/>
          <w:color w:val="0D0D0D"/>
          <w:sz w:val="20"/>
          <w:szCs w:val="20"/>
          <w:lang w:eastAsia="en-IN"/>
        </w:rPr>
        <w:t>Langate</w:t>
      </w:r>
      <w:proofErr w:type="spellEnd"/>
      <w:r w:rsidRPr="005C04FB">
        <w:rPr>
          <w:rFonts w:ascii="Arial" w:hAnsi="Arial" w:cs="Arial"/>
          <w:color w:val="0D0D0D"/>
          <w:sz w:val="20"/>
          <w:szCs w:val="20"/>
          <w:lang w:eastAsia="en-IN"/>
        </w:rPr>
        <w:t xml:space="preserve"> Forest Division (LFD)</w:t>
      </w:r>
      <w:r w:rsidR="008142A7" w:rsidRPr="005C04FB">
        <w:rPr>
          <w:rFonts w:ascii="Arial" w:hAnsi="Arial" w:cs="Arial"/>
          <w:color w:val="0D0D0D"/>
          <w:sz w:val="20"/>
          <w:szCs w:val="20"/>
          <w:lang w:eastAsia="en-IN"/>
        </w:rPr>
        <w:t xml:space="preserve"> (Fig.1)</w:t>
      </w:r>
      <w:r w:rsidRPr="005C04FB">
        <w:rPr>
          <w:rFonts w:ascii="Arial" w:hAnsi="Arial" w:cs="Arial"/>
          <w:color w:val="0D0D0D"/>
          <w:sz w:val="20"/>
          <w:szCs w:val="20"/>
          <w:lang w:eastAsia="en-IN"/>
        </w:rPr>
        <w:t>, positioned at an altitude ranging from 2000 to 3500 m above sea level, with coordinates of 34°15'22′′ N latitude and 74°07'52" E longitude</w:t>
      </w:r>
      <w:r w:rsidR="00C4332A" w:rsidRPr="005C04FB">
        <w:rPr>
          <w:rFonts w:ascii="Arial" w:hAnsi="Arial" w:cs="Arial"/>
          <w:color w:val="0D0D0D"/>
          <w:sz w:val="20"/>
          <w:szCs w:val="20"/>
          <w:lang w:eastAsia="en-IN"/>
        </w:rPr>
        <w:t xml:space="preserve">. </w:t>
      </w:r>
      <w:r w:rsidRPr="005C04FB">
        <w:rPr>
          <w:rFonts w:ascii="Arial" w:hAnsi="Arial" w:cs="Arial"/>
          <w:color w:val="0D0D0D"/>
          <w:sz w:val="20"/>
          <w:szCs w:val="20"/>
          <w:lang w:eastAsia="en-IN"/>
        </w:rPr>
        <w:t xml:space="preserve">The terrain is mountainous, experiencing temperate to sub-alpine climate conditions, with annual rainfall averaging between </w:t>
      </w:r>
      <w:proofErr w:type="gramStart"/>
      <w:r w:rsidRPr="005C04FB">
        <w:rPr>
          <w:rFonts w:ascii="Arial" w:hAnsi="Arial" w:cs="Arial"/>
          <w:color w:val="0D0D0D"/>
          <w:sz w:val="20"/>
          <w:szCs w:val="20"/>
          <w:lang w:eastAsia="en-IN"/>
        </w:rPr>
        <w:t>66 and 167 mm.</w:t>
      </w:r>
      <w:proofErr w:type="gramEnd"/>
      <w:r w:rsidRPr="005C04FB">
        <w:rPr>
          <w:rFonts w:ascii="Arial" w:hAnsi="Arial" w:cs="Arial"/>
          <w:color w:val="0D0D0D"/>
          <w:sz w:val="20"/>
          <w:szCs w:val="20"/>
          <w:lang w:eastAsia="en-IN"/>
        </w:rPr>
        <w:t xml:space="preserve"> Temperatures in this area vary from -10°C to 35°C</w:t>
      </w:r>
      <w:r w:rsidRPr="005C04FB">
        <w:rPr>
          <w:rFonts w:ascii="Arial" w:hAnsi="Arial" w:cs="Arial"/>
          <w:color w:val="0C0C0C"/>
          <w:sz w:val="20"/>
          <w:szCs w:val="20"/>
          <w:lang w:eastAsia="en-IN"/>
        </w:rPr>
        <w:t xml:space="preserve"> (</w:t>
      </w:r>
      <w:proofErr w:type="spellStart"/>
      <w:r w:rsidRPr="005C04FB">
        <w:rPr>
          <w:rFonts w:ascii="Arial" w:hAnsi="Arial" w:cs="Arial"/>
          <w:color w:val="0D0D0D"/>
          <w:sz w:val="20"/>
          <w:szCs w:val="20"/>
          <w:lang w:eastAsia="en-IN"/>
        </w:rPr>
        <w:t>Nisa</w:t>
      </w:r>
      <w:proofErr w:type="spellEnd"/>
      <w:r w:rsidRPr="005C04FB">
        <w:rPr>
          <w:rFonts w:ascii="Arial" w:hAnsi="Arial" w:cs="Arial"/>
          <w:color w:val="0D0D0D"/>
          <w:sz w:val="20"/>
          <w:szCs w:val="20"/>
          <w:lang w:eastAsia="en-IN"/>
        </w:rPr>
        <w:t xml:space="preserve"> </w:t>
      </w:r>
      <w:r w:rsidRPr="005C04FB">
        <w:rPr>
          <w:rFonts w:ascii="Arial" w:hAnsi="Arial" w:cs="Arial"/>
          <w:i/>
          <w:iCs/>
          <w:color w:val="0D0D0D"/>
          <w:sz w:val="20"/>
          <w:szCs w:val="20"/>
          <w:lang w:eastAsia="en-IN"/>
        </w:rPr>
        <w:t>et al.,</w:t>
      </w:r>
      <w:r w:rsidRPr="005C04FB">
        <w:rPr>
          <w:rFonts w:ascii="Arial" w:hAnsi="Arial" w:cs="Arial"/>
          <w:color w:val="0D0D0D"/>
          <w:sz w:val="20"/>
          <w:szCs w:val="20"/>
          <w:lang w:eastAsia="en-IN"/>
        </w:rPr>
        <w:t xml:space="preserve"> 2025).</w:t>
      </w:r>
    </w:p>
    <w:p w:rsidR="002011FB" w:rsidRDefault="002011FB" w:rsidP="00C4332A">
      <w:pPr>
        <w:spacing w:line="360" w:lineRule="auto"/>
        <w:jc w:val="both"/>
        <w:rPr>
          <w:rFonts w:ascii="Arial" w:hAnsi="Arial" w:cs="Arial"/>
          <w:color w:val="0D0D0D"/>
          <w:sz w:val="20"/>
          <w:szCs w:val="20"/>
          <w:lang w:eastAsia="en-IN"/>
        </w:rPr>
      </w:pPr>
    </w:p>
    <w:p w:rsidR="002011FB" w:rsidRPr="005C04FB" w:rsidRDefault="002011FB" w:rsidP="00C4332A">
      <w:pPr>
        <w:spacing w:line="360" w:lineRule="auto"/>
        <w:jc w:val="both"/>
        <w:rPr>
          <w:rFonts w:ascii="Arial" w:hAnsi="Arial" w:cs="Arial"/>
          <w:color w:val="0D0D0D"/>
          <w:sz w:val="20"/>
          <w:szCs w:val="20"/>
          <w:lang w:eastAsia="en-IN"/>
        </w:rPr>
      </w:pPr>
    </w:p>
    <w:p w:rsidR="00A24D6A" w:rsidRDefault="00976379" w:rsidP="00C4332A">
      <w:pPr>
        <w:spacing w:line="360" w:lineRule="auto"/>
        <w:jc w:val="both"/>
        <w:rPr>
          <w:color w:val="0D0D0D"/>
          <w:lang w:eastAsia="en-IN"/>
        </w:rPr>
      </w:pPr>
      <w:r>
        <w:rPr>
          <w:noProof/>
          <w:color w:val="0D0D0D"/>
          <w:lang w:eastAsia="en-IN"/>
        </w:rPr>
        <w:lastRenderedPageBreak/>
        <w:drawing>
          <wp:inline distT="0" distB="0" distL="0" distR="0" wp14:anchorId="4561C595">
            <wp:extent cx="3182620" cy="22987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2620" cy="2298700"/>
                    </a:xfrm>
                    <a:prstGeom prst="rect">
                      <a:avLst/>
                    </a:prstGeom>
                    <a:noFill/>
                  </pic:spPr>
                </pic:pic>
              </a:graphicData>
            </a:graphic>
          </wp:inline>
        </w:drawing>
      </w:r>
    </w:p>
    <w:p w:rsidR="00FC443B" w:rsidRDefault="00FC443B" w:rsidP="008142A7">
      <w:pPr>
        <w:tabs>
          <w:tab w:val="left" w:pos="5593"/>
        </w:tabs>
        <w:spacing w:line="360" w:lineRule="auto"/>
        <w:jc w:val="both"/>
        <w:rPr>
          <w:b/>
          <w:bCs/>
          <w:i/>
          <w:iCs/>
          <w:color w:val="0C0C0C"/>
          <w:lang w:eastAsia="en-IN"/>
        </w:rPr>
      </w:pPr>
    </w:p>
    <w:p w:rsidR="00FC443B" w:rsidRDefault="00FC443B" w:rsidP="008142A7">
      <w:pPr>
        <w:tabs>
          <w:tab w:val="left" w:pos="5593"/>
        </w:tabs>
        <w:spacing w:line="360" w:lineRule="auto"/>
        <w:jc w:val="both"/>
        <w:rPr>
          <w:b/>
          <w:bCs/>
          <w:i/>
          <w:iCs/>
          <w:color w:val="0C0C0C"/>
          <w:lang w:eastAsia="en-IN"/>
        </w:rPr>
      </w:pPr>
    </w:p>
    <w:p w:rsidR="001A4779" w:rsidRDefault="001A4779" w:rsidP="008142A7">
      <w:pPr>
        <w:tabs>
          <w:tab w:val="left" w:pos="5593"/>
        </w:tabs>
        <w:spacing w:line="360" w:lineRule="auto"/>
        <w:jc w:val="both"/>
        <w:rPr>
          <w:b/>
          <w:bCs/>
          <w:color w:val="0C0C0C"/>
          <w:lang w:eastAsia="en-IN"/>
        </w:rPr>
      </w:pPr>
      <w:bookmarkStart w:id="6" w:name="_GoBack"/>
      <w:bookmarkEnd w:id="6"/>
    </w:p>
    <w:p w:rsidR="00FC443B" w:rsidRPr="005C04FB" w:rsidRDefault="00FC443B" w:rsidP="008142A7">
      <w:pPr>
        <w:tabs>
          <w:tab w:val="left" w:pos="5593"/>
        </w:tabs>
        <w:spacing w:line="360" w:lineRule="auto"/>
        <w:jc w:val="both"/>
        <w:rPr>
          <w:rFonts w:ascii="Arial" w:hAnsi="Arial" w:cs="Arial"/>
          <w:b/>
          <w:bCs/>
          <w:i/>
          <w:iCs/>
          <w:color w:val="0C0C0C"/>
          <w:sz w:val="20"/>
          <w:szCs w:val="20"/>
          <w:lang w:eastAsia="en-IN"/>
        </w:rPr>
      </w:pPr>
      <w:r w:rsidRPr="005C04FB">
        <w:rPr>
          <w:rFonts w:ascii="Arial" w:hAnsi="Arial" w:cs="Arial"/>
          <w:b/>
          <w:bCs/>
          <w:color w:val="0C0C0C"/>
          <w:sz w:val="20"/>
          <w:szCs w:val="20"/>
          <w:lang w:eastAsia="en-IN"/>
        </w:rPr>
        <w:t>Fig. 1.</w:t>
      </w:r>
      <w:r w:rsidRPr="005C04FB">
        <w:rPr>
          <w:rFonts w:ascii="Arial" w:hAnsi="Arial" w:cs="Arial"/>
          <w:b/>
          <w:bCs/>
          <w:i/>
          <w:iCs/>
          <w:color w:val="0C0C0C"/>
          <w:sz w:val="20"/>
          <w:szCs w:val="20"/>
          <w:lang w:eastAsia="en-IN"/>
        </w:rPr>
        <w:t xml:space="preserve"> </w:t>
      </w:r>
      <w:r w:rsidRPr="005C04FB">
        <w:rPr>
          <w:rFonts w:ascii="Arial" w:hAnsi="Arial" w:cs="Arial"/>
          <w:sz w:val="20"/>
          <w:szCs w:val="20"/>
        </w:rPr>
        <w:t xml:space="preserve">Map showing the study area of </w:t>
      </w:r>
      <w:proofErr w:type="spellStart"/>
      <w:r w:rsidRPr="005C04FB">
        <w:rPr>
          <w:rStyle w:val="Emphasis"/>
          <w:rFonts w:ascii="Arial" w:hAnsi="Arial" w:cs="Arial"/>
          <w:sz w:val="20"/>
          <w:szCs w:val="20"/>
        </w:rPr>
        <w:t>Valeriana</w:t>
      </w:r>
      <w:proofErr w:type="spellEnd"/>
      <w:r w:rsidRPr="005C04FB">
        <w:rPr>
          <w:rStyle w:val="Emphasis"/>
          <w:rFonts w:ascii="Arial" w:hAnsi="Arial" w:cs="Arial"/>
          <w:sz w:val="20"/>
          <w:szCs w:val="20"/>
        </w:rPr>
        <w:t xml:space="preserve"> </w:t>
      </w:r>
      <w:proofErr w:type="spellStart"/>
      <w:r w:rsidRPr="005C04FB">
        <w:rPr>
          <w:rStyle w:val="Emphasis"/>
          <w:rFonts w:ascii="Arial" w:hAnsi="Arial" w:cs="Arial"/>
          <w:sz w:val="20"/>
          <w:szCs w:val="20"/>
        </w:rPr>
        <w:t>jatamansi</w:t>
      </w:r>
      <w:proofErr w:type="spellEnd"/>
      <w:r w:rsidRPr="005C04FB">
        <w:rPr>
          <w:rFonts w:ascii="Arial" w:hAnsi="Arial" w:cs="Arial"/>
          <w:sz w:val="20"/>
          <w:szCs w:val="20"/>
        </w:rPr>
        <w:t xml:space="preserve"> Jones in the </w:t>
      </w:r>
      <w:proofErr w:type="spellStart"/>
      <w:r w:rsidRPr="005C04FB">
        <w:rPr>
          <w:rFonts w:ascii="Arial" w:hAnsi="Arial" w:cs="Arial"/>
          <w:sz w:val="20"/>
          <w:szCs w:val="20"/>
        </w:rPr>
        <w:t>Langate</w:t>
      </w:r>
      <w:proofErr w:type="spellEnd"/>
      <w:r w:rsidRPr="005C04FB">
        <w:rPr>
          <w:rFonts w:ascii="Arial" w:hAnsi="Arial" w:cs="Arial"/>
          <w:sz w:val="20"/>
          <w:szCs w:val="20"/>
        </w:rPr>
        <w:t xml:space="preserve"> Forest Division, Kupwara District, Jammu and Kashmir, India.</w:t>
      </w:r>
    </w:p>
    <w:p w:rsidR="0008348B" w:rsidRPr="005C04FB" w:rsidRDefault="0008348B" w:rsidP="008142A7">
      <w:pPr>
        <w:tabs>
          <w:tab w:val="left" w:pos="5593"/>
        </w:tabs>
        <w:spacing w:line="360" w:lineRule="auto"/>
        <w:jc w:val="both"/>
        <w:rPr>
          <w:rFonts w:ascii="Arial" w:hAnsi="Arial" w:cs="Arial"/>
          <w:b/>
          <w:bCs/>
          <w:color w:val="0C0C0C"/>
          <w:sz w:val="20"/>
          <w:szCs w:val="20"/>
          <w:lang w:eastAsia="en-IN"/>
        </w:rPr>
      </w:pPr>
      <w:r w:rsidRPr="005C04FB">
        <w:rPr>
          <w:rFonts w:ascii="Arial" w:hAnsi="Arial" w:cs="Arial"/>
          <w:b/>
          <w:bCs/>
          <w:color w:val="0C0C0C"/>
          <w:sz w:val="20"/>
          <w:szCs w:val="20"/>
          <w:lang w:eastAsia="en-IN"/>
        </w:rPr>
        <w:t>2.2 Field Survey and Collection of Plant Specimens</w:t>
      </w:r>
      <w:r w:rsidR="008142A7" w:rsidRPr="005C04FB">
        <w:rPr>
          <w:rFonts w:ascii="Arial" w:hAnsi="Arial" w:cs="Arial"/>
          <w:b/>
          <w:bCs/>
          <w:color w:val="0C0C0C"/>
          <w:sz w:val="20"/>
          <w:szCs w:val="20"/>
          <w:lang w:eastAsia="en-IN"/>
        </w:rPr>
        <w:tab/>
      </w:r>
    </w:p>
    <w:p w:rsidR="001A4779" w:rsidRPr="005C04FB" w:rsidRDefault="0008348B" w:rsidP="00C4332A">
      <w:pPr>
        <w:pStyle w:val="NormalWeb"/>
        <w:spacing w:line="360" w:lineRule="auto"/>
        <w:jc w:val="both"/>
        <w:rPr>
          <w:rStyle w:val="unknown-copy-source"/>
          <w:rFonts w:ascii="Arial" w:hAnsi="Arial" w:cs="Arial"/>
          <w:color w:val="000000"/>
          <w:sz w:val="20"/>
          <w:szCs w:val="20"/>
        </w:rPr>
      </w:pPr>
      <w:r w:rsidRPr="005C04FB">
        <w:rPr>
          <w:rStyle w:val="unknown-copy-source"/>
          <w:rFonts w:ascii="Arial" w:hAnsi="Arial" w:cs="Arial"/>
          <w:color w:val="000000"/>
          <w:sz w:val="20"/>
          <w:szCs w:val="20"/>
        </w:rPr>
        <w:t xml:space="preserve">Field investigations were conducted to document the use of medicinal plants, their methods of administration, and the therapeutic parts involved, with the participation of community elders and healers </w:t>
      </w:r>
      <w:r w:rsidRPr="005C04FB">
        <w:rPr>
          <w:rStyle w:val="paperpal-citation"/>
          <w:rFonts w:ascii="Arial" w:hAnsi="Arial" w:cs="Arial"/>
          <w:color w:val="000000"/>
          <w:sz w:val="20"/>
          <w:szCs w:val="20"/>
        </w:rPr>
        <w:t xml:space="preserve">(Anis </w:t>
      </w:r>
      <w:r w:rsidRPr="005C04FB">
        <w:rPr>
          <w:rStyle w:val="paperpal-citation"/>
          <w:rFonts w:ascii="Arial" w:hAnsi="Arial" w:cs="Arial"/>
          <w:i/>
          <w:iCs/>
          <w:color w:val="000000"/>
          <w:sz w:val="20"/>
          <w:szCs w:val="20"/>
        </w:rPr>
        <w:t>et al.,</w:t>
      </w:r>
      <w:r w:rsidRPr="005C04FB">
        <w:rPr>
          <w:rStyle w:val="paperpal-citation"/>
          <w:rFonts w:ascii="Arial" w:hAnsi="Arial" w:cs="Arial"/>
          <w:color w:val="000000"/>
          <w:sz w:val="20"/>
          <w:szCs w:val="20"/>
        </w:rPr>
        <w:t xml:space="preserve"> 2000). </w:t>
      </w:r>
      <w:r w:rsidRPr="005C04FB">
        <w:rPr>
          <w:rStyle w:val="unknown-copy-source"/>
          <w:rFonts w:ascii="Arial" w:hAnsi="Arial" w:cs="Arial"/>
          <w:color w:val="000000"/>
          <w:sz w:val="20"/>
          <w:szCs w:val="20"/>
        </w:rPr>
        <w:t xml:space="preserve">Rhizomes of the species were collected from </w:t>
      </w:r>
      <w:proofErr w:type="spellStart"/>
      <w:r w:rsidRPr="005C04FB">
        <w:rPr>
          <w:rStyle w:val="unknown-copy-source"/>
          <w:rFonts w:ascii="Arial" w:hAnsi="Arial" w:cs="Arial"/>
          <w:color w:val="000000"/>
          <w:sz w:val="20"/>
          <w:szCs w:val="20"/>
        </w:rPr>
        <w:t>Mawar</w:t>
      </w:r>
      <w:proofErr w:type="spellEnd"/>
      <w:r w:rsidRPr="005C04FB">
        <w:rPr>
          <w:rStyle w:val="unknown-copy-source"/>
          <w:rFonts w:ascii="Arial" w:hAnsi="Arial" w:cs="Arial"/>
          <w:color w:val="000000"/>
          <w:sz w:val="20"/>
          <w:szCs w:val="20"/>
        </w:rPr>
        <w:t xml:space="preserve"> and </w:t>
      </w:r>
      <w:proofErr w:type="spellStart"/>
      <w:r w:rsidRPr="005C04FB">
        <w:rPr>
          <w:rStyle w:val="unknown-copy-source"/>
          <w:rFonts w:ascii="Arial" w:hAnsi="Arial" w:cs="Arial"/>
          <w:color w:val="000000"/>
          <w:sz w:val="20"/>
          <w:szCs w:val="20"/>
        </w:rPr>
        <w:t>Rafiabad</w:t>
      </w:r>
      <w:proofErr w:type="spellEnd"/>
      <w:r w:rsidRPr="005C04FB">
        <w:rPr>
          <w:rStyle w:val="unknown-copy-source"/>
          <w:rFonts w:ascii="Arial" w:hAnsi="Arial" w:cs="Arial"/>
          <w:color w:val="000000"/>
          <w:sz w:val="20"/>
          <w:szCs w:val="20"/>
        </w:rPr>
        <w:t xml:space="preserve"> (</w:t>
      </w:r>
      <w:proofErr w:type="spellStart"/>
      <w:r w:rsidRPr="005C04FB">
        <w:rPr>
          <w:rStyle w:val="unknown-copy-source"/>
          <w:rFonts w:ascii="Arial" w:hAnsi="Arial" w:cs="Arial"/>
          <w:color w:val="000000"/>
          <w:sz w:val="20"/>
          <w:szCs w:val="20"/>
        </w:rPr>
        <w:t>Langate</w:t>
      </w:r>
      <w:proofErr w:type="spellEnd"/>
      <w:r w:rsidRPr="005C04FB">
        <w:rPr>
          <w:rStyle w:val="unknown-copy-source"/>
          <w:rFonts w:ascii="Arial" w:hAnsi="Arial" w:cs="Arial"/>
          <w:color w:val="000000"/>
          <w:sz w:val="20"/>
          <w:szCs w:val="20"/>
        </w:rPr>
        <w:t xml:space="preserve"> Forest Division) for extraction and chemical analyses. The samples were authenticated using herbarium vouchers. </w:t>
      </w:r>
    </w:p>
    <w:p w:rsidR="001A4779" w:rsidRPr="005C04FB" w:rsidRDefault="001A4779" w:rsidP="001A4779">
      <w:pPr>
        <w:pStyle w:val="Heading3"/>
        <w:rPr>
          <w:rFonts w:ascii="Arial" w:hAnsi="Arial" w:cs="Arial"/>
          <w:sz w:val="20"/>
          <w:szCs w:val="20"/>
        </w:rPr>
      </w:pPr>
      <w:r w:rsidRPr="005C04FB">
        <w:rPr>
          <w:rStyle w:val="Strong"/>
          <w:rFonts w:ascii="Arial" w:hAnsi="Arial" w:cs="Arial"/>
          <w:b/>
          <w:bCs/>
          <w:sz w:val="20"/>
          <w:szCs w:val="20"/>
        </w:rPr>
        <w:t>2.3 Extraction and GC–MS Analysis of Bioactive Compounds</w:t>
      </w:r>
    </w:p>
    <w:p w:rsidR="0008348B" w:rsidRPr="005C04FB" w:rsidRDefault="004D35F6" w:rsidP="00C4332A">
      <w:pPr>
        <w:pStyle w:val="NormalWeb"/>
        <w:spacing w:line="360" w:lineRule="auto"/>
        <w:jc w:val="both"/>
        <w:rPr>
          <w:rStyle w:val="paperpal-citation"/>
          <w:rFonts w:ascii="Arial" w:hAnsi="Arial" w:cs="Arial"/>
          <w:color w:val="000000"/>
          <w:sz w:val="20"/>
          <w:szCs w:val="20"/>
        </w:rPr>
      </w:pPr>
      <w:r w:rsidRPr="005C04FB">
        <w:rPr>
          <w:rFonts w:ascii="Arial" w:hAnsi="Arial" w:cs="Arial"/>
          <w:sz w:val="20"/>
          <w:szCs w:val="20"/>
        </w:rPr>
        <w:t>The air-dried and finely powdered rhizomes were subjected to Soxhlet extraction, followed by filtration as described by Abdel-Lateef et al. (2016)</w:t>
      </w:r>
      <w:r w:rsidRPr="005C04FB">
        <w:rPr>
          <w:rStyle w:val="unknown-copy-source"/>
          <w:rFonts w:ascii="Arial" w:hAnsi="Arial" w:cs="Arial"/>
          <w:color w:val="000000"/>
          <w:sz w:val="20"/>
          <w:szCs w:val="20"/>
        </w:rPr>
        <w:t>. T</w:t>
      </w:r>
      <w:r w:rsidRPr="005C04FB">
        <w:rPr>
          <w:rFonts w:ascii="Arial" w:hAnsi="Arial" w:cs="Arial"/>
          <w:sz w:val="20"/>
          <w:szCs w:val="20"/>
        </w:rPr>
        <w:t xml:space="preserve">he resulting methanolic extracts were subsequently </w:t>
      </w:r>
      <w:proofErr w:type="spellStart"/>
      <w:r w:rsidRPr="005C04FB">
        <w:rPr>
          <w:rFonts w:ascii="Arial" w:hAnsi="Arial" w:cs="Arial"/>
          <w:sz w:val="20"/>
          <w:szCs w:val="20"/>
        </w:rPr>
        <w:t>analyzed</w:t>
      </w:r>
      <w:proofErr w:type="spellEnd"/>
      <w:r w:rsidRPr="005C04FB">
        <w:rPr>
          <w:rFonts w:ascii="Arial" w:hAnsi="Arial" w:cs="Arial"/>
          <w:sz w:val="20"/>
          <w:szCs w:val="20"/>
        </w:rPr>
        <w:t xml:space="preserve"> using Gas Chromatography–Mass Spectrometry (GC–MS) to characterise the volatile and semi-volatile bioactive constituents. </w:t>
      </w:r>
      <w:r w:rsidR="00B71B7C" w:rsidRPr="005C04FB">
        <w:rPr>
          <w:rFonts w:ascii="Arial" w:hAnsi="Arial" w:cs="Arial"/>
          <w:sz w:val="20"/>
          <w:szCs w:val="20"/>
        </w:rPr>
        <w:t xml:space="preserve">Chromatographic separation was carried out on a </w:t>
      </w:r>
      <w:r w:rsidR="00B71B7C" w:rsidRPr="005C04FB">
        <w:rPr>
          <w:rStyle w:val="Strong"/>
          <w:rFonts w:ascii="Arial" w:hAnsi="Arial" w:cs="Arial"/>
          <w:b w:val="0"/>
          <w:bCs w:val="0"/>
          <w:sz w:val="20"/>
          <w:szCs w:val="20"/>
        </w:rPr>
        <w:t>capillary column</w:t>
      </w:r>
      <w:r w:rsidR="00B71B7C" w:rsidRPr="005C04FB">
        <w:rPr>
          <w:rFonts w:ascii="Arial" w:hAnsi="Arial" w:cs="Arial"/>
          <w:sz w:val="20"/>
          <w:szCs w:val="20"/>
        </w:rPr>
        <w:t>, with helium as the carrier gas. The ioni</w:t>
      </w:r>
      <w:r w:rsidRPr="005C04FB">
        <w:rPr>
          <w:rFonts w:ascii="Arial" w:hAnsi="Arial" w:cs="Arial"/>
          <w:sz w:val="20"/>
          <w:szCs w:val="20"/>
        </w:rPr>
        <w:t>s</w:t>
      </w:r>
      <w:r w:rsidR="00B71B7C" w:rsidRPr="005C04FB">
        <w:rPr>
          <w:rFonts w:ascii="Arial" w:hAnsi="Arial" w:cs="Arial"/>
          <w:sz w:val="20"/>
          <w:szCs w:val="20"/>
        </w:rPr>
        <w:t xml:space="preserve">ation mode was </w:t>
      </w:r>
      <w:r w:rsidR="00B71B7C" w:rsidRPr="005C04FB">
        <w:rPr>
          <w:rStyle w:val="Strong"/>
          <w:rFonts w:ascii="Arial" w:hAnsi="Arial" w:cs="Arial"/>
          <w:b w:val="0"/>
          <w:bCs w:val="0"/>
          <w:sz w:val="20"/>
          <w:szCs w:val="20"/>
        </w:rPr>
        <w:t>electron impact (EI)</w:t>
      </w:r>
      <w:r w:rsidR="00B71B7C" w:rsidRPr="005C04FB">
        <w:rPr>
          <w:rFonts w:ascii="Arial" w:hAnsi="Arial" w:cs="Arial"/>
          <w:b/>
          <w:bCs/>
          <w:sz w:val="20"/>
          <w:szCs w:val="20"/>
        </w:rPr>
        <w:t>,</w:t>
      </w:r>
      <w:r w:rsidR="00B71B7C" w:rsidRPr="005C04FB">
        <w:rPr>
          <w:rFonts w:ascii="Arial" w:hAnsi="Arial" w:cs="Arial"/>
          <w:sz w:val="20"/>
          <w:szCs w:val="20"/>
        </w:rPr>
        <w:t xml:space="preserve"> and compounds were identified by comparing their </w:t>
      </w:r>
      <w:r w:rsidR="00B71B7C" w:rsidRPr="005C04FB">
        <w:rPr>
          <w:rStyle w:val="Strong"/>
          <w:rFonts w:ascii="Arial" w:hAnsi="Arial" w:cs="Arial"/>
          <w:b w:val="0"/>
          <w:bCs w:val="0"/>
          <w:sz w:val="20"/>
          <w:szCs w:val="20"/>
        </w:rPr>
        <w:t>mass spectra with NIST library databases</w:t>
      </w:r>
      <w:r w:rsidR="00B71B7C" w:rsidRPr="005C04FB">
        <w:rPr>
          <w:rFonts w:ascii="Arial" w:hAnsi="Arial" w:cs="Arial"/>
          <w:sz w:val="20"/>
          <w:szCs w:val="20"/>
        </w:rPr>
        <w:t xml:space="preserve"> (</w:t>
      </w:r>
      <w:hyperlink r:id="rId8" w:tgtFrame="_new" w:history="1">
        <w:r w:rsidR="00B71B7C" w:rsidRPr="005C04FB">
          <w:rPr>
            <w:rFonts w:ascii="Arial" w:hAnsi="Arial" w:cs="Arial"/>
            <w:sz w:val="20"/>
            <w:szCs w:val="20"/>
          </w:rPr>
          <w:t>Garg et al., 2024)</w:t>
        </w:r>
      </w:hyperlink>
      <w:r w:rsidR="00B71B7C" w:rsidRPr="005C04FB">
        <w:rPr>
          <w:rFonts w:ascii="Arial" w:hAnsi="Arial" w:cs="Arial"/>
          <w:sz w:val="20"/>
          <w:szCs w:val="20"/>
        </w:rPr>
        <w:t>.</w:t>
      </w:r>
    </w:p>
    <w:p w:rsidR="00143788" w:rsidRPr="005C04FB" w:rsidRDefault="00143788" w:rsidP="00C4332A">
      <w:pPr>
        <w:spacing w:line="360" w:lineRule="auto"/>
        <w:jc w:val="both"/>
        <w:rPr>
          <w:rFonts w:ascii="Arial" w:hAnsi="Arial" w:cs="Arial"/>
          <w:sz w:val="20"/>
          <w:szCs w:val="20"/>
          <w:lang w:eastAsia="en-IN"/>
        </w:rPr>
      </w:pPr>
      <w:r w:rsidRPr="005C04FB">
        <w:rPr>
          <w:rFonts w:ascii="Arial" w:hAnsi="Arial" w:cs="Arial"/>
          <w:b/>
          <w:bCs/>
          <w:sz w:val="20"/>
          <w:szCs w:val="20"/>
          <w:lang w:eastAsia="en-IN"/>
        </w:rPr>
        <w:t xml:space="preserve">3.     Results </w:t>
      </w:r>
    </w:p>
    <w:p w:rsidR="00143788" w:rsidRPr="005C04FB" w:rsidRDefault="00143788" w:rsidP="00415C40">
      <w:pPr>
        <w:spacing w:line="360" w:lineRule="auto"/>
        <w:jc w:val="both"/>
        <w:rPr>
          <w:rFonts w:ascii="Arial" w:hAnsi="Arial" w:cs="Arial"/>
          <w:sz w:val="20"/>
          <w:szCs w:val="20"/>
          <w:lang w:eastAsia="en-IN"/>
        </w:rPr>
      </w:pPr>
      <w:r w:rsidRPr="005C04FB">
        <w:rPr>
          <w:rFonts w:ascii="Arial" w:hAnsi="Arial" w:cs="Arial"/>
          <w:sz w:val="20"/>
          <w:szCs w:val="20"/>
          <w:lang w:eastAsia="en-IN"/>
        </w:rPr>
        <w:t xml:space="preserve">Ethnobotanical documentation from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Forest Division of Kashmir has revealed that </w:t>
      </w:r>
      <w:proofErr w:type="spellStart"/>
      <w:r w:rsidRPr="005C04FB">
        <w:rPr>
          <w:rFonts w:ascii="Arial" w:hAnsi="Arial" w:cs="Arial"/>
          <w:i/>
          <w:iCs/>
          <w:sz w:val="20"/>
          <w:szCs w:val="20"/>
          <w:lang w:eastAsia="en-IN"/>
        </w:rPr>
        <w:t>Valeriana</w:t>
      </w:r>
      <w:proofErr w:type="spellEnd"/>
      <w:r w:rsidRPr="005C04FB">
        <w:rPr>
          <w:rFonts w:ascii="Arial" w:hAnsi="Arial" w:cs="Arial"/>
          <w:i/>
          <w:iCs/>
          <w:sz w:val="20"/>
          <w:szCs w:val="20"/>
          <w:lang w:eastAsia="en-IN"/>
        </w:rPr>
        <w:t xml:space="preserve"> </w:t>
      </w:r>
      <w:proofErr w:type="spellStart"/>
      <w:r w:rsidRPr="005C04FB">
        <w:rPr>
          <w:rFonts w:ascii="Arial" w:hAnsi="Arial" w:cs="Arial"/>
          <w:i/>
          <w:iCs/>
          <w:sz w:val="20"/>
          <w:szCs w:val="20"/>
          <w:lang w:eastAsia="en-IN"/>
        </w:rPr>
        <w:t>jatamansi</w:t>
      </w:r>
      <w:proofErr w:type="spellEnd"/>
      <w:r w:rsidRPr="005C04FB">
        <w:rPr>
          <w:rFonts w:ascii="Arial" w:hAnsi="Arial" w:cs="Arial"/>
          <w:sz w:val="20"/>
          <w:szCs w:val="20"/>
          <w:lang w:eastAsia="en-IN"/>
        </w:rPr>
        <w:t xml:space="preserve"> </w:t>
      </w:r>
      <w:r w:rsidRPr="005C04FB">
        <w:rPr>
          <w:rStyle w:val="ai-insert"/>
          <w:rFonts w:ascii="Arial" w:hAnsi="Arial" w:cs="Arial"/>
          <w:sz w:val="20"/>
          <w:szCs w:val="20"/>
        </w:rPr>
        <w:t>Jones</w:t>
      </w:r>
      <w:r w:rsidRPr="005C04FB">
        <w:rPr>
          <w:rFonts w:ascii="Arial" w:hAnsi="Arial" w:cs="Arial"/>
          <w:sz w:val="20"/>
          <w:szCs w:val="20"/>
          <w:lang w:eastAsia="en-IN"/>
        </w:rPr>
        <w:t xml:space="preserve"> is locally recognized by several vernacular names and is widely used in traditional medicine. The species is commonly referred to as </w:t>
      </w:r>
      <w:proofErr w:type="spellStart"/>
      <w:r w:rsidRPr="005C04FB">
        <w:rPr>
          <w:rFonts w:ascii="Arial" w:hAnsi="Arial" w:cs="Arial"/>
          <w:bCs/>
          <w:sz w:val="20"/>
          <w:szCs w:val="20"/>
          <w:lang w:eastAsia="en-IN"/>
        </w:rPr>
        <w:t>Mushkbala</w:t>
      </w:r>
      <w:proofErr w:type="spellEnd"/>
      <w:r w:rsidRPr="005C04FB">
        <w:rPr>
          <w:rFonts w:ascii="Arial" w:hAnsi="Arial" w:cs="Arial"/>
          <w:sz w:val="20"/>
          <w:szCs w:val="20"/>
          <w:lang w:eastAsia="en-IN"/>
        </w:rPr>
        <w:t xml:space="preserve"> in Kashmiri and Hindi, </w:t>
      </w:r>
      <w:proofErr w:type="spellStart"/>
      <w:r w:rsidRPr="005C04FB">
        <w:rPr>
          <w:rFonts w:ascii="Arial" w:hAnsi="Arial" w:cs="Arial"/>
          <w:bCs/>
          <w:sz w:val="20"/>
          <w:szCs w:val="20"/>
          <w:lang w:eastAsia="en-IN"/>
        </w:rPr>
        <w:t>Bhutijatt</w:t>
      </w:r>
      <w:proofErr w:type="spellEnd"/>
      <w:r w:rsidRPr="005C04FB">
        <w:rPr>
          <w:rFonts w:ascii="Arial" w:hAnsi="Arial" w:cs="Arial"/>
          <w:sz w:val="20"/>
          <w:szCs w:val="20"/>
          <w:lang w:eastAsia="en-IN"/>
        </w:rPr>
        <w:t xml:space="preserve"> in the local Kashmiri dialect, </w:t>
      </w:r>
      <w:proofErr w:type="spellStart"/>
      <w:r w:rsidRPr="005C04FB">
        <w:rPr>
          <w:rFonts w:ascii="Arial" w:hAnsi="Arial" w:cs="Arial"/>
          <w:bCs/>
          <w:sz w:val="20"/>
          <w:szCs w:val="20"/>
          <w:lang w:eastAsia="en-IN"/>
        </w:rPr>
        <w:t>Tagar</w:t>
      </w:r>
      <w:proofErr w:type="spellEnd"/>
      <w:r w:rsidRPr="005C04FB">
        <w:rPr>
          <w:rFonts w:ascii="Arial" w:hAnsi="Arial" w:cs="Arial"/>
          <w:bCs/>
          <w:sz w:val="20"/>
          <w:szCs w:val="20"/>
          <w:lang w:eastAsia="en-IN"/>
        </w:rPr>
        <w:t xml:space="preserve"> or </w:t>
      </w:r>
      <w:proofErr w:type="spellStart"/>
      <w:r w:rsidRPr="005C04FB">
        <w:rPr>
          <w:rFonts w:ascii="Arial" w:hAnsi="Arial" w:cs="Arial"/>
          <w:bCs/>
          <w:sz w:val="20"/>
          <w:szCs w:val="20"/>
          <w:lang w:eastAsia="en-IN"/>
        </w:rPr>
        <w:t>Tagara</w:t>
      </w:r>
      <w:proofErr w:type="spellEnd"/>
      <w:r w:rsidRPr="005C04FB">
        <w:rPr>
          <w:rFonts w:ascii="Arial" w:hAnsi="Arial" w:cs="Arial"/>
          <w:sz w:val="20"/>
          <w:szCs w:val="20"/>
          <w:lang w:eastAsia="en-IN"/>
        </w:rPr>
        <w:t xml:space="preserve"> in Sanskrit and Ayurvedic literature. As summari</w:t>
      </w:r>
      <w:r w:rsidR="00B71B7C" w:rsidRPr="005C04FB">
        <w:rPr>
          <w:rFonts w:ascii="Arial" w:hAnsi="Arial" w:cs="Arial"/>
          <w:sz w:val="20"/>
          <w:szCs w:val="20"/>
          <w:lang w:eastAsia="en-IN"/>
        </w:rPr>
        <w:t>s</w:t>
      </w:r>
      <w:r w:rsidRPr="005C04FB">
        <w:rPr>
          <w:rFonts w:ascii="Arial" w:hAnsi="Arial" w:cs="Arial"/>
          <w:sz w:val="20"/>
          <w:szCs w:val="20"/>
          <w:lang w:eastAsia="en-IN"/>
        </w:rPr>
        <w:t xml:space="preserve">ed in </w:t>
      </w:r>
      <w:r w:rsidRPr="005C04FB">
        <w:rPr>
          <w:rFonts w:ascii="Arial" w:hAnsi="Arial" w:cs="Arial"/>
          <w:bCs/>
          <w:sz w:val="20"/>
          <w:szCs w:val="20"/>
          <w:lang w:eastAsia="en-IN"/>
        </w:rPr>
        <w:t>Table 1,</w:t>
      </w:r>
      <w:r w:rsidRPr="005C04FB">
        <w:rPr>
          <w:rFonts w:ascii="Arial" w:hAnsi="Arial" w:cs="Arial"/>
          <w:sz w:val="20"/>
          <w:szCs w:val="20"/>
          <w:lang w:eastAsia="en-IN"/>
        </w:rPr>
        <w:t xml:space="preserve"> the roots and rhizomes of </w:t>
      </w:r>
      <w:r w:rsidRPr="005C04FB">
        <w:rPr>
          <w:rFonts w:ascii="Arial" w:hAnsi="Arial" w:cs="Arial"/>
          <w:i/>
          <w:iCs/>
          <w:sz w:val="20"/>
          <w:szCs w:val="20"/>
          <w:lang w:eastAsia="en-IN"/>
        </w:rPr>
        <w:t xml:space="preserve">V. </w:t>
      </w:r>
      <w:proofErr w:type="spellStart"/>
      <w:r w:rsidRPr="005C04FB">
        <w:rPr>
          <w:rFonts w:ascii="Arial" w:hAnsi="Arial" w:cs="Arial"/>
          <w:i/>
          <w:iCs/>
          <w:sz w:val="20"/>
          <w:szCs w:val="20"/>
          <w:lang w:eastAsia="en-IN"/>
        </w:rPr>
        <w:t>jatamansi</w:t>
      </w:r>
      <w:proofErr w:type="spellEnd"/>
      <w:r w:rsidRPr="005C04FB">
        <w:rPr>
          <w:rFonts w:ascii="Arial" w:hAnsi="Arial" w:cs="Arial"/>
          <w:i/>
          <w:iCs/>
          <w:sz w:val="20"/>
          <w:szCs w:val="20"/>
          <w:lang w:eastAsia="en-IN"/>
        </w:rPr>
        <w:t xml:space="preserve"> </w:t>
      </w:r>
      <w:r w:rsidRPr="005C04FB">
        <w:rPr>
          <w:rStyle w:val="ai-insert"/>
          <w:rFonts w:ascii="Arial" w:hAnsi="Arial" w:cs="Arial"/>
          <w:sz w:val="20"/>
          <w:szCs w:val="20"/>
        </w:rPr>
        <w:t>Jones</w:t>
      </w:r>
      <w:r w:rsidRPr="005C04FB">
        <w:rPr>
          <w:rFonts w:ascii="Arial" w:hAnsi="Arial" w:cs="Arial"/>
          <w:sz w:val="20"/>
          <w:szCs w:val="20"/>
          <w:lang w:eastAsia="en-IN"/>
        </w:rPr>
        <w:t xml:space="preserve"> are utilized in multiple traditional preparations. </w:t>
      </w:r>
      <w:r w:rsidRPr="005C04FB">
        <w:rPr>
          <w:rFonts w:ascii="Arial" w:hAnsi="Arial" w:cs="Arial"/>
          <w:color w:val="000000"/>
          <w:sz w:val="20"/>
          <w:szCs w:val="20"/>
          <w:lang w:eastAsia="en-IN"/>
        </w:rPr>
        <w:t xml:space="preserve">The preparation of dried and powdered roots into herbal teas or infusions aligns with its traditional role in calming the nervous system and promoting sleep, indicating its anxiolytic and sedative properties. </w:t>
      </w:r>
      <w:r w:rsidRPr="005C04FB">
        <w:rPr>
          <w:rFonts w:ascii="Arial" w:hAnsi="Arial" w:cs="Arial"/>
          <w:color w:val="0D0D0D"/>
          <w:sz w:val="20"/>
          <w:szCs w:val="20"/>
          <w:lang w:eastAsia="en-IN"/>
        </w:rPr>
        <w:t>GC-</w:t>
      </w:r>
      <w:r w:rsidRPr="005C04FB">
        <w:rPr>
          <w:rFonts w:ascii="Arial" w:hAnsi="Arial" w:cs="Arial"/>
          <w:color w:val="0D0D0D"/>
          <w:sz w:val="20"/>
          <w:szCs w:val="20"/>
          <w:lang w:eastAsia="en-IN"/>
        </w:rPr>
        <w:lastRenderedPageBreak/>
        <w:t xml:space="preserve">MS analysis revealed that </w:t>
      </w:r>
      <w:r w:rsidRPr="005C04FB">
        <w:rPr>
          <w:rFonts w:ascii="Arial" w:hAnsi="Arial" w:cs="Arial"/>
          <w:sz w:val="20"/>
          <w:szCs w:val="20"/>
          <w:lang w:eastAsia="en-IN"/>
        </w:rPr>
        <w:t xml:space="preserve">the major constituent detected was </w:t>
      </w:r>
      <w:r w:rsidRPr="005C04FB">
        <w:rPr>
          <w:rFonts w:ascii="Arial" w:hAnsi="Arial" w:cs="Arial"/>
          <w:bCs/>
          <w:sz w:val="20"/>
          <w:szCs w:val="20"/>
          <w:lang w:eastAsia="en-IN"/>
        </w:rPr>
        <w:t>patchouli alcohol (46.01%)</w:t>
      </w:r>
      <w:r w:rsidRPr="005C04FB">
        <w:rPr>
          <w:rFonts w:ascii="Arial" w:hAnsi="Arial" w:cs="Arial"/>
          <w:sz w:val="20"/>
          <w:szCs w:val="20"/>
          <w:lang w:eastAsia="en-IN"/>
        </w:rPr>
        <w:t xml:space="preserve">, followed by </w:t>
      </w:r>
      <w:proofErr w:type="spellStart"/>
      <w:r w:rsidRPr="005C04FB">
        <w:rPr>
          <w:rFonts w:ascii="Arial" w:hAnsi="Arial" w:cs="Arial"/>
          <w:bCs/>
          <w:sz w:val="20"/>
          <w:szCs w:val="20"/>
          <w:lang w:eastAsia="en-IN"/>
        </w:rPr>
        <w:t>maaliol</w:t>
      </w:r>
      <w:proofErr w:type="spellEnd"/>
      <w:r w:rsidRPr="005C04FB">
        <w:rPr>
          <w:rFonts w:ascii="Arial" w:hAnsi="Arial" w:cs="Arial"/>
          <w:bCs/>
          <w:sz w:val="20"/>
          <w:szCs w:val="20"/>
          <w:lang w:eastAsia="en-IN"/>
        </w:rPr>
        <w:t xml:space="preserve"> (26.53%)</w:t>
      </w:r>
      <w:r w:rsidRPr="005C04FB">
        <w:rPr>
          <w:rFonts w:ascii="Arial" w:hAnsi="Arial" w:cs="Arial"/>
          <w:sz w:val="20"/>
          <w:szCs w:val="20"/>
          <w:lang w:eastAsia="en-IN"/>
        </w:rPr>
        <w:t xml:space="preserve"> and </w:t>
      </w:r>
      <w:proofErr w:type="spellStart"/>
      <w:r w:rsidRPr="005C04FB">
        <w:rPr>
          <w:rFonts w:ascii="Arial" w:hAnsi="Arial" w:cs="Arial"/>
          <w:bCs/>
          <w:sz w:val="20"/>
          <w:szCs w:val="20"/>
          <w:lang w:eastAsia="en-IN"/>
        </w:rPr>
        <w:t>calarene</w:t>
      </w:r>
      <w:proofErr w:type="spellEnd"/>
      <w:r w:rsidRPr="005C04FB">
        <w:rPr>
          <w:rFonts w:ascii="Arial" w:hAnsi="Arial" w:cs="Arial"/>
          <w:bCs/>
          <w:sz w:val="20"/>
          <w:szCs w:val="20"/>
          <w:lang w:eastAsia="en-IN"/>
        </w:rPr>
        <w:t xml:space="preserve"> (β-</w:t>
      </w:r>
      <w:proofErr w:type="spellStart"/>
      <w:r w:rsidRPr="005C04FB">
        <w:rPr>
          <w:rFonts w:ascii="Arial" w:hAnsi="Arial" w:cs="Arial"/>
          <w:bCs/>
          <w:sz w:val="20"/>
          <w:szCs w:val="20"/>
          <w:lang w:eastAsia="en-IN"/>
        </w:rPr>
        <w:t>gurjunene</w:t>
      </w:r>
      <w:proofErr w:type="spellEnd"/>
      <w:r w:rsidRPr="005C04FB">
        <w:rPr>
          <w:rFonts w:ascii="Arial" w:hAnsi="Arial" w:cs="Arial"/>
          <w:bCs/>
          <w:sz w:val="20"/>
          <w:szCs w:val="20"/>
          <w:lang w:eastAsia="en-IN"/>
        </w:rPr>
        <w:t>) (17.39%)</w:t>
      </w:r>
      <w:r w:rsidRPr="005C04FB">
        <w:rPr>
          <w:rFonts w:ascii="Arial" w:hAnsi="Arial" w:cs="Arial"/>
          <w:sz w:val="20"/>
          <w:szCs w:val="20"/>
          <w:lang w:eastAsia="en-IN"/>
        </w:rPr>
        <w:t xml:space="preserve">, indicating that sesquiterpene alcohols and hydrocarbons dominate the volatile composition of the extract (Fig. 1 and Table 2). </w:t>
      </w:r>
      <w:proofErr w:type="spellStart"/>
      <w:r w:rsidR="00CF1CDD" w:rsidRPr="005C04FB">
        <w:rPr>
          <w:rFonts w:ascii="Arial" w:hAnsi="Arial" w:cs="Arial"/>
          <w:i/>
          <w:iCs/>
          <w:sz w:val="20"/>
          <w:szCs w:val="20"/>
          <w:lang w:eastAsia="en-IN"/>
        </w:rPr>
        <w:t>Valeriana</w:t>
      </w:r>
      <w:proofErr w:type="spellEnd"/>
      <w:r w:rsidR="00CF1CDD" w:rsidRPr="005C04FB">
        <w:rPr>
          <w:rFonts w:ascii="Arial" w:hAnsi="Arial" w:cs="Arial"/>
          <w:i/>
          <w:iCs/>
          <w:sz w:val="20"/>
          <w:szCs w:val="20"/>
          <w:lang w:eastAsia="en-IN"/>
        </w:rPr>
        <w:t xml:space="preserve"> </w:t>
      </w:r>
      <w:proofErr w:type="spellStart"/>
      <w:r w:rsidR="00CF1CDD" w:rsidRPr="005C04FB">
        <w:rPr>
          <w:rFonts w:ascii="Arial" w:hAnsi="Arial" w:cs="Arial"/>
          <w:i/>
          <w:iCs/>
          <w:sz w:val="20"/>
          <w:szCs w:val="20"/>
          <w:lang w:eastAsia="en-IN"/>
        </w:rPr>
        <w:t>jatamansi</w:t>
      </w:r>
      <w:proofErr w:type="spellEnd"/>
      <w:r w:rsidR="00CF1CDD" w:rsidRPr="005C04FB">
        <w:rPr>
          <w:rFonts w:ascii="Arial" w:hAnsi="Arial" w:cs="Arial"/>
          <w:sz w:val="20"/>
          <w:szCs w:val="20"/>
          <w:lang w:eastAsia="en-IN"/>
        </w:rPr>
        <w:t xml:space="preserve"> </w:t>
      </w:r>
      <w:r w:rsidR="006C1138" w:rsidRPr="005C04FB">
        <w:rPr>
          <w:rFonts w:ascii="Arial" w:hAnsi="Arial" w:cs="Arial"/>
          <w:sz w:val="20"/>
          <w:szCs w:val="20"/>
          <w:lang w:eastAsia="en-IN"/>
        </w:rPr>
        <w:t>Jones</w:t>
      </w:r>
      <w:r w:rsidR="00CF1CDD" w:rsidRPr="005C04FB">
        <w:rPr>
          <w:rFonts w:ascii="Arial" w:hAnsi="Arial" w:cs="Arial"/>
          <w:sz w:val="20"/>
          <w:szCs w:val="20"/>
          <w:lang w:eastAsia="en-IN"/>
        </w:rPr>
        <w:t xml:space="preserve"> is rich in both oxygenated and hydrocarbon sesquiterpenes, dominated by patchouli alcohol, with notable </w:t>
      </w:r>
      <w:proofErr w:type="spellStart"/>
      <w:r w:rsidR="00CF1CDD" w:rsidRPr="005C04FB">
        <w:rPr>
          <w:rFonts w:ascii="Arial" w:hAnsi="Arial" w:cs="Arial"/>
          <w:sz w:val="20"/>
          <w:szCs w:val="20"/>
          <w:lang w:eastAsia="en-IN"/>
        </w:rPr>
        <w:t>maaliol</w:t>
      </w:r>
      <w:proofErr w:type="spellEnd"/>
      <w:r w:rsidR="00CF1CDD" w:rsidRPr="005C04FB">
        <w:rPr>
          <w:rFonts w:ascii="Arial" w:hAnsi="Arial" w:cs="Arial"/>
          <w:sz w:val="20"/>
          <w:szCs w:val="20"/>
          <w:lang w:eastAsia="en-IN"/>
        </w:rPr>
        <w:t xml:space="preserve"> and </w:t>
      </w:r>
      <w:proofErr w:type="spellStart"/>
      <w:r w:rsidR="00CF1CDD" w:rsidRPr="005C04FB">
        <w:rPr>
          <w:rFonts w:ascii="Arial" w:hAnsi="Arial" w:cs="Arial"/>
          <w:sz w:val="20"/>
          <w:szCs w:val="20"/>
          <w:lang w:eastAsia="en-IN"/>
        </w:rPr>
        <w:t>calarene</w:t>
      </w:r>
      <w:proofErr w:type="spellEnd"/>
      <w:r w:rsidR="00CF1CDD" w:rsidRPr="005C04FB">
        <w:rPr>
          <w:rFonts w:ascii="Arial" w:hAnsi="Arial" w:cs="Arial"/>
          <w:sz w:val="20"/>
          <w:szCs w:val="20"/>
          <w:lang w:eastAsia="en-IN"/>
        </w:rPr>
        <w:t xml:space="preserve"> levels. Minor constituents include </w:t>
      </w:r>
      <w:proofErr w:type="spellStart"/>
      <w:r w:rsidR="00CF1CDD" w:rsidRPr="005C04FB">
        <w:rPr>
          <w:rFonts w:ascii="Arial" w:hAnsi="Arial" w:cs="Arial"/>
          <w:sz w:val="20"/>
          <w:szCs w:val="20"/>
          <w:lang w:eastAsia="en-IN"/>
        </w:rPr>
        <w:t>seychellene</w:t>
      </w:r>
      <w:proofErr w:type="spellEnd"/>
      <w:r w:rsidR="00CF1CDD" w:rsidRPr="005C04FB">
        <w:rPr>
          <w:rFonts w:ascii="Arial" w:hAnsi="Arial" w:cs="Arial"/>
          <w:sz w:val="20"/>
          <w:szCs w:val="20"/>
          <w:lang w:eastAsia="en-IN"/>
        </w:rPr>
        <w:t>, β-</w:t>
      </w:r>
      <w:proofErr w:type="spellStart"/>
      <w:r w:rsidR="00CF1CDD" w:rsidRPr="005C04FB">
        <w:rPr>
          <w:rFonts w:ascii="Arial" w:hAnsi="Arial" w:cs="Arial"/>
          <w:sz w:val="20"/>
          <w:szCs w:val="20"/>
          <w:lang w:eastAsia="en-IN"/>
        </w:rPr>
        <w:t>guaiene</w:t>
      </w:r>
      <w:proofErr w:type="spellEnd"/>
      <w:r w:rsidR="00CF1CDD" w:rsidRPr="005C04FB">
        <w:rPr>
          <w:rFonts w:ascii="Arial" w:hAnsi="Arial" w:cs="Arial"/>
          <w:sz w:val="20"/>
          <w:szCs w:val="20"/>
          <w:lang w:eastAsia="en-IN"/>
        </w:rPr>
        <w:t xml:space="preserve">, and </w:t>
      </w:r>
      <w:proofErr w:type="spellStart"/>
      <w:r w:rsidR="00CF1CDD" w:rsidRPr="005C04FB">
        <w:rPr>
          <w:rFonts w:ascii="Arial" w:hAnsi="Arial" w:cs="Arial"/>
          <w:sz w:val="20"/>
          <w:szCs w:val="20"/>
          <w:lang w:eastAsia="en-IN"/>
        </w:rPr>
        <w:t>viridiflorol</w:t>
      </w:r>
      <w:proofErr w:type="spellEnd"/>
      <w:r w:rsidR="00CF1CDD" w:rsidRPr="005C04FB">
        <w:rPr>
          <w:rFonts w:ascii="Arial" w:hAnsi="Arial" w:cs="Arial"/>
          <w:sz w:val="20"/>
          <w:szCs w:val="20"/>
          <w:lang w:eastAsia="en-IN"/>
        </w:rPr>
        <w:t>. These compounds contribute to the plant’s sedative, antioxidant, anti-inflammatory, and antimicrobial properties (Table 3).</w:t>
      </w:r>
      <w:r w:rsidR="004D35F6" w:rsidRPr="005C04FB">
        <w:rPr>
          <w:rFonts w:ascii="Arial" w:hAnsi="Arial" w:cs="Arial"/>
          <w:sz w:val="20"/>
          <w:szCs w:val="20"/>
          <w:lang w:eastAsia="en-IN"/>
        </w:rPr>
        <w:t xml:space="preserve"> </w:t>
      </w:r>
    </w:p>
    <w:p w:rsidR="00143788" w:rsidRPr="005C04FB" w:rsidRDefault="00143788" w:rsidP="00C4332A">
      <w:pPr>
        <w:spacing w:line="360" w:lineRule="auto"/>
        <w:jc w:val="both"/>
        <w:rPr>
          <w:rFonts w:ascii="Arial" w:hAnsi="Arial" w:cs="Arial"/>
          <w:b/>
          <w:bCs/>
          <w:sz w:val="20"/>
          <w:szCs w:val="20"/>
          <w:lang w:eastAsia="en-IN"/>
        </w:rPr>
      </w:pPr>
      <w:r w:rsidRPr="005C04FB">
        <w:rPr>
          <w:rFonts w:ascii="Arial" w:hAnsi="Arial" w:cs="Arial"/>
          <w:b/>
          <w:bCs/>
          <w:color w:val="000000"/>
          <w:sz w:val="20"/>
          <w:szCs w:val="20"/>
          <w:lang w:eastAsia="en-IN"/>
        </w:rPr>
        <w:t>Table 1. Vernacular Names and Traditional Preparation Methods of </w:t>
      </w:r>
      <w:proofErr w:type="spellStart"/>
      <w:r w:rsidRPr="005C04FB">
        <w:rPr>
          <w:rFonts w:ascii="Arial" w:hAnsi="Arial" w:cs="Arial"/>
          <w:b/>
          <w:bCs/>
          <w:i/>
          <w:iCs/>
          <w:color w:val="000000"/>
          <w:sz w:val="20"/>
          <w:szCs w:val="20"/>
          <w:lang w:eastAsia="en-IN"/>
        </w:rPr>
        <w:t>Valeriana</w:t>
      </w:r>
      <w:proofErr w:type="spellEnd"/>
      <w:r w:rsidRPr="005C04FB">
        <w:rPr>
          <w:rFonts w:ascii="Arial" w:hAnsi="Arial" w:cs="Arial"/>
          <w:b/>
          <w:bCs/>
          <w:i/>
          <w:iCs/>
          <w:color w:val="000000"/>
          <w:sz w:val="20"/>
          <w:szCs w:val="20"/>
          <w:lang w:eastAsia="en-IN"/>
        </w:rPr>
        <w:t xml:space="preserve"> </w:t>
      </w:r>
      <w:proofErr w:type="spellStart"/>
      <w:r w:rsidRPr="005C04FB">
        <w:rPr>
          <w:rFonts w:ascii="Arial" w:hAnsi="Arial" w:cs="Arial"/>
          <w:b/>
          <w:bCs/>
          <w:i/>
          <w:iCs/>
          <w:color w:val="000000"/>
          <w:sz w:val="20"/>
          <w:szCs w:val="20"/>
          <w:lang w:eastAsia="en-IN"/>
        </w:rPr>
        <w:t>jatamansi</w:t>
      </w:r>
      <w:proofErr w:type="spellEnd"/>
      <w:r w:rsidRPr="005C04FB">
        <w:rPr>
          <w:rFonts w:ascii="Arial" w:hAnsi="Arial" w:cs="Arial"/>
          <w:b/>
          <w:bCs/>
          <w:color w:val="000000"/>
          <w:sz w:val="20"/>
          <w:szCs w:val="20"/>
          <w:lang w:eastAsia="en-IN"/>
        </w:rPr>
        <w:t xml:space="preserve"> in </w:t>
      </w:r>
      <w:proofErr w:type="spellStart"/>
      <w:r w:rsidRPr="005C04FB">
        <w:rPr>
          <w:rFonts w:ascii="Arial" w:hAnsi="Arial" w:cs="Arial"/>
          <w:b/>
          <w:bCs/>
          <w:color w:val="000000"/>
          <w:sz w:val="20"/>
          <w:szCs w:val="20"/>
          <w:lang w:eastAsia="en-IN"/>
        </w:rPr>
        <w:t>Langate</w:t>
      </w:r>
      <w:proofErr w:type="spellEnd"/>
      <w:r w:rsidRPr="005C04FB">
        <w:rPr>
          <w:rFonts w:ascii="Arial" w:hAnsi="Arial" w:cs="Arial"/>
          <w:b/>
          <w:bCs/>
          <w:color w:val="000000"/>
          <w:sz w:val="20"/>
          <w:szCs w:val="20"/>
          <w:lang w:eastAsia="en-IN"/>
        </w:rPr>
        <w:t xml:space="preserve"> Forest Division Kashmir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7216"/>
      </w:tblGrid>
      <w:tr w:rsidR="00143788" w:rsidRPr="005C04FB" w:rsidTr="000C2686">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3788" w:rsidRPr="005C04FB" w:rsidRDefault="00143788"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Aspect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3788" w:rsidRPr="005C04FB" w:rsidRDefault="00143788"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Details</w:t>
            </w:r>
          </w:p>
        </w:tc>
      </w:tr>
      <w:tr w:rsidR="00143788" w:rsidRPr="005C04FB" w:rsidTr="000C2686">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3788" w:rsidRPr="005C04FB" w:rsidRDefault="00143788"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Vernacular names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3788" w:rsidRPr="005C04FB" w:rsidRDefault="00143788" w:rsidP="00C4332A">
            <w:pPr>
              <w:spacing w:line="360" w:lineRule="auto"/>
              <w:jc w:val="both"/>
              <w:rPr>
                <w:rFonts w:ascii="Arial" w:hAnsi="Arial" w:cs="Arial"/>
                <w:sz w:val="20"/>
                <w:szCs w:val="20"/>
                <w:lang w:eastAsia="en-IN"/>
              </w:rPr>
            </w:pPr>
            <w:proofErr w:type="spellStart"/>
            <w:r w:rsidRPr="005C04FB">
              <w:rPr>
                <w:rFonts w:ascii="Arial" w:hAnsi="Arial" w:cs="Arial"/>
                <w:i/>
                <w:iCs/>
                <w:sz w:val="20"/>
                <w:szCs w:val="20"/>
                <w:lang w:eastAsia="en-IN"/>
              </w:rPr>
              <w:t>Mushkbala</w:t>
            </w:r>
            <w:proofErr w:type="spellEnd"/>
            <w:r w:rsidRPr="005C04FB">
              <w:rPr>
                <w:rFonts w:ascii="Arial" w:hAnsi="Arial" w:cs="Arial"/>
                <w:sz w:val="20"/>
                <w:szCs w:val="20"/>
                <w:lang w:eastAsia="en-IN"/>
              </w:rPr>
              <w:t> (Kashmiri / Hindi); </w:t>
            </w:r>
            <w:proofErr w:type="spellStart"/>
            <w:r w:rsidRPr="005C04FB">
              <w:rPr>
                <w:rFonts w:ascii="Arial" w:hAnsi="Arial" w:cs="Arial"/>
                <w:i/>
                <w:iCs/>
                <w:sz w:val="20"/>
                <w:szCs w:val="20"/>
                <w:lang w:eastAsia="en-IN"/>
              </w:rPr>
              <w:t>Bhutijatt</w:t>
            </w:r>
            <w:proofErr w:type="spellEnd"/>
            <w:r w:rsidRPr="005C04FB">
              <w:rPr>
                <w:rFonts w:ascii="Arial" w:hAnsi="Arial" w:cs="Arial"/>
                <w:sz w:val="20"/>
                <w:szCs w:val="20"/>
                <w:lang w:eastAsia="en-IN"/>
              </w:rPr>
              <w:t> (local Kashmiri name); </w:t>
            </w:r>
            <w:proofErr w:type="spellStart"/>
            <w:r w:rsidRPr="005C04FB">
              <w:rPr>
                <w:rFonts w:ascii="Arial" w:hAnsi="Arial" w:cs="Arial"/>
                <w:i/>
                <w:iCs/>
                <w:sz w:val="20"/>
                <w:szCs w:val="20"/>
                <w:lang w:eastAsia="en-IN"/>
              </w:rPr>
              <w:t>Tagar</w:t>
            </w:r>
            <w:proofErr w:type="spellEnd"/>
            <w:r w:rsidRPr="005C04FB">
              <w:rPr>
                <w:rFonts w:ascii="Arial" w:hAnsi="Arial" w:cs="Arial"/>
                <w:i/>
                <w:iCs/>
                <w:sz w:val="20"/>
                <w:szCs w:val="20"/>
                <w:lang w:eastAsia="en-IN"/>
              </w:rPr>
              <w:t xml:space="preserve"> / </w:t>
            </w:r>
            <w:proofErr w:type="spellStart"/>
            <w:r w:rsidRPr="005C04FB">
              <w:rPr>
                <w:rFonts w:ascii="Arial" w:hAnsi="Arial" w:cs="Arial"/>
                <w:i/>
                <w:iCs/>
                <w:sz w:val="20"/>
                <w:szCs w:val="20"/>
                <w:lang w:eastAsia="en-IN"/>
              </w:rPr>
              <w:t>Tagara</w:t>
            </w:r>
            <w:proofErr w:type="spellEnd"/>
            <w:r w:rsidRPr="005C04FB">
              <w:rPr>
                <w:rFonts w:ascii="Arial" w:hAnsi="Arial" w:cs="Arial"/>
                <w:sz w:val="20"/>
                <w:szCs w:val="20"/>
                <w:lang w:eastAsia="en-IN"/>
              </w:rPr>
              <w:t> (Sanskrit / Ayurvedic trade name)</w:t>
            </w:r>
          </w:p>
        </w:tc>
      </w:tr>
      <w:tr w:rsidR="00143788" w:rsidRPr="005C04FB" w:rsidTr="000C2686">
        <w:trPr>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3788" w:rsidRPr="005C04FB" w:rsidRDefault="00143788"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Preparation methods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3788" w:rsidRPr="005C04FB" w:rsidRDefault="00143788" w:rsidP="00C4332A">
            <w:pPr>
              <w:spacing w:line="360" w:lineRule="auto"/>
              <w:rPr>
                <w:rFonts w:ascii="Arial" w:hAnsi="Arial" w:cs="Arial"/>
                <w:sz w:val="20"/>
                <w:szCs w:val="20"/>
                <w:lang w:eastAsia="en-IN"/>
              </w:rPr>
            </w:pPr>
            <w:r w:rsidRPr="005C04FB">
              <w:rPr>
                <w:rFonts w:ascii="Arial" w:hAnsi="Arial" w:cs="Arial"/>
                <w:sz w:val="20"/>
                <w:szCs w:val="20"/>
                <w:lang w:eastAsia="en-IN"/>
              </w:rPr>
              <w:t>1. Roots and rhizomes are dried and powdered to make herbal tea or infusion for calming nerves and improving sleep. </w:t>
            </w:r>
            <w:r w:rsidRPr="005C04FB">
              <w:rPr>
                <w:rFonts w:ascii="Arial" w:hAnsi="Arial" w:cs="Arial"/>
                <w:sz w:val="20"/>
                <w:szCs w:val="20"/>
                <w:lang w:eastAsia="en-IN"/>
              </w:rPr>
              <w:br/>
              <w:t>2. Decoction prepared by boiling roots in water is used orally for stomach and nervous disorders. </w:t>
            </w:r>
            <w:r w:rsidRPr="005C04FB">
              <w:rPr>
                <w:rFonts w:ascii="Arial" w:hAnsi="Arial" w:cs="Arial"/>
                <w:sz w:val="20"/>
                <w:szCs w:val="20"/>
                <w:lang w:eastAsia="en-IN"/>
              </w:rPr>
              <w:br/>
              <w:t>3. Root paste or oil extract  is applied externally to treat skin ailments, wounds, and inflammation.</w:t>
            </w:r>
          </w:p>
        </w:tc>
      </w:tr>
    </w:tbl>
    <w:p w:rsidR="00E64D82" w:rsidRPr="005C04FB" w:rsidRDefault="00E64D82" w:rsidP="00C4332A">
      <w:pPr>
        <w:spacing w:line="360" w:lineRule="auto"/>
        <w:jc w:val="both"/>
        <w:rPr>
          <w:rFonts w:ascii="Arial" w:hAnsi="Arial" w:cs="Arial"/>
          <w:b/>
          <w:bCs/>
          <w:color w:val="000000"/>
          <w:sz w:val="20"/>
          <w:szCs w:val="20"/>
          <w:lang w:eastAsia="en-IN"/>
        </w:rPr>
      </w:pPr>
    </w:p>
    <w:p w:rsidR="001D6D60" w:rsidRPr="005C04FB" w:rsidRDefault="00143788" w:rsidP="00C4332A">
      <w:pPr>
        <w:spacing w:line="360" w:lineRule="auto"/>
        <w:jc w:val="both"/>
        <w:rPr>
          <w:rFonts w:ascii="Arial" w:hAnsi="Arial" w:cs="Arial"/>
          <w:b/>
          <w:bCs/>
          <w:color w:val="000000"/>
          <w:sz w:val="20"/>
          <w:szCs w:val="20"/>
          <w:lang w:eastAsia="en-IN"/>
        </w:rPr>
      </w:pPr>
      <w:r w:rsidRPr="005C04FB">
        <w:rPr>
          <w:rFonts w:ascii="Arial" w:hAnsi="Arial" w:cs="Arial"/>
          <w:b/>
          <w:bCs/>
          <w:color w:val="000000"/>
          <w:sz w:val="20"/>
          <w:szCs w:val="20"/>
          <w:lang w:eastAsia="en-IN"/>
        </w:rPr>
        <w:t>Table 2. Major Compounds Identified from </w:t>
      </w:r>
      <w:proofErr w:type="spellStart"/>
      <w:r w:rsidRPr="005C04FB">
        <w:rPr>
          <w:rFonts w:ascii="Arial" w:hAnsi="Arial" w:cs="Arial"/>
          <w:b/>
          <w:bCs/>
          <w:i/>
          <w:iCs/>
          <w:color w:val="000000"/>
          <w:sz w:val="20"/>
          <w:szCs w:val="20"/>
          <w:lang w:eastAsia="en-IN"/>
        </w:rPr>
        <w:t>Valeriana</w:t>
      </w:r>
      <w:proofErr w:type="spellEnd"/>
      <w:r w:rsidRPr="005C04FB">
        <w:rPr>
          <w:rFonts w:ascii="Arial" w:hAnsi="Arial" w:cs="Arial"/>
          <w:b/>
          <w:bCs/>
          <w:i/>
          <w:iCs/>
          <w:color w:val="000000"/>
          <w:sz w:val="20"/>
          <w:szCs w:val="20"/>
          <w:lang w:eastAsia="en-IN"/>
        </w:rPr>
        <w:t xml:space="preserve"> </w:t>
      </w:r>
      <w:proofErr w:type="spellStart"/>
      <w:r w:rsidRPr="005C04FB">
        <w:rPr>
          <w:rFonts w:ascii="Arial" w:hAnsi="Arial" w:cs="Arial"/>
          <w:b/>
          <w:bCs/>
          <w:i/>
          <w:iCs/>
          <w:color w:val="000000"/>
          <w:sz w:val="20"/>
          <w:szCs w:val="20"/>
          <w:lang w:eastAsia="en-IN"/>
        </w:rPr>
        <w:t>jatamansi</w:t>
      </w:r>
      <w:proofErr w:type="spellEnd"/>
      <w:r w:rsidRPr="005C04FB">
        <w:rPr>
          <w:rFonts w:ascii="Arial" w:hAnsi="Arial" w:cs="Arial"/>
          <w:b/>
          <w:bCs/>
          <w:color w:val="000000"/>
          <w:sz w:val="20"/>
          <w:szCs w:val="20"/>
          <w:lang w:eastAsia="en-IN"/>
        </w:rPr>
        <w:t> by GC–MS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322"/>
        <w:gridCol w:w="4877"/>
        <w:gridCol w:w="1171"/>
        <w:gridCol w:w="766"/>
      </w:tblGrid>
      <w:tr w:rsidR="00466C3E" w:rsidRPr="005C04FB" w:rsidTr="000C2686">
        <w:trPr>
          <w:trHeight w:val="590"/>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Peak (RT, min)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Compound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B71B7C"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Structure</w:t>
            </w:r>
            <w:r w:rsidR="001A4779" w:rsidRPr="005C04FB">
              <w:rPr>
                <w:rFonts w:ascii="Arial" w:hAnsi="Arial" w:cs="Arial"/>
                <w:b/>
                <w:bCs/>
                <w:sz w:val="20"/>
                <w:szCs w:val="20"/>
                <w:lang w:eastAsia="en-IN"/>
              </w:rPr>
              <w:t>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Molecular Weight (g/mol)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b/>
                <w:bCs/>
                <w:sz w:val="20"/>
                <w:szCs w:val="20"/>
                <w:lang w:eastAsia="en-IN"/>
              </w:rPr>
            </w:pPr>
            <w:r w:rsidRPr="005C04FB">
              <w:rPr>
                <w:rFonts w:ascii="Arial" w:hAnsi="Arial" w:cs="Arial"/>
                <w:b/>
                <w:bCs/>
                <w:sz w:val="20"/>
                <w:szCs w:val="20"/>
                <w:lang w:eastAsia="en-IN"/>
              </w:rPr>
              <w:t>Peak Area (%)</w:t>
            </w:r>
          </w:p>
        </w:tc>
      </w:tr>
      <w:tr w:rsidR="00466C3E" w:rsidRPr="005C04FB"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38.264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Patchouli alcohol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B71B7C" w:rsidP="00C4332A">
            <w:pPr>
              <w:spacing w:line="360" w:lineRule="auto"/>
              <w:jc w:val="both"/>
              <w:rPr>
                <w:rFonts w:ascii="Arial" w:hAnsi="Arial" w:cs="Arial"/>
                <w:sz w:val="20"/>
                <w:szCs w:val="20"/>
                <w:lang w:eastAsia="en-IN"/>
              </w:rPr>
            </w:pPr>
            <w:r w:rsidRPr="005C04FB">
              <w:rPr>
                <w:rFonts w:ascii="Arial" w:hAnsi="Arial" w:cs="Arial"/>
                <w:b/>
                <w:bCs/>
                <w:noProof/>
                <w:sz w:val="20"/>
                <w:szCs w:val="20"/>
              </w:rPr>
              <w:drawing>
                <wp:inline distT="0" distB="0" distL="0" distR="0" wp14:anchorId="2CBD7612" wp14:editId="7B67547F">
                  <wp:extent cx="1706907" cy="15480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duotone>
                              <a:schemeClr val="accent1">
                                <a:shade val="45000"/>
                                <a:satMod val="135000"/>
                              </a:scheme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b="12125"/>
                          <a:stretch/>
                        </pic:blipFill>
                        <pic:spPr bwMode="auto">
                          <a:xfrm>
                            <a:off x="0" y="0"/>
                            <a:ext cx="1706907" cy="15480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222.37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46.01</w:t>
            </w:r>
          </w:p>
        </w:tc>
      </w:tr>
      <w:tr w:rsidR="00466C3E" w:rsidRPr="005C04FB"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41.815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Maaliol</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B71B7C" w:rsidP="00C4332A">
            <w:pPr>
              <w:spacing w:line="360" w:lineRule="auto"/>
              <w:jc w:val="both"/>
              <w:rPr>
                <w:rFonts w:ascii="Arial" w:hAnsi="Arial" w:cs="Arial"/>
                <w:sz w:val="20"/>
                <w:szCs w:val="20"/>
                <w:lang w:eastAsia="en-IN"/>
              </w:rPr>
            </w:pPr>
            <w:r w:rsidRPr="005C04FB">
              <w:rPr>
                <w:rFonts w:ascii="Arial" w:hAnsi="Arial" w:cs="Arial"/>
                <w:b/>
                <w:bCs/>
                <w:noProof/>
                <w:sz w:val="20"/>
                <w:szCs w:val="20"/>
              </w:rPr>
              <w:drawing>
                <wp:inline distT="0" distB="0" distL="0" distR="0" wp14:anchorId="487F7498" wp14:editId="5CA8D949">
                  <wp:extent cx="1429929" cy="15120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duotone>
                              <a:schemeClr val="accent1">
                                <a:shade val="45000"/>
                                <a:satMod val="135000"/>
                              </a:schemeClr>
                              <a:prstClr val="white"/>
                            </a:duotone>
                          </a:blip>
                          <a:srcRect t="4805" b="10049"/>
                          <a:stretch/>
                        </pic:blipFill>
                        <pic:spPr bwMode="auto">
                          <a:xfrm>
                            <a:off x="0" y="0"/>
                            <a:ext cx="1429929" cy="1512000"/>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220.35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26.53</w:t>
            </w:r>
          </w:p>
        </w:tc>
      </w:tr>
      <w:tr w:rsidR="00466C3E" w:rsidRPr="005C04FB"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lastRenderedPageBreak/>
              <w:t>42.997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β-</w:t>
            </w:r>
            <w:proofErr w:type="spellStart"/>
            <w:r w:rsidRPr="005C04FB">
              <w:rPr>
                <w:rFonts w:ascii="Arial" w:hAnsi="Arial" w:cs="Arial"/>
                <w:sz w:val="20"/>
                <w:szCs w:val="20"/>
                <w:lang w:eastAsia="en-IN"/>
              </w:rPr>
              <w:t>Guaiene</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466C3E"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extent cx="1413210" cy="2034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2" cstate="print">
                            <a:duotone>
                              <a:schemeClr val="accent1">
                                <a:shade val="45000"/>
                                <a:satMod val="135000"/>
                              </a:schemeClr>
                              <a:prstClr val="white"/>
                            </a:duotone>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13210" cy="20340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204.35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1.54</w:t>
            </w:r>
          </w:p>
        </w:tc>
      </w:tr>
      <w:tr w:rsidR="00466C3E" w:rsidRPr="005C04FB" w:rsidTr="000C2686">
        <w:trPr>
          <w:trHeight w:val="288"/>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43.154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Seychellene</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1A4779"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extent cx="2190764" cy="198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90764" cy="19836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204.35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5.13</w:t>
            </w:r>
          </w:p>
        </w:tc>
      </w:tr>
      <w:tr w:rsidR="00466C3E" w:rsidRPr="005C04FB" w:rsidTr="000C2686">
        <w:trPr>
          <w:trHeight w:val="300"/>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58.329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Viridiflorol</w:t>
            </w:r>
            <w:proofErr w:type="spell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1A4779"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extent cx="3020202" cy="2811600"/>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20202" cy="28116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222.37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3.40</w:t>
            </w:r>
          </w:p>
        </w:tc>
      </w:tr>
      <w:tr w:rsidR="00466C3E" w:rsidRPr="005C04FB" w:rsidTr="000C2686">
        <w:trPr>
          <w:trHeight w:val="577"/>
          <w:tblCellSpacing w:w="15" w:type="dxa"/>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lastRenderedPageBreak/>
              <w:t>60.030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proofErr w:type="spellStart"/>
            <w:r w:rsidRPr="005C04FB">
              <w:rPr>
                <w:rFonts w:ascii="Arial" w:hAnsi="Arial" w:cs="Arial"/>
                <w:sz w:val="20"/>
                <w:szCs w:val="20"/>
                <w:lang w:eastAsia="en-IN"/>
              </w:rPr>
              <w:t>Calarene</w:t>
            </w:r>
            <w:proofErr w:type="spellEnd"/>
            <w:r w:rsidRPr="005C04FB">
              <w:rPr>
                <w:rFonts w:ascii="Arial" w:hAnsi="Arial" w:cs="Arial"/>
                <w:sz w:val="20"/>
                <w:szCs w:val="20"/>
                <w:lang w:eastAsia="en-IN"/>
              </w:rPr>
              <w:t xml:space="preserve"> (β-</w:t>
            </w:r>
            <w:proofErr w:type="spellStart"/>
            <w:r w:rsidRPr="005C04FB">
              <w:rPr>
                <w:rFonts w:ascii="Arial" w:hAnsi="Arial" w:cs="Arial"/>
                <w:sz w:val="20"/>
                <w:szCs w:val="20"/>
                <w:lang w:eastAsia="en-IN"/>
              </w:rPr>
              <w:t>gurjunene</w:t>
            </w:r>
            <w:proofErr w:type="spellEnd"/>
            <w:r w:rsidRPr="005C04FB">
              <w:rPr>
                <w:rFonts w:ascii="Arial" w:hAnsi="Arial" w:cs="Arial"/>
                <w:sz w:val="20"/>
                <w:szCs w:val="20"/>
                <w:lang w:eastAsia="en-IN"/>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1A4779" w:rsidP="00C4332A">
            <w:pPr>
              <w:spacing w:line="360" w:lineRule="auto"/>
              <w:jc w:val="both"/>
              <w:rPr>
                <w:rFonts w:ascii="Arial" w:hAnsi="Arial" w:cs="Arial"/>
                <w:sz w:val="20"/>
                <w:szCs w:val="20"/>
                <w:lang w:eastAsia="en-IN"/>
              </w:rPr>
            </w:pPr>
            <w:r w:rsidRPr="005C04FB">
              <w:rPr>
                <w:rFonts w:ascii="Arial" w:hAnsi="Arial" w:cs="Arial"/>
                <w:noProof/>
                <w:sz w:val="20"/>
                <w:szCs w:val="20"/>
                <w:lang w:eastAsia="en-IN"/>
              </w:rPr>
              <w:drawing>
                <wp:inline distT="0" distB="0" distL="0" distR="0">
                  <wp:extent cx="1990449" cy="1915200"/>
                  <wp:effectExtent l="0" t="0" r="381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90449" cy="1915200"/>
                          </a:xfrm>
                          <a:prstGeom prst="rect">
                            <a:avLst/>
                          </a:prstGeom>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204.35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64D82" w:rsidRPr="005C04FB" w:rsidRDefault="00E64D82" w:rsidP="00C4332A">
            <w:pPr>
              <w:spacing w:line="360" w:lineRule="auto"/>
              <w:jc w:val="both"/>
              <w:rPr>
                <w:rFonts w:ascii="Arial" w:hAnsi="Arial" w:cs="Arial"/>
                <w:sz w:val="20"/>
                <w:szCs w:val="20"/>
                <w:lang w:eastAsia="en-IN"/>
              </w:rPr>
            </w:pPr>
            <w:r w:rsidRPr="005C04FB">
              <w:rPr>
                <w:rFonts w:ascii="Arial" w:hAnsi="Arial" w:cs="Arial"/>
                <w:sz w:val="20"/>
                <w:szCs w:val="20"/>
                <w:lang w:eastAsia="en-IN"/>
              </w:rPr>
              <w:t>17.39</w:t>
            </w:r>
          </w:p>
        </w:tc>
      </w:tr>
    </w:tbl>
    <w:p w:rsidR="00E64D82" w:rsidRPr="005C04FB" w:rsidRDefault="00E64D82" w:rsidP="00C4332A">
      <w:pPr>
        <w:spacing w:line="360" w:lineRule="auto"/>
        <w:jc w:val="both"/>
        <w:rPr>
          <w:rFonts w:ascii="Arial" w:hAnsi="Arial" w:cs="Arial"/>
          <w:b/>
          <w:bCs/>
          <w:color w:val="000000"/>
          <w:sz w:val="20"/>
          <w:szCs w:val="20"/>
          <w:lang w:eastAsia="en-IN"/>
        </w:rPr>
      </w:pPr>
    </w:p>
    <w:p w:rsidR="00143788" w:rsidRPr="005C04FB" w:rsidRDefault="00E64D82" w:rsidP="00C4332A">
      <w:pPr>
        <w:spacing w:line="360" w:lineRule="auto"/>
        <w:jc w:val="both"/>
        <w:rPr>
          <w:rFonts w:ascii="Arial" w:hAnsi="Arial" w:cs="Arial"/>
          <w:b/>
          <w:bCs/>
          <w:color w:val="000000"/>
          <w:sz w:val="20"/>
          <w:szCs w:val="20"/>
          <w:lang w:eastAsia="en-IN"/>
        </w:rPr>
      </w:pPr>
      <w:r w:rsidRPr="005C04FB">
        <w:rPr>
          <w:rFonts w:ascii="Arial" w:hAnsi="Arial" w:cs="Arial"/>
          <w:b/>
          <w:bCs/>
          <w:color w:val="000000"/>
          <w:sz w:val="20"/>
          <w:szCs w:val="20"/>
          <w:lang w:eastAsia="en-IN"/>
        </w:rPr>
        <w:t xml:space="preserve">                                 </w:t>
      </w:r>
      <w:r w:rsidR="00143788" w:rsidRPr="005C04FB">
        <w:rPr>
          <w:rFonts w:ascii="Arial" w:hAnsi="Arial" w:cs="Arial"/>
          <w:b/>
          <w:bCs/>
          <w:color w:val="000000"/>
          <w:sz w:val="20"/>
          <w:szCs w:val="20"/>
          <w:lang w:eastAsia="en-IN"/>
        </w:rPr>
        <w:t xml:space="preserve"> </w:t>
      </w:r>
      <w:r w:rsidRPr="005C04FB">
        <w:rPr>
          <w:rFonts w:ascii="Arial" w:hAnsi="Arial" w:cs="Arial"/>
          <w:noProof/>
          <w:sz w:val="20"/>
          <w:szCs w:val="20"/>
        </w:rPr>
        <w:drawing>
          <wp:inline distT="0" distB="0" distL="0" distR="0" wp14:anchorId="78CF2A14" wp14:editId="3E8E43B7">
            <wp:extent cx="2809568" cy="205285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BEBA8EAE-BF5A-486C-A8C5-ECC9F3942E4B}">
                          <a14:imgProps xmlns:a14="http://schemas.microsoft.com/office/drawing/2010/main">
                            <a14:imgLayer r:embed="rId19">
                              <a14:imgEffect>
                                <a14:sharpenSoften amount="25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935015" cy="2144518"/>
                    </a:xfrm>
                    <a:prstGeom prst="rect">
                      <a:avLst/>
                    </a:prstGeom>
                  </pic:spPr>
                </pic:pic>
              </a:graphicData>
            </a:graphic>
          </wp:inline>
        </w:drawing>
      </w:r>
    </w:p>
    <w:p w:rsidR="00E64D82" w:rsidRPr="005C04FB" w:rsidRDefault="00E64D82" w:rsidP="00C4332A">
      <w:pPr>
        <w:spacing w:line="360" w:lineRule="auto"/>
        <w:jc w:val="center"/>
        <w:rPr>
          <w:rFonts w:ascii="Arial" w:hAnsi="Arial" w:cs="Arial"/>
          <w:color w:val="0D0D0D"/>
          <w:sz w:val="20"/>
          <w:szCs w:val="20"/>
          <w:lang w:eastAsia="en-IN"/>
        </w:rPr>
      </w:pPr>
      <w:r w:rsidRPr="005C04FB">
        <w:rPr>
          <w:rFonts w:ascii="Arial" w:hAnsi="Arial" w:cs="Arial"/>
          <w:sz w:val="20"/>
          <w:szCs w:val="20"/>
          <w:lang w:eastAsia="en-IN"/>
        </w:rPr>
        <w:t xml:space="preserve">Fig. </w:t>
      </w:r>
      <w:r w:rsidR="001A4779" w:rsidRPr="005C04FB">
        <w:rPr>
          <w:rFonts w:ascii="Arial" w:hAnsi="Arial" w:cs="Arial"/>
          <w:sz w:val="20"/>
          <w:szCs w:val="20"/>
          <w:lang w:eastAsia="en-IN"/>
        </w:rPr>
        <w:t>2</w:t>
      </w:r>
      <w:r w:rsidRPr="005C04FB">
        <w:rPr>
          <w:rFonts w:ascii="Arial" w:hAnsi="Arial" w:cs="Arial"/>
          <w:sz w:val="20"/>
          <w:szCs w:val="20"/>
          <w:lang w:eastAsia="en-IN"/>
        </w:rPr>
        <w:t xml:space="preserve">. </w:t>
      </w:r>
      <w:r w:rsidRPr="005C04FB">
        <w:rPr>
          <w:rFonts w:ascii="Arial" w:hAnsi="Arial" w:cs="Arial"/>
          <w:color w:val="0D0D0D"/>
          <w:sz w:val="20"/>
          <w:szCs w:val="20"/>
          <w:lang w:eastAsia="en-IN"/>
        </w:rPr>
        <w:t>GC-MS chromatogram</w:t>
      </w:r>
    </w:p>
    <w:p w:rsidR="00E64D82" w:rsidRPr="005C04FB" w:rsidRDefault="00E64D82" w:rsidP="001A4779">
      <w:pPr>
        <w:spacing w:line="360" w:lineRule="auto"/>
        <w:jc w:val="both"/>
        <w:rPr>
          <w:rFonts w:ascii="Arial" w:hAnsi="Arial" w:cs="Arial"/>
          <w:b/>
          <w:bCs/>
          <w:i/>
          <w:iCs/>
          <w:sz w:val="20"/>
          <w:szCs w:val="20"/>
          <w:lang w:eastAsia="en-IN"/>
        </w:rPr>
      </w:pPr>
    </w:p>
    <w:p w:rsidR="00143788" w:rsidRPr="005C04FB" w:rsidRDefault="00E64D82" w:rsidP="00C4332A">
      <w:pPr>
        <w:spacing w:line="360" w:lineRule="auto"/>
        <w:jc w:val="both"/>
        <w:rPr>
          <w:rFonts w:ascii="Arial" w:hAnsi="Arial" w:cs="Arial"/>
          <w:b/>
          <w:sz w:val="20"/>
          <w:szCs w:val="20"/>
          <w:lang w:eastAsia="en-IN"/>
        </w:rPr>
      </w:pPr>
      <w:r w:rsidRPr="005C04FB">
        <w:rPr>
          <w:rStyle w:val="Strong"/>
          <w:rFonts w:ascii="Arial" w:hAnsi="Arial" w:cs="Arial"/>
          <w:sz w:val="20"/>
          <w:szCs w:val="20"/>
        </w:rPr>
        <w:t>Table 3.</w:t>
      </w:r>
      <w:r w:rsidRPr="005C04FB">
        <w:rPr>
          <w:rFonts w:ascii="Arial" w:hAnsi="Arial" w:cs="Arial"/>
          <w:sz w:val="20"/>
          <w:szCs w:val="20"/>
        </w:rPr>
        <w:t xml:space="preserve"> </w:t>
      </w:r>
      <w:r w:rsidRPr="005C04FB">
        <w:rPr>
          <w:rStyle w:val="Emphasis"/>
          <w:rFonts w:ascii="Arial" w:hAnsi="Arial" w:cs="Arial"/>
          <w:b/>
          <w:bCs/>
          <w:i w:val="0"/>
          <w:iCs w:val="0"/>
          <w:sz w:val="20"/>
          <w:szCs w:val="20"/>
        </w:rPr>
        <w:t>Major sesquiterpene compounds identified in</w:t>
      </w:r>
      <w:r w:rsidRPr="005C04FB">
        <w:rPr>
          <w:rFonts w:ascii="Arial" w:hAnsi="Arial" w:cs="Arial"/>
          <w:b/>
          <w:bCs/>
          <w:i/>
          <w:iCs/>
          <w:sz w:val="20"/>
          <w:szCs w:val="20"/>
        </w:rPr>
        <w:t xml:space="preserve"> </w:t>
      </w:r>
      <w:proofErr w:type="spellStart"/>
      <w:r w:rsidRPr="005C04FB">
        <w:rPr>
          <w:rStyle w:val="Strong"/>
          <w:rFonts w:ascii="Arial" w:hAnsi="Arial" w:cs="Arial"/>
          <w:i/>
          <w:iCs/>
          <w:sz w:val="20"/>
          <w:szCs w:val="20"/>
        </w:rPr>
        <w:t>Valeriana</w:t>
      </w:r>
      <w:proofErr w:type="spellEnd"/>
      <w:r w:rsidRPr="005C04FB">
        <w:rPr>
          <w:rStyle w:val="Strong"/>
          <w:rFonts w:ascii="Arial" w:hAnsi="Arial" w:cs="Arial"/>
          <w:i/>
          <w:iCs/>
          <w:sz w:val="20"/>
          <w:szCs w:val="20"/>
        </w:rPr>
        <w:t xml:space="preserve"> </w:t>
      </w:r>
      <w:proofErr w:type="spellStart"/>
      <w:r w:rsidRPr="005C04FB">
        <w:rPr>
          <w:rStyle w:val="Strong"/>
          <w:rFonts w:ascii="Arial" w:hAnsi="Arial" w:cs="Arial"/>
          <w:i/>
          <w:iCs/>
          <w:sz w:val="20"/>
          <w:szCs w:val="20"/>
        </w:rPr>
        <w:t>jatamansi</w:t>
      </w:r>
      <w:proofErr w:type="spellEnd"/>
      <w:r w:rsidR="006C1138" w:rsidRPr="005C04FB">
        <w:rPr>
          <w:rStyle w:val="Strong"/>
          <w:rFonts w:ascii="Arial" w:hAnsi="Arial" w:cs="Arial"/>
          <w:i/>
          <w:iCs/>
          <w:sz w:val="20"/>
          <w:szCs w:val="20"/>
        </w:rPr>
        <w:t xml:space="preserve"> </w:t>
      </w:r>
      <w:r w:rsidR="006C1138" w:rsidRPr="005C04FB">
        <w:rPr>
          <w:rStyle w:val="Strong"/>
          <w:rFonts w:ascii="Arial" w:hAnsi="Arial" w:cs="Arial"/>
          <w:sz w:val="20"/>
          <w:szCs w:val="20"/>
        </w:rPr>
        <w:t>Jones</w:t>
      </w:r>
      <w:r w:rsidRPr="005C04FB">
        <w:rPr>
          <w:rStyle w:val="Emphasis"/>
          <w:rFonts w:ascii="Arial" w:hAnsi="Arial" w:cs="Arial"/>
          <w:b/>
          <w:bCs/>
          <w:i w:val="0"/>
          <w:iCs w:val="0"/>
          <w:sz w:val="20"/>
          <w:szCs w:val="20"/>
        </w:rPr>
        <w:t>, their chemical classes, approximate concentration ranges reported in previous studies, and key pharmacological or bioactive properties as documented in the literature</w:t>
      </w:r>
      <w:r w:rsidRPr="005C04FB">
        <w:rPr>
          <w:rStyle w:val="Emphasis"/>
          <w:rFonts w:ascii="Arial" w:hAnsi="Arial" w:cs="Arial"/>
          <w:sz w:val="20"/>
          <w:szCs w:val="20"/>
        </w:rPr>
        <w:t>.</w:t>
      </w:r>
    </w:p>
    <w:tbl>
      <w:tblPr>
        <w:tblStyle w:val="TableGrid"/>
        <w:tblW w:w="0" w:type="auto"/>
        <w:tblLook w:val="04A0" w:firstRow="1" w:lastRow="0" w:firstColumn="1" w:lastColumn="0" w:noHBand="0" w:noVBand="1"/>
      </w:tblPr>
      <w:tblGrid>
        <w:gridCol w:w="1476"/>
        <w:gridCol w:w="1803"/>
        <w:gridCol w:w="1795"/>
        <w:gridCol w:w="3936"/>
      </w:tblGrid>
      <w:tr w:rsidR="001D6D60" w:rsidRPr="005C04FB" w:rsidTr="001D6D60">
        <w:tc>
          <w:tcPr>
            <w:tcW w:w="0" w:type="auto"/>
            <w:hideMark/>
          </w:tcPr>
          <w:p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Compound</w:t>
            </w:r>
          </w:p>
        </w:tc>
        <w:tc>
          <w:tcPr>
            <w:tcW w:w="0" w:type="auto"/>
            <w:hideMark/>
          </w:tcPr>
          <w:p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Chemical class</w:t>
            </w:r>
          </w:p>
        </w:tc>
        <w:tc>
          <w:tcPr>
            <w:tcW w:w="0" w:type="auto"/>
            <w:hideMark/>
          </w:tcPr>
          <w:p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 xml:space="preserve">Approx. range in other studies of </w:t>
            </w:r>
            <w:r w:rsidRPr="005C04FB">
              <w:rPr>
                <w:rFonts w:ascii="Arial" w:hAnsi="Arial" w:cs="Arial"/>
                <w:b/>
                <w:bCs/>
                <w:i/>
                <w:iCs/>
                <w:sz w:val="20"/>
                <w:szCs w:val="20"/>
              </w:rPr>
              <w:t xml:space="preserve">V. </w:t>
            </w:r>
            <w:proofErr w:type="spellStart"/>
            <w:r w:rsidRPr="005C04FB">
              <w:rPr>
                <w:rFonts w:ascii="Arial" w:hAnsi="Arial" w:cs="Arial"/>
                <w:b/>
                <w:bCs/>
                <w:i/>
                <w:iCs/>
                <w:sz w:val="20"/>
                <w:szCs w:val="20"/>
              </w:rPr>
              <w:t>jatamansi</w:t>
            </w:r>
            <w:proofErr w:type="spellEnd"/>
          </w:p>
        </w:tc>
        <w:tc>
          <w:tcPr>
            <w:tcW w:w="0" w:type="auto"/>
            <w:hideMark/>
          </w:tcPr>
          <w:p w:rsidR="001D6D60" w:rsidRPr="005C04FB" w:rsidRDefault="001D6D60" w:rsidP="00C4332A">
            <w:pPr>
              <w:spacing w:line="360" w:lineRule="auto"/>
              <w:jc w:val="center"/>
              <w:rPr>
                <w:rFonts w:ascii="Arial" w:hAnsi="Arial" w:cs="Arial"/>
                <w:b/>
                <w:bCs/>
                <w:sz w:val="20"/>
                <w:szCs w:val="20"/>
              </w:rPr>
            </w:pPr>
            <w:r w:rsidRPr="005C04FB">
              <w:rPr>
                <w:rFonts w:ascii="Arial" w:hAnsi="Arial" w:cs="Arial"/>
                <w:b/>
                <w:bCs/>
                <w:sz w:val="20"/>
                <w:szCs w:val="20"/>
              </w:rPr>
              <w:t>Key reported activities</w:t>
            </w:r>
          </w:p>
        </w:tc>
      </w:tr>
      <w:tr w:rsidR="001D6D60" w:rsidRPr="009B2D7C" w:rsidTr="001D6D60">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Patchouli alcohol</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Oxygenated sesquiterpene alcohol</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~7–70% in different populations</w:t>
            </w:r>
          </w:p>
        </w:tc>
        <w:tc>
          <w:tcPr>
            <w:tcW w:w="0" w:type="auto"/>
            <w:hideMark/>
          </w:tcPr>
          <w:p w:rsidR="001D6D60" w:rsidRPr="009B2D7C" w:rsidRDefault="001D6D60" w:rsidP="00C4332A">
            <w:pPr>
              <w:spacing w:line="360" w:lineRule="auto"/>
              <w:rPr>
                <w:rFonts w:ascii="Arial" w:hAnsi="Arial" w:cs="Arial"/>
                <w:sz w:val="20"/>
                <w:szCs w:val="20"/>
                <w:lang w:val="fr-FR"/>
              </w:rPr>
            </w:pPr>
            <w:proofErr w:type="spellStart"/>
            <w:r w:rsidRPr="009B2D7C">
              <w:rPr>
                <w:rFonts w:ascii="Arial" w:hAnsi="Arial" w:cs="Arial"/>
                <w:sz w:val="20"/>
                <w:szCs w:val="20"/>
                <w:lang w:val="fr-FR"/>
              </w:rPr>
              <w:t>Sedative</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antioxidant</w:t>
            </w:r>
            <w:proofErr w:type="spellEnd"/>
            <w:r w:rsidRPr="009B2D7C">
              <w:rPr>
                <w:rFonts w:ascii="Arial" w:hAnsi="Arial" w:cs="Arial"/>
                <w:sz w:val="20"/>
                <w:szCs w:val="20"/>
                <w:lang w:val="fr-FR"/>
              </w:rPr>
              <w:t>, anti-</w:t>
            </w:r>
            <w:proofErr w:type="spellStart"/>
            <w:r w:rsidRPr="009B2D7C">
              <w:rPr>
                <w:rFonts w:ascii="Arial" w:hAnsi="Arial" w:cs="Arial"/>
                <w:sz w:val="20"/>
                <w:szCs w:val="20"/>
                <w:lang w:val="fr-FR"/>
              </w:rPr>
              <w:t>inflammatory</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antimicrobial</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cytotoxic</w:t>
            </w:r>
            <w:proofErr w:type="spellEnd"/>
            <w:r w:rsidRPr="009B2D7C">
              <w:rPr>
                <w:rFonts w:ascii="Arial" w:hAnsi="Arial" w:cs="Arial"/>
                <w:sz w:val="20"/>
                <w:szCs w:val="20"/>
                <w:lang w:val="fr-FR"/>
              </w:rPr>
              <w:t xml:space="preserve"> (</w:t>
            </w:r>
            <w:proofErr w:type="spellStart"/>
            <w:r w:rsidRPr="009B2D7C">
              <w:rPr>
                <w:rFonts w:ascii="Arial" w:hAnsi="Arial" w:cs="Arial"/>
                <w:sz w:val="20"/>
                <w:szCs w:val="20"/>
                <w:lang w:val="fr-FR"/>
              </w:rPr>
              <w:t>Jugran</w:t>
            </w:r>
            <w:proofErr w:type="spellEnd"/>
            <w:r w:rsidRPr="009B2D7C">
              <w:rPr>
                <w:rFonts w:ascii="Arial" w:hAnsi="Arial" w:cs="Arial"/>
                <w:i/>
                <w:iCs/>
                <w:sz w:val="20"/>
                <w:szCs w:val="20"/>
                <w:lang w:val="fr-FR"/>
              </w:rPr>
              <w:t xml:space="preserve"> et al., </w:t>
            </w:r>
            <w:proofErr w:type="gramStart"/>
            <w:r w:rsidRPr="009B2D7C">
              <w:rPr>
                <w:rFonts w:ascii="Arial" w:hAnsi="Arial" w:cs="Arial"/>
                <w:i/>
                <w:iCs/>
                <w:sz w:val="20"/>
                <w:szCs w:val="20"/>
                <w:lang w:val="fr-FR"/>
              </w:rPr>
              <w:t>2019;</w:t>
            </w:r>
            <w:proofErr w:type="gramEnd"/>
            <w:r w:rsidRPr="009B2D7C">
              <w:rPr>
                <w:rFonts w:ascii="Arial" w:hAnsi="Arial" w:cs="Arial"/>
                <w:sz w:val="20"/>
                <w:szCs w:val="20"/>
                <w:lang w:val="fr-FR"/>
              </w:rPr>
              <w:t xml:space="preserve"> </w:t>
            </w:r>
            <w:proofErr w:type="spellStart"/>
            <w:r w:rsidRPr="009B2D7C">
              <w:rPr>
                <w:rFonts w:ascii="Arial" w:hAnsi="Arial" w:cs="Arial"/>
                <w:sz w:val="20"/>
                <w:szCs w:val="20"/>
                <w:lang w:val="fr-FR"/>
              </w:rPr>
              <w:t>Çelik</w:t>
            </w:r>
            <w:proofErr w:type="spellEnd"/>
            <w:r w:rsidRPr="009B2D7C">
              <w:rPr>
                <w:rFonts w:ascii="Arial" w:hAnsi="Arial" w:cs="Arial"/>
                <w:sz w:val="20"/>
                <w:szCs w:val="20"/>
                <w:lang w:val="fr-FR"/>
              </w:rPr>
              <w:t xml:space="preserve"> &amp; </w:t>
            </w:r>
            <w:proofErr w:type="spellStart"/>
            <w:r w:rsidRPr="009B2D7C">
              <w:rPr>
                <w:rFonts w:ascii="Arial" w:hAnsi="Arial" w:cs="Arial"/>
                <w:sz w:val="20"/>
                <w:szCs w:val="20"/>
                <w:lang w:val="fr-FR"/>
              </w:rPr>
              <w:t>Kırmızıbekmez</w:t>
            </w:r>
            <w:proofErr w:type="spellEnd"/>
            <w:r w:rsidRPr="009B2D7C">
              <w:rPr>
                <w:rFonts w:ascii="Arial" w:hAnsi="Arial" w:cs="Arial"/>
                <w:i/>
                <w:iCs/>
                <w:sz w:val="20"/>
                <w:szCs w:val="20"/>
                <w:lang w:val="fr-FR"/>
              </w:rPr>
              <w:t>, 2025</w:t>
            </w:r>
            <w:r w:rsidRPr="009B2D7C">
              <w:rPr>
                <w:rFonts w:ascii="Arial" w:hAnsi="Arial" w:cs="Arial"/>
                <w:sz w:val="20"/>
                <w:szCs w:val="20"/>
                <w:lang w:val="fr-FR"/>
              </w:rPr>
              <w:t xml:space="preserve">; </w:t>
            </w:r>
            <w:proofErr w:type="spellStart"/>
            <w:r w:rsidRPr="009B2D7C">
              <w:rPr>
                <w:rFonts w:ascii="Arial" w:hAnsi="Arial" w:cs="Arial"/>
                <w:sz w:val="20"/>
                <w:szCs w:val="20"/>
                <w:lang w:val="fr-FR"/>
              </w:rPr>
              <w:t>Thusoo</w:t>
            </w:r>
            <w:proofErr w:type="spellEnd"/>
            <w:r w:rsidRPr="009B2D7C">
              <w:rPr>
                <w:rFonts w:ascii="Arial" w:hAnsi="Arial" w:cs="Arial"/>
                <w:i/>
                <w:iCs/>
                <w:sz w:val="20"/>
                <w:szCs w:val="20"/>
                <w:lang w:val="fr-FR"/>
              </w:rPr>
              <w:t xml:space="preserve"> et al., 2014; </w:t>
            </w:r>
            <w:r w:rsidRPr="009B2D7C">
              <w:rPr>
                <w:rFonts w:ascii="Arial" w:hAnsi="Arial" w:cs="Arial"/>
                <w:sz w:val="20"/>
                <w:szCs w:val="20"/>
                <w:lang w:val="fr-FR"/>
              </w:rPr>
              <w:t>Maurya</w:t>
            </w:r>
            <w:r w:rsidRPr="009B2D7C">
              <w:rPr>
                <w:rFonts w:ascii="Arial" w:hAnsi="Arial" w:cs="Arial"/>
                <w:i/>
                <w:iCs/>
                <w:sz w:val="20"/>
                <w:szCs w:val="20"/>
                <w:lang w:val="fr-FR"/>
              </w:rPr>
              <w:t xml:space="preserve"> et al., 2021; </w:t>
            </w:r>
            <w:r w:rsidRPr="009B2D7C">
              <w:rPr>
                <w:rFonts w:ascii="Arial" w:hAnsi="Arial" w:cs="Arial"/>
                <w:sz w:val="20"/>
                <w:szCs w:val="20"/>
                <w:lang w:val="fr-FR"/>
              </w:rPr>
              <w:t>Chen</w:t>
            </w:r>
            <w:r w:rsidRPr="009B2D7C">
              <w:rPr>
                <w:rFonts w:ascii="Arial" w:hAnsi="Arial" w:cs="Arial"/>
                <w:i/>
                <w:iCs/>
                <w:sz w:val="20"/>
                <w:szCs w:val="20"/>
                <w:lang w:val="fr-FR"/>
              </w:rPr>
              <w:t xml:space="preserve"> et al., 2021</w:t>
            </w:r>
            <w:r w:rsidRPr="009B2D7C">
              <w:rPr>
                <w:rFonts w:ascii="Arial" w:hAnsi="Arial" w:cs="Arial"/>
                <w:sz w:val="20"/>
                <w:szCs w:val="20"/>
                <w:lang w:val="fr-FR"/>
              </w:rPr>
              <w:t>)</w:t>
            </w:r>
          </w:p>
        </w:tc>
      </w:tr>
      <w:tr w:rsidR="001D6D60" w:rsidRPr="005C04FB" w:rsidTr="001D6D60">
        <w:tc>
          <w:tcPr>
            <w:tcW w:w="0" w:type="auto"/>
            <w:hideMark/>
          </w:tcPr>
          <w:p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t>Maaliol</w:t>
            </w:r>
            <w:proofErr w:type="spellEnd"/>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Oxygenated sesquiterpene alcohol</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0.3–28%</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Antimicrobial, anti-inflammatory (in other aromatic species) (</w:t>
            </w:r>
            <w:proofErr w:type="spellStart"/>
            <w:r w:rsidRPr="005C04FB">
              <w:rPr>
                <w:rFonts w:ascii="Arial" w:hAnsi="Arial" w:cs="Arial"/>
                <w:sz w:val="20"/>
                <w:szCs w:val="20"/>
              </w:rPr>
              <w:t>Çelik</w:t>
            </w:r>
            <w:proofErr w:type="spellEnd"/>
            <w:r w:rsidRPr="005C04FB">
              <w:rPr>
                <w:rFonts w:ascii="Arial" w:hAnsi="Arial" w:cs="Arial"/>
                <w:sz w:val="20"/>
                <w:szCs w:val="20"/>
              </w:rPr>
              <w:t xml:space="preserve"> &amp; </w:t>
            </w:r>
            <w:proofErr w:type="spellStart"/>
            <w:r w:rsidRPr="005C04FB">
              <w:rPr>
                <w:rFonts w:ascii="Arial" w:hAnsi="Arial" w:cs="Arial"/>
                <w:sz w:val="20"/>
                <w:szCs w:val="20"/>
              </w:rPr>
              <w:t>Kırmızıbekmez</w:t>
            </w:r>
            <w:proofErr w:type="spellEnd"/>
            <w:r w:rsidRPr="005C04FB">
              <w:rPr>
                <w:rFonts w:ascii="Arial" w:hAnsi="Arial" w:cs="Arial"/>
                <w:i/>
                <w:iCs/>
                <w:sz w:val="20"/>
                <w:szCs w:val="20"/>
              </w:rPr>
              <w:t xml:space="preserve">, 2025; </w:t>
            </w:r>
            <w:r w:rsidRPr="005C04FB">
              <w:rPr>
                <w:rFonts w:ascii="Arial" w:hAnsi="Arial" w:cs="Arial"/>
                <w:sz w:val="20"/>
                <w:szCs w:val="20"/>
              </w:rPr>
              <w:t>Thaku</w:t>
            </w:r>
            <w:r w:rsidRPr="005C04FB">
              <w:rPr>
                <w:rFonts w:ascii="Arial" w:hAnsi="Arial" w:cs="Arial"/>
                <w:i/>
                <w:iCs/>
                <w:sz w:val="20"/>
                <w:szCs w:val="20"/>
              </w:rPr>
              <w:t>r et al., 2022</w:t>
            </w:r>
            <w:r w:rsidRPr="005C04FB">
              <w:rPr>
                <w:rFonts w:ascii="Arial" w:hAnsi="Arial" w:cs="Arial"/>
                <w:sz w:val="20"/>
                <w:szCs w:val="20"/>
              </w:rPr>
              <w:t>)</w:t>
            </w:r>
          </w:p>
        </w:tc>
      </w:tr>
      <w:tr w:rsidR="001D6D60" w:rsidRPr="005C04FB" w:rsidTr="001D6D60">
        <w:tc>
          <w:tcPr>
            <w:tcW w:w="0" w:type="auto"/>
            <w:hideMark/>
          </w:tcPr>
          <w:p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t>Calarene</w:t>
            </w:r>
            <w:proofErr w:type="spellEnd"/>
            <w:r w:rsidRPr="005C04FB">
              <w:rPr>
                <w:rFonts w:ascii="Arial" w:hAnsi="Arial" w:cs="Arial"/>
                <w:sz w:val="20"/>
                <w:szCs w:val="20"/>
              </w:rPr>
              <w:t xml:space="preserve"> (β-</w:t>
            </w:r>
            <w:proofErr w:type="spellStart"/>
            <w:r w:rsidRPr="005C04FB">
              <w:rPr>
                <w:rFonts w:ascii="Arial" w:hAnsi="Arial" w:cs="Arial"/>
                <w:sz w:val="20"/>
                <w:szCs w:val="20"/>
              </w:rPr>
              <w:t>Gurjunene</w:t>
            </w:r>
            <w:proofErr w:type="spellEnd"/>
            <w:r w:rsidRPr="005C04FB">
              <w:rPr>
                <w:rFonts w:ascii="Arial" w:hAnsi="Arial" w:cs="Arial"/>
                <w:sz w:val="20"/>
                <w:szCs w:val="20"/>
              </w:rPr>
              <w:t>)</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Sesquiterpene hydrocarbon</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3–9% (often)</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Antimicrobial, anti-inflammatory (reported in essential oils) (</w:t>
            </w:r>
            <w:proofErr w:type="spellStart"/>
            <w:r w:rsidRPr="005C04FB">
              <w:rPr>
                <w:rFonts w:ascii="Arial" w:hAnsi="Arial" w:cs="Arial"/>
                <w:sz w:val="20"/>
                <w:szCs w:val="20"/>
              </w:rPr>
              <w:t>Cornara</w:t>
            </w:r>
            <w:proofErr w:type="spellEnd"/>
            <w:r w:rsidRPr="005C04FB">
              <w:rPr>
                <w:rFonts w:ascii="Arial" w:hAnsi="Arial" w:cs="Arial"/>
                <w:i/>
                <w:iCs/>
                <w:sz w:val="20"/>
                <w:szCs w:val="20"/>
              </w:rPr>
              <w:t xml:space="preserve"> et al., 2020;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r w:rsidR="001D6D60" w:rsidRPr="005C04FB" w:rsidTr="001D6D60">
        <w:tc>
          <w:tcPr>
            <w:tcW w:w="0" w:type="auto"/>
            <w:hideMark/>
          </w:tcPr>
          <w:p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lastRenderedPageBreak/>
              <w:t>Seychellene</w:t>
            </w:r>
            <w:proofErr w:type="spellEnd"/>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Sesquiterpene hydrocarbon</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Increases with repeated distillation</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Antioxidant, antimicrobial (in other plant oils) (Thakur</w:t>
            </w:r>
            <w:r w:rsidRPr="005C04FB">
              <w:rPr>
                <w:rFonts w:ascii="Arial" w:hAnsi="Arial" w:cs="Arial"/>
                <w:i/>
                <w:iCs/>
                <w:sz w:val="20"/>
                <w:szCs w:val="20"/>
              </w:rPr>
              <w:t xml:space="preserve"> et al., 2022;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r w:rsidR="001D6D60" w:rsidRPr="005C04FB" w:rsidTr="001D6D60">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β-</w:t>
            </w:r>
            <w:proofErr w:type="spellStart"/>
            <w:r w:rsidRPr="005C04FB">
              <w:rPr>
                <w:rFonts w:ascii="Arial" w:hAnsi="Arial" w:cs="Arial"/>
                <w:sz w:val="20"/>
                <w:szCs w:val="20"/>
              </w:rPr>
              <w:t>Guaiene</w:t>
            </w:r>
            <w:proofErr w:type="spellEnd"/>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Sesquiterpene hydrocarbon</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Typically minor</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Antioxidant, antimicrobial (in related species) (</w:t>
            </w:r>
            <w:proofErr w:type="spellStart"/>
            <w:r w:rsidRPr="005C04FB">
              <w:rPr>
                <w:rFonts w:ascii="Arial" w:hAnsi="Arial" w:cs="Arial"/>
                <w:sz w:val="20"/>
                <w:szCs w:val="20"/>
              </w:rPr>
              <w:t>Jugran</w:t>
            </w:r>
            <w:proofErr w:type="spellEnd"/>
            <w:r w:rsidRPr="005C04FB">
              <w:rPr>
                <w:rFonts w:ascii="Arial" w:hAnsi="Arial" w:cs="Arial"/>
                <w:i/>
                <w:iCs/>
                <w:sz w:val="20"/>
                <w:szCs w:val="20"/>
              </w:rPr>
              <w:t xml:space="preserve"> et al., 2019;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r w:rsidR="001D6D60" w:rsidRPr="005C04FB" w:rsidTr="001D6D60">
        <w:tc>
          <w:tcPr>
            <w:tcW w:w="0" w:type="auto"/>
            <w:hideMark/>
          </w:tcPr>
          <w:p w:rsidR="001D6D60" w:rsidRPr="005C04FB" w:rsidRDefault="001D6D60" w:rsidP="00C4332A">
            <w:pPr>
              <w:spacing w:line="360" w:lineRule="auto"/>
              <w:rPr>
                <w:rFonts w:ascii="Arial" w:hAnsi="Arial" w:cs="Arial"/>
                <w:sz w:val="20"/>
                <w:szCs w:val="20"/>
              </w:rPr>
            </w:pPr>
            <w:proofErr w:type="spellStart"/>
            <w:r w:rsidRPr="005C04FB">
              <w:rPr>
                <w:rFonts w:ascii="Arial" w:hAnsi="Arial" w:cs="Arial"/>
                <w:sz w:val="20"/>
                <w:szCs w:val="20"/>
              </w:rPr>
              <w:t>Viridiflorol</w:t>
            </w:r>
            <w:proofErr w:type="spellEnd"/>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Oxygenated sesquiterpene alcohol</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Usually low</w:t>
            </w:r>
          </w:p>
        </w:tc>
        <w:tc>
          <w:tcPr>
            <w:tcW w:w="0" w:type="auto"/>
            <w:hideMark/>
          </w:tcPr>
          <w:p w:rsidR="001D6D60" w:rsidRPr="005C04FB" w:rsidRDefault="001D6D60" w:rsidP="00C4332A">
            <w:pPr>
              <w:spacing w:line="360" w:lineRule="auto"/>
              <w:rPr>
                <w:rFonts w:ascii="Arial" w:hAnsi="Arial" w:cs="Arial"/>
                <w:sz w:val="20"/>
                <w:szCs w:val="20"/>
              </w:rPr>
            </w:pPr>
            <w:r w:rsidRPr="005C04FB">
              <w:rPr>
                <w:rFonts w:ascii="Arial" w:hAnsi="Arial" w:cs="Arial"/>
                <w:sz w:val="20"/>
                <w:szCs w:val="20"/>
              </w:rPr>
              <w:t>Antimicrobial, anti-inflammatory (various reports) (</w:t>
            </w:r>
            <w:proofErr w:type="spellStart"/>
            <w:r w:rsidRPr="005C04FB">
              <w:rPr>
                <w:rFonts w:ascii="Arial" w:hAnsi="Arial" w:cs="Arial"/>
                <w:sz w:val="20"/>
                <w:szCs w:val="20"/>
              </w:rPr>
              <w:t>Çelik</w:t>
            </w:r>
            <w:proofErr w:type="spellEnd"/>
            <w:r w:rsidRPr="005C04FB">
              <w:rPr>
                <w:rFonts w:ascii="Arial" w:hAnsi="Arial" w:cs="Arial"/>
                <w:sz w:val="20"/>
                <w:szCs w:val="20"/>
              </w:rPr>
              <w:t xml:space="preserve"> &amp; </w:t>
            </w:r>
            <w:proofErr w:type="spellStart"/>
            <w:r w:rsidRPr="005C04FB">
              <w:rPr>
                <w:rFonts w:ascii="Arial" w:hAnsi="Arial" w:cs="Arial"/>
                <w:sz w:val="20"/>
                <w:szCs w:val="20"/>
              </w:rPr>
              <w:t>Kırmızıbekmez</w:t>
            </w:r>
            <w:proofErr w:type="spellEnd"/>
            <w:r w:rsidRPr="005C04FB">
              <w:rPr>
                <w:rFonts w:ascii="Arial" w:hAnsi="Arial" w:cs="Arial"/>
                <w:i/>
                <w:iCs/>
                <w:sz w:val="20"/>
                <w:szCs w:val="20"/>
              </w:rPr>
              <w:t xml:space="preserve">, 2025; </w:t>
            </w:r>
            <w:proofErr w:type="spellStart"/>
            <w:r w:rsidRPr="005C04FB">
              <w:rPr>
                <w:rFonts w:ascii="Arial" w:hAnsi="Arial" w:cs="Arial"/>
                <w:sz w:val="20"/>
                <w:szCs w:val="20"/>
              </w:rPr>
              <w:t>Thusoo</w:t>
            </w:r>
            <w:proofErr w:type="spellEnd"/>
            <w:r w:rsidRPr="005C04FB">
              <w:rPr>
                <w:rFonts w:ascii="Arial" w:hAnsi="Arial" w:cs="Arial"/>
                <w:i/>
                <w:iCs/>
                <w:sz w:val="20"/>
                <w:szCs w:val="20"/>
              </w:rPr>
              <w:t xml:space="preserve"> et al., 2014</w:t>
            </w:r>
            <w:r w:rsidRPr="005C04FB">
              <w:rPr>
                <w:rFonts w:ascii="Arial" w:hAnsi="Arial" w:cs="Arial"/>
                <w:sz w:val="20"/>
                <w:szCs w:val="20"/>
              </w:rPr>
              <w:t>)</w:t>
            </w:r>
          </w:p>
        </w:tc>
      </w:tr>
    </w:tbl>
    <w:p w:rsidR="00824081" w:rsidRPr="005C04FB" w:rsidRDefault="00824081" w:rsidP="00C4332A">
      <w:pPr>
        <w:spacing w:line="360" w:lineRule="auto"/>
        <w:rPr>
          <w:rFonts w:ascii="Arial" w:hAnsi="Arial" w:cs="Arial"/>
          <w:sz w:val="20"/>
          <w:szCs w:val="20"/>
        </w:rPr>
      </w:pPr>
    </w:p>
    <w:p w:rsidR="00C4332A" w:rsidRPr="005C04FB" w:rsidRDefault="00E64D82" w:rsidP="00C4332A">
      <w:pPr>
        <w:spacing w:line="360" w:lineRule="auto"/>
        <w:rPr>
          <w:rFonts w:ascii="Arial" w:hAnsi="Arial" w:cs="Arial"/>
          <w:sz w:val="20"/>
          <w:szCs w:val="20"/>
        </w:rPr>
      </w:pPr>
      <w:r w:rsidRPr="005C04FB">
        <w:rPr>
          <w:rFonts w:ascii="Arial" w:hAnsi="Arial" w:cs="Arial"/>
          <w:sz w:val="20"/>
          <w:szCs w:val="20"/>
        </w:rPr>
        <w:t xml:space="preserve">                                        </w:t>
      </w:r>
      <w:r w:rsidR="001D6D60" w:rsidRPr="005C04FB">
        <w:rPr>
          <w:rFonts w:ascii="Arial" w:hAnsi="Arial" w:cs="Arial"/>
          <w:sz w:val="20"/>
          <w:szCs w:val="20"/>
        </w:rPr>
        <w:t xml:space="preserve">        </w:t>
      </w:r>
      <w:r w:rsidR="00824081" w:rsidRPr="005C04FB">
        <w:rPr>
          <w:rFonts w:ascii="Arial" w:hAnsi="Arial" w:cs="Arial"/>
          <w:noProof/>
          <w:sz w:val="20"/>
          <w:szCs w:val="20"/>
        </w:rPr>
        <w:drawing>
          <wp:inline distT="0" distB="0" distL="0" distR="0" wp14:anchorId="09C5B26C" wp14:editId="2E562276">
            <wp:extent cx="2039620" cy="1632354"/>
            <wp:effectExtent l="0" t="0" r="17780" b="6350"/>
            <wp:docPr id="6" name="Chart 6">
              <a:extLst xmlns:a="http://schemas.openxmlformats.org/drawingml/2006/main">
                <a:ext uri="{FF2B5EF4-FFF2-40B4-BE49-F238E27FC236}">
                  <a16:creationId xmlns:a16="http://schemas.microsoft.com/office/drawing/2014/main" id="{EA84DB22-41EF-B456-3A55-06E1B6C9BE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F1CDD" w:rsidRPr="005C04FB" w:rsidRDefault="00EF4321" w:rsidP="00415C40">
      <w:pPr>
        <w:spacing w:line="360" w:lineRule="auto"/>
        <w:jc w:val="both"/>
        <w:rPr>
          <w:rFonts w:ascii="Arial" w:hAnsi="Arial" w:cs="Arial"/>
          <w:b/>
          <w:bCs/>
          <w:sz w:val="20"/>
          <w:szCs w:val="20"/>
        </w:rPr>
      </w:pPr>
      <w:r w:rsidRPr="005C04FB">
        <w:rPr>
          <w:rFonts w:ascii="Arial" w:hAnsi="Arial" w:cs="Arial"/>
          <w:b/>
          <w:bCs/>
          <w:i/>
          <w:iCs/>
          <w:sz w:val="20"/>
          <w:szCs w:val="20"/>
        </w:rPr>
        <w:t>Fig</w:t>
      </w:r>
      <w:r w:rsidR="00415C40" w:rsidRPr="005C04FB">
        <w:rPr>
          <w:rFonts w:ascii="Arial" w:hAnsi="Arial" w:cs="Arial"/>
          <w:b/>
          <w:bCs/>
          <w:i/>
          <w:iCs/>
          <w:sz w:val="20"/>
          <w:szCs w:val="20"/>
        </w:rPr>
        <w:t xml:space="preserve"> 3</w:t>
      </w:r>
      <w:r w:rsidRPr="005C04FB">
        <w:rPr>
          <w:rFonts w:ascii="Arial" w:hAnsi="Arial" w:cs="Arial"/>
          <w:b/>
          <w:bCs/>
          <w:i/>
          <w:iCs/>
          <w:sz w:val="20"/>
          <w:szCs w:val="20"/>
        </w:rPr>
        <w:t xml:space="preserve">. Distribution of sesquiterpene classes in </w:t>
      </w:r>
      <w:proofErr w:type="spellStart"/>
      <w:r w:rsidRPr="005C04FB">
        <w:rPr>
          <w:rStyle w:val="Emphasis"/>
          <w:rFonts w:ascii="Arial" w:hAnsi="Arial" w:cs="Arial"/>
          <w:b/>
          <w:bCs/>
          <w:sz w:val="20"/>
          <w:szCs w:val="20"/>
        </w:rPr>
        <w:t>Valeriana</w:t>
      </w:r>
      <w:proofErr w:type="spellEnd"/>
      <w:r w:rsidRPr="005C04FB">
        <w:rPr>
          <w:rStyle w:val="Emphasis"/>
          <w:rFonts w:ascii="Arial" w:hAnsi="Arial" w:cs="Arial"/>
          <w:b/>
          <w:bCs/>
          <w:sz w:val="20"/>
          <w:szCs w:val="20"/>
        </w:rPr>
        <w:t xml:space="preserve"> </w:t>
      </w:r>
      <w:proofErr w:type="spellStart"/>
      <w:r w:rsidRPr="005C04FB">
        <w:rPr>
          <w:rStyle w:val="Emphasis"/>
          <w:rFonts w:ascii="Arial" w:hAnsi="Arial" w:cs="Arial"/>
          <w:b/>
          <w:bCs/>
          <w:sz w:val="20"/>
          <w:szCs w:val="20"/>
        </w:rPr>
        <w:t>jatamansi</w:t>
      </w:r>
      <w:proofErr w:type="spellEnd"/>
      <w:r w:rsidRPr="005C04FB">
        <w:rPr>
          <w:rFonts w:ascii="Arial" w:hAnsi="Arial" w:cs="Arial"/>
          <w:b/>
          <w:bCs/>
          <w:i/>
          <w:iCs/>
          <w:sz w:val="20"/>
          <w:szCs w:val="20"/>
        </w:rPr>
        <w:t xml:space="preserve"> </w:t>
      </w:r>
      <w:r w:rsidRPr="005C04FB">
        <w:rPr>
          <w:rFonts w:ascii="Arial" w:hAnsi="Arial" w:cs="Arial"/>
          <w:b/>
          <w:bCs/>
          <w:sz w:val="20"/>
          <w:szCs w:val="20"/>
        </w:rPr>
        <w:t>Jones</w:t>
      </w:r>
      <w:r w:rsidRPr="005C04FB">
        <w:rPr>
          <w:rFonts w:ascii="Arial" w:hAnsi="Arial" w:cs="Arial"/>
          <w:b/>
          <w:bCs/>
          <w:i/>
          <w:iCs/>
          <w:sz w:val="20"/>
          <w:szCs w:val="20"/>
        </w:rPr>
        <w:t xml:space="preserve"> showing an equal proportion of oxygenated sesquiterpene alcohols and non-oxygenated (hydrocarbon) sesquiterpenes, each constituting 50% of the total identified compounds.</w:t>
      </w:r>
    </w:p>
    <w:p w:rsidR="00DF3358" w:rsidRPr="005C04FB" w:rsidRDefault="00DF3358" w:rsidP="00C4332A">
      <w:pPr>
        <w:tabs>
          <w:tab w:val="left" w:pos="1449"/>
        </w:tabs>
        <w:spacing w:line="360" w:lineRule="auto"/>
        <w:rPr>
          <w:rFonts w:ascii="Arial" w:hAnsi="Arial" w:cs="Arial"/>
          <w:b/>
          <w:bCs/>
          <w:sz w:val="20"/>
          <w:szCs w:val="20"/>
        </w:rPr>
      </w:pPr>
    </w:p>
    <w:p w:rsidR="008B37C7" w:rsidRPr="005C04FB" w:rsidRDefault="008B37C7" w:rsidP="008E30C9">
      <w:pPr>
        <w:spacing w:before="100" w:beforeAutospacing="1" w:after="100" w:afterAutospacing="1" w:line="360" w:lineRule="auto"/>
        <w:jc w:val="both"/>
        <w:rPr>
          <w:rFonts w:ascii="Arial" w:hAnsi="Arial" w:cs="Arial"/>
          <w:sz w:val="20"/>
          <w:szCs w:val="20"/>
          <w:lang w:eastAsia="en-IN"/>
        </w:rPr>
      </w:pPr>
      <w:r w:rsidRPr="005C04FB">
        <w:rPr>
          <w:rFonts w:ascii="Arial" w:hAnsi="Arial" w:cs="Arial"/>
          <w:b/>
          <w:bCs/>
          <w:sz w:val="20"/>
          <w:szCs w:val="20"/>
          <w:lang w:eastAsia="en-IN"/>
        </w:rPr>
        <w:t>Discussion</w:t>
      </w:r>
    </w:p>
    <w:p w:rsidR="008B37C7" w:rsidRPr="005C04FB" w:rsidRDefault="008B37C7" w:rsidP="001A4779">
      <w:pPr>
        <w:spacing w:line="360" w:lineRule="auto"/>
        <w:jc w:val="both"/>
        <w:outlineLvl w:val="2"/>
        <w:rPr>
          <w:rFonts w:ascii="Arial" w:hAnsi="Arial" w:cs="Arial"/>
          <w:b/>
          <w:bCs/>
          <w:sz w:val="20"/>
          <w:szCs w:val="20"/>
          <w:lang w:eastAsia="en-IN"/>
        </w:rPr>
      </w:pPr>
      <w:r w:rsidRPr="005C04FB">
        <w:rPr>
          <w:rFonts w:ascii="Arial" w:hAnsi="Arial" w:cs="Arial"/>
          <w:b/>
          <w:bCs/>
          <w:sz w:val="20"/>
          <w:szCs w:val="20"/>
          <w:lang w:eastAsia="en-IN"/>
        </w:rPr>
        <w:t>4.1 Convergence of ethnobotanical knowledge with phytochemical and pharmacological evidence</w:t>
      </w:r>
    </w:p>
    <w:p w:rsidR="008B37C7" w:rsidRPr="005C04FB" w:rsidRDefault="008B37C7" w:rsidP="001A4779">
      <w:pPr>
        <w:spacing w:line="360" w:lineRule="auto"/>
        <w:jc w:val="both"/>
        <w:rPr>
          <w:rFonts w:ascii="Arial" w:hAnsi="Arial" w:cs="Arial"/>
          <w:sz w:val="20"/>
          <w:szCs w:val="20"/>
          <w:lang w:eastAsia="en-IN"/>
        </w:rPr>
      </w:pPr>
      <w:r w:rsidRPr="005C04FB">
        <w:rPr>
          <w:rFonts w:ascii="Arial" w:hAnsi="Arial" w:cs="Arial"/>
          <w:sz w:val="20"/>
          <w:szCs w:val="20"/>
          <w:lang w:eastAsia="en-IN"/>
        </w:rPr>
        <w:t xml:space="preserve">The present study, conducted in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Forest Division of Kashmir</w:t>
      </w:r>
      <w:r w:rsidR="004D35F6" w:rsidRPr="005C04FB">
        <w:rPr>
          <w:rFonts w:ascii="Arial" w:hAnsi="Arial" w:cs="Arial"/>
          <w:sz w:val="20"/>
          <w:szCs w:val="20"/>
          <w:lang w:eastAsia="en-IN"/>
        </w:rPr>
        <w:t>,</w:t>
      </w:r>
      <w:r w:rsidRPr="005C04FB">
        <w:rPr>
          <w:rFonts w:ascii="Arial" w:hAnsi="Arial" w:cs="Arial"/>
          <w:sz w:val="20"/>
          <w:szCs w:val="20"/>
          <w:lang w:eastAsia="en-IN"/>
        </w:rPr>
        <w:t xml:space="preserve"> underscores a notable alignment between traditional ethnomedicinal practices and the phytochemical composition of </w:t>
      </w:r>
      <w:proofErr w:type="spellStart"/>
      <w:r w:rsidRPr="005C04FB">
        <w:rPr>
          <w:rFonts w:ascii="Arial" w:hAnsi="Arial" w:cs="Arial"/>
          <w:i/>
          <w:sz w:val="20"/>
          <w:szCs w:val="20"/>
          <w:lang w:eastAsia="en-IN"/>
        </w:rPr>
        <w:t>Valeriana</w:t>
      </w:r>
      <w:proofErr w:type="spellEnd"/>
      <w:r w:rsidRPr="005C04FB">
        <w:rPr>
          <w:rFonts w:ascii="Arial" w:hAnsi="Arial" w:cs="Arial"/>
          <w:i/>
          <w:sz w:val="20"/>
          <w:szCs w:val="20"/>
          <w:lang w:eastAsia="en-IN"/>
        </w:rPr>
        <w:t xml:space="preserve">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Jones. The widespread use of this plant for neurological and psychological conditions such as insomnia, anxiety, nervousness, and stress aligns with its historical significance in Himalayan ethnomedicine and Ayurvedic texts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2019; Mir et al., 2024). The frequent use of its dried roots and rhizomes in teas, decoctions, and topical applications reflects a sophisticated indigenous understanding of dosage, preparation, and therapeutic precision. GC–MS analysis identified patchouli alcohol as the main component (46.01%), with </w:t>
      </w:r>
      <w:proofErr w:type="spellStart"/>
      <w:r w:rsidRPr="005C04FB">
        <w:rPr>
          <w:rFonts w:ascii="Arial" w:hAnsi="Arial" w:cs="Arial"/>
          <w:sz w:val="20"/>
          <w:szCs w:val="20"/>
          <w:lang w:eastAsia="en-IN"/>
        </w:rPr>
        <w:t>maaliol</w:t>
      </w:r>
      <w:proofErr w:type="spellEnd"/>
      <w:r w:rsidRPr="005C04FB">
        <w:rPr>
          <w:rFonts w:ascii="Arial" w:hAnsi="Arial" w:cs="Arial"/>
          <w:sz w:val="20"/>
          <w:szCs w:val="20"/>
          <w:lang w:eastAsia="en-IN"/>
        </w:rPr>
        <w:t xml:space="preserve"> and </w:t>
      </w:r>
      <w:proofErr w:type="spellStart"/>
      <w:r w:rsidRPr="005C04FB">
        <w:rPr>
          <w:rFonts w:ascii="Arial" w:hAnsi="Arial" w:cs="Arial"/>
          <w:sz w:val="20"/>
          <w:szCs w:val="20"/>
          <w:lang w:eastAsia="en-IN"/>
        </w:rPr>
        <w:t>calarene</w:t>
      </w:r>
      <w:proofErr w:type="spellEnd"/>
      <w:r w:rsidRPr="005C04FB">
        <w:rPr>
          <w:rFonts w:ascii="Arial" w:hAnsi="Arial" w:cs="Arial"/>
          <w:sz w:val="20"/>
          <w:szCs w:val="20"/>
          <w:lang w:eastAsia="en-IN"/>
        </w:rPr>
        <w:t xml:space="preserve"> following, indicating that sesquiterpene alcohols and hydrocarbons dominate the volatile profile of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 This chemical composition provides a solid mechanistic basis for the sedative, anxiolytic, antioxidant, and anti-inflammatory properties traditionally associated with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004D35F6" w:rsidRPr="005C04FB">
        <w:rPr>
          <w:rFonts w:ascii="Arial" w:hAnsi="Arial" w:cs="Arial"/>
          <w:i/>
          <w:sz w:val="20"/>
          <w:szCs w:val="20"/>
          <w:lang w:eastAsia="en-IN"/>
        </w:rPr>
        <w:t xml:space="preserve"> </w:t>
      </w:r>
      <w:r w:rsidR="004D35F6" w:rsidRPr="005C04FB">
        <w:rPr>
          <w:rFonts w:ascii="Arial" w:hAnsi="Arial" w:cs="Arial"/>
          <w:iCs/>
          <w:sz w:val="20"/>
          <w:szCs w:val="20"/>
          <w:lang w:eastAsia="en-IN"/>
        </w:rPr>
        <w:t>Jones</w:t>
      </w:r>
      <w:r w:rsidR="004D35F6" w:rsidRPr="005C04FB">
        <w:rPr>
          <w:rFonts w:ascii="Arial" w:hAnsi="Arial" w:cs="Arial"/>
          <w:i/>
          <w:sz w:val="20"/>
          <w:szCs w:val="20"/>
          <w:lang w:eastAsia="en-IN"/>
        </w:rPr>
        <w:t>.</w:t>
      </w:r>
      <w:r w:rsidRPr="005C04FB">
        <w:rPr>
          <w:rFonts w:ascii="Arial" w:hAnsi="Arial" w:cs="Arial"/>
          <w:i/>
          <w:sz w:val="20"/>
          <w:szCs w:val="20"/>
          <w:lang w:eastAsia="en-IN"/>
        </w:rPr>
        <w:t xml:space="preserve"> </w:t>
      </w:r>
      <w:r w:rsidRPr="005C04FB">
        <w:rPr>
          <w:rFonts w:ascii="Arial" w:hAnsi="Arial" w:cs="Arial"/>
          <w:sz w:val="20"/>
          <w:szCs w:val="20"/>
          <w:lang w:eastAsia="en-IN"/>
        </w:rPr>
        <w:t>Patchouli alcohol is well-documented for its ability to influence central nervous system activity via GABAergic pathways, antioxidant defences, and anti-neuroinflammatory effects (</w:t>
      </w:r>
      <w:proofErr w:type="spellStart"/>
      <w:r w:rsidRPr="005C04FB">
        <w:rPr>
          <w:rFonts w:ascii="Arial" w:hAnsi="Arial" w:cs="Arial"/>
          <w:sz w:val="20"/>
          <w:szCs w:val="20"/>
          <w:lang w:eastAsia="en-IN"/>
        </w:rPr>
        <w:t>Thusoo</w:t>
      </w:r>
      <w:proofErr w:type="spellEnd"/>
      <w:r w:rsidRPr="005C04FB">
        <w:rPr>
          <w:rFonts w:ascii="Arial" w:hAnsi="Arial" w:cs="Arial"/>
          <w:sz w:val="20"/>
          <w:szCs w:val="20"/>
          <w:lang w:eastAsia="en-IN"/>
        </w:rPr>
        <w:t xml:space="preserve"> et al., 2014; Chen et al., 2021). The presence of oxygenated sesquiterpenes like </w:t>
      </w:r>
      <w:proofErr w:type="spellStart"/>
      <w:r w:rsidRPr="005C04FB">
        <w:rPr>
          <w:rFonts w:ascii="Arial" w:hAnsi="Arial" w:cs="Arial"/>
          <w:sz w:val="20"/>
          <w:szCs w:val="20"/>
          <w:lang w:eastAsia="en-IN"/>
        </w:rPr>
        <w:t>maaliol</w:t>
      </w:r>
      <w:proofErr w:type="spellEnd"/>
      <w:r w:rsidRPr="005C04FB">
        <w:rPr>
          <w:rFonts w:ascii="Arial" w:hAnsi="Arial" w:cs="Arial"/>
          <w:sz w:val="20"/>
          <w:szCs w:val="20"/>
          <w:lang w:eastAsia="en-IN"/>
        </w:rPr>
        <w:t xml:space="preserve"> and </w:t>
      </w:r>
      <w:proofErr w:type="spellStart"/>
      <w:r w:rsidRPr="005C04FB">
        <w:rPr>
          <w:rFonts w:ascii="Arial" w:hAnsi="Arial" w:cs="Arial"/>
          <w:sz w:val="20"/>
          <w:szCs w:val="20"/>
          <w:lang w:eastAsia="en-IN"/>
        </w:rPr>
        <w:t>viridiflorol</w:t>
      </w:r>
      <w:proofErr w:type="spellEnd"/>
      <w:r w:rsidRPr="005C04FB">
        <w:rPr>
          <w:rFonts w:ascii="Arial" w:hAnsi="Arial" w:cs="Arial"/>
          <w:sz w:val="20"/>
          <w:szCs w:val="20"/>
          <w:lang w:eastAsia="en-IN"/>
        </w:rPr>
        <w:t xml:space="preserve"> further broadens the bioactivity </w:t>
      </w:r>
      <w:r w:rsidRPr="005C04FB">
        <w:rPr>
          <w:rFonts w:ascii="Arial" w:hAnsi="Arial" w:cs="Arial"/>
          <w:sz w:val="20"/>
          <w:szCs w:val="20"/>
          <w:lang w:eastAsia="en-IN"/>
        </w:rPr>
        <w:lastRenderedPageBreak/>
        <w:t xml:space="preserve">range, particularly in antimicrobial and anti-inflammatory actions, supporting its external use for skin conditions and wound healing as noted by local practitioners. Notably, similar ethnobotanical trends have been observed throughout the Kashmir Himalaya, where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004D35F6" w:rsidRPr="005C04FB">
        <w:rPr>
          <w:rFonts w:ascii="Arial" w:hAnsi="Arial" w:cs="Arial"/>
          <w:sz w:val="20"/>
          <w:szCs w:val="20"/>
          <w:lang w:eastAsia="en-IN"/>
        </w:rPr>
        <w:t xml:space="preserve"> Jones </w:t>
      </w:r>
      <w:r w:rsidRPr="005C04FB">
        <w:rPr>
          <w:rFonts w:ascii="Arial" w:hAnsi="Arial" w:cs="Arial"/>
          <w:sz w:val="20"/>
          <w:szCs w:val="20"/>
          <w:lang w:eastAsia="en-IN"/>
        </w:rPr>
        <w:t>is highly valued for treating neurological and digestive issues (Mir et al., 2024). These findings thus affirm the conceptual harmony between traditional medical systems and contemporary phytochemical validation.</w:t>
      </w:r>
    </w:p>
    <w:p w:rsidR="008B37C7" w:rsidRPr="005C04FB" w:rsidRDefault="008B37C7" w:rsidP="001A4779">
      <w:pPr>
        <w:spacing w:line="360" w:lineRule="auto"/>
        <w:jc w:val="both"/>
        <w:rPr>
          <w:rFonts w:ascii="Arial" w:hAnsi="Arial" w:cs="Arial"/>
          <w:sz w:val="20"/>
          <w:szCs w:val="20"/>
          <w:lang w:eastAsia="en-IN"/>
        </w:rPr>
      </w:pPr>
    </w:p>
    <w:p w:rsidR="008B37C7" w:rsidRPr="005C04FB" w:rsidRDefault="008B37C7" w:rsidP="001A4779">
      <w:pPr>
        <w:spacing w:line="360" w:lineRule="auto"/>
        <w:jc w:val="both"/>
        <w:outlineLvl w:val="2"/>
        <w:rPr>
          <w:rFonts w:ascii="Arial" w:hAnsi="Arial" w:cs="Arial"/>
          <w:b/>
          <w:bCs/>
          <w:sz w:val="20"/>
          <w:szCs w:val="20"/>
          <w:lang w:eastAsia="en-IN"/>
        </w:rPr>
      </w:pPr>
      <w:r w:rsidRPr="005C04FB">
        <w:rPr>
          <w:rFonts w:ascii="Arial" w:hAnsi="Arial" w:cs="Arial"/>
          <w:b/>
          <w:bCs/>
          <w:sz w:val="20"/>
          <w:szCs w:val="20"/>
          <w:lang w:eastAsia="en-IN"/>
        </w:rPr>
        <w:t xml:space="preserve">4.2 </w:t>
      </w:r>
      <w:proofErr w:type="spellStart"/>
      <w:r w:rsidRPr="005C04FB">
        <w:rPr>
          <w:rFonts w:ascii="Arial" w:hAnsi="Arial" w:cs="Arial"/>
          <w:b/>
          <w:bCs/>
          <w:sz w:val="20"/>
          <w:szCs w:val="20"/>
          <w:lang w:eastAsia="en-IN"/>
        </w:rPr>
        <w:t>Chemotypic</w:t>
      </w:r>
      <w:proofErr w:type="spellEnd"/>
      <w:r w:rsidRPr="005C04FB">
        <w:rPr>
          <w:rFonts w:ascii="Arial" w:hAnsi="Arial" w:cs="Arial"/>
          <w:b/>
          <w:bCs/>
          <w:sz w:val="20"/>
          <w:szCs w:val="20"/>
          <w:lang w:eastAsia="en-IN"/>
        </w:rPr>
        <w:t xml:space="preserve"> significance of the </w:t>
      </w:r>
      <w:proofErr w:type="spellStart"/>
      <w:r w:rsidRPr="005C04FB">
        <w:rPr>
          <w:rFonts w:ascii="Arial" w:hAnsi="Arial" w:cs="Arial"/>
          <w:b/>
          <w:bCs/>
          <w:sz w:val="20"/>
          <w:szCs w:val="20"/>
          <w:lang w:eastAsia="en-IN"/>
        </w:rPr>
        <w:t>Langate</w:t>
      </w:r>
      <w:proofErr w:type="spellEnd"/>
      <w:r w:rsidRPr="005C04FB">
        <w:rPr>
          <w:rFonts w:ascii="Arial" w:hAnsi="Arial" w:cs="Arial"/>
          <w:b/>
          <w:bCs/>
          <w:sz w:val="20"/>
          <w:szCs w:val="20"/>
          <w:lang w:eastAsia="en-IN"/>
        </w:rPr>
        <w:t xml:space="preserve"> Forest Division population</w:t>
      </w:r>
    </w:p>
    <w:p w:rsidR="008B37C7" w:rsidRPr="005C04FB" w:rsidRDefault="008B37C7" w:rsidP="001A4779">
      <w:pPr>
        <w:pStyle w:val="NormalWeb"/>
        <w:spacing w:before="0" w:beforeAutospacing="0" w:after="0" w:afterAutospacing="0" w:line="360" w:lineRule="auto"/>
        <w:jc w:val="both"/>
        <w:rPr>
          <w:rFonts w:ascii="Arial" w:hAnsi="Arial" w:cs="Arial"/>
          <w:sz w:val="20"/>
          <w:szCs w:val="20"/>
          <w:lang w:eastAsia="en-IN"/>
        </w:rPr>
      </w:pPr>
      <w:r w:rsidRPr="005C04FB">
        <w:rPr>
          <w:rFonts w:ascii="Arial" w:hAnsi="Arial" w:cs="Arial"/>
          <w:sz w:val="20"/>
          <w:szCs w:val="20"/>
          <w:lang w:eastAsia="en-IN"/>
        </w:rPr>
        <w:t xml:space="preserve">Significant </w:t>
      </w:r>
      <w:proofErr w:type="spellStart"/>
      <w:r w:rsidRPr="005C04FB">
        <w:rPr>
          <w:rFonts w:ascii="Arial" w:hAnsi="Arial" w:cs="Arial"/>
          <w:sz w:val="20"/>
          <w:szCs w:val="20"/>
          <w:lang w:eastAsia="en-IN"/>
        </w:rPr>
        <w:t>chemotypic</w:t>
      </w:r>
      <w:proofErr w:type="spellEnd"/>
      <w:r w:rsidRPr="005C04FB">
        <w:rPr>
          <w:rFonts w:ascii="Arial" w:hAnsi="Arial" w:cs="Arial"/>
          <w:sz w:val="20"/>
          <w:szCs w:val="20"/>
          <w:lang w:eastAsia="en-IN"/>
        </w:rPr>
        <w:t xml:space="preserve"> diversity has been observed in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w:t>
      </w:r>
      <w:r w:rsidR="004D35F6" w:rsidRPr="005C04FB">
        <w:rPr>
          <w:rFonts w:ascii="Arial" w:hAnsi="Arial" w:cs="Arial"/>
          <w:sz w:val="20"/>
          <w:szCs w:val="20"/>
          <w:lang w:eastAsia="en-IN"/>
        </w:rPr>
        <w:t xml:space="preserve">Jones </w:t>
      </w:r>
      <w:r w:rsidRPr="005C04FB">
        <w:rPr>
          <w:rFonts w:ascii="Arial" w:hAnsi="Arial" w:cs="Arial"/>
          <w:sz w:val="20"/>
          <w:szCs w:val="20"/>
          <w:lang w:eastAsia="en-IN"/>
        </w:rPr>
        <w:t xml:space="preserve">across its Himalayan and trans-Himalayan range, with populations exhibiting notable differences in sesquiterpene prevalence and the relative concentration of patchouli alcohol (He et al., 2018; Maurya et al., 2021; Thakur et al., 2022).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 is distinctly classified under the high patchouli alcohol chemotype, a profile previously identified in certain areas of Himachal Pradesh and Uttarakhand but rarely documented in the Kashmir Himalaya with comprehensive ethnobotanical evidence (Bisht et al., 2020). This </w:t>
      </w:r>
      <w:proofErr w:type="spellStart"/>
      <w:r w:rsidRPr="005C04FB">
        <w:rPr>
          <w:rFonts w:ascii="Arial" w:hAnsi="Arial" w:cs="Arial"/>
          <w:sz w:val="20"/>
          <w:szCs w:val="20"/>
          <w:lang w:eastAsia="en-IN"/>
        </w:rPr>
        <w:t>chemotypic</w:t>
      </w:r>
      <w:proofErr w:type="spellEnd"/>
      <w:r w:rsidRPr="005C04FB">
        <w:rPr>
          <w:rFonts w:ascii="Arial" w:hAnsi="Arial" w:cs="Arial"/>
          <w:sz w:val="20"/>
          <w:szCs w:val="20"/>
          <w:lang w:eastAsia="en-IN"/>
        </w:rPr>
        <w:t xml:space="preserve"> variation has significant implications. Firstly, the pharmacological effectiveness is greatly influenced by the proportions of oxygenated sesquiterpenes, which have greater bioavailability and biological activity compared to their hydrocarbon counterparts. Studies on electrophysiological responses and acetylcholinesterase inhibition have shown that essential oils rich in patchouli alcohol and similar oxygenated sesquiterpenes exhibit stronger CNS depressant and anxiolytic properties (</w:t>
      </w:r>
      <w:proofErr w:type="spellStart"/>
      <w:r w:rsidRPr="005C04FB">
        <w:rPr>
          <w:rFonts w:ascii="Arial" w:hAnsi="Arial" w:cs="Arial"/>
          <w:sz w:val="20"/>
          <w:szCs w:val="20"/>
          <w:lang w:eastAsia="en-IN"/>
        </w:rPr>
        <w:t>Cornara</w:t>
      </w:r>
      <w:proofErr w:type="spellEnd"/>
      <w:r w:rsidRPr="005C04FB">
        <w:rPr>
          <w:rFonts w:ascii="Arial" w:hAnsi="Arial" w:cs="Arial"/>
          <w:sz w:val="20"/>
          <w:szCs w:val="20"/>
          <w:lang w:eastAsia="en-IN"/>
        </w:rPr>
        <w:t xml:space="preserve"> et al., 2020). Secondly, </w:t>
      </w:r>
      <w:proofErr w:type="spellStart"/>
      <w:r w:rsidRPr="005C04FB">
        <w:rPr>
          <w:rFonts w:ascii="Arial" w:hAnsi="Arial" w:cs="Arial"/>
          <w:sz w:val="20"/>
          <w:szCs w:val="20"/>
          <w:lang w:eastAsia="en-IN"/>
        </w:rPr>
        <w:t>chemotypic</w:t>
      </w:r>
      <w:proofErr w:type="spellEnd"/>
      <w:r w:rsidRPr="005C04FB">
        <w:rPr>
          <w:rFonts w:ascii="Arial" w:hAnsi="Arial" w:cs="Arial"/>
          <w:sz w:val="20"/>
          <w:szCs w:val="20"/>
          <w:lang w:eastAsia="en-IN"/>
        </w:rPr>
        <w:t xml:space="preserve"> profiling is crucial for the quality control and standardization of herbal formulations. Patchouli alcohol and </w:t>
      </w:r>
      <w:proofErr w:type="spellStart"/>
      <w:r w:rsidRPr="005C04FB">
        <w:rPr>
          <w:rFonts w:ascii="Arial" w:hAnsi="Arial" w:cs="Arial"/>
          <w:sz w:val="20"/>
          <w:szCs w:val="20"/>
          <w:lang w:eastAsia="en-IN"/>
        </w:rPr>
        <w:t>calarene</w:t>
      </w:r>
      <w:proofErr w:type="spellEnd"/>
      <w:r w:rsidRPr="005C04FB">
        <w:rPr>
          <w:rFonts w:ascii="Arial" w:hAnsi="Arial" w:cs="Arial"/>
          <w:sz w:val="20"/>
          <w:szCs w:val="20"/>
          <w:lang w:eastAsia="en-IN"/>
        </w:rPr>
        <w:t xml:space="preserve"> are now recognized as reliable chemical markers for the authentication and efficacy evaluation of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Pr="005C04FB">
        <w:rPr>
          <w:rFonts w:ascii="Arial" w:hAnsi="Arial" w:cs="Arial"/>
          <w:i/>
          <w:sz w:val="20"/>
          <w:szCs w:val="20"/>
          <w:lang w:eastAsia="en-IN"/>
        </w:rPr>
        <w:t>-</w:t>
      </w:r>
      <w:r w:rsidRPr="005C04FB">
        <w:rPr>
          <w:rFonts w:ascii="Arial" w:hAnsi="Arial" w:cs="Arial"/>
          <w:sz w:val="20"/>
          <w:szCs w:val="20"/>
          <w:lang w:eastAsia="en-IN"/>
        </w:rPr>
        <w:t>based products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2019; Wang et al., 2024). The 1:1 ratio of oxygenated to non-oxygenated sesquiterpenes found in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 indicates a balanced and pharmacologically adaptable chemotype. Thirdly, from a conservation and cultivation perspective, identifying high-value chemotypes provides a scientific basis for selecting superior germplasm for ex-situ propagation and sustainable agricultural programs, thereby alleviating pressure on wild populations (He et al., 2018; Dhiman et al., 2020; Thakur et al., 2022).</w:t>
      </w:r>
    </w:p>
    <w:p w:rsidR="008B37C7" w:rsidRPr="005C04FB" w:rsidRDefault="008B37C7" w:rsidP="001A4779">
      <w:pPr>
        <w:spacing w:line="360" w:lineRule="auto"/>
        <w:jc w:val="both"/>
        <w:rPr>
          <w:rFonts w:ascii="Arial" w:hAnsi="Arial" w:cs="Arial"/>
          <w:sz w:val="20"/>
          <w:szCs w:val="20"/>
          <w:lang w:eastAsia="en-IN"/>
        </w:rPr>
      </w:pPr>
    </w:p>
    <w:p w:rsidR="008B37C7" w:rsidRPr="005C04FB" w:rsidRDefault="008B37C7" w:rsidP="001A4779">
      <w:pPr>
        <w:spacing w:line="360" w:lineRule="auto"/>
        <w:jc w:val="both"/>
        <w:outlineLvl w:val="2"/>
        <w:rPr>
          <w:rFonts w:ascii="Arial" w:hAnsi="Arial" w:cs="Arial"/>
          <w:b/>
          <w:bCs/>
          <w:sz w:val="20"/>
          <w:szCs w:val="20"/>
          <w:lang w:eastAsia="en-IN"/>
        </w:rPr>
      </w:pPr>
      <w:r w:rsidRPr="005C04FB">
        <w:rPr>
          <w:rFonts w:ascii="Arial" w:hAnsi="Arial" w:cs="Arial"/>
          <w:b/>
          <w:bCs/>
          <w:sz w:val="20"/>
          <w:szCs w:val="20"/>
          <w:lang w:eastAsia="en-IN"/>
        </w:rPr>
        <w:t>4.3 Conservation urgency, sustainability, and protection of traditional knowledge</w:t>
      </w:r>
    </w:p>
    <w:p w:rsidR="008B37C7" w:rsidRPr="005C04FB" w:rsidRDefault="008B37C7" w:rsidP="001A4779">
      <w:pPr>
        <w:pStyle w:val="NormalWeb"/>
        <w:spacing w:before="0" w:beforeAutospacing="0" w:after="0" w:afterAutospacing="0" w:line="360" w:lineRule="auto"/>
        <w:jc w:val="both"/>
        <w:rPr>
          <w:rFonts w:ascii="Arial" w:hAnsi="Arial" w:cs="Arial"/>
          <w:sz w:val="20"/>
          <w:szCs w:val="20"/>
          <w:lang w:eastAsia="en-IN"/>
        </w:rPr>
      </w:pPr>
      <w:r w:rsidRPr="005C04FB">
        <w:rPr>
          <w:rFonts w:ascii="Arial" w:hAnsi="Arial" w:cs="Arial"/>
          <w:sz w:val="20"/>
          <w:szCs w:val="20"/>
          <w:lang w:eastAsia="en-IN"/>
        </w:rPr>
        <w:t xml:space="preserve">The integration of ethnobotanical and phytochemical data must be interpreted against the backdrop of escalating conservation threats.  </w:t>
      </w:r>
      <w:proofErr w:type="spellStart"/>
      <w:r w:rsidRPr="005C04FB">
        <w:rPr>
          <w:rFonts w:ascii="Arial" w:hAnsi="Arial" w:cs="Arial"/>
          <w:i/>
          <w:sz w:val="20"/>
          <w:szCs w:val="20"/>
          <w:lang w:eastAsia="en-IN"/>
        </w:rPr>
        <w:t>Valeriana</w:t>
      </w:r>
      <w:proofErr w:type="spellEnd"/>
      <w:r w:rsidRPr="005C04FB">
        <w:rPr>
          <w:rFonts w:ascii="Arial" w:hAnsi="Arial" w:cs="Arial"/>
          <w:i/>
          <w:sz w:val="20"/>
          <w:szCs w:val="20"/>
          <w:lang w:eastAsia="en-IN"/>
        </w:rPr>
        <w:t xml:space="preserve">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w:t>
      </w:r>
      <w:r w:rsidR="004D35F6" w:rsidRPr="005C04FB">
        <w:rPr>
          <w:rFonts w:ascii="Arial" w:hAnsi="Arial" w:cs="Arial"/>
          <w:sz w:val="20"/>
          <w:szCs w:val="20"/>
          <w:lang w:eastAsia="en-IN"/>
        </w:rPr>
        <w:t xml:space="preserve">Jones </w:t>
      </w:r>
      <w:r w:rsidRPr="005C04FB">
        <w:rPr>
          <w:rFonts w:ascii="Arial" w:hAnsi="Arial" w:cs="Arial"/>
          <w:sz w:val="20"/>
          <w:szCs w:val="20"/>
          <w:lang w:eastAsia="en-IN"/>
        </w:rPr>
        <w:t xml:space="preserve">is extensively harvested for its roots and rhizomes, a practice that impedes population recovery and has resulted in localized depletion across the Himalayan region (Dhiman et al., 2020;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2021; </w:t>
      </w:r>
      <w:proofErr w:type="spellStart"/>
      <w:r w:rsidRPr="005C04FB">
        <w:rPr>
          <w:rFonts w:ascii="Arial" w:hAnsi="Arial" w:cs="Arial"/>
          <w:sz w:val="20"/>
          <w:szCs w:val="20"/>
          <w:lang w:eastAsia="en-IN"/>
        </w:rPr>
        <w:t>Charmakar</w:t>
      </w:r>
      <w:proofErr w:type="spellEnd"/>
      <w:r w:rsidRPr="005C04FB">
        <w:rPr>
          <w:rFonts w:ascii="Arial" w:hAnsi="Arial" w:cs="Arial"/>
          <w:sz w:val="20"/>
          <w:szCs w:val="20"/>
          <w:lang w:eastAsia="en-IN"/>
        </w:rPr>
        <w:t xml:space="preserve"> et al., 2021). In the Kashmir Himalaya, uncontrolled harvesting, combined with habitat fragmentation and the erosion of traditional knowledge, has further strained natural populations (Rashid et al., 2018; Mir et al., 2024). A study from Nepal and the western Himalayas indicates a strong dependence on wild-harvested resources for livelihoods, alongside a decline in the availability of chemically potent germplasm, necessitating the urgent implementation of sustainable harvesting practices and cultivation-based supply chains (</w:t>
      </w:r>
      <w:proofErr w:type="spellStart"/>
      <w:r w:rsidRPr="005C04FB">
        <w:rPr>
          <w:rFonts w:ascii="Arial" w:hAnsi="Arial" w:cs="Arial"/>
          <w:sz w:val="20"/>
          <w:szCs w:val="20"/>
          <w:lang w:eastAsia="en-IN"/>
        </w:rPr>
        <w:t>Charmakar</w:t>
      </w:r>
      <w:proofErr w:type="spellEnd"/>
      <w:r w:rsidRPr="005C04FB">
        <w:rPr>
          <w:rFonts w:ascii="Arial" w:hAnsi="Arial" w:cs="Arial"/>
          <w:sz w:val="20"/>
          <w:szCs w:val="20"/>
          <w:lang w:eastAsia="en-IN"/>
        </w:rPr>
        <w:t xml:space="preserve"> et al., 2021; Thakur et al., 2022).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population's high patchouli alcohol content underscores its importance as a key conservation unit. Equally significant is the documentation of local </w:t>
      </w:r>
      <w:r w:rsidRPr="005C04FB">
        <w:rPr>
          <w:rFonts w:ascii="Arial" w:hAnsi="Arial" w:cs="Arial"/>
          <w:sz w:val="20"/>
          <w:szCs w:val="20"/>
          <w:lang w:eastAsia="en-IN"/>
        </w:rPr>
        <w:lastRenderedPageBreak/>
        <w:t>names, preparation methods, and therapeutic uses, which not only preserves intangible cultural heritage but also provides a solid foundation for fair benefit-sharing and intellectual property rights. This documentation aligns with the Nagoya Protocol and India's national biodiversity policies, ensuring the recognition and rights of indigenous knowledge holders (</w:t>
      </w:r>
      <w:proofErr w:type="spellStart"/>
      <w:r w:rsidRPr="005C04FB">
        <w:rPr>
          <w:rFonts w:ascii="Arial" w:hAnsi="Arial" w:cs="Arial"/>
          <w:sz w:val="20"/>
          <w:szCs w:val="20"/>
          <w:lang w:eastAsia="en-IN"/>
        </w:rPr>
        <w:t>Jugran</w:t>
      </w:r>
      <w:proofErr w:type="spellEnd"/>
      <w:r w:rsidRPr="005C04FB">
        <w:rPr>
          <w:rFonts w:ascii="Arial" w:hAnsi="Arial" w:cs="Arial"/>
          <w:sz w:val="20"/>
          <w:szCs w:val="20"/>
          <w:lang w:eastAsia="en-IN"/>
        </w:rPr>
        <w:t xml:space="preserve"> et al., 2021; Wang et al., 2024; </w:t>
      </w:r>
      <w:proofErr w:type="spellStart"/>
      <w:r w:rsidRPr="005C04FB">
        <w:rPr>
          <w:rFonts w:ascii="Arial" w:hAnsi="Arial" w:cs="Arial"/>
          <w:sz w:val="20"/>
          <w:szCs w:val="20"/>
          <w:lang w:eastAsia="en-IN"/>
        </w:rPr>
        <w:t>Mbelebele</w:t>
      </w:r>
      <w:proofErr w:type="spellEnd"/>
      <w:r w:rsidRPr="005C04FB">
        <w:rPr>
          <w:rFonts w:ascii="Arial" w:hAnsi="Arial" w:cs="Arial"/>
          <w:sz w:val="20"/>
          <w:szCs w:val="20"/>
          <w:lang w:eastAsia="en-IN"/>
        </w:rPr>
        <w:t xml:space="preserve"> et al., 2024). Therefore, the </w:t>
      </w:r>
      <w:proofErr w:type="spellStart"/>
      <w:r w:rsidRPr="005C04FB">
        <w:rPr>
          <w:rFonts w:ascii="Arial" w:hAnsi="Arial" w:cs="Arial"/>
          <w:sz w:val="20"/>
          <w:szCs w:val="20"/>
          <w:lang w:eastAsia="en-IN"/>
        </w:rPr>
        <w:t>Langate</w:t>
      </w:r>
      <w:proofErr w:type="spellEnd"/>
      <w:r w:rsidRPr="005C04FB">
        <w:rPr>
          <w:rFonts w:ascii="Arial" w:hAnsi="Arial" w:cs="Arial"/>
          <w:sz w:val="20"/>
          <w:szCs w:val="20"/>
          <w:lang w:eastAsia="en-IN"/>
        </w:rPr>
        <w:t xml:space="preserve"> Forest Division case study exemplifies how well-documented ethnobotanical knowledge, when paired with comprehensive phytochemical analysis, can establish a scientifically robust and ethically sound framework for researching medicinal plants. The identification of a high-value chemotype, coupled with its significant traditional use, underscores </w:t>
      </w:r>
      <w:r w:rsidRPr="005C04FB">
        <w:rPr>
          <w:rFonts w:ascii="Arial" w:hAnsi="Arial" w:cs="Arial"/>
          <w:i/>
          <w:sz w:val="20"/>
          <w:szCs w:val="20"/>
          <w:lang w:eastAsia="en-IN"/>
        </w:rPr>
        <w:t xml:space="preserve">V. </w:t>
      </w:r>
      <w:proofErr w:type="spellStart"/>
      <w:r w:rsidRPr="005C04FB">
        <w:rPr>
          <w:rFonts w:ascii="Arial" w:hAnsi="Arial" w:cs="Arial"/>
          <w:i/>
          <w:sz w:val="20"/>
          <w:szCs w:val="20"/>
          <w:lang w:eastAsia="en-IN"/>
        </w:rPr>
        <w:t>jatamansi</w:t>
      </w:r>
      <w:proofErr w:type="spellEnd"/>
      <w:r w:rsidRPr="005C04FB">
        <w:rPr>
          <w:rFonts w:ascii="Arial" w:hAnsi="Arial" w:cs="Arial"/>
          <w:sz w:val="20"/>
          <w:szCs w:val="20"/>
          <w:lang w:eastAsia="en-IN"/>
        </w:rPr>
        <w:t xml:space="preserve"> </w:t>
      </w:r>
      <w:r w:rsidR="004D35F6" w:rsidRPr="005C04FB">
        <w:rPr>
          <w:rFonts w:ascii="Arial" w:hAnsi="Arial" w:cs="Arial"/>
          <w:sz w:val="20"/>
          <w:szCs w:val="20"/>
          <w:lang w:eastAsia="en-IN"/>
        </w:rPr>
        <w:t xml:space="preserve">Jones </w:t>
      </w:r>
      <w:r w:rsidRPr="005C04FB">
        <w:rPr>
          <w:rFonts w:ascii="Arial" w:hAnsi="Arial" w:cs="Arial"/>
          <w:sz w:val="20"/>
          <w:szCs w:val="20"/>
          <w:lang w:eastAsia="en-IN"/>
        </w:rPr>
        <w:t>as a pivotal species for conservation-focused phytopharmaceutical development in the Kashmir Himalaya. Such integrative strategies are essential for balancing biodiversity conservation, cultural resilience, and the sustainable use of Himalayan medicinal plant resources.</w:t>
      </w:r>
    </w:p>
    <w:bookmarkEnd w:id="4"/>
    <w:bookmarkEnd w:id="5"/>
    <w:p w:rsidR="00C62886" w:rsidRPr="005C04FB" w:rsidRDefault="00C62886" w:rsidP="00C4332A">
      <w:pPr>
        <w:pStyle w:val="NormalWeb"/>
        <w:spacing w:line="360" w:lineRule="auto"/>
        <w:jc w:val="both"/>
        <w:rPr>
          <w:rFonts w:ascii="Arial" w:hAnsi="Arial" w:cs="Arial"/>
          <w:b/>
          <w:bCs/>
          <w:sz w:val="20"/>
          <w:szCs w:val="20"/>
        </w:rPr>
      </w:pPr>
      <w:r w:rsidRPr="005C04FB">
        <w:rPr>
          <w:rFonts w:ascii="Arial" w:hAnsi="Arial" w:cs="Arial"/>
          <w:b/>
          <w:bCs/>
          <w:sz w:val="20"/>
          <w:szCs w:val="20"/>
        </w:rPr>
        <w:t>Conclusion</w:t>
      </w:r>
    </w:p>
    <w:p w:rsidR="002546C3" w:rsidRDefault="004D35F6" w:rsidP="00634D26">
      <w:pPr>
        <w:pStyle w:val="NormalWeb"/>
        <w:spacing w:line="360" w:lineRule="auto"/>
        <w:jc w:val="both"/>
        <w:rPr>
          <w:rFonts w:ascii="Arial" w:hAnsi="Arial" w:cs="Arial"/>
          <w:sz w:val="20"/>
          <w:szCs w:val="20"/>
        </w:rPr>
      </w:pPr>
      <w:r w:rsidRPr="005C04FB">
        <w:rPr>
          <w:rFonts w:ascii="Arial" w:hAnsi="Arial" w:cs="Arial"/>
          <w:sz w:val="20"/>
          <w:szCs w:val="20"/>
        </w:rPr>
        <w:t xml:space="preserve">This study bridges traditional ethnobotanical knowledge and modern phytochemical analysis to validate the therapeutic relevance of </w:t>
      </w:r>
      <w:proofErr w:type="spellStart"/>
      <w:r w:rsidRPr="005C04FB">
        <w:rPr>
          <w:rStyle w:val="Emphasis"/>
          <w:rFonts w:ascii="Arial" w:hAnsi="Arial" w:cs="Arial"/>
          <w:sz w:val="20"/>
          <w:szCs w:val="20"/>
        </w:rPr>
        <w:t>Valeriana</w:t>
      </w:r>
      <w:proofErr w:type="spellEnd"/>
      <w:r w:rsidRPr="005C04FB">
        <w:rPr>
          <w:rStyle w:val="Emphasis"/>
          <w:rFonts w:ascii="Arial" w:hAnsi="Arial" w:cs="Arial"/>
          <w:sz w:val="20"/>
          <w:szCs w:val="20"/>
        </w:rPr>
        <w:t xml:space="preserve"> </w:t>
      </w:r>
      <w:proofErr w:type="spellStart"/>
      <w:r w:rsidRPr="005C04FB">
        <w:rPr>
          <w:rStyle w:val="Emphasis"/>
          <w:rFonts w:ascii="Arial" w:hAnsi="Arial" w:cs="Arial"/>
          <w:sz w:val="20"/>
          <w:szCs w:val="20"/>
        </w:rPr>
        <w:t>jatamansi</w:t>
      </w:r>
      <w:proofErr w:type="spellEnd"/>
      <w:r w:rsidRPr="005C04FB">
        <w:rPr>
          <w:rFonts w:ascii="Arial" w:hAnsi="Arial" w:cs="Arial"/>
          <w:sz w:val="20"/>
          <w:szCs w:val="20"/>
        </w:rPr>
        <w:t xml:space="preserve"> Jones from Kashmir’s </w:t>
      </w:r>
      <w:proofErr w:type="spellStart"/>
      <w:r w:rsidRPr="005C04FB">
        <w:rPr>
          <w:rFonts w:ascii="Arial" w:hAnsi="Arial" w:cs="Arial"/>
          <w:sz w:val="20"/>
          <w:szCs w:val="20"/>
        </w:rPr>
        <w:t>Langate</w:t>
      </w:r>
      <w:proofErr w:type="spellEnd"/>
      <w:r w:rsidRPr="005C04FB">
        <w:rPr>
          <w:rFonts w:ascii="Arial" w:hAnsi="Arial" w:cs="Arial"/>
          <w:sz w:val="20"/>
          <w:szCs w:val="20"/>
        </w:rPr>
        <w:t xml:space="preserve"> Forest Division. The predominance of patchouli alcohol and other sesquiterpenes provides strong biochemical support for its traditional use in managing neurological and inflammatory disorders. </w:t>
      </w:r>
      <w:r w:rsidR="00634D26" w:rsidRPr="005C04FB">
        <w:rPr>
          <w:rFonts w:ascii="Arial" w:hAnsi="Arial" w:cs="Arial"/>
          <w:sz w:val="20"/>
          <w:szCs w:val="20"/>
        </w:rPr>
        <w:t xml:space="preserve">The discovery of a unique high patchouli alcohol chemotype highlights the pharmacological significance and conservation importance of the species. Recording local vernacular names, traditional preparation techniques, and community-based practices not only safeguards cultural heritage but also contributes to informed and sustainable resource management. </w:t>
      </w:r>
      <w:r w:rsidRPr="005C04FB">
        <w:rPr>
          <w:rFonts w:ascii="Arial" w:hAnsi="Arial" w:cs="Arial"/>
          <w:sz w:val="20"/>
          <w:szCs w:val="20"/>
        </w:rPr>
        <w:t>Overall, the integration of GC–MS-based profiling with ethnomedicinal documentation establishes a replicable framework for conserving biodiversity and advancing evidence-based traditional medicine in the Himalayan region.</w:t>
      </w:r>
      <w:bookmarkStart w:id="7" w:name="_Hlk217907165"/>
    </w:p>
    <w:bookmarkEnd w:id="2"/>
    <w:bookmarkEnd w:id="3"/>
    <w:bookmarkEnd w:id="7"/>
    <w:p w:rsidR="00544049" w:rsidRPr="008B37C7" w:rsidRDefault="008B37C7" w:rsidP="008B37C7">
      <w:pPr>
        <w:rPr>
          <w:b/>
          <w:lang w:eastAsia="en-IN"/>
        </w:rPr>
      </w:pPr>
      <w:r>
        <w:rPr>
          <w:lang w:eastAsia="en-IN"/>
        </w:rPr>
        <w:t xml:space="preserve"> </w:t>
      </w:r>
      <w:bookmarkStart w:id="8" w:name="_Hlk217907261"/>
      <w:bookmarkEnd w:id="0"/>
      <w:bookmarkEnd w:id="1"/>
      <w:r w:rsidRPr="008B37C7">
        <w:rPr>
          <w:b/>
          <w:lang w:eastAsia="en-IN"/>
        </w:rPr>
        <w:t xml:space="preserve"> References</w:t>
      </w:r>
    </w:p>
    <w:p w:rsidR="008B37C7" w:rsidRDefault="008B37C7" w:rsidP="008B37C7"/>
    <w:bookmarkEnd w:id="8"/>
    <w:p w:rsidR="009B2D7C" w:rsidRDefault="009B2D7C" w:rsidP="0009557B">
      <w:pPr>
        <w:pStyle w:val="NormalWeb"/>
      </w:pPr>
      <w:r w:rsidRPr="009B2D7C">
        <w:t>Abdel-Lateef, E., El-</w:t>
      </w:r>
      <w:proofErr w:type="spellStart"/>
      <w:r w:rsidRPr="009B2D7C">
        <w:t>Ahwany</w:t>
      </w:r>
      <w:proofErr w:type="spellEnd"/>
      <w:r w:rsidRPr="009B2D7C">
        <w:t xml:space="preserve">, E., </w:t>
      </w:r>
      <w:proofErr w:type="spellStart"/>
      <w:r w:rsidRPr="009B2D7C">
        <w:t>Hassenein</w:t>
      </w:r>
      <w:proofErr w:type="spellEnd"/>
      <w:r w:rsidRPr="009B2D7C">
        <w:t xml:space="preserve">, H., El-Wakil, E., Hammam, O., Mahmoud, F., </w:t>
      </w:r>
      <w:proofErr w:type="spellStart"/>
      <w:r w:rsidRPr="009B2D7C">
        <w:t>Kandil</w:t>
      </w:r>
      <w:proofErr w:type="spellEnd"/>
      <w:r w:rsidRPr="009B2D7C">
        <w:t xml:space="preserve">, S., </w:t>
      </w:r>
      <w:proofErr w:type="spellStart"/>
      <w:r w:rsidRPr="009B2D7C">
        <w:t>Taleb</w:t>
      </w:r>
      <w:proofErr w:type="spellEnd"/>
      <w:r w:rsidRPr="009B2D7C">
        <w:t xml:space="preserve">, H., El-Sayed, M. M., &amp; </w:t>
      </w:r>
      <w:proofErr w:type="spellStart"/>
      <w:r w:rsidRPr="009B2D7C">
        <w:t>Hassenein</w:t>
      </w:r>
      <w:proofErr w:type="spellEnd"/>
      <w:r w:rsidRPr="009B2D7C">
        <w:t xml:space="preserve">, H. I. (2016). Bioactive chemical constituents of Curcuma longa L. rhizomes extract inhibit the growth of human hepatoma cell line (HepG2). Acta </w:t>
      </w:r>
      <w:proofErr w:type="spellStart"/>
      <w:r w:rsidRPr="009B2D7C">
        <w:t>Pharmaceutica</w:t>
      </w:r>
      <w:proofErr w:type="spellEnd"/>
      <w:r w:rsidRPr="009B2D7C">
        <w:t xml:space="preserve">, 66(3), 387–398. </w:t>
      </w:r>
      <w:hyperlink r:id="rId21" w:history="1">
        <w:r w:rsidRPr="005355A5">
          <w:rPr>
            <w:rStyle w:val="Hyperlink"/>
          </w:rPr>
          <w:t>https://doi.org/10.1515/acph-2016-0028</w:t>
        </w:r>
      </w:hyperlink>
    </w:p>
    <w:p w:rsidR="009B2D7C" w:rsidRDefault="009B2D7C" w:rsidP="0009557B">
      <w:pPr>
        <w:pStyle w:val="NormalWeb"/>
      </w:pPr>
      <w:r w:rsidRPr="009B2D7C">
        <w:t xml:space="preserve">Anis, M., Sharma, M. P., &amp; Iqbal, M. (2000). Herbal ethnomedicine of the Gwalior Forest Division in Madhya Pradesh, India. Pharmaceutical Biology, 38(4), 241–253. </w:t>
      </w:r>
      <w:hyperlink r:id="rId22" w:history="1">
        <w:r w:rsidRPr="005355A5">
          <w:rPr>
            <w:rStyle w:val="Hyperlink"/>
          </w:rPr>
          <w:t>https://doi.org/10.1076/1388-0209(200009)3841-AFT241</w:t>
        </w:r>
      </w:hyperlink>
    </w:p>
    <w:p w:rsidR="009B2D7C" w:rsidRDefault="009B2D7C" w:rsidP="0009557B">
      <w:pPr>
        <w:pStyle w:val="NormalWeb"/>
      </w:pPr>
      <w:r w:rsidRPr="009B2D7C">
        <w:t xml:space="preserve">Awoke, A., </w:t>
      </w:r>
      <w:proofErr w:type="spellStart"/>
      <w:r w:rsidRPr="009B2D7C">
        <w:t>Gudesho</w:t>
      </w:r>
      <w:proofErr w:type="spellEnd"/>
      <w:r w:rsidRPr="009B2D7C">
        <w:t xml:space="preserve">, G., </w:t>
      </w:r>
      <w:proofErr w:type="spellStart"/>
      <w:r w:rsidRPr="009B2D7C">
        <w:t>Akmel</w:t>
      </w:r>
      <w:proofErr w:type="spellEnd"/>
      <w:r w:rsidRPr="009B2D7C">
        <w:t xml:space="preserve">, F., &amp; </w:t>
      </w:r>
      <w:proofErr w:type="spellStart"/>
      <w:r w:rsidRPr="009B2D7C">
        <w:t>Shanmugasundaram</w:t>
      </w:r>
      <w:proofErr w:type="spellEnd"/>
      <w:r w:rsidRPr="009B2D7C">
        <w:t xml:space="preserve">, P. (2024). Traditionally used medicinal plants for human ailments and their threats in </w:t>
      </w:r>
      <w:proofErr w:type="spellStart"/>
      <w:r w:rsidRPr="009B2D7C">
        <w:t>Guraferda</w:t>
      </w:r>
      <w:proofErr w:type="spellEnd"/>
      <w:r w:rsidRPr="009B2D7C">
        <w:t xml:space="preserve"> District, </w:t>
      </w:r>
      <w:proofErr w:type="spellStart"/>
      <w:r w:rsidRPr="009B2D7C">
        <w:t>Benchi-Sheko</w:t>
      </w:r>
      <w:proofErr w:type="spellEnd"/>
      <w:r w:rsidRPr="009B2D7C">
        <w:t xml:space="preserve"> zone, Southwest Ethiopia. Journal of Ethnobiology and Ethnomedicine, 20(1). </w:t>
      </w:r>
      <w:hyperlink r:id="rId23" w:history="1">
        <w:r w:rsidRPr="005355A5">
          <w:rPr>
            <w:rStyle w:val="Hyperlink"/>
          </w:rPr>
          <w:t>https://doi.org/10.1186/s13002-024-00709-5</w:t>
        </w:r>
      </w:hyperlink>
    </w:p>
    <w:p w:rsidR="0009557B" w:rsidRDefault="0009557B" w:rsidP="0009557B">
      <w:pPr>
        <w:pStyle w:val="NormalWeb"/>
      </w:pPr>
      <w:r>
        <w:t xml:space="preserve">Bisht B, Karki G, </w:t>
      </w:r>
      <w:proofErr w:type="spellStart"/>
      <w:r>
        <w:t>Padalia</w:t>
      </w:r>
      <w:proofErr w:type="spellEnd"/>
      <w:r>
        <w:t xml:space="preserve"> R, Kowalski P. Significant definitions. 2020. DOI: 10.1056/nejm197701132960236</w:t>
      </w:r>
    </w:p>
    <w:p w:rsidR="0009557B" w:rsidRDefault="0009557B" w:rsidP="0009557B">
      <w:pPr>
        <w:pStyle w:val="NormalWeb"/>
      </w:pPr>
      <w:r>
        <w:lastRenderedPageBreak/>
        <w:t xml:space="preserve">Bisht VK, </w:t>
      </w:r>
      <w:proofErr w:type="spellStart"/>
      <w:r>
        <w:t>Kandari</w:t>
      </w:r>
      <w:proofErr w:type="spellEnd"/>
      <w:r>
        <w:t xml:space="preserve"> LS, Negi JS. Chemical composition and </w:t>
      </w:r>
      <w:proofErr w:type="spellStart"/>
      <w:r>
        <w:t>chemotypic</w:t>
      </w:r>
      <w:proofErr w:type="spellEnd"/>
      <w:r>
        <w:t xml:space="preserve"> variation of </w:t>
      </w:r>
      <w:proofErr w:type="spellStart"/>
      <w:r>
        <w:rPr>
          <w:rStyle w:val="Emphasis"/>
        </w:rPr>
        <w:t>Valeriana</w:t>
      </w:r>
      <w:proofErr w:type="spellEnd"/>
      <w:r>
        <w:rPr>
          <w:rStyle w:val="Emphasis"/>
        </w:rPr>
        <w:t xml:space="preserve"> </w:t>
      </w:r>
      <w:proofErr w:type="spellStart"/>
      <w:r>
        <w:rPr>
          <w:rStyle w:val="Emphasis"/>
        </w:rPr>
        <w:t>jatamansi</w:t>
      </w:r>
      <w:proofErr w:type="spellEnd"/>
      <w:r>
        <w:t xml:space="preserve"> essential oil from different Himalayan regions. </w:t>
      </w:r>
      <w:r>
        <w:rPr>
          <w:rStyle w:val="Emphasis"/>
        </w:rPr>
        <w:t>Journal of Applied Research on Medicinal and Aromatic Plants</w:t>
      </w:r>
      <w:r>
        <w:t>. 2020;18:100260. DOI: 10.1016/j.jarmap.2020.100260</w:t>
      </w:r>
    </w:p>
    <w:p w:rsidR="0009557B" w:rsidRDefault="0009557B" w:rsidP="0009557B">
      <w:pPr>
        <w:pStyle w:val="NormalWeb"/>
      </w:pPr>
      <w:proofErr w:type="spellStart"/>
      <w:r>
        <w:t>Çelik</w:t>
      </w:r>
      <w:proofErr w:type="spellEnd"/>
      <w:r>
        <w:t xml:space="preserve"> C, </w:t>
      </w:r>
      <w:proofErr w:type="spellStart"/>
      <w:r>
        <w:t>Kırmızıbekmez</w:t>
      </w:r>
      <w:proofErr w:type="spellEnd"/>
      <w:r>
        <w:t xml:space="preserve"> H. The genus </w:t>
      </w:r>
      <w:proofErr w:type="spellStart"/>
      <w:r>
        <w:rPr>
          <w:rStyle w:val="Emphasis"/>
        </w:rPr>
        <w:t>Valeriana</w:t>
      </w:r>
      <w:proofErr w:type="spellEnd"/>
      <w:r>
        <w:t xml:space="preserve"> L.: ethnopharmacology, phytochemistry and biological activities—an updated review. </w:t>
      </w:r>
      <w:r>
        <w:rPr>
          <w:rStyle w:val="Emphasis"/>
        </w:rPr>
        <w:t>Phytochemistry Reviews</w:t>
      </w:r>
      <w:r>
        <w:t xml:space="preserve">. 2025;24:3337–3441. </w:t>
      </w:r>
      <w:hyperlink r:id="rId24" w:history="1">
        <w:r w:rsidR="009B2D7C" w:rsidRPr="005355A5">
          <w:rPr>
            <w:rStyle w:val="Hyperlink"/>
          </w:rPr>
          <w:t>https://link.springer.com/article/10.1007/s11101-024-10061-x</w:t>
        </w:r>
      </w:hyperlink>
      <w:r w:rsidR="009B2D7C">
        <w:t xml:space="preserve"> </w:t>
      </w:r>
    </w:p>
    <w:p w:rsidR="009B2D7C" w:rsidRDefault="009B2D7C" w:rsidP="009B2D7C">
      <w:pPr>
        <w:rPr>
          <w:rFonts w:ascii="Arial" w:hAnsi="Arial" w:cs="Arial"/>
          <w:sz w:val="18"/>
          <w:szCs w:val="18"/>
          <w:lang w:val="pt-BR"/>
        </w:rPr>
      </w:pPr>
      <w:proofErr w:type="spellStart"/>
      <w:r>
        <w:rPr>
          <w:rFonts w:ascii="Arial" w:hAnsi="Arial" w:cs="Arial"/>
          <w:sz w:val="18"/>
          <w:szCs w:val="18"/>
        </w:rPr>
        <w:t>Çelik</w:t>
      </w:r>
      <w:proofErr w:type="spellEnd"/>
      <w:r>
        <w:rPr>
          <w:rFonts w:ascii="Arial" w:hAnsi="Arial" w:cs="Arial"/>
          <w:sz w:val="18"/>
          <w:szCs w:val="18"/>
        </w:rPr>
        <w:t xml:space="preserve">, C., &amp; </w:t>
      </w:r>
      <w:proofErr w:type="spellStart"/>
      <w:r>
        <w:rPr>
          <w:rFonts w:ascii="Arial" w:hAnsi="Arial" w:cs="Arial"/>
          <w:sz w:val="18"/>
          <w:szCs w:val="18"/>
        </w:rPr>
        <w:t>Kırmızıbekmez</w:t>
      </w:r>
      <w:proofErr w:type="spellEnd"/>
      <w:r>
        <w:rPr>
          <w:rFonts w:ascii="Arial" w:hAnsi="Arial" w:cs="Arial"/>
          <w:sz w:val="18"/>
          <w:szCs w:val="18"/>
        </w:rPr>
        <w:t xml:space="preserve">, H. (2025). The genus </w:t>
      </w:r>
      <w:proofErr w:type="spellStart"/>
      <w:r>
        <w:rPr>
          <w:rFonts w:ascii="Arial" w:hAnsi="Arial" w:cs="Arial"/>
          <w:sz w:val="18"/>
          <w:szCs w:val="18"/>
        </w:rPr>
        <w:t>Valeriana</w:t>
      </w:r>
      <w:proofErr w:type="spellEnd"/>
      <w:r>
        <w:rPr>
          <w:rFonts w:ascii="Arial" w:hAnsi="Arial" w:cs="Arial"/>
          <w:sz w:val="18"/>
          <w:szCs w:val="18"/>
        </w:rPr>
        <w:t xml:space="preserve"> L.: ethnopharmacology, phytochemistry and biological activities—an updated review. Phytochemistry Reviews. </w:t>
      </w:r>
      <w:hyperlink r:id="rId25" w:history="1">
        <w:r w:rsidRPr="009B2D7C">
          <w:rPr>
            <w:rStyle w:val="Hyperlink"/>
            <w:rFonts w:ascii="Arial" w:hAnsi="Arial" w:cs="Arial"/>
            <w:sz w:val="18"/>
            <w:szCs w:val="18"/>
            <w:lang w:val="pt-BR"/>
          </w:rPr>
          <w:t>https://doi.org/10.1007/s11101-024-10061-x</w:t>
        </w:r>
      </w:hyperlink>
      <w:r w:rsidRPr="009B2D7C">
        <w:rPr>
          <w:rFonts w:ascii="Arial" w:hAnsi="Arial" w:cs="Arial"/>
          <w:sz w:val="18"/>
          <w:szCs w:val="18"/>
          <w:lang w:val="pt-BR"/>
        </w:rPr>
        <w:t xml:space="preserve"> </w:t>
      </w:r>
    </w:p>
    <w:p w:rsidR="009B2D7C" w:rsidRDefault="009B2D7C" w:rsidP="009B2D7C">
      <w:pPr>
        <w:rPr>
          <w:lang w:val="pt-BR"/>
        </w:rPr>
      </w:pPr>
    </w:p>
    <w:p w:rsidR="009B2D7C" w:rsidRDefault="0009557B" w:rsidP="009B2D7C">
      <w:r w:rsidRPr="009B2D7C">
        <w:rPr>
          <w:lang w:val="pt-BR"/>
        </w:rPr>
        <w:t xml:space="preserve">Charmakar S, Kunwar R, Sharma H, Rimal B, Baral S, Joshi N, et al. </w:t>
      </w:r>
      <w:r>
        <w:t xml:space="preserve">Production, distribution, use and trade of </w:t>
      </w:r>
      <w:proofErr w:type="spellStart"/>
      <w:r>
        <w:rPr>
          <w:rStyle w:val="Emphasis"/>
        </w:rPr>
        <w:t>Valeriana</w:t>
      </w:r>
      <w:proofErr w:type="spellEnd"/>
      <w:r>
        <w:rPr>
          <w:rStyle w:val="Emphasis"/>
        </w:rPr>
        <w:t xml:space="preserve"> </w:t>
      </w:r>
      <w:proofErr w:type="spellStart"/>
      <w:r>
        <w:rPr>
          <w:rStyle w:val="Emphasis"/>
        </w:rPr>
        <w:t>jatamansi</w:t>
      </w:r>
      <w:proofErr w:type="spellEnd"/>
      <w:r>
        <w:t xml:space="preserve"> Jones in Nepal. </w:t>
      </w:r>
      <w:r>
        <w:rPr>
          <w:rStyle w:val="Emphasis"/>
        </w:rPr>
        <w:t>Global Ecology and Conservation</w:t>
      </w:r>
      <w:r>
        <w:t xml:space="preserve">. 2021. </w:t>
      </w:r>
      <w:hyperlink r:id="rId26" w:history="1">
        <w:r w:rsidR="009B2D7C" w:rsidRPr="005355A5">
          <w:rPr>
            <w:rStyle w:val="Hyperlink"/>
          </w:rPr>
          <w:t>https://doi.org/10.1016/j.gecco.2021.e01792</w:t>
        </w:r>
      </w:hyperlink>
      <w:r w:rsidR="009B2D7C">
        <w:t xml:space="preserve"> </w:t>
      </w:r>
    </w:p>
    <w:p w:rsidR="009B2D7C" w:rsidRDefault="009B2D7C" w:rsidP="009B2D7C"/>
    <w:p w:rsidR="0009557B" w:rsidRDefault="0009557B" w:rsidP="009B2D7C">
      <w:proofErr w:type="spellStart"/>
      <w:r>
        <w:t>Charmakar</w:t>
      </w:r>
      <w:proofErr w:type="spellEnd"/>
      <w:r>
        <w:t xml:space="preserve"> S, Shrestha BB, </w:t>
      </w:r>
      <w:proofErr w:type="spellStart"/>
      <w:r>
        <w:t>Rokaya</w:t>
      </w:r>
      <w:proofErr w:type="spellEnd"/>
      <w:r>
        <w:t xml:space="preserve"> MB. Harvesting pressure, trade, and conservation status of </w:t>
      </w:r>
      <w:proofErr w:type="spellStart"/>
      <w:r>
        <w:rPr>
          <w:rStyle w:val="Emphasis"/>
        </w:rPr>
        <w:t>Valeriana</w:t>
      </w:r>
      <w:proofErr w:type="spellEnd"/>
      <w:r>
        <w:rPr>
          <w:rStyle w:val="Emphasis"/>
        </w:rPr>
        <w:t xml:space="preserve"> </w:t>
      </w:r>
      <w:proofErr w:type="spellStart"/>
      <w:r>
        <w:rPr>
          <w:rStyle w:val="Emphasis"/>
        </w:rPr>
        <w:t>jatamansi</w:t>
      </w:r>
      <w:proofErr w:type="spellEnd"/>
      <w:r>
        <w:t xml:space="preserve"> in Nepal Himalaya. </w:t>
      </w:r>
      <w:r>
        <w:rPr>
          <w:rStyle w:val="Emphasis"/>
        </w:rPr>
        <w:t>Journal of Ethnobiology and Ethnomedicine</w:t>
      </w:r>
      <w:r>
        <w:t>. 2021;17:62. DOI: 10.1186/s13002-021-00493-8</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Chen, G., </w:t>
      </w:r>
      <w:proofErr w:type="spellStart"/>
      <w:r>
        <w:rPr>
          <w:rFonts w:ascii="Arial" w:hAnsi="Arial" w:cs="Arial"/>
          <w:sz w:val="18"/>
          <w:szCs w:val="18"/>
        </w:rPr>
        <w:t>Kongkiatpaiboon</w:t>
      </w:r>
      <w:proofErr w:type="spellEnd"/>
      <w:r>
        <w:rPr>
          <w:rFonts w:ascii="Arial" w:hAnsi="Arial" w:cs="Arial"/>
          <w:sz w:val="18"/>
          <w:szCs w:val="18"/>
        </w:rPr>
        <w:t>, S., Wang, X., Sun, W., &amp; Cai, X. (2018). Conserving threatened widespread species: a case study using a traditional medicinal plant in Asia. Biodiversity and Conservation. https://doi.org/10.1007/s10531-018-1648-1</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Chen, J., </w:t>
      </w:r>
      <w:proofErr w:type="spellStart"/>
      <w:r>
        <w:rPr>
          <w:rFonts w:ascii="Arial" w:hAnsi="Arial" w:cs="Arial"/>
          <w:sz w:val="18"/>
          <w:szCs w:val="18"/>
        </w:rPr>
        <w:t>Xie</w:t>
      </w:r>
      <w:proofErr w:type="spellEnd"/>
      <w:r>
        <w:rPr>
          <w:rFonts w:ascii="Arial" w:hAnsi="Arial" w:cs="Arial"/>
          <w:sz w:val="18"/>
          <w:szCs w:val="18"/>
        </w:rPr>
        <w:t xml:space="preserve">, X., Li, M., </w:t>
      </w:r>
      <w:proofErr w:type="spellStart"/>
      <w:r>
        <w:rPr>
          <w:rFonts w:ascii="Arial" w:hAnsi="Arial" w:cs="Arial"/>
          <w:sz w:val="18"/>
          <w:szCs w:val="18"/>
        </w:rPr>
        <w:t>Xiong</w:t>
      </w:r>
      <w:proofErr w:type="spellEnd"/>
      <w:r>
        <w:rPr>
          <w:rFonts w:ascii="Arial" w:hAnsi="Arial" w:cs="Arial"/>
          <w:sz w:val="18"/>
          <w:szCs w:val="18"/>
        </w:rPr>
        <w:t xml:space="preserve">, Q., Li, G., Zhang, H., Chen, G., Xu, X., Yin, Y., Peng, F., &amp; Peng, C. (2021). Pharmacological activities and mechanisms of action of </w:t>
      </w:r>
      <w:proofErr w:type="spellStart"/>
      <w:r>
        <w:rPr>
          <w:rFonts w:ascii="Arial" w:hAnsi="Arial" w:cs="Arial"/>
          <w:sz w:val="18"/>
          <w:szCs w:val="18"/>
        </w:rPr>
        <w:t>Pogostemon</w:t>
      </w:r>
      <w:proofErr w:type="spellEnd"/>
      <w:r>
        <w:rPr>
          <w:rFonts w:ascii="Arial" w:hAnsi="Arial" w:cs="Arial"/>
          <w:sz w:val="18"/>
          <w:szCs w:val="18"/>
        </w:rPr>
        <w:t xml:space="preserve"> </w:t>
      </w:r>
      <w:proofErr w:type="spellStart"/>
      <w:r>
        <w:rPr>
          <w:rFonts w:ascii="Arial" w:hAnsi="Arial" w:cs="Arial"/>
          <w:sz w:val="18"/>
          <w:szCs w:val="18"/>
        </w:rPr>
        <w:t>cablin</w:t>
      </w:r>
      <w:proofErr w:type="spellEnd"/>
      <w:r>
        <w:rPr>
          <w:rFonts w:ascii="Arial" w:hAnsi="Arial" w:cs="Arial"/>
          <w:sz w:val="18"/>
          <w:szCs w:val="18"/>
        </w:rPr>
        <w:t xml:space="preserve"> </w:t>
      </w:r>
      <w:proofErr w:type="spellStart"/>
      <w:r>
        <w:rPr>
          <w:rFonts w:ascii="Arial" w:hAnsi="Arial" w:cs="Arial"/>
          <w:sz w:val="18"/>
          <w:szCs w:val="18"/>
        </w:rPr>
        <w:t>Benth</w:t>
      </w:r>
      <w:proofErr w:type="spellEnd"/>
      <w:r>
        <w:rPr>
          <w:rFonts w:ascii="Arial" w:hAnsi="Arial" w:cs="Arial"/>
          <w:sz w:val="18"/>
          <w:szCs w:val="18"/>
        </w:rPr>
        <w:t>: a review. Chinese Medicine. https://doi.org/10.1186/s13020-020-00413-y</w:t>
      </w:r>
    </w:p>
    <w:p w:rsidR="0009557B" w:rsidRPr="009B2D7C" w:rsidRDefault="0009557B" w:rsidP="0009557B">
      <w:pPr>
        <w:pStyle w:val="NormalWeb"/>
        <w:rPr>
          <w:lang w:val="pt-BR"/>
        </w:rPr>
      </w:pPr>
      <w:r>
        <w:t xml:space="preserve">Chen Y, Zhou C, Ge Z, Liu Y, Liu Y, Feng W, Li S. Patchouli alcohol: Pharmacological activities and mechanisms of action. </w:t>
      </w:r>
      <w:r w:rsidRPr="009B2D7C">
        <w:rPr>
          <w:rStyle w:val="Emphasis"/>
          <w:lang w:val="pt-BR"/>
        </w:rPr>
        <w:t>Phytomedicine</w:t>
      </w:r>
      <w:r w:rsidRPr="009B2D7C">
        <w:rPr>
          <w:lang w:val="pt-BR"/>
        </w:rPr>
        <w:t>. 2021;83:153477. DOI: 10.1016/j.phymed.2021.153477</w:t>
      </w:r>
    </w:p>
    <w:p w:rsidR="009665FA" w:rsidRDefault="009665FA" w:rsidP="009665FA">
      <w:pPr>
        <w:rPr>
          <w:rFonts w:ascii="Arial" w:hAnsi="Arial" w:cs="Arial"/>
          <w:sz w:val="18"/>
          <w:szCs w:val="18"/>
        </w:rPr>
      </w:pPr>
      <w:r w:rsidRPr="00652D98">
        <w:rPr>
          <w:rFonts w:ascii="Arial" w:hAnsi="Arial" w:cs="Arial"/>
          <w:sz w:val="18"/>
          <w:szCs w:val="18"/>
          <w:lang w:val="pt-BR"/>
        </w:rPr>
        <w:t xml:space="preserve">Cornara, L., Ambu, G., Trombetta, D., Denaro, M., Alloisio, S., Frigerio, J., Labra, M., Ghimire, G., Valussi, M., &amp; Smeriglio, A. (2020). </w:t>
      </w:r>
      <w:r>
        <w:rPr>
          <w:rFonts w:ascii="Arial" w:hAnsi="Arial" w:cs="Arial"/>
          <w:sz w:val="18"/>
          <w:szCs w:val="18"/>
        </w:rPr>
        <w:t xml:space="preserve">Comparative and functional screening of three species traditionally used as antidepressants: </w:t>
      </w:r>
      <w:proofErr w:type="spellStart"/>
      <w:r>
        <w:rPr>
          <w:rFonts w:ascii="Arial" w:hAnsi="Arial" w:cs="Arial"/>
          <w:sz w:val="18"/>
          <w:szCs w:val="18"/>
        </w:rPr>
        <w:t>Valeriana</w:t>
      </w:r>
      <w:proofErr w:type="spellEnd"/>
      <w:r>
        <w:rPr>
          <w:rFonts w:ascii="Arial" w:hAnsi="Arial" w:cs="Arial"/>
          <w:sz w:val="18"/>
          <w:szCs w:val="18"/>
        </w:rPr>
        <w:t xml:space="preserve"> officinalis L.,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ex </w:t>
      </w:r>
      <w:proofErr w:type="spellStart"/>
      <w:r>
        <w:rPr>
          <w:rFonts w:ascii="Arial" w:hAnsi="Arial" w:cs="Arial"/>
          <w:sz w:val="18"/>
          <w:szCs w:val="18"/>
        </w:rPr>
        <w:t>Roxb</w:t>
      </w:r>
      <w:proofErr w:type="spellEnd"/>
      <w:r>
        <w:rPr>
          <w:rFonts w:ascii="Arial" w:hAnsi="Arial" w:cs="Arial"/>
          <w:sz w:val="18"/>
          <w:szCs w:val="18"/>
        </w:rPr>
        <w:t xml:space="preserve">. and </w:t>
      </w:r>
      <w:proofErr w:type="spellStart"/>
      <w:r>
        <w:rPr>
          <w:rFonts w:ascii="Arial" w:hAnsi="Arial" w:cs="Arial"/>
          <w:sz w:val="18"/>
          <w:szCs w:val="18"/>
        </w:rPr>
        <w:t>Nardostachys</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w:t>
      </w:r>
      <w:proofErr w:type="spellStart"/>
      <w:proofErr w:type="gramStart"/>
      <w:r>
        <w:rPr>
          <w:rFonts w:ascii="Arial" w:hAnsi="Arial" w:cs="Arial"/>
          <w:sz w:val="18"/>
          <w:szCs w:val="18"/>
        </w:rPr>
        <w:t>D.Don</w:t>
      </w:r>
      <w:proofErr w:type="spellEnd"/>
      <w:proofErr w:type="gramEnd"/>
      <w:r>
        <w:rPr>
          <w:rFonts w:ascii="Arial" w:hAnsi="Arial" w:cs="Arial"/>
          <w:sz w:val="18"/>
          <w:szCs w:val="18"/>
        </w:rPr>
        <w:t>) DC. Plants, 9. https://doi.org/10.3390/plants9080994</w:t>
      </w:r>
    </w:p>
    <w:p w:rsidR="009665FA" w:rsidRDefault="009665FA" w:rsidP="009665FA">
      <w:pPr>
        <w:rPr>
          <w:rFonts w:ascii="Arial" w:hAnsi="Arial" w:cs="Arial"/>
          <w:sz w:val="18"/>
          <w:szCs w:val="18"/>
        </w:rPr>
      </w:pPr>
    </w:p>
    <w:p w:rsidR="009665FA" w:rsidRPr="009665FA" w:rsidRDefault="009665FA" w:rsidP="009665FA">
      <w:pPr>
        <w:rPr>
          <w:rFonts w:ascii="Arial" w:hAnsi="Arial" w:cs="Arial"/>
          <w:sz w:val="18"/>
          <w:szCs w:val="18"/>
          <w:lang w:val="pt-BR"/>
        </w:rPr>
      </w:pPr>
      <w:r w:rsidRPr="009665FA">
        <w:rPr>
          <w:rFonts w:ascii="Arial" w:hAnsi="Arial" w:cs="Arial"/>
          <w:sz w:val="18"/>
          <w:szCs w:val="18"/>
          <w:lang w:val="pt-BR"/>
        </w:rPr>
        <w:t xml:space="preserve">Cornara, L., Ambu, G., Trombetta, D., Denaro, M., Alloisio, S., Frigerio, J., Labra, M., Ghimire, G., Valussi, M., &amp; Smeriglio, A. (2020). </w:t>
      </w:r>
      <w:r>
        <w:rPr>
          <w:rFonts w:ascii="Arial" w:hAnsi="Arial" w:cs="Arial"/>
          <w:sz w:val="18"/>
          <w:szCs w:val="18"/>
        </w:rPr>
        <w:t xml:space="preserve">Comparative and functional screening of three species traditionally used as antidepressants: </w:t>
      </w:r>
      <w:proofErr w:type="spellStart"/>
      <w:r>
        <w:rPr>
          <w:rFonts w:ascii="Arial" w:hAnsi="Arial" w:cs="Arial"/>
          <w:sz w:val="18"/>
          <w:szCs w:val="18"/>
        </w:rPr>
        <w:t>Valeriana</w:t>
      </w:r>
      <w:proofErr w:type="spellEnd"/>
      <w:r>
        <w:rPr>
          <w:rFonts w:ascii="Arial" w:hAnsi="Arial" w:cs="Arial"/>
          <w:sz w:val="18"/>
          <w:szCs w:val="18"/>
        </w:rPr>
        <w:t xml:space="preserve"> officinalis L.,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ex </w:t>
      </w:r>
      <w:proofErr w:type="spellStart"/>
      <w:r>
        <w:rPr>
          <w:rFonts w:ascii="Arial" w:hAnsi="Arial" w:cs="Arial"/>
          <w:sz w:val="18"/>
          <w:szCs w:val="18"/>
        </w:rPr>
        <w:t>Roxb</w:t>
      </w:r>
      <w:proofErr w:type="spellEnd"/>
      <w:r>
        <w:rPr>
          <w:rFonts w:ascii="Arial" w:hAnsi="Arial" w:cs="Arial"/>
          <w:sz w:val="18"/>
          <w:szCs w:val="18"/>
        </w:rPr>
        <w:t xml:space="preserve">. and </w:t>
      </w:r>
      <w:proofErr w:type="spellStart"/>
      <w:r>
        <w:rPr>
          <w:rFonts w:ascii="Arial" w:hAnsi="Arial" w:cs="Arial"/>
          <w:sz w:val="18"/>
          <w:szCs w:val="18"/>
        </w:rPr>
        <w:t>Nardostachys</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w:t>
      </w:r>
      <w:proofErr w:type="spellStart"/>
      <w:proofErr w:type="gramStart"/>
      <w:r>
        <w:rPr>
          <w:rFonts w:ascii="Arial" w:hAnsi="Arial" w:cs="Arial"/>
          <w:sz w:val="18"/>
          <w:szCs w:val="18"/>
        </w:rPr>
        <w:t>D.Don</w:t>
      </w:r>
      <w:proofErr w:type="spellEnd"/>
      <w:proofErr w:type="gramEnd"/>
      <w:r>
        <w:rPr>
          <w:rFonts w:ascii="Arial" w:hAnsi="Arial" w:cs="Arial"/>
          <w:sz w:val="18"/>
          <w:szCs w:val="18"/>
        </w:rPr>
        <w:t xml:space="preserve">) DC. </w:t>
      </w:r>
      <w:r w:rsidRPr="009665FA">
        <w:rPr>
          <w:rFonts w:ascii="Arial" w:hAnsi="Arial" w:cs="Arial"/>
          <w:sz w:val="18"/>
          <w:szCs w:val="18"/>
          <w:lang w:val="pt-BR"/>
        </w:rPr>
        <w:t>Plants. https://doi.org/10.3390/plants9080994</w:t>
      </w:r>
    </w:p>
    <w:p w:rsidR="009665FA" w:rsidRDefault="009665FA" w:rsidP="009665FA">
      <w:pPr>
        <w:rPr>
          <w:rFonts w:ascii="Arial" w:hAnsi="Arial" w:cs="Arial"/>
          <w:sz w:val="18"/>
          <w:szCs w:val="18"/>
          <w:lang w:val="pt-BR"/>
        </w:rPr>
      </w:pPr>
    </w:p>
    <w:p w:rsidR="009665FA" w:rsidRDefault="009665FA" w:rsidP="009665FA">
      <w:pPr>
        <w:rPr>
          <w:rFonts w:ascii="Arial" w:hAnsi="Arial" w:cs="Arial"/>
          <w:sz w:val="18"/>
          <w:szCs w:val="18"/>
        </w:rPr>
      </w:pPr>
      <w:r w:rsidRPr="00652D98">
        <w:rPr>
          <w:rFonts w:ascii="Arial" w:hAnsi="Arial" w:cs="Arial"/>
          <w:sz w:val="18"/>
          <w:szCs w:val="18"/>
          <w:lang w:val="pt-BR"/>
        </w:rPr>
        <w:t xml:space="preserve">Albuquerque, U. P., Araujo, T., Ramos, M. A., Nascimento, V., Araújo, E. L., Alencar, N. L., &amp; Monteiro, J. M. (2008). </w:t>
      </w:r>
      <w:r>
        <w:rPr>
          <w:rFonts w:ascii="Arial" w:hAnsi="Arial" w:cs="Arial"/>
          <w:sz w:val="18"/>
          <w:szCs w:val="18"/>
        </w:rPr>
        <w:t>How ethnobotany can aid biodiversity conservation: Reflections on investigations in the semi-arid region of NE Brazil. *Biodiversity and Conservation*, *18*(1), 127–150. https://doi.org/10.1007/s10531-008-9463-8</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sidRPr="009665FA">
        <w:rPr>
          <w:rFonts w:ascii="Arial" w:hAnsi="Arial" w:cs="Arial"/>
          <w:sz w:val="18"/>
          <w:szCs w:val="18"/>
          <w:lang w:val="pt-BR"/>
        </w:rPr>
        <w:t xml:space="preserve">Pal, P. K., Dhiman, B., Sharma, P., &amp; Manhas, S. (2020). </w:t>
      </w:r>
      <w:r>
        <w:rPr>
          <w:rFonts w:ascii="Arial" w:hAnsi="Arial" w:cs="Arial"/>
          <w:sz w:val="18"/>
          <w:szCs w:val="18"/>
        </w:rPr>
        <w:t xml:space="preserve">Biology, chemical diversity, agronomy, conservation and industrial importance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A natural sedative. Journal of Applied Research on Medicinal and Aromatic Plants. https://doi.org/10.1016/j.jarmap.2020.100243</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Dhiman, N., &amp; Bhattacharya, A. (2020). </w:t>
      </w:r>
      <w:proofErr w:type="spellStart"/>
      <w:r>
        <w:rPr>
          <w:rFonts w:ascii="Arial" w:hAnsi="Arial" w:cs="Arial"/>
          <w:sz w:val="18"/>
          <w:szCs w:val="18"/>
        </w:rPr>
        <w:t>Nardostachys</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w:t>
      </w:r>
      <w:proofErr w:type="spellStart"/>
      <w:proofErr w:type="gramStart"/>
      <w:r>
        <w:rPr>
          <w:rFonts w:ascii="Arial" w:hAnsi="Arial" w:cs="Arial"/>
          <w:sz w:val="18"/>
          <w:szCs w:val="18"/>
        </w:rPr>
        <w:t>D.Don</w:t>
      </w:r>
      <w:proofErr w:type="spellEnd"/>
      <w:proofErr w:type="gramEnd"/>
      <w:r>
        <w:rPr>
          <w:rFonts w:ascii="Arial" w:hAnsi="Arial" w:cs="Arial"/>
          <w:sz w:val="18"/>
          <w:szCs w:val="18"/>
        </w:rPr>
        <w:t>) DC.-Challenges and opportunities of harnessing the untapped medicinal plant from the Himalayas. Journal of Ethnopharmacology. https://doi.org/10.1016/j.jep.2019.112211</w:t>
      </w:r>
    </w:p>
    <w:p w:rsidR="0009557B" w:rsidRDefault="0009557B" w:rsidP="0009557B">
      <w:pPr>
        <w:pStyle w:val="NormalWeb"/>
      </w:pPr>
      <w:r>
        <w:t xml:space="preserve">Dhiman A, Nain P, Kumar A. Conservation status, cultivation prospects, and sustainable utilization of </w:t>
      </w:r>
      <w:proofErr w:type="spellStart"/>
      <w:r>
        <w:rPr>
          <w:rStyle w:val="Emphasis"/>
        </w:rPr>
        <w:t>Valeriana</w:t>
      </w:r>
      <w:proofErr w:type="spellEnd"/>
      <w:r>
        <w:rPr>
          <w:rStyle w:val="Emphasis"/>
        </w:rPr>
        <w:t xml:space="preserve"> </w:t>
      </w:r>
      <w:proofErr w:type="spellStart"/>
      <w:r>
        <w:rPr>
          <w:rStyle w:val="Emphasis"/>
        </w:rPr>
        <w:t>jatamansi</w:t>
      </w:r>
      <w:proofErr w:type="spellEnd"/>
      <w:r>
        <w:t xml:space="preserve"> in the Indian Himalaya. </w:t>
      </w:r>
      <w:r>
        <w:rPr>
          <w:rStyle w:val="Emphasis"/>
        </w:rPr>
        <w:t>Environmental Monitoring and Assessment</w:t>
      </w:r>
      <w:r>
        <w:t>. 2020;192:740. DOI: 10.1007/s10661-020-08657-3</w:t>
      </w:r>
    </w:p>
    <w:p w:rsidR="0009557B" w:rsidRDefault="009665FA" w:rsidP="009665FA">
      <w:pPr>
        <w:rPr>
          <w:rFonts w:ascii="Arial" w:hAnsi="Arial" w:cs="Arial"/>
          <w:sz w:val="18"/>
          <w:szCs w:val="18"/>
        </w:rPr>
      </w:pPr>
      <w:proofErr w:type="spellStart"/>
      <w:r>
        <w:rPr>
          <w:rFonts w:ascii="Arial" w:hAnsi="Arial" w:cs="Arial"/>
          <w:sz w:val="18"/>
          <w:szCs w:val="18"/>
        </w:rPr>
        <w:lastRenderedPageBreak/>
        <w:t>Gaoue</w:t>
      </w:r>
      <w:proofErr w:type="spellEnd"/>
      <w:r>
        <w:rPr>
          <w:rFonts w:ascii="Arial" w:hAnsi="Arial" w:cs="Arial"/>
          <w:sz w:val="18"/>
          <w:szCs w:val="18"/>
        </w:rPr>
        <w:t xml:space="preserve">, O. G., Bond, M., Hart, G., </w:t>
      </w:r>
      <w:proofErr w:type="spellStart"/>
      <w:r>
        <w:rPr>
          <w:rFonts w:ascii="Arial" w:hAnsi="Arial" w:cs="Arial"/>
          <w:sz w:val="18"/>
          <w:szCs w:val="18"/>
        </w:rPr>
        <w:t>Seyler</w:t>
      </w:r>
      <w:proofErr w:type="spellEnd"/>
      <w:r>
        <w:rPr>
          <w:rFonts w:ascii="Arial" w:hAnsi="Arial" w:cs="Arial"/>
          <w:sz w:val="18"/>
          <w:szCs w:val="18"/>
        </w:rPr>
        <w:t xml:space="preserve">, B. C., Coe, M. A., &amp; McMillen, H. (2017). Theories and major hypotheses in ethnobotany. Economic Botany, 71(3), 269–287. </w:t>
      </w:r>
      <w:hyperlink r:id="rId27" w:history="1">
        <w:r w:rsidRPr="005355A5">
          <w:rPr>
            <w:rStyle w:val="Hyperlink"/>
            <w:rFonts w:ascii="Arial" w:hAnsi="Arial" w:cs="Arial"/>
            <w:sz w:val="18"/>
            <w:szCs w:val="18"/>
          </w:rPr>
          <w:t>https://doi.org/10.1007/s12231-017-9389-8</w:t>
        </w:r>
      </w:hyperlink>
    </w:p>
    <w:p w:rsidR="009665FA" w:rsidRP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sidRPr="009665FA">
        <w:rPr>
          <w:rFonts w:ascii="Arial" w:hAnsi="Arial" w:cs="Arial"/>
          <w:sz w:val="18"/>
          <w:szCs w:val="18"/>
        </w:rPr>
        <w:t xml:space="preserve">Gautam, R. D., Kumar, A., Kumar, R., Chauhan, R., Singh, S., Kumar, M., Kumar, D., Kumar, A., &amp; Singh, S. (2021). </w:t>
      </w:r>
      <w:r>
        <w:rPr>
          <w:rFonts w:ascii="Arial" w:hAnsi="Arial" w:cs="Arial"/>
          <w:sz w:val="18"/>
          <w:szCs w:val="18"/>
        </w:rPr>
        <w:t xml:space="preserve">Clonal Propagation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Retains the Essential Oil Profile of Mother Plants: An Approach Toward Generating Homogenous Grade of Essential Oil for Industrial Use. Frontiers in Plant Science. https://doi.org/10.3389/fpls.2021.738247</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Garg, G., Bharadwaj, A., Chaudhary, S., &amp; Gupta, V. (2024). Chemical profiling of bioactive compounds in the methanolic extract of wild leaf and callus of Vitex negundo using gas chromatography-mass spectrometry. World Journal of Experimental Medicine, 14(1). https://doi.org/10.5493/wjem.v14.i1.88064</w:t>
      </w:r>
    </w:p>
    <w:p w:rsidR="009665FA" w:rsidRDefault="009665FA" w:rsidP="009665FA">
      <w:pPr>
        <w:rPr>
          <w:rFonts w:ascii="Arial" w:hAnsi="Arial" w:cs="Arial"/>
          <w:sz w:val="18"/>
          <w:szCs w:val="18"/>
        </w:rPr>
      </w:pPr>
      <w:r>
        <w:rPr>
          <w:rFonts w:ascii="Arial" w:hAnsi="Arial" w:cs="Arial"/>
          <w:sz w:val="18"/>
          <w:szCs w:val="18"/>
        </w:rPr>
        <w:t xml:space="preserve">He, X., Wang, S., Shi, J., Sun, Z., Lei, Z., Yin, Z., Qian, Z., Tang, H., &amp; </w:t>
      </w:r>
      <w:proofErr w:type="spellStart"/>
      <w:r>
        <w:rPr>
          <w:rFonts w:ascii="Arial" w:hAnsi="Arial" w:cs="Arial"/>
          <w:sz w:val="18"/>
          <w:szCs w:val="18"/>
        </w:rPr>
        <w:t>Xie</w:t>
      </w:r>
      <w:proofErr w:type="spellEnd"/>
      <w:r>
        <w:rPr>
          <w:rFonts w:ascii="Arial" w:hAnsi="Arial" w:cs="Arial"/>
          <w:sz w:val="18"/>
          <w:szCs w:val="18"/>
        </w:rPr>
        <w:t xml:space="preserve">, H. (2018). Genotypic and environmental effects on the volatile chemotype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Frontiers in Plant Science. https://doi.org/10.3389/fpls.2018.01003</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He, Y., Lu, J., Pang, R., Ding, L., Wang, Y., Xiao, H., Cheng, C., Luo, Y., Hu, X., &amp; Wang, W. (2025). Iridoids derived from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alleviates neuroinflammation and blood spinal cord barrier permeability after spinal cord injury by activating the Nrf2/HO-1 </w:t>
      </w:r>
      <w:proofErr w:type="spellStart"/>
      <w:r>
        <w:rPr>
          <w:rFonts w:ascii="Arial" w:hAnsi="Arial" w:cs="Arial"/>
          <w:sz w:val="18"/>
          <w:szCs w:val="18"/>
        </w:rPr>
        <w:t>signaling</w:t>
      </w:r>
      <w:proofErr w:type="spellEnd"/>
      <w:r>
        <w:rPr>
          <w:rFonts w:ascii="Arial" w:hAnsi="Arial" w:cs="Arial"/>
          <w:sz w:val="18"/>
          <w:szCs w:val="18"/>
        </w:rPr>
        <w:t xml:space="preserve"> pathway. Frontiers in Pharmacology, 16. https://doi.org/10.3389/fphar.2025.1597719</w:t>
      </w:r>
    </w:p>
    <w:p w:rsidR="0009557B" w:rsidRDefault="0009557B" w:rsidP="0009557B">
      <w:pPr>
        <w:pStyle w:val="NormalWeb"/>
      </w:pPr>
      <w:r>
        <w:t xml:space="preserve">He Y, Xiao H, Deng C, </w:t>
      </w:r>
      <w:proofErr w:type="spellStart"/>
      <w:r>
        <w:t>Xiong</w:t>
      </w:r>
      <w:proofErr w:type="spellEnd"/>
      <w:r>
        <w:t xml:space="preserve"> J, Yang X. Genetic and chemical diversity of </w:t>
      </w:r>
      <w:proofErr w:type="spellStart"/>
      <w:r>
        <w:rPr>
          <w:rStyle w:val="Emphasis"/>
        </w:rPr>
        <w:t>Valeriana</w:t>
      </w:r>
      <w:proofErr w:type="spellEnd"/>
      <w:r>
        <w:rPr>
          <w:rStyle w:val="Emphasis"/>
        </w:rPr>
        <w:t xml:space="preserve"> </w:t>
      </w:r>
      <w:proofErr w:type="spellStart"/>
      <w:r>
        <w:rPr>
          <w:rStyle w:val="Emphasis"/>
        </w:rPr>
        <w:t>jatamansi</w:t>
      </w:r>
      <w:proofErr w:type="spellEnd"/>
      <w:r>
        <w:t xml:space="preserve"> populations from China and the Himalayas. </w:t>
      </w:r>
      <w:r>
        <w:rPr>
          <w:rStyle w:val="Emphasis"/>
        </w:rPr>
        <w:t>Industrial Crops and Products</w:t>
      </w:r>
      <w:r>
        <w:t>. 2018;124:552–560. DOI: 10.1016/j.indcrop.2018.08.036</w:t>
      </w:r>
    </w:p>
    <w:p w:rsidR="009665FA" w:rsidRDefault="009665FA" w:rsidP="009665FA">
      <w:pPr>
        <w:rPr>
          <w:rFonts w:ascii="Arial" w:hAnsi="Arial" w:cs="Arial"/>
          <w:sz w:val="18"/>
          <w:szCs w:val="18"/>
        </w:rPr>
      </w:pPr>
      <w:proofErr w:type="spellStart"/>
      <w:r>
        <w:rPr>
          <w:rFonts w:ascii="Arial" w:hAnsi="Arial" w:cs="Arial"/>
          <w:sz w:val="18"/>
          <w:szCs w:val="18"/>
        </w:rPr>
        <w:t>Jugran</w:t>
      </w:r>
      <w:proofErr w:type="spellEnd"/>
      <w:r>
        <w:rPr>
          <w:rFonts w:ascii="Arial" w:hAnsi="Arial" w:cs="Arial"/>
          <w:sz w:val="18"/>
          <w:szCs w:val="18"/>
        </w:rPr>
        <w:t xml:space="preserve">, A. K., Bhatt, I. D., &amp; Rawal, R. S. (2021). Cultivation and utilization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for conservation planning and management. In Medicinal Plants, Sustainable Development and Biodiversity. https://doi.org/10.1007/978-3-030-74779-4_5</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Jugran</w:t>
      </w:r>
      <w:proofErr w:type="spellEnd"/>
      <w:r>
        <w:rPr>
          <w:rFonts w:ascii="Arial" w:hAnsi="Arial" w:cs="Arial"/>
          <w:sz w:val="18"/>
          <w:szCs w:val="18"/>
        </w:rPr>
        <w:t xml:space="preserve">, A. K., Rawat, S., Bhatt, I. D., &amp; Rawal, R. S. (2019).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An herbaceous plant with multiple medicinal uses. </w:t>
      </w:r>
      <w:proofErr w:type="spellStart"/>
      <w:r>
        <w:rPr>
          <w:rFonts w:ascii="Arial" w:hAnsi="Arial" w:cs="Arial"/>
          <w:sz w:val="18"/>
          <w:szCs w:val="18"/>
        </w:rPr>
        <w:t>Phytotherapy</w:t>
      </w:r>
      <w:proofErr w:type="spellEnd"/>
      <w:r>
        <w:rPr>
          <w:rFonts w:ascii="Arial" w:hAnsi="Arial" w:cs="Arial"/>
          <w:sz w:val="18"/>
          <w:szCs w:val="18"/>
        </w:rPr>
        <w:t xml:space="preserve"> Research. https://doi.org/10.1002/ptr.6245</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Jugran</w:t>
      </w:r>
      <w:proofErr w:type="spellEnd"/>
      <w:r>
        <w:rPr>
          <w:rFonts w:ascii="Arial" w:hAnsi="Arial" w:cs="Arial"/>
          <w:sz w:val="18"/>
          <w:szCs w:val="18"/>
        </w:rPr>
        <w:t xml:space="preserve">, A. K., Rawat, S., Bhatt, I. D., &amp; Rawal, R. S. (2020). Essential oil composition, phenolics and antioxidant activities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at different phenological stages. Plant Biosystems, 155(4), 891–898. https://doi.org/10.1080/11263504.2020.1810803</w:t>
      </w:r>
    </w:p>
    <w:p w:rsidR="0009557B" w:rsidRDefault="0009557B" w:rsidP="0009557B">
      <w:pPr>
        <w:pStyle w:val="NormalWeb"/>
      </w:pPr>
      <w:proofErr w:type="spellStart"/>
      <w:r>
        <w:t>Jugran</w:t>
      </w:r>
      <w:proofErr w:type="spellEnd"/>
      <w:r>
        <w:t xml:space="preserve"> AK, Bhatt ID, Rawat S, Nandi SK. </w:t>
      </w:r>
      <w:proofErr w:type="spellStart"/>
      <w:r>
        <w:t>Valerianaceae</w:t>
      </w:r>
      <w:proofErr w:type="spellEnd"/>
      <w:r>
        <w:t xml:space="preserve"> in the Indian Himalayan Region: Ethnobotany, phytochemistry, and pharmacology. </w:t>
      </w:r>
      <w:r>
        <w:rPr>
          <w:rStyle w:val="Emphasis"/>
        </w:rPr>
        <w:t>Journal of Ethnopharmacology</w:t>
      </w:r>
      <w:r>
        <w:t>. 2019;236:164–177. DOI: 10.1016/j.jep.2019.02.036</w:t>
      </w:r>
    </w:p>
    <w:p w:rsidR="0009557B" w:rsidRDefault="0009557B" w:rsidP="0009557B">
      <w:pPr>
        <w:pStyle w:val="NormalWeb"/>
      </w:pPr>
      <w:proofErr w:type="spellStart"/>
      <w:r>
        <w:t>Jugran</w:t>
      </w:r>
      <w:proofErr w:type="spellEnd"/>
      <w:r>
        <w:t xml:space="preserve"> AK, Rawat S, Bhatt ID. Integrating ethnobotany and conservation biology for Himalayan medicinal plants. </w:t>
      </w:r>
      <w:r>
        <w:rPr>
          <w:rStyle w:val="Emphasis"/>
        </w:rPr>
        <w:t>Biodiversity and Conservation</w:t>
      </w:r>
      <w:r>
        <w:t>. 2021;30:3735–3755. DOI: 10.1007/s10531-021-02238-1</w:t>
      </w:r>
    </w:p>
    <w:p w:rsidR="009665FA" w:rsidRDefault="009665FA" w:rsidP="009665FA">
      <w:pPr>
        <w:rPr>
          <w:rFonts w:ascii="Arial" w:hAnsi="Arial" w:cs="Arial"/>
          <w:sz w:val="18"/>
          <w:szCs w:val="18"/>
        </w:rPr>
      </w:pPr>
      <w:r>
        <w:rPr>
          <w:rFonts w:ascii="Arial" w:hAnsi="Arial" w:cs="Arial"/>
          <w:sz w:val="18"/>
          <w:szCs w:val="18"/>
        </w:rPr>
        <w:t xml:space="preserve">Lawson, S. K., Sharp, L. G., Powers, C. N., </w:t>
      </w:r>
      <w:proofErr w:type="spellStart"/>
      <w:r>
        <w:rPr>
          <w:rFonts w:ascii="Arial" w:hAnsi="Arial" w:cs="Arial"/>
          <w:sz w:val="18"/>
          <w:szCs w:val="18"/>
        </w:rPr>
        <w:t>McFeeters</w:t>
      </w:r>
      <w:proofErr w:type="spellEnd"/>
      <w:r>
        <w:rPr>
          <w:rFonts w:ascii="Arial" w:hAnsi="Arial" w:cs="Arial"/>
          <w:sz w:val="18"/>
          <w:szCs w:val="18"/>
        </w:rPr>
        <w:t xml:space="preserve">, R. L., </w:t>
      </w:r>
      <w:proofErr w:type="spellStart"/>
      <w:r>
        <w:rPr>
          <w:rFonts w:ascii="Arial" w:hAnsi="Arial" w:cs="Arial"/>
          <w:sz w:val="18"/>
          <w:szCs w:val="18"/>
        </w:rPr>
        <w:t>Satyal</w:t>
      </w:r>
      <w:proofErr w:type="spellEnd"/>
      <w:r>
        <w:rPr>
          <w:rFonts w:ascii="Arial" w:hAnsi="Arial" w:cs="Arial"/>
          <w:sz w:val="18"/>
          <w:szCs w:val="18"/>
        </w:rPr>
        <w:t>, P., &amp; Setzer, W. N. (2020). Volatile Compositions and Antifungal Activities of Native American Medicinal Plants: Focus on the Asteraceae. Plants, 9(1), 126. https://doi.org/10.3390/plants9010126</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Maurya, A. K., Sharma, A., Kumar, K., </w:t>
      </w:r>
      <w:proofErr w:type="spellStart"/>
      <w:r>
        <w:rPr>
          <w:rFonts w:ascii="Arial" w:hAnsi="Arial" w:cs="Arial"/>
          <w:sz w:val="18"/>
          <w:szCs w:val="18"/>
        </w:rPr>
        <w:t>Chander</w:t>
      </w:r>
      <w:proofErr w:type="spellEnd"/>
      <w:r>
        <w:rPr>
          <w:rFonts w:ascii="Arial" w:hAnsi="Arial" w:cs="Arial"/>
          <w:sz w:val="18"/>
          <w:szCs w:val="18"/>
        </w:rPr>
        <w:t xml:space="preserve">, R., Kumar, A., Kumar, D., </w:t>
      </w:r>
      <w:proofErr w:type="spellStart"/>
      <w:r>
        <w:rPr>
          <w:rFonts w:ascii="Arial" w:hAnsi="Arial" w:cs="Arial"/>
          <w:sz w:val="18"/>
          <w:szCs w:val="18"/>
        </w:rPr>
        <w:t>Padwad</w:t>
      </w:r>
      <w:proofErr w:type="spellEnd"/>
      <w:r>
        <w:rPr>
          <w:rFonts w:ascii="Arial" w:hAnsi="Arial" w:cs="Arial"/>
          <w:sz w:val="18"/>
          <w:szCs w:val="18"/>
        </w:rPr>
        <w:t xml:space="preserve">, Y. S., Chand, G., &amp; Agnihotri, V. K. (2021). Comparative studies of essential oils composition and cytotoxic activity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Journal of Essential Oil Research, 33, 584–591. https://doi.org/10.1080/10412905.2021.1966846</w:t>
      </w:r>
    </w:p>
    <w:p w:rsidR="0009557B" w:rsidRDefault="0009557B" w:rsidP="0009557B">
      <w:pPr>
        <w:pStyle w:val="NormalWeb"/>
      </w:pPr>
      <w:r>
        <w:t xml:space="preserve">Maurya AK, </w:t>
      </w:r>
      <w:proofErr w:type="spellStart"/>
      <w:r>
        <w:t>Semwal</w:t>
      </w:r>
      <w:proofErr w:type="spellEnd"/>
      <w:r>
        <w:t xml:space="preserve"> DK, Rawat U, </w:t>
      </w:r>
      <w:proofErr w:type="spellStart"/>
      <w:r>
        <w:t>Semwal</w:t>
      </w:r>
      <w:proofErr w:type="spellEnd"/>
      <w:r>
        <w:t xml:space="preserve"> RB. </w:t>
      </w:r>
      <w:proofErr w:type="spellStart"/>
      <w:r>
        <w:t>Chemotypic</w:t>
      </w:r>
      <w:proofErr w:type="spellEnd"/>
      <w:r>
        <w:t xml:space="preserve"> variation and pharmacological relevance of </w:t>
      </w:r>
      <w:proofErr w:type="spellStart"/>
      <w:r>
        <w:rPr>
          <w:rStyle w:val="Emphasis"/>
        </w:rPr>
        <w:t>Valeriana</w:t>
      </w:r>
      <w:proofErr w:type="spellEnd"/>
      <w:r>
        <w:rPr>
          <w:rStyle w:val="Emphasis"/>
        </w:rPr>
        <w:t xml:space="preserve"> </w:t>
      </w:r>
      <w:proofErr w:type="spellStart"/>
      <w:r>
        <w:rPr>
          <w:rStyle w:val="Emphasis"/>
        </w:rPr>
        <w:t>jatamansi</w:t>
      </w:r>
      <w:proofErr w:type="spellEnd"/>
      <w:r>
        <w:t xml:space="preserve"> essential oil. </w:t>
      </w:r>
      <w:r>
        <w:rPr>
          <w:rStyle w:val="Emphasis"/>
        </w:rPr>
        <w:t>Biochemical Systematics and Ecology</w:t>
      </w:r>
      <w:r>
        <w:t>. 2021;94:104201. DOI: 10.1016/j.bse.2020.104201</w:t>
      </w:r>
    </w:p>
    <w:p w:rsidR="009665FA" w:rsidRDefault="009665FA" w:rsidP="009665FA">
      <w:pPr>
        <w:rPr>
          <w:rFonts w:ascii="Arial" w:hAnsi="Arial" w:cs="Arial"/>
          <w:sz w:val="18"/>
          <w:szCs w:val="18"/>
        </w:rPr>
      </w:pPr>
      <w:r w:rsidRPr="00652D98">
        <w:rPr>
          <w:rFonts w:ascii="Arial" w:hAnsi="Arial" w:cs="Arial"/>
          <w:sz w:val="18"/>
          <w:szCs w:val="18"/>
          <w:lang w:val="pt-BR"/>
        </w:rPr>
        <w:t xml:space="preserve">Mbelebele, Z., Mdoda, L., Ntlanga, S. S., Nontu, Y., &amp; Gidi, L. S. (2024). </w:t>
      </w:r>
      <w:r>
        <w:rPr>
          <w:rFonts w:ascii="Arial" w:hAnsi="Arial" w:cs="Arial"/>
          <w:sz w:val="18"/>
          <w:szCs w:val="18"/>
        </w:rPr>
        <w:t>Harmonizing Traditional Knowledge with Environmental Preservation: Sustainable Strategies for the Conservation of Indigenous Medicinal Plants (IMPs) and Their Implications for Economic Well-Being. Sustainability. https://doi.org/10.3390/su16145841</w:t>
      </w:r>
    </w:p>
    <w:p w:rsidR="0009557B" w:rsidRDefault="0009557B" w:rsidP="0009557B">
      <w:pPr>
        <w:pStyle w:val="NormalWeb"/>
      </w:pPr>
      <w:proofErr w:type="spellStart"/>
      <w:r>
        <w:lastRenderedPageBreak/>
        <w:t>Mbelebele</w:t>
      </w:r>
      <w:proofErr w:type="spellEnd"/>
      <w:r>
        <w:t xml:space="preserve"> M, </w:t>
      </w:r>
      <w:proofErr w:type="spellStart"/>
      <w:r>
        <w:t>Chikowe</w:t>
      </w:r>
      <w:proofErr w:type="spellEnd"/>
      <w:r>
        <w:t xml:space="preserve"> I, van </w:t>
      </w:r>
      <w:proofErr w:type="spellStart"/>
      <w:r>
        <w:t>Wyk</w:t>
      </w:r>
      <w:proofErr w:type="spellEnd"/>
      <w:r>
        <w:t xml:space="preserve"> B-E. Ethnobotanical knowledge protection and benefit-sharing under the Nagoya Protocol. </w:t>
      </w:r>
      <w:r>
        <w:rPr>
          <w:rStyle w:val="Emphasis"/>
        </w:rPr>
        <w:t>Journal of Ethnobiology and Ethnomedicine</w:t>
      </w:r>
      <w:r>
        <w:t>. 2024;20:14. DOI: 10.1186/s13002-024-00618-3</w:t>
      </w:r>
    </w:p>
    <w:p w:rsidR="009665FA" w:rsidRDefault="009665FA" w:rsidP="009665FA">
      <w:pPr>
        <w:rPr>
          <w:rFonts w:ascii="Arial" w:hAnsi="Arial" w:cs="Arial"/>
          <w:sz w:val="18"/>
          <w:szCs w:val="18"/>
        </w:rPr>
      </w:pPr>
      <w:r w:rsidRPr="00652D98">
        <w:rPr>
          <w:rFonts w:ascii="Arial" w:hAnsi="Arial" w:cs="Arial"/>
          <w:sz w:val="18"/>
          <w:szCs w:val="18"/>
          <w:lang w:val="pt-BR"/>
        </w:rPr>
        <w:t xml:space="preserve">Mir, A. M., Mir, B. A., &amp; Peer, L. A. (2024). </w:t>
      </w:r>
      <w:r>
        <w:rPr>
          <w:rFonts w:ascii="Arial" w:hAnsi="Arial" w:cs="Arial"/>
          <w:sz w:val="18"/>
          <w:szCs w:val="18"/>
        </w:rPr>
        <w:t xml:space="preserve">Medicinal plants of the Himalayan </w:t>
      </w:r>
      <w:proofErr w:type="spellStart"/>
      <w:r>
        <w:rPr>
          <w:rFonts w:ascii="Arial" w:hAnsi="Arial" w:cs="Arial"/>
          <w:sz w:val="18"/>
          <w:szCs w:val="18"/>
        </w:rPr>
        <w:t>Tral</w:t>
      </w:r>
      <w:proofErr w:type="spellEnd"/>
      <w:r>
        <w:rPr>
          <w:rFonts w:ascii="Arial" w:hAnsi="Arial" w:cs="Arial"/>
          <w:sz w:val="18"/>
          <w:szCs w:val="18"/>
        </w:rPr>
        <w:t xml:space="preserve"> region of Kashmir, India: an ethnobotanical study of their diversity, use patterns, and health implications. Ethnobotany Research and Applications. https://doi.org/10.32859/era.27.33.1-19</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Mir SA, Rashid A, Bhat AA. Ethnomedicinal knowledge of threatened Himalayan medicinal plants in Kashmir Valley. Ethnobotany Research and Applications. </w:t>
      </w:r>
      <w:proofErr w:type="gramStart"/>
      <w:r>
        <w:rPr>
          <w:rFonts w:ascii="Arial" w:hAnsi="Arial" w:cs="Arial"/>
          <w:sz w:val="18"/>
          <w:szCs w:val="18"/>
        </w:rPr>
        <w:t>2024;27:1</w:t>
      </w:r>
      <w:proofErr w:type="gramEnd"/>
      <w:r>
        <w:rPr>
          <w:rFonts w:ascii="Arial" w:hAnsi="Arial" w:cs="Arial"/>
          <w:sz w:val="18"/>
          <w:szCs w:val="18"/>
        </w:rPr>
        <w:t>–18. DOI: 10.32859/era.27.1</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Nisa</w:t>
      </w:r>
      <w:proofErr w:type="spellEnd"/>
      <w:r>
        <w:rPr>
          <w:rFonts w:ascii="Arial" w:hAnsi="Arial" w:cs="Arial"/>
          <w:sz w:val="18"/>
          <w:szCs w:val="18"/>
        </w:rPr>
        <w:t xml:space="preserve">, M. M. U., Sofi, P. A., Ahmad, P. I., </w:t>
      </w:r>
      <w:proofErr w:type="spellStart"/>
      <w:r>
        <w:rPr>
          <w:rFonts w:ascii="Arial" w:hAnsi="Arial" w:cs="Arial"/>
          <w:sz w:val="18"/>
          <w:szCs w:val="18"/>
        </w:rPr>
        <w:t>Masoodi</w:t>
      </w:r>
      <w:proofErr w:type="spellEnd"/>
      <w:r>
        <w:rPr>
          <w:rFonts w:ascii="Arial" w:hAnsi="Arial" w:cs="Arial"/>
          <w:sz w:val="18"/>
          <w:szCs w:val="18"/>
        </w:rPr>
        <w:t xml:space="preserve">, K. Z., Pala, N. A., Bhat, G. M., Bhat, T. B., Rahman, F., </w:t>
      </w:r>
      <w:proofErr w:type="spellStart"/>
      <w:r>
        <w:rPr>
          <w:rFonts w:ascii="Arial" w:hAnsi="Arial" w:cs="Arial"/>
          <w:sz w:val="18"/>
          <w:szCs w:val="18"/>
        </w:rPr>
        <w:t>Haq</w:t>
      </w:r>
      <w:proofErr w:type="spellEnd"/>
      <w:r>
        <w:rPr>
          <w:rFonts w:ascii="Arial" w:hAnsi="Arial" w:cs="Arial"/>
          <w:sz w:val="18"/>
          <w:szCs w:val="18"/>
        </w:rPr>
        <w:t xml:space="preserve">, S. I. U., &amp; Abid, T. (2025). Phytochemical profiling and ethnobotanical study of Podophyllum </w:t>
      </w:r>
      <w:proofErr w:type="spellStart"/>
      <w:r>
        <w:rPr>
          <w:rFonts w:ascii="Arial" w:hAnsi="Arial" w:cs="Arial"/>
          <w:sz w:val="18"/>
          <w:szCs w:val="18"/>
        </w:rPr>
        <w:t>hexandrum</w:t>
      </w:r>
      <w:proofErr w:type="spellEnd"/>
      <w:r>
        <w:rPr>
          <w:rFonts w:ascii="Arial" w:hAnsi="Arial" w:cs="Arial"/>
          <w:sz w:val="18"/>
          <w:szCs w:val="18"/>
        </w:rPr>
        <w:t xml:space="preserve"> </w:t>
      </w:r>
      <w:proofErr w:type="spellStart"/>
      <w:r>
        <w:rPr>
          <w:rFonts w:ascii="Arial" w:hAnsi="Arial" w:cs="Arial"/>
          <w:sz w:val="18"/>
          <w:szCs w:val="18"/>
        </w:rPr>
        <w:t>Royle</w:t>
      </w:r>
      <w:proofErr w:type="spellEnd"/>
      <w:r>
        <w:rPr>
          <w:rFonts w:ascii="Arial" w:hAnsi="Arial" w:cs="Arial"/>
          <w:sz w:val="18"/>
          <w:szCs w:val="18"/>
        </w:rPr>
        <w:t xml:space="preserve">.: Insights from </w:t>
      </w:r>
      <w:proofErr w:type="spellStart"/>
      <w:r>
        <w:rPr>
          <w:rFonts w:ascii="Arial" w:hAnsi="Arial" w:cs="Arial"/>
          <w:sz w:val="18"/>
          <w:szCs w:val="18"/>
        </w:rPr>
        <w:t>Langate</w:t>
      </w:r>
      <w:proofErr w:type="spellEnd"/>
      <w:r>
        <w:rPr>
          <w:rFonts w:ascii="Arial" w:hAnsi="Arial" w:cs="Arial"/>
          <w:sz w:val="18"/>
          <w:szCs w:val="18"/>
        </w:rPr>
        <w:t xml:space="preserve"> Forest Division, Jammu and Kashmir. International Journal of Environment and Climate Change, 15(4), 91–103. https://doi.org/10.9734/ijecc/2025/v15i44795</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Oladeji</w:t>
      </w:r>
      <w:proofErr w:type="spellEnd"/>
      <w:r>
        <w:rPr>
          <w:rFonts w:ascii="Arial" w:hAnsi="Arial" w:cs="Arial"/>
          <w:sz w:val="18"/>
          <w:szCs w:val="18"/>
        </w:rPr>
        <w:t xml:space="preserve">, O. S., </w:t>
      </w:r>
      <w:proofErr w:type="spellStart"/>
      <w:r>
        <w:rPr>
          <w:rFonts w:ascii="Arial" w:hAnsi="Arial" w:cs="Arial"/>
          <w:sz w:val="18"/>
          <w:szCs w:val="18"/>
        </w:rPr>
        <w:t>Oluyori</w:t>
      </w:r>
      <w:proofErr w:type="spellEnd"/>
      <w:r>
        <w:rPr>
          <w:rFonts w:ascii="Arial" w:hAnsi="Arial" w:cs="Arial"/>
          <w:sz w:val="18"/>
          <w:szCs w:val="18"/>
        </w:rPr>
        <w:t xml:space="preserve">, A. P., </w:t>
      </w:r>
      <w:proofErr w:type="spellStart"/>
      <w:r>
        <w:rPr>
          <w:rFonts w:ascii="Arial" w:hAnsi="Arial" w:cs="Arial"/>
          <w:sz w:val="18"/>
          <w:szCs w:val="18"/>
        </w:rPr>
        <w:t>Adelowo</w:t>
      </w:r>
      <w:proofErr w:type="spellEnd"/>
      <w:r>
        <w:rPr>
          <w:rFonts w:ascii="Arial" w:hAnsi="Arial" w:cs="Arial"/>
          <w:sz w:val="18"/>
          <w:szCs w:val="18"/>
        </w:rPr>
        <w:t xml:space="preserve">, F. E., &amp; Bankole, D. T. (2020). Ethnobotanical description and biological activities of Senna </w:t>
      </w:r>
      <w:proofErr w:type="spellStart"/>
      <w:r>
        <w:rPr>
          <w:rFonts w:ascii="Arial" w:hAnsi="Arial" w:cs="Arial"/>
          <w:sz w:val="18"/>
          <w:szCs w:val="18"/>
        </w:rPr>
        <w:t>alata</w:t>
      </w:r>
      <w:proofErr w:type="spellEnd"/>
      <w:r>
        <w:rPr>
          <w:rFonts w:ascii="Arial" w:hAnsi="Arial" w:cs="Arial"/>
          <w:sz w:val="18"/>
          <w:szCs w:val="18"/>
        </w:rPr>
        <w:t>. *Evidence-Based Complementary and Alternative Medicine*, *2020*, Article ID 2580259. https://doi.org/10.1155/2020/2580259</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Patan</w:t>
      </w:r>
      <w:proofErr w:type="spellEnd"/>
      <w:r>
        <w:rPr>
          <w:rFonts w:ascii="Arial" w:hAnsi="Arial" w:cs="Arial"/>
          <w:sz w:val="18"/>
          <w:szCs w:val="18"/>
        </w:rPr>
        <w:t xml:space="preserve">, A. (2018).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An ethnobotanical review. Asian Journal of Pharmaceutical and Clinical Research. https://doi.org/10.22159/ajpcr.2018.v11s4.31706</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Patan</w:t>
      </w:r>
      <w:proofErr w:type="spellEnd"/>
      <w:r>
        <w:rPr>
          <w:rFonts w:ascii="Arial" w:hAnsi="Arial" w:cs="Arial"/>
          <w:sz w:val="18"/>
          <w:szCs w:val="18"/>
        </w:rPr>
        <w:t>, A. (2018). VALERIANA JATAMANSI: AN ETHNOBOTANICAL REVIEW. Asian Journal of Pharmaceutical and Clinical Research. https://doi.org/10.22159/ajpcr.2018.v11s4.31706</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sidRPr="00652D98">
        <w:rPr>
          <w:rFonts w:ascii="Arial" w:hAnsi="Arial" w:cs="Arial"/>
          <w:sz w:val="18"/>
          <w:szCs w:val="18"/>
          <w:lang w:val="pt-BR"/>
        </w:rPr>
        <w:t xml:space="preserve">Póvoa, O., Farinha, N., Lopes, V., Machado, A. M., &amp; Figueiredo, A. C. (2024). </w:t>
      </w:r>
      <w:r>
        <w:rPr>
          <w:rFonts w:ascii="Arial" w:hAnsi="Arial" w:cs="Arial"/>
          <w:sz w:val="18"/>
          <w:szCs w:val="18"/>
        </w:rPr>
        <w:t xml:space="preserve">Coriander (Coriandrum sativum L.) from </w:t>
      </w:r>
      <w:proofErr w:type="spellStart"/>
      <w:r>
        <w:rPr>
          <w:rFonts w:ascii="Arial" w:hAnsi="Arial" w:cs="Arial"/>
          <w:sz w:val="18"/>
          <w:szCs w:val="18"/>
        </w:rPr>
        <w:t>Alentejo</w:t>
      </w:r>
      <w:proofErr w:type="spellEnd"/>
      <w:r>
        <w:rPr>
          <w:rFonts w:ascii="Arial" w:hAnsi="Arial" w:cs="Arial"/>
          <w:sz w:val="18"/>
          <w:szCs w:val="18"/>
        </w:rPr>
        <w:t xml:space="preserve"> (South Portugal)—Ethnobotany and Potential Industrial Use. Foods, 13(6), 929. https://doi.org/10.3390/foods13060929</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Rashid, N., </w:t>
      </w:r>
      <w:proofErr w:type="spellStart"/>
      <w:r>
        <w:rPr>
          <w:rFonts w:ascii="Arial" w:hAnsi="Arial" w:cs="Arial"/>
          <w:sz w:val="18"/>
          <w:szCs w:val="18"/>
        </w:rPr>
        <w:t>Gbedomon</w:t>
      </w:r>
      <w:proofErr w:type="spellEnd"/>
      <w:r>
        <w:rPr>
          <w:rFonts w:ascii="Arial" w:hAnsi="Arial" w:cs="Arial"/>
          <w:sz w:val="18"/>
          <w:szCs w:val="18"/>
        </w:rPr>
        <w:t xml:space="preserve">, R. C., Ahmad, M., </w:t>
      </w:r>
      <w:proofErr w:type="spellStart"/>
      <w:r>
        <w:rPr>
          <w:rFonts w:ascii="Arial" w:hAnsi="Arial" w:cs="Arial"/>
          <w:sz w:val="18"/>
          <w:szCs w:val="18"/>
        </w:rPr>
        <w:t>Salako</w:t>
      </w:r>
      <w:proofErr w:type="spellEnd"/>
      <w:r>
        <w:rPr>
          <w:rFonts w:ascii="Arial" w:hAnsi="Arial" w:cs="Arial"/>
          <w:sz w:val="18"/>
          <w:szCs w:val="18"/>
        </w:rPr>
        <w:t>, V. K., Zafar, M., &amp; Malik, K. (2018). Traditional knowledge on herbal drinks among indigenous communities in Azad Jammu and Kashmir, Pakistan. Journal of Ethnobiology and Ethnomedicine, 14(1), 16. https://doi.org/10.1186/s13002-018-0217-8</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Rashid A, Anand VK, </w:t>
      </w:r>
      <w:proofErr w:type="spellStart"/>
      <w:r>
        <w:rPr>
          <w:rFonts w:ascii="Arial" w:hAnsi="Arial" w:cs="Arial"/>
          <w:sz w:val="18"/>
          <w:szCs w:val="18"/>
        </w:rPr>
        <w:t>Serwar</w:t>
      </w:r>
      <w:proofErr w:type="spellEnd"/>
      <w:r>
        <w:rPr>
          <w:rFonts w:ascii="Arial" w:hAnsi="Arial" w:cs="Arial"/>
          <w:sz w:val="18"/>
          <w:szCs w:val="18"/>
        </w:rPr>
        <w:t xml:space="preserve"> J. Less known wild edible and medicinal plants of Kashmir Himalaya. Indian Journal of Traditional Knowledge. </w:t>
      </w:r>
      <w:proofErr w:type="gramStart"/>
      <w:r>
        <w:rPr>
          <w:rFonts w:ascii="Arial" w:hAnsi="Arial" w:cs="Arial"/>
          <w:sz w:val="18"/>
          <w:szCs w:val="18"/>
        </w:rPr>
        <w:t>2018;17:704</w:t>
      </w:r>
      <w:proofErr w:type="gramEnd"/>
      <w:r>
        <w:rPr>
          <w:rFonts w:ascii="Arial" w:hAnsi="Arial" w:cs="Arial"/>
          <w:sz w:val="18"/>
          <w:szCs w:val="18"/>
        </w:rPr>
        <w:t>–715</w:t>
      </w:r>
    </w:p>
    <w:p w:rsidR="009665FA" w:rsidRDefault="009665FA" w:rsidP="009665FA">
      <w:pPr>
        <w:rPr>
          <w:rFonts w:ascii="Arial" w:hAnsi="Arial" w:cs="Arial"/>
          <w:sz w:val="18"/>
          <w:szCs w:val="18"/>
        </w:rPr>
      </w:pPr>
    </w:p>
    <w:p w:rsidR="009665FA" w:rsidRPr="009665FA" w:rsidRDefault="009665FA" w:rsidP="009665FA">
      <w:pPr>
        <w:rPr>
          <w:rFonts w:ascii="Arial" w:hAnsi="Arial" w:cs="Arial"/>
          <w:sz w:val="18"/>
          <w:szCs w:val="18"/>
          <w:lang w:val="fr-FR"/>
        </w:rPr>
      </w:pPr>
      <w:r>
        <w:rPr>
          <w:rFonts w:ascii="Arial" w:hAnsi="Arial" w:cs="Arial"/>
          <w:sz w:val="18"/>
          <w:szCs w:val="18"/>
        </w:rPr>
        <w:t xml:space="preserve">Thakur, B. K., Shivani, Mahajan, M., &amp; Pal, P. K. (2022). Chemical Diversity of Essential Oil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from Different Altitudes of Himalaya and Distillation Methods. </w:t>
      </w:r>
      <w:proofErr w:type="spellStart"/>
      <w:r w:rsidRPr="009665FA">
        <w:rPr>
          <w:rFonts w:ascii="Arial" w:hAnsi="Arial" w:cs="Arial"/>
          <w:sz w:val="18"/>
          <w:szCs w:val="18"/>
          <w:lang w:val="fr-FR"/>
        </w:rPr>
        <w:t>Molecules</w:t>
      </w:r>
      <w:proofErr w:type="spellEnd"/>
      <w:r w:rsidRPr="009665FA">
        <w:rPr>
          <w:rFonts w:ascii="Arial" w:hAnsi="Arial" w:cs="Arial"/>
          <w:sz w:val="18"/>
          <w:szCs w:val="18"/>
          <w:lang w:val="fr-FR"/>
        </w:rPr>
        <w:t>. https://doi.org/10.3390/molecules27082387</w:t>
      </w:r>
    </w:p>
    <w:p w:rsidR="009665FA" w:rsidRDefault="009665FA" w:rsidP="009665FA">
      <w:pPr>
        <w:rPr>
          <w:rFonts w:ascii="Arial" w:hAnsi="Arial" w:cs="Arial"/>
          <w:sz w:val="18"/>
          <w:szCs w:val="18"/>
          <w:lang w:val="fr-FR"/>
        </w:rPr>
      </w:pPr>
    </w:p>
    <w:p w:rsidR="009665FA" w:rsidRDefault="009665FA" w:rsidP="009665FA">
      <w:pPr>
        <w:rPr>
          <w:rFonts w:ascii="Arial" w:hAnsi="Arial" w:cs="Arial"/>
          <w:sz w:val="18"/>
          <w:szCs w:val="18"/>
        </w:rPr>
      </w:pPr>
      <w:r w:rsidRPr="009665FA">
        <w:rPr>
          <w:rFonts w:ascii="Arial" w:hAnsi="Arial" w:cs="Arial"/>
          <w:sz w:val="18"/>
          <w:szCs w:val="18"/>
        </w:rPr>
        <w:t xml:space="preserve">Thakur, B. K., Mahajan, M., &amp; Pal, P. K. (2022). </w:t>
      </w:r>
      <w:r w:rsidRPr="00652D98">
        <w:rPr>
          <w:rFonts w:ascii="Arial" w:hAnsi="Arial" w:cs="Arial"/>
          <w:sz w:val="18"/>
          <w:szCs w:val="18"/>
        </w:rPr>
        <w:t xml:space="preserve">Chemical Diversity of Essential Oil of </w:t>
      </w:r>
      <w:proofErr w:type="spellStart"/>
      <w:r w:rsidRPr="00652D98">
        <w:rPr>
          <w:rFonts w:ascii="Arial" w:hAnsi="Arial" w:cs="Arial"/>
          <w:sz w:val="18"/>
          <w:szCs w:val="18"/>
        </w:rPr>
        <w:t>Valeriana</w:t>
      </w:r>
      <w:proofErr w:type="spellEnd"/>
      <w:r w:rsidRPr="00652D98">
        <w:rPr>
          <w:rFonts w:ascii="Arial" w:hAnsi="Arial" w:cs="Arial"/>
          <w:sz w:val="18"/>
          <w:szCs w:val="18"/>
        </w:rPr>
        <w:t xml:space="preserve"> </w:t>
      </w:r>
      <w:proofErr w:type="spellStart"/>
      <w:r w:rsidRPr="00652D98">
        <w:rPr>
          <w:rFonts w:ascii="Arial" w:hAnsi="Arial" w:cs="Arial"/>
          <w:sz w:val="18"/>
          <w:szCs w:val="18"/>
        </w:rPr>
        <w:t>jatamansi</w:t>
      </w:r>
      <w:proofErr w:type="spellEnd"/>
      <w:r w:rsidRPr="00652D98">
        <w:rPr>
          <w:rFonts w:ascii="Arial" w:hAnsi="Arial" w:cs="Arial"/>
          <w:sz w:val="18"/>
          <w:szCs w:val="18"/>
        </w:rPr>
        <w:t xml:space="preserve"> from Different Altitudes of Himalaya and Distillation Methods. Molecules. </w:t>
      </w:r>
      <w:hyperlink r:id="rId28" w:history="1">
        <w:r w:rsidRPr="005355A5">
          <w:rPr>
            <w:rStyle w:val="Hyperlink"/>
            <w:rFonts w:ascii="Arial" w:hAnsi="Arial" w:cs="Arial"/>
            <w:sz w:val="18"/>
            <w:szCs w:val="18"/>
          </w:rPr>
          <w:t>https://doi.org/10.3390/molecules27082387</w:t>
        </w:r>
      </w:hyperlink>
      <w:r>
        <w:rPr>
          <w:rFonts w:ascii="Arial" w:hAnsi="Arial" w:cs="Arial"/>
          <w:sz w:val="18"/>
          <w:szCs w:val="18"/>
        </w:rPr>
        <w:t xml:space="preserve"> </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Thusoo</w:t>
      </w:r>
      <w:proofErr w:type="spellEnd"/>
      <w:r>
        <w:rPr>
          <w:rFonts w:ascii="Arial" w:hAnsi="Arial" w:cs="Arial"/>
          <w:sz w:val="18"/>
          <w:szCs w:val="18"/>
        </w:rPr>
        <w:t xml:space="preserve">, S., Gupta, S., Sudan, R., </w:t>
      </w:r>
      <w:proofErr w:type="spellStart"/>
      <w:r>
        <w:rPr>
          <w:rFonts w:ascii="Arial" w:hAnsi="Arial" w:cs="Arial"/>
          <w:sz w:val="18"/>
          <w:szCs w:val="18"/>
        </w:rPr>
        <w:t>Kour</w:t>
      </w:r>
      <w:proofErr w:type="spellEnd"/>
      <w:r>
        <w:rPr>
          <w:rFonts w:ascii="Arial" w:hAnsi="Arial" w:cs="Arial"/>
          <w:sz w:val="18"/>
          <w:szCs w:val="18"/>
        </w:rPr>
        <w:t xml:space="preserve">, J., Bhagat, S., Hussain, R., &amp; Bhagat, M. (2014). Antioxidant activity of essential oil and extracts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roots. BioMed Research International. https://doi.org/10.1155/2014/614187</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proofErr w:type="spellStart"/>
      <w:r>
        <w:rPr>
          <w:rFonts w:ascii="Arial" w:hAnsi="Arial" w:cs="Arial"/>
          <w:sz w:val="18"/>
          <w:szCs w:val="18"/>
        </w:rPr>
        <w:t>Thusoo</w:t>
      </w:r>
      <w:proofErr w:type="spellEnd"/>
      <w:r>
        <w:rPr>
          <w:rFonts w:ascii="Arial" w:hAnsi="Arial" w:cs="Arial"/>
          <w:sz w:val="18"/>
          <w:szCs w:val="18"/>
        </w:rPr>
        <w:t xml:space="preserve">, S., Gupta, S., Sudan, R., </w:t>
      </w:r>
      <w:proofErr w:type="spellStart"/>
      <w:r>
        <w:rPr>
          <w:rFonts w:ascii="Arial" w:hAnsi="Arial" w:cs="Arial"/>
          <w:sz w:val="18"/>
          <w:szCs w:val="18"/>
        </w:rPr>
        <w:t>Kour</w:t>
      </w:r>
      <w:proofErr w:type="spellEnd"/>
      <w:r>
        <w:rPr>
          <w:rFonts w:ascii="Arial" w:hAnsi="Arial" w:cs="Arial"/>
          <w:sz w:val="18"/>
          <w:szCs w:val="18"/>
        </w:rPr>
        <w:t xml:space="preserve">, J., Bhagat, S., Hussain, R., &amp; Bhagat, M. (2014). Antioxidant activity of essential oil and extracts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roots. BioMed Research International. https://doi.org/10.1155/2014/614187</w:t>
      </w:r>
    </w:p>
    <w:p w:rsidR="009665FA" w:rsidRDefault="009665FA" w:rsidP="009665FA">
      <w:pPr>
        <w:rPr>
          <w:rFonts w:ascii="Arial" w:hAnsi="Arial" w:cs="Arial"/>
          <w:sz w:val="18"/>
          <w:szCs w:val="18"/>
        </w:rPr>
      </w:pPr>
    </w:p>
    <w:p w:rsidR="009665FA" w:rsidRDefault="009665FA" w:rsidP="009665FA">
      <w:pPr>
        <w:rPr>
          <w:rFonts w:ascii="Arial" w:hAnsi="Arial" w:cs="Arial"/>
          <w:sz w:val="18"/>
          <w:szCs w:val="18"/>
        </w:rPr>
      </w:pPr>
      <w:r>
        <w:rPr>
          <w:rFonts w:ascii="Arial" w:hAnsi="Arial" w:cs="Arial"/>
          <w:sz w:val="18"/>
          <w:szCs w:val="18"/>
        </w:rPr>
        <w:t xml:space="preserve">Wang, Z., Shi, Y., Zhang, X., Sun, J., Guo, D., Luan, F., Zhao, G., &amp; Zou, J. (2024). Research progress in the ethnopharmacology, phytochemistry, pharmacology, toxicology, and quality control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Journal of Ethnopharmacology, 332, 118403. </w:t>
      </w:r>
      <w:hyperlink r:id="rId29" w:history="1">
        <w:r w:rsidRPr="005355A5">
          <w:rPr>
            <w:rStyle w:val="Hyperlink"/>
            <w:rFonts w:ascii="Arial" w:hAnsi="Arial" w:cs="Arial"/>
            <w:sz w:val="18"/>
            <w:szCs w:val="18"/>
          </w:rPr>
          <w:t>https://doi.org/10.1016/j.jep.2024.118403</w:t>
        </w:r>
      </w:hyperlink>
      <w:r>
        <w:rPr>
          <w:rFonts w:ascii="Arial" w:hAnsi="Arial" w:cs="Arial"/>
          <w:sz w:val="18"/>
          <w:szCs w:val="18"/>
        </w:rPr>
        <w:t xml:space="preserve"> </w:t>
      </w:r>
    </w:p>
    <w:p w:rsidR="0009557B" w:rsidRDefault="0009557B" w:rsidP="0009557B">
      <w:pPr>
        <w:pStyle w:val="NormalWeb"/>
      </w:pPr>
      <w:r>
        <w:t xml:space="preserve">Wang Y, Li X, Zhang J, Chen S. Pharmacological mechanisms and quality markers of </w:t>
      </w:r>
      <w:proofErr w:type="spellStart"/>
      <w:r>
        <w:rPr>
          <w:rStyle w:val="Emphasis"/>
        </w:rPr>
        <w:t>Valeriana</w:t>
      </w:r>
      <w:proofErr w:type="spellEnd"/>
      <w:r>
        <w:t xml:space="preserve"> species. </w:t>
      </w:r>
      <w:r>
        <w:rPr>
          <w:rStyle w:val="Emphasis"/>
        </w:rPr>
        <w:t>Frontiers in Pharmacology</w:t>
      </w:r>
      <w:r>
        <w:t>. 2024;15:1298745. DOI: 10.3389/fphar.2024.1298745</w:t>
      </w:r>
    </w:p>
    <w:p w:rsidR="0009557B" w:rsidRDefault="0029300A" w:rsidP="009665FA">
      <w:pPr>
        <w:rPr>
          <w:rFonts w:ascii="Arial" w:hAnsi="Arial" w:cs="Arial"/>
          <w:sz w:val="18"/>
          <w:szCs w:val="18"/>
        </w:rPr>
      </w:pPr>
      <w:r>
        <w:rPr>
          <w:rFonts w:ascii="Arial" w:hAnsi="Arial" w:cs="Arial"/>
          <w:sz w:val="18"/>
          <w:szCs w:val="18"/>
        </w:rPr>
        <w:t xml:space="preserve">Wu, P., Wu, W., Zhang, S., Han, J., Liu, C., Yu, H., Chen, X., &amp; Chen, X. (2023). Therapeutic potential and pharmacological significance of extracellular vesicles derived from traditional medicinal plants. Frontiers in Pharmacology. </w:t>
      </w:r>
      <w:hyperlink r:id="rId30" w:history="1">
        <w:r w:rsidR="009665FA" w:rsidRPr="005355A5">
          <w:rPr>
            <w:rStyle w:val="Hyperlink"/>
            <w:rFonts w:ascii="Arial" w:hAnsi="Arial" w:cs="Arial"/>
            <w:sz w:val="18"/>
            <w:szCs w:val="18"/>
          </w:rPr>
          <w:t>https://doi.org/10.3389/fphar.2023.1272241</w:t>
        </w:r>
      </w:hyperlink>
      <w:r w:rsidR="009665FA">
        <w:rPr>
          <w:rFonts w:ascii="Arial" w:hAnsi="Arial" w:cs="Arial"/>
          <w:sz w:val="18"/>
          <w:szCs w:val="18"/>
        </w:rPr>
        <w:t xml:space="preserve">  </w:t>
      </w:r>
    </w:p>
    <w:p w:rsidR="009665FA" w:rsidRPr="009665FA" w:rsidRDefault="009665FA" w:rsidP="009665FA">
      <w:pPr>
        <w:rPr>
          <w:rFonts w:ascii="Arial" w:hAnsi="Arial" w:cs="Arial"/>
          <w:sz w:val="18"/>
          <w:szCs w:val="18"/>
        </w:rPr>
      </w:pPr>
    </w:p>
    <w:p w:rsidR="0029300A" w:rsidRDefault="0029300A" w:rsidP="0029300A">
      <w:pPr>
        <w:rPr>
          <w:rFonts w:ascii="Arial" w:hAnsi="Arial" w:cs="Arial"/>
          <w:sz w:val="18"/>
          <w:szCs w:val="18"/>
        </w:rPr>
      </w:pPr>
      <w:r w:rsidRPr="0029300A">
        <w:rPr>
          <w:rFonts w:ascii="Arial" w:hAnsi="Arial" w:cs="Arial"/>
          <w:sz w:val="18"/>
          <w:szCs w:val="18"/>
        </w:rPr>
        <w:lastRenderedPageBreak/>
        <w:t xml:space="preserve">Wang, L., Sun, Y., Zhao, T., Li, Y., Zhao, X., Zhang, L., Wu, L., Zhang, L., Zhang, T., Wei, G., Altamirano, A., Tong, Y., &amp; Yan, Z. (2020). </w:t>
      </w:r>
      <w:r>
        <w:rPr>
          <w:rFonts w:ascii="Arial" w:hAnsi="Arial" w:cs="Arial"/>
          <w:sz w:val="18"/>
          <w:szCs w:val="18"/>
        </w:rPr>
        <w:t xml:space="preserve">Antidepressant effects and mechanisms of the total iridoids of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on the brain-gut axis. Planta </w:t>
      </w:r>
      <w:proofErr w:type="spellStart"/>
      <w:r>
        <w:rPr>
          <w:rFonts w:ascii="Arial" w:hAnsi="Arial" w:cs="Arial"/>
          <w:sz w:val="18"/>
          <w:szCs w:val="18"/>
        </w:rPr>
        <w:t>Medica</w:t>
      </w:r>
      <w:proofErr w:type="spellEnd"/>
      <w:r>
        <w:rPr>
          <w:rFonts w:ascii="Arial" w:hAnsi="Arial" w:cs="Arial"/>
          <w:sz w:val="18"/>
          <w:szCs w:val="18"/>
        </w:rPr>
        <w:t>, 86(3), 172–179. https://doi.org/10.1055/a-1068-9686</w:t>
      </w:r>
    </w:p>
    <w:p w:rsidR="0029300A" w:rsidRDefault="0029300A" w:rsidP="0029300A">
      <w:pPr>
        <w:rPr>
          <w:rFonts w:ascii="Arial" w:hAnsi="Arial" w:cs="Arial"/>
          <w:sz w:val="18"/>
          <w:szCs w:val="18"/>
        </w:rPr>
      </w:pPr>
    </w:p>
    <w:p w:rsidR="0029300A" w:rsidRDefault="0029300A" w:rsidP="0029300A">
      <w:pPr>
        <w:rPr>
          <w:rFonts w:ascii="Arial" w:hAnsi="Arial" w:cs="Arial"/>
          <w:sz w:val="18"/>
          <w:szCs w:val="18"/>
        </w:rPr>
      </w:pPr>
      <w:r>
        <w:rPr>
          <w:rFonts w:ascii="Arial" w:hAnsi="Arial" w:cs="Arial"/>
          <w:sz w:val="18"/>
          <w:szCs w:val="18"/>
        </w:rPr>
        <w:t xml:space="preserve">Zhang, X. M., Zhu, J. L., Sun, Y., Dai, Y. L., Chen, X., Cao, J. H., Yang, R. C., Chen, C., Ma, C. Y., Zhang, T. E., Chen, Y. H., &amp; Yan, Z. Y. (2018). Anxiolytic potency of iridoid fraction extracted from </w:t>
      </w:r>
      <w:proofErr w:type="spellStart"/>
      <w:r>
        <w:rPr>
          <w:rFonts w:ascii="Arial" w:hAnsi="Arial" w:cs="Arial"/>
          <w:sz w:val="18"/>
          <w:szCs w:val="18"/>
        </w:rPr>
        <w:t>Valeriana</w:t>
      </w:r>
      <w:proofErr w:type="spellEnd"/>
      <w:r>
        <w:rPr>
          <w:rFonts w:ascii="Arial" w:hAnsi="Arial" w:cs="Arial"/>
          <w:sz w:val="18"/>
          <w:szCs w:val="18"/>
        </w:rPr>
        <w:t xml:space="preserve"> </w:t>
      </w:r>
      <w:proofErr w:type="spellStart"/>
      <w:r>
        <w:rPr>
          <w:rFonts w:ascii="Arial" w:hAnsi="Arial" w:cs="Arial"/>
          <w:sz w:val="18"/>
          <w:szCs w:val="18"/>
        </w:rPr>
        <w:t>jatamansi</w:t>
      </w:r>
      <w:proofErr w:type="spellEnd"/>
      <w:r>
        <w:rPr>
          <w:rFonts w:ascii="Arial" w:hAnsi="Arial" w:cs="Arial"/>
          <w:sz w:val="18"/>
          <w:szCs w:val="18"/>
        </w:rPr>
        <w:t xml:space="preserve"> Jones and its mechanism: a preliminary study. Natural Product Research, 32(17), 2071–2075. https://doi.org/10.1080/14786419.2017.1360881</w:t>
      </w:r>
    </w:p>
    <w:p w:rsidR="000319EB" w:rsidRPr="00C4332A" w:rsidRDefault="0029300A" w:rsidP="0029300A">
      <w:pPr>
        <w:pStyle w:val="NormalWeb"/>
        <w:rPr>
          <w:b/>
          <w:bCs/>
        </w:rPr>
      </w:pPr>
      <w:r w:rsidRPr="0029300A">
        <w:rPr>
          <w:lang w:val="fr-FR"/>
        </w:rPr>
        <w:t xml:space="preserve"> Zhao, S., Ji, X., Li, J., Han, D., Yang, L., Huang, Y., et al. </w:t>
      </w:r>
      <w:r w:rsidRPr="0029300A">
        <w:t xml:space="preserve">(2025). </w:t>
      </w:r>
      <w:proofErr w:type="spellStart"/>
      <w:r w:rsidRPr="0029300A">
        <w:t>Valeriana</w:t>
      </w:r>
      <w:proofErr w:type="spellEnd"/>
      <w:r w:rsidRPr="0029300A">
        <w:t xml:space="preserve"> </w:t>
      </w:r>
      <w:proofErr w:type="spellStart"/>
      <w:r w:rsidRPr="0029300A">
        <w:t>Jatamansi</w:t>
      </w:r>
      <w:proofErr w:type="spellEnd"/>
      <w:r w:rsidRPr="0029300A">
        <w:t xml:space="preserve">: An Overview of Phytochemistry, Pharmacology, Clinical Prospects, and Network Analysis of Drug Targets. American Journal of Chinese Medicine, 53(4), 1027–1063. </w:t>
      </w:r>
      <w:hyperlink r:id="rId31" w:history="1">
        <w:r w:rsidRPr="005355A5">
          <w:rPr>
            <w:rStyle w:val="Hyperlink"/>
          </w:rPr>
          <w:t>https://doi.org/10.1142/S0192415X25500399</w:t>
        </w:r>
      </w:hyperlink>
      <w:r>
        <w:t xml:space="preserve"> </w:t>
      </w:r>
    </w:p>
    <w:sectPr w:rsidR="000319EB" w:rsidRPr="00C4332A" w:rsidSect="00C3097F">
      <w:headerReference w:type="even" r:id="rId32"/>
      <w:headerReference w:type="default" r:id="rId33"/>
      <w:footerReference w:type="even" r:id="rId34"/>
      <w:footerReference w:type="default" r:id="rId35"/>
      <w:headerReference w:type="first" r:id="rId36"/>
      <w:footerReference w:type="first" r:id="rId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F2F" w:rsidRDefault="002C0F2F" w:rsidP="008142A7">
      <w:r>
        <w:separator/>
      </w:r>
    </w:p>
  </w:endnote>
  <w:endnote w:type="continuationSeparator" w:id="0">
    <w:p w:rsidR="002C0F2F" w:rsidRDefault="002C0F2F" w:rsidP="0081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B" w:rsidRDefault="00201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B" w:rsidRDefault="00201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B" w:rsidRDefault="00201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F2F" w:rsidRDefault="002C0F2F" w:rsidP="008142A7">
      <w:r>
        <w:separator/>
      </w:r>
    </w:p>
  </w:footnote>
  <w:footnote w:type="continuationSeparator" w:id="0">
    <w:p w:rsidR="002C0F2F" w:rsidRDefault="002C0F2F" w:rsidP="00814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B" w:rsidRDefault="002011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133704"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B" w:rsidRDefault="002011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133705"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1FB" w:rsidRDefault="002011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133703"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85F"/>
    <w:multiLevelType w:val="multilevel"/>
    <w:tmpl w:val="37D2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45810"/>
    <w:multiLevelType w:val="multilevel"/>
    <w:tmpl w:val="41F8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31038"/>
    <w:multiLevelType w:val="multilevel"/>
    <w:tmpl w:val="AC1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712DD"/>
    <w:multiLevelType w:val="multilevel"/>
    <w:tmpl w:val="9E90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85501E"/>
    <w:multiLevelType w:val="hybridMultilevel"/>
    <w:tmpl w:val="DF7C5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091973"/>
    <w:multiLevelType w:val="multilevel"/>
    <w:tmpl w:val="0D8E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767F84"/>
    <w:multiLevelType w:val="hybridMultilevel"/>
    <w:tmpl w:val="9814BC28"/>
    <w:lvl w:ilvl="0" w:tplc="04A22902">
      <w:start w:val="1"/>
      <w:numFmt w:val="decimal"/>
      <w:lvlText w:val="%1-"/>
      <w:lvlJc w:val="left"/>
      <w:pPr>
        <w:ind w:left="460" w:hanging="161"/>
      </w:pPr>
      <w:rPr>
        <w:rFonts w:ascii="Calibri" w:eastAsia="Calibri" w:hAnsi="Calibri" w:hint="default"/>
        <w:spacing w:val="-1"/>
        <w:w w:val="99"/>
        <w:sz w:val="20"/>
        <w:szCs w:val="20"/>
      </w:rPr>
    </w:lvl>
    <w:lvl w:ilvl="1" w:tplc="7F9CE4D8">
      <w:start w:val="1"/>
      <w:numFmt w:val="bullet"/>
      <w:lvlText w:val="•"/>
      <w:lvlJc w:val="left"/>
      <w:pPr>
        <w:ind w:left="1390" w:hanging="161"/>
      </w:pPr>
      <w:rPr>
        <w:rFonts w:hint="default"/>
      </w:rPr>
    </w:lvl>
    <w:lvl w:ilvl="2" w:tplc="AFD64BCE">
      <w:start w:val="1"/>
      <w:numFmt w:val="bullet"/>
      <w:lvlText w:val="•"/>
      <w:lvlJc w:val="left"/>
      <w:pPr>
        <w:ind w:left="2320" w:hanging="161"/>
      </w:pPr>
      <w:rPr>
        <w:rFonts w:hint="default"/>
      </w:rPr>
    </w:lvl>
    <w:lvl w:ilvl="3" w:tplc="7D92CD9E">
      <w:start w:val="1"/>
      <w:numFmt w:val="bullet"/>
      <w:lvlText w:val="•"/>
      <w:lvlJc w:val="left"/>
      <w:pPr>
        <w:ind w:left="3250" w:hanging="161"/>
      </w:pPr>
      <w:rPr>
        <w:rFonts w:hint="default"/>
      </w:rPr>
    </w:lvl>
    <w:lvl w:ilvl="4" w:tplc="B5F046EC">
      <w:start w:val="1"/>
      <w:numFmt w:val="bullet"/>
      <w:lvlText w:val="•"/>
      <w:lvlJc w:val="left"/>
      <w:pPr>
        <w:ind w:left="4180" w:hanging="161"/>
      </w:pPr>
      <w:rPr>
        <w:rFonts w:hint="default"/>
      </w:rPr>
    </w:lvl>
    <w:lvl w:ilvl="5" w:tplc="18D29A78">
      <w:start w:val="1"/>
      <w:numFmt w:val="bullet"/>
      <w:lvlText w:val="•"/>
      <w:lvlJc w:val="left"/>
      <w:pPr>
        <w:ind w:left="5110" w:hanging="161"/>
      </w:pPr>
      <w:rPr>
        <w:rFonts w:hint="default"/>
      </w:rPr>
    </w:lvl>
    <w:lvl w:ilvl="6" w:tplc="7ED64D58">
      <w:start w:val="1"/>
      <w:numFmt w:val="bullet"/>
      <w:lvlText w:val="•"/>
      <w:lvlJc w:val="left"/>
      <w:pPr>
        <w:ind w:left="6040" w:hanging="161"/>
      </w:pPr>
      <w:rPr>
        <w:rFonts w:hint="default"/>
      </w:rPr>
    </w:lvl>
    <w:lvl w:ilvl="7" w:tplc="B34C069A">
      <w:start w:val="1"/>
      <w:numFmt w:val="bullet"/>
      <w:lvlText w:val="•"/>
      <w:lvlJc w:val="left"/>
      <w:pPr>
        <w:ind w:left="6970" w:hanging="161"/>
      </w:pPr>
      <w:rPr>
        <w:rFonts w:hint="default"/>
      </w:rPr>
    </w:lvl>
    <w:lvl w:ilvl="8" w:tplc="9DA69912">
      <w:start w:val="1"/>
      <w:numFmt w:val="bullet"/>
      <w:lvlText w:val="•"/>
      <w:lvlJc w:val="left"/>
      <w:pPr>
        <w:ind w:left="7900" w:hanging="161"/>
      </w:pPr>
      <w:rPr>
        <w:rFonts w:hint="default"/>
      </w:rPr>
    </w:lvl>
  </w:abstractNum>
  <w:abstractNum w:abstractNumId="7" w15:restartNumberingAfterBreak="0">
    <w:nsid w:val="6D650E9D"/>
    <w:multiLevelType w:val="multilevel"/>
    <w:tmpl w:val="ABBE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415BB7"/>
    <w:multiLevelType w:val="multilevel"/>
    <w:tmpl w:val="73C4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8"/>
  </w:num>
  <w:num w:numId="5">
    <w:abstractNumId w:val="6"/>
  </w:num>
  <w:num w:numId="6">
    <w:abstractNumId w:val="2"/>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24"/>
    <w:rsid w:val="000319EB"/>
    <w:rsid w:val="0008348B"/>
    <w:rsid w:val="0009557B"/>
    <w:rsid w:val="00127CBA"/>
    <w:rsid w:val="00132231"/>
    <w:rsid w:val="00143788"/>
    <w:rsid w:val="00165D0C"/>
    <w:rsid w:val="001A4779"/>
    <w:rsid w:val="001B212F"/>
    <w:rsid w:val="001D2D24"/>
    <w:rsid w:val="001D6D60"/>
    <w:rsid w:val="001E0BA6"/>
    <w:rsid w:val="002011FB"/>
    <w:rsid w:val="002546C3"/>
    <w:rsid w:val="0026368D"/>
    <w:rsid w:val="0029300A"/>
    <w:rsid w:val="002C0F2F"/>
    <w:rsid w:val="002C7A18"/>
    <w:rsid w:val="002D6DA1"/>
    <w:rsid w:val="003C4AF7"/>
    <w:rsid w:val="003D3945"/>
    <w:rsid w:val="00415C40"/>
    <w:rsid w:val="00432613"/>
    <w:rsid w:val="00466C3E"/>
    <w:rsid w:val="004D35E1"/>
    <w:rsid w:val="004D35F6"/>
    <w:rsid w:val="00505181"/>
    <w:rsid w:val="00544049"/>
    <w:rsid w:val="005C04FB"/>
    <w:rsid w:val="00634D26"/>
    <w:rsid w:val="0069260D"/>
    <w:rsid w:val="006A5E3E"/>
    <w:rsid w:val="006C1138"/>
    <w:rsid w:val="006F42EB"/>
    <w:rsid w:val="00701833"/>
    <w:rsid w:val="00764456"/>
    <w:rsid w:val="007B244F"/>
    <w:rsid w:val="00803F2D"/>
    <w:rsid w:val="008142A7"/>
    <w:rsid w:val="00824081"/>
    <w:rsid w:val="0086455F"/>
    <w:rsid w:val="008B37C7"/>
    <w:rsid w:val="008D77B5"/>
    <w:rsid w:val="008E30C9"/>
    <w:rsid w:val="00926245"/>
    <w:rsid w:val="0093339B"/>
    <w:rsid w:val="009665FA"/>
    <w:rsid w:val="00971BE5"/>
    <w:rsid w:val="00976379"/>
    <w:rsid w:val="009A11D2"/>
    <w:rsid w:val="009B075D"/>
    <w:rsid w:val="009B2D7C"/>
    <w:rsid w:val="009C14E0"/>
    <w:rsid w:val="00A24D6A"/>
    <w:rsid w:val="00A61B75"/>
    <w:rsid w:val="00B03DC1"/>
    <w:rsid w:val="00B12956"/>
    <w:rsid w:val="00B71B7C"/>
    <w:rsid w:val="00BF7487"/>
    <w:rsid w:val="00C30952"/>
    <w:rsid w:val="00C3097F"/>
    <w:rsid w:val="00C4332A"/>
    <w:rsid w:val="00C62886"/>
    <w:rsid w:val="00CF1CDD"/>
    <w:rsid w:val="00D151F5"/>
    <w:rsid w:val="00D16C6B"/>
    <w:rsid w:val="00D2334C"/>
    <w:rsid w:val="00DD1F52"/>
    <w:rsid w:val="00DF3358"/>
    <w:rsid w:val="00E37D6D"/>
    <w:rsid w:val="00E55976"/>
    <w:rsid w:val="00E64D82"/>
    <w:rsid w:val="00EC097F"/>
    <w:rsid w:val="00EF4321"/>
    <w:rsid w:val="00F20568"/>
    <w:rsid w:val="00F34256"/>
    <w:rsid w:val="00F602D7"/>
    <w:rsid w:val="00F65D43"/>
    <w:rsid w:val="00FC44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B7037B"/>
  <w15:chartTrackingRefBased/>
  <w15:docId w15:val="{FB0FBBA1-0BF4-1648-BDA0-E0C2982F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60D"/>
    <w:rPr>
      <w:rFonts w:ascii="Times New Roman" w:eastAsia="Times New Roman" w:hAnsi="Times New Roman" w:cs="Times New Roman"/>
      <w:lang w:eastAsia="en-GB"/>
    </w:rPr>
  </w:style>
  <w:style w:type="paragraph" w:styleId="Heading3">
    <w:name w:val="heading 3"/>
    <w:basedOn w:val="Normal"/>
    <w:link w:val="Heading3Char"/>
    <w:uiPriority w:val="9"/>
    <w:qFormat/>
    <w:rsid w:val="001D6D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2D24"/>
    <w:pPr>
      <w:spacing w:before="100" w:beforeAutospacing="1" w:after="100" w:afterAutospacing="1"/>
    </w:pPr>
  </w:style>
  <w:style w:type="character" w:styleId="Hyperlink">
    <w:name w:val="Hyperlink"/>
    <w:basedOn w:val="DefaultParagraphFont"/>
    <w:uiPriority w:val="99"/>
    <w:unhideWhenUsed/>
    <w:rsid w:val="001D2D24"/>
    <w:rPr>
      <w:color w:val="0000FF"/>
      <w:u w:val="single"/>
    </w:rPr>
  </w:style>
  <w:style w:type="character" w:styleId="Emphasis">
    <w:name w:val="Emphasis"/>
    <w:basedOn w:val="DefaultParagraphFont"/>
    <w:uiPriority w:val="20"/>
    <w:qFormat/>
    <w:rsid w:val="001D2D24"/>
    <w:rPr>
      <w:i/>
      <w:iCs/>
    </w:rPr>
  </w:style>
  <w:style w:type="character" w:customStyle="1" w:styleId="unknown-copy-source">
    <w:name w:val="unknown-copy-source"/>
    <w:basedOn w:val="DefaultParagraphFont"/>
    <w:rsid w:val="0008348B"/>
  </w:style>
  <w:style w:type="character" w:customStyle="1" w:styleId="paperpal-citation">
    <w:name w:val="paperpal-citation"/>
    <w:basedOn w:val="DefaultParagraphFont"/>
    <w:rsid w:val="0008348B"/>
  </w:style>
  <w:style w:type="character" w:customStyle="1" w:styleId="ai-insert">
    <w:name w:val="ai-insert"/>
    <w:basedOn w:val="DefaultParagraphFont"/>
    <w:rsid w:val="00143788"/>
  </w:style>
  <w:style w:type="character" w:customStyle="1" w:styleId="apple-converted-space">
    <w:name w:val="apple-converted-space"/>
    <w:basedOn w:val="DefaultParagraphFont"/>
    <w:rsid w:val="000319EB"/>
  </w:style>
  <w:style w:type="character" w:styleId="Strong">
    <w:name w:val="Strong"/>
    <w:basedOn w:val="DefaultParagraphFont"/>
    <w:uiPriority w:val="22"/>
    <w:qFormat/>
    <w:rsid w:val="001E0BA6"/>
    <w:rPr>
      <w:b/>
      <w:bCs/>
    </w:rPr>
  </w:style>
  <w:style w:type="character" w:customStyle="1" w:styleId="Heading3Char">
    <w:name w:val="Heading 3 Char"/>
    <w:basedOn w:val="DefaultParagraphFont"/>
    <w:link w:val="Heading3"/>
    <w:uiPriority w:val="9"/>
    <w:rsid w:val="001D6D60"/>
    <w:rPr>
      <w:rFonts w:ascii="Times New Roman" w:eastAsia="Times New Roman" w:hAnsi="Times New Roman" w:cs="Times New Roman"/>
      <w:b/>
      <w:bCs/>
      <w:sz w:val="27"/>
      <w:szCs w:val="27"/>
      <w:lang w:eastAsia="en-GB"/>
    </w:rPr>
  </w:style>
  <w:style w:type="table" w:styleId="TableGrid">
    <w:name w:val="Table Grid"/>
    <w:basedOn w:val="TableNormal"/>
    <w:uiPriority w:val="39"/>
    <w:rsid w:val="001D6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27CBA"/>
    <w:rPr>
      <w:color w:val="605E5C"/>
      <w:shd w:val="clear" w:color="auto" w:fill="E1DFDD"/>
    </w:rPr>
  </w:style>
  <w:style w:type="character" w:styleId="FollowedHyperlink">
    <w:name w:val="FollowedHyperlink"/>
    <w:basedOn w:val="DefaultParagraphFont"/>
    <w:uiPriority w:val="99"/>
    <w:semiHidden/>
    <w:unhideWhenUsed/>
    <w:rsid w:val="00B12956"/>
    <w:rPr>
      <w:color w:val="954F72" w:themeColor="followedHyperlink"/>
      <w:u w:val="single"/>
    </w:rPr>
  </w:style>
  <w:style w:type="paragraph" w:styleId="Header">
    <w:name w:val="header"/>
    <w:basedOn w:val="Normal"/>
    <w:link w:val="HeaderChar"/>
    <w:uiPriority w:val="99"/>
    <w:unhideWhenUsed/>
    <w:rsid w:val="008142A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142A7"/>
  </w:style>
  <w:style w:type="paragraph" w:styleId="Footer">
    <w:name w:val="footer"/>
    <w:basedOn w:val="Normal"/>
    <w:link w:val="FooterChar"/>
    <w:uiPriority w:val="99"/>
    <w:unhideWhenUsed/>
    <w:rsid w:val="008142A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142A7"/>
  </w:style>
  <w:style w:type="paragraph" w:styleId="ListParagraph">
    <w:name w:val="List Paragraph"/>
    <w:basedOn w:val="Normal"/>
    <w:uiPriority w:val="34"/>
    <w:qFormat/>
    <w:rsid w:val="00B71B7C"/>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686">
      <w:bodyDiv w:val="1"/>
      <w:marLeft w:val="0"/>
      <w:marRight w:val="0"/>
      <w:marTop w:val="0"/>
      <w:marBottom w:val="0"/>
      <w:divBdr>
        <w:top w:val="none" w:sz="0" w:space="0" w:color="auto"/>
        <w:left w:val="none" w:sz="0" w:space="0" w:color="auto"/>
        <w:bottom w:val="none" w:sz="0" w:space="0" w:color="auto"/>
        <w:right w:val="none" w:sz="0" w:space="0" w:color="auto"/>
      </w:divBdr>
    </w:div>
    <w:div w:id="114373768">
      <w:bodyDiv w:val="1"/>
      <w:marLeft w:val="0"/>
      <w:marRight w:val="0"/>
      <w:marTop w:val="0"/>
      <w:marBottom w:val="0"/>
      <w:divBdr>
        <w:top w:val="none" w:sz="0" w:space="0" w:color="auto"/>
        <w:left w:val="none" w:sz="0" w:space="0" w:color="auto"/>
        <w:bottom w:val="none" w:sz="0" w:space="0" w:color="auto"/>
        <w:right w:val="none" w:sz="0" w:space="0" w:color="auto"/>
      </w:divBdr>
    </w:div>
    <w:div w:id="119612931">
      <w:bodyDiv w:val="1"/>
      <w:marLeft w:val="0"/>
      <w:marRight w:val="0"/>
      <w:marTop w:val="0"/>
      <w:marBottom w:val="0"/>
      <w:divBdr>
        <w:top w:val="none" w:sz="0" w:space="0" w:color="auto"/>
        <w:left w:val="none" w:sz="0" w:space="0" w:color="auto"/>
        <w:bottom w:val="none" w:sz="0" w:space="0" w:color="auto"/>
        <w:right w:val="none" w:sz="0" w:space="0" w:color="auto"/>
      </w:divBdr>
      <w:divsChild>
        <w:div w:id="1426224079">
          <w:marLeft w:val="0"/>
          <w:marRight w:val="0"/>
          <w:marTop w:val="0"/>
          <w:marBottom w:val="0"/>
          <w:divBdr>
            <w:top w:val="none" w:sz="0" w:space="0" w:color="auto"/>
            <w:left w:val="none" w:sz="0" w:space="0" w:color="auto"/>
            <w:bottom w:val="none" w:sz="0" w:space="0" w:color="auto"/>
            <w:right w:val="none" w:sz="0" w:space="0" w:color="auto"/>
          </w:divBdr>
          <w:divsChild>
            <w:div w:id="1434979815">
              <w:marLeft w:val="0"/>
              <w:marRight w:val="0"/>
              <w:marTop w:val="0"/>
              <w:marBottom w:val="0"/>
              <w:divBdr>
                <w:top w:val="none" w:sz="0" w:space="0" w:color="auto"/>
                <w:left w:val="none" w:sz="0" w:space="0" w:color="auto"/>
                <w:bottom w:val="none" w:sz="0" w:space="0" w:color="auto"/>
                <w:right w:val="none" w:sz="0" w:space="0" w:color="auto"/>
              </w:divBdr>
              <w:divsChild>
                <w:div w:id="1183587512">
                  <w:marLeft w:val="0"/>
                  <w:marRight w:val="0"/>
                  <w:marTop w:val="0"/>
                  <w:marBottom w:val="0"/>
                  <w:divBdr>
                    <w:top w:val="none" w:sz="0" w:space="0" w:color="auto"/>
                    <w:left w:val="none" w:sz="0" w:space="0" w:color="auto"/>
                    <w:bottom w:val="none" w:sz="0" w:space="0" w:color="auto"/>
                    <w:right w:val="none" w:sz="0" w:space="0" w:color="auto"/>
                  </w:divBdr>
                  <w:divsChild>
                    <w:div w:id="522860543">
                      <w:marLeft w:val="0"/>
                      <w:marRight w:val="0"/>
                      <w:marTop w:val="0"/>
                      <w:marBottom w:val="0"/>
                      <w:divBdr>
                        <w:top w:val="none" w:sz="0" w:space="0" w:color="auto"/>
                        <w:left w:val="none" w:sz="0" w:space="0" w:color="auto"/>
                        <w:bottom w:val="none" w:sz="0" w:space="0" w:color="auto"/>
                        <w:right w:val="none" w:sz="0" w:space="0" w:color="auto"/>
                      </w:divBdr>
                      <w:divsChild>
                        <w:div w:id="95057225">
                          <w:marLeft w:val="0"/>
                          <w:marRight w:val="0"/>
                          <w:marTop w:val="0"/>
                          <w:marBottom w:val="0"/>
                          <w:divBdr>
                            <w:top w:val="none" w:sz="0" w:space="0" w:color="auto"/>
                            <w:left w:val="none" w:sz="0" w:space="0" w:color="auto"/>
                            <w:bottom w:val="none" w:sz="0" w:space="0" w:color="auto"/>
                            <w:right w:val="none" w:sz="0" w:space="0" w:color="auto"/>
                          </w:divBdr>
                          <w:divsChild>
                            <w:div w:id="516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08126">
      <w:bodyDiv w:val="1"/>
      <w:marLeft w:val="0"/>
      <w:marRight w:val="0"/>
      <w:marTop w:val="0"/>
      <w:marBottom w:val="0"/>
      <w:divBdr>
        <w:top w:val="none" w:sz="0" w:space="0" w:color="auto"/>
        <w:left w:val="none" w:sz="0" w:space="0" w:color="auto"/>
        <w:bottom w:val="none" w:sz="0" w:space="0" w:color="auto"/>
        <w:right w:val="none" w:sz="0" w:space="0" w:color="auto"/>
      </w:divBdr>
      <w:divsChild>
        <w:div w:id="843055561">
          <w:marLeft w:val="0"/>
          <w:marRight w:val="0"/>
          <w:marTop w:val="0"/>
          <w:marBottom w:val="0"/>
          <w:divBdr>
            <w:top w:val="none" w:sz="0" w:space="0" w:color="auto"/>
            <w:left w:val="none" w:sz="0" w:space="0" w:color="auto"/>
            <w:bottom w:val="none" w:sz="0" w:space="0" w:color="auto"/>
            <w:right w:val="none" w:sz="0" w:space="0" w:color="auto"/>
          </w:divBdr>
          <w:divsChild>
            <w:div w:id="1271468588">
              <w:marLeft w:val="0"/>
              <w:marRight w:val="0"/>
              <w:marTop w:val="0"/>
              <w:marBottom w:val="0"/>
              <w:divBdr>
                <w:top w:val="none" w:sz="0" w:space="0" w:color="auto"/>
                <w:left w:val="none" w:sz="0" w:space="0" w:color="auto"/>
                <w:bottom w:val="none" w:sz="0" w:space="0" w:color="auto"/>
                <w:right w:val="none" w:sz="0" w:space="0" w:color="auto"/>
              </w:divBdr>
              <w:divsChild>
                <w:div w:id="1799376626">
                  <w:marLeft w:val="0"/>
                  <w:marRight w:val="0"/>
                  <w:marTop w:val="0"/>
                  <w:marBottom w:val="0"/>
                  <w:divBdr>
                    <w:top w:val="none" w:sz="0" w:space="0" w:color="auto"/>
                    <w:left w:val="none" w:sz="0" w:space="0" w:color="auto"/>
                    <w:bottom w:val="none" w:sz="0" w:space="0" w:color="auto"/>
                    <w:right w:val="none" w:sz="0" w:space="0" w:color="auto"/>
                  </w:divBdr>
                  <w:divsChild>
                    <w:div w:id="1753505371">
                      <w:marLeft w:val="0"/>
                      <w:marRight w:val="0"/>
                      <w:marTop w:val="0"/>
                      <w:marBottom w:val="0"/>
                      <w:divBdr>
                        <w:top w:val="none" w:sz="0" w:space="0" w:color="auto"/>
                        <w:left w:val="none" w:sz="0" w:space="0" w:color="auto"/>
                        <w:bottom w:val="none" w:sz="0" w:space="0" w:color="auto"/>
                        <w:right w:val="none" w:sz="0" w:space="0" w:color="auto"/>
                      </w:divBdr>
                      <w:divsChild>
                        <w:div w:id="484905744">
                          <w:marLeft w:val="0"/>
                          <w:marRight w:val="0"/>
                          <w:marTop w:val="0"/>
                          <w:marBottom w:val="0"/>
                          <w:divBdr>
                            <w:top w:val="none" w:sz="0" w:space="0" w:color="auto"/>
                            <w:left w:val="none" w:sz="0" w:space="0" w:color="auto"/>
                            <w:bottom w:val="none" w:sz="0" w:space="0" w:color="auto"/>
                            <w:right w:val="none" w:sz="0" w:space="0" w:color="auto"/>
                          </w:divBdr>
                          <w:divsChild>
                            <w:div w:id="4967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57691">
      <w:bodyDiv w:val="1"/>
      <w:marLeft w:val="0"/>
      <w:marRight w:val="0"/>
      <w:marTop w:val="0"/>
      <w:marBottom w:val="0"/>
      <w:divBdr>
        <w:top w:val="none" w:sz="0" w:space="0" w:color="auto"/>
        <w:left w:val="none" w:sz="0" w:space="0" w:color="auto"/>
        <w:bottom w:val="none" w:sz="0" w:space="0" w:color="auto"/>
        <w:right w:val="none" w:sz="0" w:space="0" w:color="auto"/>
      </w:divBdr>
      <w:divsChild>
        <w:div w:id="875894796">
          <w:marLeft w:val="0"/>
          <w:marRight w:val="0"/>
          <w:marTop w:val="0"/>
          <w:marBottom w:val="0"/>
          <w:divBdr>
            <w:top w:val="none" w:sz="0" w:space="0" w:color="auto"/>
            <w:left w:val="none" w:sz="0" w:space="0" w:color="auto"/>
            <w:bottom w:val="none" w:sz="0" w:space="0" w:color="auto"/>
            <w:right w:val="none" w:sz="0" w:space="0" w:color="auto"/>
          </w:divBdr>
          <w:divsChild>
            <w:div w:id="322777186">
              <w:marLeft w:val="0"/>
              <w:marRight w:val="0"/>
              <w:marTop w:val="0"/>
              <w:marBottom w:val="0"/>
              <w:divBdr>
                <w:top w:val="none" w:sz="0" w:space="0" w:color="auto"/>
                <w:left w:val="none" w:sz="0" w:space="0" w:color="auto"/>
                <w:bottom w:val="none" w:sz="0" w:space="0" w:color="auto"/>
                <w:right w:val="none" w:sz="0" w:space="0" w:color="auto"/>
              </w:divBdr>
              <w:divsChild>
                <w:div w:id="1393844675">
                  <w:marLeft w:val="0"/>
                  <w:marRight w:val="0"/>
                  <w:marTop w:val="0"/>
                  <w:marBottom w:val="0"/>
                  <w:divBdr>
                    <w:top w:val="none" w:sz="0" w:space="0" w:color="auto"/>
                    <w:left w:val="none" w:sz="0" w:space="0" w:color="auto"/>
                    <w:bottom w:val="none" w:sz="0" w:space="0" w:color="auto"/>
                    <w:right w:val="none" w:sz="0" w:space="0" w:color="auto"/>
                  </w:divBdr>
                  <w:divsChild>
                    <w:div w:id="193814860">
                      <w:marLeft w:val="0"/>
                      <w:marRight w:val="0"/>
                      <w:marTop w:val="0"/>
                      <w:marBottom w:val="0"/>
                      <w:divBdr>
                        <w:top w:val="none" w:sz="0" w:space="0" w:color="auto"/>
                        <w:left w:val="none" w:sz="0" w:space="0" w:color="auto"/>
                        <w:bottom w:val="none" w:sz="0" w:space="0" w:color="auto"/>
                        <w:right w:val="none" w:sz="0" w:space="0" w:color="auto"/>
                      </w:divBdr>
                      <w:divsChild>
                        <w:div w:id="1107385170">
                          <w:marLeft w:val="0"/>
                          <w:marRight w:val="0"/>
                          <w:marTop w:val="0"/>
                          <w:marBottom w:val="0"/>
                          <w:divBdr>
                            <w:top w:val="none" w:sz="0" w:space="0" w:color="auto"/>
                            <w:left w:val="none" w:sz="0" w:space="0" w:color="auto"/>
                            <w:bottom w:val="none" w:sz="0" w:space="0" w:color="auto"/>
                            <w:right w:val="none" w:sz="0" w:space="0" w:color="auto"/>
                          </w:divBdr>
                          <w:divsChild>
                            <w:div w:id="1098326347">
                              <w:marLeft w:val="0"/>
                              <w:marRight w:val="0"/>
                              <w:marTop w:val="0"/>
                              <w:marBottom w:val="0"/>
                              <w:divBdr>
                                <w:top w:val="none" w:sz="0" w:space="0" w:color="auto"/>
                                <w:left w:val="none" w:sz="0" w:space="0" w:color="auto"/>
                                <w:bottom w:val="none" w:sz="0" w:space="0" w:color="auto"/>
                                <w:right w:val="none" w:sz="0" w:space="0" w:color="auto"/>
                              </w:divBdr>
                              <w:divsChild>
                                <w:div w:id="20298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622256">
      <w:bodyDiv w:val="1"/>
      <w:marLeft w:val="0"/>
      <w:marRight w:val="0"/>
      <w:marTop w:val="0"/>
      <w:marBottom w:val="0"/>
      <w:divBdr>
        <w:top w:val="none" w:sz="0" w:space="0" w:color="auto"/>
        <w:left w:val="none" w:sz="0" w:space="0" w:color="auto"/>
        <w:bottom w:val="none" w:sz="0" w:space="0" w:color="auto"/>
        <w:right w:val="none" w:sz="0" w:space="0" w:color="auto"/>
      </w:divBdr>
    </w:div>
    <w:div w:id="381364183">
      <w:bodyDiv w:val="1"/>
      <w:marLeft w:val="0"/>
      <w:marRight w:val="0"/>
      <w:marTop w:val="0"/>
      <w:marBottom w:val="0"/>
      <w:divBdr>
        <w:top w:val="none" w:sz="0" w:space="0" w:color="auto"/>
        <w:left w:val="none" w:sz="0" w:space="0" w:color="auto"/>
        <w:bottom w:val="none" w:sz="0" w:space="0" w:color="auto"/>
        <w:right w:val="none" w:sz="0" w:space="0" w:color="auto"/>
      </w:divBdr>
    </w:div>
    <w:div w:id="428158700">
      <w:bodyDiv w:val="1"/>
      <w:marLeft w:val="0"/>
      <w:marRight w:val="0"/>
      <w:marTop w:val="0"/>
      <w:marBottom w:val="0"/>
      <w:divBdr>
        <w:top w:val="none" w:sz="0" w:space="0" w:color="auto"/>
        <w:left w:val="none" w:sz="0" w:space="0" w:color="auto"/>
        <w:bottom w:val="none" w:sz="0" w:space="0" w:color="auto"/>
        <w:right w:val="none" w:sz="0" w:space="0" w:color="auto"/>
      </w:divBdr>
    </w:div>
    <w:div w:id="591666443">
      <w:bodyDiv w:val="1"/>
      <w:marLeft w:val="0"/>
      <w:marRight w:val="0"/>
      <w:marTop w:val="0"/>
      <w:marBottom w:val="0"/>
      <w:divBdr>
        <w:top w:val="none" w:sz="0" w:space="0" w:color="auto"/>
        <w:left w:val="none" w:sz="0" w:space="0" w:color="auto"/>
        <w:bottom w:val="none" w:sz="0" w:space="0" w:color="auto"/>
        <w:right w:val="none" w:sz="0" w:space="0" w:color="auto"/>
      </w:divBdr>
    </w:div>
    <w:div w:id="644705665">
      <w:bodyDiv w:val="1"/>
      <w:marLeft w:val="0"/>
      <w:marRight w:val="0"/>
      <w:marTop w:val="0"/>
      <w:marBottom w:val="0"/>
      <w:divBdr>
        <w:top w:val="none" w:sz="0" w:space="0" w:color="auto"/>
        <w:left w:val="none" w:sz="0" w:space="0" w:color="auto"/>
        <w:bottom w:val="none" w:sz="0" w:space="0" w:color="auto"/>
        <w:right w:val="none" w:sz="0" w:space="0" w:color="auto"/>
      </w:divBdr>
    </w:div>
    <w:div w:id="669987661">
      <w:bodyDiv w:val="1"/>
      <w:marLeft w:val="0"/>
      <w:marRight w:val="0"/>
      <w:marTop w:val="0"/>
      <w:marBottom w:val="0"/>
      <w:divBdr>
        <w:top w:val="none" w:sz="0" w:space="0" w:color="auto"/>
        <w:left w:val="none" w:sz="0" w:space="0" w:color="auto"/>
        <w:bottom w:val="none" w:sz="0" w:space="0" w:color="auto"/>
        <w:right w:val="none" w:sz="0" w:space="0" w:color="auto"/>
      </w:divBdr>
    </w:div>
    <w:div w:id="821895468">
      <w:bodyDiv w:val="1"/>
      <w:marLeft w:val="0"/>
      <w:marRight w:val="0"/>
      <w:marTop w:val="0"/>
      <w:marBottom w:val="0"/>
      <w:divBdr>
        <w:top w:val="none" w:sz="0" w:space="0" w:color="auto"/>
        <w:left w:val="none" w:sz="0" w:space="0" w:color="auto"/>
        <w:bottom w:val="none" w:sz="0" w:space="0" w:color="auto"/>
        <w:right w:val="none" w:sz="0" w:space="0" w:color="auto"/>
      </w:divBdr>
    </w:div>
    <w:div w:id="841120092">
      <w:bodyDiv w:val="1"/>
      <w:marLeft w:val="0"/>
      <w:marRight w:val="0"/>
      <w:marTop w:val="0"/>
      <w:marBottom w:val="0"/>
      <w:divBdr>
        <w:top w:val="none" w:sz="0" w:space="0" w:color="auto"/>
        <w:left w:val="none" w:sz="0" w:space="0" w:color="auto"/>
        <w:bottom w:val="none" w:sz="0" w:space="0" w:color="auto"/>
        <w:right w:val="none" w:sz="0" w:space="0" w:color="auto"/>
      </w:divBdr>
    </w:div>
    <w:div w:id="855735539">
      <w:bodyDiv w:val="1"/>
      <w:marLeft w:val="0"/>
      <w:marRight w:val="0"/>
      <w:marTop w:val="0"/>
      <w:marBottom w:val="0"/>
      <w:divBdr>
        <w:top w:val="none" w:sz="0" w:space="0" w:color="auto"/>
        <w:left w:val="none" w:sz="0" w:space="0" w:color="auto"/>
        <w:bottom w:val="none" w:sz="0" w:space="0" w:color="auto"/>
        <w:right w:val="none" w:sz="0" w:space="0" w:color="auto"/>
      </w:divBdr>
      <w:divsChild>
        <w:div w:id="604390036">
          <w:marLeft w:val="0"/>
          <w:marRight w:val="0"/>
          <w:marTop w:val="0"/>
          <w:marBottom w:val="0"/>
          <w:divBdr>
            <w:top w:val="none" w:sz="0" w:space="0" w:color="auto"/>
            <w:left w:val="none" w:sz="0" w:space="0" w:color="auto"/>
            <w:bottom w:val="none" w:sz="0" w:space="0" w:color="auto"/>
            <w:right w:val="none" w:sz="0" w:space="0" w:color="auto"/>
          </w:divBdr>
          <w:divsChild>
            <w:div w:id="224072703">
              <w:marLeft w:val="0"/>
              <w:marRight w:val="0"/>
              <w:marTop w:val="0"/>
              <w:marBottom w:val="0"/>
              <w:divBdr>
                <w:top w:val="none" w:sz="0" w:space="0" w:color="auto"/>
                <w:left w:val="none" w:sz="0" w:space="0" w:color="auto"/>
                <w:bottom w:val="none" w:sz="0" w:space="0" w:color="auto"/>
                <w:right w:val="none" w:sz="0" w:space="0" w:color="auto"/>
              </w:divBdr>
              <w:divsChild>
                <w:div w:id="952979919">
                  <w:marLeft w:val="0"/>
                  <w:marRight w:val="0"/>
                  <w:marTop w:val="0"/>
                  <w:marBottom w:val="0"/>
                  <w:divBdr>
                    <w:top w:val="none" w:sz="0" w:space="0" w:color="auto"/>
                    <w:left w:val="none" w:sz="0" w:space="0" w:color="auto"/>
                    <w:bottom w:val="none" w:sz="0" w:space="0" w:color="auto"/>
                    <w:right w:val="none" w:sz="0" w:space="0" w:color="auto"/>
                  </w:divBdr>
                  <w:divsChild>
                    <w:div w:id="1970622644">
                      <w:marLeft w:val="0"/>
                      <w:marRight w:val="0"/>
                      <w:marTop w:val="0"/>
                      <w:marBottom w:val="0"/>
                      <w:divBdr>
                        <w:top w:val="none" w:sz="0" w:space="0" w:color="auto"/>
                        <w:left w:val="none" w:sz="0" w:space="0" w:color="auto"/>
                        <w:bottom w:val="none" w:sz="0" w:space="0" w:color="auto"/>
                        <w:right w:val="none" w:sz="0" w:space="0" w:color="auto"/>
                      </w:divBdr>
                      <w:divsChild>
                        <w:div w:id="1442529681">
                          <w:marLeft w:val="0"/>
                          <w:marRight w:val="0"/>
                          <w:marTop w:val="0"/>
                          <w:marBottom w:val="0"/>
                          <w:divBdr>
                            <w:top w:val="none" w:sz="0" w:space="0" w:color="auto"/>
                            <w:left w:val="none" w:sz="0" w:space="0" w:color="auto"/>
                            <w:bottom w:val="none" w:sz="0" w:space="0" w:color="auto"/>
                            <w:right w:val="none" w:sz="0" w:space="0" w:color="auto"/>
                          </w:divBdr>
                          <w:divsChild>
                            <w:div w:id="183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699655">
      <w:bodyDiv w:val="1"/>
      <w:marLeft w:val="0"/>
      <w:marRight w:val="0"/>
      <w:marTop w:val="0"/>
      <w:marBottom w:val="0"/>
      <w:divBdr>
        <w:top w:val="none" w:sz="0" w:space="0" w:color="auto"/>
        <w:left w:val="none" w:sz="0" w:space="0" w:color="auto"/>
        <w:bottom w:val="none" w:sz="0" w:space="0" w:color="auto"/>
        <w:right w:val="none" w:sz="0" w:space="0" w:color="auto"/>
      </w:divBdr>
    </w:div>
    <w:div w:id="1086460999">
      <w:bodyDiv w:val="1"/>
      <w:marLeft w:val="0"/>
      <w:marRight w:val="0"/>
      <w:marTop w:val="0"/>
      <w:marBottom w:val="0"/>
      <w:divBdr>
        <w:top w:val="none" w:sz="0" w:space="0" w:color="auto"/>
        <w:left w:val="none" w:sz="0" w:space="0" w:color="auto"/>
        <w:bottom w:val="none" w:sz="0" w:space="0" w:color="auto"/>
        <w:right w:val="none" w:sz="0" w:space="0" w:color="auto"/>
      </w:divBdr>
    </w:div>
    <w:div w:id="1139422673">
      <w:bodyDiv w:val="1"/>
      <w:marLeft w:val="0"/>
      <w:marRight w:val="0"/>
      <w:marTop w:val="0"/>
      <w:marBottom w:val="0"/>
      <w:divBdr>
        <w:top w:val="none" w:sz="0" w:space="0" w:color="auto"/>
        <w:left w:val="none" w:sz="0" w:space="0" w:color="auto"/>
        <w:bottom w:val="none" w:sz="0" w:space="0" w:color="auto"/>
        <w:right w:val="none" w:sz="0" w:space="0" w:color="auto"/>
      </w:divBdr>
    </w:div>
    <w:div w:id="1255867544">
      <w:bodyDiv w:val="1"/>
      <w:marLeft w:val="0"/>
      <w:marRight w:val="0"/>
      <w:marTop w:val="0"/>
      <w:marBottom w:val="0"/>
      <w:divBdr>
        <w:top w:val="none" w:sz="0" w:space="0" w:color="auto"/>
        <w:left w:val="none" w:sz="0" w:space="0" w:color="auto"/>
        <w:bottom w:val="none" w:sz="0" w:space="0" w:color="auto"/>
        <w:right w:val="none" w:sz="0" w:space="0" w:color="auto"/>
      </w:divBdr>
    </w:div>
    <w:div w:id="1269581933">
      <w:bodyDiv w:val="1"/>
      <w:marLeft w:val="0"/>
      <w:marRight w:val="0"/>
      <w:marTop w:val="0"/>
      <w:marBottom w:val="0"/>
      <w:divBdr>
        <w:top w:val="none" w:sz="0" w:space="0" w:color="auto"/>
        <w:left w:val="none" w:sz="0" w:space="0" w:color="auto"/>
        <w:bottom w:val="none" w:sz="0" w:space="0" w:color="auto"/>
        <w:right w:val="none" w:sz="0" w:space="0" w:color="auto"/>
      </w:divBdr>
    </w:div>
    <w:div w:id="1362633007">
      <w:bodyDiv w:val="1"/>
      <w:marLeft w:val="0"/>
      <w:marRight w:val="0"/>
      <w:marTop w:val="0"/>
      <w:marBottom w:val="0"/>
      <w:divBdr>
        <w:top w:val="none" w:sz="0" w:space="0" w:color="auto"/>
        <w:left w:val="none" w:sz="0" w:space="0" w:color="auto"/>
        <w:bottom w:val="none" w:sz="0" w:space="0" w:color="auto"/>
        <w:right w:val="none" w:sz="0" w:space="0" w:color="auto"/>
      </w:divBdr>
      <w:divsChild>
        <w:div w:id="596249619">
          <w:marLeft w:val="0"/>
          <w:marRight w:val="0"/>
          <w:marTop w:val="0"/>
          <w:marBottom w:val="0"/>
          <w:divBdr>
            <w:top w:val="none" w:sz="0" w:space="0" w:color="auto"/>
            <w:left w:val="none" w:sz="0" w:space="0" w:color="auto"/>
            <w:bottom w:val="none" w:sz="0" w:space="0" w:color="auto"/>
            <w:right w:val="none" w:sz="0" w:space="0" w:color="auto"/>
          </w:divBdr>
        </w:div>
      </w:divsChild>
    </w:div>
    <w:div w:id="1502046450">
      <w:bodyDiv w:val="1"/>
      <w:marLeft w:val="0"/>
      <w:marRight w:val="0"/>
      <w:marTop w:val="0"/>
      <w:marBottom w:val="0"/>
      <w:divBdr>
        <w:top w:val="none" w:sz="0" w:space="0" w:color="auto"/>
        <w:left w:val="none" w:sz="0" w:space="0" w:color="auto"/>
        <w:bottom w:val="none" w:sz="0" w:space="0" w:color="auto"/>
        <w:right w:val="none" w:sz="0" w:space="0" w:color="auto"/>
      </w:divBdr>
    </w:div>
    <w:div w:id="1777669948">
      <w:bodyDiv w:val="1"/>
      <w:marLeft w:val="0"/>
      <w:marRight w:val="0"/>
      <w:marTop w:val="0"/>
      <w:marBottom w:val="0"/>
      <w:divBdr>
        <w:top w:val="none" w:sz="0" w:space="0" w:color="auto"/>
        <w:left w:val="none" w:sz="0" w:space="0" w:color="auto"/>
        <w:bottom w:val="none" w:sz="0" w:space="0" w:color="auto"/>
        <w:right w:val="none" w:sz="0" w:space="0" w:color="auto"/>
      </w:divBdr>
    </w:div>
    <w:div w:id="1848448325">
      <w:bodyDiv w:val="1"/>
      <w:marLeft w:val="0"/>
      <w:marRight w:val="0"/>
      <w:marTop w:val="0"/>
      <w:marBottom w:val="0"/>
      <w:divBdr>
        <w:top w:val="none" w:sz="0" w:space="0" w:color="auto"/>
        <w:left w:val="none" w:sz="0" w:space="0" w:color="auto"/>
        <w:bottom w:val="none" w:sz="0" w:space="0" w:color="auto"/>
        <w:right w:val="none" w:sz="0" w:space="0" w:color="auto"/>
      </w:divBdr>
      <w:divsChild>
        <w:div w:id="30346731">
          <w:marLeft w:val="0"/>
          <w:marRight w:val="0"/>
          <w:marTop w:val="0"/>
          <w:marBottom w:val="0"/>
          <w:divBdr>
            <w:top w:val="none" w:sz="0" w:space="0" w:color="auto"/>
            <w:left w:val="none" w:sz="0" w:space="0" w:color="auto"/>
            <w:bottom w:val="none" w:sz="0" w:space="0" w:color="auto"/>
            <w:right w:val="none" w:sz="0" w:space="0" w:color="auto"/>
          </w:divBdr>
          <w:divsChild>
            <w:div w:id="234291707">
              <w:marLeft w:val="0"/>
              <w:marRight w:val="0"/>
              <w:marTop w:val="0"/>
              <w:marBottom w:val="0"/>
              <w:divBdr>
                <w:top w:val="none" w:sz="0" w:space="0" w:color="auto"/>
                <w:left w:val="none" w:sz="0" w:space="0" w:color="auto"/>
                <w:bottom w:val="none" w:sz="0" w:space="0" w:color="auto"/>
                <w:right w:val="none" w:sz="0" w:space="0" w:color="auto"/>
              </w:divBdr>
              <w:divsChild>
                <w:div w:id="4790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33204">
      <w:bodyDiv w:val="1"/>
      <w:marLeft w:val="0"/>
      <w:marRight w:val="0"/>
      <w:marTop w:val="0"/>
      <w:marBottom w:val="0"/>
      <w:divBdr>
        <w:top w:val="none" w:sz="0" w:space="0" w:color="auto"/>
        <w:left w:val="none" w:sz="0" w:space="0" w:color="auto"/>
        <w:bottom w:val="none" w:sz="0" w:space="0" w:color="auto"/>
        <w:right w:val="none" w:sz="0" w:space="0" w:color="auto"/>
      </w:divBdr>
      <w:divsChild>
        <w:div w:id="301083284">
          <w:marLeft w:val="0"/>
          <w:marRight w:val="0"/>
          <w:marTop w:val="0"/>
          <w:marBottom w:val="0"/>
          <w:divBdr>
            <w:top w:val="none" w:sz="0" w:space="0" w:color="auto"/>
            <w:left w:val="none" w:sz="0" w:space="0" w:color="auto"/>
            <w:bottom w:val="none" w:sz="0" w:space="0" w:color="auto"/>
            <w:right w:val="none" w:sz="0" w:space="0" w:color="auto"/>
          </w:divBdr>
          <w:divsChild>
            <w:div w:id="948657015">
              <w:marLeft w:val="0"/>
              <w:marRight w:val="0"/>
              <w:marTop w:val="0"/>
              <w:marBottom w:val="0"/>
              <w:divBdr>
                <w:top w:val="none" w:sz="0" w:space="0" w:color="auto"/>
                <w:left w:val="none" w:sz="0" w:space="0" w:color="auto"/>
                <w:bottom w:val="none" w:sz="0" w:space="0" w:color="auto"/>
                <w:right w:val="none" w:sz="0" w:space="0" w:color="auto"/>
              </w:divBdr>
              <w:divsChild>
                <w:div w:id="453326166">
                  <w:marLeft w:val="0"/>
                  <w:marRight w:val="0"/>
                  <w:marTop w:val="0"/>
                  <w:marBottom w:val="0"/>
                  <w:divBdr>
                    <w:top w:val="none" w:sz="0" w:space="0" w:color="auto"/>
                    <w:left w:val="none" w:sz="0" w:space="0" w:color="auto"/>
                    <w:bottom w:val="none" w:sz="0" w:space="0" w:color="auto"/>
                    <w:right w:val="none" w:sz="0" w:space="0" w:color="auto"/>
                  </w:divBdr>
                  <w:divsChild>
                    <w:div w:id="166021342">
                      <w:marLeft w:val="0"/>
                      <w:marRight w:val="0"/>
                      <w:marTop w:val="0"/>
                      <w:marBottom w:val="0"/>
                      <w:divBdr>
                        <w:top w:val="none" w:sz="0" w:space="0" w:color="auto"/>
                        <w:left w:val="none" w:sz="0" w:space="0" w:color="auto"/>
                        <w:bottom w:val="none" w:sz="0" w:space="0" w:color="auto"/>
                        <w:right w:val="none" w:sz="0" w:space="0" w:color="auto"/>
                      </w:divBdr>
                      <w:divsChild>
                        <w:div w:id="183522116">
                          <w:marLeft w:val="0"/>
                          <w:marRight w:val="0"/>
                          <w:marTop w:val="0"/>
                          <w:marBottom w:val="0"/>
                          <w:divBdr>
                            <w:top w:val="none" w:sz="0" w:space="0" w:color="auto"/>
                            <w:left w:val="none" w:sz="0" w:space="0" w:color="auto"/>
                            <w:bottom w:val="none" w:sz="0" w:space="0" w:color="auto"/>
                            <w:right w:val="none" w:sz="0" w:space="0" w:color="auto"/>
                          </w:divBdr>
                          <w:divsChild>
                            <w:div w:id="1848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474849">
      <w:bodyDiv w:val="1"/>
      <w:marLeft w:val="0"/>
      <w:marRight w:val="0"/>
      <w:marTop w:val="0"/>
      <w:marBottom w:val="0"/>
      <w:divBdr>
        <w:top w:val="none" w:sz="0" w:space="0" w:color="auto"/>
        <w:left w:val="none" w:sz="0" w:space="0" w:color="auto"/>
        <w:bottom w:val="none" w:sz="0" w:space="0" w:color="auto"/>
        <w:right w:val="none" w:sz="0" w:space="0" w:color="auto"/>
      </w:divBdr>
    </w:div>
    <w:div w:id="2111930357">
      <w:bodyDiv w:val="1"/>
      <w:marLeft w:val="0"/>
      <w:marRight w:val="0"/>
      <w:marTop w:val="0"/>
      <w:marBottom w:val="0"/>
      <w:divBdr>
        <w:top w:val="none" w:sz="0" w:space="0" w:color="auto"/>
        <w:left w:val="none" w:sz="0" w:space="0" w:color="auto"/>
        <w:bottom w:val="none" w:sz="0" w:space="0" w:color="auto"/>
        <w:right w:val="none" w:sz="0" w:space="0" w:color="auto"/>
      </w:divBdr>
      <w:divsChild>
        <w:div w:id="1125469533">
          <w:marLeft w:val="0"/>
          <w:marRight w:val="0"/>
          <w:marTop w:val="0"/>
          <w:marBottom w:val="0"/>
          <w:divBdr>
            <w:top w:val="none" w:sz="0" w:space="0" w:color="auto"/>
            <w:left w:val="none" w:sz="0" w:space="0" w:color="auto"/>
            <w:bottom w:val="none" w:sz="0" w:space="0" w:color="auto"/>
            <w:right w:val="none" w:sz="0" w:space="0" w:color="auto"/>
          </w:divBdr>
          <w:divsChild>
            <w:div w:id="1055275214">
              <w:marLeft w:val="0"/>
              <w:marRight w:val="0"/>
              <w:marTop w:val="0"/>
              <w:marBottom w:val="0"/>
              <w:divBdr>
                <w:top w:val="none" w:sz="0" w:space="0" w:color="auto"/>
                <w:left w:val="none" w:sz="0" w:space="0" w:color="auto"/>
                <w:bottom w:val="none" w:sz="0" w:space="0" w:color="auto"/>
                <w:right w:val="none" w:sz="0" w:space="0" w:color="auto"/>
              </w:divBdr>
              <w:divsChild>
                <w:div w:id="1471558091">
                  <w:marLeft w:val="0"/>
                  <w:marRight w:val="0"/>
                  <w:marTop w:val="0"/>
                  <w:marBottom w:val="0"/>
                  <w:divBdr>
                    <w:top w:val="none" w:sz="0" w:space="0" w:color="auto"/>
                    <w:left w:val="none" w:sz="0" w:space="0" w:color="auto"/>
                    <w:bottom w:val="none" w:sz="0" w:space="0" w:color="auto"/>
                    <w:right w:val="none" w:sz="0" w:space="0" w:color="auto"/>
                  </w:divBdr>
                  <w:divsChild>
                    <w:div w:id="735322513">
                      <w:marLeft w:val="0"/>
                      <w:marRight w:val="0"/>
                      <w:marTop w:val="0"/>
                      <w:marBottom w:val="0"/>
                      <w:divBdr>
                        <w:top w:val="none" w:sz="0" w:space="0" w:color="auto"/>
                        <w:left w:val="none" w:sz="0" w:space="0" w:color="auto"/>
                        <w:bottom w:val="none" w:sz="0" w:space="0" w:color="auto"/>
                        <w:right w:val="none" w:sz="0" w:space="0" w:color="auto"/>
                      </w:divBdr>
                      <w:divsChild>
                        <w:div w:id="1495103027">
                          <w:marLeft w:val="0"/>
                          <w:marRight w:val="0"/>
                          <w:marTop w:val="0"/>
                          <w:marBottom w:val="0"/>
                          <w:divBdr>
                            <w:top w:val="none" w:sz="0" w:space="0" w:color="auto"/>
                            <w:left w:val="none" w:sz="0" w:space="0" w:color="auto"/>
                            <w:bottom w:val="none" w:sz="0" w:space="0" w:color="auto"/>
                            <w:right w:val="none" w:sz="0" w:space="0" w:color="auto"/>
                          </w:divBdr>
                          <w:divsChild>
                            <w:div w:id="632905126">
                              <w:marLeft w:val="0"/>
                              <w:marRight w:val="0"/>
                              <w:marTop w:val="0"/>
                              <w:marBottom w:val="0"/>
                              <w:divBdr>
                                <w:top w:val="none" w:sz="0" w:space="0" w:color="auto"/>
                                <w:left w:val="none" w:sz="0" w:space="0" w:color="auto"/>
                                <w:bottom w:val="none" w:sz="0" w:space="0" w:color="auto"/>
                                <w:right w:val="none" w:sz="0" w:space="0" w:color="auto"/>
                              </w:divBdr>
                              <w:divsChild>
                                <w:div w:id="55616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07/relationships/hdphoto" Target="media/hdphoto2.wdp"/><Relationship Id="rId18" Type="http://schemas.openxmlformats.org/officeDocument/2006/relationships/image" Target="media/image8.png"/><Relationship Id="rId26" Type="http://schemas.openxmlformats.org/officeDocument/2006/relationships/hyperlink" Target="https://doi.org/10.1016/j.gecco.2021.e01792" TargetMode="External"/><Relationship Id="rId39" Type="http://schemas.openxmlformats.org/officeDocument/2006/relationships/theme" Target="theme/theme1.xml"/><Relationship Id="rId21" Type="http://schemas.openxmlformats.org/officeDocument/2006/relationships/hyperlink" Target="https://doi.org/10.1515/acph-2016-0028"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jpg"/><Relationship Id="rId25" Type="http://schemas.openxmlformats.org/officeDocument/2006/relationships/hyperlink" Target="https://doi.org/10.1007/s11101-024-10061-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chart" Target="charts/chart1.xml"/><Relationship Id="rId29" Type="http://schemas.openxmlformats.org/officeDocument/2006/relationships/hyperlink" Target="https://doi.org/10.1016/j.jep.2024.1184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link.springer.com/article/10.1007/s11101-024-10061-x"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10.1186/s13002-024-00709-5" TargetMode="External"/><Relationship Id="rId28" Type="http://schemas.openxmlformats.org/officeDocument/2006/relationships/hyperlink" Target="https://doi.org/10.3390/molecules27082387" TargetMode="External"/><Relationship Id="rId36" Type="http://schemas.openxmlformats.org/officeDocument/2006/relationships/header" Target="header3.xml"/><Relationship Id="rId10" Type="http://schemas.microsoft.com/office/2007/relationships/hdphoto" Target="media/hdphoto1.wdp"/><Relationship Id="rId19" Type="http://schemas.microsoft.com/office/2007/relationships/hdphoto" Target="media/hdphoto4.wdp"/><Relationship Id="rId31" Type="http://schemas.openxmlformats.org/officeDocument/2006/relationships/hyperlink" Target="https://doi.org/10.1142/S0192415X25500399"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hyperlink" Target="https://doi.org/10.1076/1388-0209(200009)3841-AFT241" TargetMode="External"/><Relationship Id="rId27" Type="http://schemas.openxmlformats.org/officeDocument/2006/relationships/hyperlink" Target="https://doi.org/10.1007/s12231-017-9389-8" TargetMode="External"/><Relationship Id="rId30" Type="http://schemas.openxmlformats.org/officeDocument/2006/relationships/hyperlink" Target="https://doi.org/10.3389/fphar.2023.1272241" TargetMode="External"/><Relationship Id="rId35" Type="http://schemas.openxmlformats.org/officeDocument/2006/relationships/footer" Target="footer2.xml"/><Relationship Id="rId8" Type="http://schemas.openxmlformats.org/officeDocument/2006/relationships/hyperlink" Target="https://doi.org/10.5493/wjem.v14.i1.88064"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097001493412781"/>
          <c:y val="0.24275196850393702"/>
          <c:w val="0.73143690425201879"/>
          <c:h val="0.58046894138232719"/>
        </c:manualLayout>
      </c:layout>
      <c:pie3DChart>
        <c:varyColors val="1"/>
        <c:ser>
          <c:idx val="0"/>
          <c:order val="0"/>
          <c:dPt>
            <c:idx val="0"/>
            <c:bubble3D val="0"/>
            <c:spPr>
              <a:solidFill>
                <a:schemeClr val="accent6"/>
              </a:solidFill>
              <a:ln w="19050">
                <a:solidFill>
                  <a:schemeClr val="lt1"/>
                </a:solidFill>
              </a:ln>
              <a:effectLst/>
              <a:sp3d contourW="19050">
                <a:contourClr>
                  <a:schemeClr val="lt1"/>
                </a:contourClr>
              </a:sp3d>
            </c:spPr>
            <c:extLst>
              <c:ext xmlns:c16="http://schemas.microsoft.com/office/drawing/2014/chart" uri="{C3380CC4-5D6E-409C-BE32-E72D297353CC}">
                <c16:uniqueId val="{00000001-BE9E-D249-8002-2F6B31F458B2}"/>
              </c:ext>
            </c:extLst>
          </c:dPt>
          <c:dPt>
            <c:idx val="1"/>
            <c:bubble3D val="0"/>
            <c:spPr>
              <a:solidFill>
                <a:schemeClr val="accent5"/>
              </a:solidFill>
              <a:ln w="19050">
                <a:solidFill>
                  <a:schemeClr val="lt1"/>
                </a:solidFill>
              </a:ln>
              <a:effectLst/>
              <a:sp3d contourW="19050">
                <a:contourClr>
                  <a:schemeClr val="lt1"/>
                </a:contourClr>
              </a:sp3d>
            </c:spPr>
            <c:extLst>
              <c:ext xmlns:c16="http://schemas.microsoft.com/office/drawing/2014/chart" uri="{C3380CC4-5D6E-409C-BE32-E72D297353CC}">
                <c16:uniqueId val="{00000003-BE9E-D249-8002-2F6B31F458B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Sheet1!$A$1:$B$1</c:f>
              <c:strCache>
                <c:ptCount val="2"/>
                <c:pt idx="0">
                  <c:v>Oxygenated Sesquiterpenes</c:v>
                </c:pt>
                <c:pt idx="1">
                  <c:v>Non-oxygenated Sesquiterpenes</c:v>
                </c:pt>
              </c:strCache>
            </c:strRef>
          </c:cat>
          <c:val>
            <c:numRef>
              <c:f>Sheet1!$A$2:$B$2</c:f>
              <c:numCache>
                <c:formatCode>General</c:formatCode>
                <c:ptCount val="2"/>
                <c:pt idx="0">
                  <c:v>50</c:v>
                </c:pt>
                <c:pt idx="1">
                  <c:v>50</c:v>
                </c:pt>
              </c:numCache>
            </c:numRef>
          </c:val>
          <c:extLst>
            <c:ext xmlns:c16="http://schemas.microsoft.com/office/drawing/2014/chart" uri="{C3380CC4-5D6E-409C-BE32-E72D297353CC}">
              <c16:uniqueId val="{00000004-BE9E-D249-8002-2F6B31F458B2}"/>
            </c:ext>
          </c:extLst>
        </c:ser>
        <c:dLbls>
          <c:showLegendKey val="0"/>
          <c:showVal val="0"/>
          <c:showCatName val="0"/>
          <c:showSerName val="0"/>
          <c:showPercent val="1"/>
          <c:showBubbleSize val="0"/>
          <c:showLeaderLines val="1"/>
        </c:dLbls>
      </c:pie3DChart>
      <c:spPr>
        <a:noFill/>
        <a:ln>
          <a:noFill/>
        </a:ln>
        <a:effectLst/>
      </c:spPr>
    </c:plotArea>
    <c:legend>
      <c:legendPos val="t"/>
      <c:layout>
        <c:manualLayout>
          <c:xMode val="edge"/>
          <c:yMode val="edge"/>
          <c:x val="2.4083897980996461E-2"/>
          <c:y val="2.569593147751606E-2"/>
          <c:w val="0.97051215422480663"/>
          <c:h val="0.25554300359136051"/>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4834</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21</cp:revision>
  <dcterms:created xsi:type="dcterms:W3CDTF">2025-12-29T08:04:00Z</dcterms:created>
  <dcterms:modified xsi:type="dcterms:W3CDTF">2026-01-02T14:21:00Z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18ecc0f3-f7df-4277-8420-bb666ab3ef59</vt:lpwstr>
  </property>
</Properties>
</file>