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E0" w:rsidRDefault="004212E0" w:rsidP="004212E0"/>
    <w:p w:rsidR="004212E0" w:rsidRDefault="004212E0" w:rsidP="004212E0">
      <w:pPr>
        <w:spacing w:before="100" w:beforeAutospacing="1" w:after="100" w:afterAutospacing="1" w:line="240" w:lineRule="auto"/>
        <w:outlineLvl w:val="0"/>
        <w:rPr>
          <w:rFonts w:ascii="Times New Roman" w:eastAsia="Times New Roman" w:hAnsi="Times New Roman" w:cs="Times New Roman"/>
          <w:b/>
          <w:bCs/>
          <w:kern w:val="36"/>
        </w:rPr>
      </w:pPr>
      <w:r w:rsidRPr="00DD6F2A">
        <w:rPr>
          <w:rFonts w:ascii="Times New Roman" w:eastAsia="Times New Roman" w:hAnsi="Times New Roman" w:cs="Times New Roman"/>
          <w:b/>
          <w:bCs/>
          <w:kern w:val="36"/>
        </w:rPr>
        <w:t>Predictive Modeling of Agrochemical Exposure and Adult Cancer Risk in U.S. Farmers</w:t>
      </w:r>
    </w:p>
    <w:p w:rsidR="00D1254E" w:rsidRDefault="00D1254E" w:rsidP="00B5336A">
      <w:pPr>
        <w:spacing w:before="100" w:beforeAutospacing="1" w:after="100" w:afterAutospacing="1" w:line="240" w:lineRule="auto"/>
        <w:rPr>
          <w:rFonts w:ascii="Times New Roman" w:eastAsia="Times New Roman" w:hAnsi="Times New Roman" w:cs="Times New Roman"/>
          <w:bCs/>
          <w:kern w:val="36"/>
        </w:rPr>
      </w:pPr>
    </w:p>
    <w:p w:rsidR="00C944D9" w:rsidRPr="00C944D9" w:rsidRDefault="00B5336A" w:rsidP="00B5336A">
      <w:pPr>
        <w:spacing w:before="100" w:beforeAutospacing="1" w:after="100" w:afterAutospacing="1" w:line="240" w:lineRule="auto"/>
        <w:rPr>
          <w:rFonts w:ascii="Times New Roman" w:eastAsia="Times New Roman" w:hAnsi="Times New Roman" w:cs="Times New Roman"/>
          <w:kern w:val="0"/>
        </w:rPr>
      </w:pPr>
      <w:bookmarkStart w:id="0" w:name="_GoBack"/>
      <w:bookmarkEnd w:id="0"/>
      <w:r>
        <w:rPr>
          <w:rFonts w:ascii="Times New Roman" w:eastAsia="Times New Roman" w:hAnsi="Times New Roman" w:cs="Times New Roman"/>
          <w:bCs/>
          <w:kern w:val="36"/>
        </w:rPr>
        <w:br/>
      </w:r>
      <w:r>
        <w:rPr>
          <w:rFonts w:ascii="Times New Roman" w:eastAsia="Times New Roman" w:hAnsi="Times New Roman" w:cs="Times New Roman"/>
          <w:bCs/>
          <w:kern w:val="36"/>
        </w:rPr>
        <w:br/>
      </w:r>
      <w:r w:rsidR="00C944D9" w:rsidRPr="00C944D9">
        <w:rPr>
          <w:rFonts w:ascii="Times New Roman" w:eastAsia="Times New Roman" w:hAnsi="Times New Roman" w:cs="Times New Roman"/>
          <w:b/>
          <w:bCs/>
          <w:kern w:val="0"/>
        </w:rPr>
        <w:t>Abstract</w:t>
      </w:r>
    </w:p>
    <w:p w:rsidR="00C944D9" w:rsidRPr="00C944D9" w:rsidRDefault="00C944D9" w:rsidP="00C944D9">
      <w:pPr>
        <w:spacing w:before="100" w:beforeAutospacing="1" w:after="100" w:afterAutospacing="1" w:line="240" w:lineRule="auto"/>
        <w:rPr>
          <w:rFonts w:ascii="Times New Roman" w:eastAsia="Times New Roman" w:hAnsi="Times New Roman" w:cs="Times New Roman"/>
          <w:kern w:val="0"/>
        </w:rPr>
      </w:pPr>
      <w:r w:rsidRPr="00C944D9">
        <w:rPr>
          <w:rFonts w:ascii="Times New Roman" w:eastAsia="Times New Roman" w:hAnsi="Times New Roman" w:cs="Times New Roman"/>
          <w:kern w:val="0"/>
        </w:rPr>
        <w:t>Agrochemical exposure is a pervasive occupational hazard in U.S. agriculture, where farmers experience repeated and often cumulative contact with pesticides, herbicides, and related chemical agents over extended working lifetimes. Epidemiologic studies have long raised concerns about elevated risks of certain adult cancers in farming populations, yet conventional analytic approaches frequently struggle to capture the complexity of exposure patterns, prolonged latency periods, and interacting occupational and environmental risk factors. In recent years, predictive modeling has emerged as a valuable framework for integrating heterogeneous exposure data and improving cancer risk estimation in agricultural settings. This narrative review synthesizes the literature on predictive modeling approaches used to examine relationships between agrochemical exposure and adult cancer risk among U.S. farmers. Emphasis is placed on exposure assessment strategies, including cumulative and time-varying metrics, the application of traditional statistical and machine learning models, and the cancer outcomes most commonly evaluated. Across studies, models that incorporate multidimensional exposure information consistently demonstrate greater predictive utility than those relying on simplified or binary exposure indicators. Machine learning approaches often achieve improved predictive performance in high-dimensional exposure contexts, although limitations related to interpretability, validation, and generalizability remain. Overall, the evidence suggests that predictive modeling can meaningfully advance understanding of agrochemical-related cancer risk when applied with methodological rigor and transparency. Strengthening exposure data integration, enhancing model explainability, and prioritizing external validation will be essential for translating predictive insights into effective occupational health surveillance, targeted cancer prevention strategies, and evidence-based policy decisions for U.S. farming populations.</w:t>
      </w:r>
    </w:p>
    <w:p w:rsidR="00C944D9" w:rsidRPr="00C944D9" w:rsidRDefault="00C944D9" w:rsidP="00C944D9">
      <w:pPr>
        <w:spacing w:before="100" w:beforeAutospacing="1" w:after="100" w:afterAutospacing="1" w:line="240" w:lineRule="auto"/>
        <w:rPr>
          <w:rFonts w:ascii="Times New Roman" w:eastAsia="Times New Roman" w:hAnsi="Times New Roman" w:cs="Times New Roman"/>
          <w:kern w:val="0"/>
        </w:rPr>
      </w:pPr>
      <w:r w:rsidRPr="00C944D9">
        <w:rPr>
          <w:rFonts w:ascii="Times New Roman" w:eastAsia="Times New Roman" w:hAnsi="Times New Roman" w:cs="Times New Roman"/>
          <w:b/>
          <w:bCs/>
          <w:kern w:val="0"/>
        </w:rPr>
        <w:t>Keywords:</w:t>
      </w:r>
      <w:r w:rsidRPr="00C944D9">
        <w:rPr>
          <w:rFonts w:ascii="Times New Roman" w:eastAsia="Times New Roman" w:hAnsi="Times New Roman" w:cs="Times New Roman"/>
          <w:kern w:val="0"/>
        </w:rPr>
        <w:t xml:space="preserve"> agrochemical exposure; predictive modeling; cancer risk; farmers; occupational health; pesticides; agricultural epidemiology</w:t>
      </w:r>
    </w:p>
    <w:p w:rsidR="004212E0" w:rsidRDefault="004212E0" w:rsidP="004212E0">
      <w:pPr>
        <w:pStyle w:val="NormalWeb"/>
        <w:numPr>
          <w:ilvl w:val="0"/>
          <w:numId w:val="2"/>
        </w:numPr>
      </w:pPr>
      <w:r>
        <w:rPr>
          <w:rStyle w:val="Strong"/>
        </w:rPr>
        <w:t>Introduction</w:t>
      </w:r>
    </w:p>
    <w:p w:rsidR="004212E0" w:rsidRDefault="004212E0" w:rsidP="004212E0">
      <w:pPr>
        <w:pStyle w:val="NormalWeb"/>
      </w:pPr>
      <w:r>
        <w:t xml:space="preserve">Agrochemicals are integral to modern agricultural production in the United States, where herbicides, insecticides, fungicides, and fumigants are applied across a wide range of crop and livestock systems. The scale and persistence of agrochemical use have expanded over recent decades, resulting in repeated, long-term exposures among farmers and agricultural workers through multiple pathways, including dermal contact, inhalation, and accidental ingestion. Regulatory oversight and usage surveillance, led by agencies such as the Environmental Protection Agency, have improved documentation of chemical applications, yet substantial variability in exposure intensity and duration remains across regions, crops, and farming </w:t>
      </w:r>
      <w:r>
        <w:lastRenderedPageBreak/>
        <w:t>practices. This heterogeneity complicates efforts to quantify health risks associated with agrochemical exposure</w:t>
      </w:r>
      <w:r w:rsidR="00174E1E">
        <w:fldChar w:fldCharType="begin"/>
      </w:r>
      <w:r w:rsidR="00D91EFC">
        <w:instrText xml:space="preserve"> ADDIN ZOTERO_ITEM CSL_CITATION {"citationID":"iHwfXSek","properties":{"formattedCitation":"(Tudi et al., 2021; Zhou et al., 2025)","plainCitation":"(Tudi et al., 2021; Zhou et al., 2025)","noteIndex":0},"citationItems":[{"id":13172,"uris":["http://zotero.org/users/16652950/items/YKP3FRWQ"],"itemData":{"id":13172,"type":"article-journal","abstract":"Pesticides are indispensable in agricultural production. They have been used by farmers to control weeds and insects, and their remarkable increases i...","container-title":"International Journal of Environmental Research and Public Health","DOI":"10.3390/ijerph18031112","ISSN":"1660-4601","issue":"3","language":"en","license":"http://creativecommons.org/licenses/by/3.0/","note":"Company: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publisher","source":"www.mdpi.com","title":"Agriculture Development, Pesticide Application and Its Impact on the Environment","URL":"https://www.mdpi.com/1660-4601/18/3/1112","volume":"18","author":[{"family":"Tudi","given":"Muyesaier"},{"family":"Ruan","given":"Huada Daniel"},{"family":"Wang","given":"Li"},{"family":"Lyu","given":"Jia"},{"family":"Sadler","given":"Ross"},{"family":"Connell","given":"Des"},{"family":"Chu","given":"Cordia"},{"family":"Phung","given":"Dung Tri"},{"family":"Tudi","given":"Muyesaier"},{"family":"Ruan","given":"Huada Daniel"},{"family":"Wang","given":"Li"},{"family":"Lyu","given":"Jia"},{"family":"Sadler","given":"Ross"},{"family":"Connell","given":"Des"},{"family":"Chu","given":"Cordia"},{"family":"Phung","given":"Dung Tri"}],"accessed":{"date-parts":[["2026",1,10]]},"issued":{"date-parts":[["2021",1,26]]}}},{"id":13174,"uris":["http://zotero.org/users/16652950/items/4S3VLB6E"],"itemData":{"id":13174,"type":"article-journal","abstract":"This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174E1E">
        <w:fldChar w:fldCharType="separate"/>
      </w:r>
      <w:r w:rsidR="00D91EFC" w:rsidRPr="00D91EFC">
        <w:t>(Tudi et al., 2021; Zhou et al., 2025)</w:t>
      </w:r>
      <w:r w:rsidR="00174E1E">
        <w:fldChar w:fldCharType="end"/>
      </w:r>
      <w:r>
        <w:t>.</w:t>
      </w:r>
    </w:p>
    <w:p w:rsidR="004212E0" w:rsidRDefault="004212E0" w:rsidP="004212E0">
      <w:pPr>
        <w:pStyle w:val="NormalWeb"/>
      </w:pPr>
      <w:r>
        <w:t>Cancer risk among farming populations has been a longstanding concern in occupational and environmental health research</w:t>
      </w:r>
      <w:r w:rsidR="00174E1E">
        <w:fldChar w:fldCharType="begin"/>
      </w:r>
      <w:r w:rsidR="00DA18E8">
        <w:instrText xml:space="preserve"> ADDIN ZOTERO_ITEM CSL_CITATION {"citationID":"H9RTvpml","properties":{"formattedCitation":"(Chen et al., n.d.)","plainCitation":"(Chen et al., n.d.)","noteIndex":0},"citationItems":[{"id":13177,"uris":["http://zotero.org/users/16652950/items/HEENIVFV"],"itemData":{"id":13177,"type":"article-journal","abstract":"Objective\nThe purpose of this study was to assess cancer risk among\nagricultural workers compared to the general population.\n\nMethods\nThe study utilized data from Farmers’ Health Insurance (FHI) in\nTaiwan, which enrolled agricultural workers (N=1 175 149). The\nenrolled workers were matched to a general population (N=1 175 149)\nof the same age, gender, township, and enrollment year. The study\npopulation was linked to the National Cancer Registry to identify\nnew cancer cases between 2000 and 2018. The Cox proportional hazards\nmodel was used to estimate the hazard ratio and 95% confidence\ninterval for outcomes.\n\nResults\nDuring the study period, 136 913 new cancers among agricultural\nworkers were identified. The study found that male farmers had an\nincreased cancer risk, including lymphocytic leukemia, chronic\nmyelogenous leukemia, non-Hodgkin’s lymphoma (NHL), oral cancer, lip\ncancer, esophagus cancer, rectum and rectosigmoid junction cancer,\nliver and intrahepatic bile duct cancer, lung cancer, trachea and\nbronchi cancer, and other non-melanoma skin cancer, even when\nconsidering the latency period. Female farmers had an elevated risk\nof multiple myeloma and other non-melanoma skin cancer. Moreover,\nonly lymphoma, NHL, other lymphoid, and multiple myeloma, were both\nfound to occur at different insurance periods.\n\nConclusions\nThis study provides farmer cancer patterns and risk, adding to\nthe evidence that farmers are at increased risk of certain types of\ncancer, especially for hematological cancers. As exposure varies by\nfarm operation type, individual farmer exposure may vary widely.\nFurther understanding of the complex relationship between\noccupational exposure, environmental factors, and lifestyle factors\nis needed.","container-title":"Scandinavian Journal of Work, Environment &amp; Health","DOI":"10.5271/sjweh.4106","ISSN":"0355-3140","issue":"6","journalAbbreviation":"Scand J Work Environ Health","note":"PMID: 37449304\nPMCID: PMC10821750","page":"419-427","source":"PubMed Central","title":"Cancer risks in a population-based study of agricultural workers: results from the Taiwan’s Farmers and Health Cohort study","title-short":"Cancer risks in a population-based study of agricultural workers","volume":"49","author":[{"family":"Chen","given":"Wei-Liang"},{"family":"Lin","given":"Gwan-Ling"},{"family":"Lin","given":"Yu-Jen"},{"family":"Su","given":"Ting-Yao"},{"family":"Wang","given":"Chung-Ching"},{"family":"Wu","given":"Wei-Te"}]}}],"schema":"https://github.com/citation-style-language/schema/raw/master/csl-citation.json"} </w:instrText>
      </w:r>
      <w:r w:rsidR="00174E1E">
        <w:fldChar w:fldCharType="separate"/>
      </w:r>
      <w:r w:rsidR="00DA18E8" w:rsidRPr="00DA18E8">
        <w:t>(Chen et al., n.d.)</w:t>
      </w:r>
      <w:r w:rsidR="00174E1E">
        <w:fldChar w:fldCharType="end"/>
      </w:r>
      <w:r>
        <w:t>. While farmers often exhibit lower overall mortality compared with the general population, elevated risks have been consistently reported for specific malignancies, including hematologic cancers and select solid tumors</w:t>
      </w:r>
      <w:r w:rsidR="00174E1E">
        <w:fldChar w:fldCharType="begin"/>
      </w:r>
      <w:r w:rsidR="00DA18E8">
        <w:instrText xml:space="preserve"> ADDIN ZOTERO_ITEM CSL_CITATION {"citationID":"vdDo7oDY","properties":{"formattedCitation":"(Zhang &amp; Kim, 2025)","plainCitation":"(Zhang &amp; Kim, 2025)","noteIndex":0},"citationItems":[{"id":13179,"uris":["http://zotero.org/users/16652950/items/P2UMS7MZ"],"itemData":{"id":13179,"type":"article-journal","abstract":"Agricultural workers are among the most vulnerable groups facing occupational health risks, yet their protection remains insufficient globally. Despite employing nearly one-third of the global workforce, agriculture is one of the most hazardous sectors, with risks intensified by climate change and limited regulatory coverage. This commentary examines emerging challenges, research gaps, and policy directions, with a focus on international frameworks and China’s recent experiences. While initiatives like Healthy China 2030 and pilot projects using international tools have advanced rural occupational health, major barriers persist, especially for precarious and informal agricultural workers. Strengthening national actions and international coordination is urgently needed. Reviving the Joint ILO/WHO Committee on Occupational Health would help bridge the gap between global commitments and local implementation. Protecting agricultural workers is essential for promoting human rights, advancing public health resilience, and achieving sustainable development goals related to health, labor, and food security.","container-title":"Global Health Journal","DOI":"10.1016/j.glohj.2025.06.001","ISSN":"2414-6447","issue":"2","journalAbbreviation":"Global Health Journal","page":"65-71","source":"ScienceDirect","title":"Occupational health in agriculture: a re-emerging frontier in worker protection","title-short":"Occupational health in agriculture","volume":"9","author":[{"family":"Zhang","given":"Min"},{"family":"Kim","given":"Rokho"}],"issued":{"date-parts":[["2025",6,1]]}}}],"schema":"https://github.com/citation-style-language/schema/raw/master/csl-citation.json"} </w:instrText>
      </w:r>
      <w:r w:rsidR="00174E1E">
        <w:fldChar w:fldCharType="separate"/>
      </w:r>
      <w:r w:rsidR="00DA18E8" w:rsidRPr="00DA18E8">
        <w:t>(Zhang &amp; Kim, 2025)</w:t>
      </w:r>
      <w:r w:rsidR="00174E1E">
        <w:fldChar w:fldCharType="end"/>
      </w:r>
      <w:r>
        <w:t>. Evidence from cohort studies and cancer surveillance programs, including those supported by the National Cancer Institute, suggests that these patterns may reflect the cumulative effects of chemical exposures experienced over extended working lifetimes. However, the long latency periods characteristic of many cancers and the co-occurrence of multiple exposures pose substantial challenges for causal inference</w:t>
      </w:r>
      <w:r w:rsidR="00174E1E">
        <w:fldChar w:fldCharType="begin"/>
      </w:r>
      <w:r w:rsidR="00DA18E8">
        <w:instrText xml:space="preserve"> ADDIN ZOTERO_ITEM CSL_CITATION {"citationID":"Yj2jjuxc","properties":{"formattedCitation":"(Gatto et al., 2021)","plainCitation":"(Gatto et al., 2021)","noteIndex":0},"citationItems":[{"id":13180,"uris":["http://zotero.org/users/16652950/items/68Q65TI8"],"itemData":{"id":13180,"type":"article-journal","abstract":"Simple SummaryA synthesis of 40 years of epidemiologic studies of farming and brain cancer that updates two previous meta-analyses finds that farming ...","container-title":"Cancers","DOI":"10.3390/cancers13174477","ISSN":"2072-6694","issue":"17","language":"en","license":"http://creativecommons.org/licenses/by/3.0/","note":"Company: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publisher","source":"www.mdpi.com","title":"Farming, Pesticides, and Brain Cancer: A 20-Year Updated Systematic Literature Review and Meta-Analysis","title-short":"Farming, Pesticides, and Brain Cancer","URL":"https://www.mdpi.com/2072-6694/13/17/4477","volume":"13","author":[{"family":"Gatto","given":"Nicole M."},{"family":"Ogata","given":"Pamela"},{"family":"Lytle","given":"Brittany"},{"family":"Gatto","given":"Nicole M."},{"family":"Ogata","given":"Pamela"},{"family":"Lytle","given":"Brittany"}],"accessed":{"date-parts":[["2026",1,10]]},"issued":{"date-parts":[["2021",9,4]]}}}],"schema":"https://github.com/citation-style-language/schema/raw/master/csl-citation.json"} </w:instrText>
      </w:r>
      <w:r w:rsidR="00174E1E">
        <w:fldChar w:fldCharType="separate"/>
      </w:r>
      <w:r w:rsidR="00DA18E8" w:rsidRPr="00DA18E8">
        <w:t>(Gatto et al., 2021)</w:t>
      </w:r>
      <w:r w:rsidR="00174E1E">
        <w:fldChar w:fldCharType="end"/>
      </w:r>
      <w:r>
        <w:t>.</w:t>
      </w:r>
    </w:p>
    <w:p w:rsidR="004212E0" w:rsidRDefault="004212E0" w:rsidP="004212E0">
      <w:pPr>
        <w:pStyle w:val="NormalWeb"/>
      </w:pPr>
      <w:r>
        <w:t>Conventional epidemiologic approaches have provided critical insights into agrochemical-related cancer risk but are often constrained by simplified exposure metrics, reliance on self-reported data, and limited capacity to model complex, time-varying relationships. Traditional regression-based analyses typically focus on single agents or broad exposure categories and may inadequately capture interactions among chemicals, behavioral factors, and environmental modifiers</w:t>
      </w:r>
      <w:r w:rsidR="00174E1E">
        <w:fldChar w:fldCharType="begin"/>
      </w:r>
      <w:r w:rsidR="0022089F">
        <w:instrText xml:space="preserve"> ADDIN ZOTERO_ITEM CSL_CITATION {"citationID":"H8Z1c5U4","properties":{"formattedCitation":"(Gerken et al., 2024; Li et al., 2025)","plainCitation":"(Gerken et al., 2024; Li et al., 2025)","noteIndex":0},"citationItems":[{"id":13182,"uris":["http://zotero.org/users/16652950/items/CXDH8P6L"],"itemData":{"id":13182,"type":"article-journal","abstract":"Pesticides are an essential feature of modern-day agriculture that adds to the list of factors that increase cancer risk. Our study aims to evaluate comprehensibly this relationship through a population-based approach that considers confounding variables such as county-specific rates of smoking, socioeconomic vulnerability, and agricultural land. We achieved our goal with the implementation of latent class pesticide usage patterns that were further modeled among covariates to evaluate their associations to cancer risk. Our findings demonstrated an association between pesticide usage and increased incidence of leukemia, non-Hodgkin's lymphoma, bladder, colon, lung, pancreatic, cancers, and all cancers combined that are comparable to smoking for some cancer types. Through our comprehensive analysis and unique approach, our study emphasizes the importance of a holistic assessment of the risks of pesticide usage for communities, which may be used to impact future policies regarding pesticides.","container-title":"Frontiers in Cancer Control and Society","DOI":"10.3389/fcacs.2024.1368086","ISSN":"2813-835X","journalAbbreviation":"Front. Cancer Control Soc.","language":"English","note":"publisher: Frontiers","source":"Frontiers","title":"Comprehensive assessment of pesticide use patterns and increased cancer risk","URL":"https://www.frontiersin.org/journals/cancer-control-and-society/articles/10.3389/fcacs.2024.1368086/full","volume":"2","author":[{"family":"Gerken","given":"Jacob"},{"family":"Vincent","given":"Gear Thomas"},{"family":"Zapata","given":"Demi"},{"family":"Barron","given":"Ileana G."},{"family":"Zapata","given":"Isain"}],"accessed":{"date-parts":[["2026",1,10]]},"issued":{"date-parts":[["2024",7,25]]}}},{"id":12807,"uris":["http://zotero.org/users/16652950/items/KGWJXBUS"],"itemData":{"id":12807,"type":"article-journal","abstract":"Accurate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174E1E">
        <w:fldChar w:fldCharType="separate"/>
      </w:r>
      <w:r w:rsidR="0022089F" w:rsidRPr="0022089F">
        <w:t>(Gerken et al., 2024; Li et al., 2025)</w:t>
      </w:r>
      <w:r w:rsidR="00174E1E">
        <w:fldChar w:fldCharType="end"/>
      </w:r>
      <w:r>
        <w:t>. These limitations can result in exposure misclassification and attenuated risk estimates, particularly in occupational settings characterized by diverse and evolving exposure profiles.</w:t>
      </w:r>
    </w:p>
    <w:p w:rsidR="004212E0" w:rsidRDefault="004212E0" w:rsidP="004212E0">
      <w:pPr>
        <w:pStyle w:val="NormalWeb"/>
      </w:pPr>
      <w:r>
        <w:t>Predictive modeling offers an alternative and increasingly influential framework for addressing these challenges. By integrating multiple data sources and accommodating non-linear relationships, predictive models enable more flexible characterization of exposure patterns and cancer risk</w:t>
      </w:r>
      <w:r w:rsidR="00174E1E">
        <w:fldChar w:fldCharType="begin"/>
      </w:r>
      <w:r w:rsidR="001A7DDB">
        <w:instrText xml:space="preserve"> ADDIN ZOTERO_ITEM CSL_CITATION {"citationID":"ejguzE9E","properties":{"formattedCitation":"(Lawal, Igwe, et al., 2025)","plainCitation":"(Lawal, Igwe, et al., 2025)","noteIndex":0},"citationItems":[{"id":3122,"uris":["http://zotero.org/users/16652950/items/3RZR4GGY"],"itemData":{"id":3122,"type":"article-journal","abstract":"The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174E1E">
        <w:fldChar w:fldCharType="separate"/>
      </w:r>
      <w:r w:rsidR="001A7DDB" w:rsidRPr="001A7DDB">
        <w:t>(Lawal, Igwe, et al., 2025)</w:t>
      </w:r>
      <w:r w:rsidR="00174E1E">
        <w:fldChar w:fldCharType="end"/>
      </w:r>
      <w:r>
        <w:t>. Advances in computational methods have further expanded the potential of these approaches to identify high-risk subgroups, assess cumulative exposures, and enhance risk stratification in agricultural populations. Importantly, predictive modeling shifts the analytic emphasis from isolated associations toward holistic risk estimation, which may be more directly applicable to prevention and surveillance efforts</w:t>
      </w:r>
      <w:r w:rsidR="00174E1E">
        <w:fldChar w:fldCharType="begin"/>
      </w:r>
      <w:r w:rsidR="00F23AA5">
        <w:instrText xml:space="preserve"> ADDIN ZOTERO_ITEM CSL_CITATION {"citationID":"nOxzPSfi","properties":{"formattedCitation":"(Animashaun et al., 2025; Pennisi et al., 2025)","plainCitation":"(Animashaun et al., 2025; Pennisi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174E1E">
        <w:fldChar w:fldCharType="separate"/>
      </w:r>
      <w:r w:rsidR="00F23AA5" w:rsidRPr="00F23AA5">
        <w:t>(Animashaun et al., 2025; Pennisi et al., 2025)</w:t>
      </w:r>
      <w:r w:rsidR="00174E1E">
        <w:fldChar w:fldCharType="end"/>
      </w:r>
      <w:r>
        <w:t>.</w:t>
      </w:r>
    </w:p>
    <w:p w:rsidR="004212E0" w:rsidRDefault="004212E0" w:rsidP="004212E0">
      <w:pPr>
        <w:pStyle w:val="NormalWeb"/>
      </w:pPr>
      <w:r>
        <w:t>The objective of this narrative review is to synthesize and critically evaluate the literature on predictive modeling of agrochemical exposure and adult cancer risk among U.S. farmers. The review focuses on exposure assessment strategies, modeling approaches, and cancer outcomes examined in existing studies, while highlighting methodological strengths, limitations, and emerging directions for research.</w:t>
      </w:r>
    </w:p>
    <w:p w:rsidR="004212E0" w:rsidRPr="004212E0" w:rsidRDefault="004212E0" w:rsidP="004212E0">
      <w:pPr>
        <w:pStyle w:val="ListParagraph"/>
        <w:numPr>
          <w:ilvl w:val="0"/>
          <w:numId w:val="2"/>
        </w:num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4212E0">
        <w:rPr>
          <w:rFonts w:ascii="Times New Roman" w:eastAsia="Times New Roman" w:hAnsi="Times New Roman" w:cs="Times New Roman"/>
          <w:b/>
          <w:bCs/>
          <w:kern w:val="0"/>
          <w:sz w:val="36"/>
          <w:szCs w:val="36"/>
        </w:rPr>
        <w:t>Conceptual Framework Linking Agrochemical Exposure to Cancer Risk</w:t>
      </w:r>
    </w:p>
    <w:p w:rsidR="004212E0" w:rsidRP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 xml:space="preserve">Agrochemical exposure in agricultural settings occurs through multiple, often overlapping pathways that reflect the diversity of farming tasks and environments. Farmers may encounter pesticides and related chemicals during mixing and application, equipment maintenance, crop harvesting, and post-application re-entry into treated fields. Dermal contact and inhalation </w:t>
      </w:r>
      <w:r w:rsidRPr="004212E0">
        <w:rPr>
          <w:rFonts w:ascii="Times New Roman" w:eastAsia="Times New Roman" w:hAnsi="Times New Roman" w:cs="Times New Roman"/>
          <w:kern w:val="0"/>
        </w:rPr>
        <w:lastRenderedPageBreak/>
        <w:t>represent the primary routes of exposure, although ingestion may occur indirectly through contaminated hands, food, or water. In addition to direct occupational exposure, farmers may experience secondary exposures via pesticide drift, contaminated soil, or take-home pathways that extend exposure beyond the worksite. These varied routes contribute to substantial heterogeneity in both intensity and frequency of exposure across individuals and over time</w:t>
      </w:r>
      <w:r w:rsidR="00174E1E">
        <w:rPr>
          <w:rFonts w:ascii="Times New Roman" w:eastAsia="Times New Roman" w:hAnsi="Times New Roman" w:cs="Times New Roman"/>
          <w:kern w:val="0"/>
        </w:rPr>
        <w:fldChar w:fldCharType="begin"/>
      </w:r>
      <w:r w:rsidR="00C27A73">
        <w:rPr>
          <w:rFonts w:ascii="Times New Roman" w:eastAsia="Times New Roman" w:hAnsi="Times New Roman" w:cs="Times New Roman"/>
          <w:kern w:val="0"/>
        </w:rPr>
        <w:instrText xml:space="preserve"> ADDIN ZOTERO_ITEM CSL_CITATION {"citationID":"hSZepNCo","properties":{"formattedCitation":"(Anaduaka et al., 2023)","plainCitation":"(Anaduaka et al., 2023)","noteIndex":0},"citationItems":[{"id":13186,"uris":["http://zotero.org/users/16652950/items/SQQ5MVSC"],"itemData":{"id":13186,"type":"article-journal","abstract":"Chemicals used for storage majorly possess insecticidal activities – deterring destructive insect pests and microorganisms from stored agricultural produce. Despite the controversy about their safety, local farmers and agro-wholesalers still predominantly use these chemicals in developing countries, especially Africa, to ensure an all-year supply of agriproducts. These chemicals could have short- or long-term effects. Despite the state-of-the-art knowledge, factors such as poor education and awareness, limited agricultural subventions, quests for cheap chemicals, over-dosage, and many more are the possible reasons for these toxic chemicals' setback and persistent use in developing countries. This paper provides an up-to-date review of the environmental and ecological effects, as well as the health impacts arising from the indiscriminate use of toxic chemicals in agriproducts. Existing data link pesticides to endocrine disruption, genetic mutations, neurological dysfunction, and other metabolic disorders, apart from the myriad of acute effects. Finally, this study recommended several naturally sourced preservatives as viable alternatives to chemical counterparts and emphasized the invaluable role of education and awareness programs in mitigating the use in developing nations for a sustainable society.","container-title":"Heliyon","DOI":"10.1016/j.heliyon.2023.e15173","ISSN":"2405-8440","issue":"4","journalAbbreviation":"Heliyon","page":"e15173","source":"ScienceDirect","title":"Widespread use of toxic agrochemicals and pesticides for agricultural products storage in Africa and developing countries: Possible panacea for ecotoxicology and health implications","title-short":"Widespread use of toxic agrochemicals and pesticides for agricultural products storage in Africa and developing countries","volume":"9","author":[{"family":"Anaduaka","given":"Emeka Godwin"},{"family":"Uchendu","given":"Nene Orizu"},{"family":"Asomadu","given":"Rita Onyekachukwu"},{"family":"Ezugwu","given":"Arinze Linus"},{"family":"Okeke","given":"Emmanuel Sunday"},{"family":"Chidike Ezeorba","given":"Timothy Prince"}],"issued":{"date-parts":[["2023",4,1]]}}}],"schema":"https://github.com/citation-style-language/schema/raw/master/csl-citation.json"} </w:instrText>
      </w:r>
      <w:r w:rsidR="00174E1E">
        <w:rPr>
          <w:rFonts w:ascii="Times New Roman" w:eastAsia="Times New Roman" w:hAnsi="Times New Roman" w:cs="Times New Roman"/>
          <w:kern w:val="0"/>
        </w:rPr>
        <w:fldChar w:fldCharType="separate"/>
      </w:r>
      <w:r w:rsidR="00C27A73" w:rsidRPr="00C27A73">
        <w:rPr>
          <w:rFonts w:ascii="Times New Roman" w:hAnsi="Times New Roman" w:cs="Times New Roman"/>
        </w:rPr>
        <w:t>(Anaduaka et al., 2023)</w:t>
      </w:r>
      <w:r w:rsidR="00174E1E">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4212E0" w:rsidRP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A defining feature of agrochemical-related cancer risk is the long latency period between exposure and disease manifestation</w:t>
      </w:r>
      <w:r w:rsidR="00174E1E">
        <w:rPr>
          <w:rFonts w:ascii="Times New Roman" w:eastAsia="Times New Roman" w:hAnsi="Times New Roman" w:cs="Times New Roman"/>
          <w:kern w:val="0"/>
        </w:rPr>
        <w:fldChar w:fldCharType="begin"/>
      </w:r>
      <w:r w:rsidR="00DF26F7">
        <w:rPr>
          <w:rFonts w:ascii="Times New Roman" w:eastAsia="Times New Roman" w:hAnsi="Times New Roman" w:cs="Times New Roman"/>
          <w:kern w:val="0"/>
        </w:rPr>
        <w:instrText xml:space="preserve"> ADDIN ZOTERO_ITEM CSL_CITATION {"citationID":"QjDRXJFF","properties":{"formattedCitation":"(Ekozin et al., 2025)","plainCitation":"(Ekozin et al., 2025)","noteIndex":0},"citationItems":[{"id":13247,"uris":["http://zotero.org/users/16652950/items/IY6FBE4V"],"itemData":{"id":13247,"type":"article-journal","abstract":"Spontaneous abortion (SA) imposes significant physical, psychological, and economic burdens on affected families. This study employs network pharmacology and HPLC-MS analysis to investigate the therapeutic mechanisms of Ageratum conyzoides L. in the treatment of SA. Using HPLC-MS, we identified a diverse array of bioactive compounds in Ageratum conyzoides L., including diterpenoid alkaloids (aconitine, mesaconitine, hypaconitine), sesquiterpene lactones (levistilide A), nucleosides (inosine), coumarin derivatives (ligustilide), triterpenoids, and phenolic acids. These compounds were confirmed through retention times and mass spectrometry fragmentation patterns. Network pharmacology analysis identified 27 active components from the plant's secondary metabolites and revealed 514 related targets. In total, 2197 potential targets related to SA were identified, with 220 shared between the plant and disease. Kyoto Encyclopedia of Genes and Genomes (KEGG) pathway analysis identified 196 pathways, including the PI3K-Akt and cancer-related pathways. Molecular docking further confirmed the interactions between major compounds (quercetin, kaempferol, isorhamnetin) and key targets, such as MAPK1 and MAPK3, with strong binding affinities. Pharmacological evaluation showed that Ageratum conyzoides L. corrected Th cell imbalance by inhibiting Th2 cell differentiation, increasing the Th1/Th2 ratio, and enhancing T-bet gene expression. Serum progesterone levels significantly decreased post-abortion. Flow cytometry revealed restored Th1/Th2 differentiation, while qPCR and immunohistochemical analyses confirmed upregulation of T-bet and inhibition of GATA-3 and IL-4 expression. The extract's efficacy was confirmed across multiple experimental groups using ANOVA and Bonferroni post-hoc tests. This study highlights Ageratum conyzoides L.'s potential as a multifaceted therapeutic agent for SA, supported by its comprehensive molecular profile, revealed through HPLC-MS and network pharmacology.","container-title":"Pharmacological Research - Natural Products","DOI":"10.1016/j.prenap.2025.100143","ISSN":"2950-1997","journalAbbreviation":"Pharmacological Research - Natural Products","page":"100143","source":"ScienceDirect","title":"Mechanistic insights into &lt;i&gt;Ageratum conyzoides L&lt;/i&gt;. in preventing spontaneous abortion: A computational and pharmacological study","title-short":"Mechanistic insights into &lt;i&gt;Ageratum conyzoides L&lt;/i&gt;. in preventing spontaneous abortion","volume":"6","author":[{"family":"Ekozin","given":"A. A."},{"family":"Isola","given":"O. B."},{"family":"Onyijen","given":"O. H."},{"family":"Omojoyegbe","given":"R. T."},{"family":"Enerijiofi","given":"K. E."},{"family":"Olaitan","given":"E. O."}],"issued":{"date-parts":[["2025",3,1]]}}}],"schema":"https://github.com/citation-style-language/schema/raw/master/csl-citation.json"} </w:instrText>
      </w:r>
      <w:r w:rsidR="00174E1E">
        <w:rPr>
          <w:rFonts w:ascii="Times New Roman" w:eastAsia="Times New Roman" w:hAnsi="Times New Roman" w:cs="Times New Roman"/>
          <w:kern w:val="0"/>
        </w:rPr>
        <w:fldChar w:fldCharType="separate"/>
      </w:r>
      <w:r w:rsidR="00DF26F7" w:rsidRPr="00DF26F7">
        <w:rPr>
          <w:rFonts w:ascii="Times New Roman" w:hAnsi="Times New Roman" w:cs="Times New Roman"/>
        </w:rPr>
        <w:t>(Ekozin et al., 2025)</w:t>
      </w:r>
      <w:r w:rsidR="00174E1E">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 Many cancers associated with chemical exposures develop over decades, making cumulative exposure a more relevant metric than short-term intensity alone. Repeated low-dose exposures, seasonal application patterns, and changes in chemical formulations over time further complicate exposure characterization. Consequently, risk is best conceptualized as the result of dynamic exposure trajectories that evolve across the working lifespan, rather than as discrete or static events</w:t>
      </w:r>
      <w:r w:rsidR="00174E1E">
        <w:rPr>
          <w:rFonts w:ascii="Times New Roman" w:eastAsia="Times New Roman" w:hAnsi="Times New Roman" w:cs="Times New Roman"/>
          <w:kern w:val="0"/>
        </w:rPr>
        <w:fldChar w:fldCharType="begin"/>
      </w:r>
      <w:r w:rsidR="00C27A73">
        <w:rPr>
          <w:rFonts w:ascii="Times New Roman" w:eastAsia="Times New Roman" w:hAnsi="Times New Roman" w:cs="Times New Roman"/>
          <w:kern w:val="0"/>
        </w:rPr>
        <w:instrText xml:space="preserve"> ADDIN ZOTERO_ITEM CSL_CITATION {"citationID":"ETHpSgpf","properties":{"formattedCitation":"(Tagkas et al., 2024)","plainCitation":"(Tagkas et al., 2024)","noteIndex":0},"citationItems":[{"id":13188,"uris":["http://zotero.org/users/16652950/items/5H5RFEI6"],"itemData":{"id":13188,"type":"article-journal","abstract":"Background: Fertilizers are widely used to supply nutrients to crops, thereby increasing yields and soil fertility. However, the effects of their prod...","container-title":"Toxics","DOI":"10.3390/toxics12100694","ISSN":"2305-6304","issue":"10","language":"en","license":"http://creativecommons.org/licenses/by/3.0/","note":"Company: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publisher","source":"www.mdpi.com","title":"Fertilizers and Human Health—A Systematic Review of the Epidemiological Evidence","URL":"https://www.mdpi.com/2305-6304/12/10/694","volume":"12","author":[{"family":"Tagkas","given":"Christos F."},{"family":"Rizos","given":"Evangelos C."},{"family":"Markozannes","given":"Georgios"},{"family":"Karalexi","given":"Maria A."},{"family":"Wairegi","given":"Lydia"},{"family":"Ntzani","given":"Evangelia E."},{"family":"Tagkas","given":"Christos F."},{"family":"Rizos","given":"Evangelos C."},{"family":"Markozannes","given":"Georgios"},{"family":"Karalexi","given":"Maria A."},{"family":"Wairegi","given":"Lydia"},{"family":"Ntzani","given":"Evangelia E."}],"accessed":{"date-parts":[["2026",1,10]]},"issued":{"date-parts":[["2024",9,25]]}}}],"schema":"https://github.com/citation-style-language/schema/raw/master/csl-citation.json"} </w:instrText>
      </w:r>
      <w:r w:rsidR="00174E1E">
        <w:rPr>
          <w:rFonts w:ascii="Times New Roman" w:eastAsia="Times New Roman" w:hAnsi="Times New Roman" w:cs="Times New Roman"/>
          <w:kern w:val="0"/>
        </w:rPr>
        <w:fldChar w:fldCharType="separate"/>
      </w:r>
      <w:r w:rsidR="00C27A73" w:rsidRPr="00C27A73">
        <w:rPr>
          <w:rFonts w:ascii="Times New Roman" w:hAnsi="Times New Roman" w:cs="Times New Roman"/>
        </w:rPr>
        <w:t>(Tagkas et al., 2024)</w:t>
      </w:r>
      <w:r w:rsidR="00174E1E">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4212E0" w:rsidRP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Individual, occupational, and environmental factors play a critical modifying role in this exposure–disease relationship. Individual characteristics such as age, sex, genetic susceptibility, smoking history, and use of personal protective equipment can influence both exposure uptake and biological response. Occupational factors, including crop type, farm size, application methods, and task duration, shape exposure profiles, while environmental conditions such as climate, soil composition, and regional pesticide use patterns further modify exposure potential. These modifiers interact in complex ways, producing substantial variability in cancer risk even among farmers with ostensibly similar chemical use histories</w:t>
      </w:r>
      <w:r w:rsidR="00174E1E">
        <w:rPr>
          <w:rFonts w:ascii="Times New Roman" w:eastAsia="Times New Roman" w:hAnsi="Times New Roman" w:cs="Times New Roman"/>
          <w:kern w:val="0"/>
        </w:rPr>
        <w:fldChar w:fldCharType="begin"/>
      </w:r>
      <w:r w:rsidR="00C27A73">
        <w:rPr>
          <w:rFonts w:ascii="Times New Roman" w:eastAsia="Times New Roman" w:hAnsi="Times New Roman" w:cs="Times New Roman"/>
          <w:kern w:val="0"/>
        </w:rPr>
        <w:instrText xml:space="preserve"> ADDIN ZOTERO_ITEM CSL_CITATION {"citationID":"cj5WmumT","properties":{"formattedCitation":"(Cani et al., 2023)","plainCitation":"(Cani et al., 2023)","noteIndex":0},"citationItems":[{"id":13190,"uris":["http://zotero.org/users/16652950/items/P2G7JTR2"],"itemData":{"id":13190,"type":"article-journal","abstract":"Simple SummaryEnvironmental and occupational exposures have been historically related with an increased risk of several diseases and, among these, dif...","container-title":"Cancers","DOI":"10.3390/cancers15102836","ISSN":"2072-6694","issue":"10","language":"en","license":"http://creativecommons.org/licenses/by/3.0/","note":"Company: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publisher","source":"www.mdpi.com","title":"How Does Environmental and Occupational Exposure Contribute to Carcinogenesis in Genitourinary and Lung Cancers?","URL":"https://www.mdpi.com/2072-6694/15/10/2836","volume":"15","author":[{"family":"Cani","given":"Massimiliano"},{"family":"Turco","given":"Fabio"},{"family":"Butticè","given":"Simona"},{"family":"Vogl","given":"Ursula Maria"},{"family":"Buttigliero","given":"Consuelo"},{"family":"Novello","given":"Silvia"},{"family":"Capelletto","given":"Enrica"},{"family":"Cani","given":"Massimiliano"},{"family":"Turco","given":"Fabio"},{"family":"Butticè","given":"Simona"},{"family":"Vogl","given":"Ursula Maria"},{"family":"Buttigliero","given":"Consuelo"},{"family":"Novello","given":"Silvia"},{"family":"Capelletto","given":"Enrica"}],"accessed":{"date-parts":[["2026",1,10]]},"issued":{"date-parts":[["2023",5,18]]}}}],"schema":"https://github.com/citation-style-language/schema/raw/master/csl-citation.json"} </w:instrText>
      </w:r>
      <w:r w:rsidR="00174E1E">
        <w:rPr>
          <w:rFonts w:ascii="Times New Roman" w:eastAsia="Times New Roman" w:hAnsi="Times New Roman" w:cs="Times New Roman"/>
          <w:kern w:val="0"/>
        </w:rPr>
        <w:fldChar w:fldCharType="separate"/>
      </w:r>
      <w:r w:rsidR="00C27A73" w:rsidRPr="00C27A73">
        <w:rPr>
          <w:rFonts w:ascii="Times New Roman" w:hAnsi="Times New Roman" w:cs="Times New Roman"/>
        </w:rPr>
        <w:t>(Cani et al., 2023)</w:t>
      </w:r>
      <w:r w:rsidR="00174E1E">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Predictive modeling provides a unifying framework for integrating these diverse and interrelated components. Rather than relying on single exposure indicators, predictive models can incorporate cumulative, time-varying, and multidimensional exposure metrics alongside individual and contextual modifiers. This integrative approach allows for the characterization of non-linear relationships, interactions among risk factors, and heterogeneity in susceptibility. Within this conceptual framework, predictive modeling functions as a tool for synthesizing complex exposure data into meaningful estimates of cancer risk, offering a more nuanced representation of agrochemical-related carcinogenesis in agricultural populations</w:t>
      </w:r>
      <w:r w:rsidR="00174E1E">
        <w:rPr>
          <w:rFonts w:ascii="Times New Roman" w:eastAsia="Times New Roman" w:hAnsi="Times New Roman" w:cs="Times New Roman"/>
          <w:kern w:val="0"/>
        </w:rPr>
        <w:fldChar w:fldCharType="begin"/>
      </w:r>
      <w:r w:rsidR="00013817">
        <w:rPr>
          <w:rFonts w:ascii="Times New Roman" w:eastAsia="Times New Roman" w:hAnsi="Times New Roman" w:cs="Times New Roman"/>
          <w:kern w:val="0"/>
        </w:rPr>
        <w:instrText xml:space="preserve"> ADDIN ZOTERO_ITEM CSL_CITATION {"citationID":"62YkCaNP","properties":{"formattedCitation":"(Toma et al., 2023)","plainCitation":"(Toma et al., 2023)","noteIndex":0},"citationItems":[{"id":13192,"uris":["http://zotero.org/users/16652950/items/P477F3BT"],"itemData":{"id":13192,"type":"article-journal","abstract":"Predictive modeling is a complex methodology that involves leveraging advanced mathematical and computational techniques to forecast future occurrence...","container-title":"Encyclopedia","DOI":"10.3390/encyclopedia3020042","ISSN":"2673-8392","issue":"2","language":"en","license":"http://creativecommons.org/licenses/by/3.0/","note":"Company: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publisher","page":"590-601","source":"www.mdpi.com","title":"Predictive Modeling in Medicine","volume":"3","author":[{"family":"Toma","given":"Milan"},{"family":"Wei","given":"Ong Chi"},{"family":"Toma","given":"Milan"},{"family":"Wei","given":"Ong Chi"}],"issued":{"date-parts":[["2023",5,10]]}}}],"schema":"https://github.com/citation-style-language/schema/raw/master/csl-citation.json"} </w:instrText>
      </w:r>
      <w:r w:rsidR="00174E1E">
        <w:rPr>
          <w:rFonts w:ascii="Times New Roman" w:eastAsia="Times New Roman" w:hAnsi="Times New Roman" w:cs="Times New Roman"/>
          <w:kern w:val="0"/>
        </w:rPr>
        <w:fldChar w:fldCharType="separate"/>
      </w:r>
      <w:r w:rsidR="00013817" w:rsidRPr="00013817">
        <w:rPr>
          <w:rFonts w:ascii="Times New Roman" w:hAnsi="Times New Roman" w:cs="Times New Roman"/>
        </w:rPr>
        <w:t>(Toma et al., 2023)</w:t>
      </w:r>
      <w:r w:rsidR="00174E1E">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F23AA5" w:rsidRDefault="00F23AA5" w:rsidP="00F23AA5">
      <w:pPr>
        <w:pStyle w:val="NormalWeb"/>
      </w:pPr>
      <w:r>
        <w:t>To contextualize the role of predictive modeling in agrochemical-related cancer research, Figure 1 illustrates a conceptual framework linking exposure pathways, modifying factors, and cancer outcomes within agricultural populations.</w:t>
      </w:r>
    </w:p>
    <w:p w:rsidR="00F23AA5" w:rsidRDefault="00F23AA5" w:rsidP="00F23AA5">
      <w:pPr>
        <w:pStyle w:val="NormalWeb"/>
      </w:pPr>
      <w:r>
        <w:rPr>
          <w:noProof/>
        </w:rPr>
        <w:lastRenderedPageBreak/>
        <w:drawing>
          <wp:inline distT="0" distB="0" distL="0" distR="0">
            <wp:extent cx="5943600" cy="3962400"/>
            <wp:effectExtent l="19050" t="0" r="0" b="0"/>
            <wp:docPr id="1" name="Picture 0" descr="ChatGPT Image Jan 10, 2026, 11_30_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10, 2026, 11_30_17 PM.png"/>
                    <pic:cNvPicPr/>
                  </pic:nvPicPr>
                  <pic:blipFill>
                    <a:blip r:embed="rId7"/>
                    <a:stretch>
                      <a:fillRect/>
                    </a:stretch>
                  </pic:blipFill>
                  <pic:spPr>
                    <a:xfrm>
                      <a:off x="0" y="0"/>
                      <a:ext cx="5943600" cy="3962400"/>
                    </a:xfrm>
                    <a:prstGeom prst="rect">
                      <a:avLst/>
                    </a:prstGeom>
                  </pic:spPr>
                </pic:pic>
              </a:graphicData>
            </a:graphic>
          </wp:inline>
        </w:drawing>
      </w:r>
    </w:p>
    <w:p w:rsidR="00380F15" w:rsidRDefault="00380F15" w:rsidP="00F23AA5">
      <w:pPr>
        <w:pStyle w:val="NormalWeb"/>
      </w:pPr>
      <w:r>
        <w:rPr>
          <w:rStyle w:val="Strong"/>
        </w:rPr>
        <w:t xml:space="preserve">Fig 1: </w:t>
      </w:r>
      <w:r w:rsidR="00F23AA5">
        <w:rPr>
          <w:rStyle w:val="Strong"/>
        </w:rPr>
        <w:t>Conceptual Framework for Predictive Modeling of Agrochemical Exposure and Adult Cancer Risk in U.S. Farmers</w:t>
      </w:r>
      <w:r w:rsidR="00F23AA5">
        <w:t xml:space="preserve">. </w:t>
      </w:r>
    </w:p>
    <w:p w:rsidR="00F23AA5" w:rsidRDefault="00F23AA5" w:rsidP="00F23AA5">
      <w:pPr>
        <w:pStyle w:val="NormalWeb"/>
      </w:pPr>
      <w:r>
        <w:t>This figure presents a conceptual framework illustrating how agrochemical exposure pathways in agricultural settings contribute to cumulative exposure and cancer risk among U.S. farmers. Occupational, environmental, and secondary exposure routes interact with individual, occupational, and environmental modifiers to influence biological processes relevant to carcinogenesis. Predictive modeling approaches integrate these multidimensional inputs to estimate cancer risk, accounting for cumulative exposure, latency, and complex interactions, and to inform prevention, surveillance, and policy decision-making.</w:t>
      </w:r>
    </w:p>
    <w:p w:rsidR="00F23AA5" w:rsidRPr="004212E0" w:rsidRDefault="00F23AA5" w:rsidP="004212E0">
      <w:pPr>
        <w:spacing w:before="100" w:beforeAutospacing="1" w:after="100" w:afterAutospacing="1" w:line="240" w:lineRule="auto"/>
        <w:rPr>
          <w:rFonts w:ascii="Times New Roman" w:eastAsia="Times New Roman" w:hAnsi="Times New Roman" w:cs="Times New Roman"/>
          <w:kern w:val="0"/>
        </w:rPr>
      </w:pPr>
    </w:p>
    <w:p w:rsidR="004212E0" w:rsidRDefault="004212E0" w:rsidP="004212E0">
      <w:pPr>
        <w:pStyle w:val="Heading2"/>
        <w:numPr>
          <w:ilvl w:val="0"/>
          <w:numId w:val="2"/>
        </w:numPr>
      </w:pPr>
      <w:r>
        <w:t>Agrochemical Exposure Assessment in Predictive Modeling</w:t>
      </w:r>
    </w:p>
    <w:p w:rsidR="004212E0" w:rsidRDefault="004212E0" w:rsidP="004212E0">
      <w:pPr>
        <w:pStyle w:val="NormalWeb"/>
      </w:pPr>
      <w:r>
        <w:t xml:space="preserve">Accurate exposure assessment is a foundational component of predictive modeling studies examining agrochemical-related cancer risk. In the agricultural context, exposure data are derived from a range of sources that vary substantially in resolution, reliability, and feasibility. Self-reported exposure information remains one of the most commonly used inputs, particularly in large cohort studies of farmers. These data typically include chemical use histories, application frequency, duration of use, and task-specific practices. Self-report offers the </w:t>
      </w:r>
      <w:r>
        <w:lastRenderedPageBreak/>
        <w:t xml:space="preserve">advantage of capturing individual-level behaviors and historical exposures that are otherwise unavailable, but it is inherently vulnerable to recall bias, exposure misclassification, and incomplete reporting, especially when exposures occurred decades prior to data </w:t>
      </w:r>
      <w:proofErr w:type="gramStart"/>
      <w:r>
        <w:t>collection</w:t>
      </w:r>
      <w:r w:rsidR="006277A6" w:rsidRPr="006277A6">
        <w:t>(</w:t>
      </w:r>
      <w:proofErr w:type="gramEnd"/>
      <w:r w:rsidR="006277A6" w:rsidRPr="006277A6">
        <w:t>Singh et al., 2025)</w:t>
      </w:r>
      <w:r>
        <w:t>.</w:t>
      </w:r>
    </w:p>
    <w:p w:rsidR="004212E0" w:rsidRDefault="004212E0" w:rsidP="004212E0">
      <w:pPr>
        <w:pStyle w:val="NormalWeb"/>
      </w:pPr>
      <w:r>
        <w:t>Registry-based exposure data provide an alternative or complementary approach and are increasingly incorporated into predictive models. Pesticide use reporting systems, sales records, and regulatory databases maintained by agencies such as the Environmental Protection Agency offer standardized and longitudinal information on chemical applications at regional or national scales. While these data improve consistency and temporal coverage, they often lack individual-level specificity and may not account for variations in application methods, protective practices, or off-label use. Predictive modeling frameworks frequently attempt to reconcile these limitations by combining registry data with self-reported information to enhance exposure characterization</w:t>
      </w:r>
      <w:r w:rsidR="00174E1E">
        <w:fldChar w:fldCharType="begin"/>
      </w:r>
      <w:r w:rsidR="006277A6">
        <w:instrText xml:space="preserve"> ADDIN ZOTERO_ITEM CSL_CITATION {"citationID":"elLcopDg","properties":{"formattedCitation":"(Buckley et al., 2023)","plainCitation":"(Buckley et al., 2023)","noteIndex":0},"citationItems":[{"id":13196,"uris":["http://zotero.org/users/16652950/items/ENWI5ELK"],"itemData":{"id":13196,"type":"article-journal","abstract":"Exposure science is evolving from its traditional “after the fact” and “one chemical at a time” approach to forecasting chemical exposures rapidly enough to keep pace with the constantly expanding landscape of chemicals and exposures. In this article, we provide an overview of the approaches, accomplishments, and plans for advancing computational exposure science within the U.S. Environmental Protection Agency’s Office of Research and Development (EPA/ORD). First, to characterize the universe of chemicals in commerce and the environment, a carefully curated, web-accessible chemical resource has been created. This DSSTox database unambiguously identifies &gt;1.2 million unique substances reflecting potential environmental and human exposures and includes computationally accessible links to each compound’s corresponding data resources. Next, EPA is developing, applying, and evaluating predictive exposure models. These models increasingly rely on data, computational tools like quantitative structure activity relationship (QSAR) models, and machine learning/artificial intelligence to provide timely and efficient prediction of chemical exposure (and associated uncertainty) for thousands of chemicals at a time. Integral to this modeling effort, EPA is developing data resources across the exposure continuum that includes application of high-resolution mass spectrometry (HRMS) non-targeted analysis (NTA) methods providing measurement capability at scale with the number of chemicals in commerce. These research efforts are integrated and well-tailored to support population exposure assessment to prioritize chemicals for exposure as a critical input to risk management. In addition, the exposure forecasts will allow a wide variety of stakeholders to explore sustainable initiatives like green chemistry to achieve economic, social, and environmental prosperity and protection of future generations.","container-title":"Environment International","DOI":"10.1016/j.envint.2023.108097","ISSN":"0160-4120","journalAbbreviation":"Environment International","page":"108097","source":"ScienceDirect","title":"Cutting-edge computational chemical exposure research at the U.S. Environmental Protection Agency","volume":"178","author":[{"family":"Buckley","given":"Timothy J."},{"family":"Egeghy","given":"Peter P."},{"family":"Isaacs","given":"Kristin"},{"family":"Richard","given":"Ann M."},{"family":"Ring","given":"Caroline"},{"family":"Sayre","given":"Risa R."},{"family":"Sobus","given":"Jon R."},{"family":"Thomas","given":"Russell S."},{"family":"Ulrich","given":"Elin M."},{"family":"Wambaugh","given":"John F."},{"family":"Williams","given":"Antony J."}],"issued":{"date-parts":[["2023",8,1]]}}}],"schema":"https://github.com/citation-style-language/schema/raw/master/csl-citation.json"} </w:instrText>
      </w:r>
      <w:r w:rsidR="00174E1E">
        <w:fldChar w:fldCharType="separate"/>
      </w:r>
      <w:r w:rsidR="006277A6" w:rsidRPr="006277A6">
        <w:t>(Buckley et al., 2023)</w:t>
      </w:r>
      <w:r w:rsidR="00174E1E">
        <w:fldChar w:fldCharType="end"/>
      </w:r>
      <w:r>
        <w:t>.</w:t>
      </w:r>
    </w:p>
    <w:p w:rsidR="004212E0" w:rsidRDefault="004212E0" w:rsidP="004212E0">
      <w:pPr>
        <w:pStyle w:val="NormalWeb"/>
      </w:pPr>
      <w:r>
        <w:t>Job-exposure matrices represent another important tool in agrochemical exposure assessment, particularly when individual-level data are sparse. These matrices assign exposure estimates based on occupational titles, tasks, or crop categories, allowing models to approximate exposure probability and intensity across farming activities. Similarly, geospatial proxies, including land-use maps, crop density data, and proximity to treated fields, have been used to estimate environmental and indirect exposures. Spatially resolved exposure metrics can capture regional patterns of pesticide use and drift, although they may oversimplify complex on-farm practices and individual mobility</w:t>
      </w:r>
      <w:r w:rsidR="00174E1E">
        <w:fldChar w:fldCharType="begin"/>
      </w:r>
      <w:r w:rsidR="006277A6">
        <w:instrText xml:space="preserve"> ADDIN ZOTERO_ITEM CSL_CITATION {"citationID":"qFOxshoV","properties":{"formattedCitation":"(Descatha et al., 2022)","plainCitation":"(Descatha et al., 2022)","noteIndex":0},"citationItems":[{"id":13199,"uris":["http://zotero.org/users/16652950/items/GJNJ9Z93"],"itemData":{"id":13199,"type":"article-journal","abstract":"Workplace exposures to physical, chemical, and psychosocial factors account for a large burden of chronic diseases. Obtaining useful estimates of current and past workplace exposures is challenging, particularly in large general population studies. Job-exposure matrices (JEMs) are a useful tool for exposure assessment, particularly when no individual level exposure data are available. A JEM provides a cross-tabulation of job titles (sometimes combined with industry) and estimated exposures to workers carrying out these jobs during different time periods. The major limitation of JEMs is that they do not account for individual variation in exposures within the same job. This limitation is offset by the advantages of low cost, wide applicability, lack of bias from self-reporting, and the ability to estimate exposures based on job titles when no other exposure data exist. There is growing use of JEMs in research examining the role of workplace exposures in the development of chronic diseases, and interest in their application to public health practice. This paper provides a scoping review of JEM use, some examples of JEMs, and brief guidance for the application of JEMs in epidemiological research. In conclusion, JEMs provide a useful tool for researchers and public health practitioners to estimate occupational exposures in large scale epidemiological studies relevant to many health conditions.","container-title":"Frontiers in Epidemiology","DOI":"10.3389/fepid.2022.857316","ISSN":"2674-1199","journalAbbreviation":"Front Epidemiol","note":"PMID: 38455292\nPMCID: PMC10910984","page":"857316","source":"PubMed Central","title":"Job-Exposure Matrix: A Useful Tool for Incorporating Workplace Exposure Data Into Population Health Research and Practice","title-short":"Job-Exposure Matrix","volume":"2","author":[{"family":"Descatha","given":"Alexis"},{"family":"Fadel","given":"Marc"},{"family":"Sembajwe","given":"Grace"},{"family":"Peters","given":"Susan"},{"family":"Evanoff","given":"Bradley A."}],"issued":{"date-parts":[["2022",4,26]]}}}],"schema":"https://github.com/citation-style-language/schema/raw/master/csl-citation.json"} </w:instrText>
      </w:r>
      <w:r w:rsidR="00174E1E">
        <w:fldChar w:fldCharType="separate"/>
      </w:r>
      <w:r w:rsidR="006277A6" w:rsidRPr="006277A6">
        <w:t>(Descatha et al., 2022)</w:t>
      </w:r>
      <w:r w:rsidR="00174E1E">
        <w:fldChar w:fldCharType="end"/>
      </w:r>
      <w:r>
        <w:t>.</w:t>
      </w:r>
    </w:p>
    <w:p w:rsidR="004212E0" w:rsidRDefault="004212E0" w:rsidP="004212E0">
      <w:pPr>
        <w:pStyle w:val="NormalWeb"/>
      </w:pPr>
      <w:r>
        <w:t>Temporal considerations are central to predictive exposure modeling. Many studies emphasize cumulative exposure metrics that integrate duration, frequency, and intensity over time, reflecting the long latency periods associated with cancer development. Time-varying exposure models and lagged exposure windows are increasingly employed to align exposure estimates with biologically relevant periods of carcinogenesis. These approaches improve etiologic relevance but require detailed historical data and careful assumptions regarding exposure decay and persistence</w:t>
      </w:r>
      <w:r w:rsidR="00174E1E">
        <w:fldChar w:fldCharType="begin"/>
      </w:r>
      <w:r w:rsidR="006277A6">
        <w:instrText xml:space="preserve"> ADDIN ZOTERO_ITEM CSL_CITATION {"citationID":"OHUlfJQN","properties":{"formattedCitation":"(Lipfert &amp; Wyzga, 2019)","plainCitation":"(Lipfert &amp; Wyzga, 2019)","noteIndex":0},"citationItems":[{"id":13202,"uris":["http://zotero.org/users/16652950/items/RY6DA63L"],"itemData":{"id":13202,"type":"article-journal","abstract":"Lung cancer mortality (LCM) has been associated with smoking and air pollution. This article draws on smoking relationships to clarify air pollution relationships. We analyzed cohort and population-based smoking studies and identified effects of latency and cumulative exposures. We found cogent relationships through longitudinal rather than cross-sectional analysis, thus involving historical data. We also considered passive smoking, occupational exposures, radon, and established carcinogens. We found stable nonsmoking LCM rates during periods of improving ambient air quality. We considered 59 cross-sectional studies of lung cancer and air pollution and found similar statistically significant relative risks for PM2.5, PM10, EC, NO2, SO2, SO2−4, and O3, and minimal risks for benzo(alpha)pyrene and trace metals. Most air pollution studies did not consider latency, exposure duration, or temporal trends; none included estimates of smoking risks implied by their models. We conclude that while LCM studies of smoking, radon, and occupational exposures appropriately considered latency and cumulative exposures; ambient air quality studies have not. Lung cancer has a long memory and exposure histories are required. Effects of cumulative exposures after pollution abatement include substantially reduced risk estimates, delayed health benefits, inability to show accountability for the abatement. However, associations of lung cancer with ambient air pollution cannot be ruled out, especially for historic periods when much higher exposures persisted. Given the major reductions in air quality and smoking habits that have been realized since the Clean Air Act, new studies of LCM and air pollution, including smoking histories and exposure data decades before diagnosis, are needed.HighlightsLifetime cigarette consumption is a good predictor of lung cancer risk.The latent period for lung cancer ranges from about 10 to 30 y.Lung cancer risks for nonsmokers have been stable during the period when ambient air quality improved substantially.Risks of established airborne carcinogens may have been important in the past but not under current conditions.Radon can be important.Air pollution-lung cancer risks should be evaluated jointly with smoking risks but are sensitive to their accuracy.When cumulative exposures to conventional air pollutants are considered rather than concurrent, the applicable risk estimates may decrease by an order of magnitude and abatement benefits will not be readily apparent.Most of the recent cross-sectional studies of lung cancer and regulated air pollutants did not consider latency, duration of exposure, or established carcinogens and their findings have been misinterpreted.Effects of smoking on LCM are now well established as are the spatial distributions of ambient air pollution; however, linkages among the three parameters remain uncertain. Lifetime cigarette consumption is a good predictor of lung cancer risk. The latent period for lung cancer ranges from about 10 to 30 y. Lung cancer risks for nonsmokers have been stable during the period when ambient air quality improved substantially. Risks of established airborne carcinogens may have been important in the past but not under current conditions. Radon can be important. Air pollution-lung cancer risks should be evaluated jointly with smoking risks but are sensitive to their accuracy. When cumulative exposures to conventional air pollutants are considered rather than concurrent, the applicable risk estimates may decrease by an order of magnitude and abatement benefits will not be readily apparent. Most of the recent cross-sectional studies of lung cancer and regulated air pollutants did not consider latency, duration of exposure, or established carcinogens and their findings have been misinterpreted. Effects of smoking on LCM are now well established as are the spatial distributions of ambient air pollution; however, linkages among the three parameters remain uncertain.","container-title":"Critical Reviews in Toxicology","DOI":"10.1080/10408444.2019.1700210","ISSN":"1040-8444","issue":"9","note":"publisher: Taylor &amp; Francis\n_eprint: https://doi.org/10.1080/10408444.2019.1700210\nPMID: 31985340","page":"790-818","source":"Taylor and Francis+NEJM","title":"Longitudinal relationships between lung cancer mortality rates, smoking, and ambient air quality: a comprehensive review and analysis","title-short":"Longitudinal relationships between lung cancer mortality rates, smoking, and ambient air quality","volume":"49","author":[{"family":"Lipfert","given":"Frederick W."},{"family":"Wyzga","given":"Ronald E."}],"issued":{"date-parts":[["2019",10,21]]}}}],"schema":"https://github.com/citation-style-language/schema/raw/master/csl-citation.json"} </w:instrText>
      </w:r>
      <w:r w:rsidR="00174E1E">
        <w:fldChar w:fldCharType="separate"/>
      </w:r>
      <w:r w:rsidR="006277A6" w:rsidRPr="006277A6">
        <w:t>(Lipfert &amp; Wyzga, 2019)</w:t>
      </w:r>
      <w:r w:rsidR="00174E1E">
        <w:fldChar w:fldCharType="end"/>
      </w:r>
      <w:r>
        <w:t>.</w:t>
      </w:r>
    </w:p>
    <w:p w:rsidR="004212E0" w:rsidRDefault="004212E0" w:rsidP="004212E0">
      <w:pPr>
        <w:pStyle w:val="NormalWeb"/>
      </w:pPr>
      <w:r>
        <w:t>Despite methodological advances, significant challenges remain. Exposure misclassification, missing data, and uncertainty in historical exposure estimates persist across all assessment strategies. Changes in chemical formulations, regulatory restrictions, and farming practices over time further complicate longitudinal modeling. National data resources, including cancer surveillance and exposure datasets supported by the National Cancer Institute, play a critical role in strengthening exposure assessment by enabling data linkage and validation. Ultimately, predictive modeling depends not only on advanced algorithms but also on the quality and integration of exposure data, underscoring the need for continued refinement of agrochemical exposure assessment methods in agricultural health research</w:t>
      </w:r>
      <w:r w:rsidR="00174E1E">
        <w:fldChar w:fldCharType="begin"/>
      </w:r>
      <w:r w:rsidR="006277A6">
        <w:instrText xml:space="preserve"> ADDIN ZOTERO_ITEM CSL_CITATION {"citationID":"79awbcTx","properties":{"formattedCitation":"(Bongers et al., 2008)","plainCitation":"(Bongers et al., 2008)","noteIndex":0},"citationItems":[{"id":13204,"uris":["http://zotero.org/users/16652950/items/7USVFQMC"],"itemData":{"id":13204,"type":"article-journal","abstract":"Exposure assessment during and after acute chemical incidents and disasters is essential for health studies that may follow. During chemical incidents, the focus usually lies on risk assessment and afterward attention shifts toward possible (long-term) health effects. This may lead to insufficient available data on exposure to study the association between exposure and health outcome, and collection of additional exposure data is often required. Literature on health studies conducted after several chemical incidents was reviewed to obtain better insight on the needs of health studies. Four different types of scenarios were distinguished based on when exposure data were collected and the exposure data used for health studies. These four scenarios gave insight on exposure data needed for conclusive health studies and when different methods of exposure data collection should be used. Literature indicated that adequate and rapid exposure assessment during chemical incidents is vital for health studies, because data that are not collected during or directly after an incident may be irretrievably lost. Poor exposure assessment is not always the only problem in health studies. Problems in health studies including poor exposure assessment may be prevented when the general design and needs of health studies are taken into account when designing contingency plans. Together with measures that will help facilitate funding, design, and coordination of health studies, disaster management programs should, among others, prepare for methods that lead to a swift identification of released substances, determination of concentrations and dispersion of released substances, designing basic questionnaire outlines, and rapid evaluation of the usefulness and necessity of employing biological sampling.","container-title":"Journal of Exposure Science &amp; Environmental Epidemiology","DOI":"10.1038/jes.2008.23","ISSN":"1559-064X","issue":"4","journalAbbreviation":"J Expo Sci Environ Epidemiol","language":"en","license":"2008 Springer Nature America, Inc.","note":"publisher: Nature Publishing Group","page":"341-359","source":"www.nature.com","title":"Challenges of exposure assessment for health studies in the aftermath of chemical incidents and disasters","volume":"18","author":[{"family":"Bongers","given":"Sim"},{"family":"Janssen","given":"Nicole A. H."},{"family":"Reiss","given":"B."},{"family":"Grievink","given":"L."},{"family":"Lebret","given":"E."},{"family":"Kromhout","given":"H."}],"issued":{"date-parts":[["2008",7]]}}}],"schema":"https://github.com/citation-style-language/schema/raw/master/csl-citation.json"} </w:instrText>
      </w:r>
      <w:r w:rsidR="00174E1E">
        <w:fldChar w:fldCharType="separate"/>
      </w:r>
      <w:r w:rsidR="006277A6" w:rsidRPr="006277A6">
        <w:t>(Bongers et al., 2008)</w:t>
      </w:r>
      <w:r w:rsidR="00174E1E">
        <w:fldChar w:fldCharType="end"/>
      </w:r>
      <w:r>
        <w:t>.</w:t>
      </w:r>
    </w:p>
    <w:p w:rsidR="004212E0" w:rsidRDefault="004212E0" w:rsidP="004212E0">
      <w:pPr>
        <w:pStyle w:val="Heading2"/>
        <w:numPr>
          <w:ilvl w:val="0"/>
          <w:numId w:val="2"/>
        </w:numPr>
      </w:pPr>
      <w:r>
        <w:t>Predictive Modeling Approaches in the Literature</w:t>
      </w:r>
    </w:p>
    <w:p w:rsidR="004212E0" w:rsidRDefault="004212E0" w:rsidP="004212E0">
      <w:pPr>
        <w:pStyle w:val="Heading2"/>
      </w:pPr>
      <w:r>
        <w:t>Traditional Statistical Models</w:t>
      </w:r>
    </w:p>
    <w:p w:rsidR="004212E0" w:rsidRDefault="004212E0" w:rsidP="004212E0">
      <w:pPr>
        <w:pStyle w:val="NormalWeb"/>
      </w:pPr>
      <w:r>
        <w:lastRenderedPageBreak/>
        <w:t xml:space="preserve">Traditional statistical models remain widely used in studies examining agrochemical exposure and cancer risk among farming populations. Regression-based approaches, particularly logistic regression, have been commonly applied to estimate cancer risk as a function of exposure intensity, duration, or cumulative metrics. These models allow investigators to quantify associations between specific agrochemicals or exposure categories and cancer outcomes while adjusting for known confounders such as age, smoking status, and farm characteristics. Linear and generalized linear models have also been used to construct risk scores that summarize exposure-related cancer susceptibility across </w:t>
      </w:r>
      <w:proofErr w:type="gramStart"/>
      <w:r>
        <w:t>individuals</w:t>
      </w:r>
      <w:r w:rsidR="00942314" w:rsidRPr="00942314">
        <w:t>(</w:t>
      </w:r>
      <w:proofErr w:type="gramEnd"/>
      <w:r w:rsidR="00942314" w:rsidRPr="00942314">
        <w:t>Cavalier et al., 2023; Gerken et al., 2024)</w:t>
      </w:r>
    </w:p>
    <w:p w:rsidR="004212E0" w:rsidRDefault="004212E0" w:rsidP="004212E0">
      <w:pPr>
        <w:pStyle w:val="NormalWeb"/>
      </w:pPr>
      <w:r>
        <w:t>Survival analysis approaches, most notably Cox proportional hazards models, are especially well suited for agricultural cohort studies that involve long follow-up periods and time-to-event outcomes. These models accommodate censoring and enable estimation of hazard ratios associated with time-dependent exposure variables. Extensions of survival models, including stratified and extended Cox models, have been employed to account for latency periods and changing exposure patterns over time. In the context of cancer risk, survival models provide a natural framework for aligning exposure windows with disease onset.</w:t>
      </w:r>
    </w:p>
    <w:p w:rsidR="004212E0" w:rsidRDefault="004212E0" w:rsidP="004212E0">
      <w:pPr>
        <w:pStyle w:val="NormalWeb"/>
      </w:pPr>
      <w:r>
        <w:t>The principal strength of traditional statistical models lies in their interpretability and inferential capacity. Parameter estimates are directly interpretable, facilitating etiologic insight and communication of results to regulators and public health practitioners. These models also allow for hypothesis testing and formal assessment of uncertainty. However, their reliance on predefined functional forms and assumptions of linearity or proportional hazards may limit their ability to capture complex exposure–response relationships inherent to agrochemical exposures.</w:t>
      </w:r>
    </w:p>
    <w:p w:rsidR="004212E0" w:rsidRPr="004212E0" w:rsidRDefault="004212E0" w:rsidP="004212E0">
      <w:pPr>
        <w:pStyle w:val="NormalWeb"/>
        <w:rPr>
          <w:b/>
        </w:rPr>
      </w:pPr>
      <w:r w:rsidRPr="004212E0">
        <w:rPr>
          <w:b/>
        </w:rPr>
        <w:t>4.1 Machine Learning and Hybrid Models</w:t>
      </w:r>
    </w:p>
    <w:p w:rsidR="004212E0" w:rsidRDefault="004212E0" w:rsidP="004212E0">
      <w:pPr>
        <w:pStyle w:val="NormalWeb"/>
      </w:pPr>
      <w:r>
        <w:t>In response to these limitations, machine learning methods have gained increasing attention in the agricultural cancer risk literature. Tree-based models, including random forests and gradient boosting machines, are particularly popular due to their ability to model non-linear relationships and high-order interactions without explicit specification. These methods can accommodate large numbers of correlated exposure variables and have demonstrated improved predictive performance in settings with complex exposure profiles.</w:t>
      </w:r>
    </w:p>
    <w:p w:rsidR="004212E0" w:rsidRDefault="004212E0" w:rsidP="004212E0">
      <w:pPr>
        <w:pStyle w:val="NormalWeb"/>
      </w:pPr>
      <w:r>
        <w:t>Neural networks and deep learning architectures have been explored to a lesser extent but offer potential advantages when integrating high-dimensional data sources such as geospatial exposure metrics, temporal application records, and biomarker data. Bayesian models provide another flexible framework by incorporating prior information and explicitly modeling uncertainty, which is especially valuable in exposure scenarios characterized by incomplete or noisy data. Ensemble approaches that combine multiple modeling techniques have also been used to enhance robustness and predictive accuracy.</w:t>
      </w:r>
    </w:p>
    <w:p w:rsidR="004212E0" w:rsidRDefault="004212E0" w:rsidP="004212E0">
      <w:pPr>
        <w:pStyle w:val="NormalWeb"/>
      </w:pPr>
      <w:r>
        <w:t xml:space="preserve">Despite their strengths, machine learning and hybrid models present important trade-offs. While these approaches often outperform traditional models in terms of predictive accuracy, they are frequently criticized for limited transparency and interpretability. The “black box” nature of some algorithms complicates efforts to identify specific causal drivers of cancer risk and may </w:t>
      </w:r>
      <w:r>
        <w:lastRenderedPageBreak/>
        <w:t>hinder acceptance among stakeholders who prioritize explanatory insight. Recent efforts to incorporate explainable artificial intelligence techniques have begun to address these concerns, but widespread adoption remains limited</w:t>
      </w:r>
      <w:r w:rsidR="00174E1E">
        <w:fldChar w:fldCharType="begin"/>
      </w:r>
      <w:r w:rsidR="00A61AA0">
        <w:instrText xml:space="preserve"> ADDIN ZOTERO_ITEM CSL_CITATION {"citationID":"xGxb8klD","properties":{"formattedCitation":"(Dublino &amp; Ercolano, 2025; Enabulele et al., 2025; Pennisi et al., 2025)","plainCitation":"(Dublino &amp; Ercolano, 2025; Enabulele et al., 2025; Pennisi et al., 2025)","noteIndex":0},"citationItems":[{"id":13208,"uris":["http://zotero.org/users/16652950/items/TCENMICS"],"itemData":{"id":13208,"type":"article-journal","abstract":"Artificial intelligence (AI) has transformed agricultural genetics, especially in the context of crop improvement strategies. Traditional breeding faces challenges such as polyploidy, high level of genomic heterogeneity, and complex gene-trait associations. By combining multi-omics data researchers learn more about the genetic and molecular basis of important agricultural traits. However, statistical methods are often insufficient to address the data complexity. By contrast, AI techniques, such as machine learning (ML) and deep learning (DL), are emerging as powerful tools to explore complexity. Algorithms such as random forests (RF) and support vector machines (SVM) can support genomic selection (GS) and trait value prediction. Furthermore, DL models such as convolutional neural networks (CNN) and long short-term memory networks (LSTM) dominate high-throughput phenotyping and time series analyses, providing accurate predictions for crop yield, disease resistance, and genotype adaptation. Large language models (LLMs) are able to integrate complex omics data. AI models can analyze large dataset, generated by genomics, transcriptomics, proteomics, metabolomics, and phenomic applications because algorithms can combine different inputs, such as DNA sequences, gene expression profiles, protein–protein interaction networks, metabolite concentrations, and phenotypic data under specific environmental conditions. The integration of individual models can improve prediction accuracy by reducing resource inputs and automating labor-intensive tasks involved in breeding programs. Some recent AI methods, such as gradient boosting machines (GBMs) and Transformer models, are increasingly being used to improve scalability and accuracy of predictive analytics. This review summarizes major advances in AI applications in agricultural genetics, highlighting the strengths and limitations of different ML and DL models and their role in integrating complex datasets. The study highlights the importance of artificial intelligence in understanding genomic complexity and promoting the development of innovative methods to improve crop performance.","container-title":"The Crop Journal","DOI":"10.1016/j.cj.2025.05.008","ISSN":"2214-5141","issue":"5","journalAbbreviation":"The Crop Journal","page":"1350-1362","source":"ScienceDirect","title":"Artificial intelligence redefines agricultural genetics by unlocking the enigma of genomic complexity","volume":"13","author":[{"family":"Dublino","given":"Rita"},{"family":"Ercolano","given":"Maria"}],"issued":{"date-parts":[["2025",10,1]]}}},{"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174E1E">
        <w:fldChar w:fldCharType="separate"/>
      </w:r>
      <w:r w:rsidR="00A61AA0" w:rsidRPr="00A61AA0">
        <w:t>(Dublino &amp; Ercolano, 2025; Enabulele et al., 2025; Pennisi et al., 2025)</w:t>
      </w:r>
      <w:r w:rsidR="00174E1E">
        <w:fldChar w:fldCharType="end"/>
      </w:r>
      <w:r>
        <w:t>.</w:t>
      </w:r>
    </w:p>
    <w:p w:rsidR="004212E0" w:rsidRPr="004212E0" w:rsidRDefault="004212E0" w:rsidP="004212E0">
      <w:pPr>
        <w:pStyle w:val="NormalWeb"/>
        <w:rPr>
          <w:b/>
        </w:rPr>
      </w:pPr>
      <w:r w:rsidRPr="004212E0">
        <w:rPr>
          <w:b/>
        </w:rPr>
        <w:t>4.</w:t>
      </w:r>
      <w:proofErr w:type="gramStart"/>
      <w:r w:rsidRPr="004212E0">
        <w:rPr>
          <w:b/>
        </w:rPr>
        <w:t>2.Model</w:t>
      </w:r>
      <w:proofErr w:type="gramEnd"/>
      <w:r w:rsidRPr="004212E0">
        <w:rPr>
          <w:b/>
        </w:rPr>
        <w:t xml:space="preserve"> Evaluation and Validation</w:t>
      </w:r>
    </w:p>
    <w:p w:rsidR="004212E0" w:rsidRDefault="004212E0" w:rsidP="004212E0">
      <w:pPr>
        <w:pStyle w:val="NormalWeb"/>
      </w:pPr>
      <w:r>
        <w:t>Across modeling approaches, rigorous evaluation and validation are essential to ensure reliability and generalizability. Common performance metrics include measures of discrimination such as the area under the receiver operating characteristic curve, as well as calibration metrics that assess agreement between predicted and observed risks. Sensitivity, specificity, and predictive values are frequently reported, particularly in models intended for risk stratification.</w:t>
      </w:r>
    </w:p>
    <w:p w:rsidR="004212E0" w:rsidRDefault="004212E0" w:rsidP="004212E0">
      <w:pPr>
        <w:pStyle w:val="NormalWeb"/>
      </w:pPr>
      <w:r>
        <w:t>Most studies rely on internal validation techniques, including cross-validation or bootstrapping, to assess model stability and reduce overfitting. However, external validation using independent populations or datasets remains relatively rare in the agrochemical exposure literature. The absence of external validation raises concerns regarding transportability, as models developed in specific geographic or occupational contexts may not perform equivalently in other farming populations.</w:t>
      </w:r>
    </w:p>
    <w:p w:rsidR="004212E0" w:rsidRDefault="004212E0" w:rsidP="004212E0">
      <w:pPr>
        <w:pStyle w:val="NormalWeb"/>
      </w:pPr>
      <w:r>
        <w:t>Overfitting represents a persistent challenge, particularly in machine learning models applied to modest sample sizes or rare cancer outcomes. Without careful tuning and validation, models may capture noise rather than meaningful exposure–risk relationships. As predictive modeling continues to evolve in this field, greater emphasis on transparent reporting, external validation, and assessment of model transportability will be critical for translating predictive insights into effective occupational health applications</w:t>
      </w:r>
      <w:r w:rsidR="00174E1E">
        <w:fldChar w:fldCharType="begin"/>
      </w:r>
      <w:r w:rsidR="00A61AA0">
        <w:instrText xml:space="preserve"> ADDIN ZOTERO_ITEM CSL_CITATION {"citationID":"JKcrbqlz","properties":{"formattedCitation":"(Elechi et al., 2025; Kwarah et al., 2025)","plainCitation":"(Elechi et al., 2025; Kwarah et al., 2025)","noteIndex":0},"citationItems":[{"id":13065,"uris":["http://zotero.org/users/16652950/items/Y8WXZNDM"],"itemData":{"id":13065,"type":"article-journal","abstract":"Heart-failure decompensation often evolves between visits, driving recurrent admissions and cost. Multi-sensor wearables, adhesive patches, smart watches, and garments capture electrocardiography, thoracic impedance, photoplethysmography, respiration, activity, and speech for near-real-time review. Evidence synthesis indicates two signals. First, integrated telemonitoring, combined with structured clinical intervention during the post-discharge vulnerable phase, reduces cardiovascular events and heart failure hospitalisations in randomised programmes. Second, device-level performance metrics (lead time, alert burden, detection accuracy) demonstrate early warning capability but do not alone establish outcome benefit. Implantable multi-sensor algorithms offer a median lead time of approximately one month, accompanied by manageable alert rates. External systems that estimate lung fluid or fuse wearable signals demonstrate promising feasibility, although large pragmatic trials remain limited. Consumer smartwatches achieve high accuracy for detection of atrial fibrillation in general population; however, evidence is lacking for detection of heart failure decompensation, or for improving the outcome. Key implementation issues include AI-validation, workflow-linked triage, cost-effectiveness, cybersecurity, and equitable access for low- and middle-income settings. Multi-sensor monitoring warrants targeted deployment within intervention pathways and rigorous evaluation focused on patient-important outcomes.","container-title":"The Indian Journal of Medical Research","DOI":"10.25259/IJMR_1617_2025","ISSN":"0971-5916","issue":"4","journalAbbreviation":"Indian J Med Res","language":"eng","note":"PMID: 41454822\nPMCID: PMC12744564","page":"471-478","source":"PubMed","title":"Multi-sensor wearables re-shaping care of chronic heart-failure: A narrative review","title-short":"Multi-sensor wearables re-shaping care of chronic heart-failure","volume":"162","author":[{"family":"Elechi","given":"Ubalaeze Solomon"},{"family":"Udoh","given":"Kuseme"},{"family":"Orobator","given":"Enibokun Theresa"},{"family":"Demola","given":"Muhammad Bello"},{"family":"Tarawallie","given":"Mohamed Albert"},{"family":"Lawal","given":"Olabisi Promise"}],"issued":{"date-parts":[["2025",10]]}}},{"id":13211,"uris":["http://zotero.org/users/16652950/items/G7RX2IPR"],"itemData":{"id":13211,"type":"article-journal","abstract":"Background\nHIV treatment interruption remains a significant barrier to achieving global HIV/AIDS control goals. Machine learning (ML) models offer potential for predicting treatment interruption by leveraging large clinical data. Understanding how these models were developed, validated, and applied remains essential for advancing research.\n\nMethods\nWe searched databases including the PubMed, BMC, Cochrane Library, Scopus, ScienceDirect, Lancet, and Google Scholar, for studies published in English from 1990 to September 2024. Search terms covered HIV, machine learning, treatment interruption, and loss to follow-up. Articles were screened and reviewed independently, and data were extracted using the CHecklist for critical Appraisal and data extraction for systematic Reviews of prediction Modelling Studies (CHARMS) tool. Risk of bias was assessed with Prediction model Risk Of Bias Assessment Tool (PROBAST). The Preferred Reporting Items for Systematic reviews and Meta-analysis (PRISMA) guidelines were followed throughout.\n\nResults\nOut of 116,672 records, 9 studies met the inclusion criteria and reported 12 ML models. Random Forest, XGBoost, and AdaBoost were predominant models (91.7%). Internal validation was performed in all models, but only two models included external validation. Performance varied, with a mean area under the receiver operating characteristic curve (AUC-ROC) of 0.668 (standard deviation (SD) = 0.066), indicating moderate discrimination. About 75% of models showed a high risk of bias due to inadequate handling of missing data, lack of calibration, and the absence of decision curve analysis (DCA).\n\nConclusions\nML models show promise for predicting HIV treatment interruption, particularly in resource-limited settings. Future research should prioritize external validation, robust missing data handling, and decision curve analysis and include sociocultural predictors to improve model robustness.\n\nSystematic review registration\nPROSPERO CRD42024578109.\n\nSupplementary Information\nThe online version contains supplementary material available at 10.1186/s44263-025-00184-4.","container-title":"BMC Global and Public Health","DOI":"10.1186/s44263-025-00184-4","ISSN":"2731-913X","journalAbbreviation":"BMC Glob Public Health","note":"PMID: 40707983\nPMCID: PMC12288308","page":"64","source":"PubMed Central","title":"Evaluating predictive performance, validity, and applicability of machine learning models for predicting HIV treatment interruption: a systematic review","title-short":"Evaluating predictive performance, validity, and applicability of machine learning models for predicting HIV treatment interruption","volume":"3","author":[{"family":"Kwarah","given":"Williams"},{"family":"Vroom","given":"Frances Baaba","dropping-particle":"da-Costa"},{"family":"Dwomoh","given":"Duah"},{"family":"Bosomprah","given":"Samuel"}],"issued":{"date-parts":[["2025",7,24]]}}}],"schema":"https://github.com/citation-style-language/schema/raw/master/csl-citation.json"} </w:instrText>
      </w:r>
      <w:r w:rsidR="00174E1E">
        <w:fldChar w:fldCharType="separate"/>
      </w:r>
      <w:r w:rsidR="00A61AA0" w:rsidRPr="00A61AA0">
        <w:t>(Elechi et al., 2025; Kwarah et al., 2025)</w:t>
      </w:r>
      <w:r w:rsidR="00174E1E">
        <w:fldChar w:fldCharType="end"/>
      </w:r>
      <w:r>
        <w:t>.</w:t>
      </w:r>
    </w:p>
    <w:p w:rsidR="009F6B31" w:rsidRDefault="009F6B31" w:rsidP="009F6B31">
      <w:pPr>
        <w:pStyle w:val="Heading2"/>
        <w:numPr>
          <w:ilvl w:val="0"/>
          <w:numId w:val="2"/>
        </w:numPr>
      </w:pPr>
      <w:r>
        <w:t>Cancer Outcomes Modeled in Agricultural Populations</w:t>
      </w:r>
    </w:p>
    <w:p w:rsidR="009F6B31" w:rsidRDefault="009F6B31" w:rsidP="009F6B31">
      <w:pPr>
        <w:pStyle w:val="NormalWeb"/>
      </w:pPr>
      <w:r>
        <w:t>Predictive modeling studies of agrochemical exposure in agricultural populations have examined a range of cancer outcomes, with emphasis placed on malignancies that have shown consistent associations with farming-related exposures in epidemiologic research. Hematologic cancers, including non-Hodgkin lymphoma, leukemia, and multiple myeloma, are among the most frequently modeled outcomes. These cancers are often prioritized because of their established links to pesticide exposure and their relatively shorter latency periods compared with many solid tumors. In addition, prostate cancer has received substantial attention in predictive models due to its elevated incidence among male farmers and its potential sensitivity to hormonally active agrochemicals</w:t>
      </w:r>
      <w:r w:rsidR="00174E1E">
        <w:fldChar w:fldCharType="begin"/>
      </w:r>
      <w:r w:rsidR="009D07E0">
        <w:instrText xml:space="preserve"> ADDIN ZOTERO_ITEM CSL_CITATION {"citationID":"jJPO8KN6","properties":{"formattedCitation":"(Cavalier et al., 2023)","plainCitation":"(Cavalier et al., 2023)","noteIndex":0},"citationItems":[{"id":13214,"uris":["http://zotero.org/users/16652950/items/UZDWVCPX"],"itemData":{"id":13214,"type":"article-journal","abstract":"Knowledge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cancer","volume":"152","author":[{"family":"Cavalier","given":"Haleigh"},{"family":"Trasande","given":"Leonardo"},{"family":"Porta","given":"Miquel"}],"issued":{"date-parts":[["2023"]]}}}],"schema":"https://github.com/citation-style-language/schema/raw/master/csl-citation.json"} </w:instrText>
      </w:r>
      <w:r w:rsidR="00174E1E">
        <w:fldChar w:fldCharType="separate"/>
      </w:r>
      <w:r w:rsidR="009D07E0" w:rsidRPr="009D07E0">
        <w:t>(Cavalier et al., 2023)</w:t>
      </w:r>
      <w:r w:rsidR="00174E1E">
        <w:fldChar w:fldCharType="end"/>
      </w:r>
      <w:r>
        <w:t>.</w:t>
      </w:r>
    </w:p>
    <w:p w:rsidR="009F6B31" w:rsidRDefault="009F6B31" w:rsidP="009F6B31">
      <w:pPr>
        <w:pStyle w:val="NormalWeb"/>
      </w:pPr>
      <w:r>
        <w:t>Several solid tumors, including cancers of the lung, colon, bladder, and skin, have also been incorporated into predictive modeling frameworks, although findings are more heterogeneous. In some cases, elevated risks are observed only within specific exposure subgroups or in relation to particular chemical classes. The inclusion of multiple cancer sites within a single modeling framework reflects an effort to capture the broad carcinogenic potential of agrochemical exposures while acknowledging that risk may vary substantially by tissue type and biological mechanism</w:t>
      </w:r>
      <w:r w:rsidR="00174E1E">
        <w:fldChar w:fldCharType="begin"/>
      </w:r>
      <w:r w:rsidR="009D07E0">
        <w:instrText xml:space="preserve"> ADDIN ZOTERO_ITEM CSL_CITATION {"citationID":"rUCeLts2","properties":{"formattedCitation":"(Proietto et al., 2023)","plainCitation":"(Proietto et al., 2023)","noteIndex":0},"citationItems":[{"id":13217,"uris":["http://zotero.org/users/16652950/items/VXQCK38J"],"itemData":{"id":13217,"type":"article-journal","abstract":"Heterogeneity describes the differences among cancer cells within and between tumors. It refers to cancer cells describing variations in morphology, transcriptional profiles, metabolism, and metastatic potential. More recently, the field has included the characterization of the tumor immune microenvironment and the depiction of the dynamics underlying the cellular interactions promoting the tumor ecosystem evolution. Heterogeneity has been found in most tumors representing one of the most challenging behaviors in cancer ecosystems. As one of the critical factors impairing the long-term efficacy of solid tumor therapy, heterogeneity leads to tumor resistance, more aggressive metastasizing, and recurrence. We review the role of the main models and the emerging single-cell and spatial genomic technologies in our understanding of tumor heterogeneity, its contribution to lethal cancer outcomes, and the physiological challenges to consider in designing cancer therapies. We highlight how tumor cells dynamically evolve because of the interactions within the tumor immune microenvironment and how to leverage this to unleash immune recognition through immunotherapy. A multidisciplinary approach grounded in novel bioinformatic and computational tools will allow reaching the integrated, multilayered knowledge of tumor heterogeneity required to implement personalized, more efficient therapies urgently required for cancer patients.","container-title":"Frontiers in Oncology","DOI":"10.3389/fonc.2023.1164535","ISSN":"2234-943X","journalAbbreviation":"Front Oncol","note":"PMID: 37188201\nPMCID: PMC10175698","page":"1164535","source":"PubMed Central","title":"Tumor heterogeneity: preclinical models, emerging technologies, and future applications","title-short":"Tumor heterogeneity","volume":"13","author":[{"family":"Proietto","given":"Marco"},{"family":"Crippa","given":"Martina"},{"family":"Damiani","given":"Chiara"},{"family":"Pasquale","given":"Valentina"},{"family":"Sacco","given":"Elena"},{"family":"Vanoni","given":"Marco"},{"family":"Gilardi","given":"Mara"}],"issued":{"date-parts":[["2023",4,28]]}}}],"schema":"https://github.com/citation-style-language/schema/raw/master/csl-citation.json"} </w:instrText>
      </w:r>
      <w:r w:rsidR="00174E1E">
        <w:fldChar w:fldCharType="separate"/>
      </w:r>
      <w:r w:rsidR="009D07E0" w:rsidRPr="009D07E0">
        <w:t>(Proietto et al., 2023)</w:t>
      </w:r>
      <w:r w:rsidR="00174E1E">
        <w:fldChar w:fldCharType="end"/>
      </w:r>
      <w:r>
        <w:t>.</w:t>
      </w:r>
    </w:p>
    <w:p w:rsidR="009F6B31" w:rsidRDefault="009F6B31" w:rsidP="009F6B31">
      <w:pPr>
        <w:pStyle w:val="NormalWeb"/>
      </w:pPr>
      <w:r>
        <w:lastRenderedPageBreak/>
        <w:t>A key distinction in the literature lies between site-specific cancer models and those that examine overall cancer incidence or mortality. Site-specific models allow for greater etiologic precision and may improve predictive performance by focusing on cancers with clearer exposure–response relationships. However, these models often face challenges related to limited case numbers, particularly for rare cancers, which can constrain statistical power and increase susceptibility to overfitting. In contrast, models of overall cancer risk benefit from larger event counts and improved stability but may obscure important heterogeneity across cancer types and exposure pathways</w:t>
      </w:r>
      <w:r w:rsidR="00174E1E">
        <w:fldChar w:fldCharType="begin"/>
      </w:r>
      <w:r w:rsidR="009D07E0">
        <w:instrText xml:space="preserve"> ADDIN ZOTERO_ITEM CSL_CITATION {"citationID":"ebT7yIwu","properties":{"formattedCitation":"(Pennisi et al., 2025)","plainCitation":"(Pennisi et al., 2025)","noteIndex":0},"citationItems":[{"id":13184,"uris":["http://zotero.org/users/16652950/items/KIELDM6P"],"itemData":{"id":13184,"type":"article-journal","abstract":"Introduction\nPredictive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174E1E">
        <w:fldChar w:fldCharType="separate"/>
      </w:r>
      <w:r w:rsidR="009D07E0" w:rsidRPr="009D07E0">
        <w:t>(Pennisi et al., 2025)</w:t>
      </w:r>
      <w:r w:rsidR="00174E1E">
        <w:fldChar w:fldCharType="end"/>
      </w:r>
      <w:r>
        <w:t>.</w:t>
      </w:r>
    </w:p>
    <w:p w:rsidR="009F6B31" w:rsidRDefault="009F6B31" w:rsidP="009F6B31">
      <w:pPr>
        <w:pStyle w:val="NormalWeb"/>
      </w:pPr>
      <w:r>
        <w:t>Latency and exposure window specification represent persistent challenges in modeling cancer outcomes in agricultural populations. Many cancers develop long after initial exposure, necessitating assumptions about relevant exposure periods and lag times. Predictive models vary widely in their treatment of latency, with some incorporating fixed lag periods and others using time-varying exposure metrics to better align exposure history with disease development. Inadequate consideration of latency can lead to exposure misclassification and attenuated risk estimates.</w:t>
      </w:r>
    </w:p>
    <w:p w:rsidR="009F6B31" w:rsidRDefault="009F6B31" w:rsidP="009F6B31">
      <w:pPr>
        <w:pStyle w:val="NormalWeb"/>
      </w:pPr>
      <w:r>
        <w:t>Model performance also appears to vary by cancer outcome. Predictive accuracy is generally higher for cancers with stronger and more consistent associations with agrochemical exposure, such as hematologic malignancies, compared with cancers influenced by a broader range of behavioral and environmental factors. These differences underscore the importance of outcome-specific modeling strategies and highlight the need for cautious interpretation of predictive results across diverse cancer types in agricultural health research</w:t>
      </w:r>
      <w:r w:rsidR="00174E1E">
        <w:fldChar w:fldCharType="begin"/>
      </w:r>
      <w:r w:rsidR="00130FEB">
        <w:instrText xml:space="preserve"> ADDIN ZOTERO_ITEM CSL_CITATION {"citationID":"4q5oEZR1","properties":{"formattedCitation":"(Little et al., 2024)","plainCitation":"(Little et al., 2024)","noteIndex":0},"citationItems":[{"id":13220,"uris":["http://zotero.org/users/16652950/items/KYBQNGDB"],"itemData":{"id":13220,"type":"article-journal","abstract":"Background\nIn estimating radiation-associated cancer risks a fixed period for the minimum latency is often assumed. Two empirical latency functions have been used to model latency, continuously increasing from 0. A stochastic biologically-based approach yields a still more plausible way of describing latency and can be directly estimated from clinical data.\n\nMethods\nWe derived the parameters for a stochastic biologically-based model from tumour growth data for various cancers, and least-squares fitted the two types of empirical latency function to the stochastic model-predicted cumulative probability.\n\nResults\nThere is wide variation in growth rates among tumours, particularly slow for prostate and thyroid cancer and particularly fast for leukaemia. The slow growth rate for prostate and thyroid tumours implies that the number of tumour cells required for clinical detection cannot greatly exceed 106. For all tumours, both empirical latency functions closely approximated the predicted biological model cumulative probability.\n\nConclusions\nOur results, illustrating use of a stochastic biologically-based model using clinical data not tied to any particular carcinogen, have implications for estimating latency associated with any mutagen. They apply to tumour growth in general, and may be useful for example, in planning screenings for cancer using imaging techniques.","container-title":"British Journal of Cancer","DOI":"10.1038/s41416-023-02544-z","ISSN":"0007-0920","issue":"5","journalAbbreviation":"Br J Cancer","note":"PMID: 38212483\nPMCID: PMC10912293","page":"819-829","source":"PubMed Central","title":"Minimum latency effects for cancer associated with exposures to radiation or other carcinogens","volume":"130","author":[{"family":"Little","given":"Mark P."},{"family":"Eidemüller","given":"Markus"},{"family":"Kaiser","given":"J. Christian"},{"family":"Apostoaei","given":"A. Iulian"}],"issued":{"date-parts":[["2024",3,23]]}}}],"schema":"https://github.com/citation-style-language/schema/raw/master/csl-citation.json"} </w:instrText>
      </w:r>
      <w:r w:rsidR="00174E1E">
        <w:fldChar w:fldCharType="separate"/>
      </w:r>
      <w:r w:rsidR="00130FEB" w:rsidRPr="00130FEB">
        <w:t>(Little et al., 2024)</w:t>
      </w:r>
      <w:r w:rsidR="00174E1E">
        <w:fldChar w:fldCharType="end"/>
      </w:r>
      <w:r>
        <w:t>.</w:t>
      </w:r>
    </w:p>
    <w:p w:rsidR="009F6B31" w:rsidRDefault="009F6B31" w:rsidP="009F6B31">
      <w:pPr>
        <w:pStyle w:val="Heading2"/>
        <w:numPr>
          <w:ilvl w:val="0"/>
          <w:numId w:val="2"/>
        </w:numPr>
      </w:pPr>
      <w:r>
        <w:t>Synthesis of Key Findings</w:t>
      </w:r>
    </w:p>
    <w:p w:rsidR="009F6B31" w:rsidRDefault="009F6B31" w:rsidP="009F6B31">
      <w:pPr>
        <w:pStyle w:val="NormalWeb"/>
      </w:pPr>
      <w:r>
        <w:t>Across the literature, predictive modeling studies consistently indicate that agrochemical exposure is associated with elevated cancer risk among U.S. farmers, although the strength and specificity of these associations vary by chemical class, cancer type, and modeling approach. Patterns emerging from these studies suggest that cumulative and long-term exposures are more strongly predictive of cancer risk than short-term or binary exposure indicators. Models that incorporate duration, intensity, and frequency of agrochemical use tend to identify clearer exposure–risk relationships, reinforcing the importance of capturing lifetime exposure trajectories in agricultural populations</w:t>
      </w:r>
      <w:r w:rsidR="00174E1E">
        <w:fldChar w:fldCharType="begin"/>
      </w:r>
      <w:r w:rsidR="00130FEB">
        <w:instrText xml:space="preserve"> ADDIN ZOTERO_ITEM CSL_CITATION {"citationID":"PJKEqkUA","properties":{"formattedCitation":"(Cavalier et al., 2023)","plainCitation":"(Cavalier et al., 2023)","noteIndex":0},"citationItems":[{"id":13214,"uris":["http://zotero.org/users/16652950/items/UZDWVCPX"],"itemData":{"id":13214,"type":"article-journal","abstract":"Knowledge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cancer","volume":"152","author":[{"family":"Cavalier","given":"Haleigh"},{"family":"Trasande","given":"Leonardo"},{"family":"Porta","given":"Miquel"}],"issued":{"date-parts":[["2023"]]}}}],"schema":"https://github.com/citation-style-language/schema/raw/master/csl-citation.json"} </w:instrText>
      </w:r>
      <w:r w:rsidR="00174E1E">
        <w:fldChar w:fldCharType="separate"/>
      </w:r>
      <w:r w:rsidR="00130FEB" w:rsidRPr="00130FEB">
        <w:t>(Cavalier et al., 2023)</w:t>
      </w:r>
      <w:r w:rsidR="00174E1E">
        <w:fldChar w:fldCharType="end"/>
      </w:r>
      <w:r>
        <w:t>.</w:t>
      </w:r>
    </w:p>
    <w:p w:rsidR="009F6B31" w:rsidRDefault="009F6B31" w:rsidP="009F6B31">
      <w:pPr>
        <w:pStyle w:val="NormalWeb"/>
      </w:pPr>
      <w:r>
        <w:t>Certain agrochemical categories emerge repeatedly as high-risk predictors across modeling frameworks. Herbicides and insecticides, particularly those historically classified as probable or possible carcinogens, are frequently associated with increased risk for hematologic malignancies and select solid tumors. Predictive models often identify elevated risk among farmers with sustained exposure to multiple chemical agents, suggesting that combined or sequential exposures may contribute to carcinogenic potential beyond that of individual compounds. Task-specific activities, such as chemical mixing and application, also appear as important risk predictors, highlighting the role of high-intensity exposure events within broader cumulative exposure profiles</w:t>
      </w:r>
      <w:r w:rsidR="00174E1E">
        <w:fldChar w:fldCharType="begin"/>
      </w:r>
      <w:r w:rsidR="00130FEB">
        <w:instrText xml:space="preserve"> ADDIN ZOTERO_ITEM CSL_CITATION {"citationID":"hFd0TpVh","properties":{"formattedCitation":"(Cavalier et al., 2023; Tan et al., 2024)","plainCitation":"(Cavalier et al., 2023; Tan et al., 2024)","noteIndex":0},"citationItems":[{"id":13214,"uris":["http://zotero.org/users/16652950/items/UZDWVCPX"],"itemData":{"id":13214,"type":"article-journal","abstract":"Knowledge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id":13223,"uris":["http://zotero.org/users/16652950/items/RD8A8BXJ"],"itemData":{"id":13223,"type":"article-journal","abstract":"Background\nOrganochlorine pesticides, with their environmental persistence and bioaccumulation potential, have gained significant attention. This study explores the impact of organochlorine pesticides on mortality and chronic diseases, investigates their link to inflammatory states, and examines the role of anti-inflammatory diets in mitigating adverse reactions to these pesticides.\nMethods\nThis study, with 2,847 participants, used gas chromatography and mass spectrometry to measure organochlorine pesticide exposure in NHANES data. Conventional statistical methodologies, encompassing survival curves, Cox proportional hazards regression, regression analysis, and restricted quadratic spline analysis, were employed to investigate the association between pesticides and mortality, chronic ailments, and inflammation. Furthermore, machine learning techniques, comprising RF, AdaBoost, Extra-Trees, LightGBM, and BPNN, were leveraged to evaluate the impact of pesticides on chronic disease and mortality prognostication.\nResults\nOrganochlorine pesticides were significantly and positively correlated with increased mortality (p&lt;0.05). Additionally, these pollutants were linked to the incidence of chronic diseases such as chronic kidney disease, diabetes, and hypertension (p&lt; 0.05). Our study, utilizing various machine learning models, also showed a notable increase in the Area Under the Curve when incorporating organochlorine pesticide indicators into the model as opposed to excluding them. Furthermore, strong correlations were observed between serum c-reactive protein (CRP) and CRP to serum albumin ratio (CAR) concentrations with these substances, demonstrating their pro-inflammatory effects at specific concentrations. Interestingly, cutting down on dietary inflammation through changes in diet effectively reduced the risk of death at high organochlorine pesticide exposure levels, but the effect was less noticeable at low to moderate exposure levels.\nConclusions\nExposure to organochlorine pesticides was linked to a higher risk of mortality, likely due to an increased prevalence of chronic diseases. In this context, inflammation played a crucial role, and adopting an anti-inflammatory diet significantly reduced the mortality risk associated with these pesticides.","container-title":"Ecotoxicology and Environmental Safety","DOI":"10.1016/j.ecoenv.2024.116508","ISSN":"0147-6513","journalAbbreviation":"Ecotoxicology and Environmental Safety","page":"116508","source":"ScienceDirect","title":"Potential lethality of organochlorine pesticides: Inducing fatality through inflammatory responses in the organism","title-short":"Potential lethality of organochlorine pesticides","volume":"279","author":[{"family":"Tan","given":"Jiaxing"},{"family":"Ma","given":"Mengkai"},{"family":"Shen","given":"Xinyue"},{"family":"Xia","given":"Yuanlin"},{"family":"Qin","given":"Wei"}],"issued":{"date-parts":[["2024",7,1]]}}}],"schema":"https://github.com/citation-style-language/schema/raw/master/csl-citation.json"} </w:instrText>
      </w:r>
      <w:r w:rsidR="00174E1E">
        <w:fldChar w:fldCharType="separate"/>
      </w:r>
      <w:r w:rsidR="00130FEB" w:rsidRPr="00130FEB">
        <w:t>(Cavalier et al., 2023; Tan et al., 2024)</w:t>
      </w:r>
      <w:r w:rsidR="00174E1E">
        <w:fldChar w:fldCharType="end"/>
      </w:r>
      <w:r>
        <w:t>.</w:t>
      </w:r>
    </w:p>
    <w:p w:rsidR="009F6B31" w:rsidRDefault="009F6B31" w:rsidP="009F6B31">
      <w:pPr>
        <w:pStyle w:val="NormalWeb"/>
      </w:pPr>
      <w:r>
        <w:lastRenderedPageBreak/>
        <w:t>In terms of predictive performance, models that integrate multiple exposure metrics and contextual variables generally outperform simpler approaches. Machine learning models, especially tree-based and ensemble methods, often demonstrate superior discrimination compared with traditional regression models, particularly when handling high-dimensional exposure data. However, gains in predictive accuracy are not uniform across studies and are sometimes modest when weighed against increased complexity. Models incorporating temporal and geospatial exposure information tend to perform better than those relying solely on self-reported exposure histories, underscoring the value of data integration in predictive risk assessment</w:t>
      </w:r>
      <w:r w:rsidR="00174E1E">
        <w:fldChar w:fldCharType="begin"/>
      </w:r>
      <w:r w:rsidR="00687354">
        <w:instrText xml:space="preserve"> ADDIN ZOTERO_ITEM CSL_CITATION {"citationID":"AXGJ3PGI","properties":{"formattedCitation":"(Halder et al., 2025)","plainCitation":"(Halder et al., 2025)","noteIndex":0},"citationItems":[{"id":13225,"uris":["http://zotero.org/users/16652950/items/JTNG7C7S"],"itemData":{"id":13225,"type":"article-journal","abstract":"Breast cancer is a leading cause of morbidity and mortality among women worldwide, arising from malignant cell transformations in breast tissue. Early detection is paramount as it significantly improves survival rates and reduces the complexity and cost of treatment. Machine learning has revolutionized this field, providing more precise, efficient, and personalized diagnostic methods. Our research aims to develop a robust predictive model for breast cancer classification through rigorous preprocessing, diverse feature selection techniques, and advanced ensemble learning strategies. A central component of our methodology is the employment of a Stacking Classifier integrated with multiple base classifiers, optimized using RandomizedSearchCV to fine-tune hyperparameters. This process enhances the model’s accuracy, reliability, and generalizability. Significantly, our feature selection process involves three methodologies: filter, wrapper, and embedded methods. By applying these techniques, we identify the most critical features that are consistently selected across all methods. These features are then used to train the model, ensuring that our approach focuses on the most relevant data points for breast cancer classification. Utilizing the Wisconsin Breast Cancer Dataset from the UCI repository, which comprises 569 patient records, our model demonstrates exceptional performance. It achieves a perfect accuracy of 100% and an AUC-ROC of 1.00, indicating flawless sensitivity and specificity. The proposed framework was evaluated using two distinct datasets: the Wisconsin Prognostic Breast Cancer (WPBC) dataset and the Wisconsin Original Breast Cancer (WOBC) dataset. This model stands out for its potential to significantly enhance early detection and treatment strategies, marking a significant advance in applying machine learning to improve healthcare outcomes. Additionally, we have developed a user-friendly web app for breast cancer detection using our predictive model.","container-title":"Clinical eHealth","DOI":"10.1016/j.ceh.2025.08.001","ISSN":"2588-9141","journalAbbreviation":"Clinical eHealth","page":"146-161","source":"ScienceDirect","title":"Integrated feature selection-based stacking ensemble model using optimized hyperparameters to predict breast cancer with smart web application","volume":"8","author":[{"family":"Halder","given":"Rajib Kumar"},{"family":"Lima","given":"Marzana Akter"},{"family":"Uddin","given":"Mohammed Nasir"},{"family":"Islam","given":"Md. Aminul"},{"family":"Saha","given":"Adri"}],"issued":{"date-parts":[["2025",12,1]]}}}],"schema":"https://github.com/citation-style-language/schema/raw/master/csl-citation.json"} </w:instrText>
      </w:r>
      <w:r w:rsidR="00174E1E">
        <w:fldChar w:fldCharType="separate"/>
      </w:r>
      <w:r w:rsidR="00687354" w:rsidRPr="00687354">
        <w:t>(Halder et al., 2025)</w:t>
      </w:r>
      <w:r w:rsidR="00174E1E">
        <w:fldChar w:fldCharType="end"/>
      </w:r>
      <w:r>
        <w:t>.</w:t>
      </w:r>
    </w:p>
    <w:p w:rsidR="009F6B31" w:rsidRDefault="009F6B31" w:rsidP="009F6B31">
      <w:pPr>
        <w:pStyle w:val="NormalWeb"/>
      </w:pPr>
      <w:r>
        <w:t>Despite these advances, substantial gaps and inconsistencies persist across the literature. Findings are not always reproducible across populations or datasets, reflecting variability in exposure assessment methods, outcome definitions, and model specification. Differences in regulatory contexts, chemical use patterns, and farming practices over time further complicate cross-study comparisons. External validation is infrequently performed, limiting confidence in model generalizability and real-world applicability. Additionally, inconsistencies arise in how studies address latency, exposure windows, and confounding, leading to divergent risk estimates even for similar exposures and cancer outcomes.</w:t>
      </w:r>
    </w:p>
    <w:p w:rsidR="00166F3F" w:rsidRPr="00166F3F" w:rsidRDefault="009F6B31" w:rsidP="008A7AD4">
      <w:pPr>
        <w:pStyle w:val="NormalWeb"/>
      </w:pPr>
      <w:r>
        <w:t>Collectively, these findings suggest that predictive modeling holds significant promise for advancing understanding of agrochemical-related cancer risk, but its utility is contingent upon methodological rigor and transparency. The literature points toward a need for harmonized exposure metrics, improved validation practices, and cautious interpretation of predictive outputs. Without these safeguards, predictive models risk reinforcing uncertainty rather than clarifying the complex relationships between agrochemical exposure and cancer risk in agricultural populations</w:t>
      </w:r>
      <w:r w:rsidR="00174E1E">
        <w:fldChar w:fldCharType="begin"/>
      </w:r>
      <w:r w:rsidR="008A7AD4">
        <w:instrText xml:space="preserve"> ADDIN ZOTERO_ITEM CSL_CITATION {"citationID":"ooNcfnq0","properties":{"formattedCitation":"(Ozoh et al., 2026)","plainCitation":"(Ozoh et al., 2026)","noteIndex":0},"citationItems":[{"id":13228,"uris":["http://zotero.org/users/16652950/items/C2VAKX8P"],"itemData":{"id":13228,"type":"article-journal","abstract":"Environmental risk assessment (ERA) of plant protection products (PPPs) in the European Union is conducted on a substance-by-substance basis. This hampers the comparison of risks across substances, taxa, uses, or ecosystems, thereby limiting the identification of lower-risk alternatives. We propose a conceptual framework for benchmarking, i.e., systematic comparison and ranking of PPPs based on standardised risk profiles. The framework builds on our analyses of key challenges in the current ERA, including heterogeneity in higher-tier data, divergent representative use scenarios, inconsistent time scales, and the absence of a centralised data repository. The framework addresses these issues by promoting consistent criteria, streamlining input variables, and enhancing data integration. The practical applicability is illustrated with a proof-of-concept using Tier 1 aquatic effect data and FOCUS Step 1 exposure. Benchmarking outcomes may be influenced by current gaps in hazard assessment, but the framework is designed for iterative updates and can be extended to biocontrol agents through adjustable endpoints. By leveraging harmonised test methods and existing regulatory data, the framework aims to support science-based, comparative, and adaptive ERA processes. This approach supports a shift from a substance-by-substance review to a comparative, systems-based ERA. Implementing benchmarking would enhance regulatory efficiency, improve transparency, and promote a more sustainable pesticide use in line with biodiversity protection goals.","container-title":"Environment International","DOI":"10.1016/j.envint.2025.110013","ISSN":"0160-4120","journalAbbreviation":"Environment International","page":"110013","source":"ScienceDirect","title":"Benchmarking environmental risks of plant protection products: Toward a comparative and systems-based approach in the EU pesticide regulation","title-short":"Benchmarking environmental risks of plant protection products","volume":"207","author":[{"family":"Ozoh","given":"Paul N."},{"family":"Axelman","given":"Johan"},{"family":"Aldrich","given":"Annette"},{"family":"Duquesne","given":"Sabine"},{"family":"Jupke","given":"Jonathan"},{"family":"Liess","given":"Matthias"},{"family":"Scharlach","given":"Paula"},{"family":"Siddique","given":"Ayesha"},{"family":"Loureiro","given":"Susana"},{"family":"Schäfer","given":"Ralf B."}],"issued":{"date-parts":[["2026",1,1]]}}}],"schema":"https://github.com/citation-style-language/schema/raw/master/csl-citation.json"} </w:instrText>
      </w:r>
      <w:r w:rsidR="00174E1E">
        <w:fldChar w:fldCharType="separate"/>
      </w:r>
      <w:r w:rsidR="008A7AD4" w:rsidRPr="008A7AD4">
        <w:t>(Ozoh et al., 2026)</w:t>
      </w:r>
      <w:r w:rsidR="00174E1E">
        <w:fldChar w:fldCharType="end"/>
      </w:r>
      <w:r w:rsidR="00174E1E">
        <w:fldChar w:fldCharType="begin"/>
      </w:r>
      <w:r w:rsidR="001A7DDB">
        <w:instrText xml:space="preserve"> ADDIN ZOTERO_ITEM CSL_CITATION {"citationID":"xGu2q2zw","properties":{"formattedCitation":"(Lawal, Njoba, et al., 2025)","plainCitation":"(Lawal, Njoba, et al., 2025)","noteIndex":0},"citationItems":[{"id":11035,"uris":["http://zotero.org/users/16652950/items/N7MLCCZ5"],"itemData":{"id":11035,"type":"article-journal","abstract":"Antimicrobial resistance genes (ARGs) are found in microplastics, which are becoming more widely acknowledged as environmental substrates that may link ecological reservoirs to human illness. These particles create selective microenvironments by adsorbing antibiotics, metals, and biocides, promoting the creation of biofilms, and facilitating horizontal gene transfer. Human exposure through ingestion, inhalation, and skin contact is a problem due to the prevalence of microplastics in aquatic, terrestrial, airborne, and food-chain systems. This review highlights methodological limitations, synthesizes current understanding of the environmental mechanisms and clinical significance of ARGs linked to microplastics, and underscores the need for interdisciplinary surveillance and action. It identifies policy gaps and proposes integrated approaches to mitigate risks at the intersection of plastic pollution and antibiotic resistance within a one health paradigm.","container-title":"Journal of Clinical and Experimental Investigations","DOI":"10.29333/jcei/17401","ISSN":"1309-6621","issue":"4","journalAbbreviation":"J CLIN EXP INVEST","language":"english","note":"publisher: Modestum","page":"em00852","source":"www.jceionline.org","title":"Microplastics as emerging reservoirs of antimicrobial resistance: Clinical relevance and environmental mechanisms","title-short":"Microplastics as emerging reservoirs of antimicrobial resistance","volume":"16","author":[{"family":"Lawal","given":"Olabisi Promise"},{"family":"Njoba","given":"Chinasa Francis"},{"family":"Olorunkosebi","given":"Mary Tomi"},{"family":"Jacob","given":"Hycent"},{"family":"Igweonu","given":"Chiamaka"},{"family":"Dilioha","given":"Jude O."},{"family":"Fagbemi","given":"Bukola Titilayo"},{"family":"Amesimenu","given":"Richard"},{"family":"Jimoh","given":"Taofeek Saka"},{"family":"Obiechi","given":"Munachiso Nelson"}],"issued":{"date-parts":[["2025",11,9]]}}}],"schema":"https://github.com/citation-style-language/schema/raw/master/csl-citation.json"} </w:instrText>
      </w:r>
      <w:r w:rsidR="00174E1E">
        <w:fldChar w:fldCharType="separate"/>
      </w:r>
      <w:r w:rsidR="001A7DDB" w:rsidRPr="001A7DDB">
        <w:t>(Lawal, Njoba, et al., 2025)</w:t>
      </w:r>
      <w:r w:rsidR="00174E1E">
        <w:fldChar w:fldCharType="end"/>
      </w:r>
      <w:r w:rsidR="00174E1E">
        <w:fldChar w:fldCharType="begin"/>
      </w:r>
      <w:r w:rsidR="00687354">
        <w:instrText xml:space="preserve"> ADDIN ZOTERO_ITEM CSL_CITATION {"citationID":"FlS1ub1g","properties":{"formattedCitation":"(Rond\\uc0\\u243{}n-Cordero et al., 2025)","plainCitation":"(Rondón-Cordero et al., 2025)","noteIndex":0},"citationItems":[{"id":13231,"uris":["http://zotero.org/users/16652950/items/HGSXHPWC"],"itemData":{"id":13231,"type":"article-journal","abstract":"The optimization of energy consumption is crucial for energy management at each level. This research study investigates the different methods that have been used over time to calculate energy consumption using combined machine learning models, specifically hybrid and ensemble models. The first one mentioned combines different machine learning techniques with statistical methodologies that aim to handle non-linear relationships in complex data sets. Some of these representative algorithms are Autoregressive Integrated Moving Average–Long Short-Term Memory (ARIMA-LSTM), hybrid augmented with Generative Adversarial Network (GAN) and Particle Swarm Optimization–Stacking (PSO-Stacking) which have demonstrated remarkable accuracy in various contexts, including residential, commercial and industrial energy systems. On the other hand, ensemble models that include stacking, boosting and bagging methods have been used to reduce calculation errors and handle large-scale data sets that often have heterogeneous behaviors. The results of this literature review indicate that the selection of an appropriate model that combines different machine learning techniques depends on the nature of the data, the objective and the context of the research, since, as mentioned, hybrid models are more effective in terms of complex, temporal and non-linear data, while ensemble models are more versatile in managing high-dimensional data sets and reducing errors. In addition, the main challenges in this type of work are identified, including computational load and data quality. Given this, it was found that solutions such as the implementation of metaheuristic algorithms and feature selection are available to solve these types of problems.As of this writing, systematic reviews specifically comparing combined machine learning models applied to energy consumption calculation are limited. Therefore, this literature review is a novel starting point for future research that wants to focus on this specific field and needs to solve challenges such as data complexity, time de-pendencies, and computational load, which are oriented to the process of organizing and managing energy consumption. On the other hand, this research offers a perspective that analyzes and contrasts the usefulness and effectiveness of these models in different contexts, as well as identifying advantages, disadvantages, limitations, and opportunities in various areas.","container-title":"Renewable and Sustainable Energy Reviews","DOI":"10.1016/j.rser.2025.116095","ISSN":"1364-0321","journalAbbreviation":"Renewable and Sustainable Energy Reviews","page":"116095","source":"ScienceDirect","title":"Advancements in hybrid and ensemble ML models for energy consumption forecasting: results and challenges of their applications","title-short":"Advancements in hybrid and ensemble ML models for energy consumption forecasting","volume":"224","author":[{"family":"Rondón-Cordero","given":"Victor Hugo"},{"family":"Montuori","given":"Lina"},{"family":"Alcázar-Ortega","given":"Manuel"},{"family":"Siano","given":"Pierluigi"}],"issued":{"date-parts":[["2025",12,1]]}}}],"schema":"https://github.com/citation-style-language/schema/raw/master/csl-citation.json"} </w:instrText>
      </w:r>
      <w:r w:rsidR="00174E1E">
        <w:fldChar w:fldCharType="separate"/>
      </w:r>
      <w:r w:rsidR="00687354" w:rsidRPr="00687354">
        <w:t>(Rondón-Cordero et al., 2025)</w:t>
      </w:r>
      <w:r w:rsidR="00174E1E">
        <w:fldChar w:fldCharType="end"/>
      </w:r>
      <w:r w:rsidR="00174E1E">
        <w:fldChar w:fldCharType="begin"/>
      </w:r>
      <w:r w:rsidR="00687354">
        <w:instrText xml:space="preserve"> ADDIN ZOTERO_ITEM CSL_CITATION {"citationID":"FzgAtlgZ","properties":{"formattedCitation":"(Schor et al., 2025)","plainCitation":"(Schor et al., 2025)","noteIndex":0},"citationItems":[{"id":13234,"uris":["http://zotero.org/users/16652950/items/MRZ5WTGJ"],"itemData":{"id":13234,"type":"article-journal","abstract":"Chemical pollution of aquatic environments involves diverse substance combinations that can provoke combined biological and toxicological effects even when individual concentrations remain below effect thresholds. Multiple efforts are ongoing to better consider mixture effects in chemical safety regulation, but debate continues over whether a few substances drive aquatic mixture risks or whether a large heterogeneous set of drivers must be considered. We employed a data re-use strategy to investigate the heterogeneity of chemical mixture risk drivers to aquatic species in Europe. Initially, we derived 201 risk-driving chemicals from a single measurement campaign, allowing driver comparisons between sites based on consistently measured substances. We then extended our analysis to extensive chemical monitoring data of the NORMAN network, originating from different campaigns focusing on diverging substance sets measured at different times and locations. Data were aggregated quarterly and sites clustered per quarter according to measured substances. Using a robust definition of risk drivers (the most significant chemicals whose cumulative toxic units contribute ≥75% of total risk), our study concludes that at least 580 different substances drive chemical mixture risks in European freshwaters, with high heterogeneity between locations. Notably, mixture risk drivers were species-specific, exhibited temporal variability, and belonged to different chemical use groups considered in various safety regulations. We also found that monitoring data gaps prevented more precise analysis, particularly regarding temporal variability. These findings have important implications for future chemical monitoring strategies and mixture risk regulation in Europe, highlighting the complexity and heterogeneity of chemical mixture risks in aquatic environments.","container-title":"Environment International","DOI":"10.1016/j.envint.2025.109881","ISSN":"0160-4120","journalAbbreviation":"Environment International","page":"109881","source":"ScienceDirect","title":"Chemical mixture risk drivers and their heterogeneity in European freshwaters","volume":"205","author":[{"family":"Schor","given":"Jana"},{"family":"Schulze","given":"Tobias"},{"family":"Ulrich","given":"Nadin"},{"family":"Mutlu","given":"İlhan"},{"family":"Krauss","given":"Martin"},{"family":"Brack","given":"Werner"},{"family":"Doan","given":"Triet"},{"family":"Bingert","given":"Sven"},{"family":"Bumberger","given":"Jan"},{"family":"Busch","given":"Wibke"},{"family":"Hackermüller","given":"Jörg"}],"issued":{"date-parts":[["2025",11,1]]}}}],"schema":"https://github.com/citation-style-language/schema/raw/master/csl-citation.json"} </w:instrText>
      </w:r>
      <w:r w:rsidR="00174E1E">
        <w:fldChar w:fldCharType="separate"/>
      </w:r>
      <w:r w:rsidR="00687354" w:rsidRPr="00687354">
        <w:t>(Schor et al., 2025)</w:t>
      </w:r>
      <w:r w:rsidR="00174E1E">
        <w:fldChar w:fldCharType="end"/>
      </w:r>
      <w:r w:rsidR="00166F3F" w:rsidRPr="00166F3F">
        <w:t>.</w:t>
      </w:r>
    </w:p>
    <w:p w:rsidR="00013817" w:rsidRDefault="00013817" w:rsidP="00013817">
      <w:pPr>
        <w:pStyle w:val="NormalWeb"/>
      </w:pPr>
      <w:r>
        <w:t>Table 1 summarizes key conceptual and methodological dimensions that distinguish predictive modeling approaches in agrochemical–cancer research and highlights implications for future study design and translation.”</w:t>
      </w:r>
    </w:p>
    <w:p w:rsidR="00013817" w:rsidRPr="00343419" w:rsidRDefault="00013817" w:rsidP="00013817">
      <w:pPr>
        <w:pStyle w:val="Heading2"/>
        <w:rPr>
          <w:sz w:val="24"/>
          <w:szCs w:val="24"/>
        </w:rPr>
      </w:pPr>
      <w:r w:rsidRPr="00343419">
        <w:rPr>
          <w:sz w:val="24"/>
          <w:szCs w:val="24"/>
        </w:rPr>
        <w:t>Table 1. Conceptual and Methodological Dimensions of Predictive Modeling in Agrochemical–Cancer Research</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2435"/>
        <w:gridCol w:w="2489"/>
        <w:gridCol w:w="2515"/>
      </w:tblGrid>
      <w:tr w:rsidR="00013817" w:rsidTr="00343419">
        <w:trPr>
          <w:tblHeader/>
          <w:tblCellSpacing w:w="15" w:type="dxa"/>
        </w:trPr>
        <w:tc>
          <w:tcPr>
            <w:tcW w:w="0" w:type="auto"/>
            <w:vAlign w:val="center"/>
            <w:hideMark/>
          </w:tcPr>
          <w:p w:rsidR="00013817" w:rsidRDefault="00013817" w:rsidP="00343419">
            <w:pPr>
              <w:rPr>
                <w:b/>
                <w:bCs/>
              </w:rPr>
            </w:pPr>
            <w:r>
              <w:rPr>
                <w:b/>
                <w:bCs/>
              </w:rPr>
              <w:t>Dimension</w:t>
            </w:r>
          </w:p>
        </w:tc>
        <w:tc>
          <w:tcPr>
            <w:tcW w:w="0" w:type="auto"/>
            <w:vAlign w:val="center"/>
            <w:hideMark/>
          </w:tcPr>
          <w:p w:rsidR="00343419" w:rsidRDefault="00343419">
            <w:pPr>
              <w:jc w:val="center"/>
              <w:rPr>
                <w:b/>
                <w:bCs/>
              </w:rPr>
            </w:pPr>
          </w:p>
          <w:p w:rsidR="00013817" w:rsidRDefault="00013817">
            <w:pPr>
              <w:jc w:val="center"/>
              <w:rPr>
                <w:b/>
                <w:bCs/>
              </w:rPr>
            </w:pPr>
            <w:r>
              <w:rPr>
                <w:b/>
                <w:bCs/>
              </w:rPr>
              <w:t>Observed Approaches in the Literature</w:t>
            </w:r>
          </w:p>
        </w:tc>
        <w:tc>
          <w:tcPr>
            <w:tcW w:w="0" w:type="auto"/>
            <w:vAlign w:val="center"/>
            <w:hideMark/>
          </w:tcPr>
          <w:p w:rsidR="00013817" w:rsidRDefault="00013817">
            <w:pPr>
              <w:jc w:val="center"/>
              <w:rPr>
                <w:b/>
                <w:bCs/>
              </w:rPr>
            </w:pPr>
            <w:r>
              <w:rPr>
                <w:b/>
                <w:bCs/>
              </w:rPr>
              <w:t>Key Insight for the Field</w:t>
            </w:r>
          </w:p>
        </w:tc>
        <w:tc>
          <w:tcPr>
            <w:tcW w:w="0" w:type="auto"/>
            <w:vAlign w:val="center"/>
            <w:hideMark/>
          </w:tcPr>
          <w:p w:rsidR="00013817" w:rsidRDefault="00013817">
            <w:pPr>
              <w:jc w:val="center"/>
              <w:rPr>
                <w:b/>
                <w:bCs/>
              </w:rPr>
            </w:pPr>
            <w:r>
              <w:rPr>
                <w:b/>
                <w:bCs/>
              </w:rPr>
              <w:t>Implications for Future Research</w:t>
            </w:r>
          </w:p>
        </w:tc>
      </w:tr>
      <w:tr w:rsidR="00013817" w:rsidTr="00343419">
        <w:trPr>
          <w:tblCellSpacing w:w="15" w:type="dxa"/>
        </w:trPr>
        <w:tc>
          <w:tcPr>
            <w:tcW w:w="0" w:type="auto"/>
            <w:vAlign w:val="center"/>
            <w:hideMark/>
          </w:tcPr>
          <w:p w:rsidR="00013817" w:rsidRDefault="00013817">
            <w:r>
              <w:rPr>
                <w:rStyle w:val="Strong"/>
              </w:rPr>
              <w:t>Modeling Objective</w:t>
            </w:r>
          </w:p>
        </w:tc>
        <w:tc>
          <w:tcPr>
            <w:tcW w:w="0" w:type="auto"/>
            <w:vAlign w:val="center"/>
            <w:hideMark/>
          </w:tcPr>
          <w:p w:rsidR="00013817" w:rsidRDefault="00013817">
            <w:r>
              <w:t>Etiologic inference, risk stratification, early signal detection</w:t>
            </w:r>
          </w:p>
        </w:tc>
        <w:tc>
          <w:tcPr>
            <w:tcW w:w="0" w:type="auto"/>
            <w:vAlign w:val="center"/>
            <w:hideMark/>
          </w:tcPr>
          <w:p w:rsidR="00013817" w:rsidRDefault="00013817">
            <w:r>
              <w:t>Many studies conflate prediction with causation, leading to interpretive ambiguity</w:t>
            </w:r>
          </w:p>
        </w:tc>
        <w:tc>
          <w:tcPr>
            <w:tcW w:w="0" w:type="auto"/>
            <w:vAlign w:val="center"/>
            <w:hideMark/>
          </w:tcPr>
          <w:p w:rsidR="00013817" w:rsidRDefault="00013817">
            <w:r>
              <w:t>Explicitly define modeling purpose to align methods, metrics, and conclusions</w:t>
            </w:r>
          </w:p>
        </w:tc>
      </w:tr>
      <w:tr w:rsidR="00013817" w:rsidTr="00343419">
        <w:trPr>
          <w:tblCellSpacing w:w="15" w:type="dxa"/>
        </w:trPr>
        <w:tc>
          <w:tcPr>
            <w:tcW w:w="0" w:type="auto"/>
            <w:vAlign w:val="center"/>
            <w:hideMark/>
          </w:tcPr>
          <w:p w:rsidR="00013817" w:rsidRDefault="00013817">
            <w:r>
              <w:rPr>
                <w:rStyle w:val="Strong"/>
              </w:rPr>
              <w:lastRenderedPageBreak/>
              <w:t>Exposure Conceptualization</w:t>
            </w:r>
          </w:p>
        </w:tc>
        <w:tc>
          <w:tcPr>
            <w:tcW w:w="0" w:type="auto"/>
            <w:vAlign w:val="center"/>
            <w:hideMark/>
          </w:tcPr>
          <w:p w:rsidR="00013817" w:rsidRDefault="00013817">
            <w:r>
              <w:t>Single-agent focus, grouped chemical classes, cumulative exposure indices</w:t>
            </w:r>
          </w:p>
        </w:tc>
        <w:tc>
          <w:tcPr>
            <w:tcW w:w="0" w:type="auto"/>
            <w:vAlign w:val="center"/>
            <w:hideMark/>
          </w:tcPr>
          <w:p w:rsidR="00013817" w:rsidRDefault="00013817">
            <w:r>
              <w:t>Cumulative and multi-agent frameworks better reflect real-world exposure</w:t>
            </w:r>
          </w:p>
        </w:tc>
        <w:tc>
          <w:tcPr>
            <w:tcW w:w="0" w:type="auto"/>
            <w:vAlign w:val="center"/>
            <w:hideMark/>
          </w:tcPr>
          <w:p w:rsidR="00013817" w:rsidRDefault="00013817">
            <w:r>
              <w:t>Move toward mixture-aware and trajectory-based exposure modeling</w:t>
            </w:r>
          </w:p>
        </w:tc>
      </w:tr>
      <w:tr w:rsidR="00013817" w:rsidTr="00343419">
        <w:trPr>
          <w:tblCellSpacing w:w="15" w:type="dxa"/>
        </w:trPr>
        <w:tc>
          <w:tcPr>
            <w:tcW w:w="0" w:type="auto"/>
            <w:vAlign w:val="center"/>
            <w:hideMark/>
          </w:tcPr>
          <w:p w:rsidR="00013817" w:rsidRDefault="00013817">
            <w:r>
              <w:rPr>
                <w:rStyle w:val="Strong"/>
              </w:rPr>
              <w:t>Temporal Structure</w:t>
            </w:r>
          </w:p>
        </w:tc>
        <w:tc>
          <w:tcPr>
            <w:tcW w:w="0" w:type="auto"/>
            <w:vAlign w:val="center"/>
            <w:hideMark/>
          </w:tcPr>
          <w:p w:rsidR="00013817" w:rsidRDefault="00013817">
            <w:r>
              <w:t>Static exposure summaries vs. time-varying and lagged metrics</w:t>
            </w:r>
          </w:p>
        </w:tc>
        <w:tc>
          <w:tcPr>
            <w:tcW w:w="0" w:type="auto"/>
            <w:vAlign w:val="center"/>
            <w:hideMark/>
          </w:tcPr>
          <w:p w:rsidR="00013817" w:rsidRDefault="00013817">
            <w:r>
              <w:t>Failure to align exposure windows with latency weakens predictive validity</w:t>
            </w:r>
          </w:p>
        </w:tc>
        <w:tc>
          <w:tcPr>
            <w:tcW w:w="0" w:type="auto"/>
            <w:vAlign w:val="center"/>
            <w:hideMark/>
          </w:tcPr>
          <w:p w:rsidR="00013817" w:rsidRDefault="00013817">
            <w:r>
              <w:t>Incorporate biologically informed lag periods and exposure timing</w:t>
            </w:r>
          </w:p>
        </w:tc>
      </w:tr>
      <w:tr w:rsidR="00013817" w:rsidTr="00343419">
        <w:trPr>
          <w:tblCellSpacing w:w="15" w:type="dxa"/>
        </w:trPr>
        <w:tc>
          <w:tcPr>
            <w:tcW w:w="0" w:type="auto"/>
            <w:vAlign w:val="center"/>
            <w:hideMark/>
          </w:tcPr>
          <w:p w:rsidR="00013817" w:rsidRDefault="00013817">
            <w:r>
              <w:rPr>
                <w:rStyle w:val="Strong"/>
              </w:rPr>
              <w:t>Handling of Heterogeneity</w:t>
            </w:r>
          </w:p>
        </w:tc>
        <w:tc>
          <w:tcPr>
            <w:tcW w:w="0" w:type="auto"/>
            <w:vAlign w:val="center"/>
            <w:hideMark/>
          </w:tcPr>
          <w:p w:rsidR="00013817" w:rsidRDefault="00013817">
            <w:r>
              <w:t>Stratification by crop, task, or region; limited interaction modeling</w:t>
            </w:r>
          </w:p>
        </w:tc>
        <w:tc>
          <w:tcPr>
            <w:tcW w:w="0" w:type="auto"/>
            <w:vAlign w:val="center"/>
            <w:hideMark/>
          </w:tcPr>
          <w:p w:rsidR="00013817" w:rsidRDefault="00013817">
            <w:r>
              <w:t>Risk heterogeneity is often underexplored despite strong theoretical relevance</w:t>
            </w:r>
          </w:p>
        </w:tc>
        <w:tc>
          <w:tcPr>
            <w:tcW w:w="0" w:type="auto"/>
            <w:vAlign w:val="center"/>
            <w:hideMark/>
          </w:tcPr>
          <w:p w:rsidR="00013817" w:rsidRDefault="00013817">
            <w:r>
              <w:t>Systematically model effect modification and subgroup-specific risk</w:t>
            </w:r>
          </w:p>
        </w:tc>
      </w:tr>
      <w:tr w:rsidR="00013817" w:rsidTr="00343419">
        <w:trPr>
          <w:tblCellSpacing w:w="15" w:type="dxa"/>
        </w:trPr>
        <w:tc>
          <w:tcPr>
            <w:tcW w:w="0" w:type="auto"/>
            <w:vAlign w:val="center"/>
            <w:hideMark/>
          </w:tcPr>
          <w:p w:rsidR="00013817" w:rsidRDefault="00013817">
            <w:r>
              <w:rPr>
                <w:rStyle w:val="Strong"/>
              </w:rPr>
              <w:t>Data Integration Strategy</w:t>
            </w:r>
          </w:p>
        </w:tc>
        <w:tc>
          <w:tcPr>
            <w:tcW w:w="0" w:type="auto"/>
            <w:vAlign w:val="center"/>
            <w:hideMark/>
          </w:tcPr>
          <w:p w:rsidR="00013817" w:rsidRDefault="00013817">
            <w:r>
              <w:t>Single-source data vs. multi-source linkage</w:t>
            </w:r>
          </w:p>
        </w:tc>
        <w:tc>
          <w:tcPr>
            <w:tcW w:w="0" w:type="auto"/>
            <w:vAlign w:val="center"/>
            <w:hideMark/>
          </w:tcPr>
          <w:p w:rsidR="00013817" w:rsidRDefault="00013817">
            <w:r>
              <w:t>Integrated datasets consistently enhance predictive performance</w:t>
            </w:r>
          </w:p>
        </w:tc>
        <w:tc>
          <w:tcPr>
            <w:tcW w:w="0" w:type="auto"/>
            <w:vAlign w:val="center"/>
            <w:hideMark/>
          </w:tcPr>
          <w:p w:rsidR="00013817" w:rsidRDefault="00013817">
            <w:r>
              <w:t>Prioritize data harmonization across surveillance, regulatory, and spatial sources</w:t>
            </w:r>
          </w:p>
        </w:tc>
      </w:tr>
      <w:tr w:rsidR="00013817" w:rsidTr="00343419">
        <w:trPr>
          <w:tblCellSpacing w:w="15" w:type="dxa"/>
        </w:trPr>
        <w:tc>
          <w:tcPr>
            <w:tcW w:w="0" w:type="auto"/>
            <w:vAlign w:val="center"/>
            <w:hideMark/>
          </w:tcPr>
          <w:p w:rsidR="00013817" w:rsidRDefault="00013817">
            <w:r>
              <w:rPr>
                <w:rStyle w:val="Strong"/>
              </w:rPr>
              <w:t>Model Transparency</w:t>
            </w:r>
          </w:p>
        </w:tc>
        <w:tc>
          <w:tcPr>
            <w:tcW w:w="0" w:type="auto"/>
            <w:vAlign w:val="center"/>
            <w:hideMark/>
          </w:tcPr>
          <w:p w:rsidR="00013817" w:rsidRDefault="00013817">
            <w:r>
              <w:t>Fully interpretable models vs. black-box algorithms</w:t>
            </w:r>
          </w:p>
        </w:tc>
        <w:tc>
          <w:tcPr>
            <w:tcW w:w="0" w:type="auto"/>
            <w:vAlign w:val="center"/>
            <w:hideMark/>
          </w:tcPr>
          <w:p w:rsidR="00013817" w:rsidRDefault="00013817">
            <w:r>
              <w:t>Interpretability remains a barrier to translation and policy uptake</w:t>
            </w:r>
          </w:p>
        </w:tc>
        <w:tc>
          <w:tcPr>
            <w:tcW w:w="0" w:type="auto"/>
            <w:vAlign w:val="center"/>
            <w:hideMark/>
          </w:tcPr>
          <w:p w:rsidR="00013817" w:rsidRDefault="00013817">
            <w:r>
              <w:t>Embed explainability tools alongside complex models</w:t>
            </w:r>
          </w:p>
        </w:tc>
      </w:tr>
      <w:tr w:rsidR="00013817" w:rsidTr="00343419">
        <w:trPr>
          <w:tblCellSpacing w:w="15" w:type="dxa"/>
        </w:trPr>
        <w:tc>
          <w:tcPr>
            <w:tcW w:w="0" w:type="auto"/>
            <w:vAlign w:val="center"/>
            <w:hideMark/>
          </w:tcPr>
          <w:p w:rsidR="00013817" w:rsidRDefault="00013817">
            <w:r>
              <w:rPr>
                <w:rStyle w:val="Strong"/>
              </w:rPr>
              <w:t>Validation Practice</w:t>
            </w:r>
          </w:p>
        </w:tc>
        <w:tc>
          <w:tcPr>
            <w:tcW w:w="0" w:type="auto"/>
            <w:vAlign w:val="center"/>
            <w:hideMark/>
          </w:tcPr>
          <w:p w:rsidR="00013817" w:rsidRDefault="00013817">
            <w:r>
              <w:t>Predominantly internal validation</w:t>
            </w:r>
          </w:p>
        </w:tc>
        <w:tc>
          <w:tcPr>
            <w:tcW w:w="0" w:type="auto"/>
            <w:vAlign w:val="center"/>
            <w:hideMark/>
          </w:tcPr>
          <w:p w:rsidR="00013817" w:rsidRDefault="00013817">
            <w:r>
              <w:t>Limited evidence of transportability across populations</w:t>
            </w:r>
          </w:p>
        </w:tc>
        <w:tc>
          <w:tcPr>
            <w:tcW w:w="0" w:type="auto"/>
            <w:vAlign w:val="center"/>
            <w:hideMark/>
          </w:tcPr>
          <w:p w:rsidR="00013817" w:rsidRDefault="00013817">
            <w:r>
              <w:t>Increase use of external and temporal validation</w:t>
            </w:r>
          </w:p>
        </w:tc>
      </w:tr>
      <w:tr w:rsidR="00013817" w:rsidTr="00343419">
        <w:trPr>
          <w:tblCellSpacing w:w="15" w:type="dxa"/>
        </w:trPr>
        <w:tc>
          <w:tcPr>
            <w:tcW w:w="0" w:type="auto"/>
            <w:vAlign w:val="center"/>
            <w:hideMark/>
          </w:tcPr>
          <w:p w:rsidR="00013817" w:rsidRDefault="00013817">
            <w:r>
              <w:rPr>
                <w:rStyle w:val="Strong"/>
              </w:rPr>
              <w:t>Outcome Sensitivity</w:t>
            </w:r>
          </w:p>
        </w:tc>
        <w:tc>
          <w:tcPr>
            <w:tcW w:w="0" w:type="auto"/>
            <w:vAlign w:val="center"/>
            <w:hideMark/>
          </w:tcPr>
          <w:p w:rsidR="00013817" w:rsidRDefault="00013817">
            <w:r>
              <w:t>Stronger performance for hematologic cancers</w:t>
            </w:r>
          </w:p>
        </w:tc>
        <w:tc>
          <w:tcPr>
            <w:tcW w:w="0" w:type="auto"/>
            <w:vAlign w:val="center"/>
            <w:hideMark/>
          </w:tcPr>
          <w:p w:rsidR="00013817" w:rsidRDefault="00013817">
            <w:r>
              <w:t>Predictive success varies substantially by cancer type</w:t>
            </w:r>
          </w:p>
        </w:tc>
        <w:tc>
          <w:tcPr>
            <w:tcW w:w="0" w:type="auto"/>
            <w:vAlign w:val="center"/>
            <w:hideMark/>
          </w:tcPr>
          <w:p w:rsidR="00013817" w:rsidRDefault="00013817">
            <w:r>
              <w:t>Tailor modeling strategies to outcome-specific biology</w:t>
            </w:r>
          </w:p>
        </w:tc>
      </w:tr>
      <w:tr w:rsidR="00013817" w:rsidTr="00343419">
        <w:trPr>
          <w:tblCellSpacing w:w="15" w:type="dxa"/>
        </w:trPr>
        <w:tc>
          <w:tcPr>
            <w:tcW w:w="0" w:type="auto"/>
            <w:vAlign w:val="center"/>
            <w:hideMark/>
          </w:tcPr>
          <w:p w:rsidR="00013817" w:rsidRDefault="00013817">
            <w:r>
              <w:rPr>
                <w:rStyle w:val="Strong"/>
              </w:rPr>
              <w:t>Translation Readiness</w:t>
            </w:r>
          </w:p>
        </w:tc>
        <w:tc>
          <w:tcPr>
            <w:tcW w:w="0" w:type="auto"/>
            <w:vAlign w:val="center"/>
            <w:hideMark/>
          </w:tcPr>
          <w:p w:rsidR="00013817" w:rsidRDefault="00013817">
            <w:r>
              <w:t>Primarily academic applications</w:t>
            </w:r>
          </w:p>
        </w:tc>
        <w:tc>
          <w:tcPr>
            <w:tcW w:w="0" w:type="auto"/>
            <w:vAlign w:val="center"/>
            <w:hideMark/>
          </w:tcPr>
          <w:p w:rsidR="00013817" w:rsidRDefault="00013817">
            <w:r>
              <w:t>Few models are designed for operational use</w:t>
            </w:r>
          </w:p>
        </w:tc>
        <w:tc>
          <w:tcPr>
            <w:tcW w:w="0" w:type="auto"/>
            <w:vAlign w:val="center"/>
            <w:hideMark/>
          </w:tcPr>
          <w:p w:rsidR="00013817" w:rsidRDefault="00013817">
            <w:r>
              <w:t xml:space="preserve">Develop models with implementation and surveillance contexts in </w:t>
            </w:r>
            <w:r>
              <w:lastRenderedPageBreak/>
              <w:t>mind</w:t>
            </w:r>
          </w:p>
        </w:tc>
      </w:tr>
      <w:tr w:rsidR="00013817" w:rsidTr="00343419">
        <w:trPr>
          <w:tblCellSpacing w:w="15" w:type="dxa"/>
        </w:trPr>
        <w:tc>
          <w:tcPr>
            <w:tcW w:w="0" w:type="auto"/>
            <w:vAlign w:val="center"/>
            <w:hideMark/>
          </w:tcPr>
          <w:p w:rsidR="00013817" w:rsidRDefault="00013817">
            <w:r>
              <w:rPr>
                <w:rStyle w:val="Strong"/>
              </w:rPr>
              <w:lastRenderedPageBreak/>
              <w:t>Policy Relevance</w:t>
            </w:r>
          </w:p>
        </w:tc>
        <w:tc>
          <w:tcPr>
            <w:tcW w:w="0" w:type="auto"/>
            <w:vAlign w:val="center"/>
            <w:hideMark/>
          </w:tcPr>
          <w:p w:rsidR="00013817" w:rsidRDefault="00013817">
            <w:r>
              <w:t>Retrospective risk characterization</w:t>
            </w:r>
          </w:p>
        </w:tc>
        <w:tc>
          <w:tcPr>
            <w:tcW w:w="0" w:type="auto"/>
            <w:vAlign w:val="center"/>
            <w:hideMark/>
          </w:tcPr>
          <w:p w:rsidR="00013817" w:rsidRDefault="00013817">
            <w:r>
              <w:t>Underutilized for proactive prevention</w:t>
            </w:r>
          </w:p>
        </w:tc>
        <w:tc>
          <w:tcPr>
            <w:tcW w:w="0" w:type="auto"/>
            <w:vAlign w:val="center"/>
            <w:hideMark/>
          </w:tcPr>
          <w:p w:rsidR="00013817" w:rsidRDefault="00013817">
            <w:r>
              <w:t>Align modeling outputs with regulatory and occupational health needs</w:t>
            </w:r>
          </w:p>
        </w:tc>
      </w:tr>
    </w:tbl>
    <w:p w:rsidR="00013817" w:rsidRDefault="00013817" w:rsidP="00013817">
      <w:pPr>
        <w:pStyle w:val="NormalWeb"/>
      </w:pPr>
      <w:r>
        <w:t>This table synthesizes conceptual and methodological patterns across predictive modeling studies rather than summarizing individual studies. It highlights areas where current practice limits interpretability, generalizability, or translation, and identifies priorities for advancing predictive modeling in agricultural cancer research.</w:t>
      </w:r>
    </w:p>
    <w:p w:rsidR="00B109A9" w:rsidRDefault="00B109A9" w:rsidP="00687354">
      <w:pPr>
        <w:pStyle w:val="Heading2"/>
        <w:numPr>
          <w:ilvl w:val="0"/>
          <w:numId w:val="2"/>
        </w:numPr>
      </w:pPr>
      <w:r>
        <w:t>Implications and Future Directions</w:t>
      </w:r>
    </w:p>
    <w:p w:rsidR="00B109A9" w:rsidRDefault="00B109A9" w:rsidP="00B109A9">
      <w:pPr>
        <w:pStyle w:val="NormalWeb"/>
      </w:pPr>
      <w:r>
        <w:t>The findings synthesized in this review highlight several important implications for advancing research on agrochemical exposure and cancer risk in agricultural populations. Foremost among these is the need for improved integration of exposure data across sources and scales. Future predictive modeling efforts will benefit from combining self-reported histories, regulatory records, geospatial data, and, where available, biomonitoring information to more accurately characterize cumulative and time-varying exposures. Enhanced data linkage and harmonization can reduce exposure misclassification and strengthen the etiologic relevance of predictive models, particularly for cancers with long latency periods</w:t>
      </w:r>
      <w:r w:rsidR="00174E1E">
        <w:fldChar w:fldCharType="begin"/>
      </w:r>
      <w:r w:rsidR="00687354">
        <w:instrText xml:space="preserve"> ADDIN ZOTERO_ITEM CSL_CITATION {"citationID":"9yNNGp8D","properties":{"formattedCitation":"(Ashish Pandey, 2023)","plainCitation":"(Ashish Pandey, 2023)","noteIndex":0},"citationItems":[{"id":13238,"uris":["http://zotero.org/users/16652950/items/3DM4SSQJ"],"itemData":{"id":13238,"type":"article-journal","abstract":"To study the effect of chemical toxic pesticides used in agricultural for pest control the maximum risk involved to applicator and handling the chemical pesticides with excess cancer risk. In this study, the epidemiological, molecular biology and toxicological evidence emerging from recent literature which pesticides are responsible for several type of cancer in human beings and other health hazards in environment.","container-title":"World Journal of Advanced Research and Reviews","DOI":"10.30574/wjarr.2023.17.2.0199","ISSN":"25819615","issue":"2","journalAbbreviation":"World J. Adv. Res. Rev.","language":"en","page":"121-125","source":"DOI.org (Crossref)","title":"Study on the cancer by chemical pesticides exposure to pesticide applicators, farm workers and consumers: Urgent need for safer eco-friendly pesticides","title-short":"Study on the cancer by chemical pesticides exposure to pesticide applicators, farm workers and consumers","volume":"17","author":[{"literal":"Ashish Pandey"}],"issued":{"date-parts":[["2023",2,28]]}}}],"schema":"https://github.com/citation-style-language/schema/raw/master/csl-citation.json"} </w:instrText>
      </w:r>
      <w:r w:rsidR="00174E1E">
        <w:fldChar w:fldCharType="separate"/>
      </w:r>
      <w:r w:rsidR="00687354" w:rsidRPr="00687354">
        <w:t>(Ashish Pandey, 2023)</w:t>
      </w:r>
      <w:r w:rsidR="00174E1E">
        <w:fldChar w:fldCharType="end"/>
      </w:r>
      <w:r>
        <w:t>.</w:t>
      </w:r>
    </w:p>
    <w:p w:rsidR="00B109A9" w:rsidRDefault="00B109A9" w:rsidP="00B109A9">
      <w:pPr>
        <w:pStyle w:val="NormalWeb"/>
      </w:pPr>
      <w:r>
        <w:t>Equally critical is the development and adoption of explainable and transparent modeling approaches. While machine learning methods have demonstrated promising predictive performance, their limited interpretability remains a barrier to broader acceptance and application in occupational health. Future work should prioritize models that balance predictive accuracy with interpretability, enabling researchers and stakeholders to understand which exposures and factors drive risk estimates. The incorporation of explainable artificial intelligence techniques can help clarify model decision pathways, support hypothesis generation, and facilitate communication of findings to regulators, clinicians, and farming communities</w:t>
      </w:r>
      <w:r w:rsidR="00174E1E">
        <w:fldChar w:fldCharType="begin"/>
      </w:r>
      <w:r w:rsidR="00687354">
        <w:instrText xml:space="preserve"> ADDIN ZOTERO_ITEM CSL_CITATION {"citationID":"vi2rkk0O","properties":{"formattedCitation":"(Hoghooghi Esfahani et al., 2025; Shehu et al., 2025)","plainCitation":"(Hoghooghi Esfahani et al., 2025; Shehu et al., 2025)","noteIndex":0},"citationItems":[{"id":13239,"uris":["http://zotero.org/users/16652950/items/E3N99HFW"],"itemData":{"id":13239,"type":"article-journal","abstract":"Study objectives\nThis systematic review analyzes the applications of explainable artificial intelligence (XAI) algorithms in chronic disease care, focusing on prediction, diagnosis, treatment, and management. The study examines prevalent XAI approaches across different chronic conditions and evaluates research gaps.\n\nMethods\nThe review followed Preferred Reporting Items for Systematic Review and Meta-analysis 2020 guidelines, analyzing relevant articles from 6 databases to identify and evaluate XAI implementations in chronic disease care. A protocol for this systematic review was not registered anywhere prior to publication.\n\nResults\nThree primary XAI techniques emerged as dominant: SHapley Additive exPlanations (SHAP) (46.5%), Local Interpretable Model-Agnostic Explanations (25.8%), and Gradient-weighted Class Activation Mapping (Grad-CAM) (12.0%). Disease prediction dominated the applications (86.2%), with SHAP being preferred for structured clinical data and Grad-CAM showing strength in medical imaging. Implementation varied significantly across different chronic conditions, with standardized diagnostic criteria and structured data receiving more attention.\n\nDiscussion\nThe analysis revealed an imbalance in healthcare applications, with sophisticated prediction models but limited treatment planning and disease management implementations. Key challenges included insufficient handling of complex multimodal data types and limited data volume. The need for extensive clinical validation in real-world settings was identified as crucial for establishing practical utility.\n\nConclusion\nWhile XAI shows promise in chronic disease healthcare, advancement requires expanding beyond prediction into treatment and management domains, developing robust approaches for complex medical data, and implementing larger-scale studies. Success depends on collaboration between AI researchers, healthcare professionals, legal experts, and policymakers, alongside clear regulatory guidelines and governance frameworks balancing innovation with patient privacy.","container-title":"Digital Health","DOI":"10.1177/20552076251355669","ISSN":"2055-2076","journalAbbreviation":"Digit Health","note":"PMID: 41312145\nPMCID: PMC12647564","page":"20552076251355669","source":"PubMed Central","title":"The application of explainable artificial intelligence in the prediction, diagnoses, treatment, and management of chronic diseases: A systematic review","title-short":"The application of explainable artificial intelligence in the prediction, diagnoses, treatment, and management of chronic diseases","volume":"11","author":[{"family":"Hoghooghi Esfahani","given":"Hooman"},{"family":"Toyonaga","given":"Shogo"},{"family":"Oyibo","given":"Kiemute"}],"issued":{"date-parts":[["2025",11,25]]}}},{"id":9011,"uris":["http://zotero.org/users/16652950/items/CN5RKRM2"],"itemData":{"id":9011,"type":"article-journal","container-title":"Journal of Engineering Research and Reports","DOI":"10.9734/jerr/2025/v27i91623","ISSN":"2582-2926","issue":"9","language":"en","page":"25-40","source":"journaljerr.com","title":"Conceptual Framework for Smart Sensor–driven Predictive Maintenance in Infrastructure Management","volume":"27","author":[{"family":"Shehu","given":"Habib"},{"family":"Sunday","given":"Omolayo"},{"family":"Ojo","given":"Damilola Ayodele"},{"family":"Afolayan","given":"Oladele Nicholas"},{"family":"Adebanjo","given":"Temitope Anthony"},{"family":"Eromosele","given":"Eric Iyere"},{"family":"Enabulele","given":"Amienye Babatunde Omo"},{"family":"Okpoko","given":"Oghenetega A."},{"family":"Okeke","given":"Francis Chukwudalu"},{"family":"Enobakhare","given":"Benjamin Osaze"}],"issued":{"date-parts":[["2025",8,25]]}}}],"schema":"https://github.com/citation-style-language/schema/raw/master/csl-citation.json"} </w:instrText>
      </w:r>
      <w:r w:rsidR="00174E1E">
        <w:fldChar w:fldCharType="separate"/>
      </w:r>
      <w:r w:rsidR="00687354" w:rsidRPr="00687354">
        <w:t>(Hoghooghi Esfahani et al., 2025; Shehu et al., 2025)</w:t>
      </w:r>
      <w:r w:rsidR="00174E1E">
        <w:fldChar w:fldCharType="end"/>
      </w:r>
      <w:r>
        <w:t>.</w:t>
      </w:r>
    </w:p>
    <w:p w:rsidR="00B109A9" w:rsidRDefault="00B109A9" w:rsidP="00B109A9">
      <w:pPr>
        <w:pStyle w:val="NormalWeb"/>
      </w:pPr>
      <w:r>
        <w:t xml:space="preserve">Predictive modeling also holds substantial potential for application in farmer health surveillance and prevention efforts. Risk prediction tools informed by integrated exposure data could support early identification of high-risk subgroups, guide targeted screening initiatives, and inform educational interventions aimed at reducing hazardous exposures. When embedded within occupational health surveillance systems, predictive models may enhance the ability to monitor </w:t>
      </w:r>
      <w:r>
        <w:lastRenderedPageBreak/>
        <w:t>emerging risks associated with changing agrochemical use patterns and agricultural practices</w:t>
      </w:r>
      <w:r w:rsidR="00174E1E">
        <w:fldChar w:fldCharType="begin"/>
      </w:r>
      <w:r w:rsidR="00687354">
        <w:instrText xml:space="preserve"> ADDIN ZOTERO_ITEM CSL_CITATION {"citationID":"s9k5vilz","properties":{"formattedCitation":"(Chinedu James Ezeh et al., 2024)","plainCitation":"(Chinedu James Ezeh et al., 2024)","noteIndex":0},"citationItems":[{"id":13243,"uris":["http://zotero.org/users/16652950/items/59CHJFSI"],"itemData":{"id":13243,"type":"article-journal","abstract":"Predictive analytics has transformed public health surveillance, shifting it from reactive to proactive care. Leveraging advanced mathematical tools, artificial intelligence (AI), and machine learning (ML) algorithms, healthcare systems now analyze data to detect patterns, predict outbreaks, and implement timely interventions. This study examines the role of predictive analytics in strengthening disease surveillance, prioritizing resources, and building effective early warning systems. Using qualitative assessments of implemented systems in various healthcare organizations, data was synthesized from case studies and technical evaluations. Sources included health records, environmental data, and social determinants of health.","container-title":"World Journal of Advanced Research and Reviews","DOI":"10.30574/wjarr.2024.24.3.3909","ISSN":"25819615","issue":"3","journalAbbreviation":"World J. Adv. Res. Rev.","language":"en","page":"3059-3077","source":"DOI.org (Crossref)","title":"The role of predictive analytics in enhancing public health surveillance: Proactive and data-driven interventions","title-short":"The role of predictive analytics in enhancing public health surveillance","volume":"24","author":[{"literal":"Chinedu James Ezeh"},{"literal":"Sandra Chioma Anioke"},{"literal":"Sola Oyewole"},{"literal":"Munakur Garnvwa David"}],"issued":{"date-parts":[["2024",12,30]]}}}],"schema":"https://github.com/citation-style-language/schema/raw/master/csl-citation.json"} </w:instrText>
      </w:r>
      <w:r w:rsidR="00174E1E">
        <w:fldChar w:fldCharType="separate"/>
      </w:r>
      <w:r w:rsidR="00687354" w:rsidRPr="00687354">
        <w:t>(Chinedu James Ezeh et al., 2024)</w:t>
      </w:r>
      <w:r w:rsidR="00174E1E">
        <w:fldChar w:fldCharType="end"/>
      </w:r>
      <w:r>
        <w:t>.</w:t>
      </w:r>
    </w:p>
    <w:p w:rsidR="00B109A9" w:rsidRDefault="00B109A9" w:rsidP="00B109A9">
      <w:pPr>
        <w:pStyle w:val="NormalWeb"/>
      </w:pPr>
      <w:r>
        <w:t>From a policy perspective, the advancement of predictive modeling has direct relevance for occupational health agencies responsible for protecting agricultural workers. Evidence generated through transparent and well-validated models can inform risk assessment, regulatory decision-making, and prioritization of preventive strategies. Agencies such as the Centers for Disease Control and Prevention may leverage predictive insights to strengthen surveillance programs, refine exposure guidelines, and support data-driven interventions in farming communities</w:t>
      </w:r>
      <w:r w:rsidR="00174E1E">
        <w:fldChar w:fldCharType="begin"/>
      </w:r>
      <w:r w:rsidR="006A64C7">
        <w:instrText xml:space="preserve"> ADDIN ZOTERO_ITEM CSL_CITATION {"citationID":"xNX64ISd","properties":{"formattedCitation":"(Armenteros-Cosme et al., 2025)","plainCitation":"(Armenteros-Cosme et al., 2025)","noteIndex":0},"citationItems":[{"id":13244,"uris":["http://zotero.org/users/16652950/items/UDWSBEAR"],"itemData":{"id":13244,"type":"article-journal","abstract":"Background: Occupational risk prevention is a critical discipline for ensuring safe working conditions and minimizing accidents and occupational diseases. With the rise of artificial intelligence (AI) and machine learning (ML), these approaches are increasingly utilized for predicting and preventing workplace hazards. This systematic review aims to identify, evaluate, and synthesize existing literature on the use of AI algorithms for detecting and predicting hazardous environments and occupational risks in the workplace, focusing on predictive modeling and prevention strategies. Methods: A systematic literature review was conducted following the PRISMA 2020 protocol, with minor adaptations to include conference proceedings and technical reports due to the topic’s emerging and multidisciplinary nature. Searches were performed in IEEE Digital Library, PubMed, Scopus, and Web of Science, with the last search conducted on 1 August 2024. Only peer-reviewed articles published from 2019 onwards and written in English were included. Systematic literature reviews were explicitly excluded. The screening process involved duplicate removal (reducing 209 initial documents to 183 unique ones), a preliminary screening based on titles, abstracts, and keywords (further reducing to 92 articles), and a detailed full-text review. During the full-text review, study quality was assessed using six quality assessment (QA) questions, where articles receiving a total score below 4.5 or 0 in any QA question were excluded. This rigorous process resulted in the selection of 61 relevant articles for quantitative and qualitative analysis. Results: The analysis revealed a growing interest in the field, with a clear upward trend in publications from 2021 to 2023, and a continuation of growth into 2024. The most significant contributions originated from countries such as China, South Korea, and India. Applications primarily focused on high-risk sectors, notably construction, mining, and manufacturing. The most common approach involved the use of visual data captured by cameras, which constituted over 40% of the reviewed studies, processed using deep learning (DL) models, particularly Convolutional Neural Networks (CNNs) and You Only Look Once (YOLO). Conclusions: The study highlights current limitations, including an over-reliance on visual data (especially challenging in low-visibility environments) and a lack of methodological standardization for AI-based risk detection systems. Future research should emphasize the integration of multimodal data (visual, environmental, physiological) and the development of interpretable AI models (XAI) to enhance accuracy, transparency, and trust in hazard detection systems. Addressing long-term societal implications, such as privacy and potential worker displacement, necessitates transparent data policies and robust regulatory frameworks.","container-title":"Sensors (Basel, Switzerland)","DOI":"10.3390/s25175419","ISSN":"1424-8220","issue":"17","journalAbbreviation":"Sensors (Basel)","note":"PMID: 40942853\nPMCID: PMC12431511","page":"5419","source":"PubMed Central","title":"Advancements in Artificial Intelligence and Machine Learning for Occupational Risk Prevention: A Systematic Review on Predictive Risk Modeling and Prevention Strategies","title-short":"Advancements in Artificial Intelligence and Machine Learning for Occupational Risk Prevention","volume":"25","author":[{"family":"Armenteros-Cosme","given":"Pablo"},{"family":"Arias-González","given":"Marcos"},{"family":"Alonso-Rollán","given":"Sergio"},{"family":"Márquez-Sánchez","given":"Sergio"},{"family":"Carrera","given":"Albano"}],"issued":{"date-parts":[["2025",9,2]]}}}],"schema":"https://github.com/citation-style-language/schema/raw/master/csl-citation.json"} </w:instrText>
      </w:r>
      <w:r w:rsidR="00174E1E">
        <w:fldChar w:fldCharType="separate"/>
      </w:r>
      <w:r w:rsidR="006A64C7" w:rsidRPr="006A64C7">
        <w:t>(Armenteros-Cosme et al., 2025)</w:t>
      </w:r>
      <w:r w:rsidR="00174E1E">
        <w:fldChar w:fldCharType="end"/>
      </w:r>
      <w:r>
        <w:t>.</w:t>
      </w:r>
    </w:p>
    <w:p w:rsidR="00B109A9" w:rsidRDefault="00B109A9" w:rsidP="00B109A9">
      <w:pPr>
        <w:pStyle w:val="NormalWeb"/>
      </w:pPr>
      <w:r>
        <w:t>Looking ahead, progress in this field will depend on interdisciplinary collaboration among epidemiologists, data scientists, exposure scientists, and policymakers. Continued investment in high-quality exposure data, methodological rigor, and model validation will be essential to ensure that predictive modeling fulfills its promise as a tool for reducing cancer burden and improving occupational health outcomes among U.S. farmers.</w:t>
      </w:r>
    </w:p>
    <w:p w:rsidR="00B109A9" w:rsidRDefault="00B109A9" w:rsidP="00B109A9">
      <w:pPr>
        <w:pStyle w:val="Heading2"/>
      </w:pPr>
      <w:r>
        <w:t>Conclusions</w:t>
      </w:r>
    </w:p>
    <w:p w:rsidR="00B109A9" w:rsidRDefault="00B109A9" w:rsidP="00B109A9">
      <w:pPr>
        <w:pStyle w:val="NormalWeb"/>
      </w:pPr>
      <w:r>
        <w:t>Predictive modeling has emerged as a valuable and increasingly influential approach for advancing understanding of the complex relationships between agrochemical exposure and adult cancer risk among U.S. farmers. By integrating diverse exposure metrics, individual characteristics, and contextual factors, predictive models extend beyond the limitations of conventional epidemiologic analyses and offer a more nuanced representation of cumulative and long-term risk. The literature reviewed in this article demonstrates that these approaches can enhance risk stratification, identify high-risk exposures and activities, and improve characterization of exposure–response patterns in agricultural populations.</w:t>
      </w:r>
    </w:p>
    <w:p w:rsidR="00B109A9" w:rsidRDefault="00B109A9" w:rsidP="00B109A9">
      <w:pPr>
        <w:pStyle w:val="NormalWeb"/>
      </w:pPr>
      <w:r>
        <w:t>The relevance of predictive modeling for cancer prevention lies in its potential to inform targeted and proactive interventions. When grounded in robust exposure assessment and transparent analytic frameworks, predictive models can support early identification of vulnerable subgroups, guide exposure reduction strategies, and strengthen occupational health surveillance efforts. These applications are particularly important for farming populations, where prolonged chemical exposures and extended latency periods complicate traditional prevention approaches.</w:t>
      </w:r>
    </w:p>
    <w:p w:rsidR="00B109A9" w:rsidRDefault="00B109A9" w:rsidP="00B109A9">
      <w:pPr>
        <w:pStyle w:val="NormalWeb"/>
      </w:pPr>
      <w:r>
        <w:t>Despite its promise, the utility of predictive modeling depends on continued methodological refinement and careful translation into practice. Future research should prioritize harmonized exposure metrics, external validation, and interpretability to ensure that predictive insights are both scientifically credible and actionable. From a policy perspective, integrating predictive evidence into occupational health decision-making can enhance regulatory oversight and prevention strategies. Aligning research innovation with public health priorities will be essential for reducing the cancer burden associated with agrochemical exposure and safeguarding the long-term health of U.S. farmers.</w:t>
      </w:r>
      <w:r w:rsidR="00AC656D">
        <w:t xml:space="preserve"> </w:t>
      </w:r>
    </w:p>
    <w:p w:rsidR="00B109A9" w:rsidRPr="00AC656D" w:rsidRDefault="00B109A9" w:rsidP="004212E0">
      <w:pPr>
        <w:rPr>
          <w:rFonts w:ascii="Times New Roman" w:hAnsi="Times New Roman" w:cs="Times New Roman"/>
          <w:b/>
        </w:rPr>
      </w:pPr>
    </w:p>
    <w:p w:rsidR="00AC656D" w:rsidRDefault="00AC656D" w:rsidP="004212E0">
      <w:pPr>
        <w:rPr>
          <w:rFonts w:ascii="Times New Roman" w:hAnsi="Times New Roman" w:cs="Times New Roman"/>
          <w:b/>
        </w:rPr>
      </w:pPr>
      <w:r w:rsidRPr="00AC656D">
        <w:rPr>
          <w:rFonts w:ascii="Times New Roman" w:hAnsi="Times New Roman" w:cs="Times New Roman"/>
          <w:b/>
        </w:rPr>
        <w:lastRenderedPageBreak/>
        <w:t>REFERENCES</w:t>
      </w:r>
    </w:p>
    <w:p w:rsidR="001A7DDB" w:rsidRPr="001A7DDB" w:rsidRDefault="00174E1E" w:rsidP="001A7DDB">
      <w:pPr>
        <w:pStyle w:val="Bibliography"/>
        <w:rPr>
          <w:rFonts w:ascii="Times New Roman" w:hAnsi="Times New Roman" w:cs="Times New Roman"/>
        </w:rPr>
      </w:pPr>
      <w:r>
        <w:rPr>
          <w:b/>
        </w:rPr>
        <w:fldChar w:fldCharType="begin"/>
      </w:r>
      <w:r w:rsidR="00AC656D">
        <w:rPr>
          <w:b/>
        </w:rPr>
        <w:instrText xml:space="preserve"> ADDIN ZOTERO_BIBL {"uncited":[],"omitted":[],"custom":[]} CSL_BIBLIOGRAPHY </w:instrText>
      </w:r>
      <w:r>
        <w:rPr>
          <w:b/>
        </w:rPr>
        <w:fldChar w:fldCharType="separate"/>
      </w:r>
      <w:r w:rsidR="001A7DDB" w:rsidRPr="001A7DDB">
        <w:rPr>
          <w:rFonts w:ascii="Times New Roman" w:hAnsi="Times New Roman" w:cs="Times New Roman"/>
        </w:rPr>
        <w:t xml:space="preserve">Anaduaka, E. G., Uchendu, N. O., Asomadu, R. O., Ezugwu, A. L., Okeke, E. S., &amp; Chidike Ezeorba, T. P. (2023). Widespread use of toxic agrochemicals and pesticides for agricultural products storage in Africa and developing countries: Possible panacea for ecotoxicology and health implications. </w:t>
      </w:r>
      <w:r w:rsidR="001A7DDB" w:rsidRPr="001A7DDB">
        <w:rPr>
          <w:rFonts w:ascii="Times New Roman" w:hAnsi="Times New Roman" w:cs="Times New Roman"/>
          <w:i/>
          <w:iCs/>
        </w:rPr>
        <w:t>Heliyon</w:t>
      </w:r>
      <w:r w:rsidR="001A7DDB" w:rsidRPr="001A7DDB">
        <w:rPr>
          <w:rFonts w:ascii="Times New Roman" w:hAnsi="Times New Roman" w:cs="Times New Roman"/>
        </w:rPr>
        <w:t xml:space="preserve">, </w:t>
      </w:r>
      <w:r w:rsidR="001A7DDB" w:rsidRPr="001A7DDB">
        <w:rPr>
          <w:rFonts w:ascii="Times New Roman" w:hAnsi="Times New Roman" w:cs="Times New Roman"/>
          <w:i/>
          <w:iCs/>
        </w:rPr>
        <w:t>9</w:t>
      </w:r>
      <w:r w:rsidR="001A7DDB" w:rsidRPr="001A7DDB">
        <w:rPr>
          <w:rFonts w:ascii="Times New Roman" w:hAnsi="Times New Roman" w:cs="Times New Roman"/>
        </w:rPr>
        <w:t>(4), e15173. https://doi.org/10.1016/j.heliyon.2023.e15173</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Animashaun, T. A., Sunday, O., Ogunleye, E., Agbahiwe, O. K., Afolayan, O. N., Okpoko, O. A., Enabulele, A. B. O., Enobakhare, B. O., &amp; Ifionu, E. S. (2025). AI-Powered Digital Twin Platforms for Next-Generation Structural Health Monitoring: From Concept to Intelligent Decision-Making. </w:t>
      </w:r>
      <w:r w:rsidRPr="001A7DDB">
        <w:rPr>
          <w:rFonts w:ascii="Times New Roman" w:hAnsi="Times New Roman" w:cs="Times New Roman"/>
          <w:i/>
          <w:iCs/>
        </w:rPr>
        <w:t>Journal of Engineering Research and Reports</w:t>
      </w:r>
      <w:r w:rsidRPr="001A7DDB">
        <w:rPr>
          <w:rFonts w:ascii="Times New Roman" w:hAnsi="Times New Roman" w:cs="Times New Roman"/>
        </w:rPr>
        <w:t xml:space="preserve">, </w:t>
      </w:r>
      <w:r w:rsidRPr="001A7DDB">
        <w:rPr>
          <w:rFonts w:ascii="Times New Roman" w:hAnsi="Times New Roman" w:cs="Times New Roman"/>
          <w:i/>
          <w:iCs/>
        </w:rPr>
        <w:t>27</w:t>
      </w:r>
      <w:r w:rsidRPr="001A7DDB">
        <w:rPr>
          <w:rFonts w:ascii="Times New Roman" w:hAnsi="Times New Roman" w:cs="Times New Roman"/>
        </w:rPr>
        <w:t>(10), 12–37. https://doi.org/10.9734/jerr/2025/v27i101652</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Armenteros-Cosme, P., Arias-González, M., Alonso-Rollán, S., Márquez-Sánchez, S., &amp; Carrera, A. (2025). Advancements in Artificial Intelligence and Machine Learning for Occupational Risk Prevention: A Systematic Review on Predictive Risk Modeling and Prevention Strategies. </w:t>
      </w:r>
      <w:r w:rsidRPr="001A7DDB">
        <w:rPr>
          <w:rFonts w:ascii="Times New Roman" w:hAnsi="Times New Roman" w:cs="Times New Roman"/>
          <w:i/>
          <w:iCs/>
        </w:rPr>
        <w:t>Sensors (Basel, Switzerland)</w:t>
      </w:r>
      <w:r w:rsidRPr="001A7DDB">
        <w:rPr>
          <w:rFonts w:ascii="Times New Roman" w:hAnsi="Times New Roman" w:cs="Times New Roman"/>
        </w:rPr>
        <w:t xml:space="preserve">, </w:t>
      </w:r>
      <w:r w:rsidRPr="001A7DDB">
        <w:rPr>
          <w:rFonts w:ascii="Times New Roman" w:hAnsi="Times New Roman" w:cs="Times New Roman"/>
          <w:i/>
          <w:iCs/>
        </w:rPr>
        <w:t>25</w:t>
      </w:r>
      <w:r w:rsidRPr="001A7DDB">
        <w:rPr>
          <w:rFonts w:ascii="Times New Roman" w:hAnsi="Times New Roman" w:cs="Times New Roman"/>
        </w:rPr>
        <w:t>(17), 5419. https://doi.org/10.3390/s25175419</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Ashish Pandey. (2023). Study on the cancer by chemical pesticides exposure to pesticide applicators, farm workers and consumers: Urgent need for safer eco-friendly pesticides. </w:t>
      </w:r>
      <w:r w:rsidRPr="001A7DDB">
        <w:rPr>
          <w:rFonts w:ascii="Times New Roman" w:hAnsi="Times New Roman" w:cs="Times New Roman"/>
          <w:i/>
          <w:iCs/>
        </w:rPr>
        <w:t>World Journal of Advanced Research and Reviews</w:t>
      </w:r>
      <w:r w:rsidRPr="001A7DDB">
        <w:rPr>
          <w:rFonts w:ascii="Times New Roman" w:hAnsi="Times New Roman" w:cs="Times New Roman"/>
        </w:rPr>
        <w:t xml:space="preserve">, </w:t>
      </w:r>
      <w:r w:rsidRPr="001A7DDB">
        <w:rPr>
          <w:rFonts w:ascii="Times New Roman" w:hAnsi="Times New Roman" w:cs="Times New Roman"/>
          <w:i/>
          <w:iCs/>
        </w:rPr>
        <w:t>17</w:t>
      </w:r>
      <w:r w:rsidRPr="001A7DDB">
        <w:rPr>
          <w:rFonts w:ascii="Times New Roman" w:hAnsi="Times New Roman" w:cs="Times New Roman"/>
        </w:rPr>
        <w:t>(2), 121–125. https://doi.org/10.30574/wjarr.2023.17.2.0199</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Bongers, S., Janssen, N. A. H., Reiss, B., Grievink, L., Lebret, E., &amp; Kromhout, H. (2008). Challenges of exposure assessment for health studies in the aftermath of chemical incidents and disasters. </w:t>
      </w:r>
      <w:r w:rsidRPr="001A7DDB">
        <w:rPr>
          <w:rFonts w:ascii="Times New Roman" w:hAnsi="Times New Roman" w:cs="Times New Roman"/>
          <w:i/>
          <w:iCs/>
        </w:rPr>
        <w:t>Journal of Exposure Science &amp; Environmental Epidemiology</w:t>
      </w:r>
      <w:r w:rsidRPr="001A7DDB">
        <w:rPr>
          <w:rFonts w:ascii="Times New Roman" w:hAnsi="Times New Roman" w:cs="Times New Roman"/>
        </w:rPr>
        <w:t xml:space="preserve">, </w:t>
      </w:r>
      <w:r w:rsidRPr="001A7DDB">
        <w:rPr>
          <w:rFonts w:ascii="Times New Roman" w:hAnsi="Times New Roman" w:cs="Times New Roman"/>
          <w:i/>
          <w:iCs/>
        </w:rPr>
        <w:t>18</w:t>
      </w:r>
      <w:r w:rsidRPr="001A7DDB">
        <w:rPr>
          <w:rFonts w:ascii="Times New Roman" w:hAnsi="Times New Roman" w:cs="Times New Roman"/>
        </w:rPr>
        <w:t>(4), 341–359. https://doi.org/10.1038/jes.2008.23</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lastRenderedPageBreak/>
        <w:t xml:space="preserve">Buckley, T. J., Egeghy, P. P., Isaacs, K., Richard, A. M., Ring, C., Sayre, R. R., Sobus, J. R., Thomas, R. S., Ulrich, E. M., Wambaugh, J. F., &amp; Williams, A. J. (2023). Cutting-edge computational chemical exposure research at the U.S. Environmental Protection Agency. </w:t>
      </w:r>
      <w:r w:rsidRPr="001A7DDB">
        <w:rPr>
          <w:rFonts w:ascii="Times New Roman" w:hAnsi="Times New Roman" w:cs="Times New Roman"/>
          <w:i/>
          <w:iCs/>
        </w:rPr>
        <w:t>Environment International</w:t>
      </w:r>
      <w:r w:rsidRPr="001A7DDB">
        <w:rPr>
          <w:rFonts w:ascii="Times New Roman" w:hAnsi="Times New Roman" w:cs="Times New Roman"/>
        </w:rPr>
        <w:t xml:space="preserve">, </w:t>
      </w:r>
      <w:r w:rsidRPr="001A7DDB">
        <w:rPr>
          <w:rFonts w:ascii="Times New Roman" w:hAnsi="Times New Roman" w:cs="Times New Roman"/>
          <w:i/>
          <w:iCs/>
        </w:rPr>
        <w:t>178</w:t>
      </w:r>
      <w:r w:rsidRPr="001A7DDB">
        <w:rPr>
          <w:rFonts w:ascii="Times New Roman" w:hAnsi="Times New Roman" w:cs="Times New Roman"/>
        </w:rPr>
        <w:t>, 108097. https://doi.org/10.1016/j.envint.2023.108097</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Cani, M., Turco, F., Butticè, S., Vogl, U. M., Buttigliero, C., Novello, S., Capelletto, E., Cani, M., Turco, F., Butticè, S., Vogl, U. M., Buttigliero, C., Novello, S., &amp; Capelletto, E. (2023). How Does Environmental and Occupational Exposure Contribute to Carcinogenesis in Genitourinary and Lung Cancers? </w:t>
      </w:r>
      <w:r w:rsidRPr="001A7DDB">
        <w:rPr>
          <w:rFonts w:ascii="Times New Roman" w:hAnsi="Times New Roman" w:cs="Times New Roman"/>
          <w:i/>
          <w:iCs/>
        </w:rPr>
        <w:t>Cancers</w:t>
      </w:r>
      <w:r w:rsidRPr="001A7DDB">
        <w:rPr>
          <w:rFonts w:ascii="Times New Roman" w:hAnsi="Times New Roman" w:cs="Times New Roman"/>
        </w:rPr>
        <w:t xml:space="preserve">, </w:t>
      </w:r>
      <w:r w:rsidRPr="001A7DDB">
        <w:rPr>
          <w:rFonts w:ascii="Times New Roman" w:hAnsi="Times New Roman" w:cs="Times New Roman"/>
          <w:i/>
          <w:iCs/>
        </w:rPr>
        <w:t>15</w:t>
      </w:r>
      <w:r w:rsidRPr="001A7DDB">
        <w:rPr>
          <w:rFonts w:ascii="Times New Roman" w:hAnsi="Times New Roman" w:cs="Times New Roman"/>
        </w:rPr>
        <w:t>(10). https://doi.org/10.3390/cancers15102836</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Cavalier, H., Trasande, L., &amp; Porta, M. (2023). Exposures to pesticides and risk of cancer: Evaluation of recent epidemiological evidence in humans and paths forward. </w:t>
      </w:r>
      <w:r w:rsidRPr="001A7DDB">
        <w:rPr>
          <w:rFonts w:ascii="Times New Roman" w:hAnsi="Times New Roman" w:cs="Times New Roman"/>
          <w:i/>
          <w:iCs/>
        </w:rPr>
        <w:t>International Journal of Cancer</w:t>
      </w:r>
      <w:r w:rsidRPr="001A7DDB">
        <w:rPr>
          <w:rFonts w:ascii="Times New Roman" w:hAnsi="Times New Roman" w:cs="Times New Roman"/>
        </w:rPr>
        <w:t xml:space="preserve">, </w:t>
      </w:r>
      <w:r w:rsidRPr="001A7DDB">
        <w:rPr>
          <w:rFonts w:ascii="Times New Roman" w:hAnsi="Times New Roman" w:cs="Times New Roman"/>
          <w:i/>
          <w:iCs/>
        </w:rPr>
        <w:t>152</w:t>
      </w:r>
      <w:r w:rsidRPr="001A7DDB">
        <w:rPr>
          <w:rFonts w:ascii="Times New Roman" w:hAnsi="Times New Roman" w:cs="Times New Roman"/>
        </w:rPr>
        <w:t>(5), 879–912. https://doi.org/10.1002/ijc.34300</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Chen, W.-L., Lin, G.-L., Lin, Y.-J., Su, T.-Y., Wang, C.-C., &amp; Wu, W.-T. (n.d.). Cancer risks in a population-based study of agricultural workers: Results from the Taiwan’s Farmers and Health Cohort study. </w:t>
      </w:r>
      <w:r w:rsidRPr="001A7DDB">
        <w:rPr>
          <w:rFonts w:ascii="Times New Roman" w:hAnsi="Times New Roman" w:cs="Times New Roman"/>
          <w:i/>
          <w:iCs/>
        </w:rPr>
        <w:t>Scandinavian Journal of Work, Environment &amp; Health</w:t>
      </w:r>
      <w:r w:rsidRPr="001A7DDB">
        <w:rPr>
          <w:rFonts w:ascii="Times New Roman" w:hAnsi="Times New Roman" w:cs="Times New Roman"/>
        </w:rPr>
        <w:t xml:space="preserve">, </w:t>
      </w:r>
      <w:r w:rsidRPr="001A7DDB">
        <w:rPr>
          <w:rFonts w:ascii="Times New Roman" w:hAnsi="Times New Roman" w:cs="Times New Roman"/>
          <w:i/>
          <w:iCs/>
        </w:rPr>
        <w:t>49</w:t>
      </w:r>
      <w:r w:rsidRPr="001A7DDB">
        <w:rPr>
          <w:rFonts w:ascii="Times New Roman" w:hAnsi="Times New Roman" w:cs="Times New Roman"/>
        </w:rPr>
        <w:t>(6), 419–427. https://doi.org/10.5271/sjweh.4106</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Chinedu James Ezeh, Sandra Chioma Anioke, Sola Oyewole, &amp; Munakur Garnvwa David. (2024). The role of predictive analytics in enhancing public health surveillance: Proactive and data-driven interventions. </w:t>
      </w:r>
      <w:r w:rsidRPr="001A7DDB">
        <w:rPr>
          <w:rFonts w:ascii="Times New Roman" w:hAnsi="Times New Roman" w:cs="Times New Roman"/>
          <w:i/>
          <w:iCs/>
        </w:rPr>
        <w:t>World Journal of Advanced Research and Reviews</w:t>
      </w:r>
      <w:r w:rsidRPr="001A7DDB">
        <w:rPr>
          <w:rFonts w:ascii="Times New Roman" w:hAnsi="Times New Roman" w:cs="Times New Roman"/>
        </w:rPr>
        <w:t xml:space="preserve">, </w:t>
      </w:r>
      <w:r w:rsidRPr="001A7DDB">
        <w:rPr>
          <w:rFonts w:ascii="Times New Roman" w:hAnsi="Times New Roman" w:cs="Times New Roman"/>
          <w:i/>
          <w:iCs/>
        </w:rPr>
        <w:t>24</w:t>
      </w:r>
      <w:r w:rsidRPr="001A7DDB">
        <w:rPr>
          <w:rFonts w:ascii="Times New Roman" w:hAnsi="Times New Roman" w:cs="Times New Roman"/>
        </w:rPr>
        <w:t>(3), 3059–3077. https://doi.org/10.30574/wjarr.2024.24.3.3909</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Descatha, A., Fadel, M., Sembajwe, G., Peters, S., &amp; Evanoff, B. A. (2022). Job-Exposure Matrix: A Useful Tool for Incorporating Workplace Exposure Data Into Population Health </w:t>
      </w:r>
      <w:r w:rsidRPr="001A7DDB">
        <w:rPr>
          <w:rFonts w:ascii="Times New Roman" w:hAnsi="Times New Roman" w:cs="Times New Roman"/>
        </w:rPr>
        <w:lastRenderedPageBreak/>
        <w:t xml:space="preserve">Research and Practice. </w:t>
      </w:r>
      <w:r w:rsidRPr="001A7DDB">
        <w:rPr>
          <w:rFonts w:ascii="Times New Roman" w:hAnsi="Times New Roman" w:cs="Times New Roman"/>
          <w:i/>
          <w:iCs/>
        </w:rPr>
        <w:t>Frontiers in Epidemiology</w:t>
      </w:r>
      <w:r w:rsidRPr="001A7DDB">
        <w:rPr>
          <w:rFonts w:ascii="Times New Roman" w:hAnsi="Times New Roman" w:cs="Times New Roman"/>
        </w:rPr>
        <w:t xml:space="preserve">, </w:t>
      </w:r>
      <w:r w:rsidRPr="001A7DDB">
        <w:rPr>
          <w:rFonts w:ascii="Times New Roman" w:hAnsi="Times New Roman" w:cs="Times New Roman"/>
          <w:i/>
          <w:iCs/>
        </w:rPr>
        <w:t>2</w:t>
      </w:r>
      <w:r w:rsidRPr="001A7DDB">
        <w:rPr>
          <w:rFonts w:ascii="Times New Roman" w:hAnsi="Times New Roman" w:cs="Times New Roman"/>
        </w:rPr>
        <w:t>, 857316. https://doi.org/10.3389/fepid.2022.857316</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Dublino, R., &amp; Ercolano, M. (2025). Artificial intelligence redefines agricultural genetics by unlocking the enigma of genomic complexity. </w:t>
      </w:r>
      <w:r w:rsidRPr="001A7DDB">
        <w:rPr>
          <w:rFonts w:ascii="Times New Roman" w:hAnsi="Times New Roman" w:cs="Times New Roman"/>
          <w:i/>
          <w:iCs/>
        </w:rPr>
        <w:t>The Crop Journal</w:t>
      </w:r>
      <w:r w:rsidRPr="001A7DDB">
        <w:rPr>
          <w:rFonts w:ascii="Times New Roman" w:hAnsi="Times New Roman" w:cs="Times New Roman"/>
        </w:rPr>
        <w:t xml:space="preserve">, </w:t>
      </w:r>
      <w:r w:rsidRPr="001A7DDB">
        <w:rPr>
          <w:rFonts w:ascii="Times New Roman" w:hAnsi="Times New Roman" w:cs="Times New Roman"/>
          <w:i/>
          <w:iCs/>
        </w:rPr>
        <w:t>13</w:t>
      </w:r>
      <w:r w:rsidRPr="001A7DDB">
        <w:rPr>
          <w:rFonts w:ascii="Times New Roman" w:hAnsi="Times New Roman" w:cs="Times New Roman"/>
        </w:rPr>
        <w:t>(5), 1350–1362. https://doi.org/10.1016/j.cj.2025.05.008</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Ekozin, A. A., Isola, O. B., Onyijen, O. H., Omojoyegbe, R. T., Enerijiofi, K. E., &amp; Olaitan, E. O. (2025). Mechanistic insights into </w:t>
      </w:r>
      <w:r w:rsidRPr="001A7DDB">
        <w:rPr>
          <w:rFonts w:ascii="Times New Roman" w:hAnsi="Times New Roman" w:cs="Times New Roman"/>
          <w:i/>
          <w:iCs/>
        </w:rPr>
        <w:t>Ageratum conyzoides L</w:t>
      </w:r>
      <w:r w:rsidRPr="001A7DDB">
        <w:rPr>
          <w:rFonts w:ascii="Times New Roman" w:hAnsi="Times New Roman" w:cs="Times New Roman"/>
        </w:rPr>
        <w:t xml:space="preserve">. in preventing spontaneous abortion: A computational and pharmacological study. </w:t>
      </w:r>
      <w:r w:rsidRPr="001A7DDB">
        <w:rPr>
          <w:rFonts w:ascii="Times New Roman" w:hAnsi="Times New Roman" w:cs="Times New Roman"/>
          <w:i/>
          <w:iCs/>
        </w:rPr>
        <w:t>Pharmacological Research - Natural Products</w:t>
      </w:r>
      <w:r w:rsidRPr="001A7DDB">
        <w:rPr>
          <w:rFonts w:ascii="Times New Roman" w:hAnsi="Times New Roman" w:cs="Times New Roman"/>
        </w:rPr>
        <w:t xml:space="preserve">, </w:t>
      </w:r>
      <w:r w:rsidRPr="001A7DDB">
        <w:rPr>
          <w:rFonts w:ascii="Times New Roman" w:hAnsi="Times New Roman" w:cs="Times New Roman"/>
          <w:i/>
          <w:iCs/>
        </w:rPr>
        <w:t>6</w:t>
      </w:r>
      <w:r w:rsidRPr="001A7DDB">
        <w:rPr>
          <w:rFonts w:ascii="Times New Roman" w:hAnsi="Times New Roman" w:cs="Times New Roman"/>
        </w:rPr>
        <w:t>, 100143. https://doi.org/10.1016/j.prenap.2025.100143</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Elechi, U. S., Udoh, K., Orobator, E. T., Demola, M. B., Tarawallie, M. A., &amp; Lawal, O. P. (2025). Multi-sensor wearables re-shaping care of chronic heart-failure: A narrative review. </w:t>
      </w:r>
      <w:r w:rsidRPr="001A7DDB">
        <w:rPr>
          <w:rFonts w:ascii="Times New Roman" w:hAnsi="Times New Roman" w:cs="Times New Roman"/>
          <w:i/>
          <w:iCs/>
        </w:rPr>
        <w:t>The Indian Journal of Medical Research</w:t>
      </w:r>
      <w:r w:rsidRPr="001A7DDB">
        <w:rPr>
          <w:rFonts w:ascii="Times New Roman" w:hAnsi="Times New Roman" w:cs="Times New Roman"/>
        </w:rPr>
        <w:t xml:space="preserve">, </w:t>
      </w:r>
      <w:r w:rsidRPr="001A7DDB">
        <w:rPr>
          <w:rFonts w:ascii="Times New Roman" w:hAnsi="Times New Roman" w:cs="Times New Roman"/>
          <w:i/>
          <w:iCs/>
        </w:rPr>
        <w:t>162</w:t>
      </w:r>
      <w:r w:rsidRPr="001A7DDB">
        <w:rPr>
          <w:rFonts w:ascii="Times New Roman" w:hAnsi="Times New Roman" w:cs="Times New Roman"/>
        </w:rPr>
        <w:t>(4), 471–478. https://doi.org/10.25259/IJMR_1617_2025</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Enabulele, A. B. O., Omo-Enabulele, A. P., Borokinni, M., Iwerumoh, A. N., Olatunbosun, A., Enobakha, B. O., &amp; Ifionu, E. S. (2025). Agile Leadership in Hybrid Workplaces: Evolving Roles and Competencies of Project Managers. </w:t>
      </w:r>
      <w:r w:rsidRPr="001A7DDB">
        <w:rPr>
          <w:rFonts w:ascii="Times New Roman" w:hAnsi="Times New Roman" w:cs="Times New Roman"/>
          <w:i/>
          <w:iCs/>
        </w:rPr>
        <w:t>Journal of Global Economics, Management and Business Research</w:t>
      </w:r>
      <w:r w:rsidRPr="001A7DDB">
        <w:rPr>
          <w:rFonts w:ascii="Times New Roman" w:hAnsi="Times New Roman" w:cs="Times New Roman"/>
        </w:rPr>
        <w:t xml:space="preserve">, </w:t>
      </w:r>
      <w:r w:rsidRPr="001A7DDB">
        <w:rPr>
          <w:rFonts w:ascii="Times New Roman" w:hAnsi="Times New Roman" w:cs="Times New Roman"/>
          <w:i/>
          <w:iCs/>
        </w:rPr>
        <w:t>17</w:t>
      </w:r>
      <w:r w:rsidRPr="001A7DDB">
        <w:rPr>
          <w:rFonts w:ascii="Times New Roman" w:hAnsi="Times New Roman" w:cs="Times New Roman"/>
        </w:rPr>
        <w:t>(3), 211–225. https://doi.org/10.56557/jgembr/2025/v17i39756</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Gatto, N. M., Ogata, P., Lytle, B., Gatto, N. M., Ogata, P., &amp; Lytle, B. (2021). Farming, Pesticides, and Brain Cancer: A 20-Year Updated Systematic Literature Review and Meta-Analysis. </w:t>
      </w:r>
      <w:r w:rsidRPr="001A7DDB">
        <w:rPr>
          <w:rFonts w:ascii="Times New Roman" w:hAnsi="Times New Roman" w:cs="Times New Roman"/>
          <w:i/>
          <w:iCs/>
        </w:rPr>
        <w:t>Cancers</w:t>
      </w:r>
      <w:r w:rsidRPr="001A7DDB">
        <w:rPr>
          <w:rFonts w:ascii="Times New Roman" w:hAnsi="Times New Roman" w:cs="Times New Roman"/>
        </w:rPr>
        <w:t xml:space="preserve">, </w:t>
      </w:r>
      <w:r w:rsidRPr="001A7DDB">
        <w:rPr>
          <w:rFonts w:ascii="Times New Roman" w:hAnsi="Times New Roman" w:cs="Times New Roman"/>
          <w:i/>
          <w:iCs/>
        </w:rPr>
        <w:t>13</w:t>
      </w:r>
      <w:r w:rsidRPr="001A7DDB">
        <w:rPr>
          <w:rFonts w:ascii="Times New Roman" w:hAnsi="Times New Roman" w:cs="Times New Roman"/>
        </w:rPr>
        <w:t>(17). https://doi.org/10.3390/cancers13174477</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lastRenderedPageBreak/>
        <w:t xml:space="preserve">Gerken, J., Vincent, G. T., Zapata, D., Barron, I. G., &amp; Zapata, I. (2024). Comprehensive assessment of pesticide use patterns and increased cancer risk. </w:t>
      </w:r>
      <w:r w:rsidRPr="001A7DDB">
        <w:rPr>
          <w:rFonts w:ascii="Times New Roman" w:hAnsi="Times New Roman" w:cs="Times New Roman"/>
          <w:i/>
          <w:iCs/>
        </w:rPr>
        <w:t>Frontiers in Cancer Control and Society</w:t>
      </w:r>
      <w:r w:rsidRPr="001A7DDB">
        <w:rPr>
          <w:rFonts w:ascii="Times New Roman" w:hAnsi="Times New Roman" w:cs="Times New Roman"/>
        </w:rPr>
        <w:t xml:space="preserve">, </w:t>
      </w:r>
      <w:r w:rsidRPr="001A7DDB">
        <w:rPr>
          <w:rFonts w:ascii="Times New Roman" w:hAnsi="Times New Roman" w:cs="Times New Roman"/>
          <w:i/>
          <w:iCs/>
        </w:rPr>
        <w:t>2</w:t>
      </w:r>
      <w:r w:rsidRPr="001A7DDB">
        <w:rPr>
          <w:rFonts w:ascii="Times New Roman" w:hAnsi="Times New Roman" w:cs="Times New Roman"/>
        </w:rPr>
        <w:t>. https://doi.org/10.3389/fcacs.2024.1368086</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Halder, R. K., Lima, M. A., Uddin, M. N., Islam, Md. A., &amp; Saha, A. (2025). Integrated feature selection-based stacking ensemble model using optimized hyperparameters to predict breast cancer with smart web application. </w:t>
      </w:r>
      <w:r w:rsidRPr="001A7DDB">
        <w:rPr>
          <w:rFonts w:ascii="Times New Roman" w:hAnsi="Times New Roman" w:cs="Times New Roman"/>
          <w:i/>
          <w:iCs/>
        </w:rPr>
        <w:t>Clinical eHealth</w:t>
      </w:r>
      <w:r w:rsidRPr="001A7DDB">
        <w:rPr>
          <w:rFonts w:ascii="Times New Roman" w:hAnsi="Times New Roman" w:cs="Times New Roman"/>
        </w:rPr>
        <w:t xml:space="preserve">, </w:t>
      </w:r>
      <w:r w:rsidRPr="001A7DDB">
        <w:rPr>
          <w:rFonts w:ascii="Times New Roman" w:hAnsi="Times New Roman" w:cs="Times New Roman"/>
          <w:i/>
          <w:iCs/>
        </w:rPr>
        <w:t>8</w:t>
      </w:r>
      <w:r w:rsidRPr="001A7DDB">
        <w:rPr>
          <w:rFonts w:ascii="Times New Roman" w:hAnsi="Times New Roman" w:cs="Times New Roman"/>
        </w:rPr>
        <w:t>, 146–161. https://doi.org/10.1016/j.ceh.2025.08.001</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Hoghooghi Esfahani, H., Toyonaga, S., &amp; Oyibo, K. (2025). The application of explainable artificial intelligence in the prediction, diagnoses, treatment, and management of chronic diseases: A systematic review. </w:t>
      </w:r>
      <w:r w:rsidRPr="001A7DDB">
        <w:rPr>
          <w:rFonts w:ascii="Times New Roman" w:hAnsi="Times New Roman" w:cs="Times New Roman"/>
          <w:i/>
          <w:iCs/>
        </w:rPr>
        <w:t>Digital Health</w:t>
      </w:r>
      <w:r w:rsidRPr="001A7DDB">
        <w:rPr>
          <w:rFonts w:ascii="Times New Roman" w:hAnsi="Times New Roman" w:cs="Times New Roman"/>
        </w:rPr>
        <w:t xml:space="preserve">, </w:t>
      </w:r>
      <w:r w:rsidRPr="001A7DDB">
        <w:rPr>
          <w:rFonts w:ascii="Times New Roman" w:hAnsi="Times New Roman" w:cs="Times New Roman"/>
          <w:i/>
          <w:iCs/>
        </w:rPr>
        <w:t>11</w:t>
      </w:r>
      <w:r w:rsidRPr="001A7DDB">
        <w:rPr>
          <w:rFonts w:ascii="Times New Roman" w:hAnsi="Times New Roman" w:cs="Times New Roman"/>
        </w:rPr>
        <w:t>, 20552076251355669. https://doi.org/10.1177/20552076251355669</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Kwarah, W., Vroom, F. B. da-Costa, Dwomoh, D., &amp; Bosomprah, S. (2025). Evaluating predictive performance, validity, and applicability of machine learning models for predicting HIV treatment interruption: A systematic review. </w:t>
      </w:r>
      <w:r w:rsidRPr="001A7DDB">
        <w:rPr>
          <w:rFonts w:ascii="Times New Roman" w:hAnsi="Times New Roman" w:cs="Times New Roman"/>
          <w:i/>
          <w:iCs/>
        </w:rPr>
        <w:t>BMC Global and Public Health</w:t>
      </w:r>
      <w:r w:rsidRPr="001A7DDB">
        <w:rPr>
          <w:rFonts w:ascii="Times New Roman" w:hAnsi="Times New Roman" w:cs="Times New Roman"/>
        </w:rPr>
        <w:t xml:space="preserve">, </w:t>
      </w:r>
      <w:r w:rsidRPr="001A7DDB">
        <w:rPr>
          <w:rFonts w:ascii="Times New Roman" w:hAnsi="Times New Roman" w:cs="Times New Roman"/>
          <w:i/>
          <w:iCs/>
        </w:rPr>
        <w:t>3</w:t>
      </w:r>
      <w:r w:rsidRPr="001A7DDB">
        <w:rPr>
          <w:rFonts w:ascii="Times New Roman" w:hAnsi="Times New Roman" w:cs="Times New Roman"/>
        </w:rPr>
        <w:t>, 64. https://doi.org/10.1186/s44263-025-00184-4</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Lawal, O. P., Igwe, E. P., Olosunde, A., Chisom, E. P., Okeh, D. U., Olowookere, A. K., Adedayo, O. A., Agu, C. P., Mustapha, F. A., Odubo, F., &amp; Orobator, E. T. (2025). Integrating Real-Time Data and Machine Learning in Predicting Infectious Disease Outbreaks: Enhancing Response Strategies in Sub-Saharan Africa. </w:t>
      </w:r>
      <w:r w:rsidRPr="001A7DDB">
        <w:rPr>
          <w:rFonts w:ascii="Times New Roman" w:hAnsi="Times New Roman" w:cs="Times New Roman"/>
          <w:i/>
          <w:iCs/>
        </w:rPr>
        <w:t>Asian Journal of Microbiology and Biotechnology</w:t>
      </w:r>
      <w:r w:rsidRPr="001A7DDB">
        <w:rPr>
          <w:rFonts w:ascii="Times New Roman" w:hAnsi="Times New Roman" w:cs="Times New Roman"/>
        </w:rPr>
        <w:t xml:space="preserve">, </w:t>
      </w:r>
      <w:r w:rsidRPr="001A7DDB">
        <w:rPr>
          <w:rFonts w:ascii="Times New Roman" w:hAnsi="Times New Roman" w:cs="Times New Roman"/>
          <w:i/>
          <w:iCs/>
        </w:rPr>
        <w:t>10</w:t>
      </w:r>
      <w:r w:rsidRPr="001A7DDB">
        <w:rPr>
          <w:rFonts w:ascii="Times New Roman" w:hAnsi="Times New Roman" w:cs="Times New Roman"/>
        </w:rPr>
        <w:t>(1), 147–163. https://doi.org/10.56557/ajmab/2025/v10i19371</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Lawal, O. P., Njoba, C. F., Olorunkosebi, M. T., Jacob, H., Igweonu, C., Dilioha, J. O., Fagbemi, B. T., Amesimenu, R., Jimoh, T. S., &amp; Obiechi, M. N. (2025). Microplastics as emerging </w:t>
      </w:r>
      <w:r w:rsidRPr="001A7DDB">
        <w:rPr>
          <w:rFonts w:ascii="Times New Roman" w:hAnsi="Times New Roman" w:cs="Times New Roman"/>
        </w:rPr>
        <w:lastRenderedPageBreak/>
        <w:t xml:space="preserve">reservoirs of antimicrobial resistance: Clinical relevance and environmental mechanisms. </w:t>
      </w:r>
      <w:r w:rsidRPr="001A7DDB">
        <w:rPr>
          <w:rFonts w:ascii="Times New Roman" w:hAnsi="Times New Roman" w:cs="Times New Roman"/>
          <w:i/>
          <w:iCs/>
        </w:rPr>
        <w:t>Journal of Clinical and Experimental Investigations</w:t>
      </w:r>
      <w:r w:rsidRPr="001A7DDB">
        <w:rPr>
          <w:rFonts w:ascii="Times New Roman" w:hAnsi="Times New Roman" w:cs="Times New Roman"/>
        </w:rPr>
        <w:t xml:space="preserve">, </w:t>
      </w:r>
      <w:r w:rsidRPr="001A7DDB">
        <w:rPr>
          <w:rFonts w:ascii="Times New Roman" w:hAnsi="Times New Roman" w:cs="Times New Roman"/>
          <w:i/>
          <w:iCs/>
        </w:rPr>
        <w:t>16</w:t>
      </w:r>
      <w:r w:rsidRPr="001A7DDB">
        <w:rPr>
          <w:rFonts w:ascii="Times New Roman" w:hAnsi="Times New Roman" w:cs="Times New Roman"/>
        </w:rPr>
        <w:t>(4), em00852. https://doi.org/10.29333/jcei/17401</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Li, Y., Chen, B., Yang, S., Jiao, Z., Zhang, M., Yang, Y., &amp; Gao, Y. (2025). Advances in environmental pollutant detection techniques: Enhancing public health monitoring and risk assessment. </w:t>
      </w:r>
      <w:r w:rsidRPr="001A7DDB">
        <w:rPr>
          <w:rFonts w:ascii="Times New Roman" w:hAnsi="Times New Roman" w:cs="Times New Roman"/>
          <w:i/>
          <w:iCs/>
        </w:rPr>
        <w:t>Environment International</w:t>
      </w:r>
      <w:r w:rsidRPr="001A7DDB">
        <w:rPr>
          <w:rFonts w:ascii="Times New Roman" w:hAnsi="Times New Roman" w:cs="Times New Roman"/>
        </w:rPr>
        <w:t xml:space="preserve">, </w:t>
      </w:r>
      <w:r w:rsidRPr="001A7DDB">
        <w:rPr>
          <w:rFonts w:ascii="Times New Roman" w:hAnsi="Times New Roman" w:cs="Times New Roman"/>
          <w:i/>
          <w:iCs/>
        </w:rPr>
        <w:t>197</w:t>
      </w:r>
      <w:r w:rsidRPr="001A7DDB">
        <w:rPr>
          <w:rFonts w:ascii="Times New Roman" w:hAnsi="Times New Roman" w:cs="Times New Roman"/>
        </w:rPr>
        <w:t>, 109365. https://doi.org/10.1016/j.envint.2025.109365</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Lipfert, F. W., &amp; Wyzga, R. E. (2019). Longitudinal relationships between lung cancer mortality rates, smoking, and ambient air quality: A comprehensive review and analysis. </w:t>
      </w:r>
      <w:r w:rsidRPr="001A7DDB">
        <w:rPr>
          <w:rFonts w:ascii="Times New Roman" w:hAnsi="Times New Roman" w:cs="Times New Roman"/>
          <w:i/>
          <w:iCs/>
        </w:rPr>
        <w:t>Critical Reviews in Toxicology</w:t>
      </w:r>
      <w:r w:rsidRPr="001A7DDB">
        <w:rPr>
          <w:rFonts w:ascii="Times New Roman" w:hAnsi="Times New Roman" w:cs="Times New Roman"/>
        </w:rPr>
        <w:t xml:space="preserve">, </w:t>
      </w:r>
      <w:r w:rsidRPr="001A7DDB">
        <w:rPr>
          <w:rFonts w:ascii="Times New Roman" w:hAnsi="Times New Roman" w:cs="Times New Roman"/>
          <w:i/>
          <w:iCs/>
        </w:rPr>
        <w:t>49</w:t>
      </w:r>
      <w:r w:rsidRPr="001A7DDB">
        <w:rPr>
          <w:rFonts w:ascii="Times New Roman" w:hAnsi="Times New Roman" w:cs="Times New Roman"/>
        </w:rPr>
        <w:t>(9), 790–818. https://doi.org/10.1080/10408444.2019.1700210</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Little, M. P., Eidemüller, M., Kaiser, J. C., &amp; Apostoaei, A. I. (2024). Minimum latency effects for cancer associated with exposures to radiation or other carcinogens. </w:t>
      </w:r>
      <w:r w:rsidRPr="001A7DDB">
        <w:rPr>
          <w:rFonts w:ascii="Times New Roman" w:hAnsi="Times New Roman" w:cs="Times New Roman"/>
          <w:i/>
          <w:iCs/>
        </w:rPr>
        <w:t>British Journal of Cancer</w:t>
      </w:r>
      <w:r w:rsidRPr="001A7DDB">
        <w:rPr>
          <w:rFonts w:ascii="Times New Roman" w:hAnsi="Times New Roman" w:cs="Times New Roman"/>
        </w:rPr>
        <w:t xml:space="preserve">, </w:t>
      </w:r>
      <w:r w:rsidRPr="001A7DDB">
        <w:rPr>
          <w:rFonts w:ascii="Times New Roman" w:hAnsi="Times New Roman" w:cs="Times New Roman"/>
          <w:i/>
          <w:iCs/>
        </w:rPr>
        <w:t>130</w:t>
      </w:r>
      <w:r w:rsidRPr="001A7DDB">
        <w:rPr>
          <w:rFonts w:ascii="Times New Roman" w:hAnsi="Times New Roman" w:cs="Times New Roman"/>
        </w:rPr>
        <w:t>(5), 819–829. https://doi.org/10.1038/s41416-023-02544-z</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Ozoh, P. N., Axelman, J., Aldrich, A., Duquesne, S., Jupke, J., Liess, M., Scharlach, P., Siddique, A., Loureiro, S., &amp; Schäfer, R. B. (2026). Benchmarking environmental risks of plant protection products: Toward a comparative and systems-based approach in the EU pesticide regulation. </w:t>
      </w:r>
      <w:r w:rsidRPr="001A7DDB">
        <w:rPr>
          <w:rFonts w:ascii="Times New Roman" w:hAnsi="Times New Roman" w:cs="Times New Roman"/>
          <w:i/>
          <w:iCs/>
        </w:rPr>
        <w:t>Environment International</w:t>
      </w:r>
      <w:r w:rsidRPr="001A7DDB">
        <w:rPr>
          <w:rFonts w:ascii="Times New Roman" w:hAnsi="Times New Roman" w:cs="Times New Roman"/>
        </w:rPr>
        <w:t xml:space="preserve">, </w:t>
      </w:r>
      <w:r w:rsidRPr="001A7DDB">
        <w:rPr>
          <w:rFonts w:ascii="Times New Roman" w:hAnsi="Times New Roman" w:cs="Times New Roman"/>
          <w:i/>
          <w:iCs/>
        </w:rPr>
        <w:t>207</w:t>
      </w:r>
      <w:r w:rsidRPr="001A7DDB">
        <w:rPr>
          <w:rFonts w:ascii="Times New Roman" w:hAnsi="Times New Roman" w:cs="Times New Roman"/>
        </w:rPr>
        <w:t>, 110013. https://doi.org/10.1016/j.envint.2025.110013</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Pennisi, F., Borlini, S., Harrison, H., Cuciniello, R., D’Amelio, A. C., Barclay, M., Ricciardi, G. E., Lyratzopoulos, G., &amp; Renzi, C. (2025). Cancer Risk Prediction Using Machine Learning for Supporting Early Cancer Diagnosis in Symptomatic Patients: A Systematic Review of Model Types. </w:t>
      </w:r>
      <w:r w:rsidRPr="001A7DDB">
        <w:rPr>
          <w:rFonts w:ascii="Times New Roman" w:hAnsi="Times New Roman" w:cs="Times New Roman"/>
          <w:i/>
          <w:iCs/>
        </w:rPr>
        <w:t>Cancer Medicine</w:t>
      </w:r>
      <w:r w:rsidRPr="001A7DDB">
        <w:rPr>
          <w:rFonts w:ascii="Times New Roman" w:hAnsi="Times New Roman" w:cs="Times New Roman"/>
        </w:rPr>
        <w:t xml:space="preserve">, </w:t>
      </w:r>
      <w:r w:rsidRPr="001A7DDB">
        <w:rPr>
          <w:rFonts w:ascii="Times New Roman" w:hAnsi="Times New Roman" w:cs="Times New Roman"/>
          <w:i/>
          <w:iCs/>
        </w:rPr>
        <w:t>14</w:t>
      </w:r>
      <w:r w:rsidRPr="001A7DDB">
        <w:rPr>
          <w:rFonts w:ascii="Times New Roman" w:hAnsi="Times New Roman" w:cs="Times New Roman"/>
        </w:rPr>
        <w:t>(24), e71463. https://doi.org/10.1002/cam4.71463</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lastRenderedPageBreak/>
        <w:t xml:space="preserve">Proietto, M., Crippa, M., Damiani, C., Pasquale, V., Sacco, E., Vanoni, M., &amp; Gilardi, M. (2023). Tumor heterogeneity: Preclinical models, emerging technologies, and future applications. </w:t>
      </w:r>
      <w:r w:rsidRPr="001A7DDB">
        <w:rPr>
          <w:rFonts w:ascii="Times New Roman" w:hAnsi="Times New Roman" w:cs="Times New Roman"/>
          <w:i/>
          <w:iCs/>
        </w:rPr>
        <w:t>Frontiers in Oncology</w:t>
      </w:r>
      <w:r w:rsidRPr="001A7DDB">
        <w:rPr>
          <w:rFonts w:ascii="Times New Roman" w:hAnsi="Times New Roman" w:cs="Times New Roman"/>
        </w:rPr>
        <w:t xml:space="preserve">, </w:t>
      </w:r>
      <w:r w:rsidRPr="001A7DDB">
        <w:rPr>
          <w:rFonts w:ascii="Times New Roman" w:hAnsi="Times New Roman" w:cs="Times New Roman"/>
          <w:i/>
          <w:iCs/>
        </w:rPr>
        <w:t>13</w:t>
      </w:r>
      <w:r w:rsidRPr="001A7DDB">
        <w:rPr>
          <w:rFonts w:ascii="Times New Roman" w:hAnsi="Times New Roman" w:cs="Times New Roman"/>
        </w:rPr>
        <w:t>, 1164535. https://doi.org/10.3389/fonc.2023.1164535</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Rondón-Cordero, V. H., Montuori, L., Alcázar-Ortega, M., &amp; Siano, P. (2025). Advancements in hybrid and ensemble ML models for energy consumption forecasting: Results and challenges of their applications. </w:t>
      </w:r>
      <w:r w:rsidRPr="001A7DDB">
        <w:rPr>
          <w:rFonts w:ascii="Times New Roman" w:hAnsi="Times New Roman" w:cs="Times New Roman"/>
          <w:i/>
          <w:iCs/>
        </w:rPr>
        <w:t>Renewable and Sustainable Energy Reviews</w:t>
      </w:r>
      <w:r w:rsidRPr="001A7DDB">
        <w:rPr>
          <w:rFonts w:ascii="Times New Roman" w:hAnsi="Times New Roman" w:cs="Times New Roman"/>
        </w:rPr>
        <w:t xml:space="preserve">, </w:t>
      </w:r>
      <w:r w:rsidRPr="001A7DDB">
        <w:rPr>
          <w:rFonts w:ascii="Times New Roman" w:hAnsi="Times New Roman" w:cs="Times New Roman"/>
          <w:i/>
          <w:iCs/>
        </w:rPr>
        <w:t>224</w:t>
      </w:r>
      <w:r w:rsidRPr="001A7DDB">
        <w:rPr>
          <w:rFonts w:ascii="Times New Roman" w:hAnsi="Times New Roman" w:cs="Times New Roman"/>
        </w:rPr>
        <w:t>, 116095. https://doi.org/10.1016/j.rser.2025.116095</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Schor, J., Schulze, T., Ulrich, N., Mutlu, İ., Krauss, M., Brack, W., Doan, T., Bingert, S., Bumberger, J., Busch, W., &amp; Hackermüller, J. (2025). Chemical mixture risk drivers and their heterogeneity in European freshwaters. </w:t>
      </w:r>
      <w:r w:rsidRPr="001A7DDB">
        <w:rPr>
          <w:rFonts w:ascii="Times New Roman" w:hAnsi="Times New Roman" w:cs="Times New Roman"/>
          <w:i/>
          <w:iCs/>
        </w:rPr>
        <w:t>Environment International</w:t>
      </w:r>
      <w:r w:rsidRPr="001A7DDB">
        <w:rPr>
          <w:rFonts w:ascii="Times New Roman" w:hAnsi="Times New Roman" w:cs="Times New Roman"/>
        </w:rPr>
        <w:t xml:space="preserve">, </w:t>
      </w:r>
      <w:r w:rsidRPr="001A7DDB">
        <w:rPr>
          <w:rFonts w:ascii="Times New Roman" w:hAnsi="Times New Roman" w:cs="Times New Roman"/>
          <w:i/>
          <w:iCs/>
        </w:rPr>
        <w:t>205</w:t>
      </w:r>
      <w:r w:rsidRPr="001A7DDB">
        <w:rPr>
          <w:rFonts w:ascii="Times New Roman" w:hAnsi="Times New Roman" w:cs="Times New Roman"/>
        </w:rPr>
        <w:t>, 109881. https://doi.org/10.1016/j.envint.2025.109881</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Shehu, H., Sunday, O., Ojo, D. A., Afolayan, O. N., Adebanjo, T. A., Eromosele, E. I., Enabulele, A. B. O., Okpoko, O. A., Okeke, F. C., &amp; Enobakhare, B. O. (2025). Conceptual Framework for Smart Sensor–driven Predictive Maintenance in Infrastructure Management. </w:t>
      </w:r>
      <w:r w:rsidRPr="001A7DDB">
        <w:rPr>
          <w:rFonts w:ascii="Times New Roman" w:hAnsi="Times New Roman" w:cs="Times New Roman"/>
          <w:i/>
          <w:iCs/>
        </w:rPr>
        <w:t>Journal of Engineering Research and Reports</w:t>
      </w:r>
      <w:r w:rsidRPr="001A7DDB">
        <w:rPr>
          <w:rFonts w:ascii="Times New Roman" w:hAnsi="Times New Roman" w:cs="Times New Roman"/>
        </w:rPr>
        <w:t xml:space="preserve">, </w:t>
      </w:r>
      <w:r w:rsidRPr="001A7DDB">
        <w:rPr>
          <w:rFonts w:ascii="Times New Roman" w:hAnsi="Times New Roman" w:cs="Times New Roman"/>
          <w:i/>
          <w:iCs/>
        </w:rPr>
        <w:t>27</w:t>
      </w:r>
      <w:r w:rsidRPr="001A7DDB">
        <w:rPr>
          <w:rFonts w:ascii="Times New Roman" w:hAnsi="Times New Roman" w:cs="Times New Roman"/>
        </w:rPr>
        <w:t>(9), 25–40. https://doi.org/10.9734/jerr/2025/v27i91623</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Tagkas, C. F., Rizos, E. C., Markozannes, G., Karalexi, M. A., Wairegi, L., Ntzani, E. E., Tagkas, C. F., Rizos, E. C., Markozannes, G., Karalexi, M. A., Wairegi, L., &amp; Ntzani, E. E. (2024). Fertilizers and Human Health—A Systematic Review of the Epidemiological Evidence. </w:t>
      </w:r>
      <w:r w:rsidRPr="001A7DDB">
        <w:rPr>
          <w:rFonts w:ascii="Times New Roman" w:hAnsi="Times New Roman" w:cs="Times New Roman"/>
          <w:i/>
          <w:iCs/>
        </w:rPr>
        <w:t>Toxics</w:t>
      </w:r>
      <w:r w:rsidRPr="001A7DDB">
        <w:rPr>
          <w:rFonts w:ascii="Times New Roman" w:hAnsi="Times New Roman" w:cs="Times New Roman"/>
        </w:rPr>
        <w:t xml:space="preserve">, </w:t>
      </w:r>
      <w:r w:rsidRPr="001A7DDB">
        <w:rPr>
          <w:rFonts w:ascii="Times New Roman" w:hAnsi="Times New Roman" w:cs="Times New Roman"/>
          <w:i/>
          <w:iCs/>
        </w:rPr>
        <w:t>12</w:t>
      </w:r>
      <w:r w:rsidRPr="001A7DDB">
        <w:rPr>
          <w:rFonts w:ascii="Times New Roman" w:hAnsi="Times New Roman" w:cs="Times New Roman"/>
        </w:rPr>
        <w:t>(10). https://doi.org/10.3390/toxics12100694</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Tan, J., Ma, M., Shen, X., Xia, Y., &amp; Qin, W. (2024). Potential lethality of organochlorine pesticides: Inducing fatality through inflammatory responses in the organism. </w:t>
      </w:r>
      <w:r w:rsidRPr="001A7DDB">
        <w:rPr>
          <w:rFonts w:ascii="Times New Roman" w:hAnsi="Times New Roman" w:cs="Times New Roman"/>
          <w:i/>
          <w:iCs/>
        </w:rPr>
        <w:lastRenderedPageBreak/>
        <w:t>Ecotoxicology and Environmental Safety</w:t>
      </w:r>
      <w:r w:rsidRPr="001A7DDB">
        <w:rPr>
          <w:rFonts w:ascii="Times New Roman" w:hAnsi="Times New Roman" w:cs="Times New Roman"/>
        </w:rPr>
        <w:t xml:space="preserve">, </w:t>
      </w:r>
      <w:r w:rsidRPr="001A7DDB">
        <w:rPr>
          <w:rFonts w:ascii="Times New Roman" w:hAnsi="Times New Roman" w:cs="Times New Roman"/>
          <w:i/>
          <w:iCs/>
        </w:rPr>
        <w:t>279</w:t>
      </w:r>
      <w:r w:rsidRPr="001A7DDB">
        <w:rPr>
          <w:rFonts w:ascii="Times New Roman" w:hAnsi="Times New Roman" w:cs="Times New Roman"/>
        </w:rPr>
        <w:t>, 116508. https://doi.org/10.1016/j.ecoenv.2024.116508</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Toma, M., Wei, O. C., Toma, M., &amp; Wei, O. C. (2023). Predictive Modeling in Medicine. </w:t>
      </w:r>
      <w:r w:rsidRPr="001A7DDB">
        <w:rPr>
          <w:rFonts w:ascii="Times New Roman" w:hAnsi="Times New Roman" w:cs="Times New Roman"/>
          <w:i/>
          <w:iCs/>
        </w:rPr>
        <w:t>Encyclopedia</w:t>
      </w:r>
      <w:r w:rsidRPr="001A7DDB">
        <w:rPr>
          <w:rFonts w:ascii="Times New Roman" w:hAnsi="Times New Roman" w:cs="Times New Roman"/>
        </w:rPr>
        <w:t xml:space="preserve">, </w:t>
      </w:r>
      <w:r w:rsidRPr="001A7DDB">
        <w:rPr>
          <w:rFonts w:ascii="Times New Roman" w:hAnsi="Times New Roman" w:cs="Times New Roman"/>
          <w:i/>
          <w:iCs/>
        </w:rPr>
        <w:t>3</w:t>
      </w:r>
      <w:r w:rsidRPr="001A7DDB">
        <w:rPr>
          <w:rFonts w:ascii="Times New Roman" w:hAnsi="Times New Roman" w:cs="Times New Roman"/>
        </w:rPr>
        <w:t>(2), 590–601. https://doi.org/10.3390/encyclopedia3020042</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Tudi, M., Ruan, H. D., Wang, L., Lyu, J., Sadler, R., Connell, D., Chu, C., Phung, D. T., Tudi, M., Ruan, H. D., Wang, L., Lyu, J., Sadler, R., Connell, D., Chu, C., &amp; Phung, D. T. (2021). Agriculture Development, Pesticide Application and Its Impact on the Environment. </w:t>
      </w:r>
      <w:r w:rsidRPr="001A7DDB">
        <w:rPr>
          <w:rFonts w:ascii="Times New Roman" w:hAnsi="Times New Roman" w:cs="Times New Roman"/>
          <w:i/>
          <w:iCs/>
        </w:rPr>
        <w:t>International Journal of Environmental Research and Public Health</w:t>
      </w:r>
      <w:r w:rsidRPr="001A7DDB">
        <w:rPr>
          <w:rFonts w:ascii="Times New Roman" w:hAnsi="Times New Roman" w:cs="Times New Roman"/>
        </w:rPr>
        <w:t xml:space="preserve">, </w:t>
      </w:r>
      <w:r w:rsidRPr="001A7DDB">
        <w:rPr>
          <w:rFonts w:ascii="Times New Roman" w:hAnsi="Times New Roman" w:cs="Times New Roman"/>
          <w:i/>
          <w:iCs/>
        </w:rPr>
        <w:t>18</w:t>
      </w:r>
      <w:r w:rsidRPr="001A7DDB">
        <w:rPr>
          <w:rFonts w:ascii="Times New Roman" w:hAnsi="Times New Roman" w:cs="Times New Roman"/>
        </w:rPr>
        <w:t>(3). https://doi.org/10.3390/ijerph18031112</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Zhang, M., &amp; Kim, R. (2025). Occupational health in agriculture: A re-emerging frontier in worker protection. </w:t>
      </w:r>
      <w:r w:rsidRPr="001A7DDB">
        <w:rPr>
          <w:rFonts w:ascii="Times New Roman" w:hAnsi="Times New Roman" w:cs="Times New Roman"/>
          <w:i/>
          <w:iCs/>
        </w:rPr>
        <w:t>Global Health Journal</w:t>
      </w:r>
      <w:r w:rsidRPr="001A7DDB">
        <w:rPr>
          <w:rFonts w:ascii="Times New Roman" w:hAnsi="Times New Roman" w:cs="Times New Roman"/>
        </w:rPr>
        <w:t xml:space="preserve">, </w:t>
      </w:r>
      <w:r w:rsidRPr="001A7DDB">
        <w:rPr>
          <w:rFonts w:ascii="Times New Roman" w:hAnsi="Times New Roman" w:cs="Times New Roman"/>
          <w:i/>
          <w:iCs/>
        </w:rPr>
        <w:t>9</w:t>
      </w:r>
      <w:r w:rsidRPr="001A7DDB">
        <w:rPr>
          <w:rFonts w:ascii="Times New Roman" w:hAnsi="Times New Roman" w:cs="Times New Roman"/>
        </w:rPr>
        <w:t>(2), 65–71. https://doi.org/10.1016/j.glohj.2025.06.001</w:t>
      </w:r>
    </w:p>
    <w:p w:rsidR="001A7DDB" w:rsidRPr="001A7DDB" w:rsidRDefault="001A7DDB" w:rsidP="001A7DDB">
      <w:pPr>
        <w:pStyle w:val="Bibliography"/>
        <w:rPr>
          <w:rFonts w:ascii="Times New Roman" w:hAnsi="Times New Roman" w:cs="Times New Roman"/>
        </w:rPr>
      </w:pPr>
      <w:r w:rsidRPr="001A7DDB">
        <w:rPr>
          <w:rFonts w:ascii="Times New Roman" w:hAnsi="Times New Roman" w:cs="Times New Roman"/>
        </w:rPr>
        <w:t xml:space="preserve">Zhou, W., Li, M., &amp; Achal, V. (2025). A comprehensive review on environmental and human health impacts of chemical pesticide usage. </w:t>
      </w:r>
      <w:r w:rsidRPr="001A7DDB">
        <w:rPr>
          <w:rFonts w:ascii="Times New Roman" w:hAnsi="Times New Roman" w:cs="Times New Roman"/>
          <w:i/>
          <w:iCs/>
        </w:rPr>
        <w:t>Emerging Contaminants</w:t>
      </w:r>
      <w:r w:rsidRPr="001A7DDB">
        <w:rPr>
          <w:rFonts w:ascii="Times New Roman" w:hAnsi="Times New Roman" w:cs="Times New Roman"/>
        </w:rPr>
        <w:t xml:space="preserve">, </w:t>
      </w:r>
      <w:r w:rsidRPr="001A7DDB">
        <w:rPr>
          <w:rFonts w:ascii="Times New Roman" w:hAnsi="Times New Roman" w:cs="Times New Roman"/>
          <w:i/>
          <w:iCs/>
        </w:rPr>
        <w:t>11</w:t>
      </w:r>
      <w:r w:rsidRPr="001A7DDB">
        <w:rPr>
          <w:rFonts w:ascii="Times New Roman" w:hAnsi="Times New Roman" w:cs="Times New Roman"/>
        </w:rPr>
        <w:t>(1), 100410. https://doi.org/10.1016/j.emcon.2024.100410</w:t>
      </w:r>
    </w:p>
    <w:p w:rsidR="00AC656D" w:rsidRPr="00AC656D" w:rsidRDefault="00174E1E" w:rsidP="004212E0">
      <w:pPr>
        <w:rPr>
          <w:rFonts w:ascii="Times New Roman" w:hAnsi="Times New Roman" w:cs="Times New Roman"/>
          <w:b/>
        </w:rPr>
      </w:pPr>
      <w:r>
        <w:rPr>
          <w:rFonts w:ascii="Times New Roman" w:hAnsi="Times New Roman" w:cs="Times New Roman"/>
          <w:b/>
        </w:rPr>
        <w:fldChar w:fldCharType="end"/>
      </w:r>
    </w:p>
    <w:sectPr w:rsidR="00AC656D" w:rsidRPr="00AC656D" w:rsidSect="000F13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9DB" w:rsidRDefault="003609DB" w:rsidP="00D1254E">
      <w:pPr>
        <w:spacing w:after="0" w:line="240" w:lineRule="auto"/>
      </w:pPr>
      <w:r>
        <w:separator/>
      </w:r>
    </w:p>
  </w:endnote>
  <w:endnote w:type="continuationSeparator" w:id="0">
    <w:p w:rsidR="003609DB" w:rsidRDefault="003609DB" w:rsidP="00D1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4E" w:rsidRDefault="00D12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4E" w:rsidRDefault="00D12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4E" w:rsidRDefault="00D1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9DB" w:rsidRDefault="003609DB" w:rsidP="00D1254E">
      <w:pPr>
        <w:spacing w:after="0" w:line="240" w:lineRule="auto"/>
      </w:pPr>
      <w:r>
        <w:separator/>
      </w:r>
    </w:p>
  </w:footnote>
  <w:footnote w:type="continuationSeparator" w:id="0">
    <w:p w:rsidR="003609DB" w:rsidRDefault="003609DB" w:rsidP="00D1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4E" w:rsidRDefault="00D125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49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4E" w:rsidRDefault="00D125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49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4E" w:rsidRDefault="00D125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49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D303D"/>
    <w:multiLevelType w:val="multilevel"/>
    <w:tmpl w:val="7F30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F5C6E"/>
    <w:multiLevelType w:val="multilevel"/>
    <w:tmpl w:val="5440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C1A88"/>
    <w:multiLevelType w:val="multilevel"/>
    <w:tmpl w:val="F264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109B4"/>
    <w:multiLevelType w:val="multilevel"/>
    <w:tmpl w:val="FEA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34676"/>
    <w:multiLevelType w:val="multilevel"/>
    <w:tmpl w:val="2A94E8F6"/>
    <w:lvl w:ilvl="0">
      <w:start w:val="1"/>
      <w:numFmt w:val="decimal"/>
      <w:lvlText w:val="%1."/>
      <w:lvlJc w:val="left"/>
      <w:pPr>
        <w:ind w:left="720" w:hanging="360"/>
      </w:pPr>
      <w:rPr>
        <w:rFonts w:hint="default"/>
        <w:b/>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7D63B5"/>
    <w:multiLevelType w:val="multilevel"/>
    <w:tmpl w:val="A4E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2E0"/>
    <w:rsid w:val="00013817"/>
    <w:rsid w:val="0004444D"/>
    <w:rsid w:val="000F135E"/>
    <w:rsid w:val="00130FEB"/>
    <w:rsid w:val="0015095B"/>
    <w:rsid w:val="00166F3F"/>
    <w:rsid w:val="00174E1E"/>
    <w:rsid w:val="00193735"/>
    <w:rsid w:val="001A7DDB"/>
    <w:rsid w:val="00217F3F"/>
    <w:rsid w:val="0022089F"/>
    <w:rsid w:val="002F6694"/>
    <w:rsid w:val="00343419"/>
    <w:rsid w:val="00352278"/>
    <w:rsid w:val="003609DB"/>
    <w:rsid w:val="00380F15"/>
    <w:rsid w:val="004212E0"/>
    <w:rsid w:val="00533C1E"/>
    <w:rsid w:val="006277A6"/>
    <w:rsid w:val="00687354"/>
    <w:rsid w:val="006A64C7"/>
    <w:rsid w:val="00724ED6"/>
    <w:rsid w:val="008A7AD4"/>
    <w:rsid w:val="00942314"/>
    <w:rsid w:val="009D07E0"/>
    <w:rsid w:val="009F6B31"/>
    <w:rsid w:val="00A303D7"/>
    <w:rsid w:val="00A61AA0"/>
    <w:rsid w:val="00AC656D"/>
    <w:rsid w:val="00AD780F"/>
    <w:rsid w:val="00B109A9"/>
    <w:rsid w:val="00B5336A"/>
    <w:rsid w:val="00B5543F"/>
    <w:rsid w:val="00C27A73"/>
    <w:rsid w:val="00C944D9"/>
    <w:rsid w:val="00CB7F19"/>
    <w:rsid w:val="00D1254E"/>
    <w:rsid w:val="00D1547E"/>
    <w:rsid w:val="00D91EFC"/>
    <w:rsid w:val="00DA18E8"/>
    <w:rsid w:val="00DF26F7"/>
    <w:rsid w:val="00E84BC3"/>
    <w:rsid w:val="00EE4476"/>
    <w:rsid w:val="00F12957"/>
    <w:rsid w:val="00F23AA5"/>
    <w:rsid w:val="00F711F4"/>
    <w:rsid w:val="00FB7F1F"/>
    <w:rsid w:val="00FE1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F49E80"/>
  <w15:docId w15:val="{62B09EDF-4906-42D0-BDEE-2A599DEC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2E0"/>
  </w:style>
  <w:style w:type="paragraph" w:styleId="Heading2">
    <w:name w:val="heading 2"/>
    <w:basedOn w:val="Normal"/>
    <w:link w:val="Heading2Char"/>
    <w:uiPriority w:val="9"/>
    <w:qFormat/>
    <w:rsid w:val="004212E0"/>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4212E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2E0"/>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4212E0"/>
    <w:rPr>
      <w:b/>
      <w:bCs/>
    </w:rPr>
  </w:style>
  <w:style w:type="character" w:customStyle="1" w:styleId="Heading2Char">
    <w:name w:val="Heading 2 Char"/>
    <w:basedOn w:val="DefaultParagraphFont"/>
    <w:link w:val="Heading2"/>
    <w:uiPriority w:val="9"/>
    <w:rsid w:val="004212E0"/>
    <w:rPr>
      <w:rFonts w:ascii="Times New Roman" w:eastAsia="Times New Roman" w:hAnsi="Times New Roman" w:cs="Times New Roman"/>
      <w:b/>
      <w:bCs/>
      <w:kern w:val="0"/>
      <w:sz w:val="36"/>
      <w:szCs w:val="36"/>
    </w:rPr>
  </w:style>
  <w:style w:type="paragraph" w:styleId="ListParagraph">
    <w:name w:val="List Paragraph"/>
    <w:basedOn w:val="Normal"/>
    <w:uiPriority w:val="34"/>
    <w:qFormat/>
    <w:rsid w:val="004212E0"/>
    <w:pPr>
      <w:ind w:left="720"/>
      <w:contextualSpacing/>
    </w:pPr>
  </w:style>
  <w:style w:type="character" w:customStyle="1" w:styleId="Heading3Char">
    <w:name w:val="Heading 3 Char"/>
    <w:basedOn w:val="DefaultParagraphFont"/>
    <w:link w:val="Heading3"/>
    <w:uiPriority w:val="9"/>
    <w:rsid w:val="004212E0"/>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F2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A5"/>
    <w:rPr>
      <w:rFonts w:ascii="Tahoma" w:hAnsi="Tahoma" w:cs="Tahoma"/>
      <w:sz w:val="16"/>
      <w:szCs w:val="16"/>
    </w:rPr>
  </w:style>
  <w:style w:type="paragraph" w:styleId="Bibliography">
    <w:name w:val="Bibliography"/>
    <w:basedOn w:val="Normal"/>
    <w:next w:val="Normal"/>
    <w:uiPriority w:val="37"/>
    <w:unhideWhenUsed/>
    <w:rsid w:val="00AC656D"/>
    <w:pPr>
      <w:spacing w:after="0" w:line="480" w:lineRule="auto"/>
      <w:ind w:left="720" w:hanging="720"/>
    </w:pPr>
  </w:style>
  <w:style w:type="character" w:styleId="Hyperlink">
    <w:name w:val="Hyperlink"/>
    <w:basedOn w:val="DefaultParagraphFont"/>
    <w:uiPriority w:val="99"/>
    <w:unhideWhenUsed/>
    <w:rsid w:val="00B5336A"/>
    <w:rPr>
      <w:color w:val="0563C1" w:themeColor="hyperlink"/>
      <w:u w:val="single"/>
    </w:rPr>
  </w:style>
  <w:style w:type="character" w:styleId="UnresolvedMention">
    <w:name w:val="Unresolved Mention"/>
    <w:basedOn w:val="DefaultParagraphFont"/>
    <w:uiPriority w:val="99"/>
    <w:semiHidden/>
    <w:unhideWhenUsed/>
    <w:rsid w:val="00E84BC3"/>
    <w:rPr>
      <w:color w:val="605E5C"/>
      <w:shd w:val="clear" w:color="auto" w:fill="E1DFDD"/>
    </w:rPr>
  </w:style>
  <w:style w:type="paragraph" w:styleId="Header">
    <w:name w:val="header"/>
    <w:basedOn w:val="Normal"/>
    <w:link w:val="HeaderChar"/>
    <w:uiPriority w:val="99"/>
    <w:unhideWhenUsed/>
    <w:rsid w:val="00D12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54E"/>
  </w:style>
  <w:style w:type="paragraph" w:styleId="Footer">
    <w:name w:val="footer"/>
    <w:basedOn w:val="Normal"/>
    <w:link w:val="FooterChar"/>
    <w:uiPriority w:val="99"/>
    <w:unhideWhenUsed/>
    <w:rsid w:val="00D12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7810">
      <w:bodyDiv w:val="1"/>
      <w:marLeft w:val="0"/>
      <w:marRight w:val="0"/>
      <w:marTop w:val="0"/>
      <w:marBottom w:val="0"/>
      <w:divBdr>
        <w:top w:val="none" w:sz="0" w:space="0" w:color="auto"/>
        <w:left w:val="none" w:sz="0" w:space="0" w:color="auto"/>
        <w:bottom w:val="none" w:sz="0" w:space="0" w:color="auto"/>
        <w:right w:val="none" w:sz="0" w:space="0" w:color="auto"/>
      </w:divBdr>
    </w:div>
    <w:div w:id="210191478">
      <w:bodyDiv w:val="1"/>
      <w:marLeft w:val="0"/>
      <w:marRight w:val="0"/>
      <w:marTop w:val="0"/>
      <w:marBottom w:val="0"/>
      <w:divBdr>
        <w:top w:val="none" w:sz="0" w:space="0" w:color="auto"/>
        <w:left w:val="none" w:sz="0" w:space="0" w:color="auto"/>
        <w:bottom w:val="none" w:sz="0" w:space="0" w:color="auto"/>
        <w:right w:val="none" w:sz="0" w:space="0" w:color="auto"/>
      </w:divBdr>
    </w:div>
    <w:div w:id="233467837">
      <w:bodyDiv w:val="1"/>
      <w:marLeft w:val="0"/>
      <w:marRight w:val="0"/>
      <w:marTop w:val="0"/>
      <w:marBottom w:val="0"/>
      <w:divBdr>
        <w:top w:val="none" w:sz="0" w:space="0" w:color="auto"/>
        <w:left w:val="none" w:sz="0" w:space="0" w:color="auto"/>
        <w:bottom w:val="none" w:sz="0" w:space="0" w:color="auto"/>
        <w:right w:val="none" w:sz="0" w:space="0" w:color="auto"/>
      </w:divBdr>
    </w:div>
    <w:div w:id="444349179">
      <w:bodyDiv w:val="1"/>
      <w:marLeft w:val="0"/>
      <w:marRight w:val="0"/>
      <w:marTop w:val="0"/>
      <w:marBottom w:val="0"/>
      <w:divBdr>
        <w:top w:val="none" w:sz="0" w:space="0" w:color="auto"/>
        <w:left w:val="none" w:sz="0" w:space="0" w:color="auto"/>
        <w:bottom w:val="none" w:sz="0" w:space="0" w:color="auto"/>
        <w:right w:val="none" w:sz="0" w:space="0" w:color="auto"/>
      </w:divBdr>
    </w:div>
    <w:div w:id="647589511">
      <w:bodyDiv w:val="1"/>
      <w:marLeft w:val="0"/>
      <w:marRight w:val="0"/>
      <w:marTop w:val="0"/>
      <w:marBottom w:val="0"/>
      <w:divBdr>
        <w:top w:val="none" w:sz="0" w:space="0" w:color="auto"/>
        <w:left w:val="none" w:sz="0" w:space="0" w:color="auto"/>
        <w:bottom w:val="none" w:sz="0" w:space="0" w:color="auto"/>
        <w:right w:val="none" w:sz="0" w:space="0" w:color="auto"/>
      </w:divBdr>
    </w:div>
    <w:div w:id="797797293">
      <w:bodyDiv w:val="1"/>
      <w:marLeft w:val="0"/>
      <w:marRight w:val="0"/>
      <w:marTop w:val="0"/>
      <w:marBottom w:val="0"/>
      <w:divBdr>
        <w:top w:val="none" w:sz="0" w:space="0" w:color="auto"/>
        <w:left w:val="none" w:sz="0" w:space="0" w:color="auto"/>
        <w:bottom w:val="none" w:sz="0" w:space="0" w:color="auto"/>
        <w:right w:val="none" w:sz="0" w:space="0" w:color="auto"/>
      </w:divBdr>
    </w:div>
    <w:div w:id="913972085">
      <w:bodyDiv w:val="1"/>
      <w:marLeft w:val="0"/>
      <w:marRight w:val="0"/>
      <w:marTop w:val="0"/>
      <w:marBottom w:val="0"/>
      <w:divBdr>
        <w:top w:val="none" w:sz="0" w:space="0" w:color="auto"/>
        <w:left w:val="none" w:sz="0" w:space="0" w:color="auto"/>
        <w:bottom w:val="none" w:sz="0" w:space="0" w:color="auto"/>
        <w:right w:val="none" w:sz="0" w:space="0" w:color="auto"/>
      </w:divBdr>
    </w:div>
    <w:div w:id="1204564652">
      <w:bodyDiv w:val="1"/>
      <w:marLeft w:val="0"/>
      <w:marRight w:val="0"/>
      <w:marTop w:val="0"/>
      <w:marBottom w:val="0"/>
      <w:divBdr>
        <w:top w:val="none" w:sz="0" w:space="0" w:color="auto"/>
        <w:left w:val="none" w:sz="0" w:space="0" w:color="auto"/>
        <w:bottom w:val="none" w:sz="0" w:space="0" w:color="auto"/>
        <w:right w:val="none" w:sz="0" w:space="0" w:color="auto"/>
      </w:divBdr>
    </w:div>
    <w:div w:id="1222136311">
      <w:bodyDiv w:val="1"/>
      <w:marLeft w:val="0"/>
      <w:marRight w:val="0"/>
      <w:marTop w:val="0"/>
      <w:marBottom w:val="0"/>
      <w:divBdr>
        <w:top w:val="none" w:sz="0" w:space="0" w:color="auto"/>
        <w:left w:val="none" w:sz="0" w:space="0" w:color="auto"/>
        <w:bottom w:val="none" w:sz="0" w:space="0" w:color="auto"/>
        <w:right w:val="none" w:sz="0" w:space="0" w:color="auto"/>
      </w:divBdr>
    </w:div>
    <w:div w:id="1314483944">
      <w:bodyDiv w:val="1"/>
      <w:marLeft w:val="0"/>
      <w:marRight w:val="0"/>
      <w:marTop w:val="0"/>
      <w:marBottom w:val="0"/>
      <w:divBdr>
        <w:top w:val="none" w:sz="0" w:space="0" w:color="auto"/>
        <w:left w:val="none" w:sz="0" w:space="0" w:color="auto"/>
        <w:bottom w:val="none" w:sz="0" w:space="0" w:color="auto"/>
        <w:right w:val="none" w:sz="0" w:space="0" w:color="auto"/>
      </w:divBdr>
    </w:div>
    <w:div w:id="1356148725">
      <w:bodyDiv w:val="1"/>
      <w:marLeft w:val="0"/>
      <w:marRight w:val="0"/>
      <w:marTop w:val="0"/>
      <w:marBottom w:val="0"/>
      <w:divBdr>
        <w:top w:val="none" w:sz="0" w:space="0" w:color="auto"/>
        <w:left w:val="none" w:sz="0" w:space="0" w:color="auto"/>
        <w:bottom w:val="none" w:sz="0" w:space="0" w:color="auto"/>
        <w:right w:val="none" w:sz="0" w:space="0" w:color="auto"/>
      </w:divBdr>
    </w:div>
    <w:div w:id="1384017141">
      <w:bodyDiv w:val="1"/>
      <w:marLeft w:val="0"/>
      <w:marRight w:val="0"/>
      <w:marTop w:val="0"/>
      <w:marBottom w:val="0"/>
      <w:divBdr>
        <w:top w:val="none" w:sz="0" w:space="0" w:color="auto"/>
        <w:left w:val="none" w:sz="0" w:space="0" w:color="auto"/>
        <w:bottom w:val="none" w:sz="0" w:space="0" w:color="auto"/>
        <w:right w:val="none" w:sz="0" w:space="0" w:color="auto"/>
      </w:divBdr>
    </w:div>
    <w:div w:id="1553080492">
      <w:bodyDiv w:val="1"/>
      <w:marLeft w:val="0"/>
      <w:marRight w:val="0"/>
      <w:marTop w:val="0"/>
      <w:marBottom w:val="0"/>
      <w:divBdr>
        <w:top w:val="none" w:sz="0" w:space="0" w:color="auto"/>
        <w:left w:val="none" w:sz="0" w:space="0" w:color="auto"/>
        <w:bottom w:val="none" w:sz="0" w:space="0" w:color="auto"/>
        <w:right w:val="none" w:sz="0" w:space="0" w:color="auto"/>
      </w:divBdr>
    </w:div>
    <w:div w:id="1960069042">
      <w:bodyDiv w:val="1"/>
      <w:marLeft w:val="0"/>
      <w:marRight w:val="0"/>
      <w:marTop w:val="0"/>
      <w:marBottom w:val="0"/>
      <w:divBdr>
        <w:top w:val="none" w:sz="0" w:space="0" w:color="auto"/>
        <w:left w:val="none" w:sz="0" w:space="0" w:color="auto"/>
        <w:bottom w:val="none" w:sz="0" w:space="0" w:color="auto"/>
        <w:right w:val="none" w:sz="0" w:space="0" w:color="auto"/>
      </w:divBdr>
    </w:div>
    <w:div w:id="20602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19</Pages>
  <Words>22828</Words>
  <Characters>130122</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1084</cp:lastModifiedBy>
  <cp:revision>42</cp:revision>
  <dcterms:created xsi:type="dcterms:W3CDTF">2026-01-11T04:16:00Z</dcterms:created>
  <dcterms:modified xsi:type="dcterms:W3CDTF">2026-01-16T12:39:00Z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id="mkCZ54VJ"/&gt;&lt;style id="http://www.zotero.org/styles/apa" locale="en-US" hasBibliography="1" bibliographyStyleHasBeenSet="1"/&gt;&lt;prefs&gt;&lt;pref name="fieldType" value="Field"/&gt;&lt;/prefs&gt;&lt;/data&gt;</vt:lpwstr>
  </property>
</Properties>
</file>