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A09" w:rsidRDefault="007C0A09" w:rsidP="007C0A09">
      <w:pPr>
        <w:spacing w:before="100" w:beforeAutospacing="1" w:after="100" w:afterAutospacing="1" w:line="240" w:lineRule="auto"/>
        <w:outlineLvl w:val="0"/>
        <w:rPr>
          <w:rFonts w:ascii="Times New Roman" w:eastAsia="Times New Roman" w:hAnsi="Times New Roman" w:cs="Times New Roman"/>
          <w:b/>
          <w:bCs/>
          <w:kern w:val="36"/>
        </w:rPr>
      </w:pPr>
      <w:r w:rsidRPr="0082426B">
        <w:rPr>
          <w:rFonts w:ascii="Times New Roman" w:eastAsia="Times New Roman" w:hAnsi="Times New Roman" w:cs="Times New Roman"/>
          <w:b/>
          <w:bCs/>
          <w:kern w:val="36"/>
        </w:rPr>
        <w:t>Predictive Modeling of Early-Life Agrochemical Exposure and Pediatric Cancer Risk in U.S. Farmers’ Children</w:t>
      </w:r>
    </w:p>
    <w:p w:rsidR="00781932" w:rsidRDefault="00781932" w:rsidP="007C0A09">
      <w:pPr>
        <w:spacing w:before="100" w:beforeAutospacing="1" w:after="100" w:afterAutospacing="1" w:line="240" w:lineRule="auto"/>
        <w:rPr>
          <w:rFonts w:ascii="Times New Roman" w:eastAsia="Times New Roman" w:hAnsi="Times New Roman" w:cs="Times New Roman"/>
          <w:b/>
          <w:bCs/>
          <w:kern w:val="0"/>
        </w:rPr>
      </w:pPr>
    </w:p>
    <w:p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bookmarkStart w:id="0" w:name="_GoBack"/>
      <w:bookmarkEnd w:id="0"/>
      <w:r w:rsidRPr="007C0A09">
        <w:rPr>
          <w:rFonts w:ascii="Times New Roman" w:eastAsia="Times New Roman" w:hAnsi="Times New Roman" w:cs="Times New Roman"/>
          <w:b/>
          <w:bCs/>
          <w:kern w:val="0"/>
        </w:rPr>
        <w:t>Abstract</w:t>
      </w:r>
    </w:p>
    <w:p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kern w:val="0"/>
        </w:rPr>
        <w:t>Children residing in agricultural settings are uniquely vulnerable to early-life exposure to agrochemicals, which may contribute to the development of pediatric cancers. This narrative review synthesizes current evidence on the relationship between prenatal and early childhood agrochemical exposures and pediatric cancer risk, with a focus on predictive and spatial modeling approaches. Epidemiologic studies consistently implicate leukemia, particularly acute lymphoblastic leukemia, as the malignancy most strongly associated with early-life exposure, while evidence for central nervous system tumors and rarer pediatric cancers is emerging but less consistent. Mechanistic data support biological plausibility through pathways including genotoxicity, endocrine disruption, epigenetic reprogramming, and immune dysregulation during critical developmental windows. Predictive models, ranging from traditional regression and Bayesian hierarchical frameworks to machine learning and GIS-based approaches, enhance exposure estimation, risk stratification, and identification of high-risk subgroups, although challenges remain regarding exposure misclassification, modeling of chemical mixtures, and integration of mechanistic evidence. We identify key research gaps, including the need for longitudinal, biomarker-validated studies and hybrid causal–predictive modeling frameworks. Advancing interdisciplinary, prevention-oriented research in this area is critical for informing evidence-based interventions, reducing pediatric cancer burden in agricultural populations, and promoting equitable environmental health outcomes.</w:t>
      </w:r>
    </w:p>
    <w:p w:rsidR="007C0A09" w:rsidRPr="007C0A09" w:rsidRDefault="007C0A09" w:rsidP="007C0A09">
      <w:pPr>
        <w:spacing w:before="100" w:beforeAutospacing="1" w:after="100" w:afterAutospacing="1" w:line="240" w:lineRule="auto"/>
        <w:rPr>
          <w:rFonts w:ascii="Times New Roman" w:eastAsia="Times New Roman" w:hAnsi="Times New Roman" w:cs="Times New Roman"/>
          <w:kern w:val="0"/>
        </w:rPr>
      </w:pPr>
      <w:r w:rsidRPr="007C0A09">
        <w:rPr>
          <w:rFonts w:ascii="Times New Roman" w:eastAsia="Times New Roman" w:hAnsi="Times New Roman" w:cs="Times New Roman"/>
          <w:b/>
          <w:bCs/>
          <w:kern w:val="0"/>
        </w:rPr>
        <w:t>Keywords:</w:t>
      </w:r>
      <w:r w:rsidRPr="007C0A09">
        <w:rPr>
          <w:rFonts w:ascii="Times New Roman" w:eastAsia="Times New Roman" w:hAnsi="Times New Roman" w:cs="Times New Roman"/>
          <w:kern w:val="0"/>
        </w:rPr>
        <w:t xml:space="preserve"> Pediatric cancer, early-life exposure, agrochemicals, predictive modeling, GIS, environmental epidemiology, agricultural health</w:t>
      </w:r>
    </w:p>
    <w:p w:rsidR="007C0A09" w:rsidRPr="0082426B" w:rsidRDefault="007C0A09" w:rsidP="007C0A09">
      <w:pPr>
        <w:spacing w:before="100" w:beforeAutospacing="1" w:after="100" w:afterAutospacing="1" w:line="240" w:lineRule="auto"/>
        <w:outlineLvl w:val="0"/>
        <w:rPr>
          <w:rFonts w:ascii="Times New Roman" w:eastAsia="Times New Roman" w:hAnsi="Times New Roman" w:cs="Times New Roman"/>
          <w:b/>
          <w:bCs/>
          <w:kern w:val="36"/>
        </w:rPr>
      </w:pPr>
    </w:p>
    <w:p w:rsidR="005D4314" w:rsidRPr="005D4314" w:rsidRDefault="005D4314" w:rsidP="005D4314">
      <w:pPr>
        <w:spacing w:before="100" w:beforeAutospacing="1" w:after="100" w:afterAutospacing="1" w:line="240" w:lineRule="auto"/>
        <w:outlineLvl w:val="2"/>
        <w:rPr>
          <w:rFonts w:ascii="Times New Roman" w:eastAsia="Times New Roman" w:hAnsi="Times New Roman" w:cs="Times New Roman"/>
          <w:b/>
          <w:bCs/>
          <w:kern w:val="0"/>
          <w:sz w:val="27"/>
          <w:szCs w:val="27"/>
        </w:rPr>
      </w:pPr>
      <w:r w:rsidRPr="005D4314">
        <w:rPr>
          <w:rFonts w:ascii="Times New Roman" w:eastAsia="Times New Roman" w:hAnsi="Times New Roman" w:cs="Times New Roman"/>
          <w:b/>
          <w:bCs/>
          <w:kern w:val="0"/>
          <w:sz w:val="27"/>
          <w:szCs w:val="27"/>
        </w:rPr>
        <w:t>1. Introduction</w:t>
      </w:r>
    </w:p>
    <w:p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Pediatric cancers remain a leading cause of disease-related mortality among children in the United States, with leukemia, central nervous system tumors, and lymphomas accounting for the majority of cases</w:t>
      </w:r>
      <w:r w:rsidR="00A6031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{"citationID":"E1evALwV","properties":{"formattedCitation":"(Siegel et al., 2023)","plainCitation":"(Siegel et al., 2023)","noteIndex":0},"citationItems":[{"id":13332,"uris":["http://zotero.org/users/16652950/items/SMZTS3ZW"],"itemData":{"id":13332,"type":"article-journal","abstract":"Background:\nCancer is a leading cause of death by disease among children and adolescents in the United States. This study updates cancer incidence rates and trends using the most recent and comprehensive US cancer registry data available.\n\nMethods:\nWe used data from US Cancer Statistics to evaluate counts, age-adjusted incidence rates, and trends among children and adolescents younger than 20years of age diagnosed with malignant tumors between 2003 and 2019. We calculated the average annual percent change (APC) and APC using joinpoint regression. Rates and trends were stratified by demographic and geographic characteristics and by cancer type.\n\nResults:\nWith 248749 cases reported between 2003 and 2019, the overall cancer incidence rate was 178.3 per 1 million; incidence rates were highest for leukemia (46.6), central nervous system neoplasms (30.8), and lymphoma (27.3). Rates were highest for males, children 0 to 4years of age, Non-Hispanic White children and adolescents, those in the Northeast census region, the top 25% of counties by economic status, and metropolitan counties with a population of 1 million people or more. Although the overall incidence rate of pediatric cancer increased 0.5% per year on average between 2003 and 2019, the rate increased between 2003 and 2016 (APC = 1.1%), and then decreased between 2016 and 2019 (APC = −2.1%). Between 2003 and 2019, rates of leukemia, lymphoma, hepatic tumors, bone tumors, and thyroid carcinomas increased, while melanoma rates decreased. Rates of central nervous system neoplasms increased until 2017, and then decreased. Rates of other cancer types remained stable.\n\nConclusions:\nIncidence of pediatric cancer increased overall, although increases were limited to certain cancer types. These findings may guide future public health and research priorities.","container-title":"Journal of the National Cancer Institute","DOI":"10.1093/jnci/djad115","ISSN":"0027-8874","issue":"11","journalAbbreviation":"J Natl Cancer Inst","note":"PMID: 37433078\nPMCID: PMC11018256","page":"1337-1354","source":"PubMed Central","title":"Counts, incidence rates, and trends of pediatric cancer in the United States, 2003–2019","volume":"115","author":[{"family":"Siegel","given":"David A."},{"family":"King","given":"Jessica B."},{"family":"Lupo","given":"Philip J."},{"family":"Durbin","given":"Eric B."},{"family":"Tai","given":"Eric"},{"family":"Mills","given":"Kathi"},{"family":"Van Dyne","given":"Elizabeth"},{"family":"Lunsford","given":"Natasha Buchanan"},{"family":"Henley","given":"S. Jane"},{"family":"Wilson","given":"Reda J."}],"issued":{"date-parts":[["2023",11,8]]}}}],"schema":"https://github.com/citation-style-language/schema/raw/master/csl-citation.json"} </w:instrText>
      </w:r>
      <w:r w:rsidR="00A60316">
        <w:rPr>
          <w:rFonts w:ascii="Times New Roman" w:eastAsia="Times New Roman" w:hAnsi="Times New Roman" w:cs="Times New Roman"/>
          <w:kern w:val="0"/>
        </w:rPr>
        <w:fldChar w:fldCharType="separate"/>
      </w:r>
      <w:r w:rsidR="003170B5" w:rsidRPr="003170B5">
        <w:rPr>
          <w:rFonts w:ascii="Times New Roman" w:hAnsi="Times New Roman" w:cs="Times New Roman"/>
        </w:rPr>
        <w:t>(Siegel et al., 2023)</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 Although overall incidence rates are relatively low compared with adult malignancies, their lifelong consequences, combined with the limited scope for primary prevention, render pediatric cancers a major public health concern. Emerging epidemiologic evidence suggests that children residing in agricultural regions experience disproportionate cancer burdens, raising concerns about chronic, low-dose exposure to agrochemicals as a contributing environmental risk factor</w:t>
      </w:r>
      <w:r w:rsidR="00A6031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{"citationID":"5EwREQ9A","properties":{"formattedCitation":"(Zahnreich et al., 2021)","plainCitation":"(Zahnreich et al., 2021)","noteIndex":0},"citationItems":[{"id":13334,"uris":["http://zotero.org/users/16652950/items/ZPXQDJDM"],"itemData":{"id":13334,"type":"article-journal","abstract":"Simple SummaryChildhood cancers are mostly of unknown etiology and represent devastating diagnoses. The clinical benefits of steadily increasing tumor...","container-title":"Cancers","DOI":"10.3390/cancers13112607","ISSN":"2072-6694","issue":"11","language":"en","license":"http://creativecommons.org/licenses/by/3.0/","note":"Company: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publisher","source":"www.mdpi.com","title":"Childhood Cancer: Occurrence, Treatment and Risk of Second Primary Malignancies","title-short":"Childhood Cancer","URL":"https://www.mdpi.com/2072-6694/13/11/2607","volume":"13","author":[{"family":"Zahnreich","given":"Sebastian"},{"family":"Schmidberger","given":"Heinz"},{"family":"Zahnreich","given":"Sebastian"},{"family":"Schmidberger","given":"Heinz"}],"accessed":{"date-parts":[["2026",1,15]]},"issued":{"date-parts":[["2021",5,25]]}}}],"schema":"https://github.com/citation-style-language/schema/raw/master/csl-citation.json"} </w:instrText>
      </w:r>
      <w:r w:rsidR="00A60316">
        <w:rPr>
          <w:rFonts w:ascii="Times New Roman" w:eastAsia="Times New Roman" w:hAnsi="Times New Roman" w:cs="Times New Roman"/>
          <w:kern w:val="0"/>
        </w:rPr>
        <w:fldChar w:fldCharType="separate"/>
      </w:r>
      <w:r w:rsidR="003170B5" w:rsidRPr="003170B5">
        <w:rPr>
          <w:rFonts w:ascii="Times New Roman" w:hAnsi="Times New Roman" w:cs="Times New Roman"/>
        </w:rPr>
        <w:t>(</w:t>
      </w:r>
      <w:proofErr w:type="spellStart"/>
      <w:r w:rsidR="003170B5" w:rsidRPr="003170B5">
        <w:rPr>
          <w:rFonts w:ascii="Times New Roman" w:hAnsi="Times New Roman" w:cs="Times New Roman"/>
        </w:rPr>
        <w:t>Zahnreich</w:t>
      </w:r>
      <w:proofErr w:type="spellEnd"/>
      <w:r w:rsidR="003170B5" w:rsidRPr="003170B5">
        <w:rPr>
          <w:rFonts w:ascii="Times New Roman" w:hAnsi="Times New Roman" w:cs="Times New Roman"/>
        </w:rPr>
        <w:t xml:space="preserve"> et al., 2021)</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 These patterns are particularly salient in farming communities, where residential proximity to treated fields, occupational take-home exposures, and reliance on local environmental resources collectively elevate exposure potential</w:t>
      </w:r>
      <w:r w:rsidR="00A60316">
        <w:rPr>
          <w:rFonts w:ascii="Times New Roman" w:eastAsia="Times New Roman" w:hAnsi="Times New Roman" w:cs="Times New Roman"/>
          <w:kern w:val="0"/>
        </w:rPr>
        <w:fldChar w:fldCharType="begin"/>
      </w:r>
      <w:r w:rsidR="003170B5">
        <w:rPr>
          <w:rFonts w:ascii="Times New Roman" w:eastAsia="Times New Roman" w:hAnsi="Times New Roman" w:cs="Times New Roman"/>
          <w:kern w:val="0"/>
        </w:rPr>
        <w:instrText xml:space="preserve"> ADDIN ZOTERO_ITEM CSL_CITATION {"citationID":"5s8M2YVH","properties":{"formattedCitation":"(Chen et al., 2023)","plainCitation":"(Chen et al., 2023)","noteIndex":0},"citationItems":[{"id":13336,"uris":["http://zotero.org/users/16652950/items/I7KKE52D"],"itemData":{"id":13336,"type":"article-journal","abstract":"Pesticides are widely used globally. Due to their widespread use, exposure to pesticides is of concern. In addition to occupational exposure, residential exposure during pesticide application is a concern for those living in or near agricultural areas. The objective of this study was to analyze the association between residential proximity to agricultural pesticide use and birth outcomes. The association between residential proximity to agricultural land use as pesticide exposure and birth outcomes was explored in a birth cohort including 283 pregnant women from a medical center in Hualien during 2013-2016. In the third trimester, we collected demographic information and the residential addresses of pregnant women via structured questionnaires. After delivery, newborn birth weight, gestational age, and head circumference were collected from medical records. Maternal residential address during pregnancy was collected for geospatial mapping. The percentages of farmland area within circular buffers of different sizes were applied to estimate pesticide exposure. Associations between residential proximity to agricultural land use as pesticide exposure and birth outcomes were analyzed by multiple linear regression analyses. A significantly smaller head circumference was associated with agricultural farmland located within 400 m (β =  - 0.51 [95% CI, - 0.99, - 0.03], P = 0.037) and 500 m (β =  - 0.67 [95% CI, - 1.14, - 0.19], P = 0.006) radii of residences in the tertile 2 group. A significantly smaller head circumference was also associated with dry farming area within 400 m (β =  - 0.70 [95% CI, - 1.17, - 0.24], P = 0.003) and 500 m (β =  - 0.81 [95% CI, - 1.27, - 0.34], P = 0.001) radii of residences in the tertile 2 group. The multivariate linear regression analyses did not show any significant association between residential farmland area and birth weight or gestational age. In conclusion, residential proximity to agricultural land use as pesticide exposure was associated with negative infant birth outcomes, especially a small head circumference. In the future, agricultural land use information could be combined with biological samples to more accurately assess exposure in pregnant women.","container-title":"Environmental Science and Pollution Research International","DOI":"10.1007/s11356-022-24571-8","ISSN":"1614-7499","issue":"12","journalAbbreviation":"Environ Sci Pollut Res Int","language":"eng","note":"PMID: 36478559","page":"33253-33263","source":"PubMed","title":"Associations between residential proximity to agricultural land use as pesticides exposure and birth outcomes","volume":"30","author":[{"family":"Chen","given":"Kuna-Chun"},{"family":"Lee","given":"Shuo-Fang"},{"family":"Lin","given":"Shyang-Woei"},{"family":"Xie","given":"Jia-Shan"},{"family":"Chang","given":"Yu-Hsun"},{"family":"Yiin","given":"Lih-Ming"},{"family":"Hsieh","given":"Chia-Jung"}],"issued":{"date-parts":[["2023",3]]}}}],"schema":"https://github.com/citation-style-language/schema/raw/master/csl-citation.json"} </w:instrText>
      </w:r>
      <w:r w:rsidR="00A60316">
        <w:rPr>
          <w:rFonts w:ascii="Times New Roman" w:eastAsia="Times New Roman" w:hAnsi="Times New Roman" w:cs="Times New Roman"/>
          <w:kern w:val="0"/>
        </w:rPr>
        <w:fldChar w:fldCharType="separate"/>
      </w:r>
      <w:r w:rsidR="003170B5" w:rsidRPr="003170B5">
        <w:rPr>
          <w:rFonts w:ascii="Times New Roman" w:hAnsi="Times New Roman" w:cs="Times New Roman"/>
        </w:rPr>
        <w:t>(Chen et al., 2023)</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lastRenderedPageBreak/>
        <w:t>Fetuses and young children are biologically more susceptible to environmental toxicants than adults due to rapid cellular proliferation, immature detoxification pathways, and critical periods of organ and immune system development. Prenatal and early postnatal exposures can disrupt tightly regulated developmental processes, leading to long-lasting molecular and epigenetic alterations that may predispose individuals to malignancy later in childhood. Many commonly used agricultural chemicals exhibit properties consistent with carcinogenic or tumor-promoting mechanisms, including genotoxicity, endocrine disruption, oxidative stress induction, and immune modulation. When exposure occurs during sensitive developmental windows, even low-level environmental contact may carry disproportionate risk</w:t>
      </w:r>
      <w:r w:rsidR="00A60316">
        <w:rPr>
          <w:rFonts w:ascii="Times New Roman" w:eastAsia="Times New Roman" w:hAnsi="Times New Roman" w:cs="Times New Roman"/>
          <w:kern w:val="0"/>
        </w:rPr>
        <w:fldChar w:fldCharType="begin"/>
      </w:r>
      <w:r w:rsidR="00DE3645">
        <w:rPr>
          <w:rFonts w:ascii="Times New Roman" w:eastAsia="Times New Roman" w:hAnsi="Times New Roman" w:cs="Times New Roman"/>
          <w:kern w:val="0"/>
        </w:rPr>
        <w:instrText xml:space="preserve"> ADDIN ZOTERO_ITEM CSL_CITATION {"citationID":"XB7tRHiD","properties":{"formattedCitation":"(Vinnars et al., 2023)","plainCitation":"(Vinnars et al., 2023)","noteIndex":0},"citationItems":[{"id":13338,"uris":["http://zotero.org/users/16652950/items/4VU8DF6V"],"itemData":{"id":13338,"type":"article-journal","abstract":"Prenatal life represents a susceptible window of development during which chemical exposures can permanently alter fetal development, leading to an increased likelihood of disease later in life. Therefore, it is essential to assess exposure in the fetus. However, direct assessment in human fetuses is challenging, so most research measures maternal exposure. Pregnancy induces a range of significant physiological changes in women that may affect chemical metabolism and responses. Moreover, placental function, fetal sex, and pregnancy complications may further modify these exposures. The purpose of this narrative review is to give an overview of major pregnancy-related physiological changes, including placental function and impacts of pregnancy complications, to summarize existing studies assessing chemical exposure in human fetal organs, and to discuss possible interactions between physiological changes and exposures. Our review reveals major knowledge gaps in factors affecting fetal chemical exposure, highlighting the need to develop more sophisticated tools for chemical health risk assessment in fetuses.","container-title":"Molecular and Cellular Endocrinology","DOI":"10.1016/j.mce.2023.112064","ISSN":"0303-7207","journalAbbreviation":"Molecular and Cellular Endocrinology","page":"112064","source":"ScienceDirect","title":"Pregnancy-related maternal physiological adaptations and fetal chemical exposure","volume":"578","author":[{"family":"Vinnars","given":"Marie-Therese"},{"family":"Bixo","given":"Marie"},{"family":"Damdimopoulou","given":"Pauliina"}],"issued":{"date-parts":[["2023",12,1]]}}}],"schema":"https://github.com/citation-style-language/schema/raw/master/csl-citation.json"} </w:instrText>
      </w:r>
      <w:r w:rsidR="00A60316">
        <w:rPr>
          <w:rFonts w:ascii="Times New Roman" w:eastAsia="Times New Roman" w:hAnsi="Times New Roman" w:cs="Times New Roman"/>
          <w:kern w:val="0"/>
        </w:rPr>
        <w:fldChar w:fldCharType="separate"/>
      </w:r>
      <w:r w:rsidR="00DE3645" w:rsidRPr="00DE3645">
        <w:rPr>
          <w:rFonts w:ascii="Times New Roman" w:hAnsi="Times New Roman" w:cs="Times New Roman"/>
        </w:rPr>
        <w:t>(</w:t>
      </w:r>
      <w:proofErr w:type="spellStart"/>
      <w:r w:rsidR="00DE3645" w:rsidRPr="00DE3645">
        <w:rPr>
          <w:rFonts w:ascii="Times New Roman" w:hAnsi="Times New Roman" w:cs="Times New Roman"/>
        </w:rPr>
        <w:t>Vinnars</w:t>
      </w:r>
      <w:proofErr w:type="spellEnd"/>
      <w:r w:rsidR="00DE3645" w:rsidRPr="00DE3645">
        <w:rPr>
          <w:rFonts w:ascii="Times New Roman" w:hAnsi="Times New Roman" w:cs="Times New Roman"/>
        </w:rPr>
        <w:t xml:space="preserve"> et al., 2023)</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 xml:space="preserve">Despite growing concern, traditional epidemiologic approaches have struggled to fully characterize the complex relationships between early-life agrochemical exposure and pediatric cancer risk. Conventional exposure assessment methods, such as self-reported pesticide use or broad occupational classifications, often lack spatial and temporal resolution and are prone to substantial misclassification. In this context, predictive modeling approaches, including spatially resolved exposure models and data-driven risk prediction frameworks, offer a means to integrate diverse data sources and capture heterogeneity in exposure patterns across time, geography, and chemical mixtures. Such approaches have the potential to improve risk estimation, identify high-risk subpopulations, and inform targeted prevention </w:t>
      </w:r>
      <w:proofErr w:type="gramStart"/>
      <w:r w:rsidRPr="005D4314">
        <w:rPr>
          <w:rFonts w:ascii="Times New Roman" w:eastAsia="Times New Roman" w:hAnsi="Times New Roman" w:cs="Times New Roman"/>
          <w:kern w:val="0"/>
        </w:rPr>
        <w:t>strategies</w:t>
      </w:r>
      <w:r w:rsidR="00DE3645" w:rsidRPr="00DE3645">
        <w:rPr>
          <w:rFonts w:ascii="Times New Roman" w:eastAsia="Times New Roman" w:hAnsi="Times New Roman" w:cs="Times New Roman"/>
          <w:kern w:val="0"/>
        </w:rPr>
        <w:t>(</w:t>
      </w:r>
      <w:proofErr w:type="gramEnd"/>
      <w:r w:rsidR="00DE3645" w:rsidRPr="00DE3645">
        <w:rPr>
          <w:rFonts w:ascii="Times New Roman" w:eastAsia="Times New Roman" w:hAnsi="Times New Roman" w:cs="Times New Roman"/>
          <w:kern w:val="0"/>
        </w:rPr>
        <w:t>Castro-Vargas et al., 2025; Cavalier et al., 2023)</w:t>
      </w:r>
      <w:r w:rsidRPr="005D4314">
        <w:rPr>
          <w:rFonts w:ascii="Times New Roman" w:eastAsia="Times New Roman" w:hAnsi="Times New Roman" w:cs="Times New Roman"/>
          <w:kern w:val="0"/>
        </w:rPr>
        <w:t>.</w:t>
      </w:r>
    </w:p>
    <w:p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Children of farmers constitute a particularly critical yet under-studied population in environmental cancer research. Unlike the general rural population, these children may experience continuous exposure across multiple pathways, beginning in utero and extending throughout early childhood. However, they are frequently underrepresented or inadequately characterized in large population-based studies, which often lack detailed occupational, residential, and exposure data specific to farming households. This gap limits the ability to translate existing evidence into effective public health interventions for agricultural communities</w:t>
      </w:r>
      <w:r w:rsidR="00A60316">
        <w:rPr>
          <w:rFonts w:ascii="Times New Roman" w:eastAsia="Times New Roman" w:hAnsi="Times New Roman" w:cs="Times New Roman"/>
          <w:kern w:val="0"/>
        </w:rPr>
        <w:fldChar w:fldCharType="begin"/>
      </w:r>
      <w:r w:rsidR="00372F01">
        <w:rPr>
          <w:rFonts w:ascii="Times New Roman" w:eastAsia="Times New Roman" w:hAnsi="Times New Roman" w:cs="Times New Roman"/>
          <w:kern w:val="0"/>
        </w:rPr>
        <w:instrText xml:space="preserve"> ADDIN ZOTERO_ITEM CSL_CITATION {"citationID":"viSUXBmj","properties":{"formattedCitation":"(Silva et al., 2025)","plainCitation":"(Silva et al., 2025)","noteIndex":0},"citationItems":[{"id":13342,"uris":["http://zotero.org/users/16652950/items/UUF4B6D8"],"itemData":{"id":13342,"type":"article-journal","abstract":"Leukemias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sidR="00A60316">
        <w:rPr>
          <w:rFonts w:ascii="Times New Roman" w:eastAsia="Times New Roman" w:hAnsi="Times New Roman" w:cs="Times New Roman"/>
          <w:kern w:val="0"/>
        </w:rPr>
        <w:fldChar w:fldCharType="separate"/>
      </w:r>
      <w:r w:rsidR="00372F01" w:rsidRPr="00372F01">
        <w:rPr>
          <w:rFonts w:ascii="Times New Roman" w:hAnsi="Times New Roman" w:cs="Times New Roman"/>
        </w:rPr>
        <w:t>(Silva et al., 2025)</w:t>
      </w:r>
      <w:r w:rsidR="00A60316">
        <w:rPr>
          <w:rFonts w:ascii="Times New Roman" w:eastAsia="Times New Roman" w:hAnsi="Times New Roman" w:cs="Times New Roman"/>
          <w:kern w:val="0"/>
        </w:rPr>
        <w:fldChar w:fldCharType="end"/>
      </w:r>
      <w:r w:rsidRPr="005D4314">
        <w:rPr>
          <w:rFonts w:ascii="Times New Roman" w:eastAsia="Times New Roman" w:hAnsi="Times New Roman" w:cs="Times New Roman"/>
          <w:kern w:val="0"/>
        </w:rPr>
        <w:t>.</w:t>
      </w:r>
    </w:p>
    <w:p w:rsidR="005D4314" w:rsidRPr="005D4314" w:rsidRDefault="005D4314" w:rsidP="005D4314">
      <w:pPr>
        <w:spacing w:before="100" w:beforeAutospacing="1" w:after="100" w:afterAutospacing="1" w:line="240" w:lineRule="auto"/>
        <w:rPr>
          <w:rFonts w:ascii="Times New Roman" w:eastAsia="Times New Roman" w:hAnsi="Times New Roman" w:cs="Times New Roman"/>
          <w:kern w:val="0"/>
        </w:rPr>
      </w:pPr>
      <w:r w:rsidRPr="005D4314">
        <w:rPr>
          <w:rFonts w:ascii="Times New Roman" w:eastAsia="Times New Roman" w:hAnsi="Times New Roman" w:cs="Times New Roman"/>
          <w:kern w:val="0"/>
        </w:rPr>
        <w:t>The objective of this review is to synthesize current evidence on early-life agrochemical exposure and pediatric cancer risk among farmers’ children, with a specific focus on the role of predictive modeling approaches in advancing exposure assessment and risk estimation. By integrating epidemiologic findings, exposure modeling methodologies, and emerging predictive frameworks, this review aims to critically evaluate the state of the science, identify methodological limitations, and outline priorities for future research and policy-relevant applications.</w:t>
      </w:r>
    </w:p>
    <w:p w:rsidR="00AD780F" w:rsidRDefault="00AD780F"/>
    <w:p w:rsidR="005D4314" w:rsidRDefault="005D4314" w:rsidP="005D4314">
      <w:pPr>
        <w:pStyle w:val="Heading3"/>
      </w:pPr>
      <w:r>
        <w:t>2. Conceptual Framework</w:t>
      </w:r>
    </w:p>
    <w:p w:rsidR="005D4314" w:rsidRDefault="005D4314" w:rsidP="005D4314">
      <w:pPr>
        <w:pStyle w:val="NormalWeb"/>
      </w:pPr>
      <w:r>
        <w:t xml:space="preserve">This review is grounded in a life-course exposure paradigm, which posits that disease risk is shaped by environmental influences operating across critical stages of development, beginning in utero and extending through early childhood. Within this framework, pediatric cancer is understood not solely as the result of proximate exposures but as the downstream manifestation </w:t>
      </w:r>
      <w:r>
        <w:lastRenderedPageBreak/>
        <w:t>of biological perturbations initiated during sensitive developmental windows. The developmental origins of cancer hypothesis emphasizes that early-life insults can induce persistent molecular, epigenetic, and immunologic changes that increase susceptibility to malignant transformation during childhood, when growth and differentiation processes remain highly active</w:t>
      </w:r>
      <w:r w:rsidR="00A60316">
        <w:fldChar w:fldCharType="begin"/>
      </w:r>
      <w:r w:rsidR="006935BD">
        <w:instrText xml:space="preserve"> ADDIN ZOTERO_ITEM CSL_CITATION {"citationID":"93fhxct1","properties":{"formattedCitation":"(Zhang et al., 2024)","plainCitation":"(Zhang et al., 2024)","noteIndex":0},"citationItems":[{"id":13345,"uris":["http://zotero.org/users/16652950/items/4TBCGY8J"],"itemData":{"id":13345,"type":"article-journal","abstract":"Tumorigenesis is a multistep process, with oncogenic mutations in a normal cell conferring clonal advantage as the initial event. However, despite pervasive somatic mutations and clonal expansion in normal tissues, their transformation into cancer remains a rare event, indicating the presence of additional driver events for progression to an irreversible, highly heterogeneous, and invasive lesion. Recently, researchers are emphasizing the mechanisms of environmental tumor risk factors and epigenetic alterations that are profoundly influencing early clonal expansion and malignant evolution, independently of inducing mutations. Additionally, clonal evolution in tumorigenesis reflects a multifaceted interplay between cell-intrinsic identities and various cell-extrinsic factors that exert selective pressures to either restrain uncontrolled proliferation or allow specific clones to progress into tumors. However, the mechanisms by which driver events induce both intrinsic cellular competency and remodel environmental stress to facilitate malignant transformation are not fully understood. In this review, we summarize the genetic, epigenetic, and external driver events, and their effects on the co-evolution of the transformed cells and their ecosystem during tumor initiation and early malignant evolution. A deeper understanding of the earliest molecular events holds promise for translational applications, predicting individuals at high-risk of tumor and developing strategies to intercept malignant transformation.","container-title":"Signal Transduction and Targeted Therapy","DOI":"10.1038/s41392-024-01848-7","ISSN":"2059-3635","issue":"1","journalAbbreviation":"Sig Transduct Target Ther","language":"en","license":"2024 The Author(s)","note":"publisher: Nature Publishing Group","page":"149","source":"www.nature.com","title":"Tumor initiation and early tumorigenesis: molecular mechanisms and interventional targets","title-short":"Tumor initiation and early tumorigenesis","volume":"9","author":[{"family":"Zhang","given":"Shaosen"},{"family":"Xiao","given":"Xinyi"},{"family":"Yi","given":"Yonglin"},{"family":"Wang","given":"Xinyu"},{"family":"Zhu","given":"Lingxuan"},{"family":"Shen","given":"Yanrong"},{"family":"Lin","given":"Dongxin"},{"family":"Wu","given":"Chen"}],"issued":{"date-parts":[["2024",6,19]]}}}],"schema":"https://github.com/citation-style-language/schema/raw/master/csl-citation.json"} </w:instrText>
      </w:r>
      <w:r w:rsidR="00A60316">
        <w:fldChar w:fldCharType="separate"/>
      </w:r>
      <w:r w:rsidR="006935BD" w:rsidRPr="006935BD">
        <w:t>(Zhang et al., 2024)</w:t>
      </w:r>
      <w:r w:rsidR="00A60316">
        <w:fldChar w:fldCharType="end"/>
      </w:r>
      <w:r>
        <w:t>.</w:t>
      </w:r>
    </w:p>
    <w:p w:rsidR="005D4314" w:rsidRDefault="005D4314" w:rsidP="005D4314">
      <w:pPr>
        <w:pStyle w:val="NormalWeb"/>
      </w:pPr>
      <w:r>
        <w:t>The exposure–disease continuum linking agrochemical use to pediatric cancer risk is inherently multi-stage and spatially structured. Agricultural pesticide application represents the upstream driver, introducing chemical agents into the environment through routine farming practices. These agents undergo environmental dispersion via processes such as spray drift, volatilization, runoff, and soil persistence, resulting in heterogeneous contamination of air, water, and residential surroundings. Early-life exposure occurs when fetuses and young children come into contact with these contaminants through placental transfer, inhalation, ingestion, or dermal absorption. At the biological level, such exposures may disrupt key developmental pathways, including DNA integrity, endocrine signaling, immune maturation, and epigenetic regulation, thereby increasing the likelihood of pediatric cancer initiation and progression</w:t>
      </w:r>
      <w:r w:rsidR="00A60316">
        <w:fldChar w:fldCharType="begin"/>
      </w:r>
      <w:r w:rsidR="006935BD">
        <w:instrText xml:space="preserve"> ADDIN ZOTERO_ITEM CSL_CITATION {"citationID":"SgshpxWQ","properties":{"formattedCitation":"(Ashish Pandey, 2023; Mu\\uc0\\u241{}oz-Bautista et al., 2025)","plainCitation":"(Ashish Pandey, 2023; Muñoz-Bautista et al., 2025)","noteIndex":0},"citationItems":[{"id":13238,"uris":["http://zotero.org/users/16652950/items/3DM4SSQJ"],"itemData":{"id":13238,"type":"article-journal","abstract":"To study the effect of chemical toxic pesticides used in agricultural for pest control the maximum risk involved to applicator and handling the chemical pesticides with excess cancer risk. In this study, the epidemiological, molecular biology and toxicological evidence emerging from recent literature which pesticides are responsible for several type of cancer in human beings and other health hazards in environment.","container-title":"World Journal of Advanced Research and Reviews","DOI":"10.30574/wjarr.2023.17.2.0199","ISSN":"25819615","issue":"2","journalAbbreviation":"World J. Adv. Res. Rev.","language":"en","page":"121-125","source":"DOI.org (Crossref)","title":"Study on the cancer by chemical pesticides exposure to pesticide applicators, farm workers and consumers: Urgent need for safer eco-friendly pesticides","title-short":"Study on the cancer by chemical pesticides exposure to pesticide applicators, farm workers and consumers","volume":"17","author":[{"literal":"Ashish Pandey"}],"issued":{"date-parts":[["2023",2,28]]}}},{"id":13347,"uris":["http://zotero.org/users/16652950/items/76TD6SI6"],"itemData":{"id":13347,"type":"article-journal","abstract":"The extensive use of conventional pesticides has been a fundamental strategy in modern agriculture for controlling pests and increasing crop productiv...","container-title":"Agronomy","DOI":"10.3390/agronomy15081878","ISSN":"2073-4395","issue":"8","language":"en","license":"http://creativecommons.org/licenses/by/3.0/","note":"Company: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Impacts of Pesticides and Nanotechnology as an Alternative in Agriculture","URL":"https://www.mdpi.com/2073-4395/15/8/1878","volume":"15","author":[{"family":"Muñoz-Bautista","given":"Jesús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Lizette"},{"family":"Muñoz-Bautista","given":"Jesús Martín"},{"family":"Bernal-Mercado","given":"Ariadna Thalía"},{"family":"Martínez-Cruz","given":"Oliviert"},{"family":"Burgos-Hernández","given":"Armando"},{"family":"López-Zavala","given":"Alonso Alexis"},{"family":"Ruiz-Cruz","given":"Saul"},{"family":"Ornelas-Paz","given":"José de Jesús"},{"family":"Borboa-Flores","given":"Jesús"},{"family":"Ramos-Enríquez","given":"José Rogelio"},{"family":"Del-Toro-Sánchez","given":"Carmen Lizette"}],"accessed":{"date-parts":[["2026",1,15]]},"issued":{"date-parts":[["2025",8,2]]}}}],"schema":"https://github.com/citation-style-language/schema/raw/master/csl-citation.json"} </w:instrText>
      </w:r>
      <w:r w:rsidR="00A60316">
        <w:fldChar w:fldCharType="separate"/>
      </w:r>
      <w:r w:rsidR="006935BD" w:rsidRPr="006935BD">
        <w:t>(Ashish Pandey, 2023; Muñoz-Bautista et al., 2025)</w:t>
      </w:r>
      <w:r w:rsidR="00A60316">
        <w:fldChar w:fldCharType="end"/>
      </w:r>
      <w:r>
        <w:t>.</w:t>
      </w:r>
    </w:p>
    <w:p w:rsidR="00676515" w:rsidRDefault="005D4314" w:rsidP="00676515">
      <w:pPr>
        <w:pStyle w:val="NormalWeb"/>
      </w:pPr>
      <w:r>
        <w:t>Predictive and spatial modeling approaches play a central role in operationalizing this conceptual framework by bridging the gap between upstream environmental processes and downstream health outcomes. Geographic information system–based models enable the reconstruction of spatially and temporally resolved exposure profiles by linking residential histories with pesticide application records, land-use data, and environmental transport parameters. Predictive models, including statistical and machine learning–based approaches, further integrate these exposure estimates with demographic and contextual factors to characterize cancer risk patterns at the individual and population levels. Within this framework, such models serve not only as analytical tools but also as hypothesis-generating and translational instruments, supporting risk stratification, early identification of vulnerable subgroups, and evidence-informed prevention strategies in agricultural communities</w:t>
      </w:r>
      <w:r w:rsidR="00A60316">
        <w:fldChar w:fldCharType="begin"/>
      </w:r>
      <w:r w:rsidR="001850B9">
        <w:instrText xml:space="preserve"> ADDIN ZOTERO_ITEM CSL_CITATION {"citationID":"MeLU5cU7","properties":{"formattedCitation":"(Augustin et al., 2023; Jerrett et al., 2010)","plainCitation":"(Augustin et al., 2023; Jerrett et al., 2010)","noteIndex":0},"citationItems":[{"id":13349,"uris":["http://zotero.org/users/16652950/items/8W8VHFEP"],"itemData":{"id":13349,"type":"article-journal","abstract":"Numerous studies and models address the determinants of health. However, in existing models, the spatial aspects of the determinants are not or only m...","container-title":"International Journal of Environmental Research and Public Health","DOI":"10.3390/ijerph20031817","ISSN":"1660-4601","issue":"3","language":"en","license":"http://creativecommons.org/licenses/by/3.0/","note":"Company: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publisher","source":"www.mdpi.com","title":"Spatial Aspects of Health—Developing a Conceptual Framework","URL":"https://www.mdpi.com/1660-4601/20/3/1817","volume":"20","author":[{"family":"Augustin","given":"Jobst"},{"family":"Andrees","given":"Valerie"},{"family":"Walsh","given":"David"},{"family":"Reintjes","given":"Ralf"},{"family":"Koller","given":"Daniela"},{"family":"Augustin","given":"Jobst"},{"family":"Andrees","given":"Valerie"},{"family":"Walsh","given":"David"},{"family":"Reintjes","given":"Ralf"},{"family":"Koller","given":"Daniela"}],"accessed":{"date-parts":[["2026",1,15]]},"issued":{"date-parts":[["2023",1,18]]}}},{"id":13351,"uris":["http://zotero.org/users/16652950/items/UABHP2Z7"],"itemData":{"id":13351,"type":"article-journal","abstract":"This paper has two aims: (1) to summarize various geographic information science methods; and (2) to provide a review of studies that have employed su...","container-title":"International Journal of Environmental Research and Public Health","DOI":"10.3390/ijerph7041302","ISSN":"1660-4601","issue":"4","language":"en","license":"http://creativecommons.org/licenses/by/3.0/","note":"Company: Molecular Diversity Preservation International\nDistributor: Molecular Diversity Preservation International\nInstitution: Molecular Diversity Preservation International\nLabel: Molecular Diversity Preservation International\npublisher: publisher","page":"1302-1329","source":"www.mdpi.com","title":"Spatial Modeling in Environmental and Public Health Research","volume":"7","author":[{"family":"Jerrett","given":"Michael"},{"family":"Gale","given":"Sara"},{"family":"Kontgis","given":"Caitlin"},{"family":"Jerrett","given":"Michael"},{"family":"Gale","given":"Sara"},{"family":"Kontgis","given":"Caitlin"}],"issued":{"date-parts":[["2010",3,25]]}}}],"schema":"https://github.com/citation-style-language/schema/raw/master/csl-citation.json"} </w:instrText>
      </w:r>
      <w:r w:rsidR="00A60316">
        <w:fldChar w:fldCharType="separate"/>
      </w:r>
      <w:r w:rsidR="001850B9" w:rsidRPr="001850B9">
        <w:t>(Augustin et al., 2023; Jerrett et al., 2010)</w:t>
      </w:r>
      <w:r w:rsidR="00A60316">
        <w:fldChar w:fldCharType="end"/>
      </w:r>
      <w:r>
        <w:t>.</w:t>
      </w:r>
      <w:r w:rsidR="00676515">
        <w:t xml:space="preserve"> </w:t>
      </w:r>
      <w:r w:rsidR="00676515">
        <w:rPr>
          <w:rStyle w:val="Emphasis"/>
        </w:rPr>
        <w:t>Figure 1 presents an integrated life-course framework illustrating how upstream agrochemical use is translated into early-life exposure estimates through predictive and spatial modeling approaches, and how these exposures interface with biologically plausible mechanisms to influence pediatric cancer risk.</w:t>
      </w:r>
    </w:p>
    <w:p w:rsidR="005D4314" w:rsidRDefault="005D4314" w:rsidP="005D4314">
      <w:pPr>
        <w:pStyle w:val="NormalWeb"/>
      </w:pPr>
    </w:p>
    <w:p w:rsidR="005D4314" w:rsidRDefault="00676515" w:rsidP="00676515">
      <w:pPr>
        <w:pStyle w:val="NormalWeb"/>
      </w:pPr>
      <w:r>
        <w:rPr>
          <w:b/>
          <w:bCs/>
          <w:noProof/>
        </w:rPr>
        <w:lastRenderedPageBreak/>
        <w:drawing>
          <wp:inline distT="0" distB="0" distL="0" distR="0">
            <wp:extent cx="5943600" cy="3962400"/>
            <wp:effectExtent l="19050" t="0" r="0" b="0"/>
            <wp:docPr id="1" name="Picture 0" descr="ChatGPT Image Jan 15, 2026, 12_03_5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an 15, 2026, 12_03_58 AM.png"/>
                    <pic:cNvPicPr/>
                  </pic:nvPicPr>
                  <pic:blipFill>
                    <a:blip r:embed="rId7"/>
                    <a:stretch>
                      <a:fillRect/>
                    </a:stretch>
                  </pic:blipFill>
                  <pic:spPr>
                    <a:xfrm>
                      <a:off x="0" y="0"/>
                      <a:ext cx="5943600" cy="3962400"/>
                    </a:xfrm>
                    <a:prstGeom prst="rect">
                      <a:avLst/>
                    </a:prstGeom>
                  </pic:spPr>
                </pic:pic>
              </a:graphicData>
            </a:graphic>
          </wp:inline>
        </w:drawing>
      </w:r>
      <w:r>
        <w:rPr>
          <w:rStyle w:val="Strong"/>
        </w:rPr>
        <w:t>Figure 1. Integrated life-course predictive modeling framework linking early-life agrochemical exposure to pediatric cancer risk.</w:t>
      </w:r>
      <w:r>
        <w:br/>
        <w:t xml:space="preserve">The figure conceptualizes the exposure–disease continuum beginning with agricultural pesticide application and environmental dispersion, followed by spatially and temporally resolved exposure reconstruction during critical developmental windows, including prenatal and early childhood periods. Predictive modeling approaches—ranging from statistical and GIS-based methods to machine learning and hybrid causal–predictive frameworks—are shown as integrative tools that link reconstructed exposures with biologically plausible mechanisms such as genotoxicity, endocrine disruption, epigenetic reprogramming, and immune dysregulation. These processes collectively inform risk stratification, identification of vulnerable subpopulations, and prevention-oriented public health strategies for pediatric cancers in agricultural communities. </w:t>
      </w:r>
    </w:p>
    <w:p w:rsidR="005D4314" w:rsidRDefault="005D4314" w:rsidP="005D4314">
      <w:pPr>
        <w:pStyle w:val="Heading3"/>
      </w:pPr>
      <w:r>
        <w:t>3. Methods</w:t>
      </w:r>
    </w:p>
    <w:p w:rsidR="005D4314" w:rsidRDefault="005D4314" w:rsidP="005D4314">
      <w:pPr>
        <w:pStyle w:val="Heading4"/>
      </w:pPr>
      <w:r>
        <w:t>3.1 Review Design</w:t>
      </w:r>
    </w:p>
    <w:p w:rsidR="005D4314" w:rsidRDefault="005D4314" w:rsidP="005D4314">
      <w:pPr>
        <w:pStyle w:val="NormalWeb"/>
      </w:pPr>
      <w:r>
        <w:t xml:space="preserve">This study was conducted as a narrative review with systematic elements, designed to provide a critical and integrative synthesis of the literature on early-life agrochemical exposure and pediatric cancer risk, with particular emphasis on predictive and spatial modeling approaches. While not a full systematic review with meta-analysis, the review followed structured search, screening, and appraisal procedures to enhance transparency, reproducibility, and methodological rigor. The overall approach aligns with the principles of the Preferred Reporting </w:t>
      </w:r>
      <w:r>
        <w:lastRenderedPageBreak/>
        <w:t>Items for Systematic Reviews and Meta-Analyses for Scoping Reviews, adapted to accommodate heterogeneity in study designs, exposure metrics, and modeling methodologies that preclude quantitative pooling.</w:t>
      </w:r>
    </w:p>
    <w:p w:rsidR="005D4314" w:rsidRDefault="005D4314" w:rsidP="005D4314">
      <w:pPr>
        <w:pStyle w:val="Heading4"/>
      </w:pPr>
      <w:r>
        <w:t>3.2 Literature Search Strategy</w:t>
      </w:r>
    </w:p>
    <w:p w:rsidR="005D4314" w:rsidRDefault="005D4314" w:rsidP="005D4314">
      <w:pPr>
        <w:pStyle w:val="NormalWeb"/>
      </w:pPr>
      <w:r>
        <w:t xml:space="preserve">A comprehensive literature search was undertaken across major biomedical and interdisciplinary databases, including PubMed, Web of Science, Scopus, and </w:t>
      </w:r>
      <w:proofErr w:type="spellStart"/>
      <w:r>
        <w:t>Embase</w:t>
      </w:r>
      <w:proofErr w:type="spellEnd"/>
      <w:r>
        <w:t>. Searches combined controlled vocabulary terms and free-text keywords related to pediatric cancer, agrochemical or pesticide exposure, agricultural settings, early-life or prenatal exposure, and predictive or spatial modeling. Boolean operators were used to link exposure, population, and outcome concepts, and search strings were iteratively refined to balance sensitivity and specificity. The search covered publications from January 2000 through December 2025 to capture contemporary pesticide use patterns and advances in exposure modeling. Only articles published in English were included due to feasibility constraints.</w:t>
      </w:r>
    </w:p>
    <w:p w:rsidR="005D4314" w:rsidRDefault="005D4314" w:rsidP="005D4314">
      <w:pPr>
        <w:pStyle w:val="Heading4"/>
      </w:pPr>
      <w:r>
        <w:t>3.3 Eligibility Criteria</w:t>
      </w:r>
    </w:p>
    <w:p w:rsidR="005D4314" w:rsidRDefault="005D4314" w:rsidP="005D4314">
      <w:pPr>
        <w:pStyle w:val="NormalWeb"/>
      </w:pPr>
      <w:r>
        <w:t>Studies were eligible for inclusion if they examined children residing in agricultural or farming households, or populations with clearly defined agricultural exposure contexts. Eligible exposures included prenatal, perinatal, or early childhood exposure to agrochemicals, broadly defined to encompass pesticides, herbicides, fungicides, and related formulations. Outcomes of interest were pediatric cancers overall as well as specific malignancies, such as leukemia, lymphomas, and central nervous system tumors. The review included epidemiologic studies, exposure assessment and modeling studies, and investigations employing predictive or machine learning approaches to estimate cancer risk or exposure–outcome relationships. Reviews, editorials, and animal-only studies were excluded, although mechanistic evidence from toxicological studies was considered in the interpretive sections.</w:t>
      </w:r>
    </w:p>
    <w:p w:rsidR="005D4314" w:rsidRDefault="005D4314" w:rsidP="005D4314">
      <w:pPr>
        <w:pStyle w:val="Heading4"/>
      </w:pPr>
      <w:r>
        <w:t>3.4 Study Selection and Data Extraction</w:t>
      </w:r>
    </w:p>
    <w:p w:rsidR="005D4314" w:rsidRDefault="005D4314" w:rsidP="005D4314">
      <w:pPr>
        <w:pStyle w:val="NormalWeb"/>
      </w:pPr>
      <w:r>
        <w:t>Titles and abstracts were screened for relevance, followed by full-text review of potentially eligible articles. Study selection was guided by predefined inclusion criteria to ensure consistency. For each included study, key data elements were extracted using a standardized framework, including study design, population characteristics, geographic setting, exposure assessment methods, modeling approaches, cancer outcomes assessed, and principal findings. Particular attention was paid to how exposure was operationalized, the temporal windows considered, and the extent to which spatial or predictive modeling techniques were employed.</w:t>
      </w:r>
    </w:p>
    <w:p w:rsidR="005D4314" w:rsidRDefault="005D4314" w:rsidP="005D4314">
      <w:pPr>
        <w:pStyle w:val="Heading4"/>
      </w:pPr>
      <w:r>
        <w:t>3.5 Quality and Bias Assessment</w:t>
      </w:r>
    </w:p>
    <w:p w:rsidR="005D4314" w:rsidRDefault="005D4314" w:rsidP="005D4314">
      <w:pPr>
        <w:pStyle w:val="NormalWeb"/>
      </w:pPr>
      <w:r>
        <w:t xml:space="preserve">Methodological quality and risk of bias were evaluated qualitatively, with reference to established tools such as the Newcastle–Ottawa Scale for observational studies and the ROBINS-E framework for non-randomized exposure studies. Assessment focused on selection bias, exposure misclassification, outcome ascertainment, and control for confounding, including </w:t>
      </w:r>
      <w:r>
        <w:lastRenderedPageBreak/>
        <w:t>socioeconomic and occupational factors. For modeling studies, additional considerations included transparency of model assumptions, validation procedures, and interpretability of results. Rather than excluding studies based on quality scores, these assessments informed the weighting of evidence and the critical interpretation of findings throughout the review.</w:t>
      </w:r>
    </w:p>
    <w:p w:rsidR="005D4314" w:rsidRDefault="005D4314"/>
    <w:p w:rsidR="005D4314" w:rsidRDefault="005D4314" w:rsidP="005D4314">
      <w:pPr>
        <w:pStyle w:val="Heading3"/>
      </w:pPr>
      <w:r>
        <w:t>4. Agrochemical Exposure in Early Life</w:t>
      </w:r>
    </w:p>
    <w:p w:rsidR="005D4314" w:rsidRDefault="005D4314" w:rsidP="005D4314">
      <w:pPr>
        <w:pStyle w:val="Heading4"/>
      </w:pPr>
      <w:r>
        <w:t>4.1 Classes of Agrochemicals Implicated</w:t>
      </w:r>
    </w:p>
    <w:p w:rsidR="005D4314" w:rsidRDefault="005D4314" w:rsidP="005D4314">
      <w:pPr>
        <w:pStyle w:val="NormalWeb"/>
      </w:pPr>
      <w:r>
        <w:t xml:space="preserve">A wide range of agrochemicals has been implicated in epidemiologic studies examining pediatric cancer risk in agricultural settings. Organophosphates and carbamates have received sustained attention due to their widespread historical use and established neurotoxic and </w:t>
      </w:r>
      <w:proofErr w:type="spellStart"/>
      <w:r>
        <w:t>immunotoxic</w:t>
      </w:r>
      <w:proofErr w:type="spellEnd"/>
      <w:r>
        <w:t xml:space="preserve"> properties. These compounds can interfere with cholinergic signaling and have been associated with oxidative stress and DNA damage, mechanisms that are relevant to carcinogenesis when exposure occurs during development. Pyrethroids, often introduced as perceived safer alternatives, are now increasingly detected in environmental and biological samples and have been shown to disrupt endocrine function and immune regulation, raising concern about their long-term health effects in children</w:t>
      </w:r>
      <w:r w:rsidR="00A60316">
        <w:fldChar w:fldCharType="begin"/>
      </w:r>
      <w:r w:rsidR="00484549">
        <w:instrText xml:space="preserve"> ADDIN ZOTERO_ITEM CSL_CITATION {"citationID":"GciTwUuA","properties":{"formattedCitation":"(Sokan-Adeaga et al., 2023)","plainCitation":"(Sokan-Adeaga et al., 2023)","noteIndex":0},"citationItems":[{"id":13353,"uris":["http://zotero.org/users/16652950/items/VWJNT7NM"],"itemData":{"id":13353,"type":"article-journal","abstract":"Toxicity arising from environmental contaminants has attracted global interest in the last few decades, due to the high morbidity and mortality associated with them. Efforts have been made to combat the consequential outcomes of environmental toxicity in humans through traditional remediation techniques and therapeutic measures which have been hampered by one or more limitations. Consequently, this scenario has triggered interest in the medicinal properties of phytochemicals. Thus, this review gives a succinct and in-depth elucidation of the various environmental contaminants and their toxicity effects on humans. It delves into the various classes of phytochemicals and their intervention roles. The study adopted a desk review of existing literatures from scientific reports and peer reviewed articles through triangulation of data sources. “Phytochemicals” are group of secondary metabolites obtained from plants with medicinal properties. These groups of compounds are included but not limited to flavonoids, tannins, saponins, alkaloids, cardenoloids, terpenoids, and phytosteroids. This review corroborates the prophylactic and therapeutics efficacy of these phytochemicals as anti-metastatic, anti-inflammatory, anti-aging, anti-oxidant, anti-microbial and live saving substances with empirical findings from several laboratory, clinical trials and epidemiologic studies. It conclude that given the wide range of medicinal properties of phytochemicals, there is an urgent need for its full optimization in the pharmaceutical industry and future studies should focus on identifying the bioactive molecules in these compounds and its effectiveness against mixer toxicity.","container-title":"Journal of Public Health Research","DOI":"10.1177/22799036231181226","ISSN":"2279-9036","issue":"2","language":"EN","note":"publisher: SAGE Publications","page":"22799036231181226","source":"SAGE Journals","title":"Environmental toxicants and health adversities: A review on interventions of phytochemicals","title-short":"Environmental toxicants and health adversities","volume":"12","author":[{"family":"Sokan-Adeaga","given":"Adewale Allen"},{"family":"Sokan-Adeaga","given":"Micheal Ayodeji"},{"family":"Sokan-Adeaga","given":"Eniola Deborah"},{"family":"Oparaji","given":"Anastasia Nkem"},{"family":"Edris","given":"Hoseinzadeh"},{"family":"Tella","given":"Esther Oluwabukunola"},{"family":"Balogun","given":"Francis Adeniyi"},{"family":"Aledeh","given":"Muhammad"},{"family":"Amubieya","given":"Oluwatosin Emmanuel"}],"issued":{"date-parts":[["2023",4,1]]}}}],"schema":"https://github.com/citation-style-language/schema/raw/master/csl-citation.json"} </w:instrText>
      </w:r>
      <w:r w:rsidR="00A60316">
        <w:fldChar w:fldCharType="separate"/>
      </w:r>
      <w:r w:rsidR="00484549" w:rsidRPr="00484549">
        <w:t>(</w:t>
      </w:r>
      <w:proofErr w:type="spellStart"/>
      <w:r w:rsidR="00484549" w:rsidRPr="00484549">
        <w:t>Sokan-Adeaga</w:t>
      </w:r>
      <w:proofErr w:type="spellEnd"/>
      <w:r w:rsidR="00484549" w:rsidRPr="00484549">
        <w:t xml:space="preserve"> et al., 2023)</w:t>
      </w:r>
      <w:r w:rsidR="00A60316">
        <w:fldChar w:fldCharType="end"/>
      </w:r>
      <w:r>
        <w:t>.</w:t>
      </w:r>
    </w:p>
    <w:p w:rsidR="005D4314" w:rsidRDefault="005D4314" w:rsidP="005D4314">
      <w:pPr>
        <w:pStyle w:val="NormalWeb"/>
      </w:pPr>
      <w:r>
        <w:t xml:space="preserve">Herbicides represent another major class of concern, particularly glyphosate-based formulations and triazines, which are extensively applied in large-scale crop production. While toxicological profiles vary across compounds, several herbicides exhibit endocrine-disrupting activity and potential genotoxic effects, especially when formulated with adjuvants that enhance environmental persistence and bioavailability. Fungicides, including azoles and </w:t>
      </w:r>
      <w:proofErr w:type="spellStart"/>
      <w:r>
        <w:t>dithiocarbamates</w:t>
      </w:r>
      <w:proofErr w:type="spellEnd"/>
      <w:r>
        <w:t>, are comparatively less studied in pediatric populations but are frequently used in combination with other agrochemicals, creating complex exposure mixtures</w:t>
      </w:r>
      <w:r w:rsidR="00A60316">
        <w:fldChar w:fldCharType="begin"/>
      </w:r>
      <w:r w:rsidR="00484549">
        <w:instrText xml:space="preserve"> ADDIN ZOTERO_ITEM CSL_CITATION {"citationID":"YBWbhvEq","properties":{"formattedCitation":"(Ba\\uc0\\u263{}maga et al., 2024)","plainCitation":"(Baćmaga et al., 2024)","noteIndex":0},"citationItems":[{"id":13355,"uris":["http://zotero.org/users/16652950/items/PYMXKRSJ"],"itemData":{"id":13355,"type":"article-journal","abstract":"One of the guiding principles of the sustainable use of herbicides is their targeted action exclusively against weeds, consisting of blocking photosynthesis and synthesis of amino acids and growth regulators. Herbicides are major elements of plant production, indispensable to the functioning of modern agriculture. Nevertheless, their influence on all elements of the natural environment needs to be continuously controlled. This review article summarizes research addressing the effects of herbicides on the natural environment and the changes they trigger therein. Herbicides, applied to protect crops against weed infestation, are usually mixtures of various active substances; hence, it is generally difficult to analyze their impact on the environment and organisms. Nonetheless, an attempt was made in this review to discuss the effects of selected herbicides on individual elements of the natural environment (water, soil, and air) and organisms (humans, animals, plants, and microorganisms). In addition, the article presents examples of the biodegradation of selected herbicides and mechanisms of their degradation by bacteria and fungi. Based on this information, it can be concluded that the uncontrolled use of herbicides has led to adverse effects on non-target organisms, as documented in the scientific literature. However, further research on the environmental effects of these chemicals is needed address the missing knowledge on this subject.","container-title":"Molecules","DOI":"10.3390/molecules29245965","ISSN":"1420-3049","issue":"24","journalAbbreviation":"Molecules","note":"PMID: 39770054\nPMCID: PMC11677524","page":"5965","source":"PubMed Central","title":"Environmental Implication of Herbicide Use","volume":"29","author":[{"family":"Baćmaga","given":"Małgorzata"},{"family":"Wyszkowska","given":"Jadwiga"},{"family":"Kucharski","given":"Jan"}],"issued":{"date-parts":[["2024",12,18]]}}}],"schema":"https://github.com/citation-style-language/schema/raw/master/csl-citation.json"} </w:instrText>
      </w:r>
      <w:r w:rsidR="00A60316">
        <w:fldChar w:fldCharType="separate"/>
      </w:r>
      <w:r w:rsidR="00484549" w:rsidRPr="00484549">
        <w:t>(</w:t>
      </w:r>
      <w:proofErr w:type="spellStart"/>
      <w:r w:rsidR="00484549" w:rsidRPr="00484549">
        <w:t>Baćmaga</w:t>
      </w:r>
      <w:proofErr w:type="spellEnd"/>
      <w:r w:rsidR="00484549" w:rsidRPr="00484549">
        <w:t xml:space="preserve"> et al., 2024)</w:t>
      </w:r>
      <w:r w:rsidR="00A60316">
        <w:fldChar w:fldCharType="end"/>
      </w:r>
      <w:r>
        <w:t>. The cumulative and interactive effects of these mixed formulations pose significant challenges for exposure assessment and risk attribution in early-life cancer research.</w:t>
      </w:r>
    </w:p>
    <w:p w:rsidR="005D4314" w:rsidRDefault="005D4314" w:rsidP="005D4314">
      <w:pPr>
        <w:pStyle w:val="Heading4"/>
      </w:pPr>
      <w:r>
        <w:t>4.2 Exposure Pathways in Farmers’ Children</w:t>
      </w:r>
    </w:p>
    <w:p w:rsidR="005D4314" w:rsidRDefault="005D4314" w:rsidP="005D4314">
      <w:pPr>
        <w:pStyle w:val="NormalWeb"/>
      </w:pPr>
      <w:r>
        <w:t>Children in farming households are exposed to agrochemicals through multiple, overlapping pathways that begin before birth and continue throughout early childhood. Prenatal exposure occurs primarily through placental transfer, as many agrochemicals or their metabolites can cross the placental barrier and reach the developing fetus. Maternal occupational exposure, residential proximity to treated fields, and contamination of household environments contribute to in utero exposure during critical stages of organogenesis and immune system development</w:t>
      </w:r>
      <w:r w:rsidR="00A60316">
        <w:fldChar w:fldCharType="begin"/>
      </w:r>
      <w:r w:rsidR="009F2202">
        <w:instrText xml:space="preserve"> ADDIN ZOTERO_ITEM CSL_CITATION {"citationID":"ClgdcoVW","properties":{"formattedCitation":"(Conejo-Bola\\uc0\\u241{}os et al., 2024)","plainCitation":"(Conejo-Bolaños et al., 2024)","noteIndex":0},"citationItems":[{"id":13358,"uris":["http://zotero.org/users/16652950/items/NVMU3TLN"],"itemData":{"id":13358,"type":"article-journal","abstract":"Background:\nPesticide exposure may affect young children’s neurodevelopment, but only few cohort studies have addressed possible effects of non-organophosphate pesticides.\n\nObjective:\nWe evaluated associations between prenatal current-use pesticide exposure and neurodevelopmental outcomes among 1-year-old children from the Infants’ Environmental Health (ISA) birth cohort.\n\nMethods:\nTo determine prenatal pesticide exposure, we measured biomarkers of pyrimethanil, chlorpyrifos, synthetic pyrethroids, and 2,4-D in urine samples among 355 women, 1–3 times during pregnancy. One-year post-partum, we evaluated children’s neurodevelopment with the Bayley Scales of Infant and Toddler Development 3rd edition (BSID-III). We assessed associations between exposures and neurodevelopmental outcomes (composite and z-scores) using single-chemical linear regression models adjusted for possible confounders (maternal education, parity, sex, gestational age at birth, child age, HOME-score, location of assessment, biomarkers of mancozeb), and studied effect-modification by sex. We evaluated non-linear associations of multiple pesticide exposures with Bayesian kernel machine regression (BKMR).\n\nResults:\nWe found higher prenatal urinary 2,4-D concentrations were associated with lower language (βper ten-fold increase= −2.0, 95% confidence interval (CI) = −3.5, −0.5) and motor (βper ten-fold increase= −2.2, 95%CI= −4.2, −0.1) composite scores among all children. Also, higher chlorpyrifos exposure [measured as urinary 3,5,6-trichloro-2-pyridinol (TCPy)] was associated with lower cognitive composite scores (βper ten-fold increase = −1.9, 95%CI= −4.7, 0.8), and lower motor composite scores among boys (βper ten-fold increase = −3.8, 95% CI= −7.7, 0.1) but not girls (βper ten-fold increase = 2.3, 95%CI= −1.6, 6.3, pINT =0.11). Finally, higher pyrimethanil was associated with lower language abilities among girls, but not boys. Pyrethroid metabolite concentrations did not explain variability in BSID-III composite scores. Associations were similar for BSID-III z-scores, and we found no evidence for non-linear associations or mixture effects.\n\nDiscussion:\nPrenatal exposure to common-use pesticides may affect children’s neurodevelopment at 1-year of age, some effects may be sex-specific.","container-title":"Environmental research","DOI":"10.1016/j.envres.2024.118222","ISSN":"0013-9351","journalAbbreviation":"Environ Res","note":"PMID: 38272290\nPMCID: PMC11065598","page":"118222","source":"PubMed Central","title":"Prenatal current-use pesticide exposure and children’s neurodevelopment at one year of age in the Infants’ Environmental Health (ISA) birth cohort, Costa Rica","volume":"249","author":[{"family":"Conejo-Bolaños","given":"L. Diego"},{"family":"Mora","given":"Ana M."},{"family":"Hernández-Bonilla","given":"David"},{"family":"Cano","given":"Juan Camilo"},{"family":"Menezes-Filho","given":"José A."},{"family":"Eskenazi","given":"Brenda"},{"family":"Lindh","given":"Christian H"},{"family":"Wendel de Joode","given":"Berna","non-dropping-particle":"van"}],"issued":{"date-parts":[["2024",5,15]]}}}],"schema":"https://github.com/citation-style-language/schema/raw/master/csl-citation.json"} </w:instrText>
      </w:r>
      <w:r w:rsidR="00A60316">
        <w:fldChar w:fldCharType="separate"/>
      </w:r>
      <w:r w:rsidR="009F2202" w:rsidRPr="009F2202">
        <w:t>(</w:t>
      </w:r>
      <w:proofErr w:type="spellStart"/>
      <w:r w:rsidR="009F2202" w:rsidRPr="009F2202">
        <w:t>Conejo</w:t>
      </w:r>
      <w:proofErr w:type="spellEnd"/>
      <w:r w:rsidR="009F2202" w:rsidRPr="009F2202">
        <w:t>-Bolaños et al., 2024)</w:t>
      </w:r>
      <w:r w:rsidR="00A60316">
        <w:fldChar w:fldCharType="end"/>
      </w:r>
      <w:r>
        <w:t>.</w:t>
      </w:r>
    </w:p>
    <w:p w:rsidR="005D4314" w:rsidRDefault="005D4314" w:rsidP="005D4314">
      <w:pPr>
        <w:pStyle w:val="NormalWeb"/>
      </w:pPr>
      <w:r>
        <w:t xml:space="preserve">Postnatal exposure pathways are equally important and often persistent. Take-home exposure occurs when parents inadvertently bring pesticide residues into the home on clothing, footwear, or equipment, leading to chronic indoor contamination. Environmental drift from nearby agricultural applications can result in inhalation or dermal exposure, particularly for children living close to treated fields. In addition, contaminated soil, dust, and water sources serve as </w:t>
      </w:r>
      <w:r>
        <w:lastRenderedPageBreak/>
        <w:t>reservoirs of exposure, increasing the likelihood of ingestion through hand-to-mouth behaviors that are common in young children. The convergence of these pathways results in sustained, low-dose exposure profiles that are difficult to capture using conventional assessment methods</w:t>
      </w:r>
      <w:r w:rsidR="00A60316">
        <w:fldChar w:fldCharType="begin"/>
      </w:r>
      <w:r w:rsidR="009F2202">
        <w:instrText xml:space="preserve"> ADDIN ZOTERO_ITEM CSL_CITATION {"citationID":"TPvo1PhX","properties":{"formattedCitation":"(Khan et al., 2024)","plainCitation":"(Khan et al., 2024)","noteIndex":0},"citationItems":[{"id":13361,"uris":["http://zotero.org/users/16652950/items/X7CIURKW"],"itemData":{"id":13361,"type":"article-journal","abstract":"Background:\nOrganophosphorus pesticide (OP) exposure is known to have adverse effects on the nervous system. Children from agricultural communities are at risk of exposure to these chemicals from their indoor environments that can lead to neurological and developmental problems, including changes in behavior.\n\nObjective:\nThe aim of this study is to evaluate whether the take-home pathway exposure is associated with behavioral deficits in Latino Orchid Community children.\n\nMethod:\nThe study was implemented over a period of two years (2008-2010) in an orchard farming community with a total of 324 parents who had children between the ages of 5-12 years old. Mothers of the children were asked to complete a Child Behavior Checklist (CBCL) and dust from their carpets was collected. Emotional and behavioral deficits were assessed based on the CBCL and house dust was assessed for OP concentrations. In this study, correlations between OPs in house dust and CBCL subscales were estimated using linear regression models with total OP concentrations classified by tertiles. This study also facilitated the comparison between the agricultural and non-agricultural families in terms of behavioral deficits and house dust concentrations of pesticides.\n\nResults:\nThe data from the study shows that there was a positive association between the concentration of OP residues in house dust and internalizing behavior (β=2.06, p=0.05) whereas the association with externalizing behavior was not significant after accounting for sociocultural covariates. Significant positive associations of OP residues with somatic problems (p=0.02) and thought problems (p=0.05) were also found.\n\nConclusion:\nThe data support a potential role of OP exposure in childhood development, with a specific focus on internalizing behavior. Future work focused on longitudinal studies may uncover the long-term consequences of OP exposure and behavior.","container-title":"Neurotoxicology","DOI":"10.1016/j.neuro.2024.03.001","ISSN":"0161-813X","journalAbbreviation":"Neurotoxicology","note":"PMID: 38453034\nPMCID: PMC11684323","page":"29-36","source":"PubMed Central","title":"Organophosphorus pesticide exposure from house dust and parent-reported child behavior in Latino children from an orchard community","volume":"102","author":[{"family":"Khan","given":"Khalid M."},{"family":"Gaine","given":"Marie E."},{"family":"Daniel","given":"Alyssa R."},{"family":"Chilamkuri","given":"Pavani"},{"family":"Rohlman","given":"Diane S."}],"issued":{"date-parts":[["2024",5]]}}}],"schema":"https://github.com/citation-style-language/schema/raw/master/csl-citation.json"} </w:instrText>
      </w:r>
      <w:r w:rsidR="00A60316">
        <w:fldChar w:fldCharType="separate"/>
      </w:r>
      <w:r w:rsidR="009F2202" w:rsidRPr="009F2202">
        <w:t>(Khan et al., 2024)</w:t>
      </w:r>
      <w:r w:rsidR="00A60316">
        <w:fldChar w:fldCharType="end"/>
      </w:r>
      <w:r>
        <w:t>.</w:t>
      </w:r>
    </w:p>
    <w:p w:rsidR="005D4314" w:rsidRDefault="005D4314" w:rsidP="005D4314">
      <w:pPr>
        <w:pStyle w:val="Heading4"/>
      </w:pPr>
      <w:r>
        <w:t>4.3 Critical Windows of Susceptibility</w:t>
      </w:r>
    </w:p>
    <w:p w:rsidR="005D4314" w:rsidRDefault="005D4314" w:rsidP="005D4314">
      <w:pPr>
        <w:pStyle w:val="NormalWeb"/>
      </w:pPr>
      <w:r>
        <w:t>The timing of exposure is a central determinant of cancer risk in early life. Trimester-specific exposures during pregnancy may have differential effects depending on the developmental processes occurring at the time, such as hematopoietic stem cell expansion, neural tube formation, or immune system priming. Epidemiologic studies have reported stronger associations between agrochemical exposure and pediatric leukemia when exposure occurs during specific prenatal windows, underscoring the importance of temporal resolution in exposure assessment</w:t>
      </w:r>
      <w:r w:rsidR="00A60316">
        <w:fldChar w:fldCharType="begin"/>
      </w:r>
      <w:r w:rsidR="009F2202">
        <w:instrText xml:space="preserve"> ADDIN ZOTERO_ITEM CSL_CITATION {"citationID":"FHBbXegK","properties":{"formattedCitation":"(Struys et al., 2025)","plainCitation":"(Struys et al., 2025)","noteIndex":0},"citationItems":[{"id":13364,"uris":["http://zotero.org/users/16652950/items/ZZXQ43JM"],"itemData":{"id":13364,"type":"article-journal","abstract":"This study demonstrates that environmental mutagenic exposure during pregnancy can increase somatic mutation accumulation in the fetus. Given that detrimental early life exposures can adversely affect health outcomes later in life, our study highlights the need for further research into the impact of environmentally induced genomic insults during the perinatal period. See related commentary by Furudate and Takahashi, p. 870.","container-title":"Cancer Discovery","DOI":"10.1158/2159-8290.CD-24-1368","ISSN":"2159-8290","issue":"5","journalAbbreviation":"Cancer Discov","language":"eng","note":"PMID: 39852764\nPMCID: PMC12046327","page":"903-912","source":"PubMed","title":"Prenatal Exposure to Chemotherapy Increases the Mutation Burden in Human Neonatal Hematopoietic Stem Cells","volume":"15","author":[{"family":"Struys","given":"Ilana"},{"family":"Velázquez","given":"Carolina"},{"family":"Ubels","given":"Joske"},{"family":"LeJeune","given":"Charlotte L."},{"family":"Roosmalen","given":"Markus J.","non-dropping-particle":"van"},{"family":"Rosendahl Huber","given":"Axel K. M."},{"family":"Leeuwen","given":"Anais J. C. N.","non-dropping-particle":"van"},{"family":"Bossuyt","given":"Wouter"},{"family":"Thienpont","given":"Bernard"},{"family":"Voet","given":"Thierry"},{"family":"Van Calsteren","given":"Kristel"},{"family":"Lenaerts","given":"Liesbeth"},{"family":"Boxtel","given":"Ruben","non-dropping-particle":"van"},{"family":"Amant","given":"Frédéric"}],"issued":{"date-parts":[["2025",5,2]]}}}],"schema":"https://github.com/citation-style-language/schema/raw/master/csl-citation.json"} </w:instrText>
      </w:r>
      <w:r w:rsidR="00A60316">
        <w:fldChar w:fldCharType="separate"/>
      </w:r>
      <w:r w:rsidR="009F2202" w:rsidRPr="009F2202">
        <w:t>(</w:t>
      </w:r>
      <w:proofErr w:type="spellStart"/>
      <w:r w:rsidR="009F2202" w:rsidRPr="009F2202">
        <w:t>Struys</w:t>
      </w:r>
      <w:proofErr w:type="spellEnd"/>
      <w:r w:rsidR="009F2202" w:rsidRPr="009F2202">
        <w:t xml:space="preserve"> et al., 2025)</w:t>
      </w:r>
      <w:r w:rsidR="00A60316">
        <w:fldChar w:fldCharType="end"/>
      </w:r>
      <w:r>
        <w:t>.</w:t>
      </w:r>
    </w:p>
    <w:p w:rsidR="005D4314" w:rsidRDefault="005D4314" w:rsidP="005D4314">
      <w:pPr>
        <w:pStyle w:val="NormalWeb"/>
      </w:pPr>
      <w:r>
        <w:t>Early childhood represents an additional window of heightened susceptibility, characterized by rapid neurodevelopment, immune maturation, and tissue growth. During this period, children have limited capacity for detoxification and DNA repair, which may amplify the biological impact of environmental toxicants. Disruption of neuro-immune interactions during early childhood has been proposed as a plausible pathway linking postnatal agrochemical exposure to malignancies that manifest within the first decade of life. Together, these critical windows highlight the need for life-course–oriented exposure models that explicitly account for timing, duration, and intensity of agrochemical exposure in farmers’ children</w:t>
      </w:r>
      <w:r w:rsidR="00A60316">
        <w:fldChar w:fldCharType="begin"/>
      </w:r>
      <w:r w:rsidR="009F2202">
        <w:instrText xml:space="preserve"> ADDIN ZOTERO_ITEM CSL_CITATION {"citationID":"eMgnGVIS","properties":{"formattedCitation":"(Dallere et al., 2025)","plainCitation":"(Dallere et al., 2025)","noteIndex":0},"citationItems":[{"id":13366,"uris":["http://zotero.org/users/16652950/items/GLGQRMFC"],"itemData":{"id":13366,"type":"article-journal","abstract":"Inspired from the historical debate “nature” versus “nurture”, the concept “exposome” recently emerged as a comprehensive framework encompassing the totality of exposures individuals experience, from conception onward, over a complete lifetime, and how they can affect human health. In this narrative review, we present an overview of current knowledge on the exposome, with a particular focus on its impact on brain health across different life stages, highlighting its role during neurodevelopment/childhood, adulthood, physiological aging and neurodegenerative conditions. We explore the three main exposome domains (general external, specific external, internal), underpinning their interconnection. We also provide examples of how specific factors, ranging from chemicals to lifestyle habits, can either positively or negatively influence the CNS structure and function. To this aim, we included articles (mostly between 2005 and 2024) found in open-access databases, selected using the following search terms: “exposome”, “central nervous system” and “pregnancy” or “childhood” or “adulthood” or “aging” or “neurodegeneration”. Second, we analyzed the relationships between specific exposome domains and each stage of life. Only articles addressing a given risk factor across all life stages were included in the review. In each chapter, we review findings from both human and experimental studies, when available, with an insight on biological mechanisms, in order to link exposure to phenotype. This work highlights the potential of the exposomics’ framework to support public health policies and facilitate the prevention and treatment of multifactorial neurological disorders, while underscoring the importance of interdisciplinary efforts to address the multifaceted environmental determinants endangering the CNS health.","container-title":"Neuroscience &amp; Biobehavioral Reviews","DOI":"10.1016/j.neubiorev.2025.106247","ISSN":"0149-7634","journalAbbreviation":"Neuroscience &amp; Biobehavioral Reviews","page":"106247","source":"ScienceDirect","title":"The exposome from neurodevelopment to neurodegeneration: A narrative review","title-short":"The exposome from neurodevelopment to neurodegeneration","volume":"176","author":[{"family":"Dallere","given":"Sveva"},{"family":"Rasà","given":"Daniela Maria"},{"family":"Pavarino","given":"Gianna"},{"family":"Schellino","given":"Roberta"},{"family":"Vercelli","given":"Alessandro"},{"family":"Boido","given":"Marina"}],"issued":{"date-parts":[["2025",9,1]]}}}],"schema":"https://github.com/citation-style-language/schema/raw/master/csl-citation.json"} </w:instrText>
      </w:r>
      <w:r w:rsidR="00A60316">
        <w:fldChar w:fldCharType="separate"/>
      </w:r>
      <w:r w:rsidR="009F2202" w:rsidRPr="009F2202">
        <w:t>(</w:t>
      </w:r>
      <w:proofErr w:type="spellStart"/>
      <w:r w:rsidR="009F2202" w:rsidRPr="009F2202">
        <w:t>Dallere</w:t>
      </w:r>
      <w:proofErr w:type="spellEnd"/>
      <w:r w:rsidR="009F2202" w:rsidRPr="009F2202">
        <w:t xml:space="preserve"> et al., 2025)</w:t>
      </w:r>
      <w:r w:rsidR="00A60316">
        <w:fldChar w:fldCharType="end"/>
      </w:r>
      <w:r>
        <w:t>.</w:t>
      </w:r>
    </w:p>
    <w:p w:rsidR="005D4314" w:rsidRDefault="005D4314" w:rsidP="005D4314">
      <w:pPr>
        <w:pStyle w:val="Heading3"/>
      </w:pPr>
      <w:r>
        <w:t>5. Epidemiologic Evidence Linking Agrochemical Exposure to Pediatric Cancer</w:t>
      </w:r>
    </w:p>
    <w:p w:rsidR="005D4314" w:rsidRDefault="005D4314" w:rsidP="005D4314">
      <w:pPr>
        <w:pStyle w:val="Heading4"/>
      </w:pPr>
      <w:r>
        <w:t>5.1 Overall Pediatric Cancer Risk</w:t>
      </w:r>
    </w:p>
    <w:p w:rsidR="005D4314" w:rsidRDefault="005D4314" w:rsidP="005D4314">
      <w:pPr>
        <w:pStyle w:val="NormalWeb"/>
      </w:pPr>
      <w:r>
        <w:t>Epidemiologic investigations conducted over the past several decades have consistently suggested an association between agrochemical exposure and increased risk of pediatric cancers in agricultural populations. Among the malignancies most frequently examined, leukemia, lymphoma, and tumors of the central nervous system predominate, reflecting both their relative incidence in childhood and their hypothesized sensitivity to environmental insults. Population-based case–control studies and registry-linked analyses have reported elevated risks among children residing in proximity to agricultural activities or born to parents engaged in farming occupations, particularly when exposure occurs during prenatal or early postnatal periods. Although effect sizes are generally modest, the recurrence of these associations across diverse geographic settings supports concern regarding the carcinogenic potential of early-life agrochemical exposure</w:t>
      </w:r>
      <w:r w:rsidR="00A60316">
        <w:fldChar w:fldCharType="begin"/>
      </w:r>
      <w:r w:rsidR="00B33182">
        <w:instrText xml:space="preserve"> ADDIN ZOTERO_ITEM CSL_CITATION {"citationID":"uIkAip3c","properties":{"formattedCitation":"(Gerken et al., 2024; Taiba et al., 2025)","plainCitation":"(Gerken et al., 2024; Taiba et al., 2025)","noteIndex":0},"citationItems":[{"id":13182,"uris":["http://zotero.org/users/16652950/items/CXDH8P6L"],"itemData":{"id":13182,"type":"article-journal","abstract":"Pesticides are an essential feature of modern-day agriculture that adds to the list of factors that increase cancer risk. Our study aims to evaluate comprehensibly this relationship through a population-based approach that considers confounding variables such as county-specific rates of smoking, socioeconomic vulnerability, and agricultural land. We achieved our goal with the implementation of latent class pesticide usage patterns that were further modeled among covariates to evaluate their associations to cancer risk. Our findings demonstrated an association between pesticide usage and increased incidence of leukemia, non-Hodgkin's lymphoma, bladder, colon, lung, pancreatic, cancers, and all cancers combined that are comparable to smoking for some cancer types. Through our comprehensive analysis and unique approach, our study emphasizes the importance of a holistic assessment of the risks of pesticide usage for communities, which may be used to impact future policies regarding pesticides.","container-title":"Frontiers in Cancer Control and Society","DOI":"10.3389/fcacs.2024.1368086","ISSN":"2813-835X","journalAbbreviation":"Front. Cancer Control Soc.","language":"English","note":"publisher: Frontiers","source":"Frontiers","title":"Comprehensive assessment of pesticide use patterns and increased cancer risk","URL":"https://www.frontiersin.org/journals/cancer-control-and-society/articles/10.3389/fcacs.2024.1368086/full","volume":"2","author":[{"family":"Gerken","given":"Jacob"},{"family":"Vincent","given":"Gear Thomas"},{"family":"Zapata","given":"Demi"},{"family":"Barron","given":"Ileana G."},{"family":"Zapata","given":"Isain"}],"accessed":{"date-parts":[["2026",1,10]]},"issued":{"date-parts":[["2024",7,25]]}}},{"id":13367,"uris":["http://zotero.org/users/16652950/items/A448IQFC"],"itemData":{"id":13367,"type":"article-journal","abstract":"Nebraska's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rsidR="00A60316">
        <w:fldChar w:fldCharType="separate"/>
      </w:r>
      <w:r w:rsidR="00B33182" w:rsidRPr="00B33182">
        <w:t>(</w:t>
      </w:r>
      <w:proofErr w:type="spellStart"/>
      <w:r w:rsidR="00B33182" w:rsidRPr="00B33182">
        <w:t>Gerken</w:t>
      </w:r>
      <w:proofErr w:type="spellEnd"/>
      <w:r w:rsidR="00B33182" w:rsidRPr="00B33182">
        <w:t xml:space="preserve"> et al., 2024; Taiba et al., 2025)</w:t>
      </w:r>
      <w:r w:rsidR="00A60316">
        <w:fldChar w:fldCharType="end"/>
      </w:r>
      <w:r>
        <w:t>.</w:t>
      </w:r>
    </w:p>
    <w:p w:rsidR="005D4314" w:rsidRDefault="005D4314" w:rsidP="005D4314">
      <w:pPr>
        <w:pStyle w:val="Heading4"/>
      </w:pPr>
      <w:r>
        <w:t>5.2 Cancer-Specific Associations</w:t>
      </w:r>
    </w:p>
    <w:p w:rsidR="005D4314" w:rsidRDefault="005D4314" w:rsidP="005D4314">
      <w:pPr>
        <w:pStyle w:val="NormalWeb"/>
      </w:pPr>
      <w:r>
        <w:t xml:space="preserve">Acute lymphoblastic leukemia has emerged as the pediatric cancer most consistently associated with agrochemical exposure. Multiple studies have identified increased risks linked to parental occupational pesticide use, residential proximity to treated fields, and modeled prenatal exposure, with stronger associations observed for exposures occurring during critical </w:t>
      </w:r>
      <w:r>
        <w:lastRenderedPageBreak/>
        <w:t>developmental windows. These findings align with biological hypotheses implicating immune dysregulation and genotoxic damage to developing hematopoietic cells</w:t>
      </w:r>
      <w:r w:rsidR="00A60316">
        <w:fldChar w:fldCharType="begin"/>
      </w:r>
      <w:r w:rsidR="00B33182">
        <w:instrText xml:space="preserve"> ADDIN ZOTERO_ITEM CSL_CITATION {"citationID":"Wq2cV3LD","properties":{"formattedCitation":"(Desai et al., 2025; Silva et al., 2025)","plainCitation":"(Desai et al., 2025; Silva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E."},{"family":"Metayer","given":"Catherine"}],"accessed":{"date-parts":[["2026",1,15]]},"issued":{"date-parts":[["2025",3,13]]}}},{"id":13342,"uris":["http://zotero.org/users/16652950/items/UUF4B6D8"],"itemData":{"id":13342,"type":"article-journal","abstract":"Leukemias are among the most common childhood cancers. Although its causes are still unclear, parents' environmental exposure to carcinogenic risk factors may have considerable potential. In this context, we revised the literature concerning parental exposure to pesticides, the development of leukemia in offspring, and the underlying molecular mechanisms involved. This systematic review was based on the PRISMA methodology. Only original studies were included; review articles and case reports were excluded. In total, 312 articles were screened. Of the 29 articles selected and 14 were included in this review. The main findings described in the studies above raise the hypothesis that parental pesticide exposure may be related to the development of leukemia in offspring. However, the literature reinforces the lack of well-designed studies highlighting the mechanism triggered by this exposure and its relationship with childhood cancer. The revised literature provides strong evidence supporting the relationship between parental exposure to pesticides and leukemia development in offspring. While gaps remain in understanding the precise mechanisms involved, the findings emphasize the potential risk posed by pesticide exposure and highlight the need for well-designed studies to clarify the underlying biological pathways.","container-title":"Frontiers in Pediatrics","DOI":"10.3389/fped.2025.1560678","ISSN":"2296-2360","journalAbbreviation":"Front. Pediatr.","language":"English","note":"publisher: Frontiers","source":"Frontiers","title":"Evidence concerning parental exposure to pesticides and the occurrence of leukemia in offspring: a systematic review","title-short":"Evidence concerning parental exposure to pesticides and the occurrence of leukemia in offspring","URL":"https://www.frontiersin.org/journals/pediatrics/articles/10.3389/fped.2025.1560678/full","volume":"13","author":[{"family":"Silva","given":"Kennia Cristine de Souza"},{"family":"Oliveira","given":"Geise Ellen Broto"},{"family":"Amarante","given":"Marla Karine"},{"family":"Panis","given":"Carolina"}],"accessed":{"date-parts":[["2026",1,15]]},"issued":{"date-parts":[["2025",4,10]]}}}],"schema":"https://github.com/citation-style-language/schema/raw/master/csl-citation.json"} </w:instrText>
      </w:r>
      <w:r w:rsidR="00A60316">
        <w:fldChar w:fldCharType="separate"/>
      </w:r>
      <w:r w:rsidR="00B33182" w:rsidRPr="00B33182">
        <w:t>(Desai et al., 2025; Silva et al., 2025)</w:t>
      </w:r>
      <w:r w:rsidR="00A60316">
        <w:fldChar w:fldCharType="end"/>
      </w:r>
      <w:r>
        <w:t>.</w:t>
      </w:r>
    </w:p>
    <w:p w:rsidR="005D4314" w:rsidRDefault="005D4314" w:rsidP="005D4314">
      <w:pPr>
        <w:pStyle w:val="NormalWeb"/>
      </w:pPr>
      <w:r>
        <w:t>Brain and central nervous system tumors represent a second major category of concern. Epidemiologic evidence suggests associations between early-life exposure to certain herbicides and insecticides and increased risk of pediatric brain tumors, although results are less consistent than those observed for leukemia. Variability in tumor classification, exposure assessment, and latency considerations has contributed to heterogeneity across studies. Nonetheless, the vulnerability of the developing nervous system lends biological plausibility to these observed associations</w:t>
      </w:r>
      <w:r w:rsidR="00A60316">
        <w:fldChar w:fldCharType="begin"/>
      </w:r>
      <w:r w:rsidR="00B33182">
        <w:instrText xml:space="preserve"> ADDIN ZOTERO_ITEM CSL_CITATION {"citationID":"33lfrBPa","properties":{"formattedCitation":"(Onyije et al., 2024)","plainCitation":"(Onyije et al., 2024)","noteIndex":0},"citationItems":[{"id":13373,"uris":["http://zotero.org/users/16652950/items/HVJGWBFA"],"itemData":{"id":13373,"type":"article-journal","abstract":"•Systematic review and meta-analysis of 180 studies evaluating risk factors in children diagnosed of brain tumours.•Childhood and parental exposure to pesticides were found to be associated with childhood brain tumours.•Modestly increased risks of brain tumours for children conceived through assisted reproductive technology or born via Caesarean sections.•Parental lifestyle associated with childhood brain tumours: smoking (fathers), coffee and cured meat intake (mothers).•Maternal intake of vitamins and folic acid during pregnancy is protective against childhood brain tumours.","container-title":"Cancer Epidemiology","DOI":"10.1016/j.canep.2023.102510","ISSN":"1877-7821","journalAbbreviation":"Cancer Epidemiol","note":"PMID: 38056243\nPMCID: PMC10835339","page":"102510","source":"PubMed Central","title":"Risk factors for childhood brain tumours: A systematic review and meta-analysis of observational studies from 1976 to 2022","title-short":"Risk factors for childhood brain tumours","volume":"88","author":[{"family":"Onyije","given":"Felix M."},{"family":"Dolatkhah","given":"Roya"},{"family":"Olsson","given":"Ann"},{"family":"Bouaoun","given":"Liacine"},{"family":"Deltour","given":"Isabelle"},{"family":"Erdmann","given":"Friederike"},{"family":"Bonaventure","given":"Audrey"},{"family":"Scheurer","given":"Michael E."},{"family":"Clavel","given":"Jacqueline"},{"family":"Schüz","given":"Joachim"}],"issued":{"date-parts":[["2024",2]]}}}],"schema":"https://github.com/citation-style-language/schema/raw/master/csl-citation.json"} </w:instrText>
      </w:r>
      <w:r w:rsidR="00A60316">
        <w:fldChar w:fldCharType="separate"/>
      </w:r>
      <w:r w:rsidR="00B33182" w:rsidRPr="00B33182">
        <w:t>(</w:t>
      </w:r>
      <w:proofErr w:type="spellStart"/>
      <w:r w:rsidR="00B33182" w:rsidRPr="00B33182">
        <w:t>Onyije</w:t>
      </w:r>
      <w:proofErr w:type="spellEnd"/>
      <w:r w:rsidR="00B33182" w:rsidRPr="00B33182">
        <w:t xml:space="preserve"> et al., 2024)</w:t>
      </w:r>
      <w:r w:rsidR="00A60316">
        <w:fldChar w:fldCharType="end"/>
      </w:r>
      <w:r>
        <w:t>.</w:t>
      </w:r>
    </w:p>
    <w:p w:rsidR="005D4314" w:rsidRDefault="005D4314" w:rsidP="005D4314">
      <w:pPr>
        <w:pStyle w:val="NormalWeb"/>
      </w:pPr>
      <w:r>
        <w:t>Evidence for rare pediatric malignancies, including soft tissue sarcomas, Wilms tumor, and neuroblastoma, is more limited due to small case numbers and methodological constraints. While some studies have reported elevated risks in agricultural settings, findings remain inconclusive, underscoring the need for larger, well-characterized cohorts and improved exposure assessment strategies to clarify these potential relationships.</w:t>
      </w:r>
    </w:p>
    <w:p w:rsidR="005D4314" w:rsidRDefault="005D4314" w:rsidP="005D4314">
      <w:pPr>
        <w:pStyle w:val="Heading4"/>
      </w:pPr>
      <w:r>
        <w:t>5.3 Strength and Consistency of Evidence</w:t>
      </w:r>
    </w:p>
    <w:p w:rsidR="005D4314" w:rsidRDefault="005D4314" w:rsidP="005D4314">
      <w:pPr>
        <w:pStyle w:val="NormalWeb"/>
      </w:pPr>
      <w:r>
        <w:t>Across the literature, reported effect estimates generally indicate small to moderate increases in pediatric cancer risk associated with agrochemical exposure, with odds ratios typically ranging from modest elevations to more pronounced effects in high-exposure subgroups. The strength of evidence is greatest for leukemia, particularly acute lymphoblastic leukemia, where associations have been replicated across multiple study designs and exposure metrics. However, substantial heterogeneity exists, driven by differences in study populations, exposure assessment methods, chemical classes evaluated, and timing of exposure</w:t>
      </w:r>
      <w:r w:rsidR="00A60316">
        <w:fldChar w:fldCharType="begin"/>
      </w:r>
      <w:r w:rsidR="008704C6">
        <w:instrText xml:space="preserve"> ADDIN ZOTERO_ITEM CSL_CITATION {"citationID":"2eaQBKnT","properties":{"formattedCitation":"(Emeny et al., 2025)","plainCitation":"(Emeny et al., 2025)","noteIndex":0},"citationItems":[{"id":13375,"uris":["http://zotero.org/users/16652950/items/DIQBJLI9"],"itemData":{"id":13375,"type":"article-journal","abstract":"Simple Summary\nChildhood cancer is a significant public health concern with increasing rates over decades suggesting that environmental factors may contribute to this trend. We reviewed studies published between 2014 and 2021 that examined childhood exposure to air pollution and radiation, as well as parental environmental and occupational exposures before conception or during pregnancy, in relation to childhood cancer. Strong evidence was found for associations between leukemia and exposures to traffic pollution, indoor paint, residential pesticides, and occupational/nonoccupational benzene, and between brain cancer and exposures to residential pesticides and occupational agricultural pesticides. There was mixed evidence of associations between leukemia and electromagnetic fields (EMFs), and ionizing radiation from radon or nuclear power plants. This review consolidates knowledge of environmental factors associated with childhood cancer to inform targeted prevention strategies.\n\nAbstract\nPurpose: To achieve a better understanding of the environmental factors that contribute to childhood cancers, so as to inform future prevention efforts. Methods: We conducted a comprehensive review of epidemiological studies on environmental risk factors and childhood cancer, which was published between January 2014 and March 2021. Potential exposure sources presented in this review include air pollution, radiation, and parental occupational exposures. We considered exposures during childhood and parental exposures occurring before the child’s conception and during pregnancy in relation to all types of childhood cancer. Results: Aggregated evidence is strong for associations between leukemia and parental/child exposure to traffic pollution, indoor paints, residential pesticides, and parental occupational/nonoccupational exposure to benzene. Evidence is also strong for associations between brain cancer and residential pesticides and parental occupational exposure to agricultural pesticides. Evidence of associations between leukemia and ionizing radiation from radon and nuclear power plants remains mixed, as does evidence of a link between electromagnetic fields (EMFs) and childhood leukemia. Conclusions: Clear associations have been demonstrated between childhood cancer and environmental factors, including parent/child exposure to traffic pollution, occupational/nonoccupational benzene, indoor paints, residential pesticides, and parental occupational exposure to agricultural pesticides. These associations can be used to inform further study of interventions and public health campaigns to reduce risk.","container-title":"Cancers","DOI":"10.3390/cancers17213516","ISSN":"2072-6694","issue":"21","journalAbbreviation":"Cancers (Basel)","note":"PMID: 41228305\nPMCID: PMC12609540","page":"3516","source":"PubMed Central","title":"Causes of Childhood Cancer: A Literature Review (2014–2021)—Part 3: Environmental and Occupational Factors","title-short":"Causes of Childhood Cancer","volume":"17","author":[{"family":"Emeny","given":"Rebecca T."},{"family":"Butow","given":"Mary E."},{"family":"Titus","given":"Linda"},{"family":"Ricci","given":"Angela M."},{"family":"Bagley","given":"Pamela J."},{"family":"Blunt","given":"Heather B."},{"family":"Morgan","given":"Alexandra"},{"family":"Alford-Teaster","given":"Jennifer A."},{"family":"Walston","given":"Raymond R."},{"family":"Rees","given":"Judy R."}],"issued":{"date-parts":[["2025",10,31]]}}}],"schema":"https://github.com/citation-style-language/schema/raw/master/csl-citation.json"} </w:instrText>
      </w:r>
      <w:r w:rsidR="00A60316">
        <w:fldChar w:fldCharType="separate"/>
      </w:r>
      <w:r w:rsidR="008704C6" w:rsidRPr="008704C6">
        <w:t>(</w:t>
      </w:r>
      <w:proofErr w:type="spellStart"/>
      <w:r w:rsidR="008704C6" w:rsidRPr="008704C6">
        <w:t>Emeny</w:t>
      </w:r>
      <w:proofErr w:type="spellEnd"/>
      <w:r w:rsidR="008704C6" w:rsidRPr="008704C6">
        <w:t xml:space="preserve"> et al., 2025)</w:t>
      </w:r>
      <w:r w:rsidR="00A60316">
        <w:fldChar w:fldCharType="end"/>
      </w:r>
      <w:r>
        <w:t>.</w:t>
      </w:r>
    </w:p>
    <w:p w:rsidR="005D4314" w:rsidRDefault="005D4314" w:rsidP="005D4314">
      <w:pPr>
        <w:pStyle w:val="NormalWeb"/>
      </w:pPr>
      <w:r>
        <w:t>Inconsistencies across studies also reflect challenges inherent to environmental epidemiology, including exposure misclassification, residual confounding, and limited statistical power for rare outcomes. Despite these limitations, the overall pattern of evidence suggests a meaningful link between early-life agrochemical exposure and pediatric cancer risk, warranting continued investigation using refined exposure models and integrative analytic approaches to strengthen causal inference and inform prevention efforts</w:t>
      </w:r>
      <w:r w:rsidR="00A60316">
        <w:fldChar w:fldCharType="begin"/>
      </w:r>
      <w:r w:rsidR="008704C6">
        <w:instrText xml:space="preserve"> ADDIN ZOTERO_ITEM CSL_CITATION {"citationID":"bbzCl5Tq","properties":{"formattedCitation":"(Savitz &amp; Wellenius, 2025)","plainCitation":"(Savitz &amp; Wellenius, 2025)","noteIndex":0},"citationItems":[{"id":13378,"uris":["http://zotero.org/users/16652950/items/WURUFYB3"],"itemData":{"id":13378,"type":"article-journal","container-title":"Environmental Epidemiology","DOI":"10.1097/EE9.0000000000000433","ISSN":"2474-7882","issue":"6","journalAbbreviation":"Environ Epidemiol","note":"PMID: 41140318\nPMCID: PMC12548993","page":"e433","source":"PubMed Central","title":"Consequential (and inconsequential) environmental epidemiology","volume":"9","author":[{"family":"Savitz","given":"David A."},{"family":"Wellenius","given":"Gregory A."}],"issued":{"date-parts":[["2025",10,22]]}}}],"schema":"https://github.com/citation-style-language/schema/raw/master/csl-citation.json"} </w:instrText>
      </w:r>
      <w:r w:rsidR="00A60316">
        <w:fldChar w:fldCharType="separate"/>
      </w:r>
      <w:r w:rsidR="008704C6" w:rsidRPr="008704C6">
        <w:t>(</w:t>
      </w:r>
      <w:proofErr w:type="spellStart"/>
      <w:r w:rsidR="008704C6" w:rsidRPr="008704C6">
        <w:t>Savitz</w:t>
      </w:r>
      <w:proofErr w:type="spellEnd"/>
      <w:r w:rsidR="008704C6" w:rsidRPr="008704C6">
        <w:t xml:space="preserve"> &amp; Wellenius, 2025)</w:t>
      </w:r>
      <w:r w:rsidR="00A60316">
        <w:fldChar w:fldCharType="end"/>
      </w:r>
      <w:r>
        <w:t>.</w:t>
      </w:r>
    </w:p>
    <w:p w:rsidR="005D4314" w:rsidRDefault="005D4314"/>
    <w:p w:rsidR="005D4314" w:rsidRDefault="005D4314" w:rsidP="005D4314">
      <w:pPr>
        <w:pStyle w:val="Heading3"/>
      </w:pPr>
      <w:r>
        <w:t>6. Exposure Assessment and Modeling Approaches</w:t>
      </w:r>
    </w:p>
    <w:p w:rsidR="005D4314" w:rsidRDefault="005D4314" w:rsidP="005D4314">
      <w:pPr>
        <w:pStyle w:val="Heading4"/>
      </w:pPr>
      <w:r>
        <w:t>6.1 Traditional Exposure Assessment Methods</w:t>
      </w:r>
    </w:p>
    <w:p w:rsidR="005D4314" w:rsidRDefault="005D4314" w:rsidP="005D4314">
      <w:pPr>
        <w:pStyle w:val="NormalWeb"/>
      </w:pPr>
      <w:r>
        <w:t xml:space="preserve">Early epidemiologic studies of agrochemical exposure and pediatric cancer risk have relied primarily on traditional exposure assessment approaches, including self-reported pesticide use and job-exposure matrices. Self-reported data, typically obtained through parental interviews or questionnaires, have been used to capture information on occupational pesticide handling, household use, and residential proximity to agricultural activities. While such methods offer </w:t>
      </w:r>
      <w:r>
        <w:lastRenderedPageBreak/>
        <w:t>contextual detail, they are vulnerable to recall bias, particularly in case–control studies, and often lack specificity regarding chemical identity, application intensity, and timing of exposure.</w:t>
      </w:r>
    </w:p>
    <w:p w:rsidR="005D4314" w:rsidRDefault="005D4314" w:rsidP="005D4314">
      <w:pPr>
        <w:pStyle w:val="NormalWeb"/>
      </w:pPr>
      <w:r>
        <w:t>Job-exposure matrices have been employed to infer exposure based on occupational titles and industry classifications, providing a standardized means of assigning exposure probabilities across large populations. Although useful for minimizing recall bias, these matrices generally assume homogeneity of exposure within occupational categories and rarely capture variation in work practices, protective behaviors, or temporal changes in pesticide use. Collectively, these traditional methods are prone to exposure misclassification, which can attenuate observed associations and contribute to inconsistent findings across studies</w:t>
      </w:r>
      <w:r w:rsidR="00A60316">
        <w:fldChar w:fldCharType="begin"/>
      </w:r>
      <w:r w:rsidR="008704C6">
        <w:instrText xml:space="preserve"> ADDIN ZOTERO_ITEM CSL_CITATION {"citationID":"6XYG3pNH","properties":{"formattedCitation":"(Desai et al., 2025; Figueiredo et al., 2025)","plainCitation":"(Desai et al., 2025; Figueiredo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E."},{"family":"Metayer","given":"Catherine"}],"accessed":{"date-parts":[["2026",1,15]]},"issued":{"date-parts":[["2025",3,13]]}}},{"id":13381,"uris":["http://zotero.org/users/16652950/items/6Y52VY4M"],"itemData":{"id":13381,"type":"article-journal","abstract":"Individuals are exposed to pesticides via dietary and non-dietary exposure routes. There is a growing need for aggregated exposure estimates across occupationally and non-occupationally exposed populations. Exposure to current-use and legacy pesticides was studied using silicone wristbands worn by farmers, residents living close to treated fields (neighbors), and the general population (consumers), in total, 641 participants across 10 European countries. Wristband extracts were analyzed for 193 pesticides by targeted Liquid and Gas Chromatography-Mass Spectrometry. Information on exposure predictors, such as frequency of cleaning, was collected by questionnaire. Logistic regressions and multivariable generalized least squares models were used to study predictors of pesticide occurrence and concentrations, respectively. We detected 173 out of 193 pesticides (89 %) across all samples. Per wristband 9 – 74 (median of 36) pesticides were detected in conventional farmers (FC), 8 – 66 (median of 20) in organic farmers, 3 – 66 (median of 20) in neighbors and 2 – 54 (median of 17) in consumers. Insecticides, like permethrin and chlorpyrifos, were commonly detected across all groups (&gt;85 %). Concentrations varied significantly across groups, with the highest levels often observed in FC. We identified pesticide use and having pets as important predictors of personal non-dietary exposure. Mixture analysis revealed one major combination (in 72 % of all samples) of three insecticides, namely permethrin, chlorpyrifos, DDE p,p’, and the synergist piperonyl butoxide. This study highlights that farm workers using a conventional farming system are a highly exposed group. It is unclear what the identified prevalent mixtures mean for cumulative exposure and resulting health risks.","container-title":"Environment International","DOI":"10.1016/j.envint.2025.109734","ISSN":"0160-4120","journalAbbreviation":"Environment International","page":"109734","source":"ScienceDirect","title":"Non-dietary personal pesticide exposure using silicone wristbands across 10 European countries","volume":"203","author":[{"family":"Figueiredo","given":"Daniel Martins"},{"family":"Mu","given":"Hongyu"},{"family":"Osman","given":"Rima"},{"family":"Silva","given":"Vera"},{"family":"Graumans","given":"Martien"},{"family":"Dael","given":"Maurice","non-dropping-particle":"van"},{"family":"Balkhi","given":"Souleiman El"},{"family":"Mol","given":"Hans"},{"family":"Huss","given":"Anke"},{"family":"Vermeulen","given":"Roel"},{"family":"Hofman","given":"Jakub"},{"family":"Abrantes","given":"Nelson"},{"family":"Campos","given":"Isabel"},{"family":"Alcon","given":"Francisco"},{"family":"Contreras","given":"Josefa"},{"family":"Baldi","given":"Isabelle"},{"family":"Bureau","given":"Mathilde"},{"family":"Alaoui","given":"Abdallah"},{"family":"Christ","given":"Florian"},{"family":"Mandrioli","given":"Daniele"},{"family":"Sgargi","given":"Daria"},{"family":"Pasković","given":"Igor"},{"family":"Pasković","given":"Marija Polić"},{"family":"Glavan","given":"Matjaž"},{"family":"Harkes","given":"Paula"},{"family":"Lwanga","given":"Esperanza Huerta"},{"family":"Gai","given":"Lingtong"},{"family":"Norgaard","given":"Trine"},{"family":"Geissen","given":"Violette"},{"family":"Schlünssen","given":"Vivi"},{"family":"Scheepers","given":"Paul T. J."}],"issued":{"date-parts":[["2025",9,1]]}}}],"schema":"https://github.com/citation-style-language/schema/raw/master/csl-citation.json"} </w:instrText>
      </w:r>
      <w:r w:rsidR="00A60316">
        <w:fldChar w:fldCharType="separate"/>
      </w:r>
      <w:r w:rsidR="008704C6" w:rsidRPr="008704C6">
        <w:t>(Desai et al., 2025; Figueiredo et al., 2025)</w:t>
      </w:r>
      <w:r w:rsidR="00A60316">
        <w:fldChar w:fldCharType="end"/>
      </w:r>
      <w:r>
        <w:t>.</w:t>
      </w:r>
    </w:p>
    <w:p w:rsidR="005D4314" w:rsidRDefault="005D4314" w:rsidP="005D4314">
      <w:pPr>
        <w:pStyle w:val="Heading4"/>
      </w:pPr>
      <w:r>
        <w:t>6.2 GIS-Based and Spatial Exposure Models</w:t>
      </w:r>
    </w:p>
    <w:p w:rsidR="005D4314" w:rsidRDefault="005D4314" w:rsidP="005D4314">
      <w:pPr>
        <w:pStyle w:val="NormalWeb"/>
      </w:pPr>
      <w:r>
        <w:t>In response to the limitations of conventional exposure assessment, GIS-based and spatial modeling approaches have gained prominence in environmental cancer research. Proximity and buffer-based methods estimate exposure by linking residential locations to nearby agricultural pesticide applications, often using predefined distance thresholds or distance-weighted functions. These approaches improve spatial resolution and reduce reliance on self-report, enabling more objective reconstruction of exposure patterns</w:t>
      </w:r>
      <w:r w:rsidR="00A60316">
        <w:fldChar w:fldCharType="begin"/>
      </w:r>
      <w:r w:rsidR="008704C6">
        <w:instrText xml:space="preserve"> ADDIN ZOTERO_ITEM CSL_CITATION {"citationID":"7CBv5MLw","properties":{"formattedCitation":"(Afandi et al., 2023; Yang et al., 2023)","plainCitation":"(Afandi et al., 2023; Yang et al., 2023)","noteIndex":0},"citationItems":[{"id":13262,"uris":["http://zotero.org/users/16652950/items/65NFPS4Q"],"itemData":{"id":13262,"type":"article-journal","abstract":"Farmers utilize pesticides extensively on their farms to control weeds and insects, as well as increase crop productivity. Despite these advantages, t...","container-title":"Agronomy","DOI":"10.3390/agronomy13071759","ISSN":"2073-4395","issue":"7","language":"en","license":"http://creativecommons.org/licenses/by/3.0/","note":"Company: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publisher","source":"www.mdpi.com","title":"Effectiveness of Utilizing Remote Sensing and GIS Techniques to Estimate the Exposure to Organophosphate Pesticides Drift over Macon, Alabama","URL":"https://www.mdpi.com/2073-4395/13/7/1759","volume":"13","author":[{"family":"Afandi","given":"Gamal El"},{"family":"Ismael","given":"Hossam"},{"family":"Fall","given":"Souleymane"},{"family":"Ankumah","given":"Ramble"},{"family":"Afandi","given":"Gamal El"},{"family":"Ismael","given":"Hossam"},{"family":"Fall","given":"Souleymane"},{"family":"Ankumah","given":"Ramble"}],"accessed":{"date-parts":[["2026",1,11]]},"issued":{"date-parts":[["2023",6,28]]}}},{"id":13384,"uris":["http://zotero.org/users/16652950/items/Y3VF2MW6"],"itemData":{"id":13384,"type":"article-journal","abstract":"This retrospective cohort study explores the association between residential proximity to a commercial pesticide application site and chronic rhinosinusitis.","container-title":"JAMA Otolaryngology-- Head &amp; Neck Surgery","DOI":"10.1001/jamaoto.2023.1499","ISSN":"2168-6181","issue":"9","journalAbbreviation":"JAMA Otolaryngol Head Neck Surg","note":"PMID: 37440215\nPMCID: PMC10346512","page":"773-780","source":"PubMed Central","title":"Residential Proximity to a Commercial Pesticide Application Site and Risk of Chronic Rhinosinusitis","volume":"149","author":[{"family":"Yang","given":"Hong-Ho"},{"family":"Paul","given":"Kimberly C."},{"family":"Cockburn","given":"Myles G."},{"family":"Thompson","given":"Laura K."},{"family":"Cheng","given":"Melodyanne Y."},{"family":"Suh","given":"Jeffrey D."},{"family":"Wang","given":"Marilene B."},{"family":"Lee","given":"Jivianne T."}],"issued":{"date-parts":[["2023",9]]}}}],"schema":"https://github.com/citation-style-language/schema/raw/master/csl-citation.json"} </w:instrText>
      </w:r>
      <w:r w:rsidR="00A60316">
        <w:fldChar w:fldCharType="separate"/>
      </w:r>
      <w:r w:rsidR="008704C6" w:rsidRPr="008704C6">
        <w:t>(</w:t>
      </w:r>
      <w:proofErr w:type="spellStart"/>
      <w:r w:rsidR="008704C6" w:rsidRPr="008704C6">
        <w:t>Afandi</w:t>
      </w:r>
      <w:proofErr w:type="spellEnd"/>
      <w:r w:rsidR="008704C6" w:rsidRPr="008704C6">
        <w:t xml:space="preserve"> et al., 2023; Yang et al., 2023)</w:t>
      </w:r>
      <w:r w:rsidR="00A60316">
        <w:fldChar w:fldCharType="end"/>
      </w:r>
      <w:r>
        <w:t>.</w:t>
      </w:r>
    </w:p>
    <w:p w:rsidR="005D4314" w:rsidRDefault="005D4314" w:rsidP="005D4314">
      <w:pPr>
        <w:pStyle w:val="NormalWeb"/>
      </w:pPr>
      <w:r>
        <w:t>More advanced spatial models incorporate land-use regression techniques and detailed crop-mapping data to estimate pesticide application intensity across geographic areas. By integrating information on crop type, chemical usage, and application frequency, these models better reflect real-world exposure heterogeneity. The incorporation of meteorological variables, such as wind speed, wind direction, temperature, and precipitation, further enhances model realism by accounting for environmental transport processes that influence pesticide dispersion and deposition. Together, these spatially explicit approaches represent a substantial methodological advance in exposure assessment for pediatric populations</w:t>
      </w:r>
      <w:r w:rsidR="00A60316">
        <w:fldChar w:fldCharType="begin"/>
      </w:r>
      <w:r w:rsidR="00271BC5">
        <w:instrText xml:space="preserve"> ADDIN ZOTERO_ITEM CSL_CITATION {"citationID":"WquhcLZx","properties":{"formattedCitation":"(Wang et al., 2025)","plainCitation":"(Wang et al., 2025)","noteIndex":0},"citationItems":[{"id":13386,"uris":["http://zotero.org/users/16652950/items/EBXQJYZ9"],"itemData":{"id":13386,"type":"article-journal","abstract":"Chili (Capsicum sp.) is a high-value crop cultivated by farmers, but its production is vulnerable to weather extremes (such as irregular rainfall, hig...","container-title":"Remote Sensing","DOI":"10.3390/rs17162827","ISSN":"2072-4292","issue":"16","language":"en","license":"http://creativecommons.org/licenses/by/3.0/","note":"Company: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publisher","source":"www.mdpi.com","title":"Application of Remote Sensing and Geographic Information Systems for Monitoring and Managing Chili Crops: A Systematic Review","title-short":"Application of Remote Sensing and Geographic Information Systems for Monitoring and Managing Chili Crops","URL":"https://www.mdpi.com/2072-4292/17/16/2827","volume":"17","author":[{"family":"Wang","given":"Ziyue"},{"family":"Akber","given":"Md Ali"},{"family":"Aziz","given":"Ammar Abdul"},{"family":"Wang","given":"Ziyue"},{"family":"Akber","given":"Md Ali"},{"family":"Aziz","given":"Ammar Abdul"}],"accessed":{"date-parts":[["2026",1,15]]},"issued":{"date-parts":[["2025",8,13]]}}}],"schema":"https://github.com/citation-style-language/schema/raw/master/csl-citation.json"} </w:instrText>
      </w:r>
      <w:r w:rsidR="00A60316">
        <w:fldChar w:fldCharType="separate"/>
      </w:r>
      <w:r w:rsidR="00271BC5" w:rsidRPr="00271BC5">
        <w:t>(Wang et al., 2025)</w:t>
      </w:r>
      <w:r w:rsidR="00A60316">
        <w:fldChar w:fldCharType="end"/>
      </w:r>
      <w:r>
        <w:t>.</w:t>
      </w:r>
    </w:p>
    <w:p w:rsidR="005D4314" w:rsidRDefault="005D4314" w:rsidP="005D4314">
      <w:pPr>
        <w:pStyle w:val="Heading4"/>
      </w:pPr>
      <w:r>
        <w:t>6.3 Advances in Temporal Exposure Modeling</w:t>
      </w:r>
    </w:p>
    <w:p w:rsidR="005D4314" w:rsidRDefault="005D4314" w:rsidP="005D4314">
      <w:pPr>
        <w:pStyle w:val="NormalWeb"/>
      </w:pPr>
      <w:r>
        <w:t>Beyond spatial resolution, recent methodological developments have emphasized the importance of temporal specificity in exposure modeling. Distinguishing between prenatal and postnatal exposure windows has proven critical for elucidating developmental timing effects, as exposures during gestation may have different biological consequences than those occurring during early childhood. Temporal exposure models increasingly incorporate trimester-specific metrics and align exposure estimates with key developmental milestones</w:t>
      </w:r>
      <w:r w:rsidR="00A60316">
        <w:fldChar w:fldCharType="begin"/>
      </w:r>
      <w:r w:rsidR="00271BC5">
        <w:instrText xml:space="preserve"> ADDIN ZOTERO_ITEM CSL_CITATION {"citationID":"xwyHEMYR","properties":{"formattedCitation":"(Chiu et al., 2025)","plainCitation":"(Chiu et al., 2025)","noteIndex":0},"citationItems":[{"id":13388,"uris":["http://zotero.org/users/16652950/items/VLRQS4XK"],"itemData":{"id":13388,"type":"article-journal","abstract":"Background:\nPrenatal air pollution (AP) exposure has been linked to postpartum psychological functioning, impacting health outcomes in both women and children. Extant studies primarily focused on individual pollutants.\n\nObjective:\nTo assess the association between prenatal exposure to a mixture of seven AP components and postpartum psychological functioning using daily exposure data and data-driven statistical methods.\n\nMethods:\nAnalyses included 981 women recruited at 24.0±9.9 weeks gestation and followed longitudinally. We estimated prenatal daily exposure levels for constituents of fine particles [elemental carbon (EC), organic carbon (OC), nitrate (NO3−), sulfate (SO42−), ammonium (NH4+)], nitrogen dioxide (NO2), and ozone (O3) using validated global 3-D chemical-transport models and satellite-based hybrid models based on residential addresses. Edinburgh Postnatal Depression Scale (EPDS) was administered to participants to derive a total EPDS score and the subconstruct scores for anhedonia and depressive symptoms. A distributed lag model (DLM) was employed within Bayesian Kernel Machine Regression (BKMR) to develop time-weighted exposure profile for each pollutant. These exposures were then input into a Weighted Quantile Sum (WQS) regression to estimate an overall mixture effect, adjusted for maternal age, education, race/ethnicity, season of delivery, and delivery year. Effect modification by race/ethnicity and fetal sex was also examined.\n\nResults:\nWomen were primarily Hispanic (51%) and Black (32%) reporting ≤12 years of education (58%). Prenatal exposure to an AP mixture was significantly associated with increased anhedonia subscale z-scores, particularly in Hispanics (β=0.07, 95%CI=0.004 to 0.13, per unit increase in WQS index). It was also borderline associated with increased total EPDS (β=0.11, 95%CI=0.00 to 0.22) and depressive symptom subscale (β=0.09, 95%CI=−0.02 to 0.19) z-scores, particularly among Hispanic women who gave birth to a male infant. Sulfate (SO42−), O3 and OC were major contributors to these associations.\n\nSignificance:\nAssociations between prenatal exposure to an AP mixture and postpartum psychological functioning might be race/ethnicity- and infant sex-dependent.","container-title":"Journal of exposure science &amp; environmental epidemiology","DOI":"10.1038/s41370-024-00726-2","ISSN":"1559-0631","issue":"4","journalAbbreviation":"J Expo Sci Environ Epidemiol","note":"PMID: 39567710\nPMCID: PMC12092737","page":"548-556","source":"PubMed Central","title":"Air Pollution Mixture Exposure during Pregnancy and Postpartum Psychological Functioning: Racial/ethnic- and fetal sex-specific associations","title-short":"Air Pollution Mixture Exposure during Pregnancy and Postpartum Psychological Functioning","volume":"35","author":[{"family":"Chiu","given":"Yueh-Hsiu Mathilda"},{"family":"Coull","given":"Brent A."},{"family":"Wilson","given":"Ander"},{"family":"Hsu","given":"Hsiao-Hsien Leon"},{"family":"Xhani","given":"Naim"},{"family":"Nentin","given":"Farida"},{"family":"Deli","given":"Barbara C."},{"family":"Schwartz","given":"Joel"},{"family":"Colicino","given":"Elena"},{"family":"Wright","given":"Robert O."},{"family":"Wright","given":"Rosalind J."}],"issued":{"date-parts":[["2025",7]]}}}],"schema":"https://github.com/citation-style-language/schema/raw/master/csl-citation.json"} </w:instrText>
      </w:r>
      <w:r w:rsidR="00A60316">
        <w:fldChar w:fldCharType="separate"/>
      </w:r>
      <w:r w:rsidR="00271BC5" w:rsidRPr="00271BC5">
        <w:t>(Chiu et al., 2025)</w:t>
      </w:r>
      <w:r w:rsidR="00A60316">
        <w:fldChar w:fldCharType="end"/>
      </w:r>
      <w:r>
        <w:t>.</w:t>
      </w:r>
    </w:p>
    <w:p w:rsidR="005D4314" w:rsidRDefault="005D4314" w:rsidP="005D4314">
      <w:pPr>
        <w:pStyle w:val="NormalWeb"/>
      </w:pPr>
      <w:r>
        <w:t>In addition, cumulative exposure metrics that aggregate repeated low-dose exposures over time have been used to capture chronic exposure burden, while peak exposure metrics aim to identify short-term, high-intensity events that may trigger biological responses. The integration of both cumulative and peak measures provides a more nuanced representation of exposure dynamics and supports more refined investigation of exposure–response relationships. These advances underscore the growing capacity of exposure modeling approaches to address the complexity of early-life agrochemical exposure in agricultural settings</w:t>
      </w:r>
      <w:r w:rsidR="00A60316">
        <w:fldChar w:fldCharType="begin"/>
      </w:r>
      <w:r w:rsidR="00271BC5">
        <w:instrText xml:space="preserve"> ADDIN ZOTERO_ITEM CSL_CITATION {"citationID":"4sxNT6Cg","properties":{"formattedCitation":"(Shekhar et al., 2024)","plainCitation":"(Shekhar et al., 2024)","noteIndex":0},"citationItems":[{"id":13293,"uris":["http://zotero.org/users/16652950/items/EWAJ2Q55"],"itemData":{"id":13293,"type":"article-journal","abstract":"Pesticides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A60316">
        <w:fldChar w:fldCharType="separate"/>
      </w:r>
      <w:r w:rsidR="00271BC5" w:rsidRPr="00271BC5">
        <w:t>(Shekhar et al., 2024)</w:t>
      </w:r>
      <w:r w:rsidR="00A60316">
        <w:fldChar w:fldCharType="end"/>
      </w:r>
      <w:r>
        <w:t>.</w:t>
      </w:r>
    </w:p>
    <w:p w:rsidR="005D4314" w:rsidRDefault="005D4314" w:rsidP="005D4314">
      <w:pPr>
        <w:pStyle w:val="Heading3"/>
      </w:pPr>
      <w:r>
        <w:lastRenderedPageBreak/>
        <w:t>7. Predictive Modeling Approaches</w:t>
      </w:r>
    </w:p>
    <w:p w:rsidR="00B32D1F" w:rsidRPr="00271BC5" w:rsidRDefault="00B32D1F" w:rsidP="00B32D1F">
      <w:pPr>
        <w:pStyle w:val="NormalWeb"/>
      </w:pPr>
      <w:r w:rsidRPr="00271BC5">
        <w:t>To address the methodological challenges inherent in assessing early-life agrochemical exposure and pediatric cancer risk, a range of predictive modeling approaches has been applied across epidemiologic and exposure science disciplines. These methods vary substantially in their capacity to resolve spatial and temporal heterogeneity, characterize chemical mixtures, support causal inference, and inform prevention-oriented decision making</w:t>
      </w:r>
      <w:r w:rsidR="00A60316">
        <w:fldChar w:fldCharType="begin"/>
      </w:r>
      <w:r w:rsidR="00271BC5">
        <w:instrText xml:space="preserve"> ADDIN ZOTERO_ITEM CSL_CITATION {"citationID":"QcqJ5n1B","properties":{"formattedCitation":"(Animashaun et al., 2025)","plainCitation":"(Animashaun et al., 2025)","noteIndex":0},"citationItems":[{"id":9014,"uris":["http://zotero.org/users/16652950/items/7R576SRT"],"itemData":{"id":9014,"type":"article-journal","container-title":"Journal of Engineering Research and Reports","DOI":"10.9734/jerr/2025/v27i101652","ISSN":"2582-2926","issue":"10","language":"en","page":"12-37","source":"journaljerr.com","title":"AI-Powered Digital Twin Platforms for Next-Generation Structural Health Monitoring: From Concept to Intelligent Decision-Making","title-short":"AI-Powered Digital Twin Platforms for Next-Generation Structural Health Monitoring","volume":"27","author":[{"family":"Animashaun","given":"Toheeb Abbey"},{"family":"Sunday","given":"Omolayo"},{"family":"Ogunleye","given":"Emmanuel"},{"family":"Agbahiwe","given":"Ogonna Kizzito"},{"family":"Afolayan","given":"Oladele Nicholas"},{"family":"Okpoko","given":"Oghenetega A."},{"family":"Enabulele","given":"Amienye Babatunde Omo"},{"family":"Enobakhare","given":"Benjamin Osaze"},{"family":"Ifionu","given":"Ebuka Stephen"}],"issued":{"date-parts":[["2025",9,22]]}}}],"schema":"https://github.com/citation-style-language/schema/raw/master/csl-citation.json"} </w:instrText>
      </w:r>
      <w:r w:rsidR="00A60316">
        <w:fldChar w:fldCharType="separate"/>
      </w:r>
      <w:r w:rsidR="00271BC5" w:rsidRPr="00271BC5">
        <w:t>(</w:t>
      </w:r>
      <w:proofErr w:type="spellStart"/>
      <w:r w:rsidR="00271BC5" w:rsidRPr="00271BC5">
        <w:t>Animashaun</w:t>
      </w:r>
      <w:proofErr w:type="spellEnd"/>
      <w:r w:rsidR="00271BC5" w:rsidRPr="00271BC5">
        <w:t xml:space="preserve"> et al., 2025)</w:t>
      </w:r>
      <w:r w:rsidR="00A60316">
        <w:fldChar w:fldCharType="end"/>
      </w:r>
      <w:r w:rsidRPr="00271BC5">
        <w:t xml:space="preserve">. </w:t>
      </w:r>
      <w:r w:rsidRPr="00271BC5">
        <w:rPr>
          <w:rStyle w:val="Strong"/>
        </w:rPr>
        <w:t>Table 1 provides a comparative synthesis of the principal predictive modeling frameworks used in this field, highlighting their relative strengths, limitations, and relevance for pediatric cancer research in agricultural populations.</w:t>
      </w:r>
      <w:r w:rsidRPr="00271BC5">
        <w:t xml:space="preserve"> This structured comparison is intended to clarify the added value of emerging approaches and to identify methodological gaps that warrant further development.</w:t>
      </w:r>
    </w:p>
    <w:p w:rsidR="008B6408" w:rsidRDefault="008B6408" w:rsidP="006C27AA">
      <w:pPr>
        <w:pStyle w:val="Heading3"/>
      </w:pPr>
      <w:r>
        <w:rPr>
          <w:rStyle w:val="Strong"/>
          <w:b/>
          <w:bCs/>
        </w:rPr>
        <w:t>Table 1. Strengths, Limitations, and Added Value of Predictive Modeling Approaches in Early-Life Agrochemical Exposure Research</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70"/>
        <w:gridCol w:w="1407"/>
        <w:gridCol w:w="1151"/>
        <w:gridCol w:w="1803"/>
        <w:gridCol w:w="1994"/>
        <w:gridCol w:w="1725"/>
      </w:tblGrid>
      <w:tr w:rsidR="008B6408" w:rsidTr="006C27AA">
        <w:trPr>
          <w:tblHeader/>
          <w:tblCellSpacing w:w="15" w:type="dxa"/>
        </w:trPr>
        <w:tc>
          <w:tcPr>
            <w:tcW w:w="0" w:type="auto"/>
            <w:vAlign w:val="center"/>
            <w:hideMark/>
          </w:tcPr>
          <w:p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Modeling Approach</w:t>
            </w:r>
          </w:p>
        </w:tc>
        <w:tc>
          <w:tcPr>
            <w:tcW w:w="0" w:type="auto"/>
            <w:vAlign w:val="center"/>
            <w:hideMark/>
          </w:tcPr>
          <w:p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Exposure Resolution (Spatial / Temporal)</w:t>
            </w:r>
          </w:p>
        </w:tc>
        <w:tc>
          <w:tcPr>
            <w:tcW w:w="0" w:type="auto"/>
            <w:vAlign w:val="center"/>
            <w:hideMark/>
          </w:tcPr>
          <w:p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Ability to Address Mixtures</w:t>
            </w:r>
          </w:p>
        </w:tc>
        <w:tc>
          <w:tcPr>
            <w:tcW w:w="0" w:type="auto"/>
            <w:vAlign w:val="center"/>
            <w:hideMark/>
          </w:tcPr>
          <w:p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Key Strengths</w:t>
            </w:r>
          </w:p>
        </w:tc>
        <w:tc>
          <w:tcPr>
            <w:tcW w:w="0" w:type="auto"/>
            <w:vAlign w:val="center"/>
            <w:hideMark/>
          </w:tcPr>
          <w:p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Key Limitations</w:t>
            </w:r>
          </w:p>
        </w:tc>
        <w:tc>
          <w:tcPr>
            <w:tcW w:w="0" w:type="auto"/>
            <w:vAlign w:val="center"/>
            <w:hideMark/>
          </w:tcPr>
          <w:p w:rsidR="008B6408" w:rsidRPr="005F12C1" w:rsidRDefault="008B6408">
            <w:pPr>
              <w:jc w:val="center"/>
              <w:rPr>
                <w:rFonts w:ascii="Times New Roman" w:hAnsi="Times New Roman" w:cs="Times New Roman"/>
                <w:b/>
                <w:bCs/>
              </w:rPr>
            </w:pPr>
            <w:r w:rsidRPr="005F12C1">
              <w:rPr>
                <w:rFonts w:ascii="Times New Roman" w:hAnsi="Times New Roman" w:cs="Times New Roman"/>
                <w:b/>
                <w:bCs/>
              </w:rPr>
              <w:t>Implications for Pediatric Cancer Research</w:t>
            </w:r>
          </w:p>
        </w:tc>
      </w:tr>
      <w:tr w:rsidR="008B6408" w:rsidTr="006C27AA">
        <w:trPr>
          <w:tblCellSpacing w:w="15" w:type="dxa"/>
        </w:trPr>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Traditional regression models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Low–Moderate</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Poor</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 interpretability; causal inference</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Exposure misclassification; linear assumptions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Useful for hypothesis testing but limited for complex exposures</w:t>
            </w:r>
          </w:p>
        </w:tc>
      </w:tr>
      <w:tr w:rsidR="008B6408" w:rsidTr="006C27AA">
        <w:trPr>
          <w:tblCellSpacing w:w="15" w:type="dxa"/>
        </w:trPr>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Bayesian hierarchical models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Moderate–High</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Moderate</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Handles sparse data; integrates uncertainty</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Computationally intensive; requires priors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Suitable for rare pediatric cancers</w:t>
            </w:r>
          </w:p>
        </w:tc>
      </w:tr>
      <w:tr w:rsidR="008B6408" w:rsidTr="006C27AA">
        <w:trPr>
          <w:tblCellSpacing w:w="15" w:type="dxa"/>
        </w:trPr>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GIS-based spatial models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 spatial, moderate temporal</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Poor–Moderate</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Improves exposure estimation; policy relevance</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Limited biological integration</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Strong for identifying high-risk communities</w:t>
            </w:r>
          </w:p>
        </w:tc>
      </w:tr>
      <w:tr w:rsidR="008B6408" w:rsidTr="006C27AA">
        <w:trPr>
          <w:tblCellSpacing w:w="15" w:type="dxa"/>
        </w:trPr>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Machine learning models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Captures non-linearity and interactions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Limited interpretability</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Strong for risk stratification, weaker for causality</w:t>
            </w:r>
          </w:p>
        </w:tc>
      </w:tr>
      <w:tr w:rsidR="008B6408" w:rsidTr="006C27AA">
        <w:trPr>
          <w:tblCellSpacing w:w="15" w:type="dxa"/>
        </w:trPr>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lastRenderedPageBreak/>
              <w:t>Hybrid causal–predictive models</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Balances prediction and inference</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Methodologically complex</w:t>
            </w:r>
          </w:p>
        </w:tc>
        <w:tc>
          <w:tcPr>
            <w:tcW w:w="0" w:type="auto"/>
            <w:vAlign w:val="center"/>
            <w:hideMark/>
          </w:tcPr>
          <w:p w:rsidR="008B6408" w:rsidRPr="005F12C1" w:rsidRDefault="008B6408">
            <w:pPr>
              <w:rPr>
                <w:rFonts w:ascii="Times New Roman" w:hAnsi="Times New Roman" w:cs="Times New Roman"/>
              </w:rPr>
            </w:pPr>
            <w:r w:rsidRPr="005F12C1">
              <w:rPr>
                <w:rFonts w:ascii="Times New Roman" w:hAnsi="Times New Roman" w:cs="Times New Roman"/>
              </w:rPr>
              <w:t>High future potential for prevention strategies</w:t>
            </w:r>
          </w:p>
        </w:tc>
      </w:tr>
    </w:tbl>
    <w:p w:rsidR="005D4314" w:rsidRDefault="005D4314" w:rsidP="005D4314">
      <w:pPr>
        <w:pStyle w:val="Heading4"/>
      </w:pPr>
      <w:r>
        <w:t>7.1 Statistical Models</w:t>
      </w:r>
    </w:p>
    <w:p w:rsidR="005D4314" w:rsidRDefault="005D4314" w:rsidP="005D4314">
      <w:pPr>
        <w:pStyle w:val="NormalWeb"/>
      </w:pPr>
      <w:r>
        <w:t>Conventional statistical models have long served as the foundation for evaluating associations between agrochemical exposure and pediatric cancer risk. Logistic regression remains the most commonly applied approach in case–control studies, enabling estimation of odds ratios while adjusting for measured confounders. Cox proportional hazards models are similarly used in cohort designs to account for time-to-event outcomes and varying follow-up periods. These models offer transparency and interpretability, allowing investigators to directly assess exposure–response relationships and test a priori hypotheses</w:t>
      </w:r>
      <w:r w:rsidR="00A60316">
        <w:fldChar w:fldCharType="begin"/>
      </w:r>
      <w:r w:rsidR="00271BC5">
        <w:instrText xml:space="preserve"> ADDIN ZOTERO_ITEM CSL_CITATION {"citationID":"ZDDLX8M6","properties":{"formattedCitation":"(Taiba et al., 2025)","plainCitation":"(Taiba et al., 2025)","noteIndex":0},"citationItems":[{"id":13367,"uris":["http://zotero.org/users/16652950/items/A448IQFC"],"itemData":{"id":13367,"type":"article-journal","abstract":"Nebraska's age‐adjusted incidence rates for childhood cancers are among the highest in the US. Previous studies indicated associations between agrichemical exposures (atrazine and nitrates) and pediatric cancer rate, assuming single pollutant exposure. We evaluated the joint association between the agricultural mixture and pediatric cancer. Agrichemical exposures at a county scale were quantified using the USGS Pesticide National Synthesis Project for frequently applied pesticides from 1992 to 2014 in 93 Nebraska counties. Outcomes were quantified using pediatric cancer diagnosed among children &lt;20 years of age (1992–2014) from the Nebraska cancer registry. We adjusted for social vulnerability factors such as race, income, employment, and access to care. The associations between 32 agrichemicals and cancer subtypes were assessed using the Generalized Weighted Quantile Sum Regression (gWQS) model. The model was fit assuming a Poisson distribution and using the pediatric population as an offset‐term and social vulnerability factors as covariates. We observed a statistically significant positive association between the 32 agrichemicals and overall pediatric cancer and subtypes. The strength of associations was slightly stronger among brain and CNS cancers (β = 0.36, CI = 0.14, 0.57) compared to overall cancer (β = 0.30, CI = 0.16, 0.44) and leukemia (β = 0.23, CI = 0.09, 0.38). Dicamba, glyphosate, paraquat, quizalofop, triasulfuron, and tefluthrin largely contributed to the joint association. These findings may explain the joint associations of the agrichemical mixture on childhood cancer. Alternative biomarker‐based approaches to measuring human exposure are worth investigating for chemicals of concern, particularly in counties with high agrichemical and cancer rates., \nWe observed positive associations between agrichemical mixtures and overall cancer, brain and CNS cancers, and leukemia among childrenAbout a 10% increase in pesticide, mixtures was associated with a 23%–36% increase in these cancer ratesAmong the pesticides considered in the mixture, herbicides contributed the most toward these joint associations","container-title":"GeoHealth","DOI":"10.1029/2024GH001236","ISSN":"2471-1403","issue":"2","journalAbbreviation":"Geohealth","note":"PMID: 39944898\nPMCID: PMC11815328","page":"e2024GH001236","source":"PubMed Central","title":"Exploring the Joint Association Between Agrichemical Mixtures and Pediatric Cancer","volume":"9","author":[{"family":"Taiba","given":"Jabeen"},{"family":"Beseler","given":"Cheryl"},{"family":"Zahid","given":"Muhammad"},{"family":"Bartelt‐Hunt","given":"Shannon"},{"family":"Kolok","given":"Alan"},{"family":"Rogan","given":"Eleanor"}],"issued":{"date-parts":[["2025",2,12]]}}}],"schema":"https://github.com/citation-style-language/schema/raw/master/csl-citation.json"} </w:instrText>
      </w:r>
      <w:r w:rsidR="00A60316">
        <w:fldChar w:fldCharType="separate"/>
      </w:r>
      <w:r w:rsidR="00271BC5" w:rsidRPr="00271BC5">
        <w:t>(Taiba et al., 2025)</w:t>
      </w:r>
      <w:r w:rsidR="00A60316">
        <w:fldChar w:fldCharType="end"/>
      </w:r>
      <w:r>
        <w:t>.</w:t>
      </w:r>
    </w:p>
    <w:p w:rsidR="005D4314" w:rsidRDefault="005D4314" w:rsidP="005D4314">
      <w:pPr>
        <w:pStyle w:val="NormalWeb"/>
      </w:pPr>
      <w:r>
        <w:t>Bayesian hierarchical models represent an important extension of traditional regression frameworks, particularly in settings characterized by sparse data, multiple exposure metrics, or hierarchical data structures. By borrowing strength across related parameters and incorporating prior information, Bayesian approaches can improve estimation stability and facilitate joint modeling of spatial, temporal, and individual-level variability. Such models are especially valuable for pediatric cancer research, where outcomes are rare and exposure patterns are heterogeneous across geographic regions and time</w:t>
      </w:r>
      <w:r w:rsidR="00A60316">
        <w:fldChar w:fldCharType="begin"/>
      </w:r>
      <w:r w:rsidR="00271BC5">
        <w:instrText xml:space="preserve"> ADDIN ZOTERO_ITEM CSL_CITATION {"citationID":"Kw8KwC6v","properties":{"formattedCitation":"(Parsons et al., 2022)","plainCitation":"(Parsons et al., 2022)","noteIndex":0},"citationItems":[{"id":13391,"uris":["http://zotero.org/users/16652950/items/Z3YZJ3LA"],"itemData":{"id":13391,"type":"article-journal","abstract":"To combat the HIV/AIDS pandemic effectively, targeted interventions among certain key populations play a critical role. Examples of such key populations include sex workers, people who inject drugs, and men who have sex with men. While having accurate estimates for the size of these key populations is important, any attempt to directly contact or count members of these populations is difficult. As a result, indirect methods are used to produce size estimates. Multiple approaches for estimating the size of such populations have been suggested but often give conflicting results. It is, therefore, necessary to have a principled way to combine and reconcile these estimates. To this end, we present a Bayesian hierarchical model for estimating the size of key populations that combines multiple estimates from different sources of information. The proposed model makes use of multiple years of data and explicitly models the systematic error in the data sources used. We use the model to estimate the size of people who inject drugs in Ukraine. We evaluate the appropriateness of the model and compare the contribution of each data source to the final estimates.","container-title":"The annals of applied statistics","DOI":"10.1214/21-AOAS1556","ISSN":"1932-6157","issue":"3","journalAbbreviation":"Ann Appl Stat","note":"PMID: 37131525\nPMCID: PMC10150643","page":"1550-1562","source":"PubMed Central","title":"A BAYESIAN HIERARCHICAL MODEL FOR COMBINING MULTIPLE DATA SOURCES IN POPULATION SIZE ESTIMATION","volume":"16","author":[{"family":"Parsons","given":"Jacob"},{"family":"Niu","given":"Xiaoyue"},{"family":"Bao","given":"Le"}],"issued":{"date-parts":[["2022",9]]}}}],"schema":"https://github.com/citation-style-language/schema/raw/master/csl-citation.json"} </w:instrText>
      </w:r>
      <w:r w:rsidR="00A60316">
        <w:fldChar w:fldCharType="separate"/>
      </w:r>
      <w:r w:rsidR="00271BC5" w:rsidRPr="00271BC5">
        <w:t>(Parsons et al., 2022)</w:t>
      </w:r>
      <w:r w:rsidR="00A60316">
        <w:fldChar w:fldCharType="end"/>
      </w:r>
      <w:r>
        <w:t>.</w:t>
      </w:r>
    </w:p>
    <w:p w:rsidR="005D4314" w:rsidRDefault="005D4314" w:rsidP="005D4314">
      <w:pPr>
        <w:pStyle w:val="Heading4"/>
      </w:pPr>
      <w:r>
        <w:t>7.2 Machine Learning and Data-Driven Models</w:t>
      </w:r>
    </w:p>
    <w:p w:rsidR="005D4314" w:rsidRDefault="005D4314" w:rsidP="005D4314">
      <w:pPr>
        <w:pStyle w:val="NormalWeb"/>
      </w:pPr>
      <w:r>
        <w:t>In recent years, machine learning and other data-driven modeling approaches have been increasingly applied to environmental health research to address complex, high-dimensional data structures</w:t>
      </w:r>
      <w:r w:rsidR="00A60316">
        <w:fldChar w:fldCharType="begin"/>
      </w:r>
      <w:r w:rsidR="00271BC5">
        <w:instrText xml:space="preserve"> ADDIN ZOTERO_ITEM CSL_CITATION {"citationID":"jAy6oCgW","properties":{"formattedCitation":"(Lawal, Igwe, et al., 2025)","plainCitation":"(Lawal, Igwe, et al., 2025)","noteIndex":0},"citationItems":[{"id":3122,"uris":["http://zotero.org/users/16652950/items/3RZR4GGY"],"itemData":{"id":3122,"type":"article-journal","abstract":"The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A60316">
        <w:fldChar w:fldCharType="separate"/>
      </w:r>
      <w:r w:rsidR="00271BC5" w:rsidRPr="00271BC5">
        <w:t>(Lawal, Igwe, et al., 2025)</w:t>
      </w:r>
      <w:r w:rsidR="00A60316">
        <w:fldChar w:fldCharType="end"/>
      </w:r>
      <w:r>
        <w:t>. Tree-based methods, including random forests and gradient boosting algorithms, are well suited to capturing non-linear relationships and interactions among multiple agrochemical exposures and contextual variables without requiring explicit model specification. These approaches have demonstrated improved predictive performance in settings involving chemical mixtures and spatially resolved exposure data</w:t>
      </w:r>
      <w:r w:rsidR="00A60316">
        <w:fldChar w:fldCharType="begin"/>
      </w:r>
      <w:r w:rsidR="00271BC5">
        <w:instrText xml:space="preserve"> ADDIN ZOTERO_ITEM CSL_CITATION {"citationID":"MkSjTTeQ","properties":{"formattedCitation":"(Malashin et al., 2025)","plainCitation":"(Malashin et al., 2025)","noteIndex":0},"citationItems":[{"id":13394,"uris":["http://zotero.org/users/16652950/items/H6ACTG4T"],"itemData":{"id":13394,"type":"article-journal","abstract":"The increasing complexity of polymer systems in both experimental and computational studies has led to an expanding interest in machine learning (ML) ...","container-title":"Polymers","DOI":"10.3390/polym17040499","ISSN":"2073-4360","issue":"4","language":"en","license":"http://creativecommons.org/licenses/by/3.0/","note":"Company: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publisher","source":"www.mdpi.com","title":"Boosting-Based Machine Learning Applications in Polymer Science: A Review","title-short":"Boosting-Based Machine Learning Applications in Polymer Science","URL":"https://www.mdpi.com/2073-4360/17/4/499","volume":"17","author":[{"family":"Malashin","given":"Ivan"},{"family":"Tynchenko","given":"Vadim"},{"family":"Gantimurov","given":"Andrei"},{"family":"Nelyub","given":"Vladimir"},{"family":"Borodulin","given":"Aleksei"},{"family":"Malashin","given":"Ivan"},{"family":"Tynchenko","given":"Vadim"},{"family":"Gantimurov","given":"Andrei"},{"family":"Nelyub","given":"Vladimir"},{"family":"Borodulin","given":"Aleksei"}],"accessed":{"date-parts":[["2026",1,15]]},"issued":{"date-parts":[["2025",2,13]]}}}],"schema":"https://github.com/citation-style-language/schema/raw/master/csl-citation.json"} </w:instrText>
      </w:r>
      <w:r w:rsidR="00A60316">
        <w:fldChar w:fldCharType="separate"/>
      </w:r>
      <w:r w:rsidR="00271BC5" w:rsidRPr="00271BC5">
        <w:t>(</w:t>
      </w:r>
      <w:proofErr w:type="spellStart"/>
      <w:r w:rsidR="00271BC5" w:rsidRPr="00271BC5">
        <w:t>Malashin</w:t>
      </w:r>
      <w:proofErr w:type="spellEnd"/>
      <w:r w:rsidR="00271BC5" w:rsidRPr="00271BC5">
        <w:t xml:space="preserve"> et al., 2025)</w:t>
      </w:r>
      <w:r w:rsidR="00A60316">
        <w:fldChar w:fldCharType="end"/>
      </w:r>
      <w:r>
        <w:t>.</w:t>
      </w:r>
    </w:p>
    <w:p w:rsidR="005D4314" w:rsidRDefault="005D4314" w:rsidP="005D4314">
      <w:pPr>
        <w:pStyle w:val="NormalWeb"/>
      </w:pPr>
      <w:r>
        <w:t>Neural networks and ensemble models further extend predictive capacity by integrating diverse data sources, such as GIS-derived exposure estimates, demographic variables, and environmental covariates. Ensemble approaches that combine multiple modeling techniques can enhance robustness and reduce overfitting, particularly when validated using independent data. However, the application of these methods in pediatric cancer research remains relatively limited, and their added value over traditional models depends on careful implementation and validation.</w:t>
      </w:r>
    </w:p>
    <w:p w:rsidR="005D4314" w:rsidRDefault="005D4314" w:rsidP="005D4314">
      <w:pPr>
        <w:pStyle w:val="Heading4"/>
      </w:pPr>
      <w:r>
        <w:lastRenderedPageBreak/>
        <w:t>7.3 Model Performance and Interpretability</w:t>
      </w:r>
    </w:p>
    <w:p w:rsidR="005D4314" w:rsidRDefault="005D4314" w:rsidP="005D4314">
      <w:pPr>
        <w:pStyle w:val="NormalWeb"/>
      </w:pPr>
      <w:r>
        <w:t>A central methodological tension in predictive modeling lies in balancing predictive accuracy with interpretability and causal inference. While machine learning models often achieve superior discrimination and classification performance, their complexity can obscure underlying exposure–disease relationships, limiting their utility for etiologic interpretation and policy translation. In contrast, traditional statistical models offer clearer inferential pathways but may inadequately capture complex, non-linear exposure dynamics.</w:t>
      </w:r>
      <w:r w:rsidR="00A60316">
        <w:fldChar w:fldCharType="begin"/>
      </w:r>
      <w:r w:rsidR="00271BC5">
        <w:instrText xml:space="preserve"> ADDIN ZOTERO_ITEM CSL_CITATION {"citationID":"MKZH4eTD","properties":{"formattedCitation":"(Lawal, Adedayo, et al., 2025; Zhao et al., 2024)","plainCitation":"(Lawal, Adedayo, et al., 2025; Zhao et al., 2024)","noteIndex":0},"citationItems":[{"id":3602,"uris":["http://zotero.org/users/16652950/items/ZY4XC6G8"],"itemData":{"id":3602,"type":"article-journal","abstract":"Tuberculosis (TB) still presents a major threat to public health, and accurate diagnosis of tuberculosis, monitoring TB treatment, as well as TB drug resistance are still challenging goals. Research in biomarkers—both host, pathogen pathogen-derived—has led to novel frontiers in the diagnosis and management of TB. These advancements contribute to faster diagnosis, customized treatment plans, and better monitoring of response to therapy. Direct pathogen-based markers, such as M. tuberculosis DNA, lipoarabinomannan (LAM), and mycobacterial proteins, that directly demonstrate infection, have the most potential, particularly in resource-poor settings. Cytokines such as interferon-gamma (IFN-γ) and inflammatory markers, such as C-reactive protein (CRP), are endogenous biomarkers that mirror responses of the immune system and may play a role in the management of treatment, especially in immunocompromised populations, such as patients with HIV. These progresses notwithstanding, the application of a biomarker-centered approach on a large scale remains a major obstacle,  due to technical, economic, and regulatory constraints. Furthermore, various performances among the biomarkers in different populations limit clinical utility. Future studies in this area should aim to create point-of-care diagnostics, multi-biomarker panels, and to integrate the device with digital health technology platforms for real-time monitoring. These methods have the potential to substantially improve TB control, particularly in low- and middle-income countries. If current challenges can be overcome and research horizons broadened, biomarker-driven diagnosis and monitoring strategies may have key contributions in global TB control.","container-title":"Asian Journal of Microbiology and Biotechnology","DOI":"10.56557/ajmab/2025/v10i19351","ISSN":"2456-8341","issue":"1","language":"en","page":"115-130","source":"ikprress.org","title":"Biomarkers for Tuberculosis Diagnosis and Monitoring: A Review of Translational Progress","title-short":"Biomarkers for Tuberculosis Diagnosis and Monitoring","volume":"10","author":[{"family":"Lawal","given":"Olabisi Promise"},{"family":"Adedayo","given":"Olufemi Adesola"},{"family":"Dorcas","given":"Sokoya Itunuoluwa"},{"family":"Akanbi","given":"Olukunle O."},{"family":"Okafor","given":"Bostock Chinecherem"},{"family":"Kanu","given":"Ikechukwu"},{"family":"Sone","given":"Precious Esong"},{"family":"Patrick","given":"John Opeyemi"},{"family":"Fabiyi","given":"Taiwo Oluwole"},{"family":"Adeyemi","given":"Bankole Israel"},{"family":"Oziegbe","given":"Edo Elvis"},{"family":"Busari","given":"Abdullateef M."}],"issued":{"date-parts":[["2025",5,20]]}}},{"id":2003,"uris":["http://zotero.org/users/16652950/items/MDSDWTIM"],"itemData":{"id":2003,"type":"article-journal","abstract":"The global health landscape has been persistently challenged by the emergence and re-emergence of infectious diseases. Traditional epidemiological models, rooted in the early 20th century, have provided foundational insights into disease dynamics. However, the intricate web of modern global interactions and the exponential growth of available data demand more advanced predictive tools. This is where AI for Science (AI4S) comes into play, offering a transformative approach by integrating artificial intelligence (AI) into infectious disease prediction. This paper elucidates the pivotal role of AI4S in enhancing and, in some instances, superseding traditional epidemiological methodologies. By harnessing AI's capabilities, AI4S facilitates real-time monitoring, sophisticated data integration, and predictive modeling with enhanced precision. The comparative analysis highlights the stark contrast between conventional models and the innovative strategies enabled by AI4S. In essence, AI4S represents a paradigm shift in infectious disease research. It addresses the limitations of traditional models and paves the way for a more proactive and informed response to future outbreaks. As we navigate the complexities of global health challenges, AI4S stands as a beacon, signifying the next phase of evolution in disease prediction, characterized by increased accuracy, adaptability, and efficiency.","container-title":"Journal of Safety Science and Resilience","DOI":"10.1016/j.jnlssr.2024.02.002","ISSN":"2666-4496","issue":"2","journalAbbreviation":"Journal of Safety Science and Resilience","page":"130-146","source":"ScienceDirect","title":"AI for science: Predicting infectious diseases","title-short":"AI for science","volume":"5","author":[{"family":"Zhao","given":"Alexis Pengfei"},{"family":"Li","given":"Shuangqi"},{"family":"Cao","given":"Zhidong"},{"family":"Hu","given":"Paul Jen-Hwa"},{"family":"Wang","given":"Jiaojiao"},{"family":"Xiang","given":"Yue"},{"family":"Xie","given":"Da"},{"family":"Lu","given":"Xi"}],"issued":{"date-parts":[["2024",6,1]]}}}],"schema":"https://github.com/citation-style-language/schema/raw/master/csl-citation.json"} </w:instrText>
      </w:r>
      <w:r w:rsidR="00A60316">
        <w:fldChar w:fldCharType="separate"/>
      </w:r>
      <w:r w:rsidR="00271BC5" w:rsidRPr="00271BC5">
        <w:t>(Lawal, Adedayo, et al., 2025; Zhao et al., 2024)</w:t>
      </w:r>
      <w:r w:rsidR="00A60316">
        <w:fldChar w:fldCharType="end"/>
      </w:r>
    </w:p>
    <w:p w:rsidR="005D4314" w:rsidRDefault="005D4314" w:rsidP="005D4314">
      <w:pPr>
        <w:pStyle w:val="NormalWeb"/>
      </w:pPr>
      <w:r>
        <w:t>To address this challenge, explainable artificial intelligence approaches have been introduced to enhance transparency in data-driven models. Techniques such as variable importance measures and SHAP values enable identification of influential predictors and characterization of their contributions to model output. When applied judiciously, these tools can improve interpretability without sacrificing predictive performance, supporting the integration of predictive modeling into environmental cancer research while maintaining relevance for causal reasoning and public health decision-making</w:t>
      </w:r>
      <w:r w:rsidR="00A60316">
        <w:fldChar w:fldCharType="begin"/>
      </w:r>
      <w:r w:rsidR="00271BC5">
        <w:instrText xml:space="preserve"> ADDIN ZOTERO_ITEM CSL_CITATION {"citationID":"t3g7ofT8","properties":{"formattedCitation":"(Ma et al., 2025)","plainCitation":"(Ma et al., 2025)","noteIndex":0},"citationItems":[{"id":13396,"uris":["http://zotero.org/users/16652950/items/IDLCGQDN"],"itemData":{"id":13396,"type":"article-journal","abstract":"Sports injury prediction is crucial for university football player health, yet existing research predominantly focuses on professional athletes and lacks interpretability. Using the Kaggle ”University Football Injury Prediction Dataset” (800 Chinese university players), we constructed a comprehensive 18-feature evaluation system across four dimensions: basic information, training factors, physical fitness, and lifestyle habits. We systematically compared 10 machine learning algorithms. The Support Vector Machine achieved optimal performance (95.6% accuracy, 95.7% F1-score, 99.2% ROC-AUC). SHAP interpretability analysis identified stress level (importance: 0.10), sleep duration (0.09), and balance ability (0.08) as key injury risk factors, with psychological stress showing positive correlation and adequate sleep/balance showing protective effects. Notably, lifestyle factors outweighed traditional physical fitness indicators in importance. Despite promising results, this study’s single-dataset design and lack of external validation limit generalizability. Prospective validation is essential before clinical deployment. This work demonstrates the feasibility of interpretable injury risk prediction for university athletes, providing a foundation for evidence-based prevention strategies.","container-title":"Scientific Reports","DOI":"10.1038/s41598-025-24144-y","ISSN":"2045-2322","issue":"1","journalAbbreviation":"Sci Rep","language":"en","license":"2025 The Author(s)","note":"publisher: Nature Publishing Group","page":"40252","source":"www.nature.com","title":"SHAP-based interpretable machine learning for injury risk prediction in university football players: a multi-dimensional data analysis approach","title-short":"SHAP-based interpretable machine learning for injury risk prediction in university football players","volume":"15","author":[{"family":"Ma","given":"Jiacheng"},{"family":"Liu","given":"Shengrui"},{"family":"Pei","given":"Yuting"}],"issued":{"date-parts":[["2025",11,17]]}}}],"schema":"https://github.com/citation-style-language/schema/raw/master/csl-citation.json"} </w:instrText>
      </w:r>
      <w:r w:rsidR="00A60316">
        <w:fldChar w:fldCharType="separate"/>
      </w:r>
      <w:r w:rsidR="00271BC5" w:rsidRPr="00271BC5">
        <w:t>(Ma et al., 2025)</w:t>
      </w:r>
      <w:r w:rsidR="00A60316">
        <w:fldChar w:fldCharType="end"/>
      </w:r>
      <w:r>
        <w:t>.</w:t>
      </w:r>
    </w:p>
    <w:p w:rsidR="005D4314" w:rsidRDefault="005D4314" w:rsidP="005D4314">
      <w:pPr>
        <w:pStyle w:val="Heading3"/>
      </w:pPr>
      <w:r>
        <w:t>8. Biological Plausibility and Mechanistic Evidence</w:t>
      </w:r>
    </w:p>
    <w:p w:rsidR="005D4314" w:rsidRDefault="005D4314" w:rsidP="005D4314">
      <w:pPr>
        <w:pStyle w:val="NormalWeb"/>
      </w:pPr>
      <w:r>
        <w:t>The epidemiologic associations observed between early-life agrochemical exposure and pediatric cancer risk are supported by a growing body of mechanistic evidence demonstrating biologically plausible pathways through which these exposures may contribute to carcinogenesis. Many agrochemicals used in agricultural settings possess properties capable of disrupting fundamental cellular and developmental processes, particularly when exposure occurs during sensitive periods of growth</w:t>
      </w:r>
      <w:r w:rsidR="00A60316">
        <w:fldChar w:fldCharType="begin"/>
      </w:r>
      <w:r w:rsidR="00CD2CA2">
        <w:instrText xml:space="preserve"> ADDIN ZOTERO_ITEM CSL_CITATION {"citationID":"qVlmRL1p","properties":{"formattedCitation":"(Karalexi et al., 2021a)","plainCitation":"(Karalexi et al., 2021a)","noteIndex":0},"citationItems":[{"id":13398,"uris":["http://zotero.org/users/16652950/items/ZLIHPCVI"],"itemData":{"id":13398,"type":"article-journal","abstract":"Despite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Pollution","DOI":"10.1016/j.envpol.2021.117376","ISSN":"0269-7491","journalAbbreviation":"Environmental Pollution","page":"117376","source":"ScienceDirect","title":"Exposure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rsidR="00A60316">
        <w:fldChar w:fldCharType="separate"/>
      </w:r>
      <w:r w:rsidR="00CD2CA2" w:rsidRPr="00CD2CA2">
        <w:t>(</w:t>
      </w:r>
      <w:proofErr w:type="spellStart"/>
      <w:r w:rsidR="00CD2CA2" w:rsidRPr="00CD2CA2">
        <w:t>Karalexi</w:t>
      </w:r>
      <w:proofErr w:type="spellEnd"/>
      <w:r w:rsidR="00CD2CA2" w:rsidRPr="00CD2CA2">
        <w:t xml:space="preserve"> et al., 2021a)</w:t>
      </w:r>
      <w:r w:rsidR="00A60316">
        <w:fldChar w:fldCharType="end"/>
      </w:r>
      <w:r>
        <w:t>.</w:t>
      </w:r>
    </w:p>
    <w:p w:rsidR="005D4314" w:rsidRDefault="005D4314" w:rsidP="005D4314">
      <w:pPr>
        <w:pStyle w:val="NormalWeb"/>
      </w:pPr>
      <w:r>
        <w:t>Genotoxicity and oxidative stress represent central mechanisms by which agrochemicals may initiate or promote malignant transformation. Several classes of pesticides have been shown to induce DNA strand breaks, chromosomal aberrations, and oxidative damage in experimental models. In developing tissues, where cell proliferation rates are high and DNA repair systems are not fully mature, such damage may persist and give rise to oncogenic mutations. Oxidative stress can further exacerbate genomic instability by generating reactive oxygen species that damage nucleic acids, proteins, and cellular membranes, creating a pro-carcinogenic intracellular environment</w:t>
      </w:r>
      <w:r w:rsidR="00A60316">
        <w:fldChar w:fldCharType="begin"/>
      </w:r>
      <w:r w:rsidR="003F0132">
        <w:instrText xml:space="preserve"> ADDIN ZOTERO_ITEM CSL_CITATION {"citationID":"XTDW3zNK","properties":{"formattedCitation":"(Desai et al., 2025)","plainCitation":"(Desai et al., 2025)","noteIndex":0},"citationItems":[{"id":13371,"uris":["http://zotero.org/users/16652950/items/CC767BB4"],"itemData":{"id":13371,"type":"article-journal","abstract":"Simple SummaryPesticides have been linked to an increased risk of developing childhood leukemia, yet their impact on survival remains unclear. This st...","container-title":"Cancers","DOI":"10.3390/cancers17060978","ISSN":"2072-6694","issue":"6","language":"en","license":"http://creativecommons.org/licenses/by/3.0/","note":"Company: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publisher","source":"www.mdpi.com","title":"Pre- and Postnatal Exposures to Residential Pesticides and Survival of Childhood Acute Lymphoblastic Leukemia","URL":"https://www.mdpi.com/2072-6694/17/6/978","volume":"17","author":[{"family":"Desai","given":"Seema"},{"family":"Morimoto","given":"Libby M."},{"family":"Kang","given":"Alice Y."},{"family":"Miller","given":"Mark D."},{"family":"Wiemels","given":"Joseph L."},{"family":"Winestone","given":"Lena E."},{"family":"Metayer","given":"Catherine"},{"family":"Desai","given":"Seema"},{"family":"Morimoto","given":"Libby M."},{"family":"Kang","given":"Alice Y."},{"family":"Miller","given":"Mark D."},{"family":"Wiemels","given":"Joseph L."},{"family":"Winestone","given":"Lena E."},{"family":"Metayer","given":"Catherine"}],"accessed":{"date-parts":[["2026",1,15]]},"issued":{"date-parts":[["2025",3,13]]}}}],"schema":"https://github.com/citation-style-language/schema/raw/master/csl-citation.json"} </w:instrText>
      </w:r>
      <w:r w:rsidR="00A60316">
        <w:fldChar w:fldCharType="separate"/>
      </w:r>
      <w:r w:rsidR="003F0132" w:rsidRPr="003F0132">
        <w:t>(Desai et al., 2025)</w:t>
      </w:r>
      <w:r w:rsidR="00A60316">
        <w:fldChar w:fldCharType="end"/>
      </w:r>
      <w:r>
        <w:t>.</w:t>
      </w:r>
    </w:p>
    <w:p w:rsidR="005D4314" w:rsidRDefault="005D4314" w:rsidP="005D4314">
      <w:pPr>
        <w:pStyle w:val="NormalWeb"/>
      </w:pPr>
      <w:r>
        <w:t>Endocrine disruption provides an additional mechanistic link between agrochemical exposure and cancer risk. Many pesticides and herbicides can interfere with hormone signaling pathways that regulate growth, differentiation, and immune function. Disruption of thyroid, estrogenic, or androgenic signaling during prenatal or early postnatal development may alter tissue patterning and cellular maturation, thereby increasing susceptibility to malignant transformation. These effects are of particular concern in pediatric populations, where hormonal cues play a critical role in orchestrating developmental trajectories</w:t>
      </w:r>
      <w:r w:rsidR="00A60316">
        <w:fldChar w:fldCharType="begin"/>
      </w:r>
      <w:r w:rsidR="00770E2E">
        <w:instrText xml:space="preserve"> ADDIN ZOTERO_ITEM CSL_CITATION {"citationID":"pCkkIjti","properties":{"formattedCitation":"(Soni et al., 2025; Tajai et al., 2023)","plainCitation":"(Soni et al., 2025; Tajai et al., 2023)","noteIndex":0},"citationItems":[{"id":12783,"uris":["http://zotero.org/users/16652950/items/Z22LRPZH"],"itemData":{"id":12783,"type":"article-journal","abstract":"Type 2 diabetes mellitus (T2DM) is associated with an increased risk of cardiovascular complications, with heart failure (HF) remaining a major cause of hospitalisation and mortality. Empagliflozin, a sodiumglucose cotransporter 2 (SGLT2) inhibitor, has demonstrated consistent cardioprotective effects in patients with type 2 diabetes mellitus (T2DM). Evidence shows that treatment with empagliflozin reduces the risk of hospitalisation for HF, with benefits that appear to extend beyond glucose lowering. These effects are thought to be mediated through mechanisms such as improved cardiac loading conditions, enhanced natriuresis, and optimised myocardial metabolism. Overall, empagliflozin represents an effective therapeutic option for reducing cardiovascular morbidity and hospital admissions in individuals with T2DM who are at risk for HF.","container-title":"Cureus","DOI":"10.7759/cureus.96593","ISSN":"2168-8184","language":"en","source":"DOI.org (Crossref)","title":"Evaluating the Beneficial Effect of Empagliflozin in Reducing Hospitalisation for Heart Failure in Patients With Type 2 Diabetes Mellitus: A Systematic Review","title-short":"Evaluating the Beneficial Effect of Empagliflozin in Reducing Hospitalisation for Heart Failure in Patients With Type 2 Diabetes Mellitus","URL":"https://www.cureus.com/articles/386179-evaluating-the-beneficial-effect-of-empagliflozin-in-reducing-hospitalisation-for-heart-failure-in-patients-with-type-2-diabetes-mellitus-a-systematic-review","author":[{"family":"Soni","given":"Akanksha"},{"family":"Lawal","given":"Olabisi P"},{"family":"Oyovwi","given":"Japheth O"},{"family":"Olaniyi","given":"Happiness I"},{"family":"Anosike","given":"Wonderful O"},{"family":"Orobator","given":"Enibokun  T"},{"family":"Gabriels","given":"Nazeem"},{"family":"Ghori","given":"Ibad Ali Khan"},{"family":"Olaniyi","given":"Aliyu O"}],"accessed":{"date-parts":[["2025",12,30]]},"issued":{"date-parts":[["2025",11,11]]}}},{"id":13402,"uris":["http://zotero.org/users/16652950/items/4WZMKP6T"],"itemData":{"id":13402,"type":"article-journal","abstract":"Glyphosate-based herbicides (GBHs) containing glyphosate as the active component are extensively used worldwide. Concerns have arisen about their potential risk to human, as glyphosate has been detected in human body fluids. Current controversies surround the endocrine-disrupting properties and transgenerational inheritance of diseases and germline epimutations resulting from exposure to GBHs and glyphosate. This review discusses evidence from in vitro, in vivo, and clinical studies on their impact on sex hormone regulation and reproductive system. Evidence suggests that they act as endocrine-disrupting chemicals, which altering sex hormone levels. Mechanistically, they interfere with hormone signaling pathways by disrupting proteins involved in hormone transport and metabolism. Pathological changes have been observed in male and female reproductive systems, potentially leading to reproductive toxicity. Prenatal exposure may lead to transgenerational inheritance of pathologies and sperm epimutations. However, due to the complexity of glyphosate formulations containing adjuvants identifying higher risk components in environmental exposure becomes challenging.","container-title":"Environmental Toxicology and Pharmacology","DOI":"10.1016/j.etap.2023.104252","ISSN":"1382-6689","journalAbbreviation":"Environmental Toxicology and Pharmacology","page":"104252","source":"ScienceDirect","title":"Effects of glyphosate-based herbicides and glyphosate exposure on sex hormones and the reproductive system: From epidemiological evidence to mechanistic insights","title-short":"Effects of glyphosate-based herbicides and glyphosate exposure on sex hormones and the reproductive system","volume":"102","author":[{"family":"Tajai","given":"Preechaya"},{"family":"Pruksakorn","given":"Dumnoensun"},{"family":"Chattipakorn","given":"Siriporn C."},{"family":"Chattipakorn","given":"Nipon"},{"family":"Shinlapawittayatorn","given":"Krekwit"}],"issued":{"date-parts":[["2023",9,1]]}}}],"schema":"https://github.com/citation-style-language/schema/raw/master/csl-citation.json"} </w:instrText>
      </w:r>
      <w:r w:rsidR="00A60316">
        <w:fldChar w:fldCharType="separate"/>
      </w:r>
      <w:r w:rsidR="00770E2E" w:rsidRPr="00770E2E">
        <w:t>(</w:t>
      </w:r>
      <w:proofErr w:type="spellStart"/>
      <w:r w:rsidR="00770E2E" w:rsidRPr="00770E2E">
        <w:t>Soni</w:t>
      </w:r>
      <w:proofErr w:type="spellEnd"/>
      <w:r w:rsidR="00770E2E" w:rsidRPr="00770E2E">
        <w:t xml:space="preserve"> et al., 2025; Tajai et al., 2023)</w:t>
      </w:r>
      <w:r w:rsidR="00A60316">
        <w:fldChar w:fldCharType="end"/>
      </w:r>
      <w:r>
        <w:t>.</w:t>
      </w:r>
    </w:p>
    <w:p w:rsidR="005D4314" w:rsidRDefault="005D4314" w:rsidP="005D4314">
      <w:pPr>
        <w:pStyle w:val="NormalWeb"/>
      </w:pPr>
      <w:r>
        <w:t xml:space="preserve">Epigenetic reprogramming during development has emerged as a key mechanism linking early-life environmental exposures to long-term disease risk. Agrochemicals have been shown to </w:t>
      </w:r>
      <w:r>
        <w:lastRenderedPageBreak/>
        <w:t>influence DNA methylation patterns, histone modifications, and non-coding RNA expression, leading to persistent changes in gene regulation without altering the underlying DNA sequence. Such epigenetic alterations can affect pathways involved in cell cycle control, apoptosis, and immune surveillance, potentially predisposing exposed children to cancer later in life</w:t>
      </w:r>
      <w:r w:rsidR="00A60316">
        <w:fldChar w:fldCharType="begin"/>
      </w:r>
      <w:r w:rsidR="00770E2E">
        <w:instrText xml:space="preserve"> ADDIN ZOTERO_ITEM CSL_CITATION {"citationID":"3znt3E1b","properties":{"formattedCitation":"(Mija\\uc0\\u269{} et al., 2024)","plainCitation":"(Mijač et al., 2024)","noteIndex":0},"citationItems":[{"id":13404,"uris":["http://zotero.org/users/16652950/items/CVGNDH8D"],"itemData":{"id":13404,"type":"article-journal","abstract":"Allergic diseases are one of the most common chronic conditions and their prevalence is on the rise. Environmental exposure, primarily prenatal and ea...","container-title":"Medicina","DOI":"10.3390/medicina60010110","ISSN":"1648-9144","issue":"1","language":"en","license":"http://creativecommons.org/licenses/by/3.0/","note":"Company: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Effects of Environmental Exposure on Epigenetic Modifications in Allergic Diseases","URL":"https://www.mdpi.com/1648-9144/60/1/110","volume":"60","author":[{"family":"Mijač","given":"Sandra"},{"family":"Banić","given":"Ivana"},{"family":"Genc","given":"Ana-Marija"},{"family":"Lipej","given":"Marcel"},{"family":"Turkalj","given":"Mirjana"},{"family":"Mijač","given":"Sandra"},{"family":"Banić","given":"Ivana"},{"family":"Genc","given":"Ana-Marija"},{"family":"Lipej","given":"Marcel"},{"family":"Turkalj","given":"Mirjana"}],"accessed":{"date-parts":[["2026",1,15]]},"issued":{"date-parts":[["2024",1,6]]}}}],"schema":"https://github.com/citation-style-language/schema/raw/master/csl-citation.json"} </w:instrText>
      </w:r>
      <w:r w:rsidR="00A60316">
        <w:fldChar w:fldCharType="separate"/>
      </w:r>
      <w:r w:rsidR="00770E2E" w:rsidRPr="00770E2E">
        <w:t>(</w:t>
      </w:r>
      <w:proofErr w:type="spellStart"/>
      <w:r w:rsidR="00770E2E" w:rsidRPr="00770E2E">
        <w:t>Mijač</w:t>
      </w:r>
      <w:proofErr w:type="spellEnd"/>
      <w:r w:rsidR="00770E2E" w:rsidRPr="00770E2E">
        <w:t xml:space="preserve"> et al., 2024)</w:t>
      </w:r>
      <w:r w:rsidR="00A60316">
        <w:fldChar w:fldCharType="end"/>
      </w:r>
      <w:r>
        <w:t>.</w:t>
      </w:r>
    </w:p>
    <w:p w:rsidR="005D4314" w:rsidRDefault="005D4314" w:rsidP="005D4314">
      <w:pPr>
        <w:pStyle w:val="NormalWeb"/>
      </w:pPr>
      <w:r>
        <w:t xml:space="preserve">Immune dysregulation represents a further plausible pathway, particularly in relation to hematologic malignancies. Early-life exposure to </w:t>
      </w:r>
      <w:proofErr w:type="spellStart"/>
      <w:r>
        <w:t>immunotoxic</w:t>
      </w:r>
      <w:proofErr w:type="spellEnd"/>
      <w:r>
        <w:t xml:space="preserve"> agrochemicals may impair immune system maturation, disrupt cytokine signaling, and alter the balance between immune tolerance and surveillance. These changes can reduce the capacity to eliminate pre-malignant cells and facilitate the clonal expansion of transformed cells</w:t>
      </w:r>
      <w:r w:rsidR="00A60316">
        <w:fldChar w:fldCharType="begin"/>
      </w:r>
      <w:r w:rsidR="00770E2E">
        <w:instrText xml:space="preserve"> ADDIN ZOTERO_ITEM CSL_CITATION {"citationID":"qmCiejnK","properties":{"formattedCitation":"(Jurkowska, 2024)","plainCitation":"(Jurkowska, 2024)","noteIndex":0},"citationItems":[{"id":13406,"uris":["http://zotero.org/users/16652950/items/W2XQRCK4"],"itemData":{"id":13406,"type":"article-journal","abstract":"Epigenetic modifications are chemical groups in our DNA (and chromatin) that determine which genes are active and which are shut off. Importantly, they integrate environmental signals to direct cellular function. Upon chronic environmental exposures, the epigenetic signature of lung cells gets altered, triggering aberrant gene expression programs that can lead to the development of chronic lung diseases. In addition to driving disease, epigenetic marks can serve as attractive lung disease biomarkers, due to early onset, disease specificity, and stability, warranting the need for more epigenetic research in the lung field. Despite substantial progress in mapping epigenetic alterations (mostly DNA methylation) in chronic lung diseases, the molecular mechanisms leading to their establishment are largely unknown. This review is meant as a guide for clinicians and lung researchers interested in epigenetic regulation with a focus on DNA methylation. It provides a short introduction to the main epigenetic mechanisms (DNA methylation, histone modifications and non-coding RNA) and the machinery responsible for their establishment and removal. It presents examples of epigenetic dysregulation across a spectrum of chronic lung diseases and discusses the current state of epigenetic therapies. Finally, it introduces the concept of epigenetic editing, an exciting novel approach to dissecting the functional role of epigenetic modifications. The promise of this emerging technology for the functional study of epigenetic mechanisms in cells and its potential future use in the clinic is further discussed.","container-title":"Pharmacology &amp; Therapeutics","DOI":"10.1016/j.pharmthera.2024.108732","ISSN":"0163-7258","journalAbbreviation":"Pharmacology &amp; Therapeutics","page":"108732","source":"ScienceDirect","title":"Role of epigenetic mechanisms in the pathogenesis of chronic respiratory diseases and response to inhaled exposures: From basic concepts to clinical applications","title-short":"Role of epigenetic mechanisms in the pathogenesis of chronic respiratory diseases and response to inhaled exposures","volume":"264","author":[{"family":"Jurkowska","given":"Renata Z."}],"issued":{"date-parts":[["2024",12,1]]}}}],"schema":"https://github.com/citation-style-language/schema/raw/master/csl-citation.json"} </w:instrText>
      </w:r>
      <w:r w:rsidR="00A60316">
        <w:fldChar w:fldCharType="separate"/>
      </w:r>
      <w:r w:rsidR="00770E2E" w:rsidRPr="00770E2E">
        <w:t>(</w:t>
      </w:r>
      <w:proofErr w:type="spellStart"/>
      <w:r w:rsidR="00770E2E" w:rsidRPr="00770E2E">
        <w:t>Jurkowska</w:t>
      </w:r>
      <w:proofErr w:type="spellEnd"/>
      <w:r w:rsidR="00770E2E" w:rsidRPr="00770E2E">
        <w:t>, 2024)</w:t>
      </w:r>
      <w:r w:rsidR="00A60316">
        <w:fldChar w:fldCharType="end"/>
      </w:r>
      <w:r>
        <w:t>. Taken together, these mechanistic insights provide a coherent biological foundation supporting the observed associations between early-life agrochemical exposure and pediatric cancer risk and underscore the importance of integrating mechanistic evidence into epidemiologic and predictive modeling frameworks.</w:t>
      </w:r>
    </w:p>
    <w:p w:rsidR="005D4314" w:rsidRDefault="005D4314" w:rsidP="005D4314">
      <w:pPr>
        <w:pStyle w:val="Heading3"/>
      </w:pPr>
      <w:r>
        <w:t>9. Methodological Challenges and Research Gaps</w:t>
      </w:r>
    </w:p>
    <w:p w:rsidR="005D4314" w:rsidRDefault="005D4314" w:rsidP="005D4314">
      <w:pPr>
        <w:pStyle w:val="NormalWeb"/>
      </w:pPr>
      <w:r>
        <w:t xml:space="preserve">Despite considerable advances in understanding the relationship between early-life agrochemical exposure and pediatric cancer risk, several methodological challenges limit the precision, interpretability, and generalizability of existing evidence. A primary concern is </w:t>
      </w:r>
      <w:r>
        <w:rPr>
          <w:rStyle w:val="Strong"/>
          <w:rFonts w:eastAsiaTheme="majorEastAsia"/>
        </w:rPr>
        <w:t>exposure misclassification</w:t>
      </w:r>
      <w:r>
        <w:t>, which arises from reliance on self-reported pesticide use, indirect occupational proxies, or static residential addresses. Children in agricultural families may experience highly dynamic exposure profiles due to seasonal application cycles, parental occupational mobility, and household practices, making accurate reconstruction of individual exposure trajectories challenging. Residential mobility further compounds this issue, as changes in home location during critical prenatal or early postnatal periods may not be adequately captured, potentially diluting observed associations</w:t>
      </w:r>
      <w:r w:rsidR="00A60316">
        <w:fldChar w:fldCharType="begin"/>
      </w:r>
      <w:r w:rsidR="00CD2CA2">
        <w:instrText xml:space="preserve"> ADDIN ZOTERO_ITEM CSL_CITATION {"citationID":"tm3HFRqX","properties":{"formattedCitation":"(Karalexi et al., 2021b)","plainCitation":"(Karalexi et al., 2021b)","noteIndex":0},"citationItems":[{"id":13409,"uris":["http://zotero.org/users/16652950/items/84MD7435"],"itemData":{"id":13409,"type":"article-journal","abstract":"Despite the abundance of epidemiological evidence concerning the association between pesticide exposure and adverse health outcomes including acute childhood leukemia (AL), evidence remains inconclusive, and is inherently limited by heterogeneous exposure assessment and multiple statistical testing. We performed a literature search of peer-reviewed studies, published until January 2021, without language restrictions. Summary odds ratios (OR) and 95% confidence intervals (CI) were derived from stratified random-effects meta-analyses by type of exposure and outcome, exposed populations and window of exposure to address the large heterogeneity of existing literature. Heterogeneity and small-study effects were also assessed. We identified 55 eligible studies (n = 48 case-control and n = 7 cohorts) from over 30 countries assessing &gt;200 different exposures of pesticides (n = 160,924 participants). The summary OR for maternal environmental exposure to pesticides (broad term) during pregnancy and AL was 1.88 (95%CI: 1.15-3.08), reaching 2.51 for acute lymphoblastic leukemia (ALL; 95%CI: 1.39-4.55). Analysis by pesticide subtype yielded an increased risk for maternal herbicide (OR: 1.41, 95%CI: 1.00-1.99) and insecticide (OR: 1.60, 95%CI: 1.11-2.29) exposure during pregnancy and AL without heterogeneity (p = 0.12-0.34). Meta-analyses of infant leukemia were only feasible for maternal exposure to pesticides during pregnancy. Higher magnitude risks were observed for maternal pesticide exposure and infant ALL (OR: 2.18, 95%CI: 1.44-3.29), and the highest for infant acute myeloid leukemia (OR: 3.42, 95%CI: 1.98-5.91). Overall, the associations were stronger for maternal exposure during pregnancy compared to childhood exposure. For occupational or mixed exposures, parental, and specifically paternal, pesticide exposure was significantly associated with increased risk of AL (ORparental: 1.75, 95%CI: 1.08-2.85; ORpaternal: 1.20, 95%CI: 1.07-1.35). The epidemiological evidence, supported by mechanistic studies, suggests that pesticide exposure, mainly during pregnancy, increases the risk of childhood leukemia, particularly among infants. Sufficiently powered studies using repeated biomarker analyses are needed to confirm whether there is public health merit in reducing prenatal pesticide exposure.","container-title":"Environmental Pollution (Barking, Essex: 1987)","DOI":"10.1016/j.envpol.2021.117376","ISSN":"1873-6424","journalAbbreviation":"Environ Pollut","language":"eng","note":"PMID: 34380208","page":"117376","source":"PubMed","title":"Exposure to pesticides and childhood leukemia risk: A systematic review and meta-analysis","title-short":"Exposure to pesticides and childhood leukemia risk","volume":"285","author":[{"family":"Karalexi","given":"Maria A."},{"family":"Tagkas","given":"Christos F."},{"family":"Markozannes","given":"Georgios"},{"family":"Tseretopoulou","given":"Xanthippi"},{"family":"Hernández","given":"Antonio F."},{"family":"Schüz","given":"Joachim"},{"family":"Halldorsson","given":"Thorhallur I."},{"family":"Psaltopoulou","given":"Theodora"},{"family":"Petridou","given":"Eleni Th"},{"family":"Tzoulaki","given":"Ioanna"},{"family":"Ntzani","given":"Evangelia E."}],"issued":{"date-parts":[["2021",9,15]]}}}],"schema":"https://github.com/citation-style-language/schema/raw/master/csl-citation.json"} </w:instrText>
      </w:r>
      <w:r w:rsidR="00A60316">
        <w:fldChar w:fldCharType="separate"/>
      </w:r>
      <w:r w:rsidR="00CD2CA2" w:rsidRPr="00CD2CA2">
        <w:t>(</w:t>
      </w:r>
      <w:proofErr w:type="spellStart"/>
      <w:r w:rsidR="00CD2CA2" w:rsidRPr="00CD2CA2">
        <w:t>Karalexi</w:t>
      </w:r>
      <w:proofErr w:type="spellEnd"/>
      <w:r w:rsidR="00CD2CA2" w:rsidRPr="00CD2CA2">
        <w:t xml:space="preserve"> et al., 2021b)</w:t>
      </w:r>
      <w:r w:rsidR="00A60316">
        <w:fldChar w:fldCharType="end"/>
      </w:r>
      <w:r>
        <w:t>.</w:t>
      </w:r>
    </w:p>
    <w:p w:rsidR="005D4314" w:rsidRDefault="005D4314" w:rsidP="005D4314">
      <w:pPr>
        <w:pStyle w:val="NormalWeb"/>
      </w:pPr>
      <w:r>
        <w:t xml:space="preserve">Another persistent gap is the </w:t>
      </w:r>
      <w:r>
        <w:rPr>
          <w:rStyle w:val="Strong"/>
          <w:rFonts w:eastAsiaTheme="majorEastAsia"/>
        </w:rPr>
        <w:t>assessment of chemical mixtures and cumulative risk</w:t>
      </w:r>
      <w:r>
        <w:t>. Most epidemiologic studies focus on single chemicals or broad classes, ignoring the complex reality of simultaneous exposure to multiple agrochemicals. Interactions among chemicals may produce synergistic or antagonistic effects, and cumulative exposure over time may be more relevant to carcinogenesis than isolated events. Current predictive models often struggle to incorporate high-dimensional mixture data in a way that is biologically meaningful and interpretable</w:t>
      </w:r>
      <w:r w:rsidR="00A60316">
        <w:fldChar w:fldCharType="begin"/>
      </w:r>
      <w:r w:rsidR="00CD2CA2">
        <w:instrText xml:space="preserve"> ADDIN ZOTERO_ITEM CSL_CITATION {"citationID":"lDPZEBUW","properties":{"formattedCitation":"(Sch\\uc0\\u228{}fer et al., 2023)","plainCitation":"(Schäfer et al., 2023)","noteIndex":0},"citationItems":[{"id":13413,"uris":["http://zotero.org/users/16652950/items/5E69JT9L"],"itemData":{"id":13413,"type":"article-journal","abstract":"Ecosystems are strongly influenced by multiple anthropogenic stressors, including a wide range of chemicals and their mixtures. Studies on the effects of multiple stressors have largely focussed on nonchemical stressors, whereas studies on chemical mixtures have largely ignored other stressors. However, both research areas face similar challenges and require similar tools and methods to predict the joint effects of chemicals or nonchemical stressors, and frameworks to integrate multiple chemical and nonchemical stressors are missing. We provide an overview of the research paradigms, tools, and methods commonly used in multiple stressor and chemical mixture research and discuss potential domains of cross-fertilization and joint challenges. First, we compare the general paradigms of ecotoxicology and (applied) ecology to explain the historical divide. Subsequently, we compare methods and approaches for the identification of interactions, stressor characterization, and designing experiments. We suggest that both multiple stressor and chemical mixture research are too focused on interactions and would benefit from integration regarding null model selection. Stressor characterization is typically more costly for chemical mixtures. While for chemical mixtures comprehensive classification systems at suborganismal level have been developed, recent classification systems for multiple stressors account for environmental context. Both research areas suffer from rather simplified experimental designs that focus on only a limited number of stressors, chemicals, and treatments. We discuss concepts that can guide more realistic designs capturing spatiotemporal stressor dynamics. We suggest that process-based and data-driven models are particularly promising to tackle the challenge of prediction of effects of chemical mixtures and nonchemical stressors on (meta-)communities and (meta-)food webs. We propose a framework to integrate the assessment of effects for multiple stressors and chemical mixtures. Environ Toxicol Chem 2023;42:1915–1936. © 2023 The Authors. Environmental Toxicology and Chemistry published by Wiley Periodicals LLC on behalf of SETAC.","container-title":"Environmental Toxicology and Chemistry","DOI":"10.1002/etc.5629","ISSN":"1552-8618","issue":"9","language":"en","license":"© 2023 The Authors. Environmental Toxicology and Chemistry published by Wiley Periodicals LLC on behalf of SETAC.","note":"_eprint: https://onlinelibrary.wiley.com/doi/pdf/10.1002/etc.5629","page":"1915-1936","source":"Wiley Online Library","title":"Chemical Mixtures and Multiple Stressors: Same but Different?","title-short":"Chemical Mixtures and Multiple Stressors","volume":"42","author":[{"family":"Schäfer","given":"Ralf B."},{"family":"Jackson","given":"Michelle"},{"family":"Juvigny-Khenafou","given":"Noel"},{"family":"Osakpolor","given":"Stephen E."},{"family":"Posthuma","given":"Leo"},{"family":"Schneeweiss","given":"Anke"},{"family":"Spaak","given":"Jürg"},{"family":"Vinebrooke","given":"Rolf"}],"issued":{"date-parts":[["2023"]]}}}],"schema":"https://github.com/citation-style-language/schema/raw/master/csl-citation.json"} </w:instrText>
      </w:r>
      <w:r w:rsidR="00A60316">
        <w:fldChar w:fldCharType="separate"/>
      </w:r>
      <w:r w:rsidR="00CD2CA2" w:rsidRPr="00CD2CA2">
        <w:t>(Schäfer et al., 2023)</w:t>
      </w:r>
      <w:r w:rsidR="00A60316">
        <w:fldChar w:fldCharType="end"/>
      </w:r>
      <w:r>
        <w:t>.</w:t>
      </w:r>
    </w:p>
    <w:p w:rsidR="005D4314" w:rsidRDefault="005D4314" w:rsidP="005D4314">
      <w:pPr>
        <w:pStyle w:val="NormalWeb"/>
      </w:pPr>
      <w:r>
        <w:t xml:space="preserve">A third limitation is the </w:t>
      </w:r>
      <w:r>
        <w:rPr>
          <w:rStyle w:val="Strong"/>
          <w:rFonts w:eastAsiaTheme="majorEastAsia"/>
        </w:rPr>
        <w:t>scarcity of longitudinal and biomarker-validated studies</w:t>
      </w:r>
      <w:r>
        <w:t xml:space="preserve">. Prospective cohorts that follow children from in utero through early childhood with repeated exposure measurement are rare, and few studies integrate biomonitoring data, such as maternal or cord blood pesticide metabolites, which could improve exposure accuracy. Without such validation, estimates derived from modeled or proxy measures remain vulnerable to misclassification and reduced inferential </w:t>
      </w:r>
      <w:proofErr w:type="spellStart"/>
      <w:r>
        <w:t>powe</w:t>
      </w:r>
      <w:proofErr w:type="spellEnd"/>
      <w:r w:rsidR="00A60316">
        <w:fldChar w:fldCharType="begin"/>
      </w:r>
      <w:r w:rsidR="00CD2CA2">
        <w:instrText xml:space="preserve"> ADDIN ZOTERO_ITEM CSL_CITATION {"citationID":"QtzIbBXX","properties":{"formattedCitation":"(L\\uc0\\u243{}pez-Flores et al., 2025)","plainCitation":"(López-Flores et al., 2025)","noteIndex":0},"citationItems":[{"id":13411,"uris":["http://zotero.org/users/16652950/items/NYP2VI4W"],"itemData":{"id":13411,"type":"article-journal","abstract":"Early developmental exposure to organophosphate (OP) pesticides has been linked to adverse health effects, though the underlying molecular pathways remain unclear. This study examined urinary metabolomic profiles of 387 pregnant women in their first and third trimesters using UPLC-MS/MS to identify metabolic disruptions associated with OPs exposure measured via dialkyl phosphate (DAPs) metabolites, including total, methyl and ethyl forms. Multiple linear regression models, adjusted for covariates and corrected for multiple comparisons revealed that first trimester OP exposure was significantly associated with 4-pyridoxic acid, a vitamin B6 metabolite. In the third trimester, OP exposure was linked to metabolites related to amino acid metabolism, synaptic function, cytochrome P450-mediated detoxification, cancer and immune pathways. These findings suggest that OP exposure may disrupt maternal metabolic processes during pregnancy, potentially affecting foetal development. This study highlights potential targets for future hypothesis-driven studies and potential interventions to mitigate OP pesticide exposure during pregnancy.","container-title":"Environmental Toxicology and Pharmacology","DOI":"10.1016/j.etap.2025.104793","ISSN":"1382-6689","journalAbbreviation":"Environmental Toxicology and Pharmacology","page":"104793","source":"ScienceDirect","title":"Gestational exposure to organophosphate pesticides and maternal urine metabolomic profile in the GENEIDA birth cohort","volume":"118","author":[{"family":"López-Flores","given":"Inmaculada"},{"family":"González-Alzaga","given":"Beatriz"},{"family":"Romero-Molina","given":"Desirée"},{"family":"Hernández","given":"Antonio F."},{"family":"Pérez-Luzardo","given":"Octavio"},{"family":"Acosta-Dacal","given":"Andrea"},{"family":"Macías-Montes","given":"Ana"},{"family":"Henríquez-Hernández","given":"Luis A."},{"family":"Boada","given":"Luis D."},{"family":"Pelegrí","given":"Dolors"},{"family":"González","given":"Juan R."},{"family":"Lacasaña","given":"Marina"}],"issued":{"date-parts":[["2025",9,1]]}}}],"schema":"https://github.com/citation-style-language/schema/raw/master/csl-citation.json"} </w:instrText>
      </w:r>
      <w:r w:rsidR="00A60316">
        <w:fldChar w:fldCharType="separate"/>
      </w:r>
      <w:r w:rsidR="00CD2CA2" w:rsidRPr="00CD2CA2">
        <w:t>(López-Flores et al., 2025)</w:t>
      </w:r>
      <w:r w:rsidR="00A60316">
        <w:fldChar w:fldCharType="end"/>
      </w:r>
      <w:r>
        <w:t>r.</w:t>
      </w:r>
    </w:p>
    <w:p w:rsidR="005D4314" w:rsidRDefault="005D4314" w:rsidP="005D4314">
      <w:pPr>
        <w:pStyle w:val="NormalWeb"/>
      </w:pPr>
      <w:r>
        <w:t xml:space="preserve">Finally, there is a notable </w:t>
      </w:r>
      <w:r>
        <w:rPr>
          <w:rStyle w:val="Strong"/>
          <w:rFonts w:eastAsiaTheme="majorEastAsia"/>
        </w:rPr>
        <w:t>underrepresentation of mechanistic integration in predictive models</w:t>
      </w:r>
      <w:r>
        <w:t xml:space="preserve">. While statistical and machine learning models can identify patterns and associations, </w:t>
      </w:r>
      <w:r>
        <w:lastRenderedPageBreak/>
        <w:t>they rarely incorporate mechanistic or toxicological evidence, such as pathways of genotoxicity, endocrine disruption, or immune dysregulation. The absence of mechanistic constraints limits the models’ ability to distinguish causal signals from spurious correlations, reduces interpretability, and constrains translation into actionable prevention strategies</w:t>
      </w:r>
      <w:r w:rsidR="00A60316">
        <w:fldChar w:fldCharType="begin"/>
      </w:r>
      <w:r w:rsidR="00CD2CA2">
        <w:instrText xml:space="preserve"> ADDIN ZOTERO_ITEM CSL_CITATION {"citationID":"kN00x95s","properties":{"formattedCitation":"(Deepika et al., 2025)","plainCitation":"(Deepika et al., 2025)","noteIndex":0},"citationItems":[{"id":13417,"uris":["http://zotero.org/users/16652950/items/2X28EUFH"],"itemData":{"id":13417,"type":"article-journal","abstract":"New Approach Methodologies (NAMs) hold great potential to fill data gaps for chemicals and modernisation of chemical risk assessment practices. Current toxicity testing is based on conventional approaches with high reliability on in-vivo studies, but with time, regulators are trying to move towards in-vitro and in silico tools enabling efficient risk assessment strategies. Herein, we discuss about different emerging techniques which are or can become a NAM including both in-vitro and in silico models with particular focus on reducing animal studies and improving decision-making for hazard and exposure assessment. We also discussed about the way to strengthen the regulatory and public confidence in different NAMs and automation of these approaches. Some of these NAMs can help in identifying biochemical mechanisms for toxicity, calculate the point of departure (PoD), develop adverse outcome pathways (AOP), translate risk to multiple species and quantify uncertainty from predictions for multiple chemicals. Scientists and regulators can work together to frame robust guidelines for the practical application of these tools and ensure reproducible results., \nFlowchart illustrating risk assessment through various processes. Human biomonitoring, in-vitro cell lines, docking, and OMICS data are components feeding into data harmonization at the center. Predictive modeling outputs to risk assessment at the bottom. Arrows indicate data flow between elements.","container-title":"Frontiers in Toxicology","DOI":"10.3389/ftox.2025.1632941","ISSN":"2673-3080","journalAbbreviation":"Front Toxicol","note":"PMID: 41127258\nPMCID: PMC12537679","page":"1632941","source":"PubMed Central","title":"Advancing human health risk assessment: the role of new approach methodologies","title-short":"Advancing human health risk assessment","volume":"7","author":[{"family":"Deepika","given":"Deepika"},{"family":"Bharti","given":"Kanchan"},{"family":"Sharma","given":"Shubh"},{"family":"Kumar","given":"Saurav"},{"family":"Pathak","given":"Rajesh Kumar"},{"family":"Biosca Brull","given":"Judit"},{"family":"Sabuz","given":"Oscar"},{"family":"García Vilana","given":"Silvia"},{"family":"Kumar","given":"Vikas"}],"issued":{"date-parts":[["2025",10,7]]}}}],"schema":"https://github.com/citation-style-language/schema/raw/master/csl-citation.json"} </w:instrText>
      </w:r>
      <w:r w:rsidR="00A60316">
        <w:fldChar w:fldCharType="separate"/>
      </w:r>
      <w:r w:rsidR="00CD2CA2" w:rsidRPr="00CD2CA2">
        <w:t>(Deepika et al., 2025)</w:t>
      </w:r>
      <w:r w:rsidR="00A60316">
        <w:fldChar w:fldCharType="end"/>
      </w:r>
      <w:r>
        <w:t>.</w:t>
      </w:r>
    </w:p>
    <w:p w:rsidR="005D4314" w:rsidRDefault="005D4314" w:rsidP="005D4314">
      <w:pPr>
        <w:pStyle w:val="NormalWeb"/>
      </w:pPr>
      <w:r>
        <w:t>Addressing these gaps requires the development of integrative, multi-level study designs that combine longitudinal data, high-resolution exposure assessment, mixture analysis, biomarker validation, and mechanistic insights. Such approaches will enhance both the accuracy of exposure–disease modeling and the relevance of findings for public health intervention in agricultural populations.</w:t>
      </w:r>
    </w:p>
    <w:p w:rsidR="005D4314" w:rsidRDefault="005D4314" w:rsidP="005D4314">
      <w:pPr>
        <w:pStyle w:val="Heading3"/>
      </w:pPr>
      <w:r>
        <w:t>10. Implications for Public Health, Policy, and Prevention</w:t>
      </w:r>
    </w:p>
    <w:p w:rsidR="005D4314" w:rsidRDefault="005D4314" w:rsidP="005D4314">
      <w:pPr>
        <w:pStyle w:val="NormalWeb"/>
      </w:pPr>
      <w:r>
        <w:t xml:space="preserve">The growing body of evidence linking early-life agrochemical exposure to pediatric cancer underscores important implications for public health, regulatory policy, and preventive interventions. Predictive and spatial modeling approaches provide powerful tools for </w:t>
      </w:r>
      <w:r>
        <w:rPr>
          <w:rStyle w:val="Strong"/>
          <w:rFonts w:eastAsiaTheme="majorEastAsia"/>
        </w:rPr>
        <w:t>early risk stratification</w:t>
      </w:r>
      <w:r>
        <w:t>, enabling the identification of high-exposure households and communities where children may be most vulnerable. By integrating exposure estimates with demographic and environmental data, these models can inform targeted surveillance, early screening programs, and tailored educational initiatives for farming families, thereby mitigating risk before disease onset</w:t>
      </w:r>
      <w:r w:rsidR="00A60316">
        <w:fldChar w:fldCharType="begin"/>
      </w:r>
      <w:r w:rsidR="00CD2CA2">
        <w:instrText xml:space="preserve"> ADDIN ZOTERO_ITEM CSL_CITATION {"citationID":"t6rO9y1Q","properties":{"formattedCitation":"(Shakeel et al., 2025)","plainCitation":"(Shakeel et al., 2025)","noteIndex":0},"citationItems":[{"id":13420,"uris":["http://zotero.org/users/16652950/items/WJHDMMTD"],"itemData":{"id":13420,"type":"article-journal","abstract":"Simple SummaryThis communication reviews how environmental exposures to air pollution, tobacco smoke, extreme weather events, and pesticides can negat...","container-title":"Cancers","DOI":"10.3390/cancers17132223","ISSN":"2072-6694","issue":"13","language":"en","license":"http://creativecommons.org/licenses/by/3.0/","note":"Company: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Exposures Increase Health Risks in Childhood Cancer Survivors","URL":"https://www.mdpi.com/2072-6694/17/13/2223","volume":"17","author":[{"family":"Shakeel","given":"Omar"},{"family":"Wood","given":"Nicole M."},{"family":"Thompson","given":"Hannah M."},{"family":"Scheurer","given":"Michael E."},{"family":"Miller","given":"Mark D."},{"family":"Shakeel","given":"Omar"},{"family":"Wood","given":"Nicole M."},{"family":"Thompson","given":"Hannah M."},{"family":"Scheurer","given":"Michael E."},{"family":"Miller","given":"Mark D."}],"accessed":{"date-parts":[["2026",1,15]]},"issued":{"date-parts":[["2025",7,1]]}}}],"schema":"https://github.com/citation-style-language/schema/raw/master/csl-citation.json"} </w:instrText>
      </w:r>
      <w:r w:rsidR="00A60316">
        <w:fldChar w:fldCharType="separate"/>
      </w:r>
      <w:r w:rsidR="00CD2CA2" w:rsidRPr="00CD2CA2">
        <w:t>(Shakeel et al., 2025)</w:t>
      </w:r>
      <w:r w:rsidR="00A60316">
        <w:fldChar w:fldCharType="end"/>
      </w:r>
      <w:r>
        <w:t>.</w:t>
      </w:r>
    </w:p>
    <w:p w:rsidR="005D4314" w:rsidRDefault="005D4314" w:rsidP="005D4314">
      <w:pPr>
        <w:pStyle w:val="NormalWeb"/>
      </w:pPr>
      <w:r>
        <w:t xml:space="preserve">From a regulatory perspective, findings highlight the need to </w:t>
      </w:r>
      <w:r>
        <w:rPr>
          <w:rStyle w:val="Strong"/>
          <w:rFonts w:eastAsiaTheme="majorEastAsia"/>
        </w:rPr>
        <w:t>reconsider pesticide application practices near residential areas</w:t>
      </w:r>
      <w:r>
        <w:t>. Current guidelines may not fully account for the unique vulnerabilities of developing children or the cumulative effects of chronic low-dose exposure. Policies that limit drift, enforce buffer zones, and monitor environmental residues can reduce inadvertent exposure and enhance the safety of agricultural communities.</w:t>
      </w:r>
    </w:p>
    <w:p w:rsidR="005D4314" w:rsidRDefault="005D4314" w:rsidP="005D4314">
      <w:pPr>
        <w:pStyle w:val="NormalWeb"/>
      </w:pPr>
      <w:r>
        <w:rPr>
          <w:rStyle w:val="Strong"/>
          <w:rFonts w:eastAsiaTheme="majorEastAsia"/>
        </w:rPr>
        <w:t>Occupational health protections for farming families</w:t>
      </w:r>
      <w:r>
        <w:t xml:space="preserve"> are also essential. Interventions such as personal protective equipment for pesticide applicators, safe handling training, decontamination protocols, and restrictions on take-home exposure can substantially reduce secondary exposure to children. These measures not only protect child health but also enhance the overall safety of the farm workforce</w:t>
      </w:r>
      <w:r w:rsidR="00A60316">
        <w:fldChar w:fldCharType="begin"/>
      </w:r>
      <w:r w:rsidR="00AF5059">
        <w:instrText xml:space="preserve"> ADDIN ZOTERO_ITEM CSL_CITATION {"citationID":"ANPj0rvk","properties":{"formattedCitation":"(Norvivor et al., 2025)","plainCitation":"(Norvivor et al., 2025)","noteIndex":0},"citationItems":[{"id":13424,"uris":["http://zotero.org/users/16652950/items/V3WJJYL7"],"itemData":{"id":13424,"type":"article-journal","abstract":"Introduction Occupational pesticide exposure poses significant health risks, particularly among smallholder farmers in developing countries like Ghana, where such exposures are common due to widespread subsistence agricultural activities. The Environmental Protection Agency (EPA) of Ghana is responsible for registering and monitoring pesticide use and regulating the presence of unregistered or banned products on the local market; however, this regulation is ineffective. Farmers frequently acquire pesticides directly from vendors who may not possess sufficient training, and the lack of stringent measures facilitates the accessibility of hazardous products. Furthermore, while regulations mandate safe handling and disposal practices, there are also possible oversights at the community level, leaving farmers largely dependent on their own knowledge, practices, or what they have learnt from other colleagues. This study explores the safety practices, perceived exposure levels, and awareness among rural farmers in the Hohoe municipality of Ghana. Methods A qualitative ethnographic approach was adopted, involving in-depth interviews with 13 purposively selected farmers with over five years of farming experience. Data was collected using semi-structured interviews guide informed by prior literature. Thematic analysis was conducted using ATLAS.ti version 25, with open and selective coding techniques. Results Four major themes emerged: knowledge and practices of pesticide use, health risks and exposure, safety practices, pesticide storage and disposal. Most farmers (approximately 10 out of 13) reported using Glyphosate as their primary herbicide, followed by Paraquat Dichloride and 2,4-D, relying on vendor recommendations for application methods. Common health complaints included eye and skin irritation, waist pain, and temporary vision loss. While some farmers used PPE like boots and gloves, many lacked complete protective gear, especially eye protection. Pesticide containers were often stored at home or discarded on farms or by burning, indicating poor disposal practices. Awareness of pesticide expiry dates and proper dosage was inconsistent. Conclusion The study reveals substantial gaps in pesticide safety knowledge and practices among rural farmers, posing significant public health risks. Targeted interventions, including regular training on safe pesticide handling, PPE use, and environmentally sound disposal methods, are critical to reducing occupational exposure and its associated health burdens.","container-title":"PLOS ONE","DOI":"10.1371/journal.pone.0337693","ISSN":"1932-6203","issue":"12","journalAbbreviation":"PLOS ONE","language":"en","note":"publisher: Public Library of Science","page":"e0337693","source":"PLoS Journals","title":"Occupational pesticide exposure and safety assessment among farmers in Hohoe municipality: An ethnographic qualitative study","title-short":"Occupational pesticide exposure and safety assessment among farmers in Hohoe municipality","volume":"20","author":[{"family":"Norvivor","given":"Forgive Awo"},{"family":"Peprah","given":"Elijah Kwasi"},{"family":"Danso","given":"Doreen"},{"family":"Konutse","given":"Obed Woani"}],"issued":{"date-parts":[["2025",12,2]]}}}],"schema":"https://github.com/citation-style-language/schema/raw/master/csl-citation.json"} </w:instrText>
      </w:r>
      <w:r w:rsidR="00A60316">
        <w:fldChar w:fldCharType="separate"/>
      </w:r>
      <w:r w:rsidR="00AF5059" w:rsidRPr="00AF5059">
        <w:t>(</w:t>
      </w:r>
      <w:proofErr w:type="spellStart"/>
      <w:r w:rsidR="00AF5059" w:rsidRPr="00AF5059">
        <w:t>Norvivor</w:t>
      </w:r>
      <w:proofErr w:type="spellEnd"/>
      <w:r w:rsidR="00AF5059" w:rsidRPr="00AF5059">
        <w:t xml:space="preserve"> et al., 2025)</w:t>
      </w:r>
      <w:r w:rsidR="00A60316">
        <w:fldChar w:fldCharType="end"/>
      </w:r>
      <w:r>
        <w:t>.</w:t>
      </w:r>
    </w:p>
    <w:p w:rsidR="005D4314" w:rsidRDefault="005D4314" w:rsidP="005D4314">
      <w:pPr>
        <w:pStyle w:val="NormalWeb"/>
      </w:pPr>
      <w:r>
        <w:t xml:space="preserve">Finally, these issues intersect with broader </w:t>
      </w:r>
      <w:r>
        <w:rPr>
          <w:rStyle w:val="Strong"/>
          <w:rFonts w:eastAsiaTheme="majorEastAsia"/>
        </w:rPr>
        <w:t>environmental justice considerations</w:t>
      </w:r>
      <w:r>
        <w:t>. Children in agricultural households, often residing in rural and socioeconomically disadvantaged areas, face disproportionate exposure to hazardous chemicals, reflecting structural inequities in environmental risk distribution. Integrating predictive modeling with equitable policy design can support more just allocation of resources, ensure community engagement in risk reduction strategies, and prioritize interventions for populations that have historically borne a disproportionate environmental burden.</w:t>
      </w:r>
    </w:p>
    <w:p w:rsidR="005D4314" w:rsidRDefault="005D4314" w:rsidP="005D4314">
      <w:pPr>
        <w:pStyle w:val="NormalWeb"/>
      </w:pPr>
      <w:r>
        <w:t>Together, these public health, regulatory, and equity-focused approaches emphasize that scientific evidence on early-life agrochemical exposure should inform not only research priorities but also practical strategies to prevent pediatric cancer in agricultural communities.</w:t>
      </w:r>
    </w:p>
    <w:p w:rsidR="005D4314" w:rsidRDefault="005D4314" w:rsidP="005D4314">
      <w:pPr>
        <w:pStyle w:val="Heading3"/>
      </w:pPr>
      <w:r>
        <w:lastRenderedPageBreak/>
        <w:t>11. Future Directions</w:t>
      </w:r>
    </w:p>
    <w:p w:rsidR="005D4314" w:rsidRDefault="005D4314" w:rsidP="005D4314">
      <w:pPr>
        <w:pStyle w:val="NormalWeb"/>
      </w:pPr>
      <w:r>
        <w:t xml:space="preserve">Advancing the understanding of early-life agrochemical exposure and pediatric cancer risk will require innovative, multidisciplinary approaches that integrate exposure science, epidemiology, and predictive modeling. A promising avenue is the </w:t>
      </w:r>
      <w:r>
        <w:rPr>
          <w:rStyle w:val="Strong"/>
          <w:rFonts w:eastAsiaTheme="majorEastAsia"/>
        </w:rPr>
        <w:t xml:space="preserve">integration of </w:t>
      </w:r>
      <w:proofErr w:type="spellStart"/>
      <w:r>
        <w:rPr>
          <w:rStyle w:val="Strong"/>
          <w:rFonts w:eastAsiaTheme="majorEastAsia"/>
        </w:rPr>
        <w:t>exposomics</w:t>
      </w:r>
      <w:proofErr w:type="spellEnd"/>
      <w:r>
        <w:rPr>
          <w:rStyle w:val="Strong"/>
          <w:rFonts w:eastAsiaTheme="majorEastAsia"/>
        </w:rPr>
        <w:t xml:space="preserve"> and biomonitoring</w:t>
      </w:r>
      <w:r>
        <w:t>, which allows for comprehensive characterization of chemical exposures across multiple pathways and time points. High-resolution measurement of metabolites, adducts, and other biomarkers can complement modeled exposures, improving accuracy and enabling more precise delineation of exposure–response relationships.</w:t>
      </w:r>
    </w:p>
    <w:p w:rsidR="005D4314" w:rsidRDefault="005D4314" w:rsidP="005D4314">
      <w:pPr>
        <w:pStyle w:val="NormalWeb"/>
      </w:pPr>
      <w:r>
        <w:t xml:space="preserve">The development of </w:t>
      </w:r>
      <w:r>
        <w:rPr>
          <w:rStyle w:val="Strong"/>
          <w:rFonts w:eastAsiaTheme="majorEastAsia"/>
        </w:rPr>
        <w:t>hybrid causal–predictive modeling frameworks</w:t>
      </w:r>
      <w:r>
        <w:t xml:space="preserve"> represents another critical frontier</w:t>
      </w:r>
      <w:r w:rsidR="00A60316">
        <w:fldChar w:fldCharType="begin"/>
      </w:r>
      <w:r w:rsidR="00CD2CA2">
        <w:instrText xml:space="preserve"> ADDIN ZOTERO_ITEM CSL_CITATION {"citationID":"gGyD9IFb","properties":{"formattedCitation":"(Enabulele et al., 2025)","plainCitation":"(Enabulele et al., 2025)","noteIndex":0},"citationItems":[{"id":9007,"uris":["http://zotero.org/users/16652950/items/LJFDFURG"],"itemData":{"id":9007,"type":"article-journal","abstract":"This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A60316">
        <w:fldChar w:fldCharType="separate"/>
      </w:r>
      <w:r w:rsidR="00CD2CA2" w:rsidRPr="00CD2CA2">
        <w:t>(</w:t>
      </w:r>
      <w:proofErr w:type="spellStart"/>
      <w:r w:rsidR="00CD2CA2" w:rsidRPr="00CD2CA2">
        <w:t>Enabulele</w:t>
      </w:r>
      <w:proofErr w:type="spellEnd"/>
      <w:r w:rsidR="00CD2CA2" w:rsidRPr="00CD2CA2">
        <w:t xml:space="preserve"> et al., 2025)</w:t>
      </w:r>
      <w:r w:rsidR="00A60316">
        <w:fldChar w:fldCharType="end"/>
      </w:r>
      <w:r>
        <w:t>. By combining machine learning–based predictive approaches with causal inference principles, researchers can better identify high-risk populations while preserving interpretability and mechanistic relevance. Such frameworks facilitate both robust risk prediction and etiologic understanding, supporting translation into evidence-informed interventions.</w:t>
      </w:r>
    </w:p>
    <w:p w:rsidR="005D4314" w:rsidRDefault="005D4314" w:rsidP="005D4314">
      <w:pPr>
        <w:pStyle w:val="NormalWeb"/>
      </w:pPr>
      <w:r>
        <w:t xml:space="preserve">Establishing </w:t>
      </w:r>
      <w:r>
        <w:rPr>
          <w:rStyle w:val="Strong"/>
          <w:rFonts w:eastAsiaTheme="majorEastAsia"/>
        </w:rPr>
        <w:t>prospective birth cohorts in agricultural settings</w:t>
      </w:r>
      <w:r>
        <w:t xml:space="preserve"> is essential to capture temporally resolved exposures and developmental windows of susceptibility. Longitudinal designs that follow children from prenatal stages through early childhood can generate high-quality data on exposure dynamics, health outcomes, and potential modifiers, providing a foundation for both mechanistic and predictive analyses</w:t>
      </w:r>
      <w:r w:rsidR="00A60316">
        <w:fldChar w:fldCharType="begin"/>
      </w:r>
      <w:r w:rsidR="00AF5059">
        <w:instrText xml:space="preserve"> ADDIN ZOTERO_ITEM CSL_CITATION {"citationID":"GKq6AHVg","properties":{"formattedCitation":"(Fiedler et al., 2025)","plainCitation":"(Fiedler et al., 2025)","noteIndex":0},"citationItems":[{"id":13426,"uris":["http://zotero.org/users/16652950/items/44FV7A7B"],"itemData":{"id":13426,"type":"article-journal","abstract":"Background\nOrganophosphates (OPs) are neurotoxicants used to control pests on crops (e.g., rice). Thai women farmworkers (</w:instrText>
      </w:r>
      <w:r w:rsidR="00AF5059">
        <w:rPr>
          <w:rFonts w:ascii="Cambria Math" w:hAnsi="Cambria Math" w:cs="Cambria Math"/>
        </w:rPr>
        <w:instrText>∼</w:instrText>
      </w:r>
      <w:r w:rsidR="00AF5059">
        <w:instrText xml:space="preserve">23%) may be exposed during childbearing years. Previous literature documents adverse neurodevelopmental effects of prenatal exposure to pesticides although findings are inconsistent.\nObjective\nWe evaluated the associations of prenatal OPs with measures of attention, memory, and information processing.\nMethods\nWe recruited 323 mother/infant pairs and analyzed maternal urine for OPs (∑DAPs) during each trimester of pregnancy. Infants completed computerized tests of visual habituation (VH) (attention), visual paired comparison (VPC) (recognition memory), and continuous performance (CFT) (information processing). Adjusted regression models associated maternal biomarkers with infant measures.\nResults\nWe did not find adverse effects of ∑DAPs associated with VH at 4 or 7 months. However, males in the highest relative to lowest tertile of 2nd trimester ∑DAPs did not exhibit the expected decline in speed of VH from 4 to 7 months. Overall ∑DAPs at 7 and 18 months were negatively associated with VPC for males and females with strongest associations for females. CFT trials to criterion were positively associated with ∑DAPs at 12 and 18 months particularly for males at 18 months, suggesting slower encoding. However, females achieved better performance on visual habituation and continuous familiarization associated with higher maternal ∑DAPs at 4 and 7 months, respectively. We also observed better performance for VPC among males and females at 12 months.\nDiscussion\nBecause infant visual attention, recognition memory, and information processing are predictive of later cognitive development such as emerging executive function, alterations associated with prenatal OPs could have long-term consequences for school readiness.","container-title":"Environmental Research","DOI":"10.1016/j.envres.2025.121197","ISSN":"0013-9351","journalAbbreviation":"Environmental Research","page":"121197","source":"ScienceDirect","title":"A birth cohort observational study to assess the association of prenatal biomarkers of organophosphates with visual attention, recognition memory and information processing among Thai infants","volume":"274","author":[{"family":"Fiedler","given":"Nancy"},{"family":"Nimmapirat","given":"Pimjuta"},{"family":"Sullivan","given":"Margaret Wolan"},{"family":"Promduang","given":"Wathoosiri"},{"family":"Chaikittipornlert","given":"Nattapon"},{"family":"Prapamontol","given":"Tippawan"},{"family":"Naksen","given":"Warangkana"},{"family":"Panuwet","given":"Parinya"},{"family":"Barr","given":"Dana Boyd"},{"family":"Baumert","given":"Brittney O."},{"family":"Ohman-Strickland","given":"Pamela"},{"family":"Suttiwan","given":"Panrapee"}],"issued":{"date-parts":[["2025",6,1]]}}}],"schema":"https://github.com/citation-style-language/schema/raw/master/csl-citation.json"} </w:instrText>
      </w:r>
      <w:r w:rsidR="00A60316">
        <w:fldChar w:fldCharType="separate"/>
      </w:r>
      <w:r w:rsidR="00AF5059" w:rsidRPr="00AF5059">
        <w:t>(Fiedler et al., 2025)</w:t>
      </w:r>
      <w:r w:rsidR="00A60316">
        <w:fldChar w:fldCharType="end"/>
      </w:r>
      <w:r>
        <w:t>.</w:t>
      </w:r>
    </w:p>
    <w:p w:rsidR="005D4314" w:rsidRDefault="005D4314" w:rsidP="005D4314">
      <w:pPr>
        <w:pStyle w:val="NormalWeb"/>
      </w:pPr>
      <w:r>
        <w:t xml:space="preserve">Finally, these advances should be leveraged to enable </w:t>
      </w:r>
      <w:r>
        <w:rPr>
          <w:rStyle w:val="Strong"/>
          <w:rFonts w:eastAsiaTheme="majorEastAsia"/>
        </w:rPr>
        <w:t>precision environmental health</w:t>
      </w:r>
      <w:r>
        <w:t xml:space="preserve"> interventions. By integrating individual- and community-level exposure profiles with predictive models, it is possible to develop targeted prevention strategies, optimize surveillance efforts, and inform personalized guidance for high-risk families. Such an approach bridges fundamental research with actionable public health practice, offering a pathway to reduce pediatric cancer burden in agricultural populations while addressing broader issues of environmental justice and equity.</w:t>
      </w:r>
    </w:p>
    <w:p w:rsidR="005D4314" w:rsidRDefault="005D4314"/>
    <w:p w:rsidR="007C0A09" w:rsidRDefault="007C0A09" w:rsidP="007C0A09">
      <w:pPr>
        <w:pStyle w:val="Heading3"/>
      </w:pPr>
      <w:r>
        <w:t>12. Conclusions</w:t>
      </w:r>
    </w:p>
    <w:p w:rsidR="007C0A09" w:rsidRDefault="007C0A09" w:rsidP="007C0A09">
      <w:pPr>
        <w:pStyle w:val="NormalWeb"/>
      </w:pPr>
      <w:r>
        <w:t>The accumulated evidence indicates that early-life exposure to agrochemicals in agricultural environments is associated with an increased risk of pediatric cancers, with the strongest support observed for acute lymphoblastic leukemia and, to a lesser extent, central nervous system tumors. Mechanistic studies provide biological plausibility, highlighting pathways such as DNA damage, endocrine disruption, epigenetic reprogramming, and immune dysregulation, particularly during sensitive prenatal and early childhood developmental windows.</w:t>
      </w:r>
    </w:p>
    <w:p w:rsidR="007C0A09" w:rsidRDefault="007C0A09" w:rsidP="007C0A09">
      <w:pPr>
        <w:pStyle w:val="NormalWeb"/>
      </w:pPr>
      <w:r>
        <w:t xml:space="preserve">Predictive modeling approaches, including GIS-based exposure models, statistical regression frameworks, and machine learning algorithms, have enhanced the capacity to quantify and interpret complex exposure patterns. These tools offer significant value for risk stratification, identification of high-exposure subgroups, and the integration of spatial and temporal exposure </w:t>
      </w:r>
      <w:r>
        <w:lastRenderedPageBreak/>
        <w:t>dynamics. However, their utility is tempered by limitations, including potential exposure misclassification, challenges in modeling chemical mixtures, and limited incorporation of mechanistic evidence, which can constrain causal inference and policy translation.</w:t>
      </w:r>
    </w:p>
    <w:p w:rsidR="007C0A09" w:rsidRDefault="007C0A09" w:rsidP="007C0A09">
      <w:pPr>
        <w:pStyle w:val="NormalWeb"/>
      </w:pPr>
      <w:r>
        <w:t xml:space="preserve">Addressing these limitations will require </w:t>
      </w:r>
      <w:r>
        <w:rPr>
          <w:rStyle w:val="Strong"/>
          <w:rFonts w:eastAsiaTheme="majorEastAsia"/>
        </w:rPr>
        <w:t>interdisciplinary, prevention-oriented research</w:t>
      </w:r>
      <w:r>
        <w:t xml:space="preserve"> that integrates longitudinal cohort designs, high-resolution biomonitoring, mechanistic insights, and hybrid causal–predictive modeling frameworks. Such efforts are essential to advance the science of early-life environmental exposures, inform targeted interventions, and ultimately reduce the burden of pediatric cancers in agricultural communities while promoting equitable health outcomes.</w:t>
      </w:r>
    </w:p>
    <w:p w:rsidR="007C0A09" w:rsidRPr="00D76780" w:rsidRDefault="007C0A09">
      <w:pPr>
        <w:rPr>
          <w:rFonts w:ascii="Times New Roman" w:hAnsi="Times New Roman" w:cs="Times New Roman"/>
          <w:b/>
        </w:rPr>
      </w:pPr>
    </w:p>
    <w:p w:rsidR="00D76780" w:rsidRDefault="00D76780">
      <w:pPr>
        <w:rPr>
          <w:rFonts w:ascii="Times New Roman" w:hAnsi="Times New Roman" w:cs="Times New Roman"/>
          <w:b/>
        </w:rPr>
      </w:pPr>
      <w:r w:rsidRPr="00D76780">
        <w:rPr>
          <w:rFonts w:ascii="Times New Roman" w:hAnsi="Times New Roman" w:cs="Times New Roman"/>
          <w:b/>
        </w:rPr>
        <w:t>REFERENCES</w:t>
      </w:r>
    </w:p>
    <w:p w:rsidR="00D76780" w:rsidRDefault="00D76780">
      <w:pPr>
        <w:rPr>
          <w:rFonts w:ascii="Times New Roman" w:hAnsi="Times New Roman" w:cs="Times New Roman"/>
          <w:b/>
        </w:rPr>
      </w:pPr>
    </w:p>
    <w:p w:rsidR="00D76780" w:rsidRPr="00D76780" w:rsidRDefault="00A60316" w:rsidP="00D76780">
      <w:pPr>
        <w:pStyle w:val="Bibliography"/>
        <w:rPr>
          <w:rFonts w:ascii="Times New Roman" w:hAnsi="Times New Roman" w:cs="Times New Roman"/>
        </w:rPr>
      </w:pPr>
      <w:r>
        <w:rPr>
          <w:b/>
        </w:rPr>
        <w:fldChar w:fldCharType="begin"/>
      </w:r>
      <w:r w:rsidR="00D76780">
        <w:rPr>
          <w:b/>
        </w:rPr>
        <w:instrText xml:space="preserve"> ADDIN ZOTERO_BIBL {"uncited":[],"omitted":[],"custom":[]} CSL_BIBLIOGRAPHY </w:instrText>
      </w:r>
      <w:r>
        <w:rPr>
          <w:b/>
        </w:rPr>
        <w:fldChar w:fldCharType="separate"/>
      </w:r>
      <w:r w:rsidR="00D76780" w:rsidRPr="00D76780">
        <w:rPr>
          <w:rFonts w:ascii="Times New Roman" w:hAnsi="Times New Roman" w:cs="Times New Roman"/>
        </w:rPr>
        <w:t xml:space="preserve">Afandi, G. E., Ismael, H., Fall, S., Ankumah, R., Afandi, G. E., Ismael, H., Fall, S., &amp; Ankumah, R. (2023). Effectiveness of Utilizing Remote Sensing and GIS Techniques to Estimate the Exposure to Organophosphate Pesticides Drift over Macon, Alabama. </w:t>
      </w:r>
      <w:r w:rsidR="00D76780" w:rsidRPr="00D76780">
        <w:rPr>
          <w:rFonts w:ascii="Times New Roman" w:hAnsi="Times New Roman" w:cs="Times New Roman"/>
          <w:i/>
          <w:iCs/>
        </w:rPr>
        <w:t>Agronomy</w:t>
      </w:r>
      <w:r w:rsidR="00D76780" w:rsidRPr="00D76780">
        <w:rPr>
          <w:rFonts w:ascii="Times New Roman" w:hAnsi="Times New Roman" w:cs="Times New Roman"/>
        </w:rPr>
        <w:t xml:space="preserve">, </w:t>
      </w:r>
      <w:r w:rsidR="00D76780" w:rsidRPr="00D76780">
        <w:rPr>
          <w:rFonts w:ascii="Times New Roman" w:hAnsi="Times New Roman" w:cs="Times New Roman"/>
          <w:i/>
          <w:iCs/>
        </w:rPr>
        <w:t>13</w:t>
      </w:r>
      <w:r w:rsidR="00D76780" w:rsidRPr="00D76780">
        <w:rPr>
          <w:rFonts w:ascii="Times New Roman" w:hAnsi="Times New Roman" w:cs="Times New Roman"/>
        </w:rPr>
        <w:t>(7). https://doi.org/10.3390/agronomy13071759</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Animashaun, T. A., Sunday, O., Ogunleye, E., Agbahiwe, O. K., Afolayan, O. N., Okpoko, O. A., Enabulele, A. B. O., Enobakhare, B. O., &amp; Ifionu, E. S. (2025). AI-Powered Digital Twin Platforms for Next-Generation Structural Health Monitoring: From Concept to Intelligent Decision-Making. </w:t>
      </w:r>
      <w:r w:rsidRPr="00D76780">
        <w:rPr>
          <w:rFonts w:ascii="Times New Roman" w:hAnsi="Times New Roman" w:cs="Times New Roman"/>
          <w:i/>
          <w:iCs/>
        </w:rPr>
        <w:t>Journal of Engineering Research and Reports</w:t>
      </w:r>
      <w:r w:rsidRPr="00D76780">
        <w:rPr>
          <w:rFonts w:ascii="Times New Roman" w:hAnsi="Times New Roman" w:cs="Times New Roman"/>
        </w:rPr>
        <w:t xml:space="preserve">, </w:t>
      </w:r>
      <w:r w:rsidRPr="00D76780">
        <w:rPr>
          <w:rFonts w:ascii="Times New Roman" w:hAnsi="Times New Roman" w:cs="Times New Roman"/>
          <w:i/>
          <w:iCs/>
        </w:rPr>
        <w:t>27</w:t>
      </w:r>
      <w:r w:rsidRPr="00D76780">
        <w:rPr>
          <w:rFonts w:ascii="Times New Roman" w:hAnsi="Times New Roman" w:cs="Times New Roman"/>
        </w:rPr>
        <w:t>(10), 12–37. https://doi.org/10.9734/jerr/2025/v27i101652</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Ashish Pandey. (2023). Study on the cancer by chemical pesticides exposure to pesticide applicators, farm workers and consumers: Urgent need for safer eco-friendly pesticides. </w:t>
      </w:r>
      <w:r w:rsidRPr="00D76780">
        <w:rPr>
          <w:rFonts w:ascii="Times New Roman" w:hAnsi="Times New Roman" w:cs="Times New Roman"/>
          <w:i/>
          <w:iCs/>
        </w:rPr>
        <w:t>World Journal of Advanced Research and Reviews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(2), 121–125. https://doi.org/10.30574/wjarr.2023.17.2.0199</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Augustin, J., Andrees, V., Walsh, D., Reintjes, R., Koller, D., Augustin, J., Andrees, V., Walsh, D., Reintjes, R., &amp; Koller, D. (2023). Spatial Aspects of Health—Developing a </w:t>
      </w:r>
      <w:r w:rsidRPr="00D76780">
        <w:rPr>
          <w:rFonts w:ascii="Times New Roman" w:hAnsi="Times New Roman" w:cs="Times New Roman"/>
        </w:rPr>
        <w:lastRenderedPageBreak/>
        <w:t xml:space="preserve">Conceptual Framework. </w:t>
      </w:r>
      <w:r w:rsidRPr="00D76780">
        <w:rPr>
          <w:rFonts w:ascii="Times New Roman" w:hAnsi="Times New Roman" w:cs="Times New Roman"/>
          <w:i/>
          <w:iCs/>
        </w:rPr>
        <w:t>International Journal of Environmental Research and Public Health</w:t>
      </w:r>
      <w:r w:rsidRPr="00D76780">
        <w:rPr>
          <w:rFonts w:ascii="Times New Roman" w:hAnsi="Times New Roman" w:cs="Times New Roman"/>
        </w:rPr>
        <w:t xml:space="preserve">, </w:t>
      </w:r>
      <w:r w:rsidRPr="00D76780">
        <w:rPr>
          <w:rFonts w:ascii="Times New Roman" w:hAnsi="Times New Roman" w:cs="Times New Roman"/>
          <w:i/>
          <w:iCs/>
        </w:rPr>
        <w:t>20</w:t>
      </w:r>
      <w:r w:rsidRPr="00D76780">
        <w:rPr>
          <w:rFonts w:ascii="Times New Roman" w:hAnsi="Times New Roman" w:cs="Times New Roman"/>
        </w:rPr>
        <w:t>(3). https://doi.org/10.3390/ijerph20031817</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Baćmaga, M., Wyszkowska, J., &amp; Kucharski, J. (2024). Environmental Implication of Herbicide Use. </w:t>
      </w:r>
      <w:r w:rsidRPr="00D76780">
        <w:rPr>
          <w:rFonts w:ascii="Times New Roman" w:hAnsi="Times New Roman" w:cs="Times New Roman"/>
          <w:i/>
          <w:iCs/>
        </w:rPr>
        <w:t>Molecules</w:t>
      </w:r>
      <w:r w:rsidRPr="00D76780">
        <w:rPr>
          <w:rFonts w:ascii="Times New Roman" w:hAnsi="Times New Roman" w:cs="Times New Roman"/>
        </w:rPr>
        <w:t xml:space="preserve">, </w:t>
      </w:r>
      <w:r w:rsidRPr="00D76780">
        <w:rPr>
          <w:rFonts w:ascii="Times New Roman" w:hAnsi="Times New Roman" w:cs="Times New Roman"/>
          <w:i/>
          <w:iCs/>
        </w:rPr>
        <w:t>29</w:t>
      </w:r>
      <w:r w:rsidRPr="00D76780">
        <w:rPr>
          <w:rFonts w:ascii="Times New Roman" w:hAnsi="Times New Roman" w:cs="Times New Roman"/>
        </w:rPr>
        <w:t>(24), 5965. https://doi.org/10.3390/molecules29245965</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Chen, K.-C., Lee, S.-F., Lin, S.-W., Xie, J.-S., Chang, Y.-H., Yiin, L.-M., &amp; Hsieh, C.-J. (2023). Associations between residential proximity to agricultural land use as pesticides exposure and birth outcomes. </w:t>
      </w:r>
      <w:r w:rsidRPr="00D76780">
        <w:rPr>
          <w:rFonts w:ascii="Times New Roman" w:hAnsi="Times New Roman" w:cs="Times New Roman"/>
          <w:i/>
          <w:iCs/>
        </w:rPr>
        <w:t>Environmental Science and Pollution Research International</w:t>
      </w:r>
      <w:r w:rsidRPr="00D76780">
        <w:rPr>
          <w:rFonts w:ascii="Times New Roman" w:hAnsi="Times New Roman" w:cs="Times New Roman"/>
        </w:rPr>
        <w:t xml:space="preserve">, </w:t>
      </w:r>
      <w:r w:rsidRPr="00D76780">
        <w:rPr>
          <w:rFonts w:ascii="Times New Roman" w:hAnsi="Times New Roman" w:cs="Times New Roman"/>
          <w:i/>
          <w:iCs/>
        </w:rPr>
        <w:t>30</w:t>
      </w:r>
      <w:r w:rsidRPr="00D76780">
        <w:rPr>
          <w:rFonts w:ascii="Times New Roman" w:hAnsi="Times New Roman" w:cs="Times New Roman"/>
        </w:rPr>
        <w:t>(12), 33253–33263. https://doi.org/10.1007/s11356-022-24571-8</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Chiu, Y.-H. M., Coull, B. A., Wilson, A., Hsu, H.-H. L., Xhani, N., Nentin, F., Deli, B. C., Schwartz, J., Colicino, E., Wright, R. O., &amp; Wright, R. J. (2025). Air Pollution Mixture Exposure during Pregnancy and Postpartum Psychological Functioning: Racial/ethnic- and fetal sex-specific associations. </w:t>
      </w:r>
      <w:r w:rsidRPr="00D76780">
        <w:rPr>
          <w:rFonts w:ascii="Times New Roman" w:hAnsi="Times New Roman" w:cs="Times New Roman"/>
          <w:i/>
          <w:iCs/>
        </w:rPr>
        <w:t>Journal of Exposure Science &amp; Environmental Epidemiology</w:t>
      </w:r>
      <w:r w:rsidRPr="00D76780">
        <w:rPr>
          <w:rFonts w:ascii="Times New Roman" w:hAnsi="Times New Roman" w:cs="Times New Roman"/>
        </w:rPr>
        <w:t xml:space="preserve">, </w:t>
      </w:r>
      <w:r w:rsidRPr="00D76780">
        <w:rPr>
          <w:rFonts w:ascii="Times New Roman" w:hAnsi="Times New Roman" w:cs="Times New Roman"/>
          <w:i/>
          <w:iCs/>
        </w:rPr>
        <w:t>35</w:t>
      </w:r>
      <w:r w:rsidRPr="00D76780">
        <w:rPr>
          <w:rFonts w:ascii="Times New Roman" w:hAnsi="Times New Roman" w:cs="Times New Roman"/>
        </w:rPr>
        <w:t>(4), 548–556. https://doi.org/10.1038/s41370-024-00726-2</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Conejo-Bolaños, L. D., Mora, A. M., Hernández-Bonilla, D., Cano, J. C., Menezes-Filho, J. A., Eskenazi, B., Lindh, C. H., &amp; van Wendel de Joode, B. (2024). Prenatal current-use pesticide exposure and children’s neurodevelopment at one year of age in the Infants’ Environmental Health (ISA) birth cohort, Costa Rica. </w:t>
      </w:r>
      <w:r w:rsidRPr="00D76780">
        <w:rPr>
          <w:rFonts w:ascii="Times New Roman" w:hAnsi="Times New Roman" w:cs="Times New Roman"/>
          <w:i/>
          <w:iCs/>
        </w:rPr>
        <w:t>Environmental Research</w:t>
      </w:r>
      <w:r w:rsidRPr="00D76780">
        <w:rPr>
          <w:rFonts w:ascii="Times New Roman" w:hAnsi="Times New Roman" w:cs="Times New Roman"/>
        </w:rPr>
        <w:t xml:space="preserve">, </w:t>
      </w:r>
      <w:r w:rsidRPr="00D76780">
        <w:rPr>
          <w:rFonts w:ascii="Times New Roman" w:hAnsi="Times New Roman" w:cs="Times New Roman"/>
          <w:i/>
          <w:iCs/>
        </w:rPr>
        <w:t>249</w:t>
      </w:r>
      <w:r w:rsidRPr="00D76780">
        <w:rPr>
          <w:rFonts w:ascii="Times New Roman" w:hAnsi="Times New Roman" w:cs="Times New Roman"/>
        </w:rPr>
        <w:t>, 118222. https://doi.org/10.1016/j.envres.2024.118222</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Dallere, S., Rasà, D. M., Pavarino, G., Schellino, R., Vercelli, A., &amp; Boido, M. (2025). The exposome from neurodevelopment to neurodegeneration: A narrative review. </w:t>
      </w:r>
      <w:r w:rsidRPr="00D76780">
        <w:rPr>
          <w:rFonts w:ascii="Times New Roman" w:hAnsi="Times New Roman" w:cs="Times New Roman"/>
          <w:i/>
          <w:iCs/>
        </w:rPr>
        <w:t>Neuroscience &amp; Biobehavioral Reviews</w:t>
      </w:r>
      <w:r w:rsidRPr="00D76780">
        <w:rPr>
          <w:rFonts w:ascii="Times New Roman" w:hAnsi="Times New Roman" w:cs="Times New Roman"/>
        </w:rPr>
        <w:t xml:space="preserve">, </w:t>
      </w:r>
      <w:r w:rsidRPr="00D76780">
        <w:rPr>
          <w:rFonts w:ascii="Times New Roman" w:hAnsi="Times New Roman" w:cs="Times New Roman"/>
          <w:i/>
          <w:iCs/>
        </w:rPr>
        <w:t>176</w:t>
      </w:r>
      <w:r w:rsidRPr="00D76780">
        <w:rPr>
          <w:rFonts w:ascii="Times New Roman" w:hAnsi="Times New Roman" w:cs="Times New Roman"/>
        </w:rPr>
        <w:t>, 106247. https://doi.org/10.1016/j.neubiorev.2025.106247</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lastRenderedPageBreak/>
        <w:t xml:space="preserve">Deepika, D., Bharti, K., Sharma, S., Kumar, S., Pathak, R. K., Biosca Brull, J., Sabuz, O., García Vilana, S., &amp; Kumar, V. (2025). Advancing human health risk assessment: The role of new approach methodologies. </w:t>
      </w:r>
      <w:r w:rsidRPr="00D76780">
        <w:rPr>
          <w:rFonts w:ascii="Times New Roman" w:hAnsi="Times New Roman" w:cs="Times New Roman"/>
          <w:i/>
          <w:iCs/>
        </w:rPr>
        <w:t>Frontiers in Toxicology</w:t>
      </w:r>
      <w:r w:rsidRPr="00D76780">
        <w:rPr>
          <w:rFonts w:ascii="Times New Roman" w:hAnsi="Times New Roman" w:cs="Times New Roman"/>
        </w:rPr>
        <w:t xml:space="preserve">, </w:t>
      </w:r>
      <w:r w:rsidRPr="00D76780">
        <w:rPr>
          <w:rFonts w:ascii="Times New Roman" w:hAnsi="Times New Roman" w:cs="Times New Roman"/>
          <w:i/>
          <w:iCs/>
        </w:rPr>
        <w:t>7</w:t>
      </w:r>
      <w:r w:rsidRPr="00D76780">
        <w:rPr>
          <w:rFonts w:ascii="Times New Roman" w:hAnsi="Times New Roman" w:cs="Times New Roman"/>
        </w:rPr>
        <w:t>, 1632941. https://doi.org/10.3389/ftox.2025.1632941</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Desai, S., Morimoto, L. M., Kang, A. Y., Miller, M. D., Wiemels, J. L., Winestone, L. E., Metayer, C., Desai, S., Morimoto, L. M., Kang, A. Y., Miller, M. D., Wiemels, J. L., Winestone, L. E., &amp; Metayer, C. (2025). Pre- and Postnatal Exposures to Residential Pesticides and Survival of Childhood Acute Lymphoblastic Leukemia.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(6). https://doi.org/10.3390/cancers17060978</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Emeny, R. T., Butow, M. E., Titus, L., Ricci, A. M., Bagley, P. J., Blunt, H. B., Morgan, A., Alford-Teaster, J. A., Walston, R. R., &amp; Rees, J. R. (2025). Causes of Childhood Cancer: A Literature Review (2014–2021)—Part 3: Environmental and Occupational Factors.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(21), 3516. https://doi.org/10.3390/cancers17213516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Enabulele, A. B. O., Omo-Enabulele, A. P., Borokinni, M., Iwerumoh, A. N., Olatunbosun, A., Enobakha, B. O., &amp; Ifionu, E. S. (2025). Agile Leadership in Hybrid Workplaces: Evolving Roles and Competencies of Project Managers. </w:t>
      </w:r>
      <w:r w:rsidRPr="00D76780">
        <w:rPr>
          <w:rFonts w:ascii="Times New Roman" w:hAnsi="Times New Roman" w:cs="Times New Roman"/>
          <w:i/>
          <w:iCs/>
        </w:rPr>
        <w:t>Journal of Global Economics, Management and Business Research</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(3), 211–225. https://doi.org/10.56557/jgembr/2025/v17i39756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Fiedler, N., Nimmapirat, P., Sullivan, M. W., Promduang, W., Chaikittipornlert, N., Prapamontol, T., Naksen, W., Panuwet, P., Barr, D. B., Baumert, B. O., Ohman-Strickland, P., &amp; Suttiwan, P. (2025). A birth cohort observational study to assess the association of prenatal biomarkers of organophosphates with visual attention, recognition memory and </w:t>
      </w:r>
      <w:r w:rsidRPr="00D76780">
        <w:rPr>
          <w:rFonts w:ascii="Times New Roman" w:hAnsi="Times New Roman" w:cs="Times New Roman"/>
        </w:rPr>
        <w:lastRenderedPageBreak/>
        <w:t xml:space="preserve">information processing among Thai infants. </w:t>
      </w:r>
      <w:r w:rsidRPr="00D76780">
        <w:rPr>
          <w:rFonts w:ascii="Times New Roman" w:hAnsi="Times New Roman" w:cs="Times New Roman"/>
          <w:i/>
          <w:iCs/>
        </w:rPr>
        <w:t>Environmental Research</w:t>
      </w:r>
      <w:r w:rsidRPr="00D76780">
        <w:rPr>
          <w:rFonts w:ascii="Times New Roman" w:hAnsi="Times New Roman" w:cs="Times New Roman"/>
        </w:rPr>
        <w:t xml:space="preserve">, </w:t>
      </w:r>
      <w:r w:rsidRPr="00D76780">
        <w:rPr>
          <w:rFonts w:ascii="Times New Roman" w:hAnsi="Times New Roman" w:cs="Times New Roman"/>
          <w:i/>
          <w:iCs/>
        </w:rPr>
        <w:t>274</w:t>
      </w:r>
      <w:r w:rsidRPr="00D76780">
        <w:rPr>
          <w:rFonts w:ascii="Times New Roman" w:hAnsi="Times New Roman" w:cs="Times New Roman"/>
        </w:rPr>
        <w:t>, 121197. https://doi.org/10.1016/j.envres.2025.121197</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Figueiredo, D. M., Mu, H., Osman, R., Silva, V., Graumans, M., van Dael, M., Balkhi, S. E., Mol, H., Huss, A., Vermeulen, R., Hofman, J., Abrantes, N., Campos, I., Alcon, F., Contreras, J., Baldi, I., Bureau, M., Alaoui, A., Christ, F., … Scheepers, P. T. J. (2025). Non-dietary personal pesticide exposure using silicone wristbands across 10 European countries. </w:t>
      </w:r>
      <w:r w:rsidRPr="00D76780">
        <w:rPr>
          <w:rFonts w:ascii="Times New Roman" w:hAnsi="Times New Roman" w:cs="Times New Roman"/>
          <w:i/>
          <w:iCs/>
        </w:rPr>
        <w:t>Environment International</w:t>
      </w:r>
      <w:r w:rsidRPr="00D76780">
        <w:rPr>
          <w:rFonts w:ascii="Times New Roman" w:hAnsi="Times New Roman" w:cs="Times New Roman"/>
        </w:rPr>
        <w:t xml:space="preserve">, </w:t>
      </w:r>
      <w:r w:rsidRPr="00D76780">
        <w:rPr>
          <w:rFonts w:ascii="Times New Roman" w:hAnsi="Times New Roman" w:cs="Times New Roman"/>
          <w:i/>
          <w:iCs/>
        </w:rPr>
        <w:t>203</w:t>
      </w:r>
      <w:r w:rsidRPr="00D76780">
        <w:rPr>
          <w:rFonts w:ascii="Times New Roman" w:hAnsi="Times New Roman" w:cs="Times New Roman"/>
        </w:rPr>
        <w:t>, 109734. https://doi.org/10.1016/j.envint.2025.109734</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Gerken, J., Vincent, G. T., Zapata, D., Barron, I. G., &amp; Zapata, I. (2024). Comprehensive assessment of pesticide use patterns and increased cancer risk. </w:t>
      </w:r>
      <w:r w:rsidRPr="00D76780">
        <w:rPr>
          <w:rFonts w:ascii="Times New Roman" w:hAnsi="Times New Roman" w:cs="Times New Roman"/>
          <w:i/>
          <w:iCs/>
        </w:rPr>
        <w:t>Frontiers in Cancer Control and Society</w:t>
      </w:r>
      <w:r w:rsidRPr="00D76780">
        <w:rPr>
          <w:rFonts w:ascii="Times New Roman" w:hAnsi="Times New Roman" w:cs="Times New Roman"/>
        </w:rPr>
        <w:t xml:space="preserve">, </w:t>
      </w:r>
      <w:r w:rsidRPr="00D76780">
        <w:rPr>
          <w:rFonts w:ascii="Times New Roman" w:hAnsi="Times New Roman" w:cs="Times New Roman"/>
          <w:i/>
          <w:iCs/>
        </w:rPr>
        <w:t>2</w:t>
      </w:r>
      <w:r w:rsidRPr="00D76780">
        <w:rPr>
          <w:rFonts w:ascii="Times New Roman" w:hAnsi="Times New Roman" w:cs="Times New Roman"/>
        </w:rPr>
        <w:t>. https://doi.org/10.3389/fcacs.2024.1368086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Jerrett, M., Gale, S., Kontgis, C., Jerrett, M., Gale, S., &amp; Kontgis, C. (2010). Spatial Modeling in Environmental and Public Health Research. </w:t>
      </w:r>
      <w:r w:rsidRPr="00D76780">
        <w:rPr>
          <w:rFonts w:ascii="Times New Roman" w:hAnsi="Times New Roman" w:cs="Times New Roman"/>
          <w:i/>
          <w:iCs/>
        </w:rPr>
        <w:t>International Journal of Environmental Research and Public Health</w:t>
      </w:r>
      <w:r w:rsidRPr="00D76780">
        <w:rPr>
          <w:rFonts w:ascii="Times New Roman" w:hAnsi="Times New Roman" w:cs="Times New Roman"/>
        </w:rPr>
        <w:t xml:space="preserve">, </w:t>
      </w:r>
      <w:r w:rsidRPr="00D76780">
        <w:rPr>
          <w:rFonts w:ascii="Times New Roman" w:hAnsi="Times New Roman" w:cs="Times New Roman"/>
          <w:i/>
          <w:iCs/>
        </w:rPr>
        <w:t>7</w:t>
      </w:r>
      <w:r w:rsidRPr="00D76780">
        <w:rPr>
          <w:rFonts w:ascii="Times New Roman" w:hAnsi="Times New Roman" w:cs="Times New Roman"/>
        </w:rPr>
        <w:t>(4), 1302–1329. https://doi.org/10.3390/ijerph7041302</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Jurkowska, R. Z. (2024). Role of epigenetic mechanisms in the pathogenesis of chronic respiratory diseases and response to inhaled exposures: From basic concepts to clinical applications. </w:t>
      </w:r>
      <w:r w:rsidRPr="00D76780">
        <w:rPr>
          <w:rFonts w:ascii="Times New Roman" w:hAnsi="Times New Roman" w:cs="Times New Roman"/>
          <w:i/>
          <w:iCs/>
        </w:rPr>
        <w:t>Pharmacology &amp; Therapeutics</w:t>
      </w:r>
      <w:r w:rsidRPr="00D76780">
        <w:rPr>
          <w:rFonts w:ascii="Times New Roman" w:hAnsi="Times New Roman" w:cs="Times New Roman"/>
        </w:rPr>
        <w:t xml:space="preserve">, </w:t>
      </w:r>
      <w:r w:rsidRPr="00D76780">
        <w:rPr>
          <w:rFonts w:ascii="Times New Roman" w:hAnsi="Times New Roman" w:cs="Times New Roman"/>
          <w:i/>
          <w:iCs/>
        </w:rPr>
        <w:t>264</w:t>
      </w:r>
      <w:r w:rsidRPr="00D76780">
        <w:rPr>
          <w:rFonts w:ascii="Times New Roman" w:hAnsi="Times New Roman" w:cs="Times New Roman"/>
        </w:rPr>
        <w:t>, 108732. https://doi.org/10.1016/j.pharmthera.2024.108732</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Karalexi, M. A., Tagkas, C. F., Markozannes, G., Tseretopoulou, X., Hernández, A. F., Schüz, J., Halldorsson, T. I., Psaltopoulou, T., Petridou, E. T., Tzoulaki, I., &amp; Ntzani, E. E. (2021a). Exposure to pesticides and childhood leukemia risk: A systematic review and meta-analysis. </w:t>
      </w:r>
      <w:r w:rsidRPr="00D76780">
        <w:rPr>
          <w:rFonts w:ascii="Times New Roman" w:hAnsi="Times New Roman" w:cs="Times New Roman"/>
          <w:i/>
          <w:iCs/>
        </w:rPr>
        <w:t>Environmental Pollution</w:t>
      </w:r>
      <w:r w:rsidRPr="00D76780">
        <w:rPr>
          <w:rFonts w:ascii="Times New Roman" w:hAnsi="Times New Roman" w:cs="Times New Roman"/>
        </w:rPr>
        <w:t xml:space="preserve">, </w:t>
      </w:r>
      <w:r w:rsidRPr="00D76780">
        <w:rPr>
          <w:rFonts w:ascii="Times New Roman" w:hAnsi="Times New Roman" w:cs="Times New Roman"/>
          <w:i/>
          <w:iCs/>
        </w:rPr>
        <w:t>285</w:t>
      </w:r>
      <w:r w:rsidRPr="00D76780">
        <w:rPr>
          <w:rFonts w:ascii="Times New Roman" w:hAnsi="Times New Roman" w:cs="Times New Roman"/>
        </w:rPr>
        <w:t>, 117376. https://doi.org/10.1016/j.envpol.2021.117376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lastRenderedPageBreak/>
        <w:t xml:space="preserve">Karalexi, M. A., Tagkas, C. F., Markozannes, G., Tseretopoulou, X., Hernández, A. F., Schüz, J., Halldorsson, T. I., Psaltopoulou, T., Petridou, E. T., Tzoulaki, I., &amp; Ntzani, E. E. (2021b). Exposure to pesticides and childhood leukemia risk: A systematic review and meta-analysis. </w:t>
      </w:r>
      <w:r w:rsidRPr="00D76780">
        <w:rPr>
          <w:rFonts w:ascii="Times New Roman" w:hAnsi="Times New Roman" w:cs="Times New Roman"/>
          <w:i/>
          <w:iCs/>
        </w:rPr>
        <w:t>Environmental Pollution (Barking, Essex: 1987)</w:t>
      </w:r>
      <w:r w:rsidRPr="00D76780">
        <w:rPr>
          <w:rFonts w:ascii="Times New Roman" w:hAnsi="Times New Roman" w:cs="Times New Roman"/>
        </w:rPr>
        <w:t xml:space="preserve">, </w:t>
      </w:r>
      <w:r w:rsidRPr="00D76780">
        <w:rPr>
          <w:rFonts w:ascii="Times New Roman" w:hAnsi="Times New Roman" w:cs="Times New Roman"/>
          <w:i/>
          <w:iCs/>
        </w:rPr>
        <w:t>285</w:t>
      </w:r>
      <w:r w:rsidRPr="00D76780">
        <w:rPr>
          <w:rFonts w:ascii="Times New Roman" w:hAnsi="Times New Roman" w:cs="Times New Roman"/>
        </w:rPr>
        <w:t>, 117376. https://doi.org/10.1016/j.envpol.2021.117376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Khan, K. M., Gaine, M. E., Daniel, A. R., Chilamkuri, P., &amp; Rohlman, D. S. (2024). Organophosphorus pesticide exposure from house dust and parent-reported child behavior in Latino children from an orchard community. </w:t>
      </w:r>
      <w:r w:rsidRPr="00D76780">
        <w:rPr>
          <w:rFonts w:ascii="Times New Roman" w:hAnsi="Times New Roman" w:cs="Times New Roman"/>
          <w:i/>
          <w:iCs/>
        </w:rPr>
        <w:t>Neurotoxicology</w:t>
      </w:r>
      <w:r w:rsidRPr="00D76780">
        <w:rPr>
          <w:rFonts w:ascii="Times New Roman" w:hAnsi="Times New Roman" w:cs="Times New Roman"/>
        </w:rPr>
        <w:t xml:space="preserve">, </w:t>
      </w:r>
      <w:r w:rsidRPr="00D76780">
        <w:rPr>
          <w:rFonts w:ascii="Times New Roman" w:hAnsi="Times New Roman" w:cs="Times New Roman"/>
          <w:i/>
          <w:iCs/>
        </w:rPr>
        <w:t>102</w:t>
      </w:r>
      <w:r w:rsidRPr="00D76780">
        <w:rPr>
          <w:rFonts w:ascii="Times New Roman" w:hAnsi="Times New Roman" w:cs="Times New Roman"/>
        </w:rPr>
        <w:t>, 29–36. https://doi.org/10.1016/j.neuro.2024.03.001</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Lawal, O. P., Adedayo, O. A., Dorcas, S. I., Akanbi, O. O., Okafor, B. C., Kanu, I., Sone, P. E., Patrick, J. O., Fabiyi, T. O., Adeyemi, B. I., Oziegbe, E. E., &amp; Busari, A. M. (2025). Biomarkers for Tuberculosis Diagnosis and Monitoring: A Review of Translational Progress. </w:t>
      </w:r>
      <w:r w:rsidRPr="00D76780">
        <w:rPr>
          <w:rFonts w:ascii="Times New Roman" w:hAnsi="Times New Roman" w:cs="Times New Roman"/>
          <w:i/>
          <w:iCs/>
        </w:rPr>
        <w:t>Asian Journal of Microbiology and Biotechnology</w:t>
      </w:r>
      <w:r w:rsidRPr="00D76780">
        <w:rPr>
          <w:rFonts w:ascii="Times New Roman" w:hAnsi="Times New Roman" w:cs="Times New Roman"/>
        </w:rPr>
        <w:t xml:space="preserve">, </w:t>
      </w:r>
      <w:r w:rsidRPr="00D76780">
        <w:rPr>
          <w:rFonts w:ascii="Times New Roman" w:hAnsi="Times New Roman" w:cs="Times New Roman"/>
          <w:i/>
          <w:iCs/>
        </w:rPr>
        <w:t>10</w:t>
      </w:r>
      <w:r w:rsidRPr="00D76780">
        <w:rPr>
          <w:rFonts w:ascii="Times New Roman" w:hAnsi="Times New Roman" w:cs="Times New Roman"/>
        </w:rPr>
        <w:t>(1), 115–130. https://doi.org/10.56557/ajmab/2025/v10i19351</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Lawal, O. P., Igwe, E. P., Olosunde, A., Chisom, E. P., Okeh, D. U., Olowookere, A. K., Adedayo, O. A., Agu, C. P., Mustapha, F. A., Odubo, F., &amp; Orobator, E. T. (2025). Integrating Real-Time Data and Machine Learning in Predicting Infectious Disease Outbreaks: Enhancing Response Strategies in Sub-Saharan Africa. </w:t>
      </w:r>
      <w:r w:rsidRPr="00D76780">
        <w:rPr>
          <w:rFonts w:ascii="Times New Roman" w:hAnsi="Times New Roman" w:cs="Times New Roman"/>
          <w:i/>
          <w:iCs/>
        </w:rPr>
        <w:t>Asian Journal of Microbiology and Biotechnology</w:t>
      </w:r>
      <w:r w:rsidRPr="00D76780">
        <w:rPr>
          <w:rFonts w:ascii="Times New Roman" w:hAnsi="Times New Roman" w:cs="Times New Roman"/>
        </w:rPr>
        <w:t xml:space="preserve">, </w:t>
      </w:r>
      <w:r w:rsidRPr="00D76780">
        <w:rPr>
          <w:rFonts w:ascii="Times New Roman" w:hAnsi="Times New Roman" w:cs="Times New Roman"/>
          <w:i/>
          <w:iCs/>
        </w:rPr>
        <w:t>10</w:t>
      </w:r>
      <w:r w:rsidRPr="00D76780">
        <w:rPr>
          <w:rFonts w:ascii="Times New Roman" w:hAnsi="Times New Roman" w:cs="Times New Roman"/>
        </w:rPr>
        <w:t>(1), 147–163. https://doi.org/10.56557/ajmab/2025/v10i19371</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López-Flores, I., González-Alzaga, B., Romero-Molina, D., Hernández, A. F., Pérez-Luzardo, O., Acosta-Dacal, A., Macías-Montes, A., Henríquez-Hernández, L. A., Boada, L. D., Pelegrí, D., González, J. R., &amp; Lacasaña, M. (2025). Gestational exposure to </w:t>
      </w:r>
      <w:r w:rsidRPr="00D76780">
        <w:rPr>
          <w:rFonts w:ascii="Times New Roman" w:hAnsi="Times New Roman" w:cs="Times New Roman"/>
        </w:rPr>
        <w:lastRenderedPageBreak/>
        <w:t xml:space="preserve">organophosphate pesticides and maternal urine metabolomic profile in the GENEIDA birth cohort. </w:t>
      </w:r>
      <w:r w:rsidRPr="00D76780">
        <w:rPr>
          <w:rFonts w:ascii="Times New Roman" w:hAnsi="Times New Roman" w:cs="Times New Roman"/>
          <w:i/>
          <w:iCs/>
        </w:rPr>
        <w:t>Environmental Toxicology and Pharmacology</w:t>
      </w:r>
      <w:r w:rsidRPr="00D76780">
        <w:rPr>
          <w:rFonts w:ascii="Times New Roman" w:hAnsi="Times New Roman" w:cs="Times New Roman"/>
        </w:rPr>
        <w:t xml:space="preserve">, </w:t>
      </w:r>
      <w:r w:rsidRPr="00D76780">
        <w:rPr>
          <w:rFonts w:ascii="Times New Roman" w:hAnsi="Times New Roman" w:cs="Times New Roman"/>
          <w:i/>
          <w:iCs/>
        </w:rPr>
        <w:t>118</w:t>
      </w:r>
      <w:r w:rsidRPr="00D76780">
        <w:rPr>
          <w:rFonts w:ascii="Times New Roman" w:hAnsi="Times New Roman" w:cs="Times New Roman"/>
        </w:rPr>
        <w:t>, 104793. https://doi.org/10.1016/j.etap.2025.104793</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Ma, J., Liu, S., &amp; Pei, Y. (2025). SHAP-based interpretable machine learning for injury risk prediction in university football players: A multi-dimensional data analysis approach. </w:t>
      </w:r>
      <w:r w:rsidRPr="00D76780">
        <w:rPr>
          <w:rFonts w:ascii="Times New Roman" w:hAnsi="Times New Roman" w:cs="Times New Roman"/>
          <w:i/>
          <w:iCs/>
        </w:rPr>
        <w:t>Scientific Reports</w:t>
      </w:r>
      <w:r w:rsidRPr="00D76780">
        <w:rPr>
          <w:rFonts w:ascii="Times New Roman" w:hAnsi="Times New Roman" w:cs="Times New Roman"/>
        </w:rPr>
        <w:t xml:space="preserve">, </w:t>
      </w:r>
      <w:r w:rsidRPr="00D76780">
        <w:rPr>
          <w:rFonts w:ascii="Times New Roman" w:hAnsi="Times New Roman" w:cs="Times New Roman"/>
          <w:i/>
          <w:iCs/>
        </w:rPr>
        <w:t>15</w:t>
      </w:r>
      <w:r w:rsidRPr="00D76780">
        <w:rPr>
          <w:rFonts w:ascii="Times New Roman" w:hAnsi="Times New Roman" w:cs="Times New Roman"/>
        </w:rPr>
        <w:t>(1), 40252. https://doi.org/10.1038/s41598-025-24144-y</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Malashin, I., Tynchenko, V., Gantimurov, A., Nelyub, V., Borodulin, A., Malashin, I., Tynchenko, V., Gantimurov, A., Nelyub, V., &amp; Borodulin, A. (2025). Boosting-Based Machine Learning Applications in Polymer Science: A Review. </w:t>
      </w:r>
      <w:r w:rsidRPr="00D76780">
        <w:rPr>
          <w:rFonts w:ascii="Times New Roman" w:hAnsi="Times New Roman" w:cs="Times New Roman"/>
          <w:i/>
          <w:iCs/>
        </w:rPr>
        <w:t>Polymers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(4). https://doi.org/10.3390/polym17040499</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Mijač, S., Banić, I., Genc, A.-M., Lipej, M., Turkalj, M., Mijač, S., Banić, I., Genc, A.-M., Lipej, M., &amp; Turkalj, M. (2024). The Effects of Environmental Exposure on Epigenetic Modifications in Allergic Diseases. </w:t>
      </w:r>
      <w:r w:rsidRPr="00D76780">
        <w:rPr>
          <w:rFonts w:ascii="Times New Roman" w:hAnsi="Times New Roman" w:cs="Times New Roman"/>
          <w:i/>
          <w:iCs/>
        </w:rPr>
        <w:t>Medicina</w:t>
      </w:r>
      <w:r w:rsidRPr="00D76780">
        <w:rPr>
          <w:rFonts w:ascii="Times New Roman" w:hAnsi="Times New Roman" w:cs="Times New Roman"/>
        </w:rPr>
        <w:t xml:space="preserve">, </w:t>
      </w:r>
      <w:r w:rsidRPr="00D76780">
        <w:rPr>
          <w:rFonts w:ascii="Times New Roman" w:hAnsi="Times New Roman" w:cs="Times New Roman"/>
          <w:i/>
          <w:iCs/>
        </w:rPr>
        <w:t>60</w:t>
      </w:r>
      <w:r w:rsidRPr="00D76780">
        <w:rPr>
          <w:rFonts w:ascii="Times New Roman" w:hAnsi="Times New Roman" w:cs="Times New Roman"/>
        </w:rPr>
        <w:t>(1). https://doi.org/10.3390/medicina60010110</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Muñoz-Bautista, J. M., Bernal-Mercado, A. T., Martínez-Cruz, O., Burgos-Hernández, A., López-Zavala, A. A., Ruiz-Cruz, S., Ornelas-Paz, J. de J., Borboa-Flores, J., Ramos-Enríquez, J. R., Del-Toro-Sánchez, C. L., Muñoz-Bautista, J. M., Bernal-Mercado, A. T., Martínez-Cruz, O., Burgos-Hernández, A., López-Zavala, A. A., Ruiz-Cruz, S., Ornelas-Paz, J. de J., Borboa-Flores, J., Ramos-Enríquez, J. R., &amp; Del-Toro-Sánchez, C. L. (2025). Environmental and Health Impacts of Pesticides and Nanotechnology as an Alternative in Agriculture. </w:t>
      </w:r>
      <w:r w:rsidRPr="00D76780">
        <w:rPr>
          <w:rFonts w:ascii="Times New Roman" w:hAnsi="Times New Roman" w:cs="Times New Roman"/>
          <w:i/>
          <w:iCs/>
        </w:rPr>
        <w:t>Agronomy</w:t>
      </w:r>
      <w:r w:rsidRPr="00D76780">
        <w:rPr>
          <w:rFonts w:ascii="Times New Roman" w:hAnsi="Times New Roman" w:cs="Times New Roman"/>
        </w:rPr>
        <w:t xml:space="preserve">, </w:t>
      </w:r>
      <w:r w:rsidRPr="00D76780">
        <w:rPr>
          <w:rFonts w:ascii="Times New Roman" w:hAnsi="Times New Roman" w:cs="Times New Roman"/>
          <w:i/>
          <w:iCs/>
        </w:rPr>
        <w:t>15</w:t>
      </w:r>
      <w:r w:rsidRPr="00D76780">
        <w:rPr>
          <w:rFonts w:ascii="Times New Roman" w:hAnsi="Times New Roman" w:cs="Times New Roman"/>
        </w:rPr>
        <w:t>(8). https://doi.org/10.3390/agronomy15081878</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Norvivor, F. A., Peprah, E. K., Danso, D., &amp; Konutse, O. W. (2025). Occupational pesticide exposure and safety assessment among farmers in Hohoe municipality: An ethnographic </w:t>
      </w:r>
      <w:r w:rsidRPr="00D76780">
        <w:rPr>
          <w:rFonts w:ascii="Times New Roman" w:hAnsi="Times New Roman" w:cs="Times New Roman"/>
        </w:rPr>
        <w:lastRenderedPageBreak/>
        <w:t xml:space="preserve">qualitative study. </w:t>
      </w:r>
      <w:r w:rsidRPr="00D76780">
        <w:rPr>
          <w:rFonts w:ascii="Times New Roman" w:hAnsi="Times New Roman" w:cs="Times New Roman"/>
          <w:i/>
          <w:iCs/>
        </w:rPr>
        <w:t>PLOS ONE</w:t>
      </w:r>
      <w:r w:rsidRPr="00D76780">
        <w:rPr>
          <w:rFonts w:ascii="Times New Roman" w:hAnsi="Times New Roman" w:cs="Times New Roman"/>
        </w:rPr>
        <w:t xml:space="preserve">, </w:t>
      </w:r>
      <w:r w:rsidRPr="00D76780">
        <w:rPr>
          <w:rFonts w:ascii="Times New Roman" w:hAnsi="Times New Roman" w:cs="Times New Roman"/>
          <w:i/>
          <w:iCs/>
        </w:rPr>
        <w:t>20</w:t>
      </w:r>
      <w:r w:rsidRPr="00D76780">
        <w:rPr>
          <w:rFonts w:ascii="Times New Roman" w:hAnsi="Times New Roman" w:cs="Times New Roman"/>
        </w:rPr>
        <w:t>(12), e0337693. https://doi.org/10.1371/journal.pone.0337693</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Onyije, F. M., Dolatkhah, R., Olsson, A., Bouaoun, L., Deltour, I., Erdmann, F., Bonaventure, A., Scheurer, M. E., Clavel, J., &amp; Schüz, J. (2024). Risk factors for childhood brain tumours: A systematic review and meta-analysis of observational studies from 1976 to 2022. </w:t>
      </w:r>
      <w:r w:rsidRPr="00D76780">
        <w:rPr>
          <w:rFonts w:ascii="Times New Roman" w:hAnsi="Times New Roman" w:cs="Times New Roman"/>
          <w:i/>
          <w:iCs/>
        </w:rPr>
        <w:t>Cancer Epidemiology</w:t>
      </w:r>
      <w:r w:rsidRPr="00D76780">
        <w:rPr>
          <w:rFonts w:ascii="Times New Roman" w:hAnsi="Times New Roman" w:cs="Times New Roman"/>
        </w:rPr>
        <w:t xml:space="preserve">, </w:t>
      </w:r>
      <w:r w:rsidRPr="00D76780">
        <w:rPr>
          <w:rFonts w:ascii="Times New Roman" w:hAnsi="Times New Roman" w:cs="Times New Roman"/>
          <w:i/>
          <w:iCs/>
        </w:rPr>
        <w:t>88</w:t>
      </w:r>
      <w:r w:rsidRPr="00D76780">
        <w:rPr>
          <w:rFonts w:ascii="Times New Roman" w:hAnsi="Times New Roman" w:cs="Times New Roman"/>
        </w:rPr>
        <w:t>, 102510. https://doi.org/10.1016/j.canep.2023.102510</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Parsons, J., Niu, X., &amp; Bao, L. (2022). A BAYESIAN HIERARCHICAL MODEL FOR COMBINING MULTIPLE DATA SOURCES IN POPULATION SIZE ESTIMATION. </w:t>
      </w:r>
      <w:r w:rsidRPr="00D76780">
        <w:rPr>
          <w:rFonts w:ascii="Times New Roman" w:hAnsi="Times New Roman" w:cs="Times New Roman"/>
          <w:i/>
          <w:iCs/>
        </w:rPr>
        <w:t>The Annals of Applied Statistics</w:t>
      </w:r>
      <w:r w:rsidRPr="00D76780">
        <w:rPr>
          <w:rFonts w:ascii="Times New Roman" w:hAnsi="Times New Roman" w:cs="Times New Roman"/>
        </w:rPr>
        <w:t xml:space="preserve">, </w:t>
      </w:r>
      <w:r w:rsidRPr="00D76780">
        <w:rPr>
          <w:rFonts w:ascii="Times New Roman" w:hAnsi="Times New Roman" w:cs="Times New Roman"/>
          <w:i/>
          <w:iCs/>
        </w:rPr>
        <w:t>16</w:t>
      </w:r>
      <w:r w:rsidRPr="00D76780">
        <w:rPr>
          <w:rFonts w:ascii="Times New Roman" w:hAnsi="Times New Roman" w:cs="Times New Roman"/>
        </w:rPr>
        <w:t>(3), 1550–1562. https://doi.org/10.1214/21-AOAS1556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Savitz, D. A., &amp; Wellenius, G. A. (2025). Consequential (and inconsequential) environmental epidemiology. </w:t>
      </w:r>
      <w:r w:rsidRPr="00D76780">
        <w:rPr>
          <w:rFonts w:ascii="Times New Roman" w:hAnsi="Times New Roman" w:cs="Times New Roman"/>
          <w:i/>
          <w:iCs/>
        </w:rPr>
        <w:t>Environmental Epidemiology</w:t>
      </w:r>
      <w:r w:rsidRPr="00D76780">
        <w:rPr>
          <w:rFonts w:ascii="Times New Roman" w:hAnsi="Times New Roman" w:cs="Times New Roman"/>
        </w:rPr>
        <w:t xml:space="preserve">, </w:t>
      </w:r>
      <w:r w:rsidRPr="00D76780">
        <w:rPr>
          <w:rFonts w:ascii="Times New Roman" w:hAnsi="Times New Roman" w:cs="Times New Roman"/>
          <w:i/>
          <w:iCs/>
        </w:rPr>
        <w:t>9</w:t>
      </w:r>
      <w:r w:rsidRPr="00D76780">
        <w:rPr>
          <w:rFonts w:ascii="Times New Roman" w:hAnsi="Times New Roman" w:cs="Times New Roman"/>
        </w:rPr>
        <w:t>(6), e433. https://doi.org/10.1097/EE9.0000000000000433</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Schäfer, R. B., Jackson, M., Juvigny-Khenafou, N., Osakpolor, S. E., Posthuma, L., Schneeweiss, A., Spaak, J., &amp; Vinebrooke, R. (2023). Chemical Mixtures and Multiple Stressors: Same but Different? </w:t>
      </w:r>
      <w:r w:rsidRPr="00D76780">
        <w:rPr>
          <w:rFonts w:ascii="Times New Roman" w:hAnsi="Times New Roman" w:cs="Times New Roman"/>
          <w:i/>
          <w:iCs/>
        </w:rPr>
        <w:t>Environmental Toxicology and Chemistry</w:t>
      </w:r>
      <w:r w:rsidRPr="00D76780">
        <w:rPr>
          <w:rFonts w:ascii="Times New Roman" w:hAnsi="Times New Roman" w:cs="Times New Roman"/>
        </w:rPr>
        <w:t xml:space="preserve">, </w:t>
      </w:r>
      <w:r w:rsidRPr="00D76780">
        <w:rPr>
          <w:rFonts w:ascii="Times New Roman" w:hAnsi="Times New Roman" w:cs="Times New Roman"/>
          <w:i/>
          <w:iCs/>
        </w:rPr>
        <w:t>42</w:t>
      </w:r>
      <w:r w:rsidRPr="00D76780">
        <w:rPr>
          <w:rFonts w:ascii="Times New Roman" w:hAnsi="Times New Roman" w:cs="Times New Roman"/>
        </w:rPr>
        <w:t>(9), 1915–1936. https://doi.org/10.1002/etc.5629</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Shakeel, O., Wood, N. M., Thompson, H. M., Scheurer, M. E., Miller, M. D., Shakeel, O., Wood, N. M., Thompson, H. M., Scheurer, M. E., &amp; Miller, M. D. (2025). Environmental Exposures Increase Health Risks in Childhood Cancer Survivors.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(13). https://doi.org/10.3390/cancers17132223</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Shekhar, C., Khosya, R., Thakur, K., Mahajan, D., Kumar, R., Kumar, S., &amp; Sharma, A. K. (2024). A systematic review of pesticide exposure, associated risks, and long-term human </w:t>
      </w:r>
      <w:r w:rsidRPr="00D76780">
        <w:rPr>
          <w:rFonts w:ascii="Times New Roman" w:hAnsi="Times New Roman" w:cs="Times New Roman"/>
        </w:rPr>
        <w:lastRenderedPageBreak/>
        <w:t xml:space="preserve">health impacts. </w:t>
      </w:r>
      <w:r w:rsidRPr="00D76780">
        <w:rPr>
          <w:rFonts w:ascii="Times New Roman" w:hAnsi="Times New Roman" w:cs="Times New Roman"/>
          <w:i/>
          <w:iCs/>
        </w:rPr>
        <w:t>Toxicology Reports</w:t>
      </w:r>
      <w:r w:rsidRPr="00D76780">
        <w:rPr>
          <w:rFonts w:ascii="Times New Roman" w:hAnsi="Times New Roman" w:cs="Times New Roman"/>
        </w:rPr>
        <w:t xml:space="preserve">, </w:t>
      </w:r>
      <w:r w:rsidRPr="00D76780">
        <w:rPr>
          <w:rFonts w:ascii="Times New Roman" w:hAnsi="Times New Roman" w:cs="Times New Roman"/>
          <w:i/>
          <w:iCs/>
        </w:rPr>
        <w:t>13</w:t>
      </w:r>
      <w:r w:rsidRPr="00D76780">
        <w:rPr>
          <w:rFonts w:ascii="Times New Roman" w:hAnsi="Times New Roman" w:cs="Times New Roman"/>
        </w:rPr>
        <w:t>, 101840. https://doi.org/10.1016/j.toxrep.2024.101840</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Siegel, D. A., King, J. B., Lupo, P. J., Durbin, E. B., Tai, E., Mills, K., Van Dyne, E., Lunsford, N. B., Henley, S. J., &amp; Wilson, R. J. (2023). Counts, incidence rates, and trends of pediatric cancer in the United States, 2003–2019. </w:t>
      </w:r>
      <w:r w:rsidRPr="00D76780">
        <w:rPr>
          <w:rFonts w:ascii="Times New Roman" w:hAnsi="Times New Roman" w:cs="Times New Roman"/>
          <w:i/>
          <w:iCs/>
        </w:rPr>
        <w:t>Journal of the National Cancer Institute</w:t>
      </w:r>
      <w:r w:rsidRPr="00D76780">
        <w:rPr>
          <w:rFonts w:ascii="Times New Roman" w:hAnsi="Times New Roman" w:cs="Times New Roman"/>
        </w:rPr>
        <w:t xml:space="preserve">, </w:t>
      </w:r>
      <w:r w:rsidRPr="00D76780">
        <w:rPr>
          <w:rFonts w:ascii="Times New Roman" w:hAnsi="Times New Roman" w:cs="Times New Roman"/>
          <w:i/>
          <w:iCs/>
        </w:rPr>
        <w:t>115</w:t>
      </w:r>
      <w:r w:rsidRPr="00D76780">
        <w:rPr>
          <w:rFonts w:ascii="Times New Roman" w:hAnsi="Times New Roman" w:cs="Times New Roman"/>
        </w:rPr>
        <w:t>(11), 1337–1354. https://doi.org/10.1093/jnci/djad115</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Silva, K. C. de S., Oliveira, G. E. B., Amarante, M. K., &amp; Panis, C. (2025). Evidence concerning parental exposure to pesticides and the occurrence of leukemia in offspring: A systematic review. </w:t>
      </w:r>
      <w:r w:rsidRPr="00D76780">
        <w:rPr>
          <w:rFonts w:ascii="Times New Roman" w:hAnsi="Times New Roman" w:cs="Times New Roman"/>
          <w:i/>
          <w:iCs/>
        </w:rPr>
        <w:t>Frontiers in Pediatrics</w:t>
      </w:r>
      <w:r w:rsidRPr="00D76780">
        <w:rPr>
          <w:rFonts w:ascii="Times New Roman" w:hAnsi="Times New Roman" w:cs="Times New Roman"/>
        </w:rPr>
        <w:t xml:space="preserve">, </w:t>
      </w:r>
      <w:r w:rsidRPr="00D76780">
        <w:rPr>
          <w:rFonts w:ascii="Times New Roman" w:hAnsi="Times New Roman" w:cs="Times New Roman"/>
          <w:i/>
          <w:iCs/>
        </w:rPr>
        <w:t>13</w:t>
      </w:r>
      <w:r w:rsidRPr="00D76780">
        <w:rPr>
          <w:rFonts w:ascii="Times New Roman" w:hAnsi="Times New Roman" w:cs="Times New Roman"/>
        </w:rPr>
        <w:t>. https://doi.org/10.3389/fped.2025.1560678</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Sokan-Adeaga, A. A., Sokan-Adeaga, M. A., Sokan-Adeaga, E. D., Oparaji, A. N., Edris, H., Tella, E. O., Balogun, F. A., Aledeh, M., &amp; Amubieya, O. E. (2023). Environmental toxicants and health adversities: A review on interventions of phytochemicals. </w:t>
      </w:r>
      <w:r w:rsidRPr="00D76780">
        <w:rPr>
          <w:rFonts w:ascii="Times New Roman" w:hAnsi="Times New Roman" w:cs="Times New Roman"/>
          <w:i/>
          <w:iCs/>
        </w:rPr>
        <w:t>Journal of Public Health Research</w:t>
      </w:r>
      <w:r w:rsidRPr="00D76780">
        <w:rPr>
          <w:rFonts w:ascii="Times New Roman" w:hAnsi="Times New Roman" w:cs="Times New Roman"/>
        </w:rPr>
        <w:t xml:space="preserve">, </w:t>
      </w:r>
      <w:r w:rsidRPr="00D76780">
        <w:rPr>
          <w:rFonts w:ascii="Times New Roman" w:hAnsi="Times New Roman" w:cs="Times New Roman"/>
          <w:i/>
          <w:iCs/>
        </w:rPr>
        <w:t>12</w:t>
      </w:r>
      <w:r w:rsidRPr="00D76780">
        <w:rPr>
          <w:rFonts w:ascii="Times New Roman" w:hAnsi="Times New Roman" w:cs="Times New Roman"/>
        </w:rPr>
        <w:t>(2), 22799036231181226. https://doi.org/10.1177/22799036231181226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Soni, A., Lawal, O. P., Oyovwi, J. O., Olaniyi, H. I., Anosike, W. O., Orobator, E. T., Gabriels, N., Ghori, I. A. K., &amp; Olaniyi, A. O. (2025). Evaluating the Beneficial Effect of Empagliflozin in Reducing Hospitalisation for Heart Failure in Patients With Type 2 Diabetes Mellitus: A Systematic Review. </w:t>
      </w:r>
      <w:r w:rsidRPr="00D76780">
        <w:rPr>
          <w:rFonts w:ascii="Times New Roman" w:hAnsi="Times New Roman" w:cs="Times New Roman"/>
          <w:i/>
          <w:iCs/>
        </w:rPr>
        <w:t>Cureus</w:t>
      </w:r>
      <w:r w:rsidRPr="00D76780">
        <w:rPr>
          <w:rFonts w:ascii="Times New Roman" w:hAnsi="Times New Roman" w:cs="Times New Roman"/>
        </w:rPr>
        <w:t>. https://doi.org/10.7759/cureus.96593</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Struys, I., Velázquez, C., Ubels, J., LeJeune, C. L., van Roosmalen, M. J., Rosendahl Huber, A. K. M., van Leeuwen, A. J. C. N., Bossuyt, W., Thienpont, B., Voet, T., Van Calsteren, K., Lenaerts, L., van Boxtel, R., &amp; Amant, F. (2025). Prenatal Exposure to Chemotherapy Increases the Mutation Burden in Human Neonatal Hematopoietic Stem Cells. </w:t>
      </w:r>
      <w:r w:rsidRPr="00D76780">
        <w:rPr>
          <w:rFonts w:ascii="Times New Roman" w:hAnsi="Times New Roman" w:cs="Times New Roman"/>
          <w:i/>
          <w:iCs/>
        </w:rPr>
        <w:t>Cancer Discovery</w:t>
      </w:r>
      <w:r w:rsidRPr="00D76780">
        <w:rPr>
          <w:rFonts w:ascii="Times New Roman" w:hAnsi="Times New Roman" w:cs="Times New Roman"/>
        </w:rPr>
        <w:t xml:space="preserve">, </w:t>
      </w:r>
      <w:r w:rsidRPr="00D76780">
        <w:rPr>
          <w:rFonts w:ascii="Times New Roman" w:hAnsi="Times New Roman" w:cs="Times New Roman"/>
          <w:i/>
          <w:iCs/>
        </w:rPr>
        <w:t>15</w:t>
      </w:r>
      <w:r w:rsidRPr="00D76780">
        <w:rPr>
          <w:rFonts w:ascii="Times New Roman" w:hAnsi="Times New Roman" w:cs="Times New Roman"/>
        </w:rPr>
        <w:t>(5), 903–912. https://doi.org/10.1158/2159-8290.CD-24-1368</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lastRenderedPageBreak/>
        <w:t xml:space="preserve">Taiba, J., Beseler, C., Zahid, M., Bartelt‐Hunt, S., Kolok, A., &amp; Rogan, E. (2025). Exploring the Joint Association Between Agrichemical Mixtures and Pediatric Cancer. </w:t>
      </w:r>
      <w:r w:rsidRPr="00D76780">
        <w:rPr>
          <w:rFonts w:ascii="Times New Roman" w:hAnsi="Times New Roman" w:cs="Times New Roman"/>
          <w:i/>
          <w:iCs/>
        </w:rPr>
        <w:t>GeoHealth</w:t>
      </w:r>
      <w:r w:rsidRPr="00D76780">
        <w:rPr>
          <w:rFonts w:ascii="Times New Roman" w:hAnsi="Times New Roman" w:cs="Times New Roman"/>
        </w:rPr>
        <w:t xml:space="preserve">, </w:t>
      </w:r>
      <w:r w:rsidRPr="00D76780">
        <w:rPr>
          <w:rFonts w:ascii="Times New Roman" w:hAnsi="Times New Roman" w:cs="Times New Roman"/>
          <w:i/>
          <w:iCs/>
        </w:rPr>
        <w:t>9</w:t>
      </w:r>
      <w:r w:rsidRPr="00D76780">
        <w:rPr>
          <w:rFonts w:ascii="Times New Roman" w:hAnsi="Times New Roman" w:cs="Times New Roman"/>
        </w:rPr>
        <w:t>(2), e2024GH001236. https://doi.org/10.1029/2024GH001236</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Tajai, P., Pruksakorn, D., Chattipakorn, S. C., Chattipakorn, N., &amp; Shinlapawittayatorn, K. (2023). Effects of glyphosate-based herbicides and glyphosate exposure on sex hormones and the reproductive system: From epidemiological evidence to mechanistic insights. </w:t>
      </w:r>
      <w:r w:rsidRPr="00D76780">
        <w:rPr>
          <w:rFonts w:ascii="Times New Roman" w:hAnsi="Times New Roman" w:cs="Times New Roman"/>
          <w:i/>
          <w:iCs/>
        </w:rPr>
        <w:t>Environmental Toxicology and Pharmacology</w:t>
      </w:r>
      <w:r w:rsidRPr="00D76780">
        <w:rPr>
          <w:rFonts w:ascii="Times New Roman" w:hAnsi="Times New Roman" w:cs="Times New Roman"/>
        </w:rPr>
        <w:t xml:space="preserve">, </w:t>
      </w:r>
      <w:r w:rsidRPr="00D76780">
        <w:rPr>
          <w:rFonts w:ascii="Times New Roman" w:hAnsi="Times New Roman" w:cs="Times New Roman"/>
          <w:i/>
          <w:iCs/>
        </w:rPr>
        <w:t>102</w:t>
      </w:r>
      <w:r w:rsidRPr="00D76780">
        <w:rPr>
          <w:rFonts w:ascii="Times New Roman" w:hAnsi="Times New Roman" w:cs="Times New Roman"/>
        </w:rPr>
        <w:t>, 104252. https://doi.org/10.1016/j.etap.2023.104252</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Vinnars, M.-T., Bixo, M., &amp; Damdimopoulou, P. (2023). Pregnancy-related maternal physiological adaptations and fetal chemical exposure. </w:t>
      </w:r>
      <w:r w:rsidRPr="00D76780">
        <w:rPr>
          <w:rFonts w:ascii="Times New Roman" w:hAnsi="Times New Roman" w:cs="Times New Roman"/>
          <w:i/>
          <w:iCs/>
        </w:rPr>
        <w:t>Molecular and Cellular Endocrinology</w:t>
      </w:r>
      <w:r w:rsidRPr="00D76780">
        <w:rPr>
          <w:rFonts w:ascii="Times New Roman" w:hAnsi="Times New Roman" w:cs="Times New Roman"/>
        </w:rPr>
        <w:t xml:space="preserve">, </w:t>
      </w:r>
      <w:r w:rsidRPr="00D76780">
        <w:rPr>
          <w:rFonts w:ascii="Times New Roman" w:hAnsi="Times New Roman" w:cs="Times New Roman"/>
          <w:i/>
          <w:iCs/>
        </w:rPr>
        <w:t>578</w:t>
      </w:r>
      <w:r w:rsidRPr="00D76780">
        <w:rPr>
          <w:rFonts w:ascii="Times New Roman" w:hAnsi="Times New Roman" w:cs="Times New Roman"/>
        </w:rPr>
        <w:t>, 112064. https://doi.org/10.1016/j.mce.2023.112064</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Wang, Z., Akber, M. A., Aziz, A. A., Wang, Z., Akber, M. A., &amp; Aziz, A. A. (2025). Application of Remote Sensing and Geographic Information Systems for Monitoring and Managing Chili Crops: A Systematic Review. </w:t>
      </w:r>
      <w:r w:rsidRPr="00D76780">
        <w:rPr>
          <w:rFonts w:ascii="Times New Roman" w:hAnsi="Times New Roman" w:cs="Times New Roman"/>
          <w:i/>
          <w:iCs/>
        </w:rPr>
        <w:t>Remote Sensing</w:t>
      </w:r>
      <w:r w:rsidRPr="00D76780">
        <w:rPr>
          <w:rFonts w:ascii="Times New Roman" w:hAnsi="Times New Roman" w:cs="Times New Roman"/>
        </w:rPr>
        <w:t xml:space="preserve">, </w:t>
      </w:r>
      <w:r w:rsidRPr="00D76780">
        <w:rPr>
          <w:rFonts w:ascii="Times New Roman" w:hAnsi="Times New Roman" w:cs="Times New Roman"/>
          <w:i/>
          <w:iCs/>
        </w:rPr>
        <w:t>17</w:t>
      </w:r>
      <w:r w:rsidRPr="00D76780">
        <w:rPr>
          <w:rFonts w:ascii="Times New Roman" w:hAnsi="Times New Roman" w:cs="Times New Roman"/>
        </w:rPr>
        <w:t>(16). https://doi.org/10.3390/rs17162827</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Yang, H.-H., Paul, K. C., Cockburn, M. G., Thompson, L. K., Cheng, M. Y., Suh, J. D., Wang, M. B., &amp; Lee, J. T. (2023). Residential Proximity to a Commercial Pesticide Application Site and Risk of Chronic Rhinosinusitis. </w:t>
      </w:r>
      <w:r w:rsidRPr="00D76780">
        <w:rPr>
          <w:rFonts w:ascii="Times New Roman" w:hAnsi="Times New Roman" w:cs="Times New Roman"/>
          <w:i/>
          <w:iCs/>
        </w:rPr>
        <w:t>JAMA Otolaryngology-- Head &amp; Neck Surgery</w:t>
      </w:r>
      <w:r w:rsidRPr="00D76780">
        <w:rPr>
          <w:rFonts w:ascii="Times New Roman" w:hAnsi="Times New Roman" w:cs="Times New Roman"/>
        </w:rPr>
        <w:t xml:space="preserve">, </w:t>
      </w:r>
      <w:r w:rsidRPr="00D76780">
        <w:rPr>
          <w:rFonts w:ascii="Times New Roman" w:hAnsi="Times New Roman" w:cs="Times New Roman"/>
          <w:i/>
          <w:iCs/>
        </w:rPr>
        <w:t>149</w:t>
      </w:r>
      <w:r w:rsidRPr="00D76780">
        <w:rPr>
          <w:rFonts w:ascii="Times New Roman" w:hAnsi="Times New Roman" w:cs="Times New Roman"/>
        </w:rPr>
        <w:t>(9), 773–780. https://doi.org/10.1001/jamaoto.2023.1499</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Zahnreich, S., Schmidberger, H., Zahnreich, S., &amp; Schmidberger, H. (2021). Childhood Cancer: Occurrence, Treatment and Risk of Second Primary Malignancies. </w:t>
      </w:r>
      <w:r w:rsidRPr="00D76780">
        <w:rPr>
          <w:rFonts w:ascii="Times New Roman" w:hAnsi="Times New Roman" w:cs="Times New Roman"/>
          <w:i/>
          <w:iCs/>
        </w:rPr>
        <w:t>Cancers</w:t>
      </w:r>
      <w:r w:rsidRPr="00D76780">
        <w:rPr>
          <w:rFonts w:ascii="Times New Roman" w:hAnsi="Times New Roman" w:cs="Times New Roman"/>
        </w:rPr>
        <w:t xml:space="preserve">, </w:t>
      </w:r>
      <w:r w:rsidRPr="00D76780">
        <w:rPr>
          <w:rFonts w:ascii="Times New Roman" w:hAnsi="Times New Roman" w:cs="Times New Roman"/>
          <w:i/>
          <w:iCs/>
        </w:rPr>
        <w:t>13</w:t>
      </w:r>
      <w:r w:rsidRPr="00D76780">
        <w:rPr>
          <w:rFonts w:ascii="Times New Roman" w:hAnsi="Times New Roman" w:cs="Times New Roman"/>
        </w:rPr>
        <w:t>(11). https://doi.org/10.3390/cancers13112607</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lastRenderedPageBreak/>
        <w:t xml:space="preserve">Zhang, S., Xiao, X., Yi, Y., Wang, X., Zhu, L., Shen, Y., Lin, D., &amp; Wu, C. (2024). Tumor initiation and early tumorigenesis: Molecular mechanisms and interventional targets. </w:t>
      </w:r>
      <w:r w:rsidRPr="00D76780">
        <w:rPr>
          <w:rFonts w:ascii="Times New Roman" w:hAnsi="Times New Roman" w:cs="Times New Roman"/>
          <w:i/>
          <w:iCs/>
        </w:rPr>
        <w:t>Signal Transduction and Targeted Therapy</w:t>
      </w:r>
      <w:r w:rsidRPr="00D76780">
        <w:rPr>
          <w:rFonts w:ascii="Times New Roman" w:hAnsi="Times New Roman" w:cs="Times New Roman"/>
        </w:rPr>
        <w:t xml:space="preserve">, </w:t>
      </w:r>
      <w:r w:rsidRPr="00D76780">
        <w:rPr>
          <w:rFonts w:ascii="Times New Roman" w:hAnsi="Times New Roman" w:cs="Times New Roman"/>
          <w:i/>
          <w:iCs/>
        </w:rPr>
        <w:t>9</w:t>
      </w:r>
      <w:r w:rsidRPr="00D76780">
        <w:rPr>
          <w:rFonts w:ascii="Times New Roman" w:hAnsi="Times New Roman" w:cs="Times New Roman"/>
        </w:rPr>
        <w:t>(1), 149. https://doi.org/10.1038/s41392-024-01848-7</w:t>
      </w:r>
    </w:p>
    <w:p w:rsidR="00D76780" w:rsidRPr="00D76780" w:rsidRDefault="00D76780" w:rsidP="00D76780">
      <w:pPr>
        <w:pStyle w:val="Bibliography"/>
        <w:rPr>
          <w:rFonts w:ascii="Times New Roman" w:hAnsi="Times New Roman" w:cs="Times New Roman"/>
        </w:rPr>
      </w:pPr>
      <w:r w:rsidRPr="00D76780">
        <w:rPr>
          <w:rFonts w:ascii="Times New Roman" w:hAnsi="Times New Roman" w:cs="Times New Roman"/>
        </w:rPr>
        <w:t xml:space="preserve">Zhao, A. P., Li, S., Cao, Z., Hu, P. J.-H., Wang, J., Xiang, Y., Xie, D., &amp; Lu, X. (2024). AI for science: Predicting infectious diseases. </w:t>
      </w:r>
      <w:r w:rsidRPr="00D76780">
        <w:rPr>
          <w:rFonts w:ascii="Times New Roman" w:hAnsi="Times New Roman" w:cs="Times New Roman"/>
          <w:i/>
          <w:iCs/>
        </w:rPr>
        <w:t>Journal of Safety Science and Resilience</w:t>
      </w:r>
      <w:r w:rsidRPr="00D76780">
        <w:rPr>
          <w:rFonts w:ascii="Times New Roman" w:hAnsi="Times New Roman" w:cs="Times New Roman"/>
        </w:rPr>
        <w:t xml:space="preserve">, </w:t>
      </w:r>
      <w:r w:rsidRPr="00D76780">
        <w:rPr>
          <w:rFonts w:ascii="Times New Roman" w:hAnsi="Times New Roman" w:cs="Times New Roman"/>
          <w:i/>
          <w:iCs/>
        </w:rPr>
        <w:t>5</w:t>
      </w:r>
      <w:r w:rsidRPr="00D76780">
        <w:rPr>
          <w:rFonts w:ascii="Times New Roman" w:hAnsi="Times New Roman" w:cs="Times New Roman"/>
        </w:rPr>
        <w:t>(2), 130–146. https://doi.org/10.1016/j.jnlssr.2024.02.002</w:t>
      </w:r>
    </w:p>
    <w:p w:rsidR="00D76780" w:rsidRPr="00D76780" w:rsidRDefault="00A60316">
      <w:pPr>
        <w:rPr>
          <w:rFonts w:ascii="Times New Roman" w:hAnsi="Times New Roman" w:cs="Times New Roman"/>
          <w:b/>
        </w:rPr>
      </w:pPr>
      <w:r>
        <w:rPr>
          <w:rFonts w:ascii="Times New Roman" w:hAnsi="Times New Roman" w:cs="Times New Roman"/>
          <w:b/>
        </w:rPr>
        <w:fldChar w:fldCharType="end"/>
      </w:r>
    </w:p>
    <w:sectPr w:rsidR="00D76780" w:rsidRPr="00D76780" w:rsidSect="00D44DF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6F77" w:rsidRDefault="00396F77" w:rsidP="00781932">
      <w:pPr>
        <w:spacing w:after="0" w:line="240" w:lineRule="auto"/>
      </w:pPr>
      <w:r>
        <w:separator/>
      </w:r>
    </w:p>
  </w:endnote>
  <w:endnote w:type="continuationSeparator" w:id="0">
    <w:p w:rsidR="00396F77" w:rsidRDefault="00396F77" w:rsidP="00781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932" w:rsidRDefault="00781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932" w:rsidRDefault="00781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932" w:rsidRDefault="00781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6F77" w:rsidRDefault="00396F77" w:rsidP="00781932">
      <w:pPr>
        <w:spacing w:after="0" w:line="240" w:lineRule="auto"/>
      </w:pPr>
      <w:r>
        <w:separator/>
      </w:r>
    </w:p>
  </w:footnote>
  <w:footnote w:type="continuationSeparator" w:id="0">
    <w:p w:rsidR="00396F77" w:rsidRDefault="00396F77" w:rsidP="00781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932" w:rsidRDefault="007819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2"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932" w:rsidRDefault="007819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3"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1932" w:rsidRDefault="007819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460171"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AB8"/>
    <w:multiLevelType w:val="multilevel"/>
    <w:tmpl w:val="52E2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20D1E"/>
    <w:multiLevelType w:val="multilevel"/>
    <w:tmpl w:val="CB70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D68A6"/>
    <w:multiLevelType w:val="multilevel"/>
    <w:tmpl w:val="DF2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2E44A6"/>
    <w:multiLevelType w:val="multilevel"/>
    <w:tmpl w:val="882E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2344"/>
    <w:multiLevelType w:val="multilevel"/>
    <w:tmpl w:val="3C061E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07040B"/>
    <w:multiLevelType w:val="multilevel"/>
    <w:tmpl w:val="904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8E3930"/>
    <w:multiLevelType w:val="multilevel"/>
    <w:tmpl w:val="6B7E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3E7731"/>
    <w:multiLevelType w:val="multilevel"/>
    <w:tmpl w:val="B00E8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B8747F"/>
    <w:multiLevelType w:val="multilevel"/>
    <w:tmpl w:val="1F00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A680B"/>
    <w:multiLevelType w:val="multilevel"/>
    <w:tmpl w:val="6960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06E0F"/>
    <w:multiLevelType w:val="multilevel"/>
    <w:tmpl w:val="0B9C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0"/>
  </w:num>
  <w:num w:numId="4">
    <w:abstractNumId w:val="4"/>
  </w:num>
  <w:num w:numId="5">
    <w:abstractNumId w:val="10"/>
  </w:num>
  <w:num w:numId="6">
    <w:abstractNumId w:val="3"/>
  </w:num>
  <w:num w:numId="7">
    <w:abstractNumId w:val="7"/>
  </w:num>
  <w:num w:numId="8">
    <w:abstractNumId w:val="1"/>
  </w:num>
  <w:num w:numId="9">
    <w:abstractNumId w:val="6"/>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4314"/>
    <w:rsid w:val="0004444D"/>
    <w:rsid w:val="00140182"/>
    <w:rsid w:val="00143BB5"/>
    <w:rsid w:val="001850B9"/>
    <w:rsid w:val="00271BC5"/>
    <w:rsid w:val="002F6694"/>
    <w:rsid w:val="003170B5"/>
    <w:rsid w:val="00352278"/>
    <w:rsid w:val="00372F01"/>
    <w:rsid w:val="00396F77"/>
    <w:rsid w:val="003A0DEC"/>
    <w:rsid w:val="003F0132"/>
    <w:rsid w:val="00484549"/>
    <w:rsid w:val="00551344"/>
    <w:rsid w:val="005610FF"/>
    <w:rsid w:val="005D4314"/>
    <w:rsid w:val="005F0D82"/>
    <w:rsid w:val="005F12C1"/>
    <w:rsid w:val="00676515"/>
    <w:rsid w:val="006935BD"/>
    <w:rsid w:val="006C27AA"/>
    <w:rsid w:val="00770E2E"/>
    <w:rsid w:val="0077462B"/>
    <w:rsid w:val="00781932"/>
    <w:rsid w:val="007C0A09"/>
    <w:rsid w:val="0082378F"/>
    <w:rsid w:val="00857D2E"/>
    <w:rsid w:val="008704C6"/>
    <w:rsid w:val="008B6408"/>
    <w:rsid w:val="009F2202"/>
    <w:rsid w:val="00A60316"/>
    <w:rsid w:val="00AD780F"/>
    <w:rsid w:val="00AF5059"/>
    <w:rsid w:val="00B32D1F"/>
    <w:rsid w:val="00B33182"/>
    <w:rsid w:val="00BA1AA7"/>
    <w:rsid w:val="00C0706C"/>
    <w:rsid w:val="00CD2CA2"/>
    <w:rsid w:val="00D44DF3"/>
    <w:rsid w:val="00D76780"/>
    <w:rsid w:val="00DC70BD"/>
    <w:rsid w:val="00DE3645"/>
    <w:rsid w:val="00E962B3"/>
    <w:rsid w:val="00EE4476"/>
    <w:rsid w:val="00F711F4"/>
    <w:rsid w:val="00FF09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A9BC6D"/>
  <w15:docId w15:val="{62B09EDF-4906-42D0-BDEE-2A599DEC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4DF3"/>
  </w:style>
  <w:style w:type="paragraph" w:styleId="Heading2">
    <w:name w:val="heading 2"/>
    <w:basedOn w:val="Normal"/>
    <w:next w:val="Normal"/>
    <w:link w:val="Heading2Char"/>
    <w:uiPriority w:val="9"/>
    <w:semiHidden/>
    <w:unhideWhenUsed/>
    <w:qFormat/>
    <w:rsid w:val="00B32D1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5D4314"/>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paragraph" w:styleId="Heading4">
    <w:name w:val="heading 4"/>
    <w:basedOn w:val="Normal"/>
    <w:next w:val="Normal"/>
    <w:link w:val="Heading4Char"/>
    <w:uiPriority w:val="9"/>
    <w:semiHidden/>
    <w:unhideWhenUsed/>
    <w:qFormat/>
    <w:rsid w:val="005D4314"/>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D4314"/>
    <w:rPr>
      <w:rFonts w:ascii="Times New Roman" w:eastAsia="Times New Roman" w:hAnsi="Times New Roman" w:cs="Times New Roman"/>
      <w:b/>
      <w:bCs/>
      <w:kern w:val="0"/>
      <w:sz w:val="27"/>
      <w:szCs w:val="27"/>
    </w:rPr>
  </w:style>
  <w:style w:type="paragraph" w:styleId="NormalWeb">
    <w:name w:val="Normal (Web)"/>
    <w:basedOn w:val="Normal"/>
    <w:uiPriority w:val="99"/>
    <w:unhideWhenUsed/>
    <w:rsid w:val="005D4314"/>
    <w:pPr>
      <w:spacing w:before="100" w:beforeAutospacing="1" w:after="100" w:afterAutospacing="1" w:line="240" w:lineRule="auto"/>
    </w:pPr>
    <w:rPr>
      <w:rFonts w:ascii="Times New Roman" w:eastAsia="Times New Roman" w:hAnsi="Times New Roman" w:cs="Times New Roman"/>
      <w:kern w:val="0"/>
    </w:rPr>
  </w:style>
  <w:style w:type="character" w:customStyle="1" w:styleId="Heading4Char">
    <w:name w:val="Heading 4 Char"/>
    <w:basedOn w:val="DefaultParagraphFont"/>
    <w:link w:val="Heading4"/>
    <w:uiPriority w:val="9"/>
    <w:semiHidden/>
    <w:rsid w:val="005D4314"/>
    <w:rPr>
      <w:rFonts w:asciiTheme="majorHAnsi" w:eastAsiaTheme="majorEastAsia" w:hAnsiTheme="majorHAnsi" w:cstheme="majorBidi"/>
      <w:b/>
      <w:bCs/>
      <w:i/>
      <w:iCs/>
      <w:color w:val="4472C4" w:themeColor="accent1"/>
    </w:rPr>
  </w:style>
  <w:style w:type="character" w:styleId="Strong">
    <w:name w:val="Strong"/>
    <w:basedOn w:val="DefaultParagraphFont"/>
    <w:uiPriority w:val="22"/>
    <w:qFormat/>
    <w:rsid w:val="005D4314"/>
    <w:rPr>
      <w:b/>
      <w:bCs/>
    </w:rPr>
  </w:style>
  <w:style w:type="character" w:styleId="Emphasis">
    <w:name w:val="Emphasis"/>
    <w:basedOn w:val="DefaultParagraphFont"/>
    <w:uiPriority w:val="20"/>
    <w:qFormat/>
    <w:rsid w:val="007C0A09"/>
    <w:rPr>
      <w:i/>
      <w:iCs/>
    </w:rPr>
  </w:style>
  <w:style w:type="character" w:customStyle="1" w:styleId="Heading2Char">
    <w:name w:val="Heading 2 Char"/>
    <w:basedOn w:val="DefaultParagraphFont"/>
    <w:link w:val="Heading2"/>
    <w:uiPriority w:val="9"/>
    <w:semiHidden/>
    <w:rsid w:val="00B32D1F"/>
    <w:rPr>
      <w:rFonts w:asciiTheme="majorHAnsi" w:eastAsiaTheme="majorEastAsia" w:hAnsiTheme="majorHAnsi" w:cstheme="majorBidi"/>
      <w:b/>
      <w:bCs/>
      <w:color w:val="4472C4" w:themeColor="accent1"/>
      <w:sz w:val="26"/>
      <w:szCs w:val="26"/>
    </w:rPr>
  </w:style>
  <w:style w:type="paragraph" w:styleId="BalloonText">
    <w:name w:val="Balloon Text"/>
    <w:basedOn w:val="Normal"/>
    <w:link w:val="BalloonTextChar"/>
    <w:uiPriority w:val="99"/>
    <w:semiHidden/>
    <w:unhideWhenUsed/>
    <w:rsid w:val="006765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515"/>
    <w:rPr>
      <w:rFonts w:ascii="Tahoma" w:hAnsi="Tahoma" w:cs="Tahoma"/>
      <w:sz w:val="16"/>
      <w:szCs w:val="16"/>
    </w:rPr>
  </w:style>
  <w:style w:type="paragraph" w:styleId="Bibliography">
    <w:name w:val="Bibliography"/>
    <w:basedOn w:val="Normal"/>
    <w:next w:val="Normal"/>
    <w:uiPriority w:val="37"/>
    <w:unhideWhenUsed/>
    <w:rsid w:val="00D76780"/>
    <w:pPr>
      <w:spacing w:after="0" w:line="480" w:lineRule="auto"/>
      <w:ind w:left="720" w:hanging="720"/>
    </w:pPr>
  </w:style>
  <w:style w:type="character" w:styleId="Hyperlink">
    <w:name w:val="Hyperlink"/>
    <w:basedOn w:val="DefaultParagraphFont"/>
    <w:uiPriority w:val="99"/>
    <w:unhideWhenUsed/>
    <w:rsid w:val="00BA1AA7"/>
    <w:rPr>
      <w:color w:val="0563C1" w:themeColor="hyperlink"/>
      <w:u w:val="single"/>
    </w:rPr>
  </w:style>
  <w:style w:type="character" w:styleId="UnresolvedMention">
    <w:name w:val="Unresolved Mention"/>
    <w:basedOn w:val="DefaultParagraphFont"/>
    <w:uiPriority w:val="99"/>
    <w:semiHidden/>
    <w:unhideWhenUsed/>
    <w:rsid w:val="00DC70BD"/>
    <w:rPr>
      <w:color w:val="605E5C"/>
      <w:shd w:val="clear" w:color="auto" w:fill="E1DFDD"/>
    </w:rPr>
  </w:style>
  <w:style w:type="paragraph" w:styleId="Header">
    <w:name w:val="header"/>
    <w:basedOn w:val="Normal"/>
    <w:link w:val="HeaderChar"/>
    <w:uiPriority w:val="99"/>
    <w:unhideWhenUsed/>
    <w:rsid w:val="00781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1932"/>
  </w:style>
  <w:style w:type="paragraph" w:styleId="Footer">
    <w:name w:val="footer"/>
    <w:basedOn w:val="Normal"/>
    <w:link w:val="FooterChar"/>
    <w:uiPriority w:val="99"/>
    <w:unhideWhenUsed/>
    <w:rsid w:val="00781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1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30426">
      <w:bodyDiv w:val="1"/>
      <w:marLeft w:val="0"/>
      <w:marRight w:val="0"/>
      <w:marTop w:val="0"/>
      <w:marBottom w:val="0"/>
      <w:divBdr>
        <w:top w:val="none" w:sz="0" w:space="0" w:color="auto"/>
        <w:left w:val="none" w:sz="0" w:space="0" w:color="auto"/>
        <w:bottom w:val="none" w:sz="0" w:space="0" w:color="auto"/>
        <w:right w:val="none" w:sz="0" w:space="0" w:color="auto"/>
      </w:divBdr>
    </w:div>
    <w:div w:id="188446996">
      <w:bodyDiv w:val="1"/>
      <w:marLeft w:val="0"/>
      <w:marRight w:val="0"/>
      <w:marTop w:val="0"/>
      <w:marBottom w:val="0"/>
      <w:divBdr>
        <w:top w:val="none" w:sz="0" w:space="0" w:color="auto"/>
        <w:left w:val="none" w:sz="0" w:space="0" w:color="auto"/>
        <w:bottom w:val="none" w:sz="0" w:space="0" w:color="auto"/>
        <w:right w:val="none" w:sz="0" w:space="0" w:color="auto"/>
      </w:divBdr>
    </w:div>
    <w:div w:id="416439797">
      <w:bodyDiv w:val="1"/>
      <w:marLeft w:val="0"/>
      <w:marRight w:val="0"/>
      <w:marTop w:val="0"/>
      <w:marBottom w:val="0"/>
      <w:divBdr>
        <w:top w:val="none" w:sz="0" w:space="0" w:color="auto"/>
        <w:left w:val="none" w:sz="0" w:space="0" w:color="auto"/>
        <w:bottom w:val="none" w:sz="0" w:space="0" w:color="auto"/>
        <w:right w:val="none" w:sz="0" w:space="0" w:color="auto"/>
      </w:divBdr>
    </w:div>
    <w:div w:id="505635894">
      <w:bodyDiv w:val="1"/>
      <w:marLeft w:val="0"/>
      <w:marRight w:val="0"/>
      <w:marTop w:val="0"/>
      <w:marBottom w:val="0"/>
      <w:divBdr>
        <w:top w:val="none" w:sz="0" w:space="0" w:color="auto"/>
        <w:left w:val="none" w:sz="0" w:space="0" w:color="auto"/>
        <w:bottom w:val="none" w:sz="0" w:space="0" w:color="auto"/>
        <w:right w:val="none" w:sz="0" w:space="0" w:color="auto"/>
      </w:divBdr>
    </w:div>
    <w:div w:id="586381411">
      <w:bodyDiv w:val="1"/>
      <w:marLeft w:val="0"/>
      <w:marRight w:val="0"/>
      <w:marTop w:val="0"/>
      <w:marBottom w:val="0"/>
      <w:divBdr>
        <w:top w:val="none" w:sz="0" w:space="0" w:color="auto"/>
        <w:left w:val="none" w:sz="0" w:space="0" w:color="auto"/>
        <w:bottom w:val="none" w:sz="0" w:space="0" w:color="auto"/>
        <w:right w:val="none" w:sz="0" w:space="0" w:color="auto"/>
      </w:divBdr>
      <w:divsChild>
        <w:div w:id="118825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2907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284547">
      <w:bodyDiv w:val="1"/>
      <w:marLeft w:val="0"/>
      <w:marRight w:val="0"/>
      <w:marTop w:val="0"/>
      <w:marBottom w:val="0"/>
      <w:divBdr>
        <w:top w:val="none" w:sz="0" w:space="0" w:color="auto"/>
        <w:left w:val="none" w:sz="0" w:space="0" w:color="auto"/>
        <w:bottom w:val="none" w:sz="0" w:space="0" w:color="auto"/>
        <w:right w:val="none" w:sz="0" w:space="0" w:color="auto"/>
      </w:divBdr>
      <w:divsChild>
        <w:div w:id="44311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714164">
      <w:bodyDiv w:val="1"/>
      <w:marLeft w:val="0"/>
      <w:marRight w:val="0"/>
      <w:marTop w:val="0"/>
      <w:marBottom w:val="0"/>
      <w:divBdr>
        <w:top w:val="none" w:sz="0" w:space="0" w:color="auto"/>
        <w:left w:val="none" w:sz="0" w:space="0" w:color="auto"/>
        <w:bottom w:val="none" w:sz="0" w:space="0" w:color="auto"/>
        <w:right w:val="none" w:sz="0" w:space="0" w:color="auto"/>
      </w:divBdr>
    </w:div>
    <w:div w:id="938678154">
      <w:bodyDiv w:val="1"/>
      <w:marLeft w:val="0"/>
      <w:marRight w:val="0"/>
      <w:marTop w:val="0"/>
      <w:marBottom w:val="0"/>
      <w:divBdr>
        <w:top w:val="none" w:sz="0" w:space="0" w:color="auto"/>
        <w:left w:val="none" w:sz="0" w:space="0" w:color="auto"/>
        <w:bottom w:val="none" w:sz="0" w:space="0" w:color="auto"/>
        <w:right w:val="none" w:sz="0" w:space="0" w:color="auto"/>
      </w:divBdr>
    </w:div>
    <w:div w:id="1068193350">
      <w:bodyDiv w:val="1"/>
      <w:marLeft w:val="0"/>
      <w:marRight w:val="0"/>
      <w:marTop w:val="0"/>
      <w:marBottom w:val="0"/>
      <w:divBdr>
        <w:top w:val="none" w:sz="0" w:space="0" w:color="auto"/>
        <w:left w:val="none" w:sz="0" w:space="0" w:color="auto"/>
        <w:bottom w:val="none" w:sz="0" w:space="0" w:color="auto"/>
        <w:right w:val="none" w:sz="0" w:space="0" w:color="auto"/>
      </w:divBdr>
    </w:div>
    <w:div w:id="1172570119">
      <w:bodyDiv w:val="1"/>
      <w:marLeft w:val="0"/>
      <w:marRight w:val="0"/>
      <w:marTop w:val="0"/>
      <w:marBottom w:val="0"/>
      <w:divBdr>
        <w:top w:val="none" w:sz="0" w:space="0" w:color="auto"/>
        <w:left w:val="none" w:sz="0" w:space="0" w:color="auto"/>
        <w:bottom w:val="none" w:sz="0" w:space="0" w:color="auto"/>
        <w:right w:val="none" w:sz="0" w:space="0" w:color="auto"/>
      </w:divBdr>
    </w:div>
    <w:div w:id="1397900939">
      <w:bodyDiv w:val="1"/>
      <w:marLeft w:val="0"/>
      <w:marRight w:val="0"/>
      <w:marTop w:val="0"/>
      <w:marBottom w:val="0"/>
      <w:divBdr>
        <w:top w:val="none" w:sz="0" w:space="0" w:color="auto"/>
        <w:left w:val="none" w:sz="0" w:space="0" w:color="auto"/>
        <w:bottom w:val="none" w:sz="0" w:space="0" w:color="auto"/>
        <w:right w:val="none" w:sz="0" w:space="0" w:color="auto"/>
      </w:divBdr>
    </w:div>
    <w:div w:id="1524054052">
      <w:bodyDiv w:val="1"/>
      <w:marLeft w:val="0"/>
      <w:marRight w:val="0"/>
      <w:marTop w:val="0"/>
      <w:marBottom w:val="0"/>
      <w:divBdr>
        <w:top w:val="none" w:sz="0" w:space="0" w:color="auto"/>
        <w:left w:val="none" w:sz="0" w:space="0" w:color="auto"/>
        <w:bottom w:val="none" w:sz="0" w:space="0" w:color="auto"/>
        <w:right w:val="none" w:sz="0" w:space="0" w:color="auto"/>
      </w:divBdr>
    </w:div>
    <w:div w:id="1645354805">
      <w:bodyDiv w:val="1"/>
      <w:marLeft w:val="0"/>
      <w:marRight w:val="0"/>
      <w:marTop w:val="0"/>
      <w:marBottom w:val="0"/>
      <w:divBdr>
        <w:top w:val="none" w:sz="0" w:space="0" w:color="auto"/>
        <w:left w:val="none" w:sz="0" w:space="0" w:color="auto"/>
        <w:bottom w:val="none" w:sz="0" w:space="0" w:color="auto"/>
        <w:right w:val="none" w:sz="0" w:space="0" w:color="auto"/>
      </w:divBdr>
    </w:div>
    <w:div w:id="1690058947">
      <w:bodyDiv w:val="1"/>
      <w:marLeft w:val="0"/>
      <w:marRight w:val="0"/>
      <w:marTop w:val="0"/>
      <w:marBottom w:val="0"/>
      <w:divBdr>
        <w:top w:val="none" w:sz="0" w:space="0" w:color="auto"/>
        <w:left w:val="none" w:sz="0" w:space="0" w:color="auto"/>
        <w:bottom w:val="none" w:sz="0" w:space="0" w:color="auto"/>
        <w:right w:val="none" w:sz="0" w:space="0" w:color="auto"/>
      </w:divBdr>
    </w:div>
    <w:div w:id="1704750799">
      <w:bodyDiv w:val="1"/>
      <w:marLeft w:val="0"/>
      <w:marRight w:val="0"/>
      <w:marTop w:val="0"/>
      <w:marBottom w:val="0"/>
      <w:divBdr>
        <w:top w:val="none" w:sz="0" w:space="0" w:color="auto"/>
        <w:left w:val="none" w:sz="0" w:space="0" w:color="auto"/>
        <w:bottom w:val="none" w:sz="0" w:space="0" w:color="auto"/>
        <w:right w:val="none" w:sz="0" w:space="0" w:color="auto"/>
      </w:divBdr>
    </w:div>
    <w:div w:id="21350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25</Pages>
  <Words>27967</Words>
  <Characters>159417</Characters>
  <Application>Microsoft Office Word</Application>
  <DocSecurity>0</DocSecurity>
  <Lines>1328</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dc:creator>
  <cp:lastModifiedBy>SDI 1084</cp:lastModifiedBy>
  <cp:revision>21</cp:revision>
  <dcterms:created xsi:type="dcterms:W3CDTF">2026-01-15T05:39:00Z</dcterms:created>
  <dcterms:modified xsi:type="dcterms:W3CDTF">2026-01-16T12:36:00Z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id="n2InqGId"/&gt;&lt;style id="http://www.zotero.org/styles/apa" locale="en-US" hasBibliography="1" bibliographyStyleHasBeenSet="1"/&gt;&lt;prefs&gt;&lt;pref name="fieldType" value="Field"/&gt;&lt;/prefs&gt;&lt;/data&gt;</vt:lpwstr>
  </property>
</Properties>
</file>