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1AEA" w14:textId="7777777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Circle of Willis: Anatomy, Collateral Circulation, and Clinical Significance in Stroke — A Narrative Review</w:t>
      </w:r>
    </w:p>
    <w:p w14:paraId="25669BA3" w14:textId="77777777" w:rsidR="00596A3A" w:rsidRDefault="00596A3A" w:rsidP="00200A64">
      <w:pPr>
        <w:rPr>
          <w:rFonts w:ascii="Times New Roman" w:hAnsi="Times New Roman" w:cs="Times New Roman"/>
          <w:b/>
          <w:bCs/>
          <w:sz w:val="28"/>
          <w:szCs w:val="28"/>
        </w:rPr>
      </w:pPr>
    </w:p>
    <w:p w14:paraId="71EA132B" w14:textId="77777777" w:rsidR="00596A3A" w:rsidRDefault="00596A3A" w:rsidP="00200A64">
      <w:pPr>
        <w:rPr>
          <w:rFonts w:ascii="Times New Roman" w:hAnsi="Times New Roman" w:cs="Times New Roman"/>
          <w:b/>
          <w:bCs/>
          <w:sz w:val="28"/>
          <w:szCs w:val="28"/>
        </w:rPr>
      </w:pPr>
      <w:bookmarkStart w:id="0" w:name="_GoBack"/>
      <w:bookmarkEnd w:id="0"/>
    </w:p>
    <w:p w14:paraId="49BD52D0" w14:textId="77777777" w:rsidR="00AA7433" w:rsidRPr="00AA7433" w:rsidRDefault="00AA7433" w:rsidP="00AA7433">
      <w:pPr>
        <w:rPr>
          <w:rFonts w:ascii="Times New Roman" w:hAnsi="Times New Roman" w:cs="Times New Roman"/>
          <w:b/>
          <w:bCs/>
          <w:sz w:val="28"/>
          <w:szCs w:val="28"/>
        </w:rPr>
      </w:pPr>
      <w:r w:rsidRPr="00AA7433">
        <w:rPr>
          <w:rFonts w:ascii="Times New Roman" w:hAnsi="Times New Roman" w:cs="Times New Roman"/>
          <w:b/>
          <w:bCs/>
          <w:sz w:val="28"/>
          <w:szCs w:val="28"/>
        </w:rPr>
        <w:t>Abstract</w:t>
      </w:r>
    </w:p>
    <w:p w14:paraId="7F1EBF10" w14:textId="77777777" w:rsidR="00AA7433" w:rsidRPr="00AA7433" w:rsidRDefault="00AA7433" w:rsidP="00AA7433">
      <w:pPr>
        <w:rPr>
          <w:rFonts w:ascii="Times New Roman" w:hAnsi="Times New Roman" w:cs="Times New Roman"/>
          <w:sz w:val="28"/>
          <w:szCs w:val="28"/>
        </w:rPr>
      </w:pPr>
      <w:r w:rsidRPr="00AA7433">
        <w:rPr>
          <w:rFonts w:ascii="Times New Roman" w:hAnsi="Times New Roman" w:cs="Times New Roman"/>
          <w:sz w:val="28"/>
          <w:szCs w:val="28"/>
        </w:rPr>
        <w:t xml:space="preserve">Stroke remains a leading cause of mortality and long-term disability worldwide, with marked variability in clinical presentation, infarct progression, and outcomes among patients with similar vascular occlusions. This heterogeneity is increasingly recognized to be influenced by cerebrovascular anatomy and the efficiency of collateral circulation. The Circle of Willis represents the primary arterial anastomotic network of the brain and plays a critical role in maintaining cerebral perfusion during arterial compromise. This narrative review synthesizes current evidence on the anatomy, embryological development, anatomical variants, and functional significance of the Circle of Willis in relation to stroke pathophysiology, localization, and clinical management. Literature published between 2000 and 2025 was reviewed using major biomedical databases, with emphasis on contemporary studies addressing collateral circulation, ischemic core–penumbra dynamics, and advanced imaging correlates. The review highlights how variations in the Circle of Willis and secondary collateral pathways influence infarct evolution, therapeutic windows, and outcomes in both ischemic and </w:t>
      </w:r>
      <w:proofErr w:type="spellStart"/>
      <w:r w:rsidRPr="00AA7433">
        <w:rPr>
          <w:rFonts w:ascii="Times New Roman" w:hAnsi="Times New Roman" w:cs="Times New Roman"/>
          <w:sz w:val="28"/>
          <w:szCs w:val="28"/>
        </w:rPr>
        <w:t>hemorrhagic</w:t>
      </w:r>
      <w:proofErr w:type="spellEnd"/>
      <w:r w:rsidRPr="00AA7433">
        <w:rPr>
          <w:rFonts w:ascii="Times New Roman" w:hAnsi="Times New Roman" w:cs="Times New Roman"/>
          <w:sz w:val="28"/>
          <w:szCs w:val="28"/>
        </w:rPr>
        <w:t xml:space="preserve"> stroke. Understanding these anatomical and physiological determinants provides a framework for individualized stroke assessment and supports the shift toward anatomy- and tissue-based approaches in acute stroke management. Improved recognition of cerebrovascular variants and collateral status may enhance prognostication and guide precision-based therapeutic strategies.</w:t>
      </w:r>
    </w:p>
    <w:p w14:paraId="5994D048" w14:textId="77777777" w:rsidR="00AA7433" w:rsidRPr="00AA7433" w:rsidRDefault="00AD53E7" w:rsidP="00AA7433">
      <w:pPr>
        <w:rPr>
          <w:rFonts w:ascii="Times New Roman" w:hAnsi="Times New Roman" w:cs="Times New Roman"/>
          <w:sz w:val="28"/>
          <w:szCs w:val="28"/>
        </w:rPr>
      </w:pPr>
      <w:r>
        <w:rPr>
          <w:rFonts w:ascii="Times New Roman" w:hAnsi="Times New Roman" w:cs="Times New Roman"/>
          <w:sz w:val="28"/>
          <w:szCs w:val="28"/>
        </w:rPr>
        <w:pict w14:anchorId="1C50258D">
          <v:rect id="_x0000_i1025" style="width:0;height:1.5pt" o:hralign="center" o:hrstd="t" o:hr="t" fillcolor="#a0a0a0" stroked="f"/>
        </w:pict>
      </w:r>
    </w:p>
    <w:p w14:paraId="3D074395" w14:textId="6A2CFB22" w:rsidR="00AA7433" w:rsidRPr="00AA7433" w:rsidRDefault="00AA7433" w:rsidP="00AA7433">
      <w:pPr>
        <w:rPr>
          <w:rFonts w:ascii="Times New Roman" w:hAnsi="Times New Roman" w:cs="Times New Roman"/>
          <w:b/>
          <w:bCs/>
          <w:sz w:val="28"/>
          <w:szCs w:val="28"/>
        </w:rPr>
      </w:pPr>
      <w:r w:rsidRPr="00AA7433">
        <w:rPr>
          <w:rFonts w:ascii="Times New Roman" w:hAnsi="Times New Roman" w:cs="Times New Roman"/>
          <w:b/>
          <w:bCs/>
          <w:sz w:val="28"/>
          <w:szCs w:val="28"/>
        </w:rPr>
        <w:t>Keywords</w:t>
      </w:r>
    </w:p>
    <w:p w14:paraId="5AB87468" w14:textId="77777777" w:rsidR="00AA7433" w:rsidRDefault="00AA7433" w:rsidP="00AA7433">
      <w:pPr>
        <w:rPr>
          <w:rFonts w:ascii="Times New Roman" w:hAnsi="Times New Roman" w:cs="Times New Roman"/>
          <w:sz w:val="28"/>
          <w:szCs w:val="28"/>
        </w:rPr>
      </w:pPr>
      <w:r w:rsidRPr="00AA7433">
        <w:rPr>
          <w:rFonts w:ascii="Times New Roman" w:hAnsi="Times New Roman" w:cs="Times New Roman"/>
          <w:sz w:val="28"/>
          <w:szCs w:val="28"/>
        </w:rPr>
        <w:t>Circle of Willis; collateral circulation; ischemic stroke; cerebrovascular anatomy; stroke localization</w:t>
      </w:r>
    </w:p>
    <w:p w14:paraId="1BB26E2F" w14:textId="6DCFFFDF" w:rsidR="00AA7433" w:rsidRPr="00AA7433" w:rsidRDefault="00AA7433" w:rsidP="00AA743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F98091E" wp14:editId="5CF0E9C8">
                <wp:simplePos x="0" y="0"/>
                <wp:positionH relativeFrom="column">
                  <wp:posOffset>45720</wp:posOffset>
                </wp:positionH>
                <wp:positionV relativeFrom="paragraph">
                  <wp:posOffset>9525</wp:posOffset>
                </wp:positionV>
                <wp:extent cx="5829300" cy="38100"/>
                <wp:effectExtent l="0" t="0" r="19050" b="19050"/>
                <wp:wrapNone/>
                <wp:docPr id="1545454933" name="Straight Connector 1"/>
                <wp:cNvGraphicFramePr/>
                <a:graphic xmlns:a="http://schemas.openxmlformats.org/drawingml/2006/main">
                  <a:graphicData uri="http://schemas.microsoft.com/office/word/2010/wordprocessingShape">
                    <wps:wsp>
                      <wps:cNvCnPr/>
                      <wps:spPr>
                        <a:xfrm flipV="1">
                          <a:off x="0" y="0"/>
                          <a:ext cx="58293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7F4D2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pt,.75pt" to="462.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" strokecolor="black [3200]" strokeweight=".5pt">
                <v:stroke joinstyle="miter"/>
              </v:line>
            </w:pict>
          </mc:Fallback>
        </mc:AlternateContent>
      </w:r>
    </w:p>
    <w:p w14:paraId="5F8C83C1" w14:textId="2851899E" w:rsidR="00AA7433" w:rsidRPr="00C03CC2" w:rsidRDefault="00AA7433" w:rsidP="00C03CC2">
      <w:pPr>
        <w:pStyle w:val="ListParagraph"/>
        <w:numPr>
          <w:ilvl w:val="0"/>
          <w:numId w:val="3"/>
        </w:numPr>
        <w:rPr>
          <w:rFonts w:ascii="Times New Roman" w:hAnsi="Times New Roman" w:cs="Times New Roman"/>
          <w:b/>
          <w:bCs/>
          <w:sz w:val="28"/>
          <w:szCs w:val="28"/>
        </w:rPr>
      </w:pPr>
      <w:r w:rsidRPr="00C03CC2">
        <w:rPr>
          <w:rFonts w:ascii="Times New Roman" w:hAnsi="Times New Roman" w:cs="Times New Roman"/>
          <w:b/>
          <w:bCs/>
          <w:sz w:val="28"/>
          <w:szCs w:val="28"/>
        </w:rPr>
        <w:t>INTRODUCTION</w:t>
      </w:r>
    </w:p>
    <w:p w14:paraId="5F95A58D" w14:textId="46BB8926" w:rsidR="00B22790" w:rsidRPr="00B22790" w:rsidRDefault="000B4D61" w:rsidP="00C03CC2">
      <w:pPr>
        <w:rPr>
          <w:rFonts w:ascii="Times New Roman" w:hAnsi="Times New Roman" w:cs="Times New Roman"/>
          <w:sz w:val="28"/>
          <w:szCs w:val="28"/>
        </w:rPr>
      </w:pPr>
      <w:r>
        <w:rPr>
          <w:rFonts w:ascii="Times New Roman" w:hAnsi="Times New Roman" w:cs="Times New Roman"/>
          <w:sz w:val="28"/>
          <w:szCs w:val="28"/>
        </w:rPr>
        <w:t xml:space="preserve">Stroke </w:t>
      </w:r>
      <w:r w:rsidR="00287C6B">
        <w:rPr>
          <w:rFonts w:ascii="Times New Roman" w:hAnsi="Times New Roman" w:cs="Times New Roman"/>
          <w:sz w:val="28"/>
          <w:szCs w:val="28"/>
        </w:rPr>
        <w:t xml:space="preserve">continues to be one of the primary causes of death and disability </w:t>
      </w:r>
      <w:proofErr w:type="spellStart"/>
      <w:r w:rsidR="00287C6B">
        <w:rPr>
          <w:rFonts w:ascii="Times New Roman" w:hAnsi="Times New Roman" w:cs="Times New Roman"/>
          <w:sz w:val="28"/>
          <w:szCs w:val="28"/>
        </w:rPr>
        <w:t>encyclopedically</w:t>
      </w:r>
      <w:proofErr w:type="spellEnd"/>
      <w:r w:rsidR="00287C6B">
        <w:rPr>
          <w:rFonts w:ascii="Times New Roman" w:hAnsi="Times New Roman" w:cs="Times New Roman"/>
          <w:sz w:val="28"/>
          <w:szCs w:val="28"/>
        </w:rPr>
        <w:t xml:space="preserve">, creating a significant strain on </w:t>
      </w:r>
      <w:r>
        <w:rPr>
          <w:rFonts w:ascii="Times New Roman" w:hAnsi="Times New Roman" w:cs="Times New Roman"/>
          <w:sz w:val="28"/>
          <w:szCs w:val="28"/>
        </w:rPr>
        <w:t>individuals</w:t>
      </w:r>
      <w:r w:rsidR="00287C6B">
        <w:rPr>
          <w:rFonts w:ascii="Times New Roman" w:hAnsi="Times New Roman" w:cs="Times New Roman"/>
          <w:sz w:val="28"/>
          <w:szCs w:val="28"/>
        </w:rPr>
        <w:t xml:space="preserve">, </w:t>
      </w:r>
      <w:r>
        <w:rPr>
          <w:rFonts w:ascii="Times New Roman" w:hAnsi="Times New Roman" w:cs="Times New Roman"/>
          <w:sz w:val="28"/>
          <w:szCs w:val="28"/>
        </w:rPr>
        <w:t>healthcare</w:t>
      </w:r>
      <w:r w:rsidR="00287C6B">
        <w:rPr>
          <w:rFonts w:ascii="Times New Roman" w:hAnsi="Times New Roman" w:cs="Times New Roman"/>
          <w:sz w:val="28"/>
          <w:szCs w:val="28"/>
        </w:rPr>
        <w:t xml:space="preserve"> sy</w:t>
      </w:r>
      <w:r>
        <w:rPr>
          <w:rFonts w:ascii="Times New Roman" w:hAnsi="Times New Roman" w:cs="Times New Roman"/>
          <w:sz w:val="28"/>
          <w:szCs w:val="28"/>
        </w:rPr>
        <w:t>stems, and society</w:t>
      </w:r>
      <w:r w:rsidR="00577DBA">
        <w:rPr>
          <w:rFonts w:ascii="Times New Roman" w:hAnsi="Times New Roman" w:cs="Times New Roman"/>
          <w:sz w:val="28"/>
          <w:szCs w:val="28"/>
        </w:rPr>
        <w:t xml:space="preserve"> </w:t>
      </w:r>
      <w:r w:rsidR="00B22790" w:rsidRPr="00B22790">
        <w:rPr>
          <w:rFonts w:ascii="Times New Roman" w:hAnsi="Times New Roman" w:cs="Times New Roman"/>
          <w:sz w:val="28"/>
          <w:szCs w:val="28"/>
        </w:rPr>
        <w:t xml:space="preserve">(Murphy &amp; Werring, 2020). Despite significant advances </w:t>
      </w:r>
      <w:r w:rsidR="00B22790" w:rsidRPr="00B22790">
        <w:rPr>
          <w:rFonts w:ascii="Times New Roman" w:hAnsi="Times New Roman" w:cs="Times New Roman"/>
          <w:sz w:val="28"/>
          <w:szCs w:val="28"/>
        </w:rPr>
        <w:lastRenderedPageBreak/>
        <w:t xml:space="preserve">in acute stroke management, marked variability persists in clinical presentation, infarct progression, and functional outcomes among patients with similar vascular occlusions. </w:t>
      </w:r>
      <w:r w:rsidR="00C6567A" w:rsidRPr="00C6567A">
        <w:rPr>
          <w:rFonts w:ascii="Times New Roman" w:hAnsi="Times New Roman" w:cs="Times New Roman"/>
          <w:sz w:val="28"/>
          <w:szCs w:val="28"/>
        </w:rPr>
        <w:t>This variability is being increasingly acknowledged as influenced by variations in cerebral vascular structure and the sufficiency of collateral circulation</w:t>
      </w:r>
      <w:r w:rsidR="00577DBA">
        <w:rPr>
          <w:rFonts w:ascii="Times New Roman" w:hAnsi="Times New Roman" w:cs="Times New Roman"/>
          <w:sz w:val="28"/>
          <w:szCs w:val="28"/>
        </w:rPr>
        <w:t xml:space="preserve"> </w:t>
      </w:r>
      <w:r w:rsidR="00B22790" w:rsidRPr="00B22790">
        <w:rPr>
          <w:rFonts w:ascii="Times New Roman" w:hAnsi="Times New Roman" w:cs="Times New Roman"/>
          <w:sz w:val="28"/>
          <w:szCs w:val="28"/>
        </w:rPr>
        <w:t>(</w:t>
      </w:r>
      <w:proofErr w:type="spellStart"/>
      <w:r w:rsidR="00B22790" w:rsidRPr="00B22790">
        <w:rPr>
          <w:rFonts w:ascii="Times New Roman" w:hAnsi="Times New Roman" w:cs="Times New Roman"/>
          <w:sz w:val="28"/>
          <w:szCs w:val="28"/>
        </w:rPr>
        <w:t>Maguida</w:t>
      </w:r>
      <w:proofErr w:type="spellEnd"/>
      <w:r w:rsidR="00B22790" w:rsidRPr="00B22790">
        <w:rPr>
          <w:rFonts w:ascii="Times New Roman" w:hAnsi="Times New Roman" w:cs="Times New Roman"/>
          <w:sz w:val="28"/>
          <w:szCs w:val="28"/>
        </w:rPr>
        <w:t xml:space="preserve"> &amp; Shuaib, 2023).</w:t>
      </w:r>
    </w:p>
    <w:p w14:paraId="0AFCF548" w14:textId="77777777" w:rsidR="00B22790" w:rsidRPr="00B22790" w:rsidRDefault="00B22790" w:rsidP="00B22790">
      <w:pPr>
        <w:rPr>
          <w:rFonts w:ascii="Times New Roman" w:hAnsi="Times New Roman" w:cs="Times New Roman"/>
          <w:sz w:val="28"/>
          <w:szCs w:val="28"/>
        </w:rPr>
      </w:pPr>
      <w:r w:rsidRPr="00B22790">
        <w:rPr>
          <w:rFonts w:ascii="Times New Roman" w:hAnsi="Times New Roman" w:cs="Times New Roman"/>
          <w:sz w:val="28"/>
          <w:szCs w:val="28"/>
        </w:rPr>
        <w:t>Collateral blood flow plays a critical role in maintaining cerebral perfusion during arterial compromise. The Circle of Willis constitutes the primary intracranial arterial anastomotic network, enabling redistribution of blood flow between the anterior and posterior circulations when major vessels are occluded (Rosner et al., 2025). However, anatomical completeness and functional efficiency of the Circle of Willis vary considerably across individuals, influencing infarct size, tissue viability, and response to reperfusion therapies. A detailed understanding of its anatomy, embryological development, and physiological role is therefore essential for interpreting stroke mechanisms and guiding clinical decision-making.</w:t>
      </w:r>
    </w:p>
    <w:p w14:paraId="255A8394" w14:textId="77777777" w:rsidR="00B22790" w:rsidRPr="00B22790" w:rsidRDefault="00B22790" w:rsidP="00B22790">
      <w:pPr>
        <w:rPr>
          <w:rFonts w:ascii="Times New Roman" w:hAnsi="Times New Roman" w:cs="Times New Roman"/>
          <w:sz w:val="28"/>
          <w:szCs w:val="28"/>
        </w:rPr>
      </w:pPr>
      <w:r w:rsidRPr="00B22790">
        <w:rPr>
          <w:rFonts w:ascii="Times New Roman" w:hAnsi="Times New Roman" w:cs="Times New Roman"/>
          <w:sz w:val="28"/>
          <w:szCs w:val="28"/>
        </w:rPr>
        <w:t xml:space="preserve">Progress in stroke research has advanced steadily through sustained efforts across basic science, clinical investigation, and health systems research (Donnan et al., 2008; Feigin et al., 2017). Advances in genetics, inflammation, neuroimaging, pharmacotherapy, endovascular intervention, and rehabilitation have collectively reshaped contemporary concepts of stroke pathophysiology and management (Caplan, 2016). Genetic studies have highlighted the polygenic nature of stroke susceptibility, while experimental and clinical data have underscored the roles of inflammation, ischemic tolerance, and vascular </w:t>
      </w:r>
      <w:proofErr w:type="spellStart"/>
      <w:r w:rsidRPr="00B22790">
        <w:rPr>
          <w:rFonts w:ascii="Times New Roman" w:hAnsi="Times New Roman" w:cs="Times New Roman"/>
          <w:sz w:val="28"/>
          <w:szCs w:val="28"/>
        </w:rPr>
        <w:t>remodeling</w:t>
      </w:r>
      <w:proofErr w:type="spellEnd"/>
      <w:r w:rsidRPr="00B22790">
        <w:rPr>
          <w:rFonts w:ascii="Times New Roman" w:hAnsi="Times New Roman" w:cs="Times New Roman"/>
          <w:sz w:val="28"/>
          <w:szCs w:val="28"/>
        </w:rPr>
        <w:t xml:space="preserve"> in determining tissue outcome following cerebral ischemia (</w:t>
      </w:r>
      <w:proofErr w:type="spellStart"/>
      <w:r w:rsidRPr="00B22790">
        <w:rPr>
          <w:rFonts w:ascii="Times New Roman" w:hAnsi="Times New Roman" w:cs="Times New Roman"/>
          <w:sz w:val="28"/>
          <w:szCs w:val="28"/>
        </w:rPr>
        <w:t>Dichgans</w:t>
      </w:r>
      <w:proofErr w:type="spellEnd"/>
      <w:r w:rsidRPr="00B22790">
        <w:rPr>
          <w:rFonts w:ascii="Times New Roman" w:hAnsi="Times New Roman" w:cs="Times New Roman"/>
          <w:sz w:val="28"/>
          <w:szCs w:val="28"/>
        </w:rPr>
        <w:t xml:space="preserve"> et al., 2014; Malik et al., 2018).</w:t>
      </w:r>
    </w:p>
    <w:p w14:paraId="1C7695FE" w14:textId="77777777" w:rsidR="00B22790" w:rsidRPr="00B22790" w:rsidRDefault="00B22790" w:rsidP="00B22790">
      <w:pPr>
        <w:rPr>
          <w:rFonts w:ascii="Times New Roman" w:hAnsi="Times New Roman" w:cs="Times New Roman"/>
          <w:sz w:val="28"/>
          <w:szCs w:val="28"/>
        </w:rPr>
      </w:pPr>
      <w:r w:rsidRPr="00B22790">
        <w:rPr>
          <w:rFonts w:ascii="Times New Roman" w:hAnsi="Times New Roman" w:cs="Times New Roman"/>
          <w:sz w:val="28"/>
          <w:szCs w:val="28"/>
        </w:rPr>
        <w:t>Clinical paradigms have similarly evolved, with increased recognition that transient ischemic attack represents a medical emergency rather than a benign event. Imaging-based risk stratification, tissue-based treatment windows, and organized stroke unit care have significantly improved outcomes, while mechanical thrombectomy has transformed the management of large-vessel occlusion (Johnston et al., 2007; Goyal et al., 2016; Powers et al., 2019). Despite these advances, primary prevention—particularly blood pressure control—remains the most effective strategy for reducing the global burden of stroke (O’Donnell et al., 2016).</w:t>
      </w:r>
    </w:p>
    <w:p w14:paraId="0C64E0DB" w14:textId="77777777" w:rsidR="00B22790" w:rsidRPr="00B22790" w:rsidRDefault="00B22790" w:rsidP="00B22790">
      <w:pPr>
        <w:rPr>
          <w:rFonts w:ascii="Times New Roman" w:hAnsi="Times New Roman" w:cs="Times New Roman"/>
          <w:sz w:val="28"/>
          <w:szCs w:val="28"/>
        </w:rPr>
      </w:pPr>
      <w:r w:rsidRPr="00B22790">
        <w:rPr>
          <w:rFonts w:ascii="Times New Roman" w:hAnsi="Times New Roman" w:cs="Times New Roman"/>
          <w:b/>
          <w:bCs/>
          <w:sz w:val="28"/>
          <w:szCs w:val="28"/>
        </w:rPr>
        <w:t>Accordingly, this narrative review aims to synthesize current knowledge on the anatomy and embryological development of the Circle of Willis, the role of collateral circulation, and their relevance to stroke pathophysiology, clinical presentation, and management.</w:t>
      </w:r>
    </w:p>
    <w:p w14:paraId="6CE65A56" w14:textId="77777777" w:rsidR="00200A64" w:rsidRPr="00F31E5C" w:rsidRDefault="00200A64" w:rsidP="00200A64">
      <w:pPr>
        <w:rPr>
          <w:rFonts w:ascii="Times New Roman" w:hAnsi="Times New Roman" w:cs="Times New Roman"/>
          <w:sz w:val="28"/>
          <w:szCs w:val="28"/>
        </w:rPr>
      </w:pPr>
    </w:p>
    <w:p w14:paraId="5C24936C"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210EC8F0">
          <v:rect id="_x0000_i1026" style="width:0;height:1.5pt" o:hralign="center" o:hrstd="t" o:hr="t" fillcolor="#a0a0a0" stroked="f"/>
        </w:pict>
      </w:r>
    </w:p>
    <w:p w14:paraId="77066D02" w14:textId="0E56A572" w:rsidR="00A84387" w:rsidRDefault="00200A64" w:rsidP="004E7D6D">
      <w:pPr>
        <w:rPr>
          <w:rFonts w:ascii="Times New Roman" w:hAnsi="Times New Roman" w:cs="Times New Roman"/>
          <w:b/>
          <w:bCs/>
          <w:sz w:val="28"/>
          <w:szCs w:val="28"/>
        </w:rPr>
      </w:pPr>
      <w:r w:rsidRPr="00CD18F2">
        <w:rPr>
          <w:rFonts w:ascii="Times New Roman" w:hAnsi="Times New Roman" w:cs="Times New Roman"/>
          <w:b/>
          <w:bCs/>
          <w:sz w:val="28"/>
          <w:szCs w:val="28"/>
        </w:rPr>
        <w:t xml:space="preserve">2. </w:t>
      </w:r>
      <w:r w:rsidR="00A84387">
        <w:rPr>
          <w:rFonts w:ascii="Times New Roman" w:hAnsi="Times New Roman" w:cs="Times New Roman"/>
          <w:b/>
          <w:bCs/>
          <w:sz w:val="28"/>
          <w:szCs w:val="28"/>
        </w:rPr>
        <w:t>Epidemiology</w:t>
      </w:r>
    </w:p>
    <w:p w14:paraId="2047F346" w14:textId="0CBFD598"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Stroke continues to impose a substantial global burden, with incidence, prevalence, and disability-adjusted life years increasing steadily over recent decades despite advances in prevention and acute care. In many middle- and high-income nations, it is the second leading cause of death and the primary cause of acquired physical disability in adults</w:t>
      </w:r>
      <w:r w:rsidR="00B162CE">
        <w:rPr>
          <w:rFonts w:ascii="Times New Roman" w:hAnsi="Times New Roman" w:cs="Times New Roman"/>
          <w:sz w:val="28"/>
          <w:szCs w:val="28"/>
        </w:rPr>
        <w:t xml:space="preserve"> </w:t>
      </w:r>
      <w:r w:rsidRPr="00A84387">
        <w:rPr>
          <w:rFonts w:ascii="Times New Roman" w:hAnsi="Times New Roman" w:cs="Times New Roman"/>
          <w:sz w:val="28"/>
          <w:szCs w:val="28"/>
        </w:rPr>
        <w:t>(Murphy &amp; Werring, 2020). Among non-communicable diseases, stroke currently ranks as the second leading cause of death and the third leading cause of death and disability combined, as measured by disability-adjusted life years (DALYs) (Donnan et al., 2008; Feigin et al., 2017; GBD 2021 Stroke Collaborators, 2023). Although substantial advances have been made in acute stroke care, preventive strategies, and rehabilitation services, the absolute global burden of stroke continues to rise.</w:t>
      </w:r>
    </w:p>
    <w:p w14:paraId="034C79DC"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Contemporary epidemiological data indicate that this increasing burden is driven largely by population growth, global aging, rapid urbanization, and sustained exposure to modifiable vascular risk factors (Feigin et al., 2017; O’Donnell et al., 2016). Importantly, stroke is no longer confined to elderly populations or high-income countries but affects individuals across a wide age range and diverse socioeconomic settings (</w:t>
      </w:r>
      <w:proofErr w:type="spellStart"/>
      <w:r w:rsidRPr="00A84387">
        <w:rPr>
          <w:rFonts w:ascii="Times New Roman" w:hAnsi="Times New Roman" w:cs="Times New Roman"/>
          <w:sz w:val="28"/>
          <w:szCs w:val="28"/>
        </w:rPr>
        <w:t>Menshawi</w:t>
      </w:r>
      <w:proofErr w:type="spellEnd"/>
      <w:r w:rsidRPr="00A84387">
        <w:rPr>
          <w:rFonts w:ascii="Times New Roman" w:hAnsi="Times New Roman" w:cs="Times New Roman"/>
          <w:sz w:val="28"/>
          <w:szCs w:val="28"/>
        </w:rPr>
        <w:t xml:space="preserve"> et al., 2015). In addition to its acute neurological consequences, cerebrovascular disease is a major contributor to epilepsy in older adults and represents a leading cause of late-onset dementia, underscoring its long-term impact on neurological health (Murphy &amp; Werring, 2020).</w:t>
      </w:r>
    </w:p>
    <w:p w14:paraId="27EB8D98"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 xml:space="preserve">Estimates from the Global Burden of Disease (GBD) 2021 study demonstrate a substantial rise in stroke burden over recent decades. Between 1990 and 2021, the number of incident strokes increased by approximately 70%, stroke-related deaths rose by nearly 44%, and the prevalence of individuals living with stroke increased by more than 80% (GBD 2021 Stroke Collaborators, 2023). Over the same period, DALYs attributable to stroke increased by approximately 32%, reflecting improved survival but a growing population living with stroke-related disability (Feigin et al., 2017; GBD 2021 Stroke Collaborators, 2023). In 2021 alone, an estimated 11.9 million new strokes occurred globally, nearly 94 million individuals were living with the consequences of stroke, and more than 7 million stroke-related deaths were recorded annually (GBD 2021 Stroke Collaborators, 2023). The economic burden of stroke is similarly substantial, </w:t>
      </w:r>
      <w:r w:rsidRPr="00A84387">
        <w:rPr>
          <w:rFonts w:ascii="Times New Roman" w:hAnsi="Times New Roman" w:cs="Times New Roman"/>
          <w:sz w:val="28"/>
          <w:szCs w:val="28"/>
        </w:rPr>
        <w:lastRenderedPageBreak/>
        <w:t>with global costs exceeding US$890 billion per year, corresponding to nearly 0.7% of the global gross domestic product (Feigin et al., 2017).</w:t>
      </w:r>
    </w:p>
    <w:p w14:paraId="12A3BB31"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The global distribution of stroke burden is markedly uneven. Low- and middle-income countries (LMICs) bear a disproportionate share, accounting for approximately 87% of stroke-related deaths and nearly 90% of stroke-related DALYs worldwide (Feigin et al., 2017; GBD 2021 Stroke Collaborators, 2023; World Health Organization [WHO], 2019). While age-standardized stroke incidence and mortality rates have declined in several high-income countries due to improved preventive care and health system infrastructure, many regions in South and Southeast Asia, East Asia, Oceania, and sub-Saharan Africa have experienced stagnation or reversal of these trends in recent years (Feigin et al., 2017; O’Donnell et al., 2016). These disparities reflect differences in access to preventive healthcare, early diagnosis, acute stroke services, rehabilitation facilities, and long-term control of vascular risk factors such as hypertension, diabetes mellitus, and dyslipidaemia (WHO, 2019; Powers et al., 2019).</w:t>
      </w:r>
    </w:p>
    <w:p w14:paraId="2E510F68"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From a pathological perspective, ischaemic stroke constitutes the majority of global stroke cases, accounting for approximately 65% of all incident strokes. This is followed by intracerebral haemorrhage (ICH), which represents nearly 29%, and subarachnoid haemorrhage (SAH), which accounts for approximately 6% (Donnan et al., 2008; Qureshi et al., 2009). High-income countries generally report a higher proportion of ischaemic strokes, whereas haemorrhagic strokes are relatively more common in LMICs, likely reflecting suboptimal hypertension control and limited access to preventive healthcare services (Feigin et al., 2017; Qureshi et al., 2009). Although less prevalent, ICH contributes disproportionately to stroke-related mortality and disability due to its high fatality rate and severe neurological sequelae (Greenberg et al., 2022; Qureshi et al., 2009).</w:t>
      </w:r>
    </w:p>
    <w:p w14:paraId="76C8E2FE"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 xml:space="preserve">Stroke incidence increases sharply with advancing age; however, it is increasingly recognized as a condition affecting younger populations. Approximately 15% of all strokes occur in individuals aged 15–49 years, and more than half of incident strokes occur in people younger than 70 years (Feigin et al., 2017; O’Donnell et al., 2016). Stroke in younger adults carries significant socioeconomic consequences, including prolonged disability, loss of productivity, and increased caregiver burden (Donnan et al., 2008). Sex-related differences are also evident, with men accounting for a slightly higher proportion of incident strokes globally, while women represent a greater proportion of stroke survivors due to longer life expectancy. However, women bear similar burdens of mortality and disability, underscoring the necessity of </w:t>
      </w:r>
      <w:r w:rsidRPr="00A84387">
        <w:rPr>
          <w:rFonts w:ascii="Times New Roman" w:hAnsi="Times New Roman" w:cs="Times New Roman"/>
          <w:sz w:val="28"/>
          <w:szCs w:val="28"/>
        </w:rPr>
        <w:lastRenderedPageBreak/>
        <w:t>sex-specific preventive and rehabilitative measures. (Feigin et al., 2017; Murphy &amp; Werring, 2020).</w:t>
      </w:r>
    </w:p>
    <w:p w14:paraId="13B91ECA"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Epidemiological evidence strongly supports the concept that stroke is largely preventable. Nearly 84% of the global stroke burden has been attributed to a combination of modifiable metabolic, behavioural, and environmental risk factors (GBD 2021 Stroke Collaborators, 2023). Metabolic risk factors—particularly hypertension, elevated body mass index, hyperglycaemia, and dyslipidaemia—account for the largest proportion of stroke-related DALYs worldwide (Feigin et al., 2017; O’Donnell et al., 2016). Behavioural factors such as tobacco use, unhealthy diet, physical inactivity, and harmful alcohol consumption contribute substantially to stroke risk, while environmental exposures, including air pollution, further amplify the burden, particularly in densely populated and industrial regions (GBD 2021 Stroke Collaborators, 2023).</w:t>
      </w:r>
    </w:p>
    <w:p w14:paraId="3FDEF03E" w14:textId="77777777" w:rsidR="004E7D6D" w:rsidRPr="00A84387" w:rsidRDefault="004E7D6D" w:rsidP="004E7D6D">
      <w:pPr>
        <w:rPr>
          <w:rFonts w:ascii="Times New Roman" w:hAnsi="Times New Roman" w:cs="Times New Roman"/>
          <w:sz w:val="28"/>
          <w:szCs w:val="28"/>
        </w:rPr>
      </w:pPr>
      <w:r w:rsidRPr="00A84387">
        <w:rPr>
          <w:rFonts w:ascii="Times New Roman" w:hAnsi="Times New Roman" w:cs="Times New Roman"/>
          <w:sz w:val="28"/>
          <w:szCs w:val="28"/>
        </w:rPr>
        <w:t>Collectively, the contemporary epidemiology of stroke highlights a critical paradox: despite the availability of effective preventive and therapeutic interventions, the global burden of stroke continues to rise due to inequitable implementation, health system limitations, and persistent exposure to modifiable risks (WHO, 2019; Powers et al., 2019). Aging populations, lifestyle transitions, environmental changes, and socioeconomic disparities continue to drive stroke incidence and disability worldwide (Feigin et al., 2017). These patterns underscore the urgent need for integrated, population-based strategies that combine primordial, primary, and secondary prevention, particularly in resource-limited settings where the impact of stroke is greatest (WHO, 2019).</w:t>
      </w:r>
    </w:p>
    <w:p w14:paraId="5BCF203C" w14:textId="66B35197" w:rsidR="004E7D6D" w:rsidRDefault="004E7D6D" w:rsidP="004E7D6D">
      <w:pPr>
        <w:rPr>
          <w:rFonts w:ascii="Times New Roman" w:hAnsi="Times New Roman" w:cs="Times New Roman"/>
          <w:b/>
          <w:bCs/>
          <w:sz w:val="28"/>
          <w:szCs w:val="28"/>
        </w:rPr>
      </w:pPr>
    </w:p>
    <w:p w14:paraId="2C328736" w14:textId="7724DA14" w:rsidR="00200A64" w:rsidRPr="00CD18F2" w:rsidRDefault="00AD53E7" w:rsidP="004E7D6D">
      <w:pPr>
        <w:rPr>
          <w:rFonts w:ascii="Times New Roman" w:hAnsi="Times New Roman" w:cs="Times New Roman"/>
          <w:sz w:val="28"/>
          <w:szCs w:val="28"/>
        </w:rPr>
      </w:pPr>
      <w:r>
        <w:rPr>
          <w:rFonts w:ascii="Times New Roman" w:hAnsi="Times New Roman" w:cs="Times New Roman"/>
          <w:sz w:val="28"/>
          <w:szCs w:val="28"/>
        </w:rPr>
        <w:pict w14:anchorId="4F3F7282">
          <v:rect id="_x0000_i1027" style="width:0;height:1.5pt" o:hralign="center" o:hrstd="t" o:hr="t" fillcolor="#a0a0a0" stroked="f"/>
        </w:pict>
      </w:r>
    </w:p>
    <w:p w14:paraId="2979ED9F" w14:textId="7777777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3. Methodology</w:t>
      </w:r>
    </w:p>
    <w:p w14:paraId="5B3A7E60" w14:textId="77777777" w:rsidR="002B231A" w:rsidRPr="002B231A" w:rsidRDefault="002B231A" w:rsidP="002B231A">
      <w:pPr>
        <w:rPr>
          <w:rFonts w:ascii="Times New Roman" w:hAnsi="Times New Roman" w:cs="Times New Roman"/>
          <w:sz w:val="28"/>
          <w:szCs w:val="28"/>
        </w:rPr>
      </w:pPr>
      <w:r w:rsidRPr="002B231A">
        <w:rPr>
          <w:rFonts w:ascii="Times New Roman" w:hAnsi="Times New Roman" w:cs="Times New Roman"/>
          <w:sz w:val="28"/>
          <w:szCs w:val="28"/>
        </w:rPr>
        <w:t>This narrative review was conducted to synthesize current evidence on the anatomy, embryological development, anatomical variants, and functional significance of the Circle of Willis and collateral circulation in relation to stroke pathophysiology, clinical presentation, and management. A comprehensive literature search was performed using electronic databases including PubMed/MEDLINE, Scopus, Google Scholar, and Cochrane Library. Searches included peer-reviewed articles published primarily between 2000 and 2025, with emphasis on recent high-quality studies from 2015 onward to ensure contemporary relevance.</w:t>
      </w:r>
    </w:p>
    <w:p w14:paraId="6E0F1272" w14:textId="77777777" w:rsidR="002B231A" w:rsidRPr="002B231A" w:rsidRDefault="002B231A" w:rsidP="002B231A">
      <w:pPr>
        <w:rPr>
          <w:rFonts w:ascii="Times New Roman" w:hAnsi="Times New Roman" w:cs="Times New Roman"/>
          <w:sz w:val="28"/>
          <w:szCs w:val="28"/>
        </w:rPr>
      </w:pPr>
      <w:r w:rsidRPr="002B231A">
        <w:rPr>
          <w:rFonts w:ascii="Times New Roman" w:hAnsi="Times New Roman" w:cs="Times New Roman"/>
          <w:sz w:val="28"/>
          <w:szCs w:val="28"/>
        </w:rPr>
        <w:lastRenderedPageBreak/>
        <w:t xml:space="preserve">Search terms were used alone and in combination and included: </w:t>
      </w:r>
      <w:r w:rsidRPr="002B231A">
        <w:rPr>
          <w:rFonts w:ascii="Times New Roman" w:hAnsi="Times New Roman" w:cs="Times New Roman"/>
          <w:i/>
          <w:iCs/>
          <w:sz w:val="28"/>
          <w:szCs w:val="28"/>
        </w:rPr>
        <w:t>Circle of Willis</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cerebral collateral circulation</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ischemic stroke</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cerebrovascular anatomy</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embryology of cerebral arteries</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stroke localization</w:t>
      </w:r>
      <w:r w:rsidRPr="002B231A">
        <w:rPr>
          <w:rFonts w:ascii="Times New Roman" w:hAnsi="Times New Roman" w:cs="Times New Roman"/>
          <w:sz w:val="28"/>
          <w:szCs w:val="28"/>
        </w:rPr>
        <w:t xml:space="preserve">, </w:t>
      </w:r>
      <w:r w:rsidRPr="002B231A">
        <w:rPr>
          <w:rFonts w:ascii="Times New Roman" w:hAnsi="Times New Roman" w:cs="Times New Roman"/>
          <w:i/>
          <w:iCs/>
          <w:sz w:val="28"/>
          <w:szCs w:val="28"/>
        </w:rPr>
        <w:t>ischemic core and penumbra</w:t>
      </w:r>
      <w:r w:rsidRPr="002B231A">
        <w:rPr>
          <w:rFonts w:ascii="Times New Roman" w:hAnsi="Times New Roman" w:cs="Times New Roman"/>
          <w:sz w:val="28"/>
          <w:szCs w:val="28"/>
        </w:rPr>
        <w:t xml:space="preserve">, and </w:t>
      </w:r>
      <w:r w:rsidRPr="002B231A">
        <w:rPr>
          <w:rFonts w:ascii="Times New Roman" w:hAnsi="Times New Roman" w:cs="Times New Roman"/>
          <w:i/>
          <w:iCs/>
          <w:sz w:val="28"/>
          <w:szCs w:val="28"/>
        </w:rPr>
        <w:t>posterior communicating artery</w:t>
      </w:r>
      <w:r w:rsidRPr="002B231A">
        <w:rPr>
          <w:rFonts w:ascii="Times New Roman" w:hAnsi="Times New Roman" w:cs="Times New Roman"/>
          <w:sz w:val="28"/>
          <w:szCs w:val="28"/>
        </w:rPr>
        <w:t xml:space="preserve">. Reference lists of key articles and authoritative textbooks (e.g., </w:t>
      </w:r>
      <w:proofErr w:type="spellStart"/>
      <w:r w:rsidRPr="002B231A">
        <w:rPr>
          <w:rFonts w:ascii="Times New Roman" w:hAnsi="Times New Roman" w:cs="Times New Roman"/>
          <w:sz w:val="28"/>
          <w:szCs w:val="28"/>
        </w:rPr>
        <w:t>Gray’s</w:t>
      </w:r>
      <w:proofErr w:type="spellEnd"/>
      <w:r w:rsidRPr="002B231A">
        <w:rPr>
          <w:rFonts w:ascii="Times New Roman" w:hAnsi="Times New Roman" w:cs="Times New Roman"/>
          <w:sz w:val="28"/>
          <w:szCs w:val="28"/>
        </w:rPr>
        <w:t xml:space="preserve"> Anatomy, </w:t>
      </w:r>
      <w:proofErr w:type="spellStart"/>
      <w:r w:rsidRPr="002B231A">
        <w:rPr>
          <w:rFonts w:ascii="Times New Roman" w:hAnsi="Times New Roman" w:cs="Times New Roman"/>
          <w:sz w:val="28"/>
          <w:szCs w:val="28"/>
        </w:rPr>
        <w:t>StatPearls</w:t>
      </w:r>
      <w:proofErr w:type="spellEnd"/>
      <w:r w:rsidRPr="002B231A">
        <w:rPr>
          <w:rFonts w:ascii="Times New Roman" w:hAnsi="Times New Roman" w:cs="Times New Roman"/>
          <w:sz w:val="28"/>
          <w:szCs w:val="28"/>
        </w:rPr>
        <w:t>) were manually screened to identify additional relevant sources.</w:t>
      </w:r>
    </w:p>
    <w:p w14:paraId="53439CFE" w14:textId="77777777" w:rsidR="002B231A" w:rsidRPr="002B231A" w:rsidRDefault="002B231A" w:rsidP="002B231A">
      <w:pPr>
        <w:rPr>
          <w:rFonts w:ascii="Times New Roman" w:hAnsi="Times New Roman" w:cs="Times New Roman"/>
          <w:sz w:val="28"/>
          <w:szCs w:val="28"/>
        </w:rPr>
      </w:pPr>
      <w:r w:rsidRPr="002B231A">
        <w:rPr>
          <w:rFonts w:ascii="Times New Roman" w:hAnsi="Times New Roman" w:cs="Times New Roman"/>
          <w:sz w:val="28"/>
          <w:szCs w:val="28"/>
        </w:rPr>
        <w:t>Eligible publications included narrative and systematic reviews, original clinical studies, imaging studies, anatomical and embryological research, clinical guidelines, and landmark trials relevant to stroke and cerebrovascular anatomy. Case reports were selectively included where they provided unique anatomical–clinical correlations relevant to collateral circulation or multi-territorial ischemia. Non-English articles, conference abstracts without full text, and studies lacking clear anatomical or clinical relevance were excluded.</w:t>
      </w:r>
    </w:p>
    <w:p w14:paraId="63EAA698" w14:textId="77777777" w:rsidR="002B231A" w:rsidRPr="002B231A" w:rsidRDefault="002B231A" w:rsidP="002B231A">
      <w:pPr>
        <w:rPr>
          <w:rFonts w:ascii="Times New Roman" w:hAnsi="Times New Roman" w:cs="Times New Roman"/>
          <w:sz w:val="28"/>
          <w:szCs w:val="28"/>
        </w:rPr>
      </w:pPr>
      <w:r w:rsidRPr="002B231A">
        <w:rPr>
          <w:rFonts w:ascii="Times New Roman" w:hAnsi="Times New Roman" w:cs="Times New Roman"/>
          <w:sz w:val="28"/>
          <w:szCs w:val="28"/>
        </w:rPr>
        <w:t>Data extraction focused on cerebrovascular anatomy, anatomical variants of the Circle of Willis, collateral pathways, infarct core–penumbra dynamics, imaging correlates, and clinical implications for stroke localization and management. Given the narrative nature of this review, no formal meta-analysis was performed. Instead, evidence was synthesized qualitatively to integrate anatomical, physiological, and clinical perspectives and to highlight areas of consensus, controversy, and future research directions.</w:t>
      </w:r>
    </w:p>
    <w:p w14:paraId="1D31C3E9" w14:textId="77777777" w:rsidR="002B231A" w:rsidRPr="00CD18F2" w:rsidRDefault="002B231A" w:rsidP="00200A64">
      <w:pPr>
        <w:rPr>
          <w:rFonts w:ascii="Times New Roman" w:hAnsi="Times New Roman" w:cs="Times New Roman"/>
          <w:b/>
          <w:bCs/>
          <w:sz w:val="28"/>
          <w:szCs w:val="28"/>
        </w:rPr>
      </w:pPr>
    </w:p>
    <w:p w14:paraId="4FD33F63"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5018BE77">
          <v:rect id="_x0000_i1028" style="width:0;height:1.5pt" o:hralign="center" o:hrstd="t" o:hr="t" fillcolor="#a0a0a0" stroked="f"/>
        </w:pict>
      </w:r>
    </w:p>
    <w:p w14:paraId="763389BC"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4. Overview of Cerebral Circulation</w:t>
      </w:r>
    </w:p>
    <w:p w14:paraId="3237EA28" w14:textId="73C69BDE"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Cerebral circulation is divided into anterior and posterior systems. The anterior circulation arises from the internal carotid arteries</w:t>
      </w:r>
      <w:r w:rsidR="00BB51C1">
        <w:rPr>
          <w:rFonts w:ascii="Times New Roman" w:hAnsi="Times New Roman" w:cs="Times New Roman"/>
          <w:sz w:val="28"/>
          <w:szCs w:val="28"/>
        </w:rPr>
        <w:t>. It supplies</w:t>
      </w:r>
      <w:r w:rsidRPr="00CD18F2">
        <w:rPr>
          <w:rFonts w:ascii="Times New Roman" w:hAnsi="Times New Roman" w:cs="Times New Roman"/>
          <w:sz w:val="28"/>
          <w:szCs w:val="28"/>
        </w:rPr>
        <w:t xml:space="preserve"> the frontal, parietal, and lateral temporal lobes, as well as deep structures such as the basal ganglia and internal capsule. The posterior circulation originates from the vertebral arteries, which unite to form the basilar artery</w:t>
      </w:r>
      <w:r w:rsidR="00BB51C1">
        <w:rPr>
          <w:rFonts w:ascii="Times New Roman" w:hAnsi="Times New Roman" w:cs="Times New Roman"/>
          <w:sz w:val="28"/>
          <w:szCs w:val="28"/>
        </w:rPr>
        <w:t>, supplying</w:t>
      </w:r>
      <w:r w:rsidRPr="00CD18F2">
        <w:rPr>
          <w:rFonts w:ascii="Times New Roman" w:hAnsi="Times New Roman" w:cs="Times New Roman"/>
          <w:sz w:val="28"/>
          <w:szCs w:val="28"/>
        </w:rPr>
        <w:t xml:space="preserve"> the brainstem, cerebellum, occipital lobes, and parts of the thalamus and temporal lobes. These two circulatory systems are interconnected at the base of the brain by the Circle of Willis, enabling collateral redistribution of blood flow</w:t>
      </w:r>
      <w:r>
        <w:rPr>
          <w:rFonts w:ascii="Times New Roman" w:hAnsi="Times New Roman" w:cs="Times New Roman"/>
          <w:sz w:val="28"/>
          <w:szCs w:val="28"/>
        </w:rPr>
        <w:t xml:space="preserve"> (Gray's Anatomy)</w:t>
      </w:r>
      <w:r w:rsidRPr="00CD18F2">
        <w:rPr>
          <w:rFonts w:ascii="Times New Roman" w:hAnsi="Times New Roman" w:cs="Times New Roman"/>
          <w:sz w:val="28"/>
          <w:szCs w:val="28"/>
        </w:rPr>
        <w:t>.</w:t>
      </w:r>
    </w:p>
    <w:p w14:paraId="261ED9EC"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604FC1E1">
          <v:rect id="_x0000_i1029" style="width:0;height:1.5pt" o:hralign="center" o:hrstd="t" o:hr="t" fillcolor="#a0a0a0" stroked="f"/>
        </w:pict>
      </w:r>
    </w:p>
    <w:p w14:paraId="089B00F7"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5. Anatomy of the Circle of Willis</w:t>
      </w:r>
    </w:p>
    <w:p w14:paraId="3D80A91F" w14:textId="7460B528"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 xml:space="preserve">The Circle of Willis is an arterial polygon located in the interpeduncular fossa at the base of the brain, surrounding the optic chiasma and pituitary stalk. It is </w:t>
      </w:r>
      <w:r w:rsidRPr="00CD18F2">
        <w:rPr>
          <w:rFonts w:ascii="Times New Roman" w:hAnsi="Times New Roman" w:cs="Times New Roman"/>
          <w:sz w:val="28"/>
          <w:szCs w:val="28"/>
        </w:rPr>
        <w:lastRenderedPageBreak/>
        <w:t>formed by the paired anterior cerebral arteries connected by the anterior communicating artery, the internal carotid arteries, the paired posterior communicating arteries, and the posterior cerebral arteries arising from the basilar artery. Although the middle cerebral artery originates from the internal carotid artery, it is not part of the Circle of Willis because it does not contribute to the anastomotic ring. This distinction is clinically important, as the middle cerebral artery supplies the largest cortical territory and is most frequently involved in ischemic stroke</w:t>
      </w:r>
      <w:r w:rsidR="00BB3E29">
        <w:rPr>
          <w:rFonts w:ascii="Times New Roman" w:hAnsi="Times New Roman" w:cs="Times New Roman"/>
          <w:sz w:val="28"/>
          <w:szCs w:val="28"/>
        </w:rPr>
        <w:t xml:space="preserve"> (Gray’s Anatomy)</w:t>
      </w:r>
      <w:r w:rsidRPr="00CD18F2">
        <w:rPr>
          <w:rFonts w:ascii="Times New Roman" w:hAnsi="Times New Roman" w:cs="Times New Roman"/>
          <w:sz w:val="28"/>
          <w:szCs w:val="28"/>
        </w:rPr>
        <w:t>.</w:t>
      </w:r>
    </w:p>
    <w:p w14:paraId="0BE4D63E"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6ECDCF18">
          <v:rect id="_x0000_i1030" style="width:0;height:1.5pt" o:hralign="center" o:hrstd="t" o:hr="t" fillcolor="#a0a0a0" stroked="f"/>
        </w:pict>
      </w:r>
    </w:p>
    <w:p w14:paraId="64FBC30A"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6. Embryological Development</w:t>
      </w:r>
    </w:p>
    <w:p w14:paraId="29765184" w14:textId="77777777" w:rsidR="00200A64"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The Circle of Willis develops through a complex sequence of embryological vascular transformations. The internal carotid arteries arise primarily from the third aortic arch and dorsal aorta and divide into anterior and posterior divisions during early development. The anterior cerebral arteries originate from the anterior division, while the posterior circulation is initially supplied through primitive carotid–basilar anastomoses. With maturation, the posterior cerebral arteries become branches of the basilar artery, and the posterior communicating arteries persist as connecting channels. Variations in regression or persistence of embryonic vessels account for the wide anatomical diversity of the adult Circle of Willis.</w:t>
      </w:r>
    </w:p>
    <w:p w14:paraId="3B220A99" w14:textId="22474D73" w:rsidR="00200A64" w:rsidRPr="001E5A6D" w:rsidRDefault="004B72A1" w:rsidP="00200A64">
      <w:pPr>
        <w:rPr>
          <w:rFonts w:ascii="Times New Roman" w:hAnsi="Times New Roman" w:cs="Times New Roman"/>
          <w:sz w:val="28"/>
          <w:szCs w:val="28"/>
        </w:rPr>
      </w:pPr>
      <w:r w:rsidRPr="004B72A1">
        <w:rPr>
          <w:rFonts w:ascii="Times New Roman" w:hAnsi="Times New Roman" w:cs="Times New Roman"/>
          <w:sz w:val="28"/>
          <w:szCs w:val="28"/>
        </w:rPr>
        <w:t xml:space="preserve">Development of the embryonic vascular system precedes the onset of cardiac exertion and occurs through two </w:t>
      </w:r>
      <w:r w:rsidR="00A91348">
        <w:rPr>
          <w:rFonts w:ascii="Times New Roman" w:hAnsi="Times New Roman" w:cs="Times New Roman"/>
          <w:sz w:val="28"/>
          <w:szCs w:val="28"/>
        </w:rPr>
        <w:t>basic</w:t>
      </w:r>
      <w:r w:rsidRPr="004B72A1">
        <w:rPr>
          <w:rFonts w:ascii="Times New Roman" w:hAnsi="Times New Roman" w:cs="Times New Roman"/>
          <w:sz w:val="28"/>
          <w:szCs w:val="28"/>
        </w:rPr>
        <w:t xml:space="preserve"> processes</w:t>
      </w:r>
      <w:r w:rsidR="00200A64" w:rsidRPr="001E5A6D">
        <w:rPr>
          <w:rFonts w:ascii="Times New Roman" w:hAnsi="Times New Roman" w:cs="Times New Roman"/>
          <w:sz w:val="28"/>
          <w:szCs w:val="28"/>
        </w:rPr>
        <w:t xml:space="preserve">: </w:t>
      </w:r>
      <w:proofErr w:type="spellStart"/>
      <w:r w:rsidR="00200A64" w:rsidRPr="001E5A6D">
        <w:rPr>
          <w:rFonts w:ascii="Times New Roman" w:hAnsi="Times New Roman" w:cs="Times New Roman"/>
          <w:sz w:val="28"/>
          <w:szCs w:val="28"/>
        </w:rPr>
        <w:t>vasculogenesis</w:t>
      </w:r>
      <w:proofErr w:type="spellEnd"/>
      <w:r w:rsidR="00200A64" w:rsidRPr="001E5A6D">
        <w:rPr>
          <w:rFonts w:ascii="Times New Roman" w:hAnsi="Times New Roman" w:cs="Times New Roman"/>
          <w:sz w:val="28"/>
          <w:szCs w:val="28"/>
        </w:rPr>
        <w:t xml:space="preserve"> and angiogenesis (</w:t>
      </w:r>
      <w:proofErr w:type="spellStart"/>
      <w:r w:rsidR="00200A64" w:rsidRPr="001E5A6D">
        <w:rPr>
          <w:rFonts w:ascii="Times New Roman" w:hAnsi="Times New Roman" w:cs="Times New Roman"/>
          <w:sz w:val="28"/>
          <w:szCs w:val="28"/>
        </w:rPr>
        <w:t>Menshawi</w:t>
      </w:r>
      <w:proofErr w:type="spellEnd"/>
      <w:r w:rsidR="00200A64" w:rsidRPr="001E5A6D">
        <w:rPr>
          <w:rFonts w:ascii="Times New Roman" w:hAnsi="Times New Roman" w:cs="Times New Roman"/>
          <w:sz w:val="28"/>
          <w:szCs w:val="28"/>
        </w:rPr>
        <w:t xml:space="preserve"> et al., 2015; </w:t>
      </w:r>
      <w:proofErr w:type="spellStart"/>
      <w:r w:rsidR="00200A64" w:rsidRPr="001E5A6D">
        <w:rPr>
          <w:rFonts w:ascii="Times New Roman" w:hAnsi="Times New Roman" w:cs="Times New Roman"/>
          <w:sz w:val="28"/>
          <w:szCs w:val="28"/>
        </w:rPr>
        <w:t>Koroulakis</w:t>
      </w:r>
      <w:proofErr w:type="spellEnd"/>
      <w:r w:rsidR="00200A64" w:rsidRPr="001E5A6D">
        <w:rPr>
          <w:rFonts w:ascii="Times New Roman" w:hAnsi="Times New Roman" w:cs="Times New Roman"/>
          <w:sz w:val="28"/>
          <w:szCs w:val="28"/>
        </w:rPr>
        <w:t xml:space="preserve"> &amp; Agarwal, 2025). </w:t>
      </w:r>
      <w:proofErr w:type="spellStart"/>
      <w:r w:rsidR="00200A64" w:rsidRPr="001E5A6D">
        <w:rPr>
          <w:rFonts w:ascii="Times New Roman" w:hAnsi="Times New Roman" w:cs="Times New Roman"/>
          <w:sz w:val="28"/>
          <w:szCs w:val="28"/>
        </w:rPr>
        <w:t>Vasculogenesis</w:t>
      </w:r>
      <w:proofErr w:type="spellEnd"/>
      <w:r w:rsidR="00200A64" w:rsidRPr="001E5A6D">
        <w:rPr>
          <w:rFonts w:ascii="Times New Roman" w:hAnsi="Times New Roman" w:cs="Times New Roman"/>
          <w:sz w:val="28"/>
          <w:szCs w:val="28"/>
        </w:rPr>
        <w:t xml:space="preserve"> refers to the differentiation of </w:t>
      </w:r>
      <w:proofErr w:type="spellStart"/>
      <w:r w:rsidR="00200A64" w:rsidRPr="001E5A6D">
        <w:rPr>
          <w:rFonts w:ascii="Times New Roman" w:hAnsi="Times New Roman" w:cs="Times New Roman"/>
          <w:sz w:val="28"/>
          <w:szCs w:val="28"/>
        </w:rPr>
        <w:t>hemangioblasts</w:t>
      </w:r>
      <w:proofErr w:type="spellEnd"/>
      <w:r w:rsidR="00200A64" w:rsidRPr="001E5A6D">
        <w:rPr>
          <w:rFonts w:ascii="Times New Roman" w:hAnsi="Times New Roman" w:cs="Times New Roman"/>
          <w:sz w:val="28"/>
          <w:szCs w:val="28"/>
        </w:rPr>
        <w:t xml:space="preserve"> into angioblasts and the formation of the primary vascular plexus, whereas angiogenesis involves the sprouting and </w:t>
      </w:r>
      <w:proofErr w:type="spellStart"/>
      <w:r w:rsidR="00200A64" w:rsidRPr="001E5A6D">
        <w:rPr>
          <w:rFonts w:ascii="Times New Roman" w:hAnsi="Times New Roman" w:cs="Times New Roman"/>
          <w:sz w:val="28"/>
          <w:szCs w:val="28"/>
        </w:rPr>
        <w:t>remodeling</w:t>
      </w:r>
      <w:proofErr w:type="spellEnd"/>
      <w:r w:rsidR="00200A64" w:rsidRPr="001E5A6D">
        <w:rPr>
          <w:rFonts w:ascii="Times New Roman" w:hAnsi="Times New Roman" w:cs="Times New Roman"/>
          <w:sz w:val="28"/>
          <w:szCs w:val="28"/>
        </w:rPr>
        <w:t xml:space="preserve"> of new vessels from pre-existing vasculature (</w:t>
      </w:r>
      <w:proofErr w:type="spellStart"/>
      <w:r w:rsidR="00200A64" w:rsidRPr="001E5A6D">
        <w:rPr>
          <w:rFonts w:ascii="Times New Roman" w:hAnsi="Times New Roman" w:cs="Times New Roman"/>
          <w:sz w:val="28"/>
          <w:szCs w:val="28"/>
        </w:rPr>
        <w:t>Risau</w:t>
      </w:r>
      <w:proofErr w:type="spellEnd"/>
      <w:r w:rsidR="00200A64" w:rsidRPr="001E5A6D">
        <w:rPr>
          <w:rFonts w:ascii="Times New Roman" w:hAnsi="Times New Roman" w:cs="Times New Roman"/>
          <w:sz w:val="28"/>
          <w:szCs w:val="28"/>
        </w:rPr>
        <w:t xml:space="preserve">, 1997; </w:t>
      </w:r>
      <w:proofErr w:type="spellStart"/>
      <w:r w:rsidR="00200A64" w:rsidRPr="001E5A6D">
        <w:rPr>
          <w:rFonts w:ascii="Times New Roman" w:hAnsi="Times New Roman" w:cs="Times New Roman"/>
          <w:sz w:val="28"/>
          <w:szCs w:val="28"/>
        </w:rPr>
        <w:t>Carmeliet</w:t>
      </w:r>
      <w:proofErr w:type="spellEnd"/>
      <w:r w:rsidR="00200A64" w:rsidRPr="001E5A6D">
        <w:rPr>
          <w:rFonts w:ascii="Times New Roman" w:hAnsi="Times New Roman" w:cs="Times New Roman"/>
          <w:sz w:val="28"/>
          <w:szCs w:val="28"/>
        </w:rPr>
        <w:t>, 2005). Angiogenesis is primarily driven by tissue hypoxia and ischemia, mediated by growth factors such as vascular endothelial growth factor (VEGF), which promote capillary proliferation in metabolically active regions (</w:t>
      </w:r>
      <w:proofErr w:type="spellStart"/>
      <w:r w:rsidR="00200A64" w:rsidRPr="001E5A6D">
        <w:rPr>
          <w:rFonts w:ascii="Times New Roman" w:hAnsi="Times New Roman" w:cs="Times New Roman"/>
          <w:sz w:val="28"/>
          <w:szCs w:val="28"/>
        </w:rPr>
        <w:t>Carmeliet</w:t>
      </w:r>
      <w:proofErr w:type="spellEnd"/>
      <w:r w:rsidR="00200A64" w:rsidRPr="001E5A6D">
        <w:rPr>
          <w:rFonts w:ascii="Times New Roman" w:hAnsi="Times New Roman" w:cs="Times New Roman"/>
          <w:sz w:val="28"/>
          <w:szCs w:val="28"/>
        </w:rPr>
        <w:t xml:space="preserve">, 2005; </w:t>
      </w:r>
      <w:proofErr w:type="spellStart"/>
      <w:r w:rsidR="00200A64" w:rsidRPr="001E5A6D">
        <w:rPr>
          <w:rFonts w:ascii="Times New Roman" w:hAnsi="Times New Roman" w:cs="Times New Roman"/>
          <w:sz w:val="28"/>
          <w:szCs w:val="28"/>
        </w:rPr>
        <w:t>Potente</w:t>
      </w:r>
      <w:proofErr w:type="spellEnd"/>
      <w:r w:rsidR="00200A64" w:rsidRPr="001E5A6D">
        <w:rPr>
          <w:rFonts w:ascii="Times New Roman" w:hAnsi="Times New Roman" w:cs="Times New Roman"/>
          <w:sz w:val="28"/>
          <w:szCs w:val="28"/>
        </w:rPr>
        <w:t xml:space="preserve"> et al., 2011). Progressive capillary formation reduces vascular resistance in larger arteries, facilitating flow-dependent arterial </w:t>
      </w:r>
      <w:proofErr w:type="spellStart"/>
      <w:r w:rsidR="00200A64" w:rsidRPr="001E5A6D">
        <w:rPr>
          <w:rFonts w:ascii="Times New Roman" w:hAnsi="Times New Roman" w:cs="Times New Roman"/>
          <w:sz w:val="28"/>
          <w:szCs w:val="28"/>
        </w:rPr>
        <w:t>remodeling</w:t>
      </w:r>
      <w:proofErr w:type="spellEnd"/>
      <w:r w:rsidR="00200A64" w:rsidRPr="001E5A6D">
        <w:rPr>
          <w:rFonts w:ascii="Times New Roman" w:hAnsi="Times New Roman" w:cs="Times New Roman"/>
          <w:sz w:val="28"/>
          <w:szCs w:val="28"/>
        </w:rPr>
        <w:t xml:space="preserve"> and maturation (</w:t>
      </w:r>
      <w:proofErr w:type="spellStart"/>
      <w:r w:rsidR="00200A64" w:rsidRPr="001E5A6D">
        <w:rPr>
          <w:rFonts w:ascii="Times New Roman" w:hAnsi="Times New Roman" w:cs="Times New Roman"/>
          <w:sz w:val="28"/>
          <w:szCs w:val="28"/>
        </w:rPr>
        <w:t>Lucitti</w:t>
      </w:r>
      <w:proofErr w:type="spellEnd"/>
      <w:r w:rsidR="00200A64" w:rsidRPr="001E5A6D">
        <w:rPr>
          <w:rFonts w:ascii="Times New Roman" w:hAnsi="Times New Roman" w:cs="Times New Roman"/>
          <w:sz w:val="28"/>
          <w:szCs w:val="28"/>
        </w:rPr>
        <w:t xml:space="preserve"> et al., 2007).</w:t>
      </w:r>
    </w:p>
    <w:p w14:paraId="23FD5AAA" w14:textId="77777777"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 xml:space="preserve">The cerebral circulation begins to develop early in embryogenesis with the formation of six paired primitive branchial arch arteries at approximately the 1.3-mm embryonic stage, which subsequently undergo extensive </w:t>
      </w:r>
      <w:proofErr w:type="spellStart"/>
      <w:r w:rsidRPr="001E5A6D">
        <w:rPr>
          <w:rFonts w:ascii="Times New Roman" w:hAnsi="Times New Roman" w:cs="Times New Roman"/>
          <w:sz w:val="28"/>
          <w:szCs w:val="28"/>
        </w:rPr>
        <w:t>remodeling</w:t>
      </w:r>
      <w:proofErr w:type="spellEnd"/>
      <w:r w:rsidRPr="001E5A6D">
        <w:rPr>
          <w:rFonts w:ascii="Times New Roman" w:hAnsi="Times New Roman" w:cs="Times New Roman"/>
          <w:sz w:val="28"/>
          <w:szCs w:val="28"/>
        </w:rPr>
        <w:t xml:space="preserve">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 Padget, 1948). The internal carotid arteries (ICAs) appear around the 3-mm stage (approximately 24 days) from the fusion of the </w:t>
      </w:r>
      <w:r w:rsidRPr="001E5A6D">
        <w:rPr>
          <w:rFonts w:ascii="Times New Roman" w:hAnsi="Times New Roman" w:cs="Times New Roman"/>
          <w:sz w:val="28"/>
          <w:szCs w:val="28"/>
        </w:rPr>
        <w:lastRenderedPageBreak/>
        <w:t>third branchial arch arteries with the distal dorsal aortae (</w:t>
      </w:r>
      <w:proofErr w:type="spellStart"/>
      <w:r w:rsidRPr="001E5A6D">
        <w:rPr>
          <w:rFonts w:ascii="Times New Roman" w:hAnsi="Times New Roman" w:cs="Times New Roman"/>
          <w:sz w:val="28"/>
          <w:szCs w:val="28"/>
        </w:rPr>
        <w:t>Padget</w:t>
      </w:r>
      <w:proofErr w:type="spellEnd"/>
      <w:r w:rsidRPr="001E5A6D">
        <w:rPr>
          <w:rFonts w:ascii="Times New Roman" w:hAnsi="Times New Roman" w:cs="Times New Roman"/>
          <w:sz w:val="28"/>
          <w:szCs w:val="28"/>
        </w:rPr>
        <w:t xml:space="preserve">, 1948; </w:t>
      </w:r>
      <w:proofErr w:type="spellStart"/>
      <w:r w:rsidRPr="001E5A6D">
        <w:rPr>
          <w:rFonts w:ascii="Times New Roman" w:hAnsi="Times New Roman" w:cs="Times New Roman"/>
          <w:sz w:val="28"/>
          <w:szCs w:val="28"/>
        </w:rPr>
        <w:t>Koroulakis</w:t>
      </w:r>
      <w:proofErr w:type="spellEnd"/>
      <w:r w:rsidRPr="001E5A6D">
        <w:rPr>
          <w:rFonts w:ascii="Times New Roman" w:hAnsi="Times New Roman" w:cs="Times New Roman"/>
          <w:sz w:val="28"/>
          <w:szCs w:val="28"/>
        </w:rPr>
        <w:t xml:space="preserve"> &amp; Agarwal, 2025). During this process, the ventral pharyngeal artery separates from the dorsal aorta and later contributes to the formation of the common carotid artery proximally and the external carotid artery distally (Padget, 1948).</w:t>
      </w:r>
    </w:p>
    <w:p w14:paraId="498BDF62" w14:textId="77777777"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By the 4-mm embryonic stage, the primitive ICA divides into anterior and posterior divisions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 The anterior division initially supplies the optic and olfactory regions and later gives rise to the anterior cerebral artery (ACA), middle cerebral artery (MCA), and anterior choroidal artery (</w:t>
      </w:r>
      <w:proofErr w:type="spellStart"/>
      <w:r w:rsidRPr="001E5A6D">
        <w:rPr>
          <w:rFonts w:ascii="Times New Roman" w:hAnsi="Times New Roman" w:cs="Times New Roman"/>
          <w:sz w:val="28"/>
          <w:szCs w:val="28"/>
        </w:rPr>
        <w:t>AChA</w:t>
      </w:r>
      <w:proofErr w:type="spellEnd"/>
      <w:r w:rsidRPr="001E5A6D">
        <w:rPr>
          <w:rFonts w:ascii="Times New Roman" w:hAnsi="Times New Roman" w:cs="Times New Roman"/>
          <w:sz w:val="28"/>
          <w:szCs w:val="28"/>
        </w:rPr>
        <w:t xml:space="preserve">), while the posterior division forms the </w:t>
      </w:r>
      <w:proofErr w:type="spellStart"/>
      <w:r w:rsidRPr="001E5A6D">
        <w:rPr>
          <w:rFonts w:ascii="Times New Roman" w:hAnsi="Times New Roman" w:cs="Times New Roman"/>
          <w:sz w:val="28"/>
          <w:szCs w:val="28"/>
        </w:rPr>
        <w:t>fetal</w:t>
      </w:r>
      <w:proofErr w:type="spellEnd"/>
      <w:r w:rsidRPr="001E5A6D">
        <w:rPr>
          <w:rFonts w:ascii="Times New Roman" w:hAnsi="Times New Roman" w:cs="Times New Roman"/>
          <w:sz w:val="28"/>
          <w:szCs w:val="28"/>
        </w:rPr>
        <w:t xml:space="preserve"> posterior cerebral artery (PCA) and posterior choroidal artery (</w:t>
      </w:r>
      <w:proofErr w:type="spellStart"/>
      <w:r w:rsidRPr="001E5A6D">
        <w:rPr>
          <w:rFonts w:ascii="Times New Roman" w:hAnsi="Times New Roman" w:cs="Times New Roman"/>
          <w:sz w:val="28"/>
          <w:szCs w:val="28"/>
        </w:rPr>
        <w:t>PChA</w:t>
      </w:r>
      <w:proofErr w:type="spellEnd"/>
      <w:r w:rsidRPr="001E5A6D">
        <w:rPr>
          <w:rFonts w:ascii="Times New Roman" w:hAnsi="Times New Roman" w:cs="Times New Roman"/>
          <w:sz w:val="28"/>
          <w:szCs w:val="28"/>
        </w:rPr>
        <w:t>) (</w:t>
      </w:r>
      <w:proofErr w:type="spellStart"/>
      <w:r w:rsidRPr="001E5A6D">
        <w:rPr>
          <w:rFonts w:ascii="Times New Roman" w:hAnsi="Times New Roman" w:cs="Times New Roman"/>
          <w:sz w:val="28"/>
          <w:szCs w:val="28"/>
        </w:rPr>
        <w:t>Padget</w:t>
      </w:r>
      <w:proofErr w:type="spellEnd"/>
      <w:r w:rsidRPr="001E5A6D">
        <w:rPr>
          <w:rFonts w:ascii="Times New Roman" w:hAnsi="Times New Roman" w:cs="Times New Roman"/>
          <w:sz w:val="28"/>
          <w:szCs w:val="28"/>
        </w:rPr>
        <w:t xml:space="preserve">, 1948; </w:t>
      </w:r>
      <w:proofErr w:type="spellStart"/>
      <w:r w:rsidRPr="001E5A6D">
        <w:rPr>
          <w:rFonts w:ascii="Times New Roman" w:hAnsi="Times New Roman" w:cs="Times New Roman"/>
          <w:sz w:val="28"/>
          <w:szCs w:val="28"/>
        </w:rPr>
        <w:t>Lasjaunias</w:t>
      </w:r>
      <w:proofErr w:type="spellEnd"/>
      <w:r w:rsidRPr="001E5A6D">
        <w:rPr>
          <w:rFonts w:ascii="Times New Roman" w:hAnsi="Times New Roman" w:cs="Times New Roman"/>
          <w:sz w:val="28"/>
          <w:szCs w:val="28"/>
        </w:rPr>
        <w:t xml:space="preserve"> et al., 2001). At this stage, the superior cerebellar artery—arising from the future basilar artery—is the primary vascular supply to the developing cerebellum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w:t>
      </w:r>
    </w:p>
    <w:p w14:paraId="16059237" w14:textId="4684877E"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Development of the posterior circulation is initiated by rapid growth of the occipital lobes and brainstem, which increases metabolic demand and stimulates vascular expansion (</w:t>
      </w:r>
      <w:proofErr w:type="spellStart"/>
      <w:r w:rsidRPr="001E5A6D">
        <w:rPr>
          <w:rFonts w:ascii="Times New Roman" w:hAnsi="Times New Roman" w:cs="Times New Roman"/>
          <w:sz w:val="28"/>
          <w:szCs w:val="28"/>
        </w:rPr>
        <w:t>Lasjaunias</w:t>
      </w:r>
      <w:proofErr w:type="spellEnd"/>
      <w:r w:rsidRPr="001E5A6D">
        <w:rPr>
          <w:rFonts w:ascii="Times New Roman" w:hAnsi="Times New Roman" w:cs="Times New Roman"/>
          <w:sz w:val="28"/>
          <w:szCs w:val="28"/>
        </w:rPr>
        <w:t xml:space="preserve"> et al., 2001). During the 4–5-mm stage, the hindbrain is supplied by paired longitudinal neural arteries that receive blood from transient carotid–vertebrobasilar anastomoses, including the trigeminal, </w:t>
      </w:r>
      <w:proofErr w:type="spellStart"/>
      <w:r w:rsidRPr="001E5A6D">
        <w:rPr>
          <w:rFonts w:ascii="Times New Roman" w:hAnsi="Times New Roman" w:cs="Times New Roman"/>
          <w:sz w:val="28"/>
          <w:szCs w:val="28"/>
        </w:rPr>
        <w:t>otic</w:t>
      </w:r>
      <w:proofErr w:type="spellEnd"/>
      <w:r w:rsidRPr="001E5A6D">
        <w:rPr>
          <w:rFonts w:ascii="Times New Roman" w:hAnsi="Times New Roman" w:cs="Times New Roman"/>
          <w:sz w:val="28"/>
          <w:szCs w:val="28"/>
        </w:rPr>
        <w:t xml:space="preserve">, hypoglossal, and </w:t>
      </w:r>
      <w:proofErr w:type="spellStart"/>
      <w:r w:rsidRPr="001E5A6D">
        <w:rPr>
          <w:rFonts w:ascii="Times New Roman" w:hAnsi="Times New Roman" w:cs="Times New Roman"/>
          <w:sz w:val="28"/>
          <w:szCs w:val="28"/>
        </w:rPr>
        <w:t>proatlantal</w:t>
      </w:r>
      <w:proofErr w:type="spellEnd"/>
      <w:r w:rsidRPr="001E5A6D">
        <w:rPr>
          <w:rFonts w:ascii="Times New Roman" w:hAnsi="Times New Roman" w:cs="Times New Roman"/>
          <w:sz w:val="28"/>
          <w:szCs w:val="28"/>
        </w:rPr>
        <w:t xml:space="preserve"> arteries (</w:t>
      </w:r>
      <w:proofErr w:type="spellStart"/>
      <w:r w:rsidRPr="001E5A6D">
        <w:rPr>
          <w:rFonts w:ascii="Times New Roman" w:hAnsi="Times New Roman" w:cs="Times New Roman"/>
          <w:sz w:val="28"/>
          <w:szCs w:val="28"/>
        </w:rPr>
        <w:t>Padget</w:t>
      </w:r>
      <w:proofErr w:type="spellEnd"/>
      <w:r w:rsidRPr="001E5A6D">
        <w:rPr>
          <w:rFonts w:ascii="Times New Roman" w:hAnsi="Times New Roman" w:cs="Times New Roman"/>
          <w:sz w:val="28"/>
          <w:szCs w:val="28"/>
        </w:rPr>
        <w:t xml:space="preserve">, 1948;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 The basilar artery forms between the 5–</w:t>
      </w:r>
      <w:r w:rsidR="00297658">
        <w:rPr>
          <w:rFonts w:ascii="Times New Roman" w:hAnsi="Times New Roman" w:cs="Times New Roman"/>
          <w:sz w:val="28"/>
          <w:szCs w:val="28"/>
        </w:rPr>
        <w:t>8 mm</w:t>
      </w:r>
      <w:r w:rsidRPr="001E5A6D">
        <w:rPr>
          <w:rFonts w:ascii="Times New Roman" w:hAnsi="Times New Roman" w:cs="Times New Roman"/>
          <w:sz w:val="28"/>
          <w:szCs w:val="28"/>
        </w:rPr>
        <w:t xml:space="preserve"> stages through fusion of these longitudinal neural arteries, while most transient anastomoses regress as the posterior communicating artery (PCOMM) develops (</w:t>
      </w:r>
      <w:proofErr w:type="spellStart"/>
      <w:r w:rsidRPr="001E5A6D">
        <w:rPr>
          <w:rFonts w:ascii="Times New Roman" w:hAnsi="Times New Roman" w:cs="Times New Roman"/>
          <w:sz w:val="28"/>
          <w:szCs w:val="28"/>
        </w:rPr>
        <w:t>Lasjaunias</w:t>
      </w:r>
      <w:proofErr w:type="spellEnd"/>
      <w:r w:rsidRPr="001E5A6D">
        <w:rPr>
          <w:rFonts w:ascii="Times New Roman" w:hAnsi="Times New Roman" w:cs="Times New Roman"/>
          <w:sz w:val="28"/>
          <w:szCs w:val="28"/>
        </w:rPr>
        <w:t xml:space="preserve"> et al., 2001). The </w:t>
      </w:r>
      <w:proofErr w:type="spellStart"/>
      <w:r w:rsidRPr="001E5A6D">
        <w:rPr>
          <w:rFonts w:ascii="Times New Roman" w:hAnsi="Times New Roman" w:cs="Times New Roman"/>
          <w:sz w:val="28"/>
          <w:szCs w:val="28"/>
        </w:rPr>
        <w:t>proatlantal</w:t>
      </w:r>
      <w:proofErr w:type="spellEnd"/>
      <w:r w:rsidRPr="001E5A6D">
        <w:rPr>
          <w:rFonts w:ascii="Times New Roman" w:hAnsi="Times New Roman" w:cs="Times New Roman"/>
          <w:sz w:val="28"/>
          <w:szCs w:val="28"/>
        </w:rPr>
        <w:t xml:space="preserve"> artery persists longer and contributes to </w:t>
      </w:r>
      <w:r w:rsidR="00297658">
        <w:rPr>
          <w:rFonts w:ascii="Times New Roman" w:hAnsi="Times New Roman" w:cs="Times New Roman"/>
          <w:sz w:val="28"/>
          <w:szCs w:val="28"/>
        </w:rPr>
        <w:t xml:space="preserve">the </w:t>
      </w:r>
      <w:r w:rsidRPr="001E5A6D">
        <w:rPr>
          <w:rFonts w:ascii="Times New Roman" w:hAnsi="Times New Roman" w:cs="Times New Roman"/>
          <w:sz w:val="28"/>
          <w:szCs w:val="28"/>
        </w:rPr>
        <w:t>formation of the vertebral artery, which develops from longitudinal anastomoses between cervical intersegmental arteries by the 7–12</w:t>
      </w:r>
      <w:r w:rsidR="00297658">
        <w:rPr>
          <w:rFonts w:ascii="Times New Roman" w:hAnsi="Times New Roman" w:cs="Times New Roman"/>
          <w:sz w:val="28"/>
          <w:szCs w:val="28"/>
        </w:rPr>
        <w:t xml:space="preserve"> </w:t>
      </w:r>
      <w:r w:rsidRPr="001E5A6D">
        <w:rPr>
          <w:rFonts w:ascii="Times New Roman" w:hAnsi="Times New Roman" w:cs="Times New Roman"/>
          <w:sz w:val="28"/>
          <w:szCs w:val="28"/>
        </w:rPr>
        <w:t>mm stage (Padget, 1948).</w:t>
      </w:r>
    </w:p>
    <w:p w14:paraId="6EC6F2C3" w14:textId="654EC350" w:rsidR="00200A64" w:rsidRPr="001E5A6D"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The middle cerebral artery is first identified at the 11–12-mm stage as plexiform buds arising from the anterior division of the ICA and becomes the dominant blood supply to the cerebral hemispheres early in development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 By the 16–18-mm stage, the MCA consolidates into a single trunk with penetrating cortical branches (Padget, 1948). Concurrently, the ACA extends medially toward its contralateral counterpart, culminating in </w:t>
      </w:r>
      <w:r w:rsidR="00297658">
        <w:rPr>
          <w:rFonts w:ascii="Times New Roman" w:hAnsi="Times New Roman" w:cs="Times New Roman"/>
          <w:sz w:val="28"/>
          <w:szCs w:val="28"/>
        </w:rPr>
        <w:t xml:space="preserve">the </w:t>
      </w:r>
      <w:r w:rsidRPr="001E5A6D">
        <w:rPr>
          <w:rFonts w:ascii="Times New Roman" w:hAnsi="Times New Roman" w:cs="Times New Roman"/>
          <w:sz w:val="28"/>
          <w:szCs w:val="28"/>
        </w:rPr>
        <w:t>formation of the anterior communicating artery (ACOMM) by the 21–24-mm stage (</w:t>
      </w:r>
      <w:proofErr w:type="spellStart"/>
      <w:r w:rsidRPr="001E5A6D">
        <w:rPr>
          <w:rFonts w:ascii="Times New Roman" w:hAnsi="Times New Roman" w:cs="Times New Roman"/>
          <w:sz w:val="28"/>
          <w:szCs w:val="28"/>
        </w:rPr>
        <w:t>Lasjaunias</w:t>
      </w:r>
      <w:proofErr w:type="spellEnd"/>
      <w:r w:rsidRPr="001E5A6D">
        <w:rPr>
          <w:rFonts w:ascii="Times New Roman" w:hAnsi="Times New Roman" w:cs="Times New Roman"/>
          <w:sz w:val="28"/>
          <w:szCs w:val="28"/>
        </w:rPr>
        <w:t xml:space="preserve"> et al., 2001). Distal cortical vessels develop radial branching patterns and establish early anastomoses within the growing cerebral hemispheres (Risau, 1997).</w:t>
      </w:r>
    </w:p>
    <w:p w14:paraId="615C182D" w14:textId="77777777" w:rsidR="00200A64" w:rsidRDefault="00200A64" w:rsidP="00200A64">
      <w:pPr>
        <w:rPr>
          <w:rFonts w:ascii="Times New Roman" w:hAnsi="Times New Roman" w:cs="Times New Roman"/>
          <w:sz w:val="28"/>
          <w:szCs w:val="28"/>
        </w:rPr>
      </w:pPr>
      <w:r w:rsidRPr="001E5A6D">
        <w:rPr>
          <w:rFonts w:ascii="Times New Roman" w:hAnsi="Times New Roman" w:cs="Times New Roman"/>
          <w:sz w:val="28"/>
          <w:szCs w:val="28"/>
        </w:rPr>
        <w:t xml:space="preserve">The posterior aspect of the Circle of Willis forms earlier than the anterior component, as the </w:t>
      </w:r>
      <w:proofErr w:type="spellStart"/>
      <w:r w:rsidRPr="001E5A6D">
        <w:rPr>
          <w:rFonts w:ascii="Times New Roman" w:hAnsi="Times New Roman" w:cs="Times New Roman"/>
          <w:sz w:val="28"/>
          <w:szCs w:val="28"/>
        </w:rPr>
        <w:t>fetal</w:t>
      </w:r>
      <w:proofErr w:type="spellEnd"/>
      <w:r w:rsidRPr="001E5A6D">
        <w:rPr>
          <w:rFonts w:ascii="Times New Roman" w:hAnsi="Times New Roman" w:cs="Times New Roman"/>
          <w:sz w:val="28"/>
          <w:szCs w:val="28"/>
        </w:rPr>
        <w:t xml:space="preserve"> PCA transitions into the PCOMM and the definitive </w:t>
      </w:r>
      <w:r w:rsidRPr="001E5A6D">
        <w:rPr>
          <w:rFonts w:ascii="Times New Roman" w:hAnsi="Times New Roman" w:cs="Times New Roman"/>
          <w:sz w:val="28"/>
          <w:szCs w:val="28"/>
        </w:rPr>
        <w:lastRenderedPageBreak/>
        <w:t>PCA connects with the basilar artery (</w:t>
      </w:r>
      <w:proofErr w:type="spellStart"/>
      <w:r w:rsidRPr="001E5A6D">
        <w:rPr>
          <w:rFonts w:ascii="Times New Roman" w:hAnsi="Times New Roman" w:cs="Times New Roman"/>
          <w:sz w:val="28"/>
          <w:szCs w:val="28"/>
        </w:rPr>
        <w:t>Menshawi</w:t>
      </w:r>
      <w:proofErr w:type="spellEnd"/>
      <w:r w:rsidRPr="001E5A6D">
        <w:rPr>
          <w:rFonts w:ascii="Times New Roman" w:hAnsi="Times New Roman" w:cs="Times New Roman"/>
          <w:sz w:val="28"/>
          <w:szCs w:val="28"/>
        </w:rPr>
        <w:t xml:space="preserve"> et al., 2015). Completion of the anterior circulation—specifically development of the ACA and ACOMM—marks the final configuration of the adult Circle of Willis by approximately 6–7 weeks of gestation (</w:t>
      </w:r>
      <w:proofErr w:type="spellStart"/>
      <w:r w:rsidRPr="001E5A6D">
        <w:rPr>
          <w:rFonts w:ascii="Times New Roman" w:hAnsi="Times New Roman" w:cs="Times New Roman"/>
          <w:sz w:val="28"/>
          <w:szCs w:val="28"/>
        </w:rPr>
        <w:t>Padget</w:t>
      </w:r>
      <w:proofErr w:type="spellEnd"/>
      <w:r w:rsidRPr="001E5A6D">
        <w:rPr>
          <w:rFonts w:ascii="Times New Roman" w:hAnsi="Times New Roman" w:cs="Times New Roman"/>
          <w:sz w:val="28"/>
          <w:szCs w:val="28"/>
        </w:rPr>
        <w:t xml:space="preserve">, 1948; </w:t>
      </w:r>
      <w:proofErr w:type="spellStart"/>
      <w:r w:rsidRPr="001E5A6D">
        <w:rPr>
          <w:rFonts w:ascii="Times New Roman" w:hAnsi="Times New Roman" w:cs="Times New Roman"/>
          <w:sz w:val="28"/>
          <w:szCs w:val="28"/>
        </w:rPr>
        <w:t>Koroulakis</w:t>
      </w:r>
      <w:proofErr w:type="spellEnd"/>
      <w:r w:rsidRPr="001E5A6D">
        <w:rPr>
          <w:rFonts w:ascii="Times New Roman" w:hAnsi="Times New Roman" w:cs="Times New Roman"/>
          <w:sz w:val="28"/>
          <w:szCs w:val="28"/>
        </w:rPr>
        <w:t xml:space="preserve"> &amp; Agarwal, 2025).</w:t>
      </w:r>
    </w:p>
    <w:p w14:paraId="094B874B" w14:textId="0DA04747" w:rsidR="006B6054" w:rsidRPr="001E5A6D" w:rsidRDefault="006B6054" w:rsidP="00200A64">
      <w:pPr>
        <w:rPr>
          <w:rFonts w:ascii="Times New Roman" w:hAnsi="Times New Roman" w:cs="Times New Roman"/>
          <w:sz w:val="28"/>
          <w:szCs w:val="28"/>
        </w:rPr>
      </w:pPr>
      <w:r w:rsidRPr="006B6054">
        <w:rPr>
          <w:rFonts w:ascii="Times New Roman" w:hAnsi="Times New Roman" w:cs="Times New Roman"/>
          <w:sz w:val="28"/>
          <w:szCs w:val="28"/>
        </w:rPr>
        <w:t>These embryological processes explain the high prevalence of anatomical variants in the adult Circle of Willis, many of which have direct implications for collateral capacity and vulnerability to ischemic injury.</w:t>
      </w:r>
    </w:p>
    <w:p w14:paraId="25186192" w14:textId="77777777" w:rsidR="00200A64" w:rsidRPr="00CD18F2" w:rsidRDefault="00200A64" w:rsidP="00200A64">
      <w:pPr>
        <w:rPr>
          <w:rFonts w:ascii="Times New Roman" w:hAnsi="Times New Roman" w:cs="Times New Roman"/>
          <w:sz w:val="28"/>
          <w:szCs w:val="28"/>
        </w:rPr>
      </w:pPr>
    </w:p>
    <w:p w14:paraId="3363F51B"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688EBD4F">
          <v:rect id="_x0000_i1031" style="width:0;height:1.5pt" o:hralign="center" o:hrstd="t" o:hr="t" fillcolor="#a0a0a0" stroked="f"/>
        </w:pict>
      </w:r>
    </w:p>
    <w:p w14:paraId="1CBEE933" w14:textId="7777777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7. Collateral Circulation</w:t>
      </w:r>
    </w:p>
    <w:p w14:paraId="2F8CA7E4" w14:textId="69AEFA5D" w:rsidR="00F8551D" w:rsidRPr="00F8551D" w:rsidRDefault="00F8551D" w:rsidP="00200A64">
      <w:pPr>
        <w:rPr>
          <w:rFonts w:ascii="Times New Roman" w:hAnsi="Times New Roman" w:cs="Times New Roman"/>
          <w:sz w:val="28"/>
          <w:szCs w:val="28"/>
        </w:rPr>
      </w:pPr>
      <w:r w:rsidRPr="00F8551D">
        <w:rPr>
          <w:rFonts w:ascii="Times New Roman" w:hAnsi="Times New Roman" w:cs="Times New Roman"/>
          <w:sz w:val="28"/>
          <w:szCs w:val="28"/>
        </w:rPr>
        <w:t>Collateral circulation refers to alternative vascular pathways that maintain cerebral perfusion when primary cerebral arteries are compromised (</w:t>
      </w:r>
      <w:proofErr w:type="spellStart"/>
      <w:r w:rsidRPr="00F8551D">
        <w:rPr>
          <w:rFonts w:ascii="Times New Roman" w:hAnsi="Times New Roman" w:cs="Times New Roman"/>
          <w:sz w:val="28"/>
          <w:szCs w:val="28"/>
        </w:rPr>
        <w:t>Liebeskind</w:t>
      </w:r>
      <w:proofErr w:type="spellEnd"/>
      <w:r w:rsidRPr="00F8551D">
        <w:rPr>
          <w:rFonts w:ascii="Times New Roman" w:hAnsi="Times New Roman" w:cs="Times New Roman"/>
          <w:sz w:val="28"/>
          <w:szCs w:val="28"/>
        </w:rPr>
        <w:t xml:space="preserve">, 2019; </w:t>
      </w:r>
      <w:proofErr w:type="spellStart"/>
      <w:r w:rsidRPr="00F8551D">
        <w:rPr>
          <w:rFonts w:ascii="Times New Roman" w:hAnsi="Times New Roman" w:cs="Times New Roman"/>
          <w:sz w:val="28"/>
          <w:szCs w:val="28"/>
        </w:rPr>
        <w:t>Maguida</w:t>
      </w:r>
      <w:proofErr w:type="spellEnd"/>
      <w:r w:rsidRPr="00F8551D">
        <w:rPr>
          <w:rFonts w:ascii="Times New Roman" w:hAnsi="Times New Roman" w:cs="Times New Roman"/>
          <w:sz w:val="28"/>
          <w:szCs w:val="28"/>
        </w:rPr>
        <w:t xml:space="preserve"> &amp; Shuaib, 2023).</w:t>
      </w:r>
      <w:r w:rsidRPr="00F8551D">
        <w:rPr>
          <w:rFonts w:ascii="Times New Roman" w:hAnsi="Times New Roman" w:cs="Times New Roman"/>
          <w:sz w:val="28"/>
          <w:szCs w:val="28"/>
        </w:rPr>
        <w:br/>
        <w:t>Primary collaterals are provided by the Circle of Willis, allowing redistribution of blood flow between cerebral hemispheres and between the anterior and posterior circulations (Rosner et al., 2025; Standring, 2021).</w:t>
      </w:r>
      <w:r w:rsidRPr="00F8551D">
        <w:rPr>
          <w:rFonts w:ascii="Times New Roman" w:hAnsi="Times New Roman" w:cs="Times New Roman"/>
          <w:sz w:val="28"/>
          <w:szCs w:val="28"/>
        </w:rPr>
        <w:br/>
        <w:t>Secondary collaterals consist of leptomeningeal anastomoses between cortical branches of the anterior, middle, and posterior cerebral arteries, which become functionally important during arterial occlusion (Shuaib et al., 2011; Liebeskind, 2019).</w:t>
      </w:r>
      <w:r w:rsidRPr="00F8551D">
        <w:rPr>
          <w:rFonts w:ascii="Times New Roman" w:hAnsi="Times New Roman" w:cs="Times New Roman"/>
          <w:sz w:val="28"/>
          <w:szCs w:val="28"/>
        </w:rPr>
        <w:br/>
        <w:t xml:space="preserve">Tertiary collaterals develop through angiogenesis and </w:t>
      </w:r>
      <w:proofErr w:type="spellStart"/>
      <w:r w:rsidRPr="00F8551D">
        <w:rPr>
          <w:rFonts w:ascii="Times New Roman" w:hAnsi="Times New Roman" w:cs="Times New Roman"/>
          <w:sz w:val="28"/>
          <w:szCs w:val="28"/>
        </w:rPr>
        <w:t>arteriogenesis</w:t>
      </w:r>
      <w:proofErr w:type="spellEnd"/>
      <w:r w:rsidRPr="00F8551D">
        <w:rPr>
          <w:rFonts w:ascii="Times New Roman" w:hAnsi="Times New Roman" w:cs="Times New Roman"/>
          <w:sz w:val="28"/>
          <w:szCs w:val="28"/>
        </w:rPr>
        <w:t xml:space="preserve"> in response to chronic cerebral ischemia, as observed in conditions such as Moyamoya disease (Scott &amp; Smith, 2009; </w:t>
      </w:r>
      <w:proofErr w:type="spellStart"/>
      <w:r w:rsidRPr="00F8551D">
        <w:rPr>
          <w:rFonts w:ascii="Times New Roman" w:hAnsi="Times New Roman" w:cs="Times New Roman"/>
          <w:sz w:val="28"/>
          <w:szCs w:val="28"/>
        </w:rPr>
        <w:t>Menshawi</w:t>
      </w:r>
      <w:proofErr w:type="spellEnd"/>
      <w:r w:rsidRPr="00F8551D">
        <w:rPr>
          <w:rFonts w:ascii="Times New Roman" w:hAnsi="Times New Roman" w:cs="Times New Roman"/>
          <w:sz w:val="28"/>
          <w:szCs w:val="28"/>
        </w:rPr>
        <w:t xml:space="preserve"> et al., 2015).</w:t>
      </w:r>
      <w:r w:rsidRPr="00F8551D">
        <w:rPr>
          <w:rFonts w:ascii="Times New Roman" w:hAnsi="Times New Roman" w:cs="Times New Roman"/>
          <w:sz w:val="28"/>
          <w:szCs w:val="28"/>
        </w:rPr>
        <w:br/>
        <w:t>The adequacy and efficiency of these collateral pathways strongly influence infarct progression, penumbral survival, and overall neurological outcome in ischemic stroke (Albers et al., 2018; Powers et al., 2019).</w:t>
      </w:r>
    </w:p>
    <w:p w14:paraId="5134437E"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470167A0">
          <v:rect id="_x0000_i1032" style="width:0;height:1.5pt" o:hralign="center" o:hrstd="t" o:hr="t" fillcolor="#a0a0a0" stroked="f"/>
        </w:pict>
      </w:r>
    </w:p>
    <w:p w14:paraId="5D0E13BC" w14:textId="7777777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8. Functional Role of the Posterior Communicating Artery</w:t>
      </w:r>
    </w:p>
    <w:p w14:paraId="34A1F79B" w14:textId="4F19DCB2" w:rsidR="009C14F0" w:rsidRPr="009C14F0" w:rsidRDefault="009C14F0" w:rsidP="00200A64">
      <w:pPr>
        <w:rPr>
          <w:rFonts w:ascii="Times New Roman" w:hAnsi="Times New Roman" w:cs="Times New Roman"/>
          <w:sz w:val="28"/>
          <w:szCs w:val="28"/>
        </w:rPr>
      </w:pPr>
      <w:r w:rsidRPr="009C14F0">
        <w:rPr>
          <w:rFonts w:ascii="Times New Roman" w:hAnsi="Times New Roman" w:cs="Times New Roman"/>
          <w:sz w:val="28"/>
          <w:szCs w:val="28"/>
        </w:rPr>
        <w:t>The posterior communicating artery is a key functional component of the Circle of Willis, directly linking the anterior and posterior cerebral circulations (Standring, 2021; Rosner et al., 2025).</w:t>
      </w:r>
      <w:r w:rsidRPr="009C14F0">
        <w:rPr>
          <w:rFonts w:ascii="Times New Roman" w:hAnsi="Times New Roman" w:cs="Times New Roman"/>
          <w:sz w:val="28"/>
          <w:szCs w:val="28"/>
        </w:rPr>
        <w:br/>
        <w:t>In the setting of internal carotid artery occlusion, a patent posterior communicating artery permits compensatory blood flow from the vertebrobasilar system to anterior circulation territories, thereby preserving cerebral perfusion (</w:t>
      </w:r>
      <w:proofErr w:type="spellStart"/>
      <w:r w:rsidRPr="009C14F0">
        <w:rPr>
          <w:rFonts w:ascii="Times New Roman" w:hAnsi="Times New Roman" w:cs="Times New Roman"/>
          <w:sz w:val="28"/>
          <w:szCs w:val="28"/>
        </w:rPr>
        <w:t>Maguida</w:t>
      </w:r>
      <w:proofErr w:type="spellEnd"/>
      <w:r w:rsidRPr="009C14F0">
        <w:rPr>
          <w:rFonts w:ascii="Times New Roman" w:hAnsi="Times New Roman" w:cs="Times New Roman"/>
          <w:sz w:val="28"/>
          <w:szCs w:val="28"/>
        </w:rPr>
        <w:t xml:space="preserve"> &amp; Shuaib, 2023; Liebeskind, 2019).</w:t>
      </w:r>
      <w:r w:rsidRPr="009C14F0">
        <w:rPr>
          <w:rFonts w:ascii="Times New Roman" w:hAnsi="Times New Roman" w:cs="Times New Roman"/>
          <w:sz w:val="28"/>
          <w:szCs w:val="28"/>
        </w:rPr>
        <w:br/>
        <w:t xml:space="preserve">Conversely, in vertebrobasilar insufficiency, the posterior communicating artery </w:t>
      </w:r>
      <w:r w:rsidRPr="009C14F0">
        <w:rPr>
          <w:rFonts w:ascii="Times New Roman" w:hAnsi="Times New Roman" w:cs="Times New Roman"/>
          <w:sz w:val="28"/>
          <w:szCs w:val="28"/>
        </w:rPr>
        <w:lastRenderedPageBreak/>
        <w:t xml:space="preserve">facilitates collateral flow from the internal carotid system to posterior circulation structures, including the occipital lobes and brainstem (Banerjee et al., 2018; Harrigan &amp; </w:t>
      </w:r>
      <w:proofErr w:type="spellStart"/>
      <w:r w:rsidRPr="009C14F0">
        <w:rPr>
          <w:rFonts w:ascii="Times New Roman" w:hAnsi="Times New Roman" w:cs="Times New Roman"/>
          <w:sz w:val="28"/>
          <w:szCs w:val="28"/>
        </w:rPr>
        <w:t>Deveikis</w:t>
      </w:r>
      <w:proofErr w:type="spellEnd"/>
      <w:r w:rsidRPr="009C14F0">
        <w:rPr>
          <w:rFonts w:ascii="Times New Roman" w:hAnsi="Times New Roman" w:cs="Times New Roman"/>
          <w:sz w:val="28"/>
          <w:szCs w:val="28"/>
        </w:rPr>
        <w:t>, 2013).</w:t>
      </w:r>
      <w:r w:rsidRPr="009C14F0">
        <w:rPr>
          <w:rFonts w:ascii="Times New Roman" w:hAnsi="Times New Roman" w:cs="Times New Roman"/>
          <w:sz w:val="28"/>
          <w:szCs w:val="28"/>
        </w:rPr>
        <w:br/>
        <w:t>Hypoplasia or absence of the posterior communicating artery significantly limits collateral capacity and has been associated with larger infarct volumes, reduced penumbral preservation, and poorer clinical outcomes (</w:t>
      </w:r>
      <w:proofErr w:type="spellStart"/>
      <w:r w:rsidRPr="009C14F0">
        <w:rPr>
          <w:rFonts w:ascii="Times New Roman" w:hAnsi="Times New Roman" w:cs="Times New Roman"/>
          <w:sz w:val="28"/>
          <w:szCs w:val="28"/>
        </w:rPr>
        <w:t>Menshawi</w:t>
      </w:r>
      <w:proofErr w:type="spellEnd"/>
      <w:r w:rsidRPr="009C14F0">
        <w:rPr>
          <w:rFonts w:ascii="Times New Roman" w:hAnsi="Times New Roman" w:cs="Times New Roman"/>
          <w:sz w:val="28"/>
          <w:szCs w:val="28"/>
        </w:rPr>
        <w:t xml:space="preserve"> et al., 2015; Tanaka et al., 2006).</w:t>
      </w:r>
      <w:r w:rsidRPr="009C14F0">
        <w:rPr>
          <w:rFonts w:ascii="Times New Roman" w:hAnsi="Times New Roman" w:cs="Times New Roman"/>
          <w:sz w:val="28"/>
          <w:szCs w:val="28"/>
        </w:rPr>
        <w:br/>
        <w:t xml:space="preserve">A prominent posterior communicating artery is characteristic of the </w:t>
      </w:r>
      <w:proofErr w:type="spellStart"/>
      <w:r w:rsidRPr="009C14F0">
        <w:rPr>
          <w:rFonts w:ascii="Times New Roman" w:hAnsi="Times New Roman" w:cs="Times New Roman"/>
          <w:sz w:val="28"/>
          <w:szCs w:val="28"/>
        </w:rPr>
        <w:t>fetal</w:t>
      </w:r>
      <w:proofErr w:type="spellEnd"/>
      <w:r w:rsidRPr="009C14F0">
        <w:rPr>
          <w:rFonts w:ascii="Times New Roman" w:hAnsi="Times New Roman" w:cs="Times New Roman"/>
          <w:sz w:val="28"/>
          <w:szCs w:val="28"/>
        </w:rPr>
        <w:t xml:space="preserve"> origin of the posterior cerebral artery, an anatomical variant with important implications for stroke localization, collateral dependence, and endovascular planning (</w:t>
      </w:r>
      <w:proofErr w:type="spellStart"/>
      <w:r w:rsidRPr="009C14F0">
        <w:rPr>
          <w:rFonts w:ascii="Times New Roman" w:hAnsi="Times New Roman" w:cs="Times New Roman"/>
          <w:sz w:val="28"/>
          <w:szCs w:val="28"/>
        </w:rPr>
        <w:t>Menshawi</w:t>
      </w:r>
      <w:proofErr w:type="spellEnd"/>
      <w:r w:rsidRPr="009C14F0">
        <w:rPr>
          <w:rFonts w:ascii="Times New Roman" w:hAnsi="Times New Roman" w:cs="Times New Roman"/>
          <w:sz w:val="28"/>
          <w:szCs w:val="28"/>
        </w:rPr>
        <w:t xml:space="preserve"> et al., 2015; Standring, 2021).</w:t>
      </w:r>
    </w:p>
    <w:p w14:paraId="33E24781"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1BF13C7E">
          <v:rect id="_x0000_i1033" style="width:0;height:1.5pt" o:hralign="center" o:hrstd="t" o:hr="t" fillcolor="#a0a0a0" stroked="f"/>
        </w:pict>
      </w:r>
    </w:p>
    <w:p w14:paraId="0ADDF3B7"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9. Anatomical Variations of the Circle of Willis</w:t>
      </w:r>
    </w:p>
    <w:p w14:paraId="7FDB580B" w14:textId="77777777" w:rsidR="00200A64"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 xml:space="preserve">A complete Circle of Willis is present in fewer than half of individuals. Common variations include hypoplastic or absent posterior communicating arteries, absent anterior communicating artery, </w:t>
      </w:r>
      <w:proofErr w:type="spellStart"/>
      <w:r w:rsidRPr="00CD18F2">
        <w:rPr>
          <w:rFonts w:ascii="Times New Roman" w:hAnsi="Times New Roman" w:cs="Times New Roman"/>
          <w:sz w:val="28"/>
          <w:szCs w:val="28"/>
        </w:rPr>
        <w:t>fetal</w:t>
      </w:r>
      <w:proofErr w:type="spellEnd"/>
      <w:r w:rsidRPr="00CD18F2">
        <w:rPr>
          <w:rFonts w:ascii="Times New Roman" w:hAnsi="Times New Roman" w:cs="Times New Roman"/>
          <w:sz w:val="28"/>
          <w:szCs w:val="28"/>
        </w:rPr>
        <w:t xml:space="preserve"> origin of the posterior cerebral artery, and azygous anterior cerebral artery. These variations alter cerebral </w:t>
      </w:r>
      <w:proofErr w:type="spellStart"/>
      <w:r w:rsidRPr="00CD18F2">
        <w:rPr>
          <w:rFonts w:ascii="Times New Roman" w:hAnsi="Times New Roman" w:cs="Times New Roman"/>
          <w:sz w:val="28"/>
          <w:szCs w:val="28"/>
        </w:rPr>
        <w:t>hemodynamics</w:t>
      </w:r>
      <w:proofErr w:type="spellEnd"/>
      <w:r w:rsidRPr="00CD18F2">
        <w:rPr>
          <w:rFonts w:ascii="Times New Roman" w:hAnsi="Times New Roman" w:cs="Times New Roman"/>
          <w:sz w:val="28"/>
          <w:szCs w:val="28"/>
        </w:rPr>
        <w:t xml:space="preserve"> and collateral efficiency, contributing to inter-individual differences in stroke severity and recovery. Recognition of these variants is essential in diagnostic imaging and therapeutic planning.</w:t>
      </w:r>
    </w:p>
    <w:p w14:paraId="1CCD906A"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Cerebral Arterial Variants and Developmental Considerations</w:t>
      </w:r>
    </w:p>
    <w:p w14:paraId="1529F413"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As the cerebral vascular network matures into its typical adult configuration, variations arising during embryological development can result in a wide spectrum of anatomical arterial variants (</w:t>
      </w:r>
      <w:proofErr w:type="spellStart"/>
      <w:r w:rsidRPr="00A322D1">
        <w:rPr>
          <w:rFonts w:ascii="Times New Roman" w:hAnsi="Times New Roman" w:cs="Times New Roman"/>
          <w:sz w:val="28"/>
          <w:szCs w:val="28"/>
        </w:rPr>
        <w:t>Menshawi</w:t>
      </w:r>
      <w:proofErr w:type="spellEnd"/>
      <w:r w:rsidRPr="00A322D1">
        <w:rPr>
          <w:rFonts w:ascii="Times New Roman" w:hAnsi="Times New Roman" w:cs="Times New Roman"/>
          <w:sz w:val="28"/>
          <w:szCs w:val="28"/>
        </w:rPr>
        <w:t xml:space="preserve"> et al., 2015; </w:t>
      </w:r>
      <w:proofErr w:type="spellStart"/>
      <w:r w:rsidRPr="00A322D1">
        <w:rPr>
          <w:rFonts w:ascii="Times New Roman" w:hAnsi="Times New Roman" w:cs="Times New Roman"/>
          <w:sz w:val="28"/>
          <w:szCs w:val="28"/>
        </w:rPr>
        <w:t>Lasjaunias</w:t>
      </w:r>
      <w:proofErr w:type="spellEnd"/>
      <w:r w:rsidRPr="00A322D1">
        <w:rPr>
          <w:rFonts w:ascii="Times New Roman" w:hAnsi="Times New Roman" w:cs="Times New Roman"/>
          <w:sz w:val="28"/>
          <w:szCs w:val="28"/>
        </w:rPr>
        <w:t xml:space="preserve"> et al., 2001). These variants reflect alterations in normal processes of arterial fusion, regression, and </w:t>
      </w:r>
      <w:proofErr w:type="spellStart"/>
      <w:r w:rsidRPr="00A322D1">
        <w:rPr>
          <w:rFonts w:ascii="Times New Roman" w:hAnsi="Times New Roman" w:cs="Times New Roman"/>
          <w:sz w:val="28"/>
          <w:szCs w:val="28"/>
        </w:rPr>
        <w:t>remodeling</w:t>
      </w:r>
      <w:proofErr w:type="spellEnd"/>
      <w:r w:rsidRPr="00A322D1">
        <w:rPr>
          <w:rFonts w:ascii="Times New Roman" w:hAnsi="Times New Roman" w:cs="Times New Roman"/>
          <w:sz w:val="28"/>
          <w:szCs w:val="28"/>
        </w:rPr>
        <w:t xml:space="preserve"> and may involve any component of the cerebral circulation (</w:t>
      </w:r>
      <w:proofErr w:type="spellStart"/>
      <w:r w:rsidRPr="00A322D1">
        <w:rPr>
          <w:rFonts w:ascii="Times New Roman" w:hAnsi="Times New Roman" w:cs="Times New Roman"/>
          <w:sz w:val="28"/>
          <w:szCs w:val="28"/>
        </w:rPr>
        <w:t>Padget</w:t>
      </w:r>
      <w:proofErr w:type="spellEnd"/>
      <w:r w:rsidRPr="00A322D1">
        <w:rPr>
          <w:rFonts w:ascii="Times New Roman" w:hAnsi="Times New Roman" w:cs="Times New Roman"/>
          <w:sz w:val="28"/>
          <w:szCs w:val="28"/>
        </w:rPr>
        <w:t xml:space="preserve">, 1948; </w:t>
      </w:r>
      <w:proofErr w:type="spellStart"/>
      <w:r w:rsidRPr="00A322D1">
        <w:rPr>
          <w:rFonts w:ascii="Times New Roman" w:hAnsi="Times New Roman" w:cs="Times New Roman"/>
          <w:sz w:val="28"/>
          <w:szCs w:val="28"/>
        </w:rPr>
        <w:t>Koroulakis</w:t>
      </w:r>
      <w:proofErr w:type="spellEnd"/>
      <w:r w:rsidRPr="00A322D1">
        <w:rPr>
          <w:rFonts w:ascii="Times New Roman" w:hAnsi="Times New Roman" w:cs="Times New Roman"/>
          <w:sz w:val="28"/>
          <w:szCs w:val="28"/>
        </w:rPr>
        <w:t xml:space="preserve"> &amp; Agarwal, 2025).</w:t>
      </w:r>
    </w:p>
    <w:p w14:paraId="05852DE9"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Fenestrations and Duplications</w:t>
      </w:r>
    </w:p>
    <w:p w14:paraId="613EEF2D"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Fenestrations of cerebral arteries are congenital anomalies characterized by division of a single arterial segment into two parallel channels that later rejoin, restoring a single lumen distally (Cooke et al., 2014; van </w:t>
      </w:r>
      <w:proofErr w:type="spellStart"/>
      <w:r w:rsidRPr="00A322D1">
        <w:rPr>
          <w:rFonts w:ascii="Times New Roman" w:hAnsi="Times New Roman" w:cs="Times New Roman"/>
          <w:sz w:val="28"/>
          <w:szCs w:val="28"/>
        </w:rPr>
        <w:t>Rooij</w:t>
      </w:r>
      <w:proofErr w:type="spellEnd"/>
      <w:r w:rsidRPr="00A322D1">
        <w:rPr>
          <w:rFonts w:ascii="Times New Roman" w:hAnsi="Times New Roman" w:cs="Times New Roman"/>
          <w:sz w:val="28"/>
          <w:szCs w:val="28"/>
        </w:rPr>
        <w:t xml:space="preserve"> et al., 2007). Reported prevalence varies widely—from 0.3% to nearly 30%—depending on imaging modality, population studied, and diagnostic criteria employed (van </w:t>
      </w:r>
      <w:proofErr w:type="spellStart"/>
      <w:r w:rsidRPr="00A322D1">
        <w:rPr>
          <w:rFonts w:ascii="Times New Roman" w:hAnsi="Times New Roman" w:cs="Times New Roman"/>
          <w:sz w:val="28"/>
          <w:szCs w:val="28"/>
        </w:rPr>
        <w:t>Rooij</w:t>
      </w:r>
      <w:proofErr w:type="spellEnd"/>
      <w:r w:rsidRPr="00A322D1">
        <w:rPr>
          <w:rFonts w:ascii="Times New Roman" w:hAnsi="Times New Roman" w:cs="Times New Roman"/>
          <w:sz w:val="28"/>
          <w:szCs w:val="28"/>
        </w:rPr>
        <w:t xml:space="preserve"> et al., 2007; Dey et al., 2018). From an anatomical standpoint, the term </w:t>
      </w:r>
      <w:r w:rsidRPr="00A322D1">
        <w:rPr>
          <w:rFonts w:ascii="Times New Roman" w:hAnsi="Times New Roman" w:cs="Times New Roman"/>
          <w:i/>
          <w:iCs/>
          <w:sz w:val="28"/>
          <w:szCs w:val="28"/>
        </w:rPr>
        <w:t>fenestration</w:t>
      </w:r>
      <w:r w:rsidRPr="00A322D1">
        <w:rPr>
          <w:rFonts w:ascii="Times New Roman" w:hAnsi="Times New Roman" w:cs="Times New Roman"/>
          <w:sz w:val="28"/>
          <w:szCs w:val="28"/>
        </w:rPr>
        <w:t xml:space="preserve"> should be reserved for arteries with a common origin that split transiently and reunite, with or without sharing an adventitial layer (</w:t>
      </w:r>
      <w:proofErr w:type="spellStart"/>
      <w:r w:rsidRPr="00A322D1">
        <w:rPr>
          <w:rFonts w:ascii="Times New Roman" w:hAnsi="Times New Roman" w:cs="Times New Roman"/>
          <w:sz w:val="28"/>
          <w:szCs w:val="28"/>
        </w:rPr>
        <w:t>Lasjaunias</w:t>
      </w:r>
      <w:proofErr w:type="spellEnd"/>
      <w:r w:rsidRPr="00A322D1">
        <w:rPr>
          <w:rFonts w:ascii="Times New Roman" w:hAnsi="Times New Roman" w:cs="Times New Roman"/>
          <w:sz w:val="28"/>
          <w:szCs w:val="28"/>
        </w:rPr>
        <w:t xml:space="preserve"> et al., 2001; Cooke et al., 2014).</w:t>
      </w:r>
    </w:p>
    <w:p w14:paraId="466A7FA4"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lastRenderedPageBreak/>
        <w:t xml:space="preserve">Fenestrations must be distinguished from </w:t>
      </w:r>
      <w:r w:rsidRPr="00A322D1">
        <w:rPr>
          <w:rFonts w:ascii="Times New Roman" w:hAnsi="Times New Roman" w:cs="Times New Roman"/>
          <w:i/>
          <w:iCs/>
          <w:sz w:val="28"/>
          <w:szCs w:val="28"/>
        </w:rPr>
        <w:t>duplications</w:t>
      </w:r>
      <w:r w:rsidRPr="00A322D1">
        <w:rPr>
          <w:rFonts w:ascii="Times New Roman" w:hAnsi="Times New Roman" w:cs="Times New Roman"/>
          <w:sz w:val="28"/>
          <w:szCs w:val="28"/>
        </w:rPr>
        <w:t xml:space="preserve">, which represent two distinct arteries arising from separate origins that later fuse distally into a single vessel (Dey et al., 2018; </w:t>
      </w:r>
      <w:proofErr w:type="spellStart"/>
      <w:r w:rsidRPr="00A322D1">
        <w:rPr>
          <w:rFonts w:ascii="Times New Roman" w:hAnsi="Times New Roman" w:cs="Times New Roman"/>
          <w:sz w:val="28"/>
          <w:szCs w:val="28"/>
        </w:rPr>
        <w:t>Gailloud</w:t>
      </w:r>
      <w:proofErr w:type="spellEnd"/>
      <w:r w:rsidRPr="00A322D1">
        <w:rPr>
          <w:rFonts w:ascii="Times New Roman" w:hAnsi="Times New Roman" w:cs="Times New Roman"/>
          <w:sz w:val="28"/>
          <w:szCs w:val="28"/>
        </w:rPr>
        <w:t xml:space="preserve"> et al., 2002). Both fenestrations and duplications are considered among the most common cerebral arterial variants after hypoplasia and are observed more frequently in the anterior circulation (van </w:t>
      </w:r>
      <w:proofErr w:type="spellStart"/>
      <w:r w:rsidRPr="00A322D1">
        <w:rPr>
          <w:rFonts w:ascii="Times New Roman" w:hAnsi="Times New Roman" w:cs="Times New Roman"/>
          <w:sz w:val="28"/>
          <w:szCs w:val="28"/>
        </w:rPr>
        <w:t>Rooij</w:t>
      </w:r>
      <w:proofErr w:type="spellEnd"/>
      <w:r w:rsidRPr="00A322D1">
        <w:rPr>
          <w:rFonts w:ascii="Times New Roman" w:hAnsi="Times New Roman" w:cs="Times New Roman"/>
          <w:sz w:val="28"/>
          <w:szCs w:val="28"/>
        </w:rPr>
        <w:t xml:space="preserve"> et al., 2007; Dey et al., 2018). The anterior communicating artery (ACOMM) is the most commonly affected vessel, whereas fenestrations of the internal carotid artery are exceedingly rare (</w:t>
      </w:r>
      <w:proofErr w:type="spellStart"/>
      <w:r w:rsidRPr="00A322D1">
        <w:rPr>
          <w:rFonts w:ascii="Times New Roman" w:hAnsi="Times New Roman" w:cs="Times New Roman"/>
          <w:sz w:val="28"/>
          <w:szCs w:val="28"/>
        </w:rPr>
        <w:t>Gailloud</w:t>
      </w:r>
      <w:proofErr w:type="spellEnd"/>
      <w:r w:rsidRPr="00A322D1">
        <w:rPr>
          <w:rFonts w:ascii="Times New Roman" w:hAnsi="Times New Roman" w:cs="Times New Roman"/>
          <w:sz w:val="28"/>
          <w:szCs w:val="28"/>
        </w:rPr>
        <w:t xml:space="preserve"> et al., 2002; Uchino et al., 2013).</w:t>
      </w:r>
    </w:p>
    <w:p w14:paraId="7EAF9ECD"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The embryological basis of these variants is thought to involve incomplete fusion of primitive arterial </w:t>
      </w:r>
      <w:proofErr w:type="spellStart"/>
      <w:r w:rsidRPr="00A322D1">
        <w:rPr>
          <w:rFonts w:ascii="Times New Roman" w:hAnsi="Times New Roman" w:cs="Times New Roman"/>
          <w:sz w:val="28"/>
          <w:szCs w:val="28"/>
        </w:rPr>
        <w:t>plexi</w:t>
      </w:r>
      <w:proofErr w:type="spellEnd"/>
      <w:r w:rsidRPr="00A322D1">
        <w:rPr>
          <w:rFonts w:ascii="Times New Roman" w:hAnsi="Times New Roman" w:cs="Times New Roman"/>
          <w:sz w:val="28"/>
          <w:szCs w:val="28"/>
        </w:rPr>
        <w:t xml:space="preserve">; however, alternative mechanisms such as </w:t>
      </w:r>
      <w:proofErr w:type="spellStart"/>
      <w:r w:rsidRPr="00A322D1">
        <w:rPr>
          <w:rFonts w:ascii="Times New Roman" w:hAnsi="Times New Roman" w:cs="Times New Roman"/>
          <w:sz w:val="28"/>
          <w:szCs w:val="28"/>
        </w:rPr>
        <w:t>transarterial</w:t>
      </w:r>
      <w:proofErr w:type="spellEnd"/>
      <w:r w:rsidRPr="00A322D1">
        <w:rPr>
          <w:rFonts w:ascii="Times New Roman" w:hAnsi="Times New Roman" w:cs="Times New Roman"/>
          <w:sz w:val="28"/>
          <w:szCs w:val="28"/>
        </w:rPr>
        <w:t xml:space="preserve"> passage of nerves, bony structures, or enlarged vasa vasorum have also been proposed (</w:t>
      </w:r>
      <w:proofErr w:type="spellStart"/>
      <w:r w:rsidRPr="00A322D1">
        <w:rPr>
          <w:rFonts w:ascii="Times New Roman" w:hAnsi="Times New Roman" w:cs="Times New Roman"/>
          <w:sz w:val="28"/>
          <w:szCs w:val="28"/>
        </w:rPr>
        <w:t>Lasjaunias</w:t>
      </w:r>
      <w:proofErr w:type="spellEnd"/>
      <w:r w:rsidRPr="00A322D1">
        <w:rPr>
          <w:rFonts w:ascii="Times New Roman" w:hAnsi="Times New Roman" w:cs="Times New Roman"/>
          <w:sz w:val="28"/>
          <w:szCs w:val="28"/>
        </w:rPr>
        <w:t xml:space="preserve"> et al., 2001; Cooke et al., 2014). Although digital subtraction angiography remains the reference standard for detection, three-dimensional rotational angiography provides superior visualization of fenestrated segments compared with conventional imaging (van </w:t>
      </w:r>
      <w:proofErr w:type="spellStart"/>
      <w:r w:rsidRPr="00A322D1">
        <w:rPr>
          <w:rFonts w:ascii="Times New Roman" w:hAnsi="Times New Roman" w:cs="Times New Roman"/>
          <w:sz w:val="28"/>
          <w:szCs w:val="28"/>
        </w:rPr>
        <w:t>Rooij</w:t>
      </w:r>
      <w:proofErr w:type="spellEnd"/>
      <w:r w:rsidRPr="00A322D1">
        <w:rPr>
          <w:rFonts w:ascii="Times New Roman" w:hAnsi="Times New Roman" w:cs="Times New Roman"/>
          <w:sz w:val="28"/>
          <w:szCs w:val="28"/>
        </w:rPr>
        <w:t xml:space="preserve"> et al., 2007; Dey et al., 2018).</w:t>
      </w:r>
    </w:p>
    <w:p w14:paraId="326C11B7"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Hypoplastic Arteries</w:t>
      </w:r>
    </w:p>
    <w:p w14:paraId="76F05B0A"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The arteries forming the adult Circle of Willis exhibit considerable variability in </w:t>
      </w:r>
      <w:proofErr w:type="spellStart"/>
      <w:r w:rsidRPr="00A322D1">
        <w:rPr>
          <w:rFonts w:ascii="Times New Roman" w:hAnsi="Times New Roman" w:cs="Times New Roman"/>
          <w:sz w:val="28"/>
          <w:szCs w:val="28"/>
        </w:rPr>
        <w:t>caliber</w:t>
      </w:r>
      <w:proofErr w:type="spellEnd"/>
      <w:r w:rsidRPr="00A322D1">
        <w:rPr>
          <w:rFonts w:ascii="Times New Roman" w:hAnsi="Times New Roman" w:cs="Times New Roman"/>
          <w:sz w:val="28"/>
          <w:szCs w:val="28"/>
        </w:rPr>
        <w:t>, and several proportional relationships have been proposed to define normal vessel size (</w:t>
      </w:r>
      <w:proofErr w:type="spellStart"/>
      <w:r w:rsidRPr="00A322D1">
        <w:rPr>
          <w:rFonts w:ascii="Times New Roman" w:hAnsi="Times New Roman" w:cs="Times New Roman"/>
          <w:sz w:val="28"/>
          <w:szCs w:val="28"/>
        </w:rPr>
        <w:t>Menshawi</w:t>
      </w:r>
      <w:proofErr w:type="spellEnd"/>
      <w:r w:rsidRPr="00A322D1">
        <w:rPr>
          <w:rFonts w:ascii="Times New Roman" w:hAnsi="Times New Roman" w:cs="Times New Roman"/>
          <w:sz w:val="28"/>
          <w:szCs w:val="28"/>
        </w:rPr>
        <w:t xml:space="preserve"> et al., 2015). Typically, the posterior communicating artery is approximately half the diameter of the posterior cerebral artery, which itself is roughly half the diameter of the basilar artery, while the anterior communicating artery measures about one half to two thirds the diameter of the anterior cerebral artery (</w:t>
      </w:r>
      <w:proofErr w:type="spellStart"/>
      <w:r w:rsidRPr="00A322D1">
        <w:rPr>
          <w:rFonts w:ascii="Times New Roman" w:hAnsi="Times New Roman" w:cs="Times New Roman"/>
          <w:sz w:val="28"/>
          <w:szCs w:val="28"/>
        </w:rPr>
        <w:t>Padget</w:t>
      </w:r>
      <w:proofErr w:type="spellEnd"/>
      <w:r w:rsidRPr="00A322D1">
        <w:rPr>
          <w:rFonts w:ascii="Times New Roman" w:hAnsi="Times New Roman" w:cs="Times New Roman"/>
          <w:sz w:val="28"/>
          <w:szCs w:val="28"/>
        </w:rPr>
        <w:t xml:space="preserve">, 1948; </w:t>
      </w:r>
      <w:proofErr w:type="spellStart"/>
      <w:r w:rsidRPr="00A322D1">
        <w:rPr>
          <w:rFonts w:ascii="Times New Roman" w:hAnsi="Times New Roman" w:cs="Times New Roman"/>
          <w:sz w:val="28"/>
          <w:szCs w:val="28"/>
        </w:rPr>
        <w:t>Lasjaunias</w:t>
      </w:r>
      <w:proofErr w:type="spellEnd"/>
      <w:r w:rsidRPr="00A322D1">
        <w:rPr>
          <w:rFonts w:ascii="Times New Roman" w:hAnsi="Times New Roman" w:cs="Times New Roman"/>
          <w:sz w:val="28"/>
          <w:szCs w:val="28"/>
        </w:rPr>
        <w:t xml:space="preserve"> et al., 2001). Arteries that are markedly smaller than expected are classified as hypoplastic, often appearing thread-like or sling-shaped on imaging (Hoksbergen et al., 2003; </w:t>
      </w:r>
      <w:proofErr w:type="spellStart"/>
      <w:r w:rsidRPr="00A322D1">
        <w:rPr>
          <w:rFonts w:ascii="Times New Roman" w:hAnsi="Times New Roman" w:cs="Times New Roman"/>
          <w:sz w:val="28"/>
          <w:szCs w:val="28"/>
        </w:rPr>
        <w:t>Krabbe-Hartkamp</w:t>
      </w:r>
      <w:proofErr w:type="spellEnd"/>
      <w:r w:rsidRPr="00A322D1">
        <w:rPr>
          <w:rFonts w:ascii="Times New Roman" w:hAnsi="Times New Roman" w:cs="Times New Roman"/>
          <w:sz w:val="28"/>
          <w:szCs w:val="28"/>
        </w:rPr>
        <w:t xml:space="preserve"> et al., 1998).</w:t>
      </w:r>
    </w:p>
    <w:p w14:paraId="7DE18C5C"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Large autopsy and imaging studies demonstrate that a “complete” Circle of Willis—containing all typical arterial components—is present in only about half of individuals, with hypoplastic arteries representing the most frequent anomaly (</w:t>
      </w:r>
      <w:proofErr w:type="spellStart"/>
      <w:r w:rsidRPr="00A322D1">
        <w:rPr>
          <w:rFonts w:ascii="Times New Roman" w:hAnsi="Times New Roman" w:cs="Times New Roman"/>
          <w:sz w:val="28"/>
          <w:szCs w:val="28"/>
        </w:rPr>
        <w:t>Krabbe-Hartkamp</w:t>
      </w:r>
      <w:proofErr w:type="spellEnd"/>
      <w:r w:rsidRPr="00A322D1">
        <w:rPr>
          <w:rFonts w:ascii="Times New Roman" w:hAnsi="Times New Roman" w:cs="Times New Roman"/>
          <w:sz w:val="28"/>
          <w:szCs w:val="28"/>
        </w:rPr>
        <w:t xml:space="preserve"> et al., 1998; Hoksbergen et al., 2003). Hypoplasia most commonly involves the posterior communicating artery or the anterior communicating artery, whereas complete absence of an artery is relatively rare and usually affects the ACOMM (</w:t>
      </w:r>
      <w:proofErr w:type="spellStart"/>
      <w:r w:rsidRPr="00A322D1">
        <w:rPr>
          <w:rFonts w:ascii="Times New Roman" w:hAnsi="Times New Roman" w:cs="Times New Roman"/>
          <w:sz w:val="28"/>
          <w:szCs w:val="28"/>
        </w:rPr>
        <w:t>Krabbe-Hartkamp</w:t>
      </w:r>
      <w:proofErr w:type="spellEnd"/>
      <w:r w:rsidRPr="00A322D1">
        <w:rPr>
          <w:rFonts w:ascii="Times New Roman" w:hAnsi="Times New Roman" w:cs="Times New Roman"/>
          <w:sz w:val="28"/>
          <w:szCs w:val="28"/>
        </w:rPr>
        <w:t xml:space="preserve"> et al., 1998). Population-based magnetic resonance angiography studies in individuals without stroke further confirm that a fully complete Circle of Willis is the exception rather than </w:t>
      </w:r>
      <w:r w:rsidRPr="00A322D1">
        <w:rPr>
          <w:rFonts w:ascii="Times New Roman" w:hAnsi="Times New Roman" w:cs="Times New Roman"/>
          <w:sz w:val="28"/>
          <w:szCs w:val="28"/>
        </w:rPr>
        <w:lastRenderedPageBreak/>
        <w:t xml:space="preserve">the norm, with posterior circulation vessels showing the greatest variability (Hoksbergen et al., 2003; </w:t>
      </w:r>
      <w:proofErr w:type="spellStart"/>
      <w:r w:rsidRPr="00A322D1">
        <w:rPr>
          <w:rFonts w:ascii="Times New Roman" w:hAnsi="Times New Roman" w:cs="Times New Roman"/>
          <w:sz w:val="28"/>
          <w:szCs w:val="28"/>
        </w:rPr>
        <w:t>Menshawi</w:t>
      </w:r>
      <w:proofErr w:type="spellEnd"/>
      <w:r w:rsidRPr="00A322D1">
        <w:rPr>
          <w:rFonts w:ascii="Times New Roman" w:hAnsi="Times New Roman" w:cs="Times New Roman"/>
          <w:sz w:val="28"/>
          <w:szCs w:val="28"/>
        </w:rPr>
        <w:t xml:space="preserve"> et al., 2015).</w:t>
      </w:r>
    </w:p>
    <w:p w14:paraId="50D29DD5"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Differences in reported prevalence between autopsy, angiographic, and magnetic resonance studies can be partly attributed to technical limitations of </w:t>
      </w:r>
      <w:proofErr w:type="spellStart"/>
      <w:r w:rsidRPr="00A322D1">
        <w:rPr>
          <w:rFonts w:ascii="Times New Roman" w:hAnsi="Times New Roman" w:cs="Times New Roman"/>
          <w:sz w:val="28"/>
          <w:szCs w:val="28"/>
        </w:rPr>
        <w:t>noninvasive</w:t>
      </w:r>
      <w:proofErr w:type="spellEnd"/>
      <w:r w:rsidRPr="00A322D1">
        <w:rPr>
          <w:rFonts w:ascii="Times New Roman" w:hAnsi="Times New Roman" w:cs="Times New Roman"/>
          <w:sz w:val="28"/>
          <w:szCs w:val="28"/>
        </w:rPr>
        <w:t xml:space="preserve"> imaging, particularly in distinguishing severely hypoplastic arteries from completely absent vessels (Uchino et al., 2013; Dey et al., 2018).</w:t>
      </w:r>
    </w:p>
    <w:p w14:paraId="3AFDCA53" w14:textId="77777777" w:rsidR="00200A64" w:rsidRPr="00A322D1" w:rsidRDefault="00200A64" w:rsidP="00200A64">
      <w:pPr>
        <w:rPr>
          <w:rFonts w:ascii="Times New Roman" w:hAnsi="Times New Roman" w:cs="Times New Roman"/>
          <w:b/>
          <w:bCs/>
          <w:sz w:val="28"/>
          <w:szCs w:val="28"/>
        </w:rPr>
      </w:pPr>
      <w:r w:rsidRPr="00A322D1">
        <w:rPr>
          <w:rFonts w:ascii="Times New Roman" w:hAnsi="Times New Roman" w:cs="Times New Roman"/>
          <w:b/>
          <w:bCs/>
          <w:sz w:val="28"/>
          <w:szCs w:val="28"/>
        </w:rPr>
        <w:t>Classification of Cerebral Arterial Variants</w:t>
      </w:r>
    </w:p>
    <w:p w14:paraId="354792BE" w14:textId="77777777" w:rsidR="00200A64" w:rsidRPr="00A322D1" w:rsidRDefault="00200A64" w:rsidP="00200A64">
      <w:pPr>
        <w:rPr>
          <w:rFonts w:ascii="Times New Roman" w:hAnsi="Times New Roman" w:cs="Times New Roman"/>
          <w:sz w:val="28"/>
          <w:szCs w:val="28"/>
        </w:rPr>
      </w:pPr>
      <w:r w:rsidRPr="00A322D1">
        <w:rPr>
          <w:rFonts w:ascii="Times New Roman" w:hAnsi="Times New Roman" w:cs="Times New Roman"/>
          <w:sz w:val="28"/>
          <w:szCs w:val="28"/>
        </w:rPr>
        <w:t xml:space="preserve">Based on </w:t>
      </w:r>
      <w:r>
        <w:rPr>
          <w:rFonts w:ascii="Times New Roman" w:hAnsi="Times New Roman" w:cs="Times New Roman"/>
          <w:sz w:val="28"/>
          <w:szCs w:val="28"/>
        </w:rPr>
        <w:t xml:space="preserve">the </w:t>
      </w:r>
      <w:r w:rsidRPr="00A322D1">
        <w:rPr>
          <w:rFonts w:ascii="Times New Roman" w:hAnsi="Times New Roman" w:cs="Times New Roman"/>
          <w:sz w:val="28"/>
          <w:szCs w:val="28"/>
        </w:rPr>
        <w:t>synthesis of existing literature, cerebral arterial variants may be conceptually classified into three broad categories: anomalies of normally present arteries (such as hypoplasia, duplication, or fenestration), persistence of embryonic arteries that normally regress, and visualization of normally inconspicuous anastomotic channels (</w:t>
      </w:r>
      <w:proofErr w:type="spellStart"/>
      <w:r w:rsidRPr="00A322D1">
        <w:rPr>
          <w:rFonts w:ascii="Times New Roman" w:hAnsi="Times New Roman" w:cs="Times New Roman"/>
          <w:sz w:val="28"/>
          <w:szCs w:val="28"/>
        </w:rPr>
        <w:t>Lasjaunias</w:t>
      </w:r>
      <w:proofErr w:type="spellEnd"/>
      <w:r w:rsidRPr="00A322D1">
        <w:rPr>
          <w:rFonts w:ascii="Times New Roman" w:hAnsi="Times New Roman" w:cs="Times New Roman"/>
          <w:sz w:val="28"/>
          <w:szCs w:val="28"/>
        </w:rPr>
        <w:t xml:space="preserve"> et al., 2001; </w:t>
      </w:r>
      <w:proofErr w:type="spellStart"/>
      <w:r w:rsidRPr="00A322D1">
        <w:rPr>
          <w:rFonts w:ascii="Times New Roman" w:hAnsi="Times New Roman" w:cs="Times New Roman"/>
          <w:sz w:val="28"/>
          <w:szCs w:val="28"/>
        </w:rPr>
        <w:t>Menshawi</w:t>
      </w:r>
      <w:proofErr w:type="spellEnd"/>
      <w:r w:rsidRPr="00A322D1">
        <w:rPr>
          <w:rFonts w:ascii="Times New Roman" w:hAnsi="Times New Roman" w:cs="Times New Roman"/>
          <w:sz w:val="28"/>
          <w:szCs w:val="28"/>
        </w:rPr>
        <w:t xml:space="preserve"> et al., 2015). This classification framework emphasizes the developmental origins of cerebrovascular variants and provides a useful anatomical context for understanding their clinical relevance.</w:t>
      </w:r>
    </w:p>
    <w:p w14:paraId="15D54C88" w14:textId="77777777" w:rsidR="00200A64" w:rsidRPr="00CD18F2" w:rsidRDefault="00200A64" w:rsidP="00200A64">
      <w:pPr>
        <w:rPr>
          <w:rFonts w:ascii="Times New Roman" w:hAnsi="Times New Roman" w:cs="Times New Roman"/>
          <w:sz w:val="28"/>
          <w:szCs w:val="28"/>
        </w:rPr>
      </w:pPr>
    </w:p>
    <w:p w14:paraId="32E5B827"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10AA7FAC">
          <v:rect id="_x0000_i1034" style="width:0;height:1.5pt" o:hralign="center" o:hrstd="t" o:hr="t" fillcolor="#a0a0a0" stroked="f"/>
        </w:pict>
      </w:r>
    </w:p>
    <w:p w14:paraId="31D6733B"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10. Classification of Stroke</w:t>
      </w:r>
    </w:p>
    <w:p w14:paraId="0B0F67B8" w14:textId="77777777"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 xml:space="preserve">Stroke is broadly classified into ischemic and </w:t>
      </w:r>
      <w:proofErr w:type="spellStart"/>
      <w:r w:rsidRPr="00CD18F2">
        <w:rPr>
          <w:rFonts w:ascii="Times New Roman" w:hAnsi="Times New Roman" w:cs="Times New Roman"/>
          <w:sz w:val="28"/>
          <w:szCs w:val="28"/>
        </w:rPr>
        <w:t>hemorrhagic</w:t>
      </w:r>
      <w:proofErr w:type="spellEnd"/>
      <w:r w:rsidRPr="00CD18F2">
        <w:rPr>
          <w:rFonts w:ascii="Times New Roman" w:hAnsi="Times New Roman" w:cs="Times New Roman"/>
          <w:sz w:val="28"/>
          <w:szCs w:val="28"/>
        </w:rPr>
        <w:t xml:space="preserve"> types. Ischemic stroke is commonly categorized using the TOAST classification, which includes large artery atherosclerosis, cardioembolic stroke, small vessel occlusion, stroke of other determined </w:t>
      </w:r>
      <w:proofErr w:type="spellStart"/>
      <w:r w:rsidRPr="00CD18F2">
        <w:rPr>
          <w:rFonts w:ascii="Times New Roman" w:hAnsi="Times New Roman" w:cs="Times New Roman"/>
          <w:sz w:val="28"/>
          <w:szCs w:val="28"/>
        </w:rPr>
        <w:t>etiology</w:t>
      </w:r>
      <w:proofErr w:type="spellEnd"/>
      <w:r w:rsidRPr="00CD18F2">
        <w:rPr>
          <w:rFonts w:ascii="Times New Roman" w:hAnsi="Times New Roman" w:cs="Times New Roman"/>
          <w:sz w:val="28"/>
          <w:szCs w:val="28"/>
        </w:rPr>
        <w:t xml:space="preserve">, and stroke of undetermined </w:t>
      </w:r>
      <w:proofErr w:type="spellStart"/>
      <w:r w:rsidRPr="00CD18F2">
        <w:rPr>
          <w:rFonts w:ascii="Times New Roman" w:hAnsi="Times New Roman" w:cs="Times New Roman"/>
          <w:sz w:val="28"/>
          <w:szCs w:val="28"/>
        </w:rPr>
        <w:t>etiology</w:t>
      </w:r>
      <w:proofErr w:type="spellEnd"/>
      <w:r w:rsidRPr="00CD18F2">
        <w:rPr>
          <w:rFonts w:ascii="Times New Roman" w:hAnsi="Times New Roman" w:cs="Times New Roman"/>
          <w:sz w:val="28"/>
          <w:szCs w:val="28"/>
        </w:rPr>
        <w:t xml:space="preserve">. Phenotype-based systems such as A-S-C-O provide a more detailed etiological framework, although their clinical utility remains under evaluation. Classification of spontaneous intracerebral </w:t>
      </w:r>
      <w:proofErr w:type="spellStart"/>
      <w:r w:rsidRPr="00CD18F2">
        <w:rPr>
          <w:rFonts w:ascii="Times New Roman" w:hAnsi="Times New Roman" w:cs="Times New Roman"/>
          <w:sz w:val="28"/>
          <w:szCs w:val="28"/>
        </w:rPr>
        <w:t>hemorrhage</w:t>
      </w:r>
      <w:proofErr w:type="spellEnd"/>
      <w:r w:rsidRPr="00CD18F2">
        <w:rPr>
          <w:rFonts w:ascii="Times New Roman" w:hAnsi="Times New Roman" w:cs="Times New Roman"/>
          <w:sz w:val="28"/>
          <w:szCs w:val="28"/>
        </w:rPr>
        <w:t xml:space="preserve"> is less standardized, with systems such as SMASH-U categorizing causes based on underlying mechanisms and risk factors.</w:t>
      </w:r>
    </w:p>
    <w:p w14:paraId="690AA3AE"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77F0B16A">
          <v:rect id="_x0000_i1035" style="width:0;height:1.5pt" o:hralign="center" o:hrstd="t" o:hr="t" fillcolor="#a0a0a0" stroked="f"/>
        </w:pict>
      </w:r>
    </w:p>
    <w:p w14:paraId="643FBD4C" w14:textId="623B9DF5" w:rsidR="00200A64" w:rsidRPr="004A05B0"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11. Risk Factors for Stroke</w:t>
      </w:r>
      <w:r w:rsidRPr="004A05B0">
        <w:rPr>
          <w:rFonts w:ascii="Times New Roman" w:hAnsi="Times New Roman" w:cs="Times New Roman"/>
          <w:b/>
          <w:bCs/>
          <w:sz w:val="28"/>
          <w:szCs w:val="28"/>
        </w:rPr>
        <w:t xml:space="preserve"> </w:t>
      </w:r>
    </w:p>
    <w:p w14:paraId="7C4DF37C" w14:textId="75BB0037"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Stroke represents a complex cerebrovascular disorder arising from the interaction of multiple demographic, genetic, medical, and lifestyle-related factors (Feigin et al., 2017; Murphy &amp; Werring, 2020). Unlike myocardial infarction, which is most often attributable to a single dominant mechanism such as coronary atherosclerosis, stroke encompasses a heterogeneous group of pathological processes</w:t>
      </w:r>
      <w:r>
        <w:rPr>
          <w:rFonts w:ascii="Times New Roman" w:hAnsi="Times New Roman" w:cs="Times New Roman"/>
          <w:sz w:val="28"/>
          <w:szCs w:val="28"/>
        </w:rPr>
        <w:t xml:space="preserve"> (</w:t>
      </w:r>
      <w:proofErr w:type="spellStart"/>
      <w:r w:rsidRPr="00305932">
        <w:rPr>
          <w:rFonts w:ascii="Times New Roman" w:hAnsi="Times New Roman" w:cs="Times New Roman"/>
          <w:sz w:val="28"/>
          <w:szCs w:val="28"/>
        </w:rPr>
        <w:t>Tirschwell</w:t>
      </w:r>
      <w:proofErr w:type="spellEnd"/>
      <w:r w:rsidRPr="00305932">
        <w:rPr>
          <w:rFonts w:ascii="Times New Roman" w:hAnsi="Times New Roman" w:cs="Times New Roman"/>
          <w:sz w:val="28"/>
          <w:szCs w:val="28"/>
        </w:rPr>
        <w:t xml:space="preserve"> </w:t>
      </w:r>
      <w:r w:rsidR="00936EE8">
        <w:rPr>
          <w:rFonts w:ascii="Times New Roman" w:hAnsi="Times New Roman" w:cs="Times New Roman"/>
          <w:sz w:val="28"/>
          <w:szCs w:val="28"/>
        </w:rPr>
        <w:t>et al.</w:t>
      </w:r>
      <w:r w:rsidRPr="00305932">
        <w:rPr>
          <w:rFonts w:ascii="Times New Roman" w:hAnsi="Times New Roman" w:cs="Times New Roman"/>
          <w:sz w:val="28"/>
          <w:szCs w:val="28"/>
        </w:rPr>
        <w:t>,</w:t>
      </w:r>
      <w:r w:rsidR="003F4377">
        <w:rPr>
          <w:rFonts w:ascii="Times New Roman" w:hAnsi="Times New Roman" w:cs="Times New Roman"/>
          <w:sz w:val="28"/>
          <w:szCs w:val="28"/>
        </w:rPr>
        <w:t xml:space="preserve">2004; </w:t>
      </w:r>
      <w:r w:rsidRPr="004A05B0">
        <w:rPr>
          <w:rFonts w:ascii="Times New Roman" w:hAnsi="Times New Roman" w:cs="Times New Roman"/>
          <w:sz w:val="28"/>
          <w:szCs w:val="28"/>
        </w:rPr>
        <w:t xml:space="preserve">Donnan et al., 2008; Caplan, </w:t>
      </w:r>
      <w:r w:rsidRPr="004A05B0">
        <w:rPr>
          <w:rFonts w:ascii="Times New Roman" w:hAnsi="Times New Roman" w:cs="Times New Roman"/>
          <w:sz w:val="28"/>
          <w:szCs w:val="28"/>
        </w:rPr>
        <w:lastRenderedPageBreak/>
        <w:t>2016). Consequently, the identification and interpretation of stroke risk factors are more intricate, as they vary according to stroke subtype, age, population characteristics, and temporal exposure</w:t>
      </w:r>
      <w:r>
        <w:rPr>
          <w:rFonts w:ascii="Times New Roman" w:hAnsi="Times New Roman" w:cs="Times New Roman"/>
          <w:sz w:val="28"/>
          <w:szCs w:val="28"/>
        </w:rPr>
        <w:t xml:space="preserve"> (</w:t>
      </w:r>
      <w:r w:rsidRPr="00583971">
        <w:rPr>
          <w:rFonts w:ascii="Times New Roman" w:hAnsi="Times New Roman" w:cs="Times New Roman"/>
          <w:sz w:val="28"/>
          <w:szCs w:val="28"/>
        </w:rPr>
        <w:t>Adams</w:t>
      </w:r>
      <w:r w:rsidR="0021279A">
        <w:rPr>
          <w:rFonts w:ascii="Times New Roman" w:hAnsi="Times New Roman" w:cs="Times New Roman"/>
          <w:sz w:val="28"/>
          <w:szCs w:val="28"/>
        </w:rPr>
        <w:t xml:space="preserve"> et al.,</w:t>
      </w:r>
      <w:r w:rsidR="00E600B3">
        <w:rPr>
          <w:rFonts w:ascii="Times New Roman" w:hAnsi="Times New Roman" w:cs="Times New Roman"/>
          <w:sz w:val="28"/>
          <w:szCs w:val="28"/>
        </w:rPr>
        <w:t xml:space="preserve"> 1993;</w:t>
      </w:r>
      <w:r w:rsidRPr="00583971">
        <w:rPr>
          <w:rFonts w:ascii="Times New Roman" w:hAnsi="Times New Roman" w:cs="Times New Roman"/>
          <w:sz w:val="28"/>
          <w:szCs w:val="28"/>
        </w:rPr>
        <w:t xml:space="preserve"> </w:t>
      </w:r>
      <w:r w:rsidRPr="004A05B0">
        <w:rPr>
          <w:rFonts w:ascii="Times New Roman" w:hAnsi="Times New Roman" w:cs="Times New Roman"/>
          <w:sz w:val="28"/>
          <w:szCs w:val="28"/>
        </w:rPr>
        <w:t>O’Donnell et al., 2016; Feigin et al., 2017). Understanding these risk factors is essential for effective prevention strategies and for reducing the growing global burden of stroke (World Health Organization [WHO], 2019).</w:t>
      </w:r>
    </w:p>
    <w:p w14:paraId="5582C4F2" w14:textId="77777777"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Stroke risk factors may be broadly categorized into non-modifiable and modifiable determinants (Murphy &amp; Werring, 2020). In addition, risk factors can be conceptualized according to their duration of influence, including long-term predispositions (such as age and genetics), intermediate contributors (such as hypertension and diabetes), and short-term triggers (such as infections or acute inflammation) (O’Donnell et al., 2016; Feigin et al., 2017). Importantly, many strokes occur as a first-ever event, emphasizing the importance of primary prevention through early identification and modification of risk factors (WHO, 2019; Powers et al., 2019).</w:t>
      </w:r>
    </w:p>
    <w:p w14:paraId="14C765CC" w14:textId="77777777" w:rsidR="00E600B3" w:rsidRDefault="00E600B3" w:rsidP="00200A64">
      <w:pPr>
        <w:rPr>
          <w:rFonts w:ascii="Times New Roman" w:hAnsi="Times New Roman" w:cs="Times New Roman"/>
          <w:b/>
          <w:bCs/>
          <w:sz w:val="28"/>
          <w:szCs w:val="28"/>
        </w:rPr>
      </w:pPr>
    </w:p>
    <w:p w14:paraId="14CA5D25" w14:textId="220429E1" w:rsidR="00200A64" w:rsidRPr="004A05B0" w:rsidRDefault="00200A64" w:rsidP="00200A64">
      <w:pPr>
        <w:rPr>
          <w:rFonts w:ascii="Times New Roman" w:hAnsi="Times New Roman" w:cs="Times New Roman"/>
          <w:b/>
          <w:bCs/>
          <w:sz w:val="28"/>
          <w:szCs w:val="28"/>
        </w:rPr>
      </w:pPr>
      <w:r w:rsidRPr="004A05B0">
        <w:rPr>
          <w:rFonts w:ascii="Times New Roman" w:hAnsi="Times New Roman" w:cs="Times New Roman"/>
          <w:b/>
          <w:bCs/>
          <w:sz w:val="28"/>
          <w:szCs w:val="28"/>
        </w:rPr>
        <w:t>Non-Modifiable Risk Factors</w:t>
      </w:r>
    </w:p>
    <w:p w14:paraId="32641721" w14:textId="0001DA35"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Age</w:t>
      </w:r>
      <w:r w:rsidRPr="004A05B0">
        <w:rPr>
          <w:rFonts w:ascii="Times New Roman" w:hAnsi="Times New Roman" w:cs="Times New Roman"/>
          <w:sz w:val="28"/>
          <w:szCs w:val="28"/>
        </w:rPr>
        <w:br/>
        <w:t xml:space="preserve">Stroke is predominantly a disease of aging, with incidence rising sharply with advancing age and approximately doubling with each decade after 55 years </w:t>
      </w:r>
      <w:r>
        <w:rPr>
          <w:rFonts w:ascii="Times New Roman" w:hAnsi="Times New Roman" w:cs="Times New Roman"/>
          <w:sz w:val="28"/>
          <w:szCs w:val="28"/>
        </w:rPr>
        <w:t>(</w:t>
      </w:r>
      <w:r w:rsidRPr="003A6D75">
        <w:rPr>
          <w:rFonts w:ascii="Times New Roman" w:hAnsi="Times New Roman" w:cs="Times New Roman"/>
          <w:sz w:val="28"/>
          <w:szCs w:val="28"/>
        </w:rPr>
        <w:t xml:space="preserve">Roger </w:t>
      </w:r>
      <w:r w:rsidR="0046417C">
        <w:rPr>
          <w:rFonts w:ascii="Times New Roman" w:hAnsi="Times New Roman" w:cs="Times New Roman"/>
          <w:sz w:val="28"/>
          <w:szCs w:val="28"/>
        </w:rPr>
        <w:t>et al.</w:t>
      </w:r>
      <w:r w:rsidRPr="003A6D75">
        <w:rPr>
          <w:rFonts w:ascii="Times New Roman" w:hAnsi="Times New Roman" w:cs="Times New Roman"/>
          <w:sz w:val="28"/>
          <w:szCs w:val="28"/>
        </w:rPr>
        <w:t>,</w:t>
      </w:r>
      <w:r w:rsidR="008C13B1">
        <w:rPr>
          <w:rFonts w:ascii="Times New Roman" w:hAnsi="Times New Roman" w:cs="Times New Roman"/>
          <w:sz w:val="28"/>
          <w:szCs w:val="28"/>
        </w:rPr>
        <w:t>2012;</w:t>
      </w:r>
      <w:r w:rsidRPr="003A6D75">
        <w:rPr>
          <w:rFonts w:ascii="Times New Roman" w:hAnsi="Times New Roman" w:cs="Times New Roman"/>
          <w:sz w:val="28"/>
          <w:szCs w:val="28"/>
        </w:rPr>
        <w:t xml:space="preserve"> </w:t>
      </w:r>
      <w:r w:rsidRPr="004A05B0">
        <w:rPr>
          <w:rFonts w:ascii="Times New Roman" w:hAnsi="Times New Roman" w:cs="Times New Roman"/>
          <w:sz w:val="28"/>
          <w:szCs w:val="28"/>
        </w:rPr>
        <w:t>Feigin et al., 2017; Murphy &amp; Werring, 2020). This age-related increase reflects cumulative vascular injury, progressive endothelial dysfunction, arterial stiffening, and prolonged exposure to modifiable vascular risk factors (Donnan et al., 2008; Caplan, 2016). Although stroke is most common in older adults, recent epidemiological trends indicate a rising incidence of ischemic stroke among younger populations, particularly those aged 20–54 years (Feigin et al., 2017; GBD 2021 Stroke Collaborators, 2023). This shift is likely influenced by increasing prevalence of obesity, diabetes mellitus, sedentary lifestyles, and improved diagnostic sensitivity</w:t>
      </w:r>
      <w:r>
        <w:rPr>
          <w:rFonts w:ascii="Times New Roman" w:hAnsi="Times New Roman" w:cs="Times New Roman"/>
          <w:sz w:val="28"/>
          <w:szCs w:val="28"/>
        </w:rPr>
        <w:t xml:space="preserve"> (v)</w:t>
      </w:r>
      <w:r w:rsidRPr="004A05B0">
        <w:rPr>
          <w:rFonts w:ascii="Times New Roman" w:hAnsi="Times New Roman" w:cs="Times New Roman"/>
          <w:sz w:val="28"/>
          <w:szCs w:val="28"/>
        </w:rPr>
        <w:t xml:space="preserve"> (O’Donnell et al., 2016; </w:t>
      </w:r>
      <w:proofErr w:type="spellStart"/>
      <w:r w:rsidRPr="004A05B0">
        <w:rPr>
          <w:rFonts w:ascii="Times New Roman" w:hAnsi="Times New Roman" w:cs="Times New Roman"/>
          <w:sz w:val="28"/>
          <w:szCs w:val="28"/>
        </w:rPr>
        <w:t>Menshawi</w:t>
      </w:r>
      <w:proofErr w:type="spellEnd"/>
      <w:r w:rsidRPr="004A05B0">
        <w:rPr>
          <w:rFonts w:ascii="Times New Roman" w:hAnsi="Times New Roman" w:cs="Times New Roman"/>
          <w:sz w:val="28"/>
          <w:szCs w:val="28"/>
        </w:rPr>
        <w:t xml:space="preserve"> et al., 2015).</w:t>
      </w:r>
    </w:p>
    <w:p w14:paraId="44D819CA" w14:textId="2427AC34"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Sex</w:t>
      </w:r>
      <w:r w:rsidRPr="004A05B0">
        <w:rPr>
          <w:rFonts w:ascii="Times New Roman" w:hAnsi="Times New Roman" w:cs="Times New Roman"/>
          <w:sz w:val="28"/>
          <w:szCs w:val="28"/>
        </w:rPr>
        <w:br/>
        <w:t>The relationship between sex and stroke risk varies across the lifespan (Feigin et al., 2017). At younger ages, women experience a stroke risk comparable to or higher than men</w:t>
      </w:r>
      <w:r>
        <w:rPr>
          <w:rFonts w:ascii="Times New Roman" w:hAnsi="Times New Roman" w:cs="Times New Roman"/>
          <w:sz w:val="28"/>
          <w:szCs w:val="28"/>
        </w:rPr>
        <w:t xml:space="preserve"> (</w:t>
      </w:r>
      <w:r w:rsidRPr="009856F1">
        <w:rPr>
          <w:rFonts w:ascii="Times New Roman" w:hAnsi="Times New Roman" w:cs="Times New Roman"/>
          <w:sz w:val="28"/>
          <w:szCs w:val="28"/>
        </w:rPr>
        <w:t xml:space="preserve">Kapral </w:t>
      </w:r>
      <w:r w:rsidR="00EC2ED8">
        <w:rPr>
          <w:rFonts w:ascii="Times New Roman" w:hAnsi="Times New Roman" w:cs="Times New Roman"/>
          <w:sz w:val="28"/>
          <w:szCs w:val="28"/>
        </w:rPr>
        <w:t>et al.</w:t>
      </w:r>
      <w:r w:rsidRPr="009856F1">
        <w:rPr>
          <w:rFonts w:ascii="Times New Roman" w:hAnsi="Times New Roman" w:cs="Times New Roman"/>
          <w:sz w:val="28"/>
          <w:szCs w:val="28"/>
        </w:rPr>
        <w:t>,</w:t>
      </w:r>
      <w:r w:rsidR="003B7DE0">
        <w:rPr>
          <w:rFonts w:ascii="Times New Roman" w:hAnsi="Times New Roman" w:cs="Times New Roman"/>
          <w:sz w:val="28"/>
          <w:szCs w:val="28"/>
        </w:rPr>
        <w:t>2005</w:t>
      </w:r>
      <w:r>
        <w:rPr>
          <w:rFonts w:ascii="Times New Roman" w:hAnsi="Times New Roman" w:cs="Times New Roman"/>
          <w:sz w:val="28"/>
          <w:szCs w:val="28"/>
        </w:rPr>
        <w:t>)</w:t>
      </w:r>
      <w:r w:rsidRPr="004A05B0">
        <w:rPr>
          <w:rFonts w:ascii="Times New Roman" w:hAnsi="Times New Roman" w:cs="Times New Roman"/>
          <w:sz w:val="28"/>
          <w:szCs w:val="28"/>
        </w:rPr>
        <w:t>, largely due to pregnancy-related physiological changes, postpartum hypercoagulability, and hormonal influences such as oral contraceptive use</w:t>
      </w:r>
      <w:r w:rsidR="00B162CE">
        <w:rPr>
          <w:rFonts w:ascii="Times New Roman" w:hAnsi="Times New Roman" w:cs="Times New Roman"/>
          <w:sz w:val="28"/>
          <w:szCs w:val="28"/>
        </w:rPr>
        <w:t xml:space="preserve"> </w:t>
      </w:r>
      <w:r>
        <w:rPr>
          <w:rFonts w:ascii="Times New Roman" w:hAnsi="Times New Roman" w:cs="Times New Roman"/>
          <w:sz w:val="28"/>
          <w:szCs w:val="28"/>
        </w:rPr>
        <w:t>(</w:t>
      </w:r>
      <w:r w:rsidRPr="00C0297E">
        <w:rPr>
          <w:rFonts w:ascii="Times New Roman" w:hAnsi="Times New Roman" w:cs="Times New Roman"/>
          <w:sz w:val="28"/>
          <w:szCs w:val="28"/>
        </w:rPr>
        <w:t xml:space="preserve">Roger </w:t>
      </w:r>
      <w:r w:rsidR="00621B76">
        <w:rPr>
          <w:rFonts w:ascii="Times New Roman" w:hAnsi="Times New Roman" w:cs="Times New Roman"/>
          <w:sz w:val="28"/>
          <w:szCs w:val="28"/>
        </w:rPr>
        <w:t>et al.</w:t>
      </w:r>
      <w:r w:rsidRPr="00C0297E">
        <w:rPr>
          <w:rFonts w:ascii="Times New Roman" w:hAnsi="Times New Roman" w:cs="Times New Roman"/>
          <w:sz w:val="28"/>
          <w:szCs w:val="28"/>
        </w:rPr>
        <w:t>,</w:t>
      </w:r>
      <w:r w:rsidR="00621B76">
        <w:rPr>
          <w:rFonts w:ascii="Times New Roman" w:hAnsi="Times New Roman" w:cs="Times New Roman"/>
          <w:sz w:val="28"/>
          <w:szCs w:val="28"/>
        </w:rPr>
        <w:t>2012</w:t>
      </w:r>
      <w:r w:rsidR="006F23B0">
        <w:rPr>
          <w:rFonts w:ascii="Times New Roman" w:hAnsi="Times New Roman" w:cs="Times New Roman"/>
          <w:sz w:val="28"/>
          <w:szCs w:val="28"/>
        </w:rPr>
        <w:t>;</w:t>
      </w:r>
      <w:r>
        <w:rPr>
          <w:rFonts w:ascii="Times New Roman" w:hAnsi="Times New Roman" w:cs="Times New Roman"/>
          <w:sz w:val="28"/>
          <w:szCs w:val="28"/>
        </w:rPr>
        <w:t xml:space="preserve"> </w:t>
      </w:r>
      <w:r w:rsidRPr="0020431A">
        <w:rPr>
          <w:rFonts w:ascii="Times New Roman" w:hAnsi="Times New Roman" w:cs="Times New Roman"/>
          <w:sz w:val="28"/>
          <w:szCs w:val="28"/>
        </w:rPr>
        <w:t xml:space="preserve">Reeves </w:t>
      </w:r>
      <w:r w:rsidR="002054EF">
        <w:rPr>
          <w:rFonts w:ascii="Times New Roman" w:hAnsi="Times New Roman" w:cs="Times New Roman"/>
          <w:sz w:val="28"/>
          <w:szCs w:val="28"/>
        </w:rPr>
        <w:t>et al.</w:t>
      </w:r>
      <w:r w:rsidRPr="0020431A">
        <w:rPr>
          <w:rFonts w:ascii="Times New Roman" w:hAnsi="Times New Roman" w:cs="Times New Roman"/>
          <w:sz w:val="28"/>
          <w:szCs w:val="28"/>
        </w:rPr>
        <w:t>,</w:t>
      </w:r>
      <w:r w:rsidR="002054EF">
        <w:rPr>
          <w:rFonts w:ascii="Times New Roman" w:hAnsi="Times New Roman" w:cs="Times New Roman"/>
          <w:sz w:val="28"/>
          <w:szCs w:val="28"/>
        </w:rPr>
        <w:t>2009;</w:t>
      </w:r>
      <w:r w:rsidRPr="0020431A">
        <w:rPr>
          <w:rFonts w:ascii="Times New Roman" w:hAnsi="Times New Roman" w:cs="Times New Roman"/>
          <w:sz w:val="28"/>
          <w:szCs w:val="28"/>
        </w:rPr>
        <w:t xml:space="preserve"> </w:t>
      </w:r>
      <w:r w:rsidRPr="004A05B0">
        <w:rPr>
          <w:rFonts w:ascii="Times New Roman" w:hAnsi="Times New Roman" w:cs="Times New Roman"/>
          <w:sz w:val="28"/>
          <w:szCs w:val="28"/>
        </w:rPr>
        <w:t xml:space="preserve">Bushnell et al., 2018). At older ages, stroke incidence becomes marginally higher in men; </w:t>
      </w:r>
      <w:r w:rsidRPr="004A05B0">
        <w:rPr>
          <w:rFonts w:ascii="Times New Roman" w:hAnsi="Times New Roman" w:cs="Times New Roman"/>
          <w:sz w:val="28"/>
          <w:szCs w:val="28"/>
        </w:rPr>
        <w:lastRenderedPageBreak/>
        <w:t xml:space="preserve">however, women account for a greater overall burden of stroke due to longer life expectancy (Feigin et al., 2017). </w:t>
      </w:r>
      <w:r w:rsidR="00450F4D" w:rsidRPr="00450F4D">
        <w:rPr>
          <w:rFonts w:ascii="Times New Roman" w:hAnsi="Times New Roman" w:cs="Times New Roman"/>
          <w:sz w:val="28"/>
          <w:szCs w:val="28"/>
        </w:rPr>
        <w:t>Additionally, women are more likely to have strokes later in life, which frequently results in poorer functional outcomes and greater rates of disability</w:t>
      </w:r>
      <w:r w:rsidR="00450F4D">
        <w:rPr>
          <w:rFonts w:ascii="Times New Roman" w:hAnsi="Times New Roman" w:cs="Times New Roman"/>
          <w:sz w:val="28"/>
          <w:szCs w:val="28"/>
        </w:rPr>
        <w:t xml:space="preserve"> </w:t>
      </w:r>
      <w:r>
        <w:rPr>
          <w:rFonts w:ascii="Times New Roman" w:hAnsi="Times New Roman" w:cs="Times New Roman"/>
          <w:sz w:val="28"/>
          <w:szCs w:val="28"/>
        </w:rPr>
        <w:t>(</w:t>
      </w:r>
      <w:r w:rsidRPr="009D3F95">
        <w:rPr>
          <w:rFonts w:ascii="Times New Roman" w:hAnsi="Times New Roman" w:cs="Times New Roman"/>
          <w:sz w:val="28"/>
          <w:szCs w:val="28"/>
        </w:rPr>
        <w:t xml:space="preserve">Asplund </w:t>
      </w:r>
      <w:r w:rsidR="001C2FE8">
        <w:rPr>
          <w:rFonts w:ascii="Times New Roman" w:hAnsi="Times New Roman" w:cs="Times New Roman"/>
          <w:sz w:val="28"/>
          <w:szCs w:val="28"/>
        </w:rPr>
        <w:t>et al.</w:t>
      </w:r>
      <w:r w:rsidRPr="009D3F95">
        <w:rPr>
          <w:rFonts w:ascii="Times New Roman" w:hAnsi="Times New Roman" w:cs="Times New Roman"/>
          <w:sz w:val="28"/>
          <w:szCs w:val="28"/>
        </w:rPr>
        <w:t>,</w:t>
      </w:r>
      <w:r w:rsidR="001C2FE8">
        <w:rPr>
          <w:rFonts w:ascii="Times New Roman" w:hAnsi="Times New Roman" w:cs="Times New Roman"/>
          <w:sz w:val="28"/>
          <w:szCs w:val="28"/>
        </w:rPr>
        <w:t>2009;</w:t>
      </w:r>
      <w:r w:rsidRPr="009D3F95">
        <w:rPr>
          <w:rFonts w:ascii="Times New Roman" w:hAnsi="Times New Roman" w:cs="Times New Roman"/>
          <w:sz w:val="28"/>
          <w:szCs w:val="28"/>
        </w:rPr>
        <w:t xml:space="preserve"> </w:t>
      </w:r>
      <w:r w:rsidRPr="004A05B0">
        <w:rPr>
          <w:rFonts w:ascii="Times New Roman" w:hAnsi="Times New Roman" w:cs="Times New Roman"/>
          <w:sz w:val="28"/>
          <w:szCs w:val="28"/>
        </w:rPr>
        <w:t>Murphy &amp; Werring, 2020).</w:t>
      </w:r>
    </w:p>
    <w:p w14:paraId="31623B31" w14:textId="33E997E8"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Race and Ethnicity</w:t>
      </w:r>
      <w:r w:rsidRPr="004A05B0">
        <w:rPr>
          <w:rFonts w:ascii="Times New Roman" w:hAnsi="Times New Roman" w:cs="Times New Roman"/>
          <w:sz w:val="28"/>
          <w:szCs w:val="28"/>
        </w:rPr>
        <w:br/>
        <w:t>Substantial racial and ethnic disparities exist in stroke incidence, severity, and mortality (Feigin et al., 2017). Individuals of African ancestry experience approximately double the risk of incident stroke compared with White populations and have higher stroke-related mortality</w:t>
      </w:r>
      <w:r>
        <w:rPr>
          <w:rFonts w:ascii="Times New Roman" w:hAnsi="Times New Roman" w:cs="Times New Roman"/>
          <w:sz w:val="28"/>
          <w:szCs w:val="28"/>
        </w:rPr>
        <w:t xml:space="preserve"> (</w:t>
      </w:r>
      <w:r w:rsidRPr="00794385">
        <w:rPr>
          <w:rFonts w:ascii="Times New Roman" w:hAnsi="Times New Roman" w:cs="Times New Roman"/>
          <w:sz w:val="28"/>
          <w:szCs w:val="28"/>
        </w:rPr>
        <w:t xml:space="preserve">Cruz-Flores </w:t>
      </w:r>
      <w:r w:rsidR="0048252A">
        <w:rPr>
          <w:rFonts w:ascii="Times New Roman" w:hAnsi="Times New Roman" w:cs="Times New Roman"/>
          <w:sz w:val="28"/>
          <w:szCs w:val="28"/>
        </w:rPr>
        <w:t>et al.</w:t>
      </w:r>
      <w:r w:rsidRPr="00794385">
        <w:rPr>
          <w:rFonts w:ascii="Times New Roman" w:hAnsi="Times New Roman" w:cs="Times New Roman"/>
          <w:sz w:val="28"/>
          <w:szCs w:val="28"/>
        </w:rPr>
        <w:t>,</w:t>
      </w:r>
      <w:proofErr w:type="gramStart"/>
      <w:r w:rsidR="0048252A">
        <w:rPr>
          <w:rFonts w:ascii="Times New Roman" w:hAnsi="Times New Roman" w:cs="Times New Roman"/>
          <w:sz w:val="28"/>
          <w:szCs w:val="28"/>
        </w:rPr>
        <w:t>2011;</w:t>
      </w:r>
      <w:r w:rsidRPr="0079438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Pr="00794385">
        <w:rPr>
          <w:rFonts w:ascii="Times New Roman" w:hAnsi="Times New Roman" w:cs="Times New Roman"/>
          <w:sz w:val="28"/>
          <w:szCs w:val="28"/>
        </w:rPr>
        <w:t>Zahuranec</w:t>
      </w:r>
      <w:r w:rsidR="00F94B21">
        <w:rPr>
          <w:rFonts w:ascii="Times New Roman" w:hAnsi="Times New Roman" w:cs="Times New Roman"/>
          <w:sz w:val="28"/>
          <w:szCs w:val="28"/>
        </w:rPr>
        <w:t xml:space="preserve"> et al.</w:t>
      </w:r>
      <w:r w:rsidRPr="00794385">
        <w:rPr>
          <w:rFonts w:ascii="Times New Roman" w:hAnsi="Times New Roman" w:cs="Times New Roman"/>
          <w:sz w:val="28"/>
          <w:szCs w:val="28"/>
        </w:rPr>
        <w:t xml:space="preserve">, </w:t>
      </w:r>
      <w:r w:rsidR="00F94B21">
        <w:rPr>
          <w:rFonts w:ascii="Times New Roman" w:hAnsi="Times New Roman" w:cs="Times New Roman"/>
          <w:sz w:val="28"/>
          <w:szCs w:val="28"/>
        </w:rPr>
        <w:t>2006;</w:t>
      </w:r>
      <w:r w:rsidRPr="004A05B0">
        <w:rPr>
          <w:rFonts w:ascii="Times New Roman" w:hAnsi="Times New Roman" w:cs="Times New Roman"/>
          <w:sz w:val="28"/>
          <w:szCs w:val="28"/>
        </w:rPr>
        <w:t xml:space="preserve"> O’Donnell et al., 2016). These disparities are especially pronounced in younger age groups, where </w:t>
      </w:r>
      <w:proofErr w:type="spellStart"/>
      <w:r w:rsidRPr="004A05B0">
        <w:rPr>
          <w:rFonts w:ascii="Times New Roman" w:hAnsi="Times New Roman" w:cs="Times New Roman"/>
          <w:sz w:val="28"/>
          <w:szCs w:val="28"/>
        </w:rPr>
        <w:t>hemorrhagic</w:t>
      </w:r>
      <w:proofErr w:type="spellEnd"/>
      <w:r w:rsidRPr="004A05B0">
        <w:rPr>
          <w:rFonts w:ascii="Times New Roman" w:hAnsi="Times New Roman" w:cs="Times New Roman"/>
          <w:sz w:val="28"/>
          <w:szCs w:val="28"/>
        </w:rPr>
        <w:t xml:space="preserve"> stroke occurs more frequently </w:t>
      </w:r>
      <w:r>
        <w:rPr>
          <w:rFonts w:ascii="Times New Roman" w:hAnsi="Times New Roman" w:cs="Times New Roman"/>
          <w:sz w:val="28"/>
          <w:szCs w:val="28"/>
        </w:rPr>
        <w:t>(</w:t>
      </w:r>
      <w:r w:rsidRPr="002669DF">
        <w:rPr>
          <w:rFonts w:ascii="Times New Roman" w:hAnsi="Times New Roman" w:cs="Times New Roman"/>
          <w:sz w:val="28"/>
          <w:szCs w:val="28"/>
        </w:rPr>
        <w:t xml:space="preserve">Zhang </w:t>
      </w:r>
      <w:r w:rsidR="00B57A7E">
        <w:rPr>
          <w:rFonts w:ascii="Times New Roman" w:hAnsi="Times New Roman" w:cs="Times New Roman"/>
          <w:sz w:val="28"/>
          <w:szCs w:val="28"/>
        </w:rPr>
        <w:t>et al.</w:t>
      </w:r>
      <w:r w:rsidRPr="002669DF">
        <w:rPr>
          <w:rFonts w:ascii="Times New Roman" w:hAnsi="Times New Roman" w:cs="Times New Roman"/>
          <w:sz w:val="28"/>
          <w:szCs w:val="28"/>
        </w:rPr>
        <w:t>,</w:t>
      </w:r>
      <w:r w:rsidR="00B57A7E">
        <w:rPr>
          <w:rFonts w:ascii="Times New Roman" w:hAnsi="Times New Roman" w:cs="Times New Roman"/>
          <w:sz w:val="28"/>
          <w:szCs w:val="28"/>
        </w:rPr>
        <w:t>2008;</w:t>
      </w:r>
      <w:r w:rsidRPr="002669DF">
        <w:rPr>
          <w:rFonts w:ascii="Times New Roman" w:hAnsi="Times New Roman" w:cs="Times New Roman"/>
          <w:sz w:val="28"/>
          <w:szCs w:val="28"/>
        </w:rPr>
        <w:t xml:space="preserve"> </w:t>
      </w:r>
      <w:r w:rsidRPr="004A05B0">
        <w:rPr>
          <w:rFonts w:ascii="Times New Roman" w:hAnsi="Times New Roman" w:cs="Times New Roman"/>
          <w:sz w:val="28"/>
          <w:szCs w:val="28"/>
        </w:rPr>
        <w:t xml:space="preserve">Qureshi et al., 2009). While higher prevalence of hypertension, diabetes, and obesity explains part of this disparity, socioeconomic factors, access to healthcare, environmental exposures, and broader social determinants of health play significant roles </w:t>
      </w:r>
      <w:r>
        <w:rPr>
          <w:rFonts w:ascii="Times New Roman" w:hAnsi="Times New Roman" w:cs="Times New Roman"/>
          <w:sz w:val="28"/>
          <w:szCs w:val="28"/>
        </w:rPr>
        <w:t>(</w:t>
      </w:r>
      <w:r w:rsidRPr="00525A34">
        <w:rPr>
          <w:rFonts w:ascii="Times New Roman" w:hAnsi="Times New Roman" w:cs="Times New Roman"/>
          <w:sz w:val="28"/>
          <w:szCs w:val="28"/>
        </w:rPr>
        <w:t xml:space="preserve">Giles </w:t>
      </w:r>
      <w:r w:rsidR="00D06C5D">
        <w:rPr>
          <w:rFonts w:ascii="Times New Roman" w:hAnsi="Times New Roman" w:cs="Times New Roman"/>
          <w:sz w:val="28"/>
          <w:szCs w:val="28"/>
        </w:rPr>
        <w:t>et al.</w:t>
      </w:r>
      <w:r w:rsidRPr="00525A34">
        <w:rPr>
          <w:rFonts w:ascii="Times New Roman" w:hAnsi="Times New Roman" w:cs="Times New Roman"/>
          <w:sz w:val="28"/>
          <w:szCs w:val="28"/>
        </w:rPr>
        <w:t>,</w:t>
      </w:r>
      <w:r w:rsidR="00D06C5D">
        <w:rPr>
          <w:rFonts w:ascii="Times New Roman" w:hAnsi="Times New Roman" w:cs="Times New Roman"/>
          <w:sz w:val="28"/>
          <w:szCs w:val="28"/>
        </w:rPr>
        <w:t>1995;</w:t>
      </w:r>
      <w:r w:rsidRPr="00525A34">
        <w:rPr>
          <w:rFonts w:ascii="Times New Roman" w:hAnsi="Times New Roman" w:cs="Times New Roman"/>
          <w:sz w:val="28"/>
          <w:szCs w:val="28"/>
        </w:rPr>
        <w:t xml:space="preserve"> </w:t>
      </w:r>
      <w:r w:rsidRPr="00C076FB">
        <w:rPr>
          <w:rFonts w:ascii="Times New Roman" w:hAnsi="Times New Roman" w:cs="Times New Roman"/>
          <w:sz w:val="28"/>
          <w:szCs w:val="28"/>
        </w:rPr>
        <w:t xml:space="preserve">Howard </w:t>
      </w:r>
      <w:r w:rsidR="00156F7D">
        <w:rPr>
          <w:rFonts w:ascii="Times New Roman" w:hAnsi="Times New Roman" w:cs="Times New Roman"/>
          <w:sz w:val="28"/>
          <w:szCs w:val="28"/>
        </w:rPr>
        <w:t>et al.</w:t>
      </w:r>
      <w:r w:rsidRPr="00C076FB">
        <w:rPr>
          <w:rFonts w:ascii="Times New Roman" w:hAnsi="Times New Roman" w:cs="Times New Roman"/>
          <w:sz w:val="28"/>
          <w:szCs w:val="28"/>
        </w:rPr>
        <w:t>,</w:t>
      </w:r>
      <w:r w:rsidR="00156F7D">
        <w:rPr>
          <w:rFonts w:ascii="Times New Roman" w:hAnsi="Times New Roman" w:cs="Times New Roman"/>
          <w:sz w:val="28"/>
          <w:szCs w:val="28"/>
        </w:rPr>
        <w:t>2016;</w:t>
      </w:r>
      <w:r w:rsidRPr="00C076FB">
        <w:rPr>
          <w:rFonts w:ascii="Times New Roman" w:hAnsi="Times New Roman" w:cs="Times New Roman"/>
          <w:sz w:val="28"/>
          <w:szCs w:val="28"/>
        </w:rPr>
        <w:t xml:space="preserve"> </w:t>
      </w:r>
      <w:r w:rsidRPr="004A05B0">
        <w:rPr>
          <w:rFonts w:ascii="Times New Roman" w:hAnsi="Times New Roman" w:cs="Times New Roman"/>
          <w:sz w:val="28"/>
          <w:szCs w:val="28"/>
        </w:rPr>
        <w:t>WHO, 2019; GBD 2021 Stroke Collaborators, 2023).</w:t>
      </w:r>
    </w:p>
    <w:p w14:paraId="2085945B" w14:textId="54E3DE14"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Genetic Predisposition</w:t>
      </w:r>
      <w:r w:rsidRPr="004A05B0">
        <w:rPr>
          <w:rFonts w:ascii="Times New Roman" w:hAnsi="Times New Roman" w:cs="Times New Roman"/>
          <w:sz w:val="28"/>
          <w:szCs w:val="28"/>
        </w:rPr>
        <w:br/>
        <w:t>Genetic factors contribute meaningfully to stroke susceptibility through both rare monogenic disorders and more common polygenic influences (</w:t>
      </w:r>
      <w:proofErr w:type="spellStart"/>
      <w:r w:rsidRPr="004A05B0">
        <w:rPr>
          <w:rFonts w:ascii="Times New Roman" w:hAnsi="Times New Roman" w:cs="Times New Roman"/>
          <w:sz w:val="28"/>
          <w:szCs w:val="28"/>
        </w:rPr>
        <w:t>Dichgans</w:t>
      </w:r>
      <w:proofErr w:type="spellEnd"/>
      <w:r w:rsidRPr="004A05B0">
        <w:rPr>
          <w:rFonts w:ascii="Times New Roman" w:hAnsi="Times New Roman" w:cs="Times New Roman"/>
          <w:sz w:val="28"/>
          <w:szCs w:val="28"/>
        </w:rPr>
        <w:t xml:space="preserve"> et al., 2019). </w:t>
      </w:r>
      <w:r w:rsidR="008A03A3" w:rsidRPr="008A03A3">
        <w:rPr>
          <w:rFonts w:ascii="Times New Roman" w:hAnsi="Times New Roman" w:cs="Times New Roman"/>
          <w:sz w:val="28"/>
          <w:szCs w:val="28"/>
        </w:rPr>
        <w:t xml:space="preserve">Individual risk is increased by a positive family history of stroke, with different stroke subtypes having different </w:t>
      </w:r>
      <w:proofErr w:type="spellStart"/>
      <w:r w:rsidR="008A03A3" w:rsidRPr="008A03A3">
        <w:rPr>
          <w:rFonts w:ascii="Times New Roman" w:hAnsi="Times New Roman" w:cs="Times New Roman"/>
          <w:sz w:val="28"/>
          <w:szCs w:val="28"/>
        </w:rPr>
        <w:t>heritabilities</w:t>
      </w:r>
      <w:proofErr w:type="spellEnd"/>
      <w:r w:rsidR="008A03A3">
        <w:rPr>
          <w:rFonts w:ascii="Times New Roman" w:hAnsi="Times New Roman" w:cs="Times New Roman"/>
          <w:sz w:val="28"/>
          <w:szCs w:val="28"/>
        </w:rPr>
        <w:t xml:space="preserve"> </w:t>
      </w:r>
      <w:r>
        <w:rPr>
          <w:rFonts w:ascii="Times New Roman" w:hAnsi="Times New Roman" w:cs="Times New Roman"/>
          <w:sz w:val="28"/>
          <w:szCs w:val="28"/>
        </w:rPr>
        <w:t>(</w:t>
      </w:r>
      <w:r w:rsidRPr="00825EE0">
        <w:rPr>
          <w:rFonts w:ascii="Times New Roman" w:hAnsi="Times New Roman" w:cs="Times New Roman"/>
          <w:sz w:val="28"/>
          <w:szCs w:val="28"/>
        </w:rPr>
        <w:t xml:space="preserve">Seshadri </w:t>
      </w:r>
      <w:r w:rsidR="00972B4B">
        <w:rPr>
          <w:rFonts w:ascii="Times New Roman" w:hAnsi="Times New Roman" w:cs="Times New Roman"/>
          <w:sz w:val="28"/>
          <w:szCs w:val="28"/>
        </w:rPr>
        <w:t>et al.</w:t>
      </w:r>
      <w:r w:rsidRPr="00825EE0">
        <w:rPr>
          <w:rFonts w:ascii="Times New Roman" w:hAnsi="Times New Roman" w:cs="Times New Roman"/>
          <w:sz w:val="28"/>
          <w:szCs w:val="28"/>
        </w:rPr>
        <w:t>,</w:t>
      </w:r>
      <w:r w:rsidR="00972B4B">
        <w:rPr>
          <w:rFonts w:ascii="Times New Roman" w:hAnsi="Times New Roman" w:cs="Times New Roman"/>
          <w:sz w:val="28"/>
          <w:szCs w:val="28"/>
        </w:rPr>
        <w:t>2010;</w:t>
      </w:r>
      <w:r w:rsidRPr="00825EE0">
        <w:rPr>
          <w:rFonts w:ascii="Times New Roman" w:hAnsi="Times New Roman" w:cs="Times New Roman"/>
          <w:sz w:val="28"/>
          <w:szCs w:val="28"/>
        </w:rPr>
        <w:t xml:space="preserve"> </w:t>
      </w:r>
      <w:r w:rsidRPr="000E738E">
        <w:rPr>
          <w:rFonts w:ascii="Times New Roman" w:hAnsi="Times New Roman" w:cs="Times New Roman"/>
          <w:sz w:val="28"/>
          <w:szCs w:val="28"/>
        </w:rPr>
        <w:t xml:space="preserve">Touze </w:t>
      </w:r>
      <w:r w:rsidR="00CA7339">
        <w:rPr>
          <w:rFonts w:ascii="Times New Roman" w:hAnsi="Times New Roman" w:cs="Times New Roman"/>
          <w:sz w:val="28"/>
          <w:szCs w:val="28"/>
        </w:rPr>
        <w:t>&amp;</w:t>
      </w:r>
      <w:r w:rsidRPr="000E738E">
        <w:rPr>
          <w:rFonts w:ascii="Times New Roman" w:hAnsi="Times New Roman" w:cs="Times New Roman"/>
          <w:sz w:val="28"/>
          <w:szCs w:val="28"/>
        </w:rPr>
        <w:t xml:space="preserve"> Rothwell</w:t>
      </w:r>
      <w:r w:rsidR="00CA7339">
        <w:rPr>
          <w:rFonts w:ascii="Times New Roman" w:hAnsi="Times New Roman" w:cs="Times New Roman"/>
          <w:sz w:val="28"/>
          <w:szCs w:val="28"/>
        </w:rPr>
        <w:t>,</w:t>
      </w:r>
      <w:r w:rsidRPr="000E738E">
        <w:rPr>
          <w:rFonts w:ascii="Times New Roman" w:hAnsi="Times New Roman" w:cs="Times New Roman"/>
          <w:sz w:val="28"/>
          <w:szCs w:val="28"/>
        </w:rPr>
        <w:t xml:space="preserve"> </w:t>
      </w:r>
      <w:r w:rsidR="00CA7339">
        <w:rPr>
          <w:rFonts w:ascii="Times New Roman" w:hAnsi="Times New Roman" w:cs="Times New Roman"/>
          <w:sz w:val="28"/>
          <w:szCs w:val="28"/>
        </w:rPr>
        <w:t xml:space="preserve">2008; </w:t>
      </w:r>
      <w:proofErr w:type="spellStart"/>
      <w:r w:rsidRPr="004A05B0">
        <w:rPr>
          <w:rFonts w:ascii="Times New Roman" w:hAnsi="Times New Roman" w:cs="Times New Roman"/>
          <w:sz w:val="28"/>
          <w:szCs w:val="28"/>
        </w:rPr>
        <w:t>Debette</w:t>
      </w:r>
      <w:proofErr w:type="spellEnd"/>
      <w:r w:rsidRPr="004A05B0">
        <w:rPr>
          <w:rFonts w:ascii="Times New Roman" w:hAnsi="Times New Roman" w:cs="Times New Roman"/>
          <w:sz w:val="28"/>
          <w:szCs w:val="28"/>
        </w:rPr>
        <w:t xml:space="preserve"> et al., 2020). Genetic predisposition may operate directly by affecting vascular integrity or indirectly by influencing conventional risk factors such as hypertension, diabetes, and atrial fibrillation (MEGASTROKE Consortium, 2018). Although most genetic determinants are currently non-modifiable, recognition of genetic risk enables early identification and individualized preventive strategies (</w:t>
      </w:r>
      <w:proofErr w:type="spellStart"/>
      <w:r w:rsidRPr="004A05B0">
        <w:rPr>
          <w:rFonts w:ascii="Times New Roman" w:hAnsi="Times New Roman" w:cs="Times New Roman"/>
          <w:sz w:val="28"/>
          <w:szCs w:val="28"/>
        </w:rPr>
        <w:t>Dichgans</w:t>
      </w:r>
      <w:proofErr w:type="spellEnd"/>
      <w:r w:rsidRPr="004A05B0">
        <w:rPr>
          <w:rFonts w:ascii="Times New Roman" w:hAnsi="Times New Roman" w:cs="Times New Roman"/>
          <w:sz w:val="28"/>
          <w:szCs w:val="28"/>
        </w:rPr>
        <w:t xml:space="preserve"> et al., 2019).</w:t>
      </w:r>
    </w:p>
    <w:p w14:paraId="3F991A76" w14:textId="77777777" w:rsidR="00200A64" w:rsidRPr="004A05B0" w:rsidRDefault="00200A64" w:rsidP="00200A64">
      <w:pPr>
        <w:rPr>
          <w:rFonts w:ascii="Times New Roman" w:hAnsi="Times New Roman" w:cs="Times New Roman"/>
          <w:b/>
          <w:bCs/>
          <w:sz w:val="28"/>
          <w:szCs w:val="28"/>
        </w:rPr>
      </w:pPr>
      <w:r w:rsidRPr="004A05B0">
        <w:rPr>
          <w:rFonts w:ascii="Times New Roman" w:hAnsi="Times New Roman" w:cs="Times New Roman"/>
          <w:b/>
          <w:bCs/>
          <w:sz w:val="28"/>
          <w:szCs w:val="28"/>
        </w:rPr>
        <w:t>Modifiable Risk Factors</w:t>
      </w:r>
    </w:p>
    <w:p w14:paraId="6F98EB91" w14:textId="6C370890"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Hypertension</w:t>
      </w:r>
      <w:r w:rsidRPr="004A05B0">
        <w:rPr>
          <w:rFonts w:ascii="Times New Roman" w:hAnsi="Times New Roman" w:cs="Times New Roman"/>
          <w:sz w:val="28"/>
          <w:szCs w:val="28"/>
        </w:rPr>
        <w:br/>
      </w:r>
      <w:proofErr w:type="spellStart"/>
      <w:r w:rsidRPr="004A05B0">
        <w:rPr>
          <w:rFonts w:ascii="Times New Roman" w:hAnsi="Times New Roman" w:cs="Times New Roman"/>
          <w:sz w:val="28"/>
          <w:szCs w:val="28"/>
        </w:rPr>
        <w:t>Hypertension</w:t>
      </w:r>
      <w:proofErr w:type="spellEnd"/>
      <w:r w:rsidRPr="004A05B0">
        <w:rPr>
          <w:rFonts w:ascii="Times New Roman" w:hAnsi="Times New Roman" w:cs="Times New Roman"/>
          <w:sz w:val="28"/>
          <w:szCs w:val="28"/>
        </w:rPr>
        <w:t xml:space="preserve"> is the single most important modifiable risk factor for stroke (Feigin et al., 2017; Powers et al., 2019). There is a strong, continuous, and dose-dependent relationship between blood pressure levels and stroke risk, with no clear threshold below which risk is eliminated </w:t>
      </w:r>
      <w:r>
        <w:rPr>
          <w:rFonts w:ascii="Times New Roman" w:hAnsi="Times New Roman" w:cs="Times New Roman"/>
          <w:sz w:val="28"/>
          <w:szCs w:val="28"/>
        </w:rPr>
        <w:t>(</w:t>
      </w:r>
      <w:r w:rsidRPr="00AE44D8">
        <w:rPr>
          <w:rFonts w:ascii="Times New Roman" w:hAnsi="Times New Roman" w:cs="Times New Roman"/>
          <w:sz w:val="28"/>
          <w:szCs w:val="28"/>
        </w:rPr>
        <w:t xml:space="preserve">Chobanian </w:t>
      </w:r>
      <w:r w:rsidR="00375776">
        <w:rPr>
          <w:rFonts w:ascii="Times New Roman" w:hAnsi="Times New Roman" w:cs="Times New Roman"/>
          <w:sz w:val="28"/>
          <w:szCs w:val="28"/>
        </w:rPr>
        <w:t>et al.</w:t>
      </w:r>
      <w:r w:rsidRPr="00AE44D8">
        <w:rPr>
          <w:rFonts w:ascii="Times New Roman" w:hAnsi="Times New Roman" w:cs="Times New Roman"/>
          <w:sz w:val="28"/>
          <w:szCs w:val="28"/>
        </w:rPr>
        <w:t>,</w:t>
      </w:r>
      <w:r w:rsidR="00375776">
        <w:rPr>
          <w:rFonts w:ascii="Times New Roman" w:hAnsi="Times New Roman" w:cs="Times New Roman"/>
          <w:sz w:val="28"/>
          <w:szCs w:val="28"/>
        </w:rPr>
        <w:t>2003;</w:t>
      </w:r>
      <w:r w:rsidRPr="00AE44D8">
        <w:rPr>
          <w:rFonts w:ascii="Times New Roman" w:hAnsi="Times New Roman" w:cs="Times New Roman"/>
          <w:sz w:val="28"/>
          <w:szCs w:val="28"/>
        </w:rPr>
        <w:t xml:space="preserve"> </w:t>
      </w:r>
      <w:r w:rsidRPr="003A3D5C">
        <w:rPr>
          <w:rFonts w:ascii="Times New Roman" w:hAnsi="Times New Roman" w:cs="Times New Roman"/>
          <w:sz w:val="28"/>
          <w:szCs w:val="28"/>
        </w:rPr>
        <w:t xml:space="preserve">Lewington </w:t>
      </w:r>
      <w:r w:rsidR="00B51E54">
        <w:rPr>
          <w:rFonts w:ascii="Times New Roman" w:hAnsi="Times New Roman" w:cs="Times New Roman"/>
          <w:sz w:val="28"/>
          <w:szCs w:val="28"/>
        </w:rPr>
        <w:t>et al.</w:t>
      </w:r>
      <w:r w:rsidRPr="003A3D5C">
        <w:rPr>
          <w:rFonts w:ascii="Times New Roman" w:hAnsi="Times New Roman" w:cs="Times New Roman"/>
          <w:sz w:val="28"/>
          <w:szCs w:val="28"/>
        </w:rPr>
        <w:t>,</w:t>
      </w:r>
      <w:r w:rsidR="00B51E54">
        <w:rPr>
          <w:rFonts w:ascii="Times New Roman" w:hAnsi="Times New Roman" w:cs="Times New Roman"/>
          <w:sz w:val="28"/>
          <w:szCs w:val="28"/>
        </w:rPr>
        <w:t>2002;</w:t>
      </w:r>
      <w:r w:rsidR="008A03A3">
        <w:rPr>
          <w:rFonts w:ascii="Times New Roman" w:hAnsi="Times New Roman" w:cs="Times New Roman"/>
          <w:sz w:val="28"/>
          <w:szCs w:val="28"/>
        </w:rPr>
        <w:t xml:space="preserve"> </w:t>
      </w:r>
      <w:r w:rsidRPr="004A05B0">
        <w:rPr>
          <w:rFonts w:ascii="Times New Roman" w:hAnsi="Times New Roman" w:cs="Times New Roman"/>
          <w:sz w:val="28"/>
          <w:szCs w:val="28"/>
        </w:rPr>
        <w:t xml:space="preserve">O’Donnell et al., 2016). Elevated blood pressure contributes to both ischemic and </w:t>
      </w:r>
      <w:proofErr w:type="spellStart"/>
      <w:r w:rsidRPr="004A05B0">
        <w:rPr>
          <w:rFonts w:ascii="Times New Roman" w:hAnsi="Times New Roman" w:cs="Times New Roman"/>
          <w:sz w:val="28"/>
          <w:szCs w:val="28"/>
        </w:rPr>
        <w:t>hemorrhagic</w:t>
      </w:r>
      <w:proofErr w:type="spellEnd"/>
      <w:r w:rsidRPr="004A05B0">
        <w:rPr>
          <w:rFonts w:ascii="Times New Roman" w:hAnsi="Times New Roman" w:cs="Times New Roman"/>
          <w:sz w:val="28"/>
          <w:szCs w:val="28"/>
        </w:rPr>
        <w:t xml:space="preserve"> stroke by accelerating atherosclerosis, inducing cerebral small vessel disease, and increasing the likelihood of vessel rupture (Qureshi et al., 2009; Greenberg et al., 2022). Effective blood pressure control through lifestyle modification and </w:t>
      </w:r>
      <w:r w:rsidRPr="004A05B0">
        <w:rPr>
          <w:rFonts w:ascii="Times New Roman" w:hAnsi="Times New Roman" w:cs="Times New Roman"/>
          <w:sz w:val="28"/>
          <w:szCs w:val="28"/>
        </w:rPr>
        <w:lastRenderedPageBreak/>
        <w:t>pharmacological therapy remains the most impactful strategy for reducing stroke incidence at the population level (WHO, 2019).</w:t>
      </w:r>
    </w:p>
    <w:p w14:paraId="58921D8C" w14:textId="77777777"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Diabetes Mellitus</w:t>
      </w:r>
      <w:r w:rsidRPr="004A05B0">
        <w:rPr>
          <w:rFonts w:ascii="Times New Roman" w:hAnsi="Times New Roman" w:cs="Times New Roman"/>
          <w:sz w:val="28"/>
          <w:szCs w:val="28"/>
        </w:rPr>
        <w:br/>
        <w:t xml:space="preserve">Diabetes mellitus independently doubles the risk of stroke and accounts for a substantial proportion of stroke-related mortality (Emerging Risk Factors Collaboration, 2018). Chronic </w:t>
      </w:r>
      <w:proofErr w:type="spellStart"/>
      <w:r w:rsidRPr="004A05B0">
        <w:rPr>
          <w:rFonts w:ascii="Times New Roman" w:hAnsi="Times New Roman" w:cs="Times New Roman"/>
          <w:sz w:val="28"/>
          <w:szCs w:val="28"/>
        </w:rPr>
        <w:t>hyperglycemia</w:t>
      </w:r>
      <w:proofErr w:type="spellEnd"/>
      <w:r w:rsidRPr="004A05B0">
        <w:rPr>
          <w:rFonts w:ascii="Times New Roman" w:hAnsi="Times New Roman" w:cs="Times New Roman"/>
          <w:sz w:val="28"/>
          <w:szCs w:val="28"/>
        </w:rPr>
        <w:t xml:space="preserve"> promotes endothelial dysfunction, inflammation, and accelerated atherosclerosis affecting both large and small cerebral vessels (Donnan et al., 2008). Stroke risk increases with longer duration of diabetes, and individuals with diabetes tend to experience strokes at younger ages and with worse functional outcomes (Feigin et al., 2017). Prediabetes has also been associated with increased stroke risk, underscoring the importance of early metabolic intervention (O’Donnell et al., 2016).</w:t>
      </w:r>
    </w:p>
    <w:p w14:paraId="78847812" w14:textId="5E5E8F4B"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Cardiac Disorders</w:t>
      </w:r>
      <w:r w:rsidRPr="004A05B0">
        <w:rPr>
          <w:rFonts w:ascii="Times New Roman" w:hAnsi="Times New Roman" w:cs="Times New Roman"/>
          <w:sz w:val="28"/>
          <w:szCs w:val="28"/>
        </w:rPr>
        <w:br/>
        <w:t xml:space="preserve">Cardiac conditions, particularly atrial fibrillation, represent major risk factors for ischemic stroke through embolic mechanisms </w:t>
      </w:r>
      <w:r>
        <w:rPr>
          <w:rFonts w:ascii="Times New Roman" w:hAnsi="Times New Roman" w:cs="Times New Roman"/>
          <w:sz w:val="28"/>
          <w:szCs w:val="28"/>
        </w:rPr>
        <w:t>(</w:t>
      </w:r>
      <w:r w:rsidRPr="005137FB">
        <w:rPr>
          <w:rFonts w:ascii="Times New Roman" w:hAnsi="Times New Roman" w:cs="Times New Roman"/>
          <w:sz w:val="28"/>
          <w:szCs w:val="28"/>
        </w:rPr>
        <w:t xml:space="preserve">Banerjee </w:t>
      </w:r>
      <w:r w:rsidR="004C03D1">
        <w:rPr>
          <w:rFonts w:ascii="Times New Roman" w:hAnsi="Times New Roman" w:cs="Times New Roman"/>
          <w:sz w:val="28"/>
          <w:szCs w:val="28"/>
        </w:rPr>
        <w:t>et al.</w:t>
      </w:r>
      <w:r w:rsidRPr="005137FB">
        <w:rPr>
          <w:rFonts w:ascii="Times New Roman" w:hAnsi="Times New Roman" w:cs="Times New Roman"/>
          <w:sz w:val="28"/>
          <w:szCs w:val="28"/>
        </w:rPr>
        <w:t xml:space="preserve">, </w:t>
      </w:r>
      <w:r w:rsidR="004C03D1">
        <w:rPr>
          <w:rFonts w:ascii="Times New Roman" w:hAnsi="Times New Roman" w:cs="Times New Roman"/>
          <w:sz w:val="28"/>
          <w:szCs w:val="28"/>
        </w:rPr>
        <w:t>2012</w:t>
      </w:r>
      <w:r w:rsidR="00393AD6">
        <w:rPr>
          <w:rFonts w:ascii="Times New Roman" w:hAnsi="Times New Roman" w:cs="Times New Roman"/>
          <w:sz w:val="28"/>
          <w:szCs w:val="28"/>
        </w:rPr>
        <w:t>;</w:t>
      </w:r>
      <w:r w:rsidR="008A03A3">
        <w:rPr>
          <w:rFonts w:ascii="Times New Roman" w:hAnsi="Times New Roman" w:cs="Times New Roman"/>
          <w:sz w:val="28"/>
          <w:szCs w:val="28"/>
        </w:rPr>
        <w:t xml:space="preserve"> </w:t>
      </w:r>
      <w:r w:rsidRPr="00061A4B">
        <w:rPr>
          <w:rFonts w:ascii="Times New Roman" w:hAnsi="Times New Roman" w:cs="Times New Roman"/>
          <w:sz w:val="28"/>
          <w:szCs w:val="28"/>
        </w:rPr>
        <w:t xml:space="preserve">Sui </w:t>
      </w:r>
      <w:r w:rsidR="00EE58CA">
        <w:rPr>
          <w:rFonts w:ascii="Times New Roman" w:hAnsi="Times New Roman" w:cs="Times New Roman"/>
          <w:sz w:val="28"/>
          <w:szCs w:val="28"/>
        </w:rPr>
        <w:t>et al.</w:t>
      </w:r>
      <w:r w:rsidRPr="00061A4B">
        <w:rPr>
          <w:rFonts w:ascii="Times New Roman" w:hAnsi="Times New Roman" w:cs="Times New Roman"/>
          <w:sz w:val="28"/>
          <w:szCs w:val="28"/>
        </w:rPr>
        <w:t>,</w:t>
      </w:r>
      <w:r w:rsidR="00EE58CA">
        <w:rPr>
          <w:rFonts w:ascii="Times New Roman" w:hAnsi="Times New Roman" w:cs="Times New Roman"/>
          <w:sz w:val="28"/>
          <w:szCs w:val="28"/>
        </w:rPr>
        <w:t>2011</w:t>
      </w:r>
      <w:r w:rsidR="00E553BF">
        <w:rPr>
          <w:rFonts w:ascii="Times New Roman" w:hAnsi="Times New Roman" w:cs="Times New Roman"/>
          <w:sz w:val="28"/>
          <w:szCs w:val="28"/>
        </w:rPr>
        <w:t xml:space="preserve">; </w:t>
      </w:r>
      <w:proofErr w:type="spellStart"/>
      <w:r w:rsidRPr="004A05B0">
        <w:rPr>
          <w:rFonts w:ascii="Times New Roman" w:hAnsi="Times New Roman" w:cs="Times New Roman"/>
          <w:sz w:val="28"/>
          <w:szCs w:val="28"/>
        </w:rPr>
        <w:t>Hindricks</w:t>
      </w:r>
      <w:proofErr w:type="spellEnd"/>
      <w:r w:rsidRPr="004A05B0">
        <w:rPr>
          <w:rFonts w:ascii="Times New Roman" w:hAnsi="Times New Roman" w:cs="Times New Roman"/>
          <w:sz w:val="28"/>
          <w:szCs w:val="28"/>
        </w:rPr>
        <w:t xml:space="preserve"> et al., 2021). Stroke related to atrial fibrillation is often severe and associated with high morbidity and mortality (Powers et al., 2019). Emerging evidence suggests that atrial structural and functional abnormalities—collectively referred to as atrial cardiopathy—may predispose individuals to thromboembolism even in the absence of documented atrial fibrillation </w:t>
      </w:r>
      <w:r>
        <w:rPr>
          <w:rFonts w:ascii="Times New Roman" w:hAnsi="Times New Roman" w:cs="Times New Roman"/>
          <w:sz w:val="28"/>
          <w:szCs w:val="28"/>
        </w:rPr>
        <w:t>(</w:t>
      </w:r>
      <w:r w:rsidRPr="00D405A1">
        <w:rPr>
          <w:rFonts w:ascii="Times New Roman" w:hAnsi="Times New Roman" w:cs="Times New Roman"/>
          <w:sz w:val="28"/>
          <w:szCs w:val="28"/>
        </w:rPr>
        <w:t xml:space="preserve">Horenstein </w:t>
      </w:r>
      <w:r w:rsidR="00377ED7">
        <w:rPr>
          <w:rFonts w:ascii="Times New Roman" w:hAnsi="Times New Roman" w:cs="Times New Roman"/>
          <w:sz w:val="28"/>
          <w:szCs w:val="28"/>
        </w:rPr>
        <w:t>et al.</w:t>
      </w:r>
      <w:r w:rsidRPr="00D405A1">
        <w:rPr>
          <w:rFonts w:ascii="Times New Roman" w:hAnsi="Times New Roman" w:cs="Times New Roman"/>
          <w:sz w:val="28"/>
          <w:szCs w:val="28"/>
        </w:rPr>
        <w:t>,</w:t>
      </w:r>
      <w:r w:rsidR="00377ED7">
        <w:rPr>
          <w:rFonts w:ascii="Times New Roman" w:hAnsi="Times New Roman" w:cs="Times New Roman"/>
          <w:sz w:val="28"/>
          <w:szCs w:val="28"/>
        </w:rPr>
        <w:t>2002;</w:t>
      </w:r>
      <w:r w:rsidRPr="00D405A1">
        <w:rPr>
          <w:rFonts w:ascii="Times New Roman" w:hAnsi="Times New Roman" w:cs="Times New Roman"/>
          <w:sz w:val="28"/>
          <w:szCs w:val="28"/>
        </w:rPr>
        <w:t xml:space="preserve"> </w:t>
      </w:r>
      <w:r w:rsidRPr="004A05B0">
        <w:rPr>
          <w:rFonts w:ascii="Times New Roman" w:hAnsi="Times New Roman" w:cs="Times New Roman"/>
          <w:sz w:val="28"/>
          <w:szCs w:val="28"/>
        </w:rPr>
        <w:t>Kamel et al., 2020).</w:t>
      </w:r>
    </w:p>
    <w:p w14:paraId="0CFF402E" w14:textId="7E95F235" w:rsidR="00200A64" w:rsidRPr="004A05B0" w:rsidRDefault="00200A64" w:rsidP="00200A64">
      <w:pPr>
        <w:rPr>
          <w:rFonts w:ascii="Times New Roman" w:hAnsi="Times New Roman" w:cs="Times New Roman"/>
          <w:sz w:val="28"/>
          <w:szCs w:val="28"/>
        </w:rPr>
      </w:pPr>
      <w:proofErr w:type="spellStart"/>
      <w:r w:rsidRPr="004A05B0">
        <w:rPr>
          <w:rFonts w:ascii="Times New Roman" w:hAnsi="Times New Roman" w:cs="Times New Roman"/>
          <w:b/>
          <w:bCs/>
          <w:sz w:val="28"/>
          <w:szCs w:val="28"/>
        </w:rPr>
        <w:t>Dyslipidemia</w:t>
      </w:r>
      <w:proofErr w:type="spellEnd"/>
      <w:r w:rsidRPr="004A05B0">
        <w:rPr>
          <w:rFonts w:ascii="Times New Roman" w:hAnsi="Times New Roman" w:cs="Times New Roman"/>
          <w:sz w:val="28"/>
          <w:szCs w:val="28"/>
        </w:rPr>
        <w:br/>
        <w:t>The relationship between lipid abnormalities and stroke risk is complex and varies by stroke subtype</w:t>
      </w:r>
      <w:r>
        <w:rPr>
          <w:rFonts w:ascii="Times New Roman" w:hAnsi="Times New Roman" w:cs="Times New Roman"/>
          <w:sz w:val="28"/>
          <w:szCs w:val="28"/>
        </w:rPr>
        <w:t xml:space="preserve"> (</w:t>
      </w:r>
      <w:r w:rsidRPr="00567655">
        <w:rPr>
          <w:rFonts w:ascii="Times New Roman" w:hAnsi="Times New Roman" w:cs="Times New Roman"/>
          <w:sz w:val="28"/>
          <w:szCs w:val="28"/>
        </w:rPr>
        <w:t xml:space="preserve">Sacco </w:t>
      </w:r>
      <w:r w:rsidR="00EB7A73">
        <w:rPr>
          <w:rFonts w:ascii="Times New Roman" w:hAnsi="Times New Roman" w:cs="Times New Roman"/>
          <w:sz w:val="28"/>
          <w:szCs w:val="28"/>
        </w:rPr>
        <w:t>et al.</w:t>
      </w:r>
      <w:r w:rsidRPr="00567655">
        <w:rPr>
          <w:rFonts w:ascii="Times New Roman" w:hAnsi="Times New Roman" w:cs="Times New Roman"/>
          <w:sz w:val="28"/>
          <w:szCs w:val="28"/>
        </w:rPr>
        <w:t>,</w:t>
      </w:r>
      <w:r w:rsidR="00EB7A73">
        <w:rPr>
          <w:rFonts w:ascii="Times New Roman" w:hAnsi="Times New Roman" w:cs="Times New Roman"/>
          <w:sz w:val="28"/>
          <w:szCs w:val="28"/>
        </w:rPr>
        <w:t xml:space="preserve">2001; </w:t>
      </w:r>
      <w:r w:rsidRPr="004A05B0">
        <w:rPr>
          <w:rFonts w:ascii="Times New Roman" w:hAnsi="Times New Roman" w:cs="Times New Roman"/>
          <w:sz w:val="28"/>
          <w:szCs w:val="28"/>
        </w:rPr>
        <w:t xml:space="preserve">Donnan et al., 2008). Elevated total and low-density lipoprotein cholesterol levels increase the risk of ischemic stroke, whereas lower cholesterol levels have been associated with an increased risk of intracerebral </w:t>
      </w:r>
      <w:proofErr w:type="spellStart"/>
      <w:r w:rsidRPr="004A05B0">
        <w:rPr>
          <w:rFonts w:ascii="Times New Roman" w:hAnsi="Times New Roman" w:cs="Times New Roman"/>
          <w:sz w:val="28"/>
          <w:szCs w:val="28"/>
        </w:rPr>
        <w:t>hemorrhage</w:t>
      </w:r>
      <w:proofErr w:type="spellEnd"/>
      <w:r w:rsidRPr="004A05B0">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Pr="00A3760C">
        <w:rPr>
          <w:rFonts w:ascii="Times New Roman" w:hAnsi="Times New Roman" w:cs="Times New Roman"/>
          <w:sz w:val="28"/>
          <w:szCs w:val="28"/>
        </w:rPr>
        <w:t>Amarenco</w:t>
      </w:r>
      <w:proofErr w:type="spellEnd"/>
      <w:r w:rsidRPr="00A3760C">
        <w:rPr>
          <w:rFonts w:ascii="Times New Roman" w:hAnsi="Times New Roman" w:cs="Times New Roman"/>
          <w:sz w:val="28"/>
          <w:szCs w:val="28"/>
        </w:rPr>
        <w:t xml:space="preserve"> </w:t>
      </w:r>
      <w:r w:rsidR="002A11B8">
        <w:rPr>
          <w:rFonts w:ascii="Times New Roman" w:hAnsi="Times New Roman" w:cs="Times New Roman"/>
          <w:sz w:val="28"/>
          <w:szCs w:val="28"/>
        </w:rPr>
        <w:t>et al.</w:t>
      </w:r>
      <w:r w:rsidRPr="00A3760C">
        <w:rPr>
          <w:rFonts w:ascii="Times New Roman" w:hAnsi="Times New Roman" w:cs="Times New Roman"/>
          <w:sz w:val="28"/>
          <w:szCs w:val="28"/>
        </w:rPr>
        <w:t>,</w:t>
      </w:r>
      <w:r w:rsidR="002A11B8">
        <w:rPr>
          <w:rFonts w:ascii="Times New Roman" w:hAnsi="Times New Roman" w:cs="Times New Roman"/>
          <w:sz w:val="28"/>
          <w:szCs w:val="28"/>
        </w:rPr>
        <w:t>2004;</w:t>
      </w:r>
      <w:r w:rsidRPr="00A3760C">
        <w:rPr>
          <w:rFonts w:ascii="Times New Roman" w:hAnsi="Times New Roman" w:cs="Times New Roman"/>
          <w:sz w:val="28"/>
          <w:szCs w:val="28"/>
        </w:rPr>
        <w:t xml:space="preserve"> Baigent </w:t>
      </w:r>
      <w:r w:rsidR="00E201ED">
        <w:rPr>
          <w:rFonts w:ascii="Times New Roman" w:hAnsi="Times New Roman" w:cs="Times New Roman"/>
          <w:sz w:val="28"/>
          <w:szCs w:val="28"/>
        </w:rPr>
        <w:t>et al.</w:t>
      </w:r>
      <w:r w:rsidRPr="00A3760C">
        <w:rPr>
          <w:rFonts w:ascii="Times New Roman" w:hAnsi="Times New Roman" w:cs="Times New Roman"/>
          <w:sz w:val="28"/>
          <w:szCs w:val="28"/>
        </w:rPr>
        <w:t>,</w:t>
      </w:r>
      <w:r w:rsidR="00E201ED">
        <w:rPr>
          <w:rFonts w:ascii="Times New Roman" w:hAnsi="Times New Roman" w:cs="Times New Roman"/>
          <w:sz w:val="28"/>
          <w:szCs w:val="28"/>
        </w:rPr>
        <w:t xml:space="preserve">2005; </w:t>
      </w:r>
      <w:r w:rsidRPr="004A05B0">
        <w:rPr>
          <w:rFonts w:ascii="Times New Roman" w:hAnsi="Times New Roman" w:cs="Times New Roman"/>
          <w:sz w:val="28"/>
          <w:szCs w:val="28"/>
        </w:rPr>
        <w:t xml:space="preserve">Qureshi et al., 2009). Statin therapy has consistently demonstrated benefit in reducing ischemic stroke incidence and overall cardiovascular events, with benefits outweighing potential </w:t>
      </w:r>
      <w:proofErr w:type="spellStart"/>
      <w:r w:rsidRPr="004A05B0">
        <w:rPr>
          <w:rFonts w:ascii="Times New Roman" w:hAnsi="Times New Roman" w:cs="Times New Roman"/>
          <w:sz w:val="28"/>
          <w:szCs w:val="28"/>
        </w:rPr>
        <w:t>hemorrhagic</w:t>
      </w:r>
      <w:proofErr w:type="spellEnd"/>
      <w:r w:rsidRPr="004A05B0">
        <w:rPr>
          <w:rFonts w:ascii="Times New Roman" w:hAnsi="Times New Roman" w:cs="Times New Roman"/>
          <w:sz w:val="28"/>
          <w:szCs w:val="28"/>
        </w:rPr>
        <w:t xml:space="preserve"> risks in most populations</w:t>
      </w:r>
      <w:r>
        <w:rPr>
          <w:rFonts w:ascii="Times New Roman" w:hAnsi="Times New Roman" w:cs="Times New Roman"/>
          <w:sz w:val="28"/>
          <w:szCs w:val="28"/>
        </w:rPr>
        <w:t xml:space="preserve"> (</w:t>
      </w:r>
      <w:r w:rsidRPr="00B6686F">
        <w:rPr>
          <w:rFonts w:ascii="Times New Roman" w:hAnsi="Times New Roman" w:cs="Times New Roman"/>
          <w:sz w:val="28"/>
          <w:szCs w:val="28"/>
        </w:rPr>
        <w:t xml:space="preserve">Lauer </w:t>
      </w:r>
      <w:r w:rsidR="003904AB">
        <w:rPr>
          <w:rFonts w:ascii="Times New Roman" w:hAnsi="Times New Roman" w:cs="Times New Roman"/>
          <w:sz w:val="28"/>
          <w:szCs w:val="28"/>
        </w:rPr>
        <w:t>et al.</w:t>
      </w:r>
      <w:r w:rsidRPr="00B6686F">
        <w:rPr>
          <w:rFonts w:ascii="Times New Roman" w:hAnsi="Times New Roman" w:cs="Times New Roman"/>
          <w:sz w:val="28"/>
          <w:szCs w:val="28"/>
        </w:rPr>
        <w:t>,</w:t>
      </w:r>
      <w:r w:rsidR="003904AB">
        <w:rPr>
          <w:rFonts w:ascii="Times New Roman" w:hAnsi="Times New Roman" w:cs="Times New Roman"/>
          <w:sz w:val="28"/>
          <w:szCs w:val="28"/>
        </w:rPr>
        <w:t>2015</w:t>
      </w:r>
      <w:r w:rsidR="008C627C">
        <w:rPr>
          <w:rFonts w:ascii="Times New Roman" w:hAnsi="Times New Roman" w:cs="Times New Roman"/>
          <w:sz w:val="28"/>
          <w:szCs w:val="28"/>
        </w:rPr>
        <w:t>;</w:t>
      </w:r>
      <w:r w:rsidRPr="00B6686F">
        <w:rPr>
          <w:rFonts w:ascii="Times New Roman" w:hAnsi="Times New Roman" w:cs="Times New Roman"/>
          <w:sz w:val="28"/>
          <w:szCs w:val="28"/>
        </w:rPr>
        <w:t xml:space="preserve"> Goldstein </w:t>
      </w:r>
      <w:r w:rsidR="007428E2">
        <w:rPr>
          <w:rFonts w:ascii="Times New Roman" w:hAnsi="Times New Roman" w:cs="Times New Roman"/>
          <w:sz w:val="28"/>
          <w:szCs w:val="28"/>
        </w:rPr>
        <w:t>et al.</w:t>
      </w:r>
      <w:r w:rsidRPr="00B6686F">
        <w:rPr>
          <w:rFonts w:ascii="Times New Roman" w:hAnsi="Times New Roman" w:cs="Times New Roman"/>
          <w:sz w:val="28"/>
          <w:szCs w:val="28"/>
        </w:rPr>
        <w:t>,</w:t>
      </w:r>
      <w:r w:rsidR="007428E2">
        <w:rPr>
          <w:rFonts w:ascii="Times New Roman" w:hAnsi="Times New Roman" w:cs="Times New Roman"/>
          <w:sz w:val="28"/>
          <w:szCs w:val="28"/>
        </w:rPr>
        <w:t xml:space="preserve">2008; </w:t>
      </w:r>
      <w:r w:rsidRPr="004A05B0">
        <w:rPr>
          <w:rFonts w:ascii="Times New Roman" w:hAnsi="Times New Roman" w:cs="Times New Roman"/>
          <w:sz w:val="28"/>
          <w:szCs w:val="28"/>
        </w:rPr>
        <w:t>Powers et al., 2019; Greenberg et al., 2022).</w:t>
      </w:r>
    </w:p>
    <w:p w14:paraId="374DDF15" w14:textId="2C3813F8"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Obesity, Physical Inactivity, and Metabolic Syndrome</w:t>
      </w:r>
      <w:r w:rsidRPr="004A05B0">
        <w:rPr>
          <w:rFonts w:ascii="Times New Roman" w:hAnsi="Times New Roman" w:cs="Times New Roman"/>
          <w:sz w:val="28"/>
          <w:szCs w:val="28"/>
        </w:rPr>
        <w:br/>
        <w:t xml:space="preserve">Obesity and sedentary </w:t>
      </w:r>
      <w:proofErr w:type="spellStart"/>
      <w:r w:rsidRPr="004A05B0">
        <w:rPr>
          <w:rFonts w:ascii="Times New Roman" w:hAnsi="Times New Roman" w:cs="Times New Roman"/>
          <w:sz w:val="28"/>
          <w:szCs w:val="28"/>
        </w:rPr>
        <w:t>behavior</w:t>
      </w:r>
      <w:proofErr w:type="spellEnd"/>
      <w:r w:rsidRPr="004A05B0">
        <w:rPr>
          <w:rFonts w:ascii="Times New Roman" w:hAnsi="Times New Roman" w:cs="Times New Roman"/>
          <w:sz w:val="28"/>
          <w:szCs w:val="28"/>
        </w:rPr>
        <w:t xml:space="preserve"> contribute significantly to stroke risk, primarily through adverse effects on blood pressure, glucose metabolism, and lipid profiles (Feigin et al., 2017). Central (abdominal) obesity appears to be a stronger predictor of stroke risk than body mass index alone (O’Donnell et al., 2016). Regular physical activity confers substantial protection against stroke by improving endothelial function, reducing inflammation, and mitigating </w:t>
      </w:r>
      <w:r w:rsidRPr="004A05B0">
        <w:rPr>
          <w:rFonts w:ascii="Times New Roman" w:hAnsi="Times New Roman" w:cs="Times New Roman"/>
          <w:sz w:val="28"/>
          <w:szCs w:val="28"/>
        </w:rPr>
        <w:lastRenderedPageBreak/>
        <w:t xml:space="preserve">cardiometabolic risk factors </w:t>
      </w:r>
      <w:r>
        <w:rPr>
          <w:rFonts w:ascii="Times New Roman" w:hAnsi="Times New Roman" w:cs="Times New Roman"/>
          <w:sz w:val="28"/>
          <w:szCs w:val="28"/>
        </w:rPr>
        <w:t>(</w:t>
      </w:r>
      <w:r w:rsidRPr="00107D9A">
        <w:rPr>
          <w:rFonts w:ascii="Times New Roman" w:hAnsi="Times New Roman" w:cs="Times New Roman"/>
          <w:sz w:val="28"/>
          <w:szCs w:val="28"/>
        </w:rPr>
        <w:t xml:space="preserve">Zhou </w:t>
      </w:r>
      <w:r w:rsidR="00106CC6">
        <w:rPr>
          <w:rFonts w:ascii="Times New Roman" w:hAnsi="Times New Roman" w:cs="Times New Roman"/>
          <w:sz w:val="28"/>
          <w:szCs w:val="28"/>
        </w:rPr>
        <w:t>et al.</w:t>
      </w:r>
      <w:r w:rsidRPr="00107D9A">
        <w:rPr>
          <w:rFonts w:ascii="Times New Roman" w:hAnsi="Times New Roman" w:cs="Times New Roman"/>
          <w:sz w:val="28"/>
          <w:szCs w:val="28"/>
        </w:rPr>
        <w:t>,</w:t>
      </w:r>
      <w:r w:rsidR="00106CC6">
        <w:rPr>
          <w:rFonts w:ascii="Times New Roman" w:hAnsi="Times New Roman" w:cs="Times New Roman"/>
          <w:sz w:val="28"/>
          <w:szCs w:val="28"/>
        </w:rPr>
        <w:t xml:space="preserve">2007; </w:t>
      </w:r>
      <w:r w:rsidRPr="004A05B0">
        <w:rPr>
          <w:rFonts w:ascii="Times New Roman" w:hAnsi="Times New Roman" w:cs="Times New Roman"/>
          <w:sz w:val="28"/>
          <w:szCs w:val="28"/>
        </w:rPr>
        <w:t xml:space="preserve">WHO, 2019). Metabolic syndrome is associated with an increased risk of ischemic stroke, particularly as the number of metabolic abnormalities increases </w:t>
      </w:r>
      <w:r>
        <w:rPr>
          <w:rFonts w:ascii="Times New Roman" w:hAnsi="Times New Roman" w:cs="Times New Roman"/>
          <w:sz w:val="28"/>
          <w:szCs w:val="28"/>
        </w:rPr>
        <w:t>(</w:t>
      </w:r>
      <w:r w:rsidRPr="00401E83">
        <w:rPr>
          <w:rFonts w:ascii="Times New Roman" w:hAnsi="Times New Roman" w:cs="Times New Roman"/>
          <w:sz w:val="28"/>
          <w:szCs w:val="28"/>
        </w:rPr>
        <w:t xml:space="preserve">Manson </w:t>
      </w:r>
      <w:r w:rsidR="00C72913">
        <w:rPr>
          <w:rFonts w:ascii="Times New Roman" w:hAnsi="Times New Roman" w:cs="Times New Roman"/>
          <w:sz w:val="28"/>
          <w:szCs w:val="28"/>
        </w:rPr>
        <w:t>et al.</w:t>
      </w:r>
      <w:r w:rsidRPr="00401E83">
        <w:rPr>
          <w:rFonts w:ascii="Times New Roman" w:hAnsi="Times New Roman" w:cs="Times New Roman"/>
          <w:sz w:val="28"/>
          <w:szCs w:val="28"/>
        </w:rPr>
        <w:t>,</w:t>
      </w:r>
      <w:r w:rsidR="00C72913">
        <w:rPr>
          <w:rFonts w:ascii="Times New Roman" w:hAnsi="Times New Roman" w:cs="Times New Roman"/>
          <w:sz w:val="28"/>
          <w:szCs w:val="28"/>
        </w:rPr>
        <w:t>1991;</w:t>
      </w:r>
      <w:r w:rsidRPr="00401E83">
        <w:rPr>
          <w:rFonts w:ascii="Times New Roman" w:hAnsi="Times New Roman" w:cs="Times New Roman"/>
          <w:sz w:val="28"/>
          <w:szCs w:val="28"/>
        </w:rPr>
        <w:t xml:space="preserve"> </w:t>
      </w:r>
      <w:r w:rsidRPr="004A05B0">
        <w:rPr>
          <w:rFonts w:ascii="Times New Roman" w:hAnsi="Times New Roman" w:cs="Times New Roman"/>
          <w:sz w:val="28"/>
          <w:szCs w:val="28"/>
        </w:rPr>
        <w:t>Emerging Risk Factors Collaboration, 2018).</w:t>
      </w:r>
    </w:p>
    <w:p w14:paraId="4173EF36" w14:textId="5AA11DCF"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Smoking, Alcohol, and Substance Abuse</w:t>
      </w:r>
      <w:r w:rsidRPr="004A05B0">
        <w:rPr>
          <w:rFonts w:ascii="Times New Roman" w:hAnsi="Times New Roman" w:cs="Times New Roman"/>
          <w:sz w:val="28"/>
          <w:szCs w:val="28"/>
        </w:rPr>
        <w:br/>
        <w:t xml:space="preserve">Cigarette smoking nearly doubles the risk of stroke through endothelial injury, enhanced platelet aggregation, and accelerated atherosclerosis (O’Donnell et al., 2016). Smoking cessation leads to a rapid decline in stroke risk, approaching that of non-smokers within several years (WHO, 2019). Alcohol consumption demonstrates a dose-dependent relationship with stroke, with light to moderate intake potentially protective for ischemic stroke, while heavy consumption increases the risk of both ischemic and </w:t>
      </w:r>
      <w:proofErr w:type="spellStart"/>
      <w:r w:rsidRPr="004A05B0">
        <w:rPr>
          <w:rFonts w:ascii="Times New Roman" w:hAnsi="Times New Roman" w:cs="Times New Roman"/>
          <w:sz w:val="28"/>
          <w:szCs w:val="28"/>
        </w:rPr>
        <w:t>hemorrhagic</w:t>
      </w:r>
      <w:proofErr w:type="spellEnd"/>
      <w:r w:rsidRPr="004A05B0">
        <w:rPr>
          <w:rFonts w:ascii="Times New Roman" w:hAnsi="Times New Roman" w:cs="Times New Roman"/>
          <w:sz w:val="28"/>
          <w:szCs w:val="28"/>
        </w:rPr>
        <w:t xml:space="preserve"> stroke</w:t>
      </w:r>
      <w:r>
        <w:rPr>
          <w:rFonts w:ascii="Times New Roman" w:hAnsi="Times New Roman" w:cs="Times New Roman"/>
          <w:sz w:val="28"/>
          <w:szCs w:val="28"/>
        </w:rPr>
        <w:t xml:space="preserve"> (</w:t>
      </w:r>
      <w:proofErr w:type="spellStart"/>
      <w:r w:rsidRPr="008823A9">
        <w:rPr>
          <w:rFonts w:ascii="Times New Roman" w:hAnsi="Times New Roman" w:cs="Times New Roman"/>
          <w:sz w:val="28"/>
          <w:szCs w:val="28"/>
        </w:rPr>
        <w:t>Rantakomi</w:t>
      </w:r>
      <w:proofErr w:type="spellEnd"/>
      <w:r w:rsidRPr="008823A9">
        <w:rPr>
          <w:rFonts w:ascii="Times New Roman" w:hAnsi="Times New Roman" w:cs="Times New Roman"/>
          <w:sz w:val="28"/>
          <w:szCs w:val="28"/>
        </w:rPr>
        <w:t xml:space="preserve"> </w:t>
      </w:r>
      <w:r w:rsidR="006A2145">
        <w:rPr>
          <w:rFonts w:ascii="Times New Roman" w:hAnsi="Times New Roman" w:cs="Times New Roman"/>
          <w:sz w:val="28"/>
          <w:szCs w:val="28"/>
        </w:rPr>
        <w:t>et al.</w:t>
      </w:r>
      <w:r w:rsidRPr="008823A9">
        <w:rPr>
          <w:rFonts w:ascii="Times New Roman" w:hAnsi="Times New Roman" w:cs="Times New Roman"/>
          <w:sz w:val="28"/>
          <w:szCs w:val="28"/>
        </w:rPr>
        <w:t>,</w:t>
      </w:r>
      <w:r w:rsidR="006A2145">
        <w:rPr>
          <w:rFonts w:ascii="Times New Roman" w:hAnsi="Times New Roman" w:cs="Times New Roman"/>
          <w:sz w:val="28"/>
          <w:szCs w:val="28"/>
        </w:rPr>
        <w:t>2013</w:t>
      </w:r>
      <w:r w:rsidR="005D6B2E">
        <w:rPr>
          <w:rFonts w:ascii="Times New Roman" w:hAnsi="Times New Roman" w:cs="Times New Roman"/>
          <w:sz w:val="28"/>
          <w:szCs w:val="28"/>
        </w:rPr>
        <w:t xml:space="preserve">; </w:t>
      </w:r>
      <w:r w:rsidRPr="008823A9">
        <w:rPr>
          <w:rFonts w:ascii="Times New Roman" w:hAnsi="Times New Roman" w:cs="Times New Roman"/>
          <w:sz w:val="28"/>
          <w:szCs w:val="28"/>
        </w:rPr>
        <w:t xml:space="preserve">Taylor </w:t>
      </w:r>
      <w:r w:rsidR="005D6B2E">
        <w:rPr>
          <w:rFonts w:ascii="Times New Roman" w:hAnsi="Times New Roman" w:cs="Times New Roman"/>
          <w:sz w:val="28"/>
          <w:szCs w:val="28"/>
        </w:rPr>
        <w:t>et al.</w:t>
      </w:r>
      <w:r w:rsidRPr="008823A9">
        <w:rPr>
          <w:rFonts w:ascii="Times New Roman" w:hAnsi="Times New Roman" w:cs="Times New Roman"/>
          <w:sz w:val="28"/>
          <w:szCs w:val="28"/>
        </w:rPr>
        <w:t>,</w:t>
      </w:r>
      <w:r w:rsidR="005D6B2E">
        <w:rPr>
          <w:rFonts w:ascii="Times New Roman" w:hAnsi="Times New Roman" w:cs="Times New Roman"/>
          <w:sz w:val="28"/>
          <w:szCs w:val="28"/>
        </w:rPr>
        <w:t>2009</w:t>
      </w:r>
      <w:r w:rsidR="000B10E2">
        <w:rPr>
          <w:rFonts w:ascii="Times New Roman" w:hAnsi="Times New Roman" w:cs="Times New Roman"/>
          <w:sz w:val="28"/>
          <w:szCs w:val="28"/>
        </w:rPr>
        <w:t xml:space="preserve">; </w:t>
      </w:r>
      <w:r w:rsidRPr="004A05B0">
        <w:rPr>
          <w:rFonts w:ascii="Times New Roman" w:hAnsi="Times New Roman" w:cs="Times New Roman"/>
          <w:sz w:val="28"/>
          <w:szCs w:val="28"/>
        </w:rPr>
        <w:t>GBD 2019 Risk Factors Collaborators, 2020). Illicit substances such as cocaine, amphetamines, and opioids markedly increase stroke risk, particularly in younger individuals, through mechanisms including vasospasm, hypertension, arrhythmias, and hypercoagulability (Westover et al., 2017).</w:t>
      </w:r>
    </w:p>
    <w:p w14:paraId="17ACC881" w14:textId="22E945B9"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b/>
          <w:bCs/>
          <w:sz w:val="28"/>
          <w:szCs w:val="28"/>
        </w:rPr>
        <w:t>Inflammation, Infection, and Stroke Triggers</w:t>
      </w:r>
      <w:r w:rsidRPr="004A05B0">
        <w:rPr>
          <w:rFonts w:ascii="Times New Roman" w:hAnsi="Times New Roman" w:cs="Times New Roman"/>
          <w:sz w:val="28"/>
          <w:szCs w:val="28"/>
        </w:rPr>
        <w:br/>
        <w:t xml:space="preserve">Chronic inflammation has emerged as an important contributor to stroke risk, with elevated inflammatory biomarkers associated with increased ischemic stroke incidence </w:t>
      </w:r>
      <w:r>
        <w:rPr>
          <w:rFonts w:ascii="Times New Roman" w:hAnsi="Times New Roman" w:cs="Times New Roman"/>
          <w:sz w:val="28"/>
          <w:szCs w:val="28"/>
        </w:rPr>
        <w:t>(</w:t>
      </w:r>
      <w:r w:rsidRPr="00937DB6">
        <w:rPr>
          <w:rFonts w:ascii="Times New Roman" w:hAnsi="Times New Roman" w:cs="Times New Roman"/>
          <w:sz w:val="28"/>
          <w:szCs w:val="28"/>
        </w:rPr>
        <w:t xml:space="preserve">Emerging Risk Factors C. </w:t>
      </w:r>
      <w:proofErr w:type="spellStart"/>
      <w:r w:rsidRPr="00937DB6">
        <w:rPr>
          <w:rFonts w:ascii="Times New Roman" w:hAnsi="Times New Roman" w:cs="Times New Roman"/>
          <w:sz w:val="28"/>
          <w:szCs w:val="28"/>
        </w:rPr>
        <w:t>Kaptoge</w:t>
      </w:r>
      <w:proofErr w:type="spellEnd"/>
      <w:r w:rsidRPr="00937DB6">
        <w:rPr>
          <w:rFonts w:ascii="Times New Roman" w:hAnsi="Times New Roman" w:cs="Times New Roman"/>
          <w:sz w:val="28"/>
          <w:szCs w:val="28"/>
        </w:rPr>
        <w:t xml:space="preserve"> </w:t>
      </w:r>
      <w:r w:rsidR="001677E6">
        <w:rPr>
          <w:rFonts w:ascii="Times New Roman" w:hAnsi="Times New Roman" w:cs="Times New Roman"/>
          <w:sz w:val="28"/>
          <w:szCs w:val="28"/>
        </w:rPr>
        <w:t>et al.</w:t>
      </w:r>
      <w:r w:rsidRPr="00937DB6">
        <w:rPr>
          <w:rFonts w:ascii="Times New Roman" w:hAnsi="Times New Roman" w:cs="Times New Roman"/>
          <w:sz w:val="28"/>
          <w:szCs w:val="28"/>
        </w:rPr>
        <w:t>,</w:t>
      </w:r>
      <w:r w:rsidR="001677E6">
        <w:rPr>
          <w:rFonts w:ascii="Times New Roman" w:hAnsi="Times New Roman" w:cs="Times New Roman"/>
          <w:sz w:val="28"/>
          <w:szCs w:val="28"/>
        </w:rPr>
        <w:t>2010;</w:t>
      </w:r>
      <w:r w:rsidRPr="00937DB6">
        <w:rPr>
          <w:rFonts w:ascii="Times New Roman" w:hAnsi="Times New Roman" w:cs="Times New Roman"/>
          <w:sz w:val="28"/>
          <w:szCs w:val="28"/>
        </w:rPr>
        <w:t xml:space="preserve"> </w:t>
      </w:r>
      <w:proofErr w:type="spellStart"/>
      <w:r w:rsidRPr="004A05B0">
        <w:rPr>
          <w:rFonts w:ascii="Times New Roman" w:hAnsi="Times New Roman" w:cs="Times New Roman"/>
          <w:sz w:val="28"/>
          <w:szCs w:val="28"/>
        </w:rPr>
        <w:t>Ridker</w:t>
      </w:r>
      <w:proofErr w:type="spellEnd"/>
      <w:r w:rsidRPr="004A05B0">
        <w:rPr>
          <w:rFonts w:ascii="Times New Roman" w:hAnsi="Times New Roman" w:cs="Times New Roman"/>
          <w:sz w:val="28"/>
          <w:szCs w:val="28"/>
        </w:rPr>
        <w:t xml:space="preserve"> et al., 2017). Acute infections may act as short-term triggers for stroke, particularly in individuals with underlying vascular disease (Elkind et al., 2020). Hospitalization for infection has been associated with a transient increase in stroke risk, with the highest risk occurring in the weeks following infection (Elkind et al., 2020). Vaccination against influenza has been linked to </w:t>
      </w:r>
      <w:r>
        <w:rPr>
          <w:rFonts w:ascii="Times New Roman" w:hAnsi="Times New Roman" w:cs="Times New Roman"/>
          <w:sz w:val="28"/>
          <w:szCs w:val="28"/>
        </w:rPr>
        <w:t>a reduced incidence of stroke</w:t>
      </w:r>
      <w:r w:rsidRPr="004A05B0">
        <w:rPr>
          <w:rFonts w:ascii="Times New Roman" w:hAnsi="Times New Roman" w:cs="Times New Roman"/>
          <w:sz w:val="28"/>
          <w:szCs w:val="28"/>
        </w:rPr>
        <w:t>, supporting the role of infection-related inflammation in stroke pathogenesis (Modin et al., 2019).</w:t>
      </w:r>
    </w:p>
    <w:p w14:paraId="5A94C731" w14:textId="09D97EE6" w:rsidR="00200A64" w:rsidRPr="004A05B0" w:rsidRDefault="00200A64" w:rsidP="00200A64">
      <w:pPr>
        <w:rPr>
          <w:rFonts w:ascii="Times New Roman" w:hAnsi="Times New Roman" w:cs="Times New Roman"/>
          <w:sz w:val="28"/>
          <w:szCs w:val="28"/>
        </w:rPr>
      </w:pPr>
      <w:r w:rsidRPr="004A05B0">
        <w:rPr>
          <w:rFonts w:ascii="Times New Roman" w:hAnsi="Times New Roman" w:cs="Times New Roman"/>
          <w:sz w:val="28"/>
          <w:szCs w:val="28"/>
        </w:rPr>
        <w:t>Stroke risk arises from the cumulative and interactive effects of non-modifiable factors</w:t>
      </w:r>
      <w:r>
        <w:rPr>
          <w:rFonts w:ascii="Times New Roman" w:hAnsi="Times New Roman" w:cs="Times New Roman"/>
          <w:sz w:val="28"/>
          <w:szCs w:val="28"/>
        </w:rPr>
        <w:t>, such as age, sex, ethnicity, and genetics, as well as</w:t>
      </w:r>
      <w:r w:rsidRPr="004A05B0">
        <w:rPr>
          <w:rFonts w:ascii="Times New Roman" w:hAnsi="Times New Roman" w:cs="Times New Roman"/>
          <w:sz w:val="28"/>
          <w:szCs w:val="28"/>
        </w:rPr>
        <w:t xml:space="preserve"> a wide range of modifiable medical and lifestyle-related determinants (Feigin et al., 2017). Among these, hypertension remains the most influential contributor, followed by diabetes, cardiac disease, smoking, </w:t>
      </w:r>
      <w:proofErr w:type="spellStart"/>
      <w:r w:rsidRPr="004A05B0">
        <w:rPr>
          <w:rFonts w:ascii="Times New Roman" w:hAnsi="Times New Roman" w:cs="Times New Roman"/>
          <w:sz w:val="28"/>
          <w:szCs w:val="28"/>
        </w:rPr>
        <w:t>dyslipidemia</w:t>
      </w:r>
      <w:proofErr w:type="spellEnd"/>
      <w:r w:rsidRPr="004A05B0">
        <w:rPr>
          <w:rFonts w:ascii="Times New Roman" w:hAnsi="Times New Roman" w:cs="Times New Roman"/>
          <w:sz w:val="28"/>
          <w:szCs w:val="28"/>
        </w:rPr>
        <w:t xml:space="preserve">, and obesity (O’Donnell et al., 2016; WHO, 2019). Recognition of both long-term risk factors and short-term triggers provides a comprehensive framework for stroke prevention. </w:t>
      </w:r>
      <w:r>
        <w:rPr>
          <w:rFonts w:ascii="Times New Roman" w:hAnsi="Times New Roman" w:cs="Times New Roman"/>
          <w:sz w:val="28"/>
          <w:szCs w:val="28"/>
        </w:rPr>
        <w:t>(</w:t>
      </w:r>
      <w:r w:rsidRPr="00E329B0">
        <w:rPr>
          <w:rFonts w:ascii="Times New Roman" w:hAnsi="Times New Roman" w:cs="Times New Roman"/>
          <w:sz w:val="28"/>
          <w:szCs w:val="28"/>
        </w:rPr>
        <w:t xml:space="preserve">Elkind </w:t>
      </w:r>
      <w:r w:rsidR="00FD0269">
        <w:rPr>
          <w:rFonts w:ascii="Times New Roman" w:hAnsi="Times New Roman" w:cs="Times New Roman"/>
          <w:sz w:val="28"/>
          <w:szCs w:val="28"/>
        </w:rPr>
        <w:t xml:space="preserve">2007) </w:t>
      </w:r>
      <w:r w:rsidRPr="004A05B0">
        <w:rPr>
          <w:rFonts w:ascii="Times New Roman" w:hAnsi="Times New Roman" w:cs="Times New Roman"/>
          <w:sz w:val="28"/>
          <w:szCs w:val="28"/>
        </w:rPr>
        <w:t xml:space="preserve">Effective population-based and individual-level interventions targeting modifiable risk factors offer the greatest potential to reduce the </w:t>
      </w:r>
      <w:r w:rsidRPr="004A05B0">
        <w:rPr>
          <w:rFonts w:ascii="Times New Roman" w:hAnsi="Times New Roman" w:cs="Times New Roman"/>
          <w:sz w:val="28"/>
          <w:szCs w:val="28"/>
        </w:rPr>
        <w:lastRenderedPageBreak/>
        <w:t>growing global burden of stroke (WHO, 2019; GBD 2021 Stroke Collaborators, 2023).</w:t>
      </w:r>
    </w:p>
    <w:p w14:paraId="18AA83D6" w14:textId="77777777" w:rsidR="00200A64" w:rsidRPr="00CD18F2" w:rsidRDefault="00200A64" w:rsidP="00200A64">
      <w:pPr>
        <w:rPr>
          <w:rFonts w:ascii="Times New Roman" w:hAnsi="Times New Roman" w:cs="Times New Roman"/>
          <w:sz w:val="28"/>
          <w:szCs w:val="28"/>
        </w:rPr>
      </w:pPr>
    </w:p>
    <w:p w14:paraId="609064D5"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67D317BB">
          <v:rect id="_x0000_i1036" style="width:0;height:1.5pt" o:hralign="center" o:hrstd="t" o:hr="t" fillcolor="#a0a0a0" stroked="f"/>
        </w:pict>
      </w:r>
    </w:p>
    <w:p w14:paraId="1E793325" w14:textId="77777777" w:rsidR="00200A64"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12. Pathogenesis of Stroke</w:t>
      </w:r>
    </w:p>
    <w:p w14:paraId="73F5E9EC"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 xml:space="preserve">Ischemic stroke accounts for the majority of stroke cases and primarily results from cerebral small vessel disease, </w:t>
      </w:r>
      <w:proofErr w:type="spellStart"/>
      <w:r w:rsidRPr="00AB325A">
        <w:rPr>
          <w:rFonts w:ascii="Times New Roman" w:hAnsi="Times New Roman" w:cs="Times New Roman"/>
          <w:sz w:val="28"/>
          <w:szCs w:val="28"/>
        </w:rPr>
        <w:t>cardioembolism</w:t>
      </w:r>
      <w:proofErr w:type="spellEnd"/>
      <w:r w:rsidRPr="00AB325A">
        <w:rPr>
          <w:rFonts w:ascii="Times New Roman" w:hAnsi="Times New Roman" w:cs="Times New Roman"/>
          <w:sz w:val="28"/>
          <w:szCs w:val="28"/>
        </w:rPr>
        <w:t>, or large artery atherosclerosis (Donnan et al., 2008; Powers et al., 2019).</w:t>
      </w:r>
    </w:p>
    <w:p w14:paraId="3C1BEBDC"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 xml:space="preserve">Cerebral small vessel disease affects deep perforating arteries and contributes substantially to ischemic stroke, spontaneous intracerebral </w:t>
      </w:r>
      <w:proofErr w:type="spellStart"/>
      <w:r w:rsidRPr="00AB325A">
        <w:rPr>
          <w:rFonts w:ascii="Times New Roman" w:hAnsi="Times New Roman" w:cs="Times New Roman"/>
          <w:sz w:val="28"/>
          <w:szCs w:val="28"/>
        </w:rPr>
        <w:t>hemorrhage</w:t>
      </w:r>
      <w:proofErr w:type="spellEnd"/>
      <w:r w:rsidRPr="00AB325A">
        <w:rPr>
          <w:rFonts w:ascii="Times New Roman" w:hAnsi="Times New Roman" w:cs="Times New Roman"/>
          <w:sz w:val="28"/>
          <w:szCs w:val="28"/>
        </w:rPr>
        <w:t xml:space="preserve">, and vascular cognitive impairment or dementia (Wardlaw et al., 2019; </w:t>
      </w:r>
      <w:proofErr w:type="spellStart"/>
      <w:r w:rsidRPr="00AB325A">
        <w:rPr>
          <w:rFonts w:ascii="Times New Roman" w:hAnsi="Times New Roman" w:cs="Times New Roman"/>
          <w:sz w:val="28"/>
          <w:szCs w:val="28"/>
        </w:rPr>
        <w:t>Iadecola</w:t>
      </w:r>
      <w:proofErr w:type="spellEnd"/>
      <w:r w:rsidRPr="00AB325A">
        <w:rPr>
          <w:rFonts w:ascii="Times New Roman" w:hAnsi="Times New Roman" w:cs="Times New Roman"/>
          <w:sz w:val="28"/>
          <w:szCs w:val="28"/>
        </w:rPr>
        <w:t>, 2013).</w:t>
      </w:r>
    </w:p>
    <w:p w14:paraId="16342AC5"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Cardioembolic stroke, most commonly associated with atrial fibrillation, is characterized by sudden vessel occlusion and carries a particularly high risk of severe neurological disability and mortality (Banerjee et al., 2018; Powers et al., 2019).</w:t>
      </w:r>
    </w:p>
    <w:p w14:paraId="6A5984DB"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Large artery disease involves progressive atherosclerosis, plaque rupture, in situ thrombosis, and distal embolization, most frequently arising from the extracranial carotid arteries (Caplan, 2016; O’Donnell et al., 2016).</w:t>
      </w:r>
    </w:p>
    <w:p w14:paraId="074AB5BB" w14:textId="77777777" w:rsidR="00AB325A" w:rsidRPr="00AB325A" w:rsidRDefault="00AB325A" w:rsidP="00AB325A">
      <w:pPr>
        <w:rPr>
          <w:rFonts w:ascii="Times New Roman" w:hAnsi="Times New Roman" w:cs="Times New Roman"/>
          <w:sz w:val="28"/>
          <w:szCs w:val="28"/>
        </w:rPr>
      </w:pPr>
      <w:r w:rsidRPr="00AB325A">
        <w:rPr>
          <w:rFonts w:ascii="Times New Roman" w:hAnsi="Times New Roman" w:cs="Times New Roman"/>
          <w:sz w:val="28"/>
          <w:szCs w:val="28"/>
        </w:rPr>
        <w:t xml:space="preserve">Intracerebral </w:t>
      </w:r>
      <w:proofErr w:type="spellStart"/>
      <w:r w:rsidRPr="00AB325A">
        <w:rPr>
          <w:rFonts w:ascii="Times New Roman" w:hAnsi="Times New Roman" w:cs="Times New Roman"/>
          <w:sz w:val="28"/>
          <w:szCs w:val="28"/>
        </w:rPr>
        <w:t>hemorrhage</w:t>
      </w:r>
      <w:proofErr w:type="spellEnd"/>
      <w:r w:rsidRPr="00AB325A">
        <w:rPr>
          <w:rFonts w:ascii="Times New Roman" w:hAnsi="Times New Roman" w:cs="Times New Roman"/>
          <w:sz w:val="28"/>
          <w:szCs w:val="28"/>
        </w:rPr>
        <w:t xml:space="preserve"> results from rupture of small cerebral vessels, most commonly related to hypertensive small vessel arteriopathy or cerebral amyloid angiopathy, leading to rapid neurological deterioration and high early mortality (Qureshi et al., 2009; Greenberg et al., 2022).</w:t>
      </w:r>
    </w:p>
    <w:p w14:paraId="7D75B596" w14:textId="77777777" w:rsidR="00AB325A" w:rsidRPr="00AB325A" w:rsidRDefault="00AB325A" w:rsidP="00200A64">
      <w:pPr>
        <w:rPr>
          <w:rFonts w:ascii="Times New Roman" w:hAnsi="Times New Roman" w:cs="Times New Roman"/>
          <w:sz w:val="28"/>
          <w:szCs w:val="28"/>
        </w:rPr>
      </w:pPr>
    </w:p>
    <w:p w14:paraId="1E7AD004"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28425440">
          <v:rect id="_x0000_i1037" style="width:0;height:1.5pt" o:hralign="center" o:hrstd="t" o:hr="t" fillcolor="#a0a0a0" stroked="f"/>
        </w:pict>
      </w:r>
    </w:p>
    <w:p w14:paraId="688ADFD9"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13. Ischemic Core and Penumbra</w:t>
      </w:r>
    </w:p>
    <w:p w14:paraId="32BA8317" w14:textId="03AC43D5"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Acute ischemic stroke produces a central infarct core characterized by critically reduced cerebral blood flow and irreversible tissue injury</w:t>
      </w:r>
      <w:r>
        <w:rPr>
          <w:rFonts w:ascii="Times New Roman" w:hAnsi="Times New Roman" w:cs="Times New Roman"/>
          <w:sz w:val="28"/>
          <w:szCs w:val="28"/>
        </w:rPr>
        <w:t xml:space="preserve"> (</w:t>
      </w:r>
      <w:r w:rsidRPr="00255D90">
        <w:rPr>
          <w:rFonts w:ascii="Times New Roman" w:hAnsi="Times New Roman" w:cs="Times New Roman"/>
          <w:sz w:val="28"/>
          <w:szCs w:val="28"/>
        </w:rPr>
        <w:t xml:space="preserve">Lo </w:t>
      </w:r>
      <w:r w:rsidR="005C5D90">
        <w:rPr>
          <w:rFonts w:ascii="Times New Roman" w:hAnsi="Times New Roman" w:cs="Times New Roman"/>
          <w:sz w:val="28"/>
          <w:szCs w:val="28"/>
        </w:rPr>
        <w:t>et al.</w:t>
      </w:r>
      <w:r w:rsidRPr="00255D90">
        <w:rPr>
          <w:rFonts w:ascii="Times New Roman" w:hAnsi="Times New Roman" w:cs="Times New Roman"/>
          <w:sz w:val="28"/>
          <w:szCs w:val="28"/>
        </w:rPr>
        <w:t>,</w:t>
      </w:r>
      <w:r w:rsidR="005C5D90">
        <w:rPr>
          <w:rFonts w:ascii="Times New Roman" w:hAnsi="Times New Roman" w:cs="Times New Roman"/>
          <w:sz w:val="28"/>
          <w:szCs w:val="28"/>
        </w:rPr>
        <w:t>2003).</w:t>
      </w:r>
      <w:r w:rsidRPr="00CD18F2">
        <w:rPr>
          <w:rFonts w:ascii="Times New Roman" w:hAnsi="Times New Roman" w:cs="Times New Roman"/>
          <w:sz w:val="28"/>
          <w:szCs w:val="28"/>
        </w:rPr>
        <w:t xml:space="preserve"> </w:t>
      </w:r>
      <w:r w:rsidR="00587C44" w:rsidRPr="00587C44">
        <w:rPr>
          <w:rFonts w:ascii="Times New Roman" w:hAnsi="Times New Roman" w:cs="Times New Roman"/>
          <w:sz w:val="28"/>
          <w:szCs w:val="28"/>
        </w:rPr>
        <w:t xml:space="preserve"> The ischemic penumbra, a region of </w:t>
      </w:r>
      <w:proofErr w:type="spellStart"/>
      <w:r w:rsidR="00587C44" w:rsidRPr="00587C44">
        <w:rPr>
          <w:rFonts w:ascii="Times New Roman" w:hAnsi="Times New Roman" w:cs="Times New Roman"/>
          <w:sz w:val="28"/>
          <w:szCs w:val="28"/>
        </w:rPr>
        <w:t>hypoperfused</w:t>
      </w:r>
      <w:proofErr w:type="spellEnd"/>
      <w:r w:rsidR="00587C44" w:rsidRPr="00587C44">
        <w:rPr>
          <w:rFonts w:ascii="Times New Roman" w:hAnsi="Times New Roman" w:cs="Times New Roman"/>
          <w:sz w:val="28"/>
          <w:szCs w:val="28"/>
        </w:rPr>
        <w:t xml:space="preserve"> but possibly salvageable tissue sustained by residual and collateral blood flow, encircles this core. In the absence of prompt reperfusion, the infarct core gradually spreads into the penumbra. (Mansour 2023). Individual cerebrovascular reserve and collateral circulation have a significant impact on the penumbra's size and persistence. (Heiss &amp; Graf, 1994).</w:t>
      </w:r>
    </w:p>
    <w:p w14:paraId="3843DB7A"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lastRenderedPageBreak/>
        <w:pict w14:anchorId="13A6E3A2">
          <v:rect id="_x0000_i1038" style="width:0;height:1.5pt" o:hralign="center" o:hrstd="t" o:hr="t" fillcolor="#a0a0a0" stroked="f"/>
        </w:pict>
      </w:r>
    </w:p>
    <w:p w14:paraId="1E47B429" w14:textId="77777777" w:rsidR="00200A64" w:rsidRPr="00CD18F2"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14. Imaging-Based Assessment of Tissue Viability</w:t>
      </w:r>
    </w:p>
    <w:p w14:paraId="3FD73E65" w14:textId="0587F72B" w:rsidR="00200A64" w:rsidRPr="00CD18F2" w:rsidRDefault="00200A64" w:rsidP="00200A64">
      <w:pPr>
        <w:rPr>
          <w:rFonts w:ascii="Times New Roman" w:hAnsi="Times New Roman" w:cs="Times New Roman"/>
          <w:sz w:val="28"/>
          <w:szCs w:val="28"/>
        </w:rPr>
      </w:pPr>
      <w:r w:rsidRPr="00CD18F2">
        <w:rPr>
          <w:rFonts w:ascii="Times New Roman" w:hAnsi="Times New Roman" w:cs="Times New Roman"/>
          <w:sz w:val="28"/>
          <w:szCs w:val="28"/>
        </w:rPr>
        <w:t xml:space="preserve">Advanced neuroimaging techniques allow differentiation between irreversibly damaged core tissue and salvageable penumbra. Diffusion-weighted imaging detects early cytotoxic </w:t>
      </w:r>
      <w:proofErr w:type="spellStart"/>
      <w:r w:rsidRPr="00CD18F2">
        <w:rPr>
          <w:rFonts w:ascii="Times New Roman" w:hAnsi="Times New Roman" w:cs="Times New Roman"/>
          <w:sz w:val="28"/>
          <w:szCs w:val="28"/>
        </w:rPr>
        <w:t>edema</w:t>
      </w:r>
      <w:proofErr w:type="spellEnd"/>
      <w:r w:rsidRPr="00CD18F2">
        <w:rPr>
          <w:rFonts w:ascii="Times New Roman" w:hAnsi="Times New Roman" w:cs="Times New Roman"/>
          <w:sz w:val="28"/>
          <w:szCs w:val="28"/>
        </w:rPr>
        <w:t xml:space="preserve">, while perfusion imaging identifies </w:t>
      </w:r>
      <w:proofErr w:type="spellStart"/>
      <w:r w:rsidRPr="00CD18F2">
        <w:rPr>
          <w:rFonts w:ascii="Times New Roman" w:hAnsi="Times New Roman" w:cs="Times New Roman"/>
          <w:sz w:val="28"/>
          <w:szCs w:val="28"/>
        </w:rPr>
        <w:t>hypoperfused</w:t>
      </w:r>
      <w:proofErr w:type="spellEnd"/>
      <w:r w:rsidRPr="00CD18F2">
        <w:rPr>
          <w:rFonts w:ascii="Times New Roman" w:hAnsi="Times New Roman" w:cs="Times New Roman"/>
          <w:sz w:val="28"/>
          <w:szCs w:val="28"/>
        </w:rPr>
        <w:t xml:space="preserve"> regions at risk. </w:t>
      </w:r>
      <w:r>
        <w:rPr>
          <w:rFonts w:ascii="Times New Roman" w:hAnsi="Times New Roman" w:cs="Times New Roman"/>
          <w:sz w:val="28"/>
          <w:szCs w:val="28"/>
        </w:rPr>
        <w:t>(</w:t>
      </w:r>
      <w:r w:rsidRPr="002B3D10">
        <w:rPr>
          <w:rFonts w:ascii="Times New Roman" w:hAnsi="Times New Roman" w:cs="Times New Roman"/>
          <w:sz w:val="28"/>
          <w:szCs w:val="28"/>
        </w:rPr>
        <w:t xml:space="preserve">Thomalla </w:t>
      </w:r>
      <w:r w:rsidR="00EB0051">
        <w:rPr>
          <w:rFonts w:ascii="Times New Roman" w:hAnsi="Times New Roman" w:cs="Times New Roman"/>
          <w:sz w:val="28"/>
          <w:szCs w:val="28"/>
        </w:rPr>
        <w:t>et al.</w:t>
      </w:r>
      <w:r w:rsidRPr="002B3D10">
        <w:rPr>
          <w:rFonts w:ascii="Times New Roman" w:hAnsi="Times New Roman" w:cs="Times New Roman"/>
          <w:sz w:val="28"/>
          <w:szCs w:val="28"/>
        </w:rPr>
        <w:t>,</w:t>
      </w:r>
      <w:r w:rsidR="00EB0051">
        <w:rPr>
          <w:rFonts w:ascii="Times New Roman" w:hAnsi="Times New Roman" w:cs="Times New Roman"/>
          <w:sz w:val="28"/>
          <w:szCs w:val="28"/>
        </w:rPr>
        <w:t>2011).</w:t>
      </w:r>
      <w:r w:rsidR="00AB325A">
        <w:rPr>
          <w:rFonts w:ascii="Times New Roman" w:hAnsi="Times New Roman" w:cs="Times New Roman"/>
          <w:sz w:val="28"/>
          <w:szCs w:val="28"/>
        </w:rPr>
        <w:t xml:space="preserve"> </w:t>
      </w:r>
      <w:r w:rsidRPr="00CD18F2">
        <w:rPr>
          <w:rFonts w:ascii="Times New Roman" w:hAnsi="Times New Roman" w:cs="Times New Roman"/>
          <w:sz w:val="28"/>
          <w:szCs w:val="28"/>
        </w:rPr>
        <w:t>The extent and reliability of collateral circulation, particularly through the Circle of Willis and leptomeningeal vessels, strongly influence imaging patterns and guide reperfusion therapy.</w:t>
      </w:r>
    </w:p>
    <w:p w14:paraId="3F8176B1"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0477832A">
          <v:rect id="_x0000_i1039" style="width:0;height:1.5pt" o:hralign="center" o:hrstd="t" o:hr="t" fillcolor="#a0a0a0" stroked="f"/>
        </w:pict>
      </w:r>
    </w:p>
    <w:p w14:paraId="66B4E6FB" w14:textId="77777777" w:rsidR="00CF6AF6"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15</w:t>
      </w:r>
      <w:r>
        <w:rPr>
          <w:rFonts w:ascii="Times New Roman" w:hAnsi="Times New Roman" w:cs="Times New Roman"/>
          <w:b/>
          <w:bCs/>
          <w:sz w:val="28"/>
          <w:szCs w:val="28"/>
        </w:rPr>
        <w:t xml:space="preserve"> </w:t>
      </w:r>
      <w:r w:rsidRPr="00597526">
        <w:rPr>
          <w:rFonts w:ascii="Times New Roman" w:hAnsi="Times New Roman" w:cs="Times New Roman"/>
          <w:b/>
          <w:bCs/>
          <w:sz w:val="28"/>
          <w:szCs w:val="28"/>
        </w:rPr>
        <w:t xml:space="preserve">Stroke Localization by Vascular Territory </w:t>
      </w:r>
    </w:p>
    <w:p w14:paraId="4BE516EE" w14:textId="5FA3C28E"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Stroke localization is based on defined vascular territories and their associated neuroanatomical pathways, which together determine the pattern of neurological deficits observed clinically (Harrigan &amp; </w:t>
      </w:r>
      <w:proofErr w:type="spellStart"/>
      <w:r w:rsidRPr="00597526">
        <w:rPr>
          <w:rFonts w:ascii="Times New Roman" w:hAnsi="Times New Roman" w:cs="Times New Roman"/>
          <w:sz w:val="28"/>
          <w:szCs w:val="28"/>
        </w:rPr>
        <w:t>Deveikis</w:t>
      </w:r>
      <w:proofErr w:type="spellEnd"/>
      <w:r w:rsidRPr="00597526">
        <w:rPr>
          <w:rFonts w:ascii="Times New Roman" w:hAnsi="Times New Roman" w:cs="Times New Roman"/>
          <w:sz w:val="28"/>
          <w:szCs w:val="28"/>
        </w:rPr>
        <w:t xml:space="preserve">, 2013; </w:t>
      </w:r>
      <w:proofErr w:type="spellStart"/>
      <w:r w:rsidRPr="00597526">
        <w:rPr>
          <w:rFonts w:ascii="Times New Roman" w:hAnsi="Times New Roman" w:cs="Times New Roman"/>
          <w:sz w:val="28"/>
          <w:szCs w:val="28"/>
        </w:rPr>
        <w:t>Menshawi</w:t>
      </w:r>
      <w:proofErr w:type="spellEnd"/>
      <w:r w:rsidRPr="00597526">
        <w:rPr>
          <w:rFonts w:ascii="Times New Roman" w:hAnsi="Times New Roman" w:cs="Times New Roman"/>
          <w:sz w:val="28"/>
          <w:szCs w:val="28"/>
        </w:rPr>
        <w:t xml:space="preserve"> et al., 2015). </w:t>
      </w:r>
      <w:r w:rsidR="00931FC9" w:rsidRPr="00931FC9">
        <w:rPr>
          <w:rFonts w:ascii="Times New Roman" w:hAnsi="Times New Roman" w:cs="Times New Roman"/>
          <w:sz w:val="28"/>
          <w:szCs w:val="28"/>
        </w:rPr>
        <w:t xml:space="preserve">Because the medial frontal lobes are involved, infarction in the anterior cerebral artery territory usually causes contralateral lower limb weakness, gait abnormalities, urine incontinence, and </w:t>
      </w:r>
      <w:proofErr w:type="spellStart"/>
      <w:r w:rsidR="00931FC9" w:rsidRPr="00931FC9">
        <w:rPr>
          <w:rFonts w:ascii="Times New Roman" w:hAnsi="Times New Roman" w:cs="Times New Roman"/>
          <w:sz w:val="28"/>
          <w:szCs w:val="28"/>
        </w:rPr>
        <w:t>behavioral</w:t>
      </w:r>
      <w:proofErr w:type="spellEnd"/>
      <w:r w:rsidR="00931FC9" w:rsidRPr="00931FC9">
        <w:rPr>
          <w:rFonts w:ascii="Times New Roman" w:hAnsi="Times New Roman" w:cs="Times New Roman"/>
          <w:sz w:val="28"/>
          <w:szCs w:val="28"/>
        </w:rPr>
        <w:t xml:space="preserve"> or executive dysfunction</w:t>
      </w:r>
      <w:r w:rsidR="00931FC9">
        <w:rPr>
          <w:rFonts w:ascii="Times New Roman" w:hAnsi="Times New Roman" w:cs="Times New Roman"/>
          <w:sz w:val="28"/>
          <w:szCs w:val="28"/>
        </w:rPr>
        <w:t xml:space="preserve"> </w:t>
      </w:r>
      <w:r w:rsidR="00931FC9" w:rsidRPr="00931FC9">
        <w:rPr>
          <w:rFonts w:ascii="Times New Roman" w:hAnsi="Times New Roman" w:cs="Times New Roman"/>
          <w:sz w:val="28"/>
          <w:szCs w:val="28"/>
        </w:rPr>
        <w:t xml:space="preserve">(Caplan, 2016; Banerjee et al., 2018). Because the middle cerebral artery supplies a large amount of cortical and subcortical territory, it frequently manifests as early facial and upper limb weakness, sensory loss, aphasia in dominant hemisphere involvement, or </w:t>
      </w:r>
      <w:proofErr w:type="spellStart"/>
      <w:r w:rsidR="00931FC9" w:rsidRPr="00931FC9">
        <w:rPr>
          <w:rFonts w:ascii="Times New Roman" w:hAnsi="Times New Roman" w:cs="Times New Roman"/>
          <w:sz w:val="28"/>
          <w:szCs w:val="28"/>
        </w:rPr>
        <w:t>hemispatial</w:t>
      </w:r>
      <w:proofErr w:type="spellEnd"/>
      <w:r w:rsidR="00931FC9" w:rsidRPr="00931FC9">
        <w:rPr>
          <w:rFonts w:ascii="Times New Roman" w:hAnsi="Times New Roman" w:cs="Times New Roman"/>
          <w:sz w:val="28"/>
          <w:szCs w:val="28"/>
        </w:rPr>
        <w:t xml:space="preserve"> neglect in non-dominant hemisphere lesions</w:t>
      </w:r>
      <w:r w:rsidR="00931FC9">
        <w:rPr>
          <w:rFonts w:ascii="Times New Roman" w:hAnsi="Times New Roman" w:cs="Times New Roman"/>
          <w:sz w:val="28"/>
          <w:szCs w:val="28"/>
        </w:rPr>
        <w:t xml:space="preserve"> </w:t>
      </w:r>
      <w:r w:rsidR="00931FC9" w:rsidRPr="00931FC9">
        <w:rPr>
          <w:rFonts w:ascii="Times New Roman" w:hAnsi="Times New Roman" w:cs="Times New Roman"/>
          <w:sz w:val="28"/>
          <w:szCs w:val="28"/>
        </w:rPr>
        <w:t xml:space="preserve">(Donnan et al., 2008; Murphy &amp; Werring, 2020). </w:t>
      </w:r>
      <w:r w:rsidRPr="00597526">
        <w:rPr>
          <w:rFonts w:ascii="Times New Roman" w:hAnsi="Times New Roman" w:cs="Times New Roman"/>
          <w:sz w:val="28"/>
          <w:szCs w:val="28"/>
        </w:rPr>
        <w:t>Posterior cerebral artery infarction most often manifests as visual field defects, including homonymous hemianopia or cortical blindness, while vertebrobasilar strokes produce diverse brainstem and cerebellar signs such as diplopia, dysphagia, vertigo, ataxia, and altered consciousness (Banerjee et al., 2018; Caplan, 2016).</w:t>
      </w:r>
    </w:p>
    <w:p w14:paraId="2EAD8838" w14:textId="77777777" w:rsidR="00200A64" w:rsidRPr="00597526" w:rsidRDefault="00AD53E7" w:rsidP="00200A64">
      <w:pPr>
        <w:rPr>
          <w:rFonts w:ascii="Times New Roman" w:hAnsi="Times New Roman" w:cs="Times New Roman"/>
          <w:b/>
          <w:bCs/>
          <w:sz w:val="28"/>
          <w:szCs w:val="28"/>
        </w:rPr>
      </w:pPr>
      <w:r>
        <w:rPr>
          <w:rFonts w:ascii="Times New Roman" w:hAnsi="Times New Roman" w:cs="Times New Roman"/>
          <w:b/>
          <w:bCs/>
          <w:sz w:val="28"/>
          <w:szCs w:val="28"/>
        </w:rPr>
        <w:pict w14:anchorId="77EF9668">
          <v:rect id="_x0000_i1040" style="width:0;height:1.5pt" o:hralign="center" o:hrstd="t" o:hr="t" fillcolor="#a0a0a0" stroked="f"/>
        </w:pict>
      </w:r>
    </w:p>
    <w:p w14:paraId="524FAB6D" w14:textId="5FBD0E6E" w:rsidR="00200A64" w:rsidRPr="00597526" w:rsidRDefault="00303945" w:rsidP="00200A64">
      <w:pPr>
        <w:rPr>
          <w:rFonts w:ascii="Times New Roman" w:hAnsi="Times New Roman" w:cs="Times New Roman"/>
          <w:b/>
          <w:bCs/>
          <w:sz w:val="28"/>
          <w:szCs w:val="28"/>
        </w:rPr>
      </w:pPr>
      <w:r>
        <w:rPr>
          <w:rFonts w:ascii="Times New Roman" w:hAnsi="Times New Roman" w:cs="Times New Roman"/>
          <w:b/>
          <w:bCs/>
          <w:sz w:val="28"/>
          <w:szCs w:val="28"/>
        </w:rPr>
        <w:t xml:space="preserve">16. </w:t>
      </w:r>
      <w:r w:rsidR="00200A64" w:rsidRPr="00597526">
        <w:rPr>
          <w:rFonts w:ascii="Times New Roman" w:hAnsi="Times New Roman" w:cs="Times New Roman"/>
          <w:b/>
          <w:bCs/>
          <w:sz w:val="28"/>
          <w:szCs w:val="28"/>
        </w:rPr>
        <w:t xml:space="preserve">Discussion </w:t>
      </w:r>
    </w:p>
    <w:p w14:paraId="557061B1"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Stroke continues to represent a major global health burden, with ischemic stroke accounting for the majority of cases and contributing substantially to long-term disability and mortality worldwide (Feigin et al., 2017; GBD 2021 Stroke Collaborators, 2023). As highlighted in the Introduction, advances in acute stroke care have progressively shifted emphasis from rigid time-based thresholds to an integrated anatomy- and physiology-based understanding of cerebral perfusion and tissue viability (Powers et al., 2019; Liebeskind et al., 2019). In this context, the present review synthesizes current evidence on cerebrovascular anatomy, collateral circulation, and infarct dynamics to explain </w:t>
      </w:r>
      <w:r w:rsidRPr="00597526">
        <w:rPr>
          <w:rFonts w:ascii="Times New Roman" w:hAnsi="Times New Roman" w:cs="Times New Roman"/>
          <w:sz w:val="28"/>
          <w:szCs w:val="28"/>
        </w:rPr>
        <w:lastRenderedPageBreak/>
        <w:t>the marked variability in clinical presentation, progression, and outcome among patients with ischemic stroke (</w:t>
      </w:r>
      <w:proofErr w:type="spellStart"/>
      <w:r w:rsidRPr="00597526">
        <w:rPr>
          <w:rFonts w:ascii="Times New Roman" w:hAnsi="Times New Roman" w:cs="Times New Roman"/>
          <w:sz w:val="28"/>
          <w:szCs w:val="28"/>
        </w:rPr>
        <w:t>Maguida</w:t>
      </w:r>
      <w:proofErr w:type="spellEnd"/>
      <w:r w:rsidRPr="00597526">
        <w:rPr>
          <w:rFonts w:ascii="Times New Roman" w:hAnsi="Times New Roman" w:cs="Times New Roman"/>
          <w:sz w:val="28"/>
          <w:szCs w:val="28"/>
        </w:rPr>
        <w:t xml:space="preserve"> &amp; Shuaib, 2023).</w:t>
      </w:r>
    </w:p>
    <w:p w14:paraId="5360AF1F"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Cerebrovascular Anatomy as the Framework for Stroke Pathophysiology</w:t>
      </w:r>
    </w:p>
    <w:p w14:paraId="3F2B20B6" w14:textId="2360178A" w:rsidR="00200A64" w:rsidRPr="00597526" w:rsidRDefault="002C4BF4" w:rsidP="00200A64">
      <w:pPr>
        <w:rPr>
          <w:rFonts w:ascii="Times New Roman" w:hAnsi="Times New Roman" w:cs="Times New Roman"/>
          <w:sz w:val="28"/>
          <w:szCs w:val="28"/>
        </w:rPr>
      </w:pPr>
      <w:r w:rsidRPr="002C4BF4">
        <w:rPr>
          <w:rFonts w:ascii="Times New Roman" w:hAnsi="Times New Roman" w:cs="Times New Roman"/>
          <w:sz w:val="28"/>
          <w:szCs w:val="28"/>
        </w:rPr>
        <w:t>The cerebral arterial system's division into anterior and posterior circulations provides the anatomical foundation for the development of ischemic injury</w:t>
      </w:r>
      <w:r>
        <w:rPr>
          <w:rFonts w:ascii="Times New Roman" w:hAnsi="Times New Roman" w:cs="Times New Roman"/>
          <w:sz w:val="28"/>
          <w:szCs w:val="28"/>
        </w:rPr>
        <w:t xml:space="preserve"> </w:t>
      </w:r>
      <w:r w:rsidR="00200A64" w:rsidRPr="00597526">
        <w:rPr>
          <w:rFonts w:ascii="Times New Roman" w:hAnsi="Times New Roman" w:cs="Times New Roman"/>
          <w:sz w:val="28"/>
          <w:szCs w:val="28"/>
        </w:rPr>
        <w:t>(</w:t>
      </w:r>
      <w:proofErr w:type="spellStart"/>
      <w:r w:rsidR="00200A64" w:rsidRPr="00597526">
        <w:rPr>
          <w:rFonts w:ascii="Times New Roman" w:hAnsi="Times New Roman" w:cs="Times New Roman"/>
          <w:sz w:val="28"/>
          <w:szCs w:val="28"/>
        </w:rPr>
        <w:t>Menshawi</w:t>
      </w:r>
      <w:proofErr w:type="spellEnd"/>
      <w:r w:rsidR="00200A64" w:rsidRPr="00597526">
        <w:rPr>
          <w:rFonts w:ascii="Times New Roman" w:hAnsi="Times New Roman" w:cs="Times New Roman"/>
          <w:sz w:val="28"/>
          <w:szCs w:val="28"/>
        </w:rPr>
        <w:t xml:space="preserve"> et al., 2015; Harrigan &amp; </w:t>
      </w:r>
      <w:proofErr w:type="spellStart"/>
      <w:r w:rsidR="00200A64" w:rsidRPr="00597526">
        <w:rPr>
          <w:rFonts w:ascii="Times New Roman" w:hAnsi="Times New Roman" w:cs="Times New Roman"/>
          <w:sz w:val="28"/>
          <w:szCs w:val="28"/>
        </w:rPr>
        <w:t>Deveikis</w:t>
      </w:r>
      <w:proofErr w:type="spellEnd"/>
      <w:r w:rsidR="00200A64" w:rsidRPr="00597526">
        <w:rPr>
          <w:rFonts w:ascii="Times New Roman" w:hAnsi="Times New Roman" w:cs="Times New Roman"/>
          <w:sz w:val="28"/>
          <w:szCs w:val="28"/>
        </w:rPr>
        <w:t xml:space="preserve">, 2013). Although the Circle of Willis anatomically connects these circulations, its functional capacity is highly variable due to frequent asymmetry, hypoplasia, or incomplete arterial segments (Tanaka et al., 2006; </w:t>
      </w:r>
      <w:proofErr w:type="spellStart"/>
      <w:r w:rsidR="00200A64" w:rsidRPr="00597526">
        <w:rPr>
          <w:rFonts w:ascii="Times New Roman" w:hAnsi="Times New Roman" w:cs="Times New Roman"/>
          <w:sz w:val="28"/>
          <w:szCs w:val="28"/>
        </w:rPr>
        <w:t>Koroulakis</w:t>
      </w:r>
      <w:proofErr w:type="spellEnd"/>
      <w:r w:rsidR="00200A64" w:rsidRPr="00597526">
        <w:rPr>
          <w:rFonts w:ascii="Times New Roman" w:hAnsi="Times New Roman" w:cs="Times New Roman"/>
          <w:sz w:val="28"/>
          <w:szCs w:val="28"/>
        </w:rPr>
        <w:t xml:space="preserve"> &amp; Agarwal, 2025). This anatomical variability helps explain why patients with similar large-vessel occlusions may experience strikingly different infarct sizes, clinical severities, and outcomes (Liebeskind, 2018).</w:t>
      </w:r>
    </w:p>
    <w:p w14:paraId="7492C7E5"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The middle cerebral artery, despite not being a formal component of the Circle of Willis, is the most commonly involved vessel in ischemic stroke due to its large perfusion territory and direct continuation from the internal carotid artery (Caplan, 2016; Murphy &amp; Werring, 2020). Consequently, occlusion of the MCA often produces early and profound neurological deficits. However, tissue survival within this territory depends critically on collateral pathways arising from both primary (Circle of Willis) and secondary (leptomeningeal) networks (Liebeskind et al., 2019; </w:t>
      </w:r>
      <w:proofErr w:type="spellStart"/>
      <w:r w:rsidRPr="00597526">
        <w:rPr>
          <w:rFonts w:ascii="Times New Roman" w:hAnsi="Times New Roman" w:cs="Times New Roman"/>
          <w:sz w:val="28"/>
          <w:szCs w:val="28"/>
        </w:rPr>
        <w:t>Maguida</w:t>
      </w:r>
      <w:proofErr w:type="spellEnd"/>
      <w:r w:rsidRPr="00597526">
        <w:rPr>
          <w:rFonts w:ascii="Times New Roman" w:hAnsi="Times New Roman" w:cs="Times New Roman"/>
          <w:sz w:val="28"/>
          <w:szCs w:val="28"/>
        </w:rPr>
        <w:t xml:space="preserve"> &amp; Shuaib, 2023).</w:t>
      </w:r>
    </w:p>
    <w:p w14:paraId="3E0B9DF8"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Collateral Circulation and the Core–Penumbra Paradigm</w:t>
      </w:r>
    </w:p>
    <w:p w14:paraId="5EB7FDA5" w14:textId="5B9E4CD3" w:rsidR="00200A64" w:rsidRPr="00597526" w:rsidRDefault="00F0351A" w:rsidP="00200A64">
      <w:pPr>
        <w:rPr>
          <w:rFonts w:ascii="Times New Roman" w:hAnsi="Times New Roman" w:cs="Times New Roman"/>
          <w:sz w:val="28"/>
          <w:szCs w:val="28"/>
        </w:rPr>
      </w:pPr>
      <w:r w:rsidRPr="00F0351A">
        <w:rPr>
          <w:rFonts w:ascii="Times New Roman" w:hAnsi="Times New Roman" w:cs="Times New Roman"/>
          <w:sz w:val="28"/>
          <w:szCs w:val="28"/>
        </w:rPr>
        <w:t>A key concept in modern stroke care is the differentiation between the infarct core and the ischemic penumbra</w:t>
      </w:r>
      <w:r>
        <w:rPr>
          <w:rFonts w:ascii="Times New Roman" w:hAnsi="Times New Roman" w:cs="Times New Roman"/>
          <w:sz w:val="28"/>
          <w:szCs w:val="28"/>
        </w:rPr>
        <w:t xml:space="preserve"> </w:t>
      </w:r>
      <w:r w:rsidR="00200A64" w:rsidRPr="00597526">
        <w:rPr>
          <w:rFonts w:ascii="Times New Roman" w:hAnsi="Times New Roman" w:cs="Times New Roman"/>
          <w:sz w:val="28"/>
          <w:szCs w:val="28"/>
        </w:rPr>
        <w:t xml:space="preserve">(Astrup et al., 1981; Heiss &amp; Rosner, 2017). </w:t>
      </w:r>
      <w:r w:rsidR="004F4180" w:rsidRPr="004F4180">
        <w:rPr>
          <w:rFonts w:ascii="Times New Roman" w:hAnsi="Times New Roman" w:cs="Times New Roman"/>
          <w:sz w:val="28"/>
          <w:szCs w:val="28"/>
        </w:rPr>
        <w:t>The penumbra is made up of functionally compromised but possibly salvageable brain tissue sustained by residual or collateral blood flow, while the infarct core represents irreversibly damaged brain tissue subjected to severe and prolonged hypoperfusion</w:t>
      </w:r>
      <w:r w:rsidR="004F4180">
        <w:rPr>
          <w:rFonts w:ascii="Times New Roman" w:hAnsi="Times New Roman" w:cs="Times New Roman"/>
          <w:sz w:val="28"/>
          <w:szCs w:val="28"/>
        </w:rPr>
        <w:t xml:space="preserve"> </w:t>
      </w:r>
      <w:r w:rsidR="00200A64" w:rsidRPr="00597526">
        <w:rPr>
          <w:rFonts w:ascii="Times New Roman" w:hAnsi="Times New Roman" w:cs="Times New Roman"/>
          <w:sz w:val="28"/>
          <w:szCs w:val="28"/>
        </w:rPr>
        <w:t>(</w:t>
      </w:r>
      <w:proofErr w:type="spellStart"/>
      <w:r w:rsidR="00200A64" w:rsidRPr="00597526">
        <w:rPr>
          <w:rFonts w:ascii="Times New Roman" w:hAnsi="Times New Roman" w:cs="Times New Roman"/>
          <w:sz w:val="28"/>
          <w:szCs w:val="28"/>
        </w:rPr>
        <w:t>Heiss</w:t>
      </w:r>
      <w:proofErr w:type="spellEnd"/>
      <w:r w:rsidR="00200A64" w:rsidRPr="00597526">
        <w:rPr>
          <w:rFonts w:ascii="Times New Roman" w:hAnsi="Times New Roman" w:cs="Times New Roman"/>
          <w:sz w:val="28"/>
          <w:szCs w:val="28"/>
        </w:rPr>
        <w:t xml:space="preserve">, 2012; </w:t>
      </w:r>
      <w:proofErr w:type="spellStart"/>
      <w:r w:rsidR="00200A64" w:rsidRPr="00597526">
        <w:rPr>
          <w:rFonts w:ascii="Times New Roman" w:hAnsi="Times New Roman" w:cs="Times New Roman"/>
          <w:sz w:val="28"/>
          <w:szCs w:val="28"/>
        </w:rPr>
        <w:t>Maguida</w:t>
      </w:r>
      <w:proofErr w:type="spellEnd"/>
      <w:r w:rsidR="00200A64" w:rsidRPr="00597526">
        <w:rPr>
          <w:rFonts w:ascii="Times New Roman" w:hAnsi="Times New Roman" w:cs="Times New Roman"/>
          <w:sz w:val="28"/>
          <w:szCs w:val="28"/>
        </w:rPr>
        <w:t xml:space="preserve"> &amp; Shuaib, 2023). </w:t>
      </w:r>
      <w:r w:rsidR="00750C95" w:rsidRPr="00750C95">
        <w:rPr>
          <w:rFonts w:ascii="Times New Roman" w:hAnsi="Times New Roman" w:cs="Times New Roman"/>
          <w:sz w:val="28"/>
          <w:szCs w:val="28"/>
        </w:rPr>
        <w:t>Collateral circulation is the primary factor that determines penumbral viability and infarct evolution, as this review emphasizes</w:t>
      </w:r>
      <w:r w:rsidR="00750C95">
        <w:rPr>
          <w:rFonts w:ascii="Times New Roman" w:hAnsi="Times New Roman" w:cs="Times New Roman"/>
          <w:sz w:val="28"/>
          <w:szCs w:val="28"/>
        </w:rPr>
        <w:t xml:space="preserve"> </w:t>
      </w:r>
      <w:r w:rsidR="00200A64" w:rsidRPr="00597526">
        <w:rPr>
          <w:rFonts w:ascii="Times New Roman" w:hAnsi="Times New Roman" w:cs="Times New Roman"/>
          <w:sz w:val="28"/>
          <w:szCs w:val="28"/>
        </w:rPr>
        <w:t>(Liebeskind, 2018).</w:t>
      </w:r>
    </w:p>
    <w:p w14:paraId="538A98E1"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Robust collateral flow delays infarct expansion, preserves cellular metabolism, and prolongs the therapeutic window for reperfusion therapies such as thrombolysis and mechanical thrombectomy (Liebeskind et al., 2019; Powers et al., 2019). In contrast, poor collateralization accelerates core growth and results in rapid neurological deterioration (</w:t>
      </w:r>
      <w:proofErr w:type="spellStart"/>
      <w:r w:rsidRPr="00597526">
        <w:rPr>
          <w:rFonts w:ascii="Times New Roman" w:hAnsi="Times New Roman" w:cs="Times New Roman"/>
          <w:sz w:val="28"/>
          <w:szCs w:val="28"/>
        </w:rPr>
        <w:t>Miteff</w:t>
      </w:r>
      <w:proofErr w:type="spellEnd"/>
      <w:r w:rsidRPr="00597526">
        <w:rPr>
          <w:rFonts w:ascii="Times New Roman" w:hAnsi="Times New Roman" w:cs="Times New Roman"/>
          <w:sz w:val="28"/>
          <w:szCs w:val="28"/>
        </w:rPr>
        <w:t xml:space="preserve"> et al., 2009; </w:t>
      </w:r>
      <w:proofErr w:type="spellStart"/>
      <w:r w:rsidRPr="00597526">
        <w:rPr>
          <w:rFonts w:ascii="Times New Roman" w:hAnsi="Times New Roman" w:cs="Times New Roman"/>
          <w:sz w:val="28"/>
          <w:szCs w:val="28"/>
        </w:rPr>
        <w:t>Maguida</w:t>
      </w:r>
      <w:proofErr w:type="spellEnd"/>
      <w:r w:rsidRPr="00597526">
        <w:rPr>
          <w:rFonts w:ascii="Times New Roman" w:hAnsi="Times New Roman" w:cs="Times New Roman"/>
          <w:sz w:val="28"/>
          <w:szCs w:val="28"/>
        </w:rPr>
        <w:t xml:space="preserve"> &amp; Shuaib, 2023). This anatomical–physiological relationship underscores the importance of collateral assessment in acute stroke imaging and explains why time from </w:t>
      </w:r>
      <w:r w:rsidRPr="00597526">
        <w:rPr>
          <w:rFonts w:ascii="Times New Roman" w:hAnsi="Times New Roman" w:cs="Times New Roman"/>
          <w:sz w:val="28"/>
          <w:szCs w:val="28"/>
        </w:rPr>
        <w:lastRenderedPageBreak/>
        <w:t>symptom onset alone is an insufficient predictor of tissue fate and clinical outcome (Liebeskind, 2018).</w:t>
      </w:r>
    </w:p>
    <w:p w14:paraId="0717C5D6"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Mechanistic Insights from Cardioembolic and Multi-Territorial Stroke</w:t>
      </w:r>
    </w:p>
    <w:p w14:paraId="360D4AE8"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Cardioembolic stroke, particularly in the setting of atrial fibrillation, illustrates the interaction between systemic pathology and cerebral vascular anatomy (</w:t>
      </w:r>
      <w:proofErr w:type="spellStart"/>
      <w:r w:rsidRPr="00597526">
        <w:rPr>
          <w:rFonts w:ascii="Times New Roman" w:hAnsi="Times New Roman" w:cs="Times New Roman"/>
          <w:sz w:val="28"/>
          <w:szCs w:val="28"/>
        </w:rPr>
        <w:t>Hindricks</w:t>
      </w:r>
      <w:proofErr w:type="spellEnd"/>
      <w:r w:rsidRPr="00597526">
        <w:rPr>
          <w:rFonts w:ascii="Times New Roman" w:hAnsi="Times New Roman" w:cs="Times New Roman"/>
          <w:sz w:val="28"/>
          <w:szCs w:val="28"/>
        </w:rPr>
        <w:t xml:space="preserve"> et al., 2021; Kamel et al., 2020). Emboli originating from the heart frequently occlude large intracranial arteries and may fragment distally, producing multi-territorial ischemia (Caplan, 2016). Reports of simultaneous cerebral and peripheral arterial occlusions further emphasize the systemic nature of embolic disease and its potential to overwhelm collateral pathways (</w:t>
      </w:r>
      <w:proofErr w:type="spellStart"/>
      <w:r w:rsidRPr="00597526">
        <w:rPr>
          <w:rFonts w:ascii="Times New Roman" w:hAnsi="Times New Roman" w:cs="Times New Roman"/>
          <w:sz w:val="28"/>
          <w:szCs w:val="28"/>
        </w:rPr>
        <w:t>Sedgaryan</w:t>
      </w:r>
      <w:proofErr w:type="spellEnd"/>
      <w:r w:rsidRPr="00597526">
        <w:rPr>
          <w:rFonts w:ascii="Times New Roman" w:hAnsi="Times New Roman" w:cs="Times New Roman"/>
          <w:sz w:val="28"/>
          <w:szCs w:val="28"/>
        </w:rPr>
        <w:t xml:space="preserve"> et al., 2024).</w:t>
      </w:r>
    </w:p>
    <w:p w14:paraId="36FF678B"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Clinical observations from case reports demonstrate that embolic showers may compromise both intracranial and extracranial circulation, necessitating a multidisciplinary and anatomically informed management strategy (</w:t>
      </w:r>
      <w:proofErr w:type="spellStart"/>
      <w:r w:rsidRPr="00597526">
        <w:rPr>
          <w:rFonts w:ascii="Times New Roman" w:hAnsi="Times New Roman" w:cs="Times New Roman"/>
          <w:sz w:val="28"/>
          <w:szCs w:val="28"/>
        </w:rPr>
        <w:t>Sedgaryan</w:t>
      </w:r>
      <w:proofErr w:type="spellEnd"/>
      <w:r w:rsidRPr="00597526">
        <w:rPr>
          <w:rFonts w:ascii="Times New Roman" w:hAnsi="Times New Roman" w:cs="Times New Roman"/>
          <w:sz w:val="28"/>
          <w:szCs w:val="28"/>
        </w:rPr>
        <w:t xml:space="preserve"> et al., 2024; Harrigan &amp; </w:t>
      </w:r>
      <w:proofErr w:type="spellStart"/>
      <w:r w:rsidRPr="00597526">
        <w:rPr>
          <w:rFonts w:ascii="Times New Roman" w:hAnsi="Times New Roman" w:cs="Times New Roman"/>
          <w:sz w:val="28"/>
          <w:szCs w:val="28"/>
        </w:rPr>
        <w:t>Deveikis</w:t>
      </w:r>
      <w:proofErr w:type="spellEnd"/>
      <w:r w:rsidRPr="00597526">
        <w:rPr>
          <w:rFonts w:ascii="Times New Roman" w:hAnsi="Times New Roman" w:cs="Times New Roman"/>
          <w:sz w:val="28"/>
          <w:szCs w:val="28"/>
        </w:rPr>
        <w:t>, 2013). These findings reinforce a key theme of this review: cerebrovascular anatomy not only determines lesion localization but also influences therapeutic prioritization, procedural sequencing, and prognosis.</w:t>
      </w:r>
    </w:p>
    <w:p w14:paraId="7F342159"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Stroke Localization and Clinical Correlation</w:t>
      </w:r>
    </w:p>
    <w:p w14:paraId="0DF05C14"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Accurate stroke localization relies on detailed knowledge of vascular territories and their associated neuroanatomical functions (Caplan, 2016; </w:t>
      </w:r>
      <w:proofErr w:type="spellStart"/>
      <w:r w:rsidRPr="00597526">
        <w:rPr>
          <w:rFonts w:ascii="Times New Roman" w:hAnsi="Times New Roman" w:cs="Times New Roman"/>
          <w:sz w:val="28"/>
          <w:szCs w:val="28"/>
        </w:rPr>
        <w:t>Menshawi</w:t>
      </w:r>
      <w:proofErr w:type="spellEnd"/>
      <w:r w:rsidRPr="00597526">
        <w:rPr>
          <w:rFonts w:ascii="Times New Roman" w:hAnsi="Times New Roman" w:cs="Times New Roman"/>
          <w:sz w:val="28"/>
          <w:szCs w:val="28"/>
        </w:rPr>
        <w:t xml:space="preserve"> et al., 2015). Anterior circulation strokes typically present with contralateral motor and sensory deficits, aphasia with dominant hemisphere involvement, and visuospatial neglect in non-dominant hemisphere lesions (Murphy &amp; Werring, 2020). Posterior circulation strokes often produce more heterogeneous and diagnostically challenging syndromes due to involvement of the brainstem, cerebellum, and occipital lobes (Banerjee et al., 2018).</w:t>
      </w:r>
    </w:p>
    <w:p w14:paraId="590931C6"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Cerebral small vessel disease constitutes a distinct pathological entity, producing lacunar infarcts and contributing significantly to vascular cognitive impairment and gait dysfunction (Wardlaw et al., 2019). Recognition of these anatomical–clinical correlations is essential for etiological classification, prognostication, and implementation of targeted secondary prevention strategies (Wardlaw et al., 2019; Caplan, 2016).</w:t>
      </w:r>
    </w:p>
    <w:p w14:paraId="50C74FD9"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Implications for Acute Intervention and Outcome</w:t>
      </w:r>
    </w:p>
    <w:p w14:paraId="094F0649"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 xml:space="preserve">Advances in multimodal imaging have enabled real-time evaluation of vessel occlusion, infarct core size, ischemic penumbra, and collateral adequacy </w:t>
      </w:r>
      <w:r w:rsidRPr="00597526">
        <w:rPr>
          <w:rFonts w:ascii="Times New Roman" w:hAnsi="Times New Roman" w:cs="Times New Roman"/>
          <w:sz w:val="28"/>
          <w:szCs w:val="28"/>
        </w:rPr>
        <w:lastRenderedPageBreak/>
        <w:t xml:space="preserve">(Liebeskind et al., 2019). Mechanical thrombectomy has emerged as a cornerstone of treatment for large-vessel occlusion, particularly when imaging demonstrates preserved penumbral tissue supported by effective collateral circulation (Powers et al., 2019). Successful reperfusion, commonly assessed using thrombolysis in cerebral infarction (TICI) scores, is strongly associated with </w:t>
      </w:r>
      <w:proofErr w:type="spellStart"/>
      <w:r w:rsidRPr="00597526">
        <w:rPr>
          <w:rFonts w:ascii="Times New Roman" w:hAnsi="Times New Roman" w:cs="Times New Roman"/>
          <w:sz w:val="28"/>
          <w:szCs w:val="28"/>
        </w:rPr>
        <w:t>favorable</w:t>
      </w:r>
      <w:proofErr w:type="spellEnd"/>
      <w:r w:rsidRPr="00597526">
        <w:rPr>
          <w:rFonts w:ascii="Times New Roman" w:hAnsi="Times New Roman" w:cs="Times New Roman"/>
          <w:sz w:val="28"/>
          <w:szCs w:val="28"/>
        </w:rPr>
        <w:t xml:space="preserve"> neurological recovery and reduced disability (Goyal et al., 2016).</w:t>
      </w:r>
    </w:p>
    <w:p w14:paraId="37B0D8D1" w14:textId="77777777" w:rsidR="00200A64" w:rsidRPr="00597526" w:rsidRDefault="00200A64" w:rsidP="00200A64">
      <w:pPr>
        <w:rPr>
          <w:rFonts w:ascii="Times New Roman" w:hAnsi="Times New Roman" w:cs="Times New Roman"/>
          <w:sz w:val="28"/>
          <w:szCs w:val="28"/>
        </w:rPr>
      </w:pPr>
      <w:r w:rsidRPr="00597526">
        <w:rPr>
          <w:rFonts w:ascii="Times New Roman" w:hAnsi="Times New Roman" w:cs="Times New Roman"/>
          <w:sz w:val="28"/>
          <w:szCs w:val="28"/>
        </w:rPr>
        <w:t>Clinical experiences discussed in this review illustrate that anatomical considerations—rather than rigid temporal thresholds alone—frequently guide therapeutic decision-making (Liebeskind, 2018). These observations underscore how cerebrovascular anatomy directly influences intervention success and long-term patient outcomes.</w:t>
      </w:r>
    </w:p>
    <w:p w14:paraId="167A898B" w14:textId="77777777" w:rsidR="00200A64" w:rsidRPr="00597526" w:rsidRDefault="00200A64" w:rsidP="00200A64">
      <w:pPr>
        <w:rPr>
          <w:rFonts w:ascii="Times New Roman" w:hAnsi="Times New Roman" w:cs="Times New Roman"/>
          <w:b/>
          <w:bCs/>
          <w:sz w:val="28"/>
          <w:szCs w:val="28"/>
        </w:rPr>
      </w:pPr>
      <w:r w:rsidRPr="00597526">
        <w:rPr>
          <w:rFonts w:ascii="Times New Roman" w:hAnsi="Times New Roman" w:cs="Times New Roman"/>
          <w:b/>
          <w:bCs/>
          <w:sz w:val="28"/>
          <w:szCs w:val="28"/>
        </w:rPr>
        <w:t>Broader Implications and Future Directions</w:t>
      </w:r>
    </w:p>
    <w:p w14:paraId="1F51F833" w14:textId="1412B60A" w:rsidR="00C04D37" w:rsidRDefault="00C04D37" w:rsidP="00200A64">
      <w:pPr>
        <w:rPr>
          <w:rFonts w:ascii="Times New Roman" w:hAnsi="Times New Roman" w:cs="Times New Roman"/>
          <w:sz w:val="28"/>
          <w:szCs w:val="28"/>
        </w:rPr>
      </w:pPr>
      <w:r w:rsidRPr="00C04D37">
        <w:rPr>
          <w:rFonts w:ascii="Times New Roman" w:hAnsi="Times New Roman" w:cs="Times New Roman"/>
          <w:sz w:val="28"/>
          <w:szCs w:val="28"/>
        </w:rPr>
        <w:t>When considered collectively, the data presented here lend credence to the initial premise that stroke is essentially an anatomical condition with physiological repercussions</w:t>
      </w:r>
      <w:r>
        <w:rPr>
          <w:rFonts w:ascii="Times New Roman" w:hAnsi="Times New Roman" w:cs="Times New Roman"/>
          <w:sz w:val="28"/>
          <w:szCs w:val="28"/>
        </w:rPr>
        <w:t xml:space="preserve"> </w:t>
      </w:r>
      <w:r w:rsidRPr="00C04D37">
        <w:rPr>
          <w:rFonts w:ascii="Times New Roman" w:hAnsi="Times New Roman" w:cs="Times New Roman"/>
          <w:sz w:val="28"/>
          <w:szCs w:val="28"/>
        </w:rPr>
        <w:t>(</w:t>
      </w:r>
      <w:proofErr w:type="spellStart"/>
      <w:r w:rsidRPr="00C04D37">
        <w:rPr>
          <w:rFonts w:ascii="Times New Roman" w:hAnsi="Times New Roman" w:cs="Times New Roman"/>
          <w:sz w:val="28"/>
          <w:szCs w:val="28"/>
        </w:rPr>
        <w:t>Menshawi</w:t>
      </w:r>
      <w:proofErr w:type="spellEnd"/>
      <w:r w:rsidRPr="00C04D37">
        <w:rPr>
          <w:rFonts w:ascii="Times New Roman" w:hAnsi="Times New Roman" w:cs="Times New Roman"/>
          <w:sz w:val="28"/>
          <w:szCs w:val="28"/>
        </w:rPr>
        <w:t xml:space="preserve"> et al., 2015; </w:t>
      </w:r>
      <w:proofErr w:type="spellStart"/>
      <w:r w:rsidRPr="00C04D37">
        <w:rPr>
          <w:rFonts w:ascii="Times New Roman" w:hAnsi="Times New Roman" w:cs="Times New Roman"/>
          <w:sz w:val="28"/>
          <w:szCs w:val="28"/>
        </w:rPr>
        <w:t>Maguida</w:t>
      </w:r>
      <w:proofErr w:type="spellEnd"/>
      <w:r w:rsidRPr="00C04D37">
        <w:rPr>
          <w:rFonts w:ascii="Times New Roman" w:hAnsi="Times New Roman" w:cs="Times New Roman"/>
          <w:sz w:val="28"/>
          <w:szCs w:val="28"/>
        </w:rPr>
        <w:t xml:space="preserve"> &amp; Shuaib, 2023). Infarct evolution and clinical trajectory are determined by changes in the Circle of Willis, collateral networks, and systemic vascular health (Tanaka et al., 2006; </w:t>
      </w:r>
      <w:proofErr w:type="spellStart"/>
      <w:r w:rsidRPr="00C04D37">
        <w:rPr>
          <w:rFonts w:ascii="Times New Roman" w:hAnsi="Times New Roman" w:cs="Times New Roman"/>
          <w:sz w:val="28"/>
          <w:szCs w:val="28"/>
        </w:rPr>
        <w:t>Koroulakis</w:t>
      </w:r>
      <w:proofErr w:type="spellEnd"/>
      <w:r w:rsidRPr="00C04D37">
        <w:rPr>
          <w:rFonts w:ascii="Times New Roman" w:hAnsi="Times New Roman" w:cs="Times New Roman"/>
          <w:sz w:val="28"/>
          <w:szCs w:val="28"/>
        </w:rPr>
        <w:t xml:space="preserve"> &amp; Agarwal, 2025). Precision and equity in stroke care may be further improved by future studies that concentrate on collateral augmentation, customized anatomical risk profiling, and improved imaging biomarkers (Liebeskind et al., 2019; </w:t>
      </w:r>
      <w:proofErr w:type="spellStart"/>
      <w:r w:rsidRPr="00C04D37">
        <w:rPr>
          <w:rFonts w:ascii="Times New Roman" w:hAnsi="Times New Roman" w:cs="Times New Roman"/>
          <w:sz w:val="28"/>
          <w:szCs w:val="28"/>
        </w:rPr>
        <w:t>Maguida</w:t>
      </w:r>
      <w:proofErr w:type="spellEnd"/>
      <w:r w:rsidRPr="00C04D37">
        <w:rPr>
          <w:rFonts w:ascii="Times New Roman" w:hAnsi="Times New Roman" w:cs="Times New Roman"/>
          <w:sz w:val="28"/>
          <w:szCs w:val="28"/>
        </w:rPr>
        <w:t xml:space="preserve"> &amp; Shuaib, 2023).</w:t>
      </w:r>
    </w:p>
    <w:p w14:paraId="4B0D6FE9" w14:textId="78F83F57" w:rsidR="006D2048" w:rsidRDefault="000627E4" w:rsidP="00200A64">
      <w:pPr>
        <w:rPr>
          <w:rFonts w:ascii="Times New Roman" w:hAnsi="Times New Roman" w:cs="Times New Roman"/>
          <w:sz w:val="28"/>
          <w:szCs w:val="28"/>
        </w:rPr>
      </w:pPr>
      <w:r w:rsidRPr="000627E4">
        <w:rPr>
          <w:rFonts w:ascii="Times New Roman" w:hAnsi="Times New Roman" w:cs="Times New Roman"/>
          <w:sz w:val="28"/>
          <w:szCs w:val="28"/>
        </w:rPr>
        <w:t>As a narrative review, this article may be subject to selection bias and does not provide quantitative synthesis; however, it enables comprehensive integration of anatomical, physiological, and clinical perspectives relevant to stroke.</w:t>
      </w:r>
    </w:p>
    <w:p w14:paraId="45FE1008" w14:textId="5FFE432F" w:rsidR="00200A64" w:rsidRPr="00562620" w:rsidRDefault="008575A5" w:rsidP="00200A64">
      <w:pPr>
        <w:rPr>
          <w:rFonts w:ascii="Times New Roman" w:hAnsi="Times New Roman" w:cs="Times New Roman"/>
          <w:sz w:val="28"/>
          <w:szCs w:val="28"/>
        </w:rPr>
      </w:pPr>
      <w:r>
        <w:rPr>
          <w:rFonts w:ascii="Times New Roman" w:hAnsi="Times New Roman" w:cs="Times New Roman"/>
          <w:sz w:val="28"/>
          <w:szCs w:val="28"/>
        </w:rPr>
        <w:t>As</w:t>
      </w:r>
      <w:r w:rsidRPr="008575A5">
        <w:rPr>
          <w:rFonts w:ascii="Times New Roman" w:hAnsi="Times New Roman" w:cs="Times New Roman"/>
          <w:sz w:val="28"/>
          <w:szCs w:val="28"/>
        </w:rPr>
        <w:t xml:space="preserve"> a narrative review, this article synthesizes existing literature without quantitative meta-analysis, which may limit formal assessment of effect size but allows comprehensive anatomical and clinical integration of stroke mechanisms.</w:t>
      </w:r>
    </w:p>
    <w:p w14:paraId="3EB9E789" w14:textId="77777777" w:rsidR="00200A64" w:rsidRPr="00CD18F2" w:rsidRDefault="00AD53E7" w:rsidP="00200A64">
      <w:pPr>
        <w:rPr>
          <w:rFonts w:ascii="Times New Roman" w:hAnsi="Times New Roman" w:cs="Times New Roman"/>
          <w:sz w:val="28"/>
          <w:szCs w:val="28"/>
        </w:rPr>
      </w:pPr>
      <w:r>
        <w:rPr>
          <w:rFonts w:ascii="Times New Roman" w:hAnsi="Times New Roman" w:cs="Times New Roman"/>
          <w:sz w:val="28"/>
          <w:szCs w:val="28"/>
        </w:rPr>
        <w:pict w14:anchorId="3D69FDCE">
          <v:rect id="_x0000_i1041" style="width:0;height:1.5pt" o:hralign="center" o:hrstd="t" o:hr="t" fillcolor="#a0a0a0" stroked="f"/>
        </w:pict>
      </w:r>
    </w:p>
    <w:p w14:paraId="7CF44A6F" w14:textId="77777777" w:rsidR="00200A64" w:rsidRPr="00946F4F" w:rsidRDefault="00200A64" w:rsidP="00200A64">
      <w:pPr>
        <w:rPr>
          <w:rFonts w:ascii="Times New Roman" w:hAnsi="Times New Roman" w:cs="Times New Roman"/>
          <w:b/>
          <w:bCs/>
          <w:sz w:val="28"/>
          <w:szCs w:val="28"/>
        </w:rPr>
      </w:pPr>
      <w:r w:rsidRPr="00CD18F2">
        <w:rPr>
          <w:rFonts w:ascii="Times New Roman" w:hAnsi="Times New Roman" w:cs="Times New Roman"/>
          <w:b/>
          <w:bCs/>
          <w:sz w:val="28"/>
          <w:szCs w:val="28"/>
        </w:rPr>
        <w:t>1</w:t>
      </w:r>
      <w:r>
        <w:rPr>
          <w:rFonts w:ascii="Times New Roman" w:hAnsi="Times New Roman" w:cs="Times New Roman"/>
          <w:b/>
          <w:bCs/>
          <w:sz w:val="28"/>
          <w:szCs w:val="28"/>
        </w:rPr>
        <w:t>7</w:t>
      </w:r>
      <w:r w:rsidRPr="00CD18F2">
        <w:rPr>
          <w:rFonts w:ascii="Times New Roman" w:hAnsi="Times New Roman" w:cs="Times New Roman"/>
          <w:b/>
          <w:bCs/>
          <w:sz w:val="28"/>
          <w:szCs w:val="28"/>
        </w:rPr>
        <w:t>. Conclusion</w:t>
      </w:r>
    </w:p>
    <w:p w14:paraId="42D87218" w14:textId="77777777" w:rsidR="00200A64" w:rsidRPr="00946F4F" w:rsidRDefault="00200A64" w:rsidP="00200A64">
      <w:pPr>
        <w:rPr>
          <w:rFonts w:ascii="Times New Roman" w:hAnsi="Times New Roman" w:cs="Times New Roman"/>
          <w:sz w:val="28"/>
          <w:szCs w:val="28"/>
        </w:rPr>
      </w:pPr>
      <w:r w:rsidRPr="00946F4F">
        <w:rPr>
          <w:rFonts w:ascii="Times New Roman" w:hAnsi="Times New Roman" w:cs="Times New Roman"/>
          <w:sz w:val="28"/>
          <w:szCs w:val="28"/>
        </w:rPr>
        <w:t>Stroke is not merely a time-dependent neurological emergency but a condition fundamentally shaped by cerebrovascular anatomy and physiological reserve. As highlighted throughout this review, variations in the cerebral arterial system—particularly within the Circle of Willis and collateral networks—play a decisive role in determining infarct evolution, clinical presentation, and functional outcome.</w:t>
      </w:r>
    </w:p>
    <w:p w14:paraId="049DE09C" w14:textId="77777777" w:rsidR="00200A64" w:rsidRPr="00946F4F" w:rsidRDefault="00200A64" w:rsidP="00200A64">
      <w:pPr>
        <w:rPr>
          <w:rFonts w:ascii="Times New Roman" w:hAnsi="Times New Roman" w:cs="Times New Roman"/>
          <w:sz w:val="28"/>
          <w:szCs w:val="28"/>
        </w:rPr>
      </w:pPr>
      <w:r w:rsidRPr="00946F4F">
        <w:rPr>
          <w:rFonts w:ascii="Times New Roman" w:hAnsi="Times New Roman" w:cs="Times New Roman"/>
          <w:sz w:val="28"/>
          <w:szCs w:val="28"/>
        </w:rPr>
        <w:lastRenderedPageBreak/>
        <w:t>The distinction between infarct core and ischemic penumbra provides a unifying framework linking vascular anatomy to modern therapeutic strategies. Adequate collateral circulation preserves penumbral tissue, delays irreversible injury, and extends the window for reperfusion therapies, whereas poor collateralization accelerates infarct progression and worsens prognosis. These principles explain the marked heterogeneity observed among patients with similar arterial occlusions and underscore why anatomical factors are as critical as time in acute stroke decision-making.</w:t>
      </w:r>
    </w:p>
    <w:p w14:paraId="37BE64A3" w14:textId="77777777" w:rsidR="00200A64" w:rsidRPr="00946F4F" w:rsidRDefault="00200A64" w:rsidP="00200A64">
      <w:pPr>
        <w:rPr>
          <w:rFonts w:ascii="Times New Roman" w:hAnsi="Times New Roman" w:cs="Times New Roman"/>
          <w:sz w:val="28"/>
          <w:szCs w:val="28"/>
        </w:rPr>
      </w:pPr>
      <w:r w:rsidRPr="00946F4F">
        <w:rPr>
          <w:rFonts w:ascii="Times New Roman" w:hAnsi="Times New Roman" w:cs="Times New Roman"/>
          <w:sz w:val="28"/>
          <w:szCs w:val="28"/>
        </w:rPr>
        <w:t>Advances in neuroimaging and endovascular techniques have translated anatomical knowledge into tangible clinical benefit, enabling individualized treatment based on vessel status, tissue viability, and collateral sufficiency. Large-vessel occlusion strokes, particularly those involving the middle cerebral artery, exemplify how anatomical considerations guide intervention, predict response to reperfusion, and influence recovery.</w:t>
      </w:r>
    </w:p>
    <w:p w14:paraId="1E27A240" w14:textId="77777777" w:rsidR="00200A64" w:rsidRDefault="00200A64" w:rsidP="00200A64">
      <w:pPr>
        <w:rPr>
          <w:rFonts w:ascii="Times New Roman" w:hAnsi="Times New Roman" w:cs="Times New Roman"/>
          <w:sz w:val="28"/>
          <w:szCs w:val="28"/>
        </w:rPr>
      </w:pPr>
      <w:r w:rsidRPr="00946F4F">
        <w:rPr>
          <w:rFonts w:ascii="Times New Roman" w:hAnsi="Times New Roman" w:cs="Times New Roman"/>
          <w:sz w:val="28"/>
          <w:szCs w:val="28"/>
        </w:rPr>
        <w:t>In summary, an integrated understanding of cerebrovascular anatomy, collateral circulation, and infarct dynamics is essential for accurate stroke localization, etiological classification, and optimal management. Future research focusing on collateral enhancement, personalized anatomical assessment, and physiology-guided therapy has the potential to further refine stroke care and improve outcomes. This anatomy-</w:t>
      </w:r>
      <w:proofErr w:type="spellStart"/>
      <w:r w:rsidRPr="00946F4F">
        <w:rPr>
          <w:rFonts w:ascii="Times New Roman" w:hAnsi="Times New Roman" w:cs="Times New Roman"/>
          <w:sz w:val="28"/>
          <w:szCs w:val="28"/>
        </w:rPr>
        <w:t>centered</w:t>
      </w:r>
      <w:proofErr w:type="spellEnd"/>
      <w:r w:rsidRPr="00946F4F">
        <w:rPr>
          <w:rFonts w:ascii="Times New Roman" w:hAnsi="Times New Roman" w:cs="Times New Roman"/>
          <w:sz w:val="28"/>
          <w:szCs w:val="28"/>
        </w:rPr>
        <w:t xml:space="preserve"> perspective reinforces the enduring relevance of classical neuroanatomy in contemporary stroke medicine.</w:t>
      </w:r>
    </w:p>
    <w:p w14:paraId="5C1BE094" w14:textId="77777777" w:rsidR="003558F2" w:rsidRDefault="003558F2" w:rsidP="00200A64">
      <w:pPr>
        <w:rPr>
          <w:rFonts w:ascii="Times New Roman" w:hAnsi="Times New Roman" w:cs="Times New Roman"/>
          <w:sz w:val="28"/>
          <w:szCs w:val="28"/>
        </w:rPr>
      </w:pPr>
    </w:p>
    <w:p w14:paraId="31FC2208" w14:textId="3F92C2B2" w:rsidR="003558F2" w:rsidRDefault="00C633CB" w:rsidP="00200A64">
      <w:pPr>
        <w:rPr>
          <w:rFonts w:ascii="Times New Roman" w:hAnsi="Times New Roman" w:cs="Times New Roman"/>
          <w:b/>
          <w:bCs/>
          <w:sz w:val="28"/>
          <w:szCs w:val="28"/>
        </w:rPr>
      </w:pPr>
      <w:r w:rsidRPr="00C633CB">
        <w:rPr>
          <w:rFonts w:ascii="Times New Roman" w:hAnsi="Times New Roman" w:cs="Times New Roman"/>
          <w:b/>
          <w:bCs/>
          <w:sz w:val="28"/>
          <w:szCs w:val="28"/>
        </w:rPr>
        <w:t>References</w:t>
      </w:r>
    </w:p>
    <w:p w14:paraId="28D8D3E8" w14:textId="001552C4" w:rsidR="000A6CCB" w:rsidRPr="00C633CB" w:rsidRDefault="00B001FB" w:rsidP="000A6CCB">
      <w:pPr>
        <w:numPr>
          <w:ilvl w:val="0"/>
          <w:numId w:val="1"/>
        </w:numPr>
        <w:rPr>
          <w:rFonts w:ascii="Times New Roman" w:hAnsi="Times New Roman" w:cs="Times New Roman"/>
          <w:sz w:val="28"/>
          <w:szCs w:val="28"/>
        </w:rPr>
      </w:pPr>
      <w:r w:rsidRPr="00B001FB">
        <w:rPr>
          <w:rFonts w:ascii="Times New Roman" w:hAnsi="Times New Roman" w:cs="Times New Roman"/>
          <w:sz w:val="28"/>
          <w:szCs w:val="28"/>
        </w:rPr>
        <w:t xml:space="preserve">Adams, H. P., Jr., Bendixen, B. H., </w:t>
      </w:r>
      <w:proofErr w:type="spellStart"/>
      <w:r w:rsidRPr="00B001FB">
        <w:rPr>
          <w:rFonts w:ascii="Times New Roman" w:hAnsi="Times New Roman" w:cs="Times New Roman"/>
          <w:sz w:val="28"/>
          <w:szCs w:val="28"/>
        </w:rPr>
        <w:t>Kappelle</w:t>
      </w:r>
      <w:proofErr w:type="spellEnd"/>
      <w:r w:rsidRPr="00B001FB">
        <w:rPr>
          <w:rFonts w:ascii="Times New Roman" w:hAnsi="Times New Roman" w:cs="Times New Roman"/>
          <w:sz w:val="28"/>
          <w:szCs w:val="28"/>
        </w:rPr>
        <w:t xml:space="preserve">, L. J., Biller, J., Love, B. B., Gordon, D. L., &amp; Marsh, E. E., 3rd. (1993). Classification of subtype of acute ischemic stroke. Definitions for use in a </w:t>
      </w:r>
      <w:proofErr w:type="spellStart"/>
      <w:r w:rsidRPr="00B001FB">
        <w:rPr>
          <w:rFonts w:ascii="Times New Roman" w:hAnsi="Times New Roman" w:cs="Times New Roman"/>
          <w:sz w:val="28"/>
          <w:szCs w:val="28"/>
        </w:rPr>
        <w:t>multicenter</w:t>
      </w:r>
      <w:proofErr w:type="spellEnd"/>
      <w:r w:rsidRPr="00B001FB">
        <w:rPr>
          <w:rFonts w:ascii="Times New Roman" w:hAnsi="Times New Roman" w:cs="Times New Roman"/>
          <w:sz w:val="28"/>
          <w:szCs w:val="28"/>
        </w:rPr>
        <w:t xml:space="preserve"> clinical trial. TOAST. Trial of Org 10172 in Acute Stroke Treatment. Stroke, 24(1), 35–41. </w:t>
      </w:r>
      <w:hyperlink r:id="rId7" w:history="1">
        <w:r w:rsidRPr="00921B06">
          <w:rPr>
            <w:rStyle w:val="Hyperlink"/>
            <w:rFonts w:ascii="Times New Roman" w:hAnsi="Times New Roman" w:cs="Times New Roman"/>
            <w:sz w:val="28"/>
            <w:szCs w:val="28"/>
          </w:rPr>
          <w:t>https://doi.org/10.1161/01.STR.24.1.35</w:t>
        </w:r>
      </w:hyperlink>
      <w:r>
        <w:rPr>
          <w:rFonts w:ascii="Times New Roman" w:hAnsi="Times New Roman" w:cs="Times New Roman"/>
          <w:sz w:val="28"/>
          <w:szCs w:val="28"/>
        </w:rPr>
        <w:t xml:space="preserve"> </w:t>
      </w:r>
    </w:p>
    <w:p w14:paraId="21462FD8" w14:textId="620E4BDE" w:rsidR="000A6CCB" w:rsidRPr="00C633CB" w:rsidRDefault="004201A2" w:rsidP="000A6CCB">
      <w:pPr>
        <w:numPr>
          <w:ilvl w:val="0"/>
          <w:numId w:val="1"/>
        </w:numPr>
        <w:rPr>
          <w:rFonts w:ascii="Times New Roman" w:hAnsi="Times New Roman" w:cs="Times New Roman"/>
          <w:sz w:val="28"/>
          <w:szCs w:val="28"/>
        </w:rPr>
      </w:pPr>
      <w:r w:rsidRPr="004201A2">
        <w:rPr>
          <w:rFonts w:ascii="Times New Roman" w:hAnsi="Times New Roman" w:cs="Times New Roman"/>
          <w:sz w:val="28"/>
          <w:szCs w:val="28"/>
        </w:rPr>
        <w:t xml:space="preserve">Albers, G. W., Marks, M. P., Kemp, S., Christensen, S., Tsai, J. P., Ortega-Gutierrez, S., et al. (2018). Thrombectomy for stroke at 6 to 16 hours with selection by perfusion imaging. New England Journal of Medicine, 378(8), 708–718. </w:t>
      </w:r>
      <w:hyperlink r:id="rId8" w:history="1">
        <w:r w:rsidRPr="00921B06">
          <w:rPr>
            <w:rStyle w:val="Hyperlink"/>
            <w:rFonts w:ascii="Times New Roman" w:hAnsi="Times New Roman" w:cs="Times New Roman"/>
            <w:sz w:val="28"/>
            <w:szCs w:val="28"/>
          </w:rPr>
          <w:t>https://doi.org/10.1056/NEJMoa1713973</w:t>
        </w:r>
      </w:hyperlink>
      <w:r>
        <w:rPr>
          <w:rFonts w:ascii="Times New Roman" w:hAnsi="Times New Roman" w:cs="Times New Roman"/>
          <w:sz w:val="28"/>
          <w:szCs w:val="28"/>
        </w:rPr>
        <w:t xml:space="preserve"> </w:t>
      </w:r>
    </w:p>
    <w:p w14:paraId="1CA62CAA" w14:textId="21F8D177" w:rsidR="000A6CCB" w:rsidRPr="00C633CB" w:rsidRDefault="00666E5E" w:rsidP="000A6CCB">
      <w:pPr>
        <w:numPr>
          <w:ilvl w:val="0"/>
          <w:numId w:val="1"/>
        </w:numPr>
        <w:rPr>
          <w:rFonts w:ascii="Times New Roman" w:hAnsi="Times New Roman" w:cs="Times New Roman"/>
          <w:sz w:val="28"/>
          <w:szCs w:val="28"/>
        </w:rPr>
      </w:pPr>
      <w:r w:rsidRPr="00666E5E">
        <w:rPr>
          <w:rFonts w:ascii="Times New Roman" w:hAnsi="Times New Roman" w:cs="Times New Roman"/>
          <w:sz w:val="28"/>
          <w:szCs w:val="28"/>
        </w:rPr>
        <w:t xml:space="preserve">Banerjee, G., Stone, S. P., &amp; </w:t>
      </w:r>
      <w:proofErr w:type="spellStart"/>
      <w:r w:rsidRPr="00666E5E">
        <w:rPr>
          <w:rFonts w:ascii="Times New Roman" w:hAnsi="Times New Roman" w:cs="Times New Roman"/>
          <w:sz w:val="28"/>
          <w:szCs w:val="28"/>
        </w:rPr>
        <w:t>Werring</w:t>
      </w:r>
      <w:proofErr w:type="spellEnd"/>
      <w:r w:rsidRPr="00666E5E">
        <w:rPr>
          <w:rFonts w:ascii="Times New Roman" w:hAnsi="Times New Roman" w:cs="Times New Roman"/>
          <w:sz w:val="28"/>
          <w:szCs w:val="28"/>
        </w:rPr>
        <w:t xml:space="preserve">, D. J. (2018). Posterior circulation ischaemic stroke. BMJ, 361, k1185. </w:t>
      </w:r>
      <w:hyperlink r:id="rId9" w:history="1">
        <w:r w:rsidRPr="00921B06">
          <w:rPr>
            <w:rStyle w:val="Hyperlink"/>
            <w:rFonts w:ascii="Times New Roman" w:hAnsi="Times New Roman" w:cs="Times New Roman"/>
            <w:sz w:val="28"/>
            <w:szCs w:val="28"/>
          </w:rPr>
          <w:t>https://doi.org/10.1136/bmj.k1185</w:t>
        </w:r>
      </w:hyperlink>
      <w:r>
        <w:rPr>
          <w:rFonts w:ascii="Times New Roman" w:hAnsi="Times New Roman" w:cs="Times New Roman"/>
          <w:sz w:val="28"/>
          <w:szCs w:val="28"/>
        </w:rPr>
        <w:t xml:space="preserve"> </w:t>
      </w:r>
    </w:p>
    <w:p w14:paraId="2E0C3C44" w14:textId="7436C566" w:rsidR="000A6CCB" w:rsidRPr="00C633CB" w:rsidRDefault="00723FCB" w:rsidP="000A6CCB">
      <w:pPr>
        <w:numPr>
          <w:ilvl w:val="0"/>
          <w:numId w:val="1"/>
        </w:numPr>
        <w:rPr>
          <w:rFonts w:ascii="Times New Roman" w:hAnsi="Times New Roman" w:cs="Times New Roman"/>
          <w:sz w:val="28"/>
          <w:szCs w:val="28"/>
        </w:rPr>
      </w:pPr>
      <w:r w:rsidRPr="00723FCB">
        <w:rPr>
          <w:rFonts w:ascii="Times New Roman" w:hAnsi="Times New Roman" w:cs="Times New Roman"/>
          <w:sz w:val="28"/>
          <w:szCs w:val="28"/>
        </w:rPr>
        <w:lastRenderedPageBreak/>
        <w:t xml:space="preserve">Caplan, L. R. (2016). Caplan’s stroke: A clinical approach (5th ed.). Cambridge University Press. </w:t>
      </w:r>
      <w:hyperlink r:id="rId10" w:history="1">
        <w:r w:rsidRPr="00921B06">
          <w:rPr>
            <w:rStyle w:val="Hyperlink"/>
            <w:rFonts w:ascii="Times New Roman" w:hAnsi="Times New Roman" w:cs="Times New Roman"/>
            <w:sz w:val="28"/>
            <w:szCs w:val="28"/>
          </w:rPr>
          <w:t>https://doi.org/10.1017/CBO9781316095805</w:t>
        </w:r>
      </w:hyperlink>
      <w:r>
        <w:rPr>
          <w:rFonts w:ascii="Times New Roman" w:hAnsi="Times New Roman" w:cs="Times New Roman"/>
          <w:sz w:val="28"/>
          <w:szCs w:val="28"/>
        </w:rPr>
        <w:t xml:space="preserve"> </w:t>
      </w:r>
    </w:p>
    <w:p w14:paraId="2670D39F" w14:textId="4CDDBE63" w:rsidR="000A6CCB" w:rsidRPr="00C633CB" w:rsidRDefault="00B23AF6" w:rsidP="000A6CCB">
      <w:pPr>
        <w:numPr>
          <w:ilvl w:val="0"/>
          <w:numId w:val="1"/>
        </w:numPr>
        <w:rPr>
          <w:rFonts w:ascii="Times New Roman" w:hAnsi="Times New Roman" w:cs="Times New Roman"/>
          <w:sz w:val="28"/>
          <w:szCs w:val="28"/>
        </w:rPr>
      </w:pPr>
      <w:r w:rsidRPr="00B23AF6">
        <w:rPr>
          <w:rFonts w:ascii="Times New Roman" w:hAnsi="Times New Roman" w:cs="Times New Roman"/>
          <w:sz w:val="28"/>
          <w:szCs w:val="28"/>
        </w:rPr>
        <w:t xml:space="preserve">Collins, R., Reith, C., </w:t>
      </w:r>
      <w:proofErr w:type="spellStart"/>
      <w:r w:rsidRPr="00B23AF6">
        <w:rPr>
          <w:rFonts w:ascii="Times New Roman" w:hAnsi="Times New Roman" w:cs="Times New Roman"/>
          <w:sz w:val="28"/>
          <w:szCs w:val="28"/>
        </w:rPr>
        <w:t>Emberson</w:t>
      </w:r>
      <w:proofErr w:type="spellEnd"/>
      <w:r w:rsidRPr="00B23AF6">
        <w:rPr>
          <w:rFonts w:ascii="Times New Roman" w:hAnsi="Times New Roman" w:cs="Times New Roman"/>
          <w:sz w:val="28"/>
          <w:szCs w:val="28"/>
        </w:rPr>
        <w:t xml:space="preserve">, J., Armitage, J., Baigent, C., Blackwell, L., Blumenthal, R., </w:t>
      </w:r>
      <w:proofErr w:type="spellStart"/>
      <w:r w:rsidRPr="00B23AF6">
        <w:rPr>
          <w:rFonts w:ascii="Times New Roman" w:hAnsi="Times New Roman" w:cs="Times New Roman"/>
          <w:sz w:val="28"/>
          <w:szCs w:val="28"/>
        </w:rPr>
        <w:t>Danesh</w:t>
      </w:r>
      <w:proofErr w:type="spellEnd"/>
      <w:r w:rsidRPr="00B23AF6">
        <w:rPr>
          <w:rFonts w:ascii="Times New Roman" w:hAnsi="Times New Roman" w:cs="Times New Roman"/>
          <w:sz w:val="28"/>
          <w:szCs w:val="28"/>
        </w:rPr>
        <w:t xml:space="preserve">, J., Smith, G. D., </w:t>
      </w:r>
      <w:proofErr w:type="spellStart"/>
      <w:r w:rsidRPr="00B23AF6">
        <w:rPr>
          <w:rFonts w:ascii="Times New Roman" w:hAnsi="Times New Roman" w:cs="Times New Roman"/>
          <w:sz w:val="28"/>
          <w:szCs w:val="28"/>
        </w:rPr>
        <w:t>DeMets</w:t>
      </w:r>
      <w:proofErr w:type="spellEnd"/>
      <w:r w:rsidRPr="00B23AF6">
        <w:rPr>
          <w:rFonts w:ascii="Times New Roman" w:hAnsi="Times New Roman" w:cs="Times New Roman"/>
          <w:sz w:val="28"/>
          <w:szCs w:val="28"/>
        </w:rPr>
        <w:t xml:space="preserve">, D. L., Evans, S., Law, M. R., </w:t>
      </w:r>
      <w:proofErr w:type="spellStart"/>
      <w:r w:rsidRPr="00B23AF6">
        <w:rPr>
          <w:rFonts w:ascii="Times New Roman" w:hAnsi="Times New Roman" w:cs="Times New Roman"/>
          <w:sz w:val="28"/>
          <w:szCs w:val="28"/>
        </w:rPr>
        <w:t>MacMahon</w:t>
      </w:r>
      <w:proofErr w:type="spellEnd"/>
      <w:r w:rsidRPr="00B23AF6">
        <w:rPr>
          <w:rFonts w:ascii="Times New Roman" w:hAnsi="Times New Roman" w:cs="Times New Roman"/>
          <w:sz w:val="28"/>
          <w:szCs w:val="28"/>
        </w:rPr>
        <w:t xml:space="preserve">, S., Martin, S. S., Neal, B., Poulter, N. R., Preiss, D., </w:t>
      </w:r>
      <w:proofErr w:type="spellStart"/>
      <w:r w:rsidRPr="00B23AF6">
        <w:rPr>
          <w:rFonts w:ascii="Times New Roman" w:hAnsi="Times New Roman" w:cs="Times New Roman"/>
          <w:sz w:val="28"/>
          <w:szCs w:val="28"/>
        </w:rPr>
        <w:t>Ridker</w:t>
      </w:r>
      <w:proofErr w:type="spellEnd"/>
      <w:r w:rsidRPr="00B23AF6">
        <w:rPr>
          <w:rFonts w:ascii="Times New Roman" w:hAnsi="Times New Roman" w:cs="Times New Roman"/>
          <w:sz w:val="28"/>
          <w:szCs w:val="28"/>
        </w:rPr>
        <w:t xml:space="preserve">, P. M., Roberts, I. W., Rodgers, A., </w:t>
      </w:r>
      <w:proofErr w:type="spellStart"/>
      <w:r w:rsidRPr="00B23AF6">
        <w:rPr>
          <w:rFonts w:ascii="Times New Roman" w:hAnsi="Times New Roman" w:cs="Times New Roman"/>
          <w:sz w:val="28"/>
          <w:szCs w:val="28"/>
        </w:rPr>
        <w:t>Sandercock</w:t>
      </w:r>
      <w:proofErr w:type="spellEnd"/>
      <w:r w:rsidRPr="00B23AF6">
        <w:rPr>
          <w:rFonts w:ascii="Times New Roman" w:hAnsi="Times New Roman" w:cs="Times New Roman"/>
          <w:sz w:val="28"/>
          <w:szCs w:val="28"/>
        </w:rPr>
        <w:t xml:space="preserve">, P. A. G., Schulz, K. F., Sever, P., </w:t>
      </w:r>
      <w:proofErr w:type="spellStart"/>
      <w:r w:rsidRPr="00B23AF6">
        <w:rPr>
          <w:rFonts w:ascii="Times New Roman" w:hAnsi="Times New Roman" w:cs="Times New Roman"/>
          <w:sz w:val="28"/>
          <w:szCs w:val="28"/>
        </w:rPr>
        <w:t>Simes</w:t>
      </w:r>
      <w:proofErr w:type="spellEnd"/>
      <w:r w:rsidRPr="00B23AF6">
        <w:rPr>
          <w:rFonts w:ascii="Times New Roman" w:hAnsi="Times New Roman" w:cs="Times New Roman"/>
          <w:sz w:val="28"/>
          <w:szCs w:val="28"/>
        </w:rPr>
        <w:t xml:space="preserve">, J. R., Smeeth, L., Wald, N. J., Yusuf, S., &amp; </w:t>
      </w:r>
      <w:proofErr w:type="spellStart"/>
      <w:r w:rsidRPr="00B23AF6">
        <w:rPr>
          <w:rFonts w:ascii="Times New Roman" w:hAnsi="Times New Roman" w:cs="Times New Roman"/>
          <w:sz w:val="28"/>
          <w:szCs w:val="28"/>
        </w:rPr>
        <w:t>Peto</w:t>
      </w:r>
      <w:proofErr w:type="spellEnd"/>
      <w:r w:rsidRPr="00B23AF6">
        <w:rPr>
          <w:rFonts w:ascii="Times New Roman" w:hAnsi="Times New Roman" w:cs="Times New Roman"/>
          <w:sz w:val="28"/>
          <w:szCs w:val="28"/>
        </w:rPr>
        <w:t xml:space="preserve">, R. (2016). Interpretation of the evidence for the efficacy and safety of statin therapy. The Lancet, 388(10059), 2532–2561. </w:t>
      </w:r>
      <w:hyperlink r:id="rId11" w:history="1">
        <w:r w:rsidRPr="00921B06">
          <w:rPr>
            <w:rStyle w:val="Hyperlink"/>
            <w:rFonts w:ascii="Times New Roman" w:hAnsi="Times New Roman" w:cs="Times New Roman"/>
            <w:sz w:val="28"/>
            <w:szCs w:val="28"/>
          </w:rPr>
          <w:t>https://doi.org/10.1016/S0140-6736(16)31357-5</w:t>
        </w:r>
      </w:hyperlink>
      <w:r>
        <w:rPr>
          <w:rFonts w:ascii="Times New Roman" w:hAnsi="Times New Roman" w:cs="Times New Roman"/>
          <w:sz w:val="28"/>
          <w:szCs w:val="28"/>
        </w:rPr>
        <w:t xml:space="preserve"> </w:t>
      </w:r>
    </w:p>
    <w:p w14:paraId="51734936" w14:textId="054F421A" w:rsidR="000A6CCB" w:rsidRPr="00C633CB" w:rsidRDefault="000A6C21" w:rsidP="000A6CCB">
      <w:pPr>
        <w:numPr>
          <w:ilvl w:val="0"/>
          <w:numId w:val="1"/>
        </w:numPr>
        <w:rPr>
          <w:rFonts w:ascii="Times New Roman" w:hAnsi="Times New Roman" w:cs="Times New Roman"/>
          <w:sz w:val="28"/>
          <w:szCs w:val="28"/>
        </w:rPr>
      </w:pPr>
      <w:proofErr w:type="spellStart"/>
      <w:r w:rsidRPr="000A6C21">
        <w:rPr>
          <w:rFonts w:ascii="Times New Roman" w:hAnsi="Times New Roman" w:cs="Times New Roman"/>
          <w:sz w:val="28"/>
          <w:szCs w:val="28"/>
        </w:rPr>
        <w:t>Demaerschalk</w:t>
      </w:r>
      <w:proofErr w:type="spellEnd"/>
      <w:r w:rsidRPr="000A6C21">
        <w:rPr>
          <w:rFonts w:ascii="Times New Roman" w:hAnsi="Times New Roman" w:cs="Times New Roman"/>
          <w:sz w:val="28"/>
          <w:szCs w:val="28"/>
        </w:rPr>
        <w:t xml:space="preserve">, B. M., Berg, J., Chong, B. W., Gross, H., Nystrom, K., Adeoye, O., </w:t>
      </w:r>
      <w:proofErr w:type="spellStart"/>
      <w:r w:rsidRPr="000A6C21">
        <w:rPr>
          <w:rFonts w:ascii="Times New Roman" w:hAnsi="Times New Roman" w:cs="Times New Roman"/>
          <w:sz w:val="28"/>
          <w:szCs w:val="28"/>
        </w:rPr>
        <w:t>Schwamm</w:t>
      </w:r>
      <w:proofErr w:type="spellEnd"/>
      <w:r w:rsidRPr="000A6C21">
        <w:rPr>
          <w:rFonts w:ascii="Times New Roman" w:hAnsi="Times New Roman" w:cs="Times New Roman"/>
          <w:sz w:val="28"/>
          <w:szCs w:val="28"/>
        </w:rPr>
        <w:t xml:space="preserve">, L., Wechsler, L., &amp; Whitchurch, S. (2017). American Telemedicine Association: </w:t>
      </w:r>
      <w:proofErr w:type="spellStart"/>
      <w:r w:rsidRPr="000A6C21">
        <w:rPr>
          <w:rFonts w:ascii="Times New Roman" w:hAnsi="Times New Roman" w:cs="Times New Roman"/>
          <w:sz w:val="28"/>
          <w:szCs w:val="28"/>
        </w:rPr>
        <w:t>Telestroke</w:t>
      </w:r>
      <w:proofErr w:type="spellEnd"/>
      <w:r w:rsidRPr="000A6C21">
        <w:rPr>
          <w:rFonts w:ascii="Times New Roman" w:hAnsi="Times New Roman" w:cs="Times New Roman"/>
          <w:sz w:val="28"/>
          <w:szCs w:val="28"/>
        </w:rPr>
        <w:t xml:space="preserve"> Guidelines. Telemedicine Journal and e-Health. </w:t>
      </w:r>
      <w:hyperlink r:id="rId12" w:history="1">
        <w:r w:rsidRPr="00921B06">
          <w:rPr>
            <w:rStyle w:val="Hyperlink"/>
            <w:rFonts w:ascii="Times New Roman" w:hAnsi="Times New Roman" w:cs="Times New Roman"/>
            <w:sz w:val="28"/>
            <w:szCs w:val="28"/>
          </w:rPr>
          <w:t>https://doi.org/10.1089/tmj.2017.0006</w:t>
        </w:r>
      </w:hyperlink>
      <w:r>
        <w:rPr>
          <w:rFonts w:ascii="Times New Roman" w:hAnsi="Times New Roman" w:cs="Times New Roman"/>
          <w:sz w:val="28"/>
          <w:szCs w:val="28"/>
        </w:rPr>
        <w:t xml:space="preserve"> </w:t>
      </w:r>
    </w:p>
    <w:p w14:paraId="4ECC7D46" w14:textId="77777777" w:rsidR="000A6CCB" w:rsidRPr="00C633CB" w:rsidRDefault="000A6CCB" w:rsidP="000A6CCB">
      <w:pPr>
        <w:numPr>
          <w:ilvl w:val="0"/>
          <w:numId w:val="1"/>
        </w:numPr>
        <w:rPr>
          <w:rFonts w:ascii="Times New Roman" w:hAnsi="Times New Roman" w:cs="Times New Roman"/>
          <w:sz w:val="28"/>
          <w:szCs w:val="28"/>
        </w:rPr>
      </w:pPr>
      <w:proofErr w:type="spellStart"/>
      <w:r w:rsidRPr="00C633CB">
        <w:rPr>
          <w:rFonts w:ascii="Times New Roman" w:hAnsi="Times New Roman" w:cs="Times New Roman"/>
          <w:sz w:val="28"/>
          <w:szCs w:val="28"/>
        </w:rPr>
        <w:t>Dichgans</w:t>
      </w:r>
      <w:proofErr w:type="spellEnd"/>
      <w:r w:rsidRPr="00C633CB">
        <w:rPr>
          <w:rFonts w:ascii="Times New Roman" w:hAnsi="Times New Roman" w:cs="Times New Roman"/>
          <w:sz w:val="28"/>
          <w:szCs w:val="28"/>
        </w:rPr>
        <w:t xml:space="preserve">, M., Malik, R., &amp; Traylor, M. (2014). Genome-wide association studies of stroke. </w:t>
      </w:r>
      <w:r w:rsidRPr="00C633CB">
        <w:rPr>
          <w:rFonts w:ascii="Times New Roman" w:hAnsi="Times New Roman" w:cs="Times New Roman"/>
          <w:i/>
          <w:iCs/>
          <w:sz w:val="28"/>
          <w:szCs w:val="28"/>
        </w:rPr>
        <w:t>Stroke, 45</w:t>
      </w:r>
      <w:r w:rsidRPr="00C633CB">
        <w:rPr>
          <w:rFonts w:ascii="Times New Roman" w:hAnsi="Times New Roman" w:cs="Times New Roman"/>
          <w:sz w:val="28"/>
          <w:szCs w:val="28"/>
        </w:rPr>
        <w:t>(6), 1834–1840.</w:t>
      </w:r>
    </w:p>
    <w:p w14:paraId="15EECC69" w14:textId="4D90B807" w:rsidR="000A6CCB" w:rsidRPr="00C633CB" w:rsidRDefault="00A245F3" w:rsidP="000A6CCB">
      <w:pPr>
        <w:numPr>
          <w:ilvl w:val="0"/>
          <w:numId w:val="1"/>
        </w:numPr>
        <w:rPr>
          <w:rFonts w:ascii="Times New Roman" w:hAnsi="Times New Roman" w:cs="Times New Roman"/>
          <w:sz w:val="28"/>
          <w:szCs w:val="28"/>
        </w:rPr>
      </w:pPr>
      <w:proofErr w:type="spellStart"/>
      <w:r w:rsidRPr="00A245F3">
        <w:rPr>
          <w:rFonts w:ascii="Times New Roman" w:hAnsi="Times New Roman" w:cs="Times New Roman"/>
          <w:sz w:val="28"/>
          <w:szCs w:val="28"/>
        </w:rPr>
        <w:t>Donnan</w:t>
      </w:r>
      <w:proofErr w:type="spellEnd"/>
      <w:r w:rsidRPr="00A245F3">
        <w:rPr>
          <w:rFonts w:ascii="Times New Roman" w:hAnsi="Times New Roman" w:cs="Times New Roman"/>
          <w:sz w:val="28"/>
          <w:szCs w:val="28"/>
        </w:rPr>
        <w:t xml:space="preserve">, G. A., Fisher, M., Macleod, M., &amp; Davis, S. M. (2008). Stroke. The Lancet, 371(9624), 1612–1623. </w:t>
      </w:r>
      <w:hyperlink r:id="rId13" w:history="1">
        <w:r w:rsidRPr="00921B06">
          <w:rPr>
            <w:rStyle w:val="Hyperlink"/>
            <w:rFonts w:ascii="Times New Roman" w:hAnsi="Times New Roman" w:cs="Times New Roman"/>
            <w:sz w:val="28"/>
            <w:szCs w:val="28"/>
          </w:rPr>
          <w:t>https://doi.org/10.1016/S0140-6736(08)60694-7</w:t>
        </w:r>
      </w:hyperlink>
      <w:r>
        <w:rPr>
          <w:rFonts w:ascii="Times New Roman" w:hAnsi="Times New Roman" w:cs="Times New Roman"/>
          <w:sz w:val="28"/>
          <w:szCs w:val="28"/>
        </w:rPr>
        <w:t xml:space="preserve"> </w:t>
      </w:r>
    </w:p>
    <w:p w14:paraId="052493CB" w14:textId="77777777" w:rsidR="000A6CCB" w:rsidRPr="00C633CB" w:rsidRDefault="000A6CCB" w:rsidP="000A6CCB">
      <w:pPr>
        <w:numPr>
          <w:ilvl w:val="0"/>
          <w:numId w:val="1"/>
        </w:numPr>
        <w:rPr>
          <w:rFonts w:ascii="Times New Roman" w:hAnsi="Times New Roman" w:cs="Times New Roman"/>
          <w:sz w:val="28"/>
          <w:szCs w:val="28"/>
        </w:rPr>
      </w:pPr>
      <w:r w:rsidRPr="00C633CB">
        <w:rPr>
          <w:rFonts w:ascii="Times New Roman" w:hAnsi="Times New Roman" w:cs="Times New Roman"/>
          <w:sz w:val="28"/>
          <w:szCs w:val="28"/>
        </w:rPr>
        <w:t xml:space="preserve">Easton, J. D., Saver, J. L., Albers, G. W., et al. (2009). Definition and evaluation of transient ischemic attack. </w:t>
      </w:r>
      <w:r w:rsidRPr="00C633CB">
        <w:rPr>
          <w:rFonts w:ascii="Times New Roman" w:hAnsi="Times New Roman" w:cs="Times New Roman"/>
          <w:i/>
          <w:iCs/>
          <w:sz w:val="28"/>
          <w:szCs w:val="28"/>
        </w:rPr>
        <w:t>Stroke, 40</w:t>
      </w:r>
      <w:r w:rsidRPr="00C633CB">
        <w:rPr>
          <w:rFonts w:ascii="Times New Roman" w:hAnsi="Times New Roman" w:cs="Times New Roman"/>
          <w:sz w:val="28"/>
          <w:szCs w:val="28"/>
        </w:rPr>
        <w:t>(6), 2276–2293.</w:t>
      </w:r>
    </w:p>
    <w:p w14:paraId="67467656" w14:textId="242C6C01" w:rsidR="000A6CCB" w:rsidRPr="00C633CB" w:rsidRDefault="00F95A21" w:rsidP="000A6CCB">
      <w:pPr>
        <w:numPr>
          <w:ilvl w:val="0"/>
          <w:numId w:val="1"/>
        </w:numPr>
        <w:rPr>
          <w:rFonts w:ascii="Times New Roman" w:hAnsi="Times New Roman" w:cs="Times New Roman"/>
          <w:sz w:val="28"/>
          <w:szCs w:val="28"/>
        </w:rPr>
      </w:pPr>
      <w:r w:rsidRPr="00F95A21">
        <w:rPr>
          <w:rFonts w:ascii="Times New Roman" w:hAnsi="Times New Roman" w:cs="Times New Roman"/>
          <w:sz w:val="28"/>
          <w:szCs w:val="28"/>
        </w:rPr>
        <w:t xml:space="preserve">Elkind, M. S. V., Boehme, A. K., Smith, C. J., Meisel, A., &amp; Buckwalter, M. S. (2020). Infection as a Stroke Risk Factor and Determinant of Outcome After Stroke. Stroke. </w:t>
      </w:r>
      <w:hyperlink r:id="rId14" w:history="1">
        <w:r w:rsidRPr="00921B06">
          <w:rPr>
            <w:rStyle w:val="Hyperlink"/>
            <w:rFonts w:ascii="Times New Roman" w:hAnsi="Times New Roman" w:cs="Times New Roman"/>
            <w:sz w:val="28"/>
            <w:szCs w:val="28"/>
          </w:rPr>
          <w:t>https://doi.org/10.1161/STROKEAHA.120.030429</w:t>
        </w:r>
      </w:hyperlink>
      <w:r>
        <w:rPr>
          <w:rFonts w:ascii="Times New Roman" w:hAnsi="Times New Roman" w:cs="Times New Roman"/>
          <w:sz w:val="28"/>
          <w:szCs w:val="28"/>
        </w:rPr>
        <w:t xml:space="preserve"> </w:t>
      </w:r>
    </w:p>
    <w:p w14:paraId="1536A5CD" w14:textId="116A7B7B" w:rsidR="000A6CCB" w:rsidRPr="00C633CB" w:rsidRDefault="00967513" w:rsidP="000A6CCB">
      <w:pPr>
        <w:numPr>
          <w:ilvl w:val="0"/>
          <w:numId w:val="1"/>
        </w:numPr>
        <w:rPr>
          <w:rFonts w:ascii="Times New Roman" w:hAnsi="Times New Roman" w:cs="Times New Roman"/>
          <w:sz w:val="28"/>
          <w:szCs w:val="28"/>
        </w:rPr>
      </w:pPr>
      <w:proofErr w:type="spellStart"/>
      <w:r w:rsidRPr="00967513">
        <w:rPr>
          <w:rFonts w:ascii="Times New Roman" w:hAnsi="Times New Roman" w:cs="Times New Roman"/>
          <w:sz w:val="28"/>
          <w:szCs w:val="28"/>
        </w:rPr>
        <w:t>Feigin</w:t>
      </w:r>
      <w:proofErr w:type="spellEnd"/>
      <w:r w:rsidRPr="00967513">
        <w:rPr>
          <w:rFonts w:ascii="Times New Roman" w:hAnsi="Times New Roman" w:cs="Times New Roman"/>
          <w:sz w:val="28"/>
          <w:szCs w:val="28"/>
        </w:rPr>
        <w:t xml:space="preserve">, V. L., </w:t>
      </w:r>
      <w:proofErr w:type="spellStart"/>
      <w:r w:rsidRPr="00967513">
        <w:rPr>
          <w:rFonts w:ascii="Times New Roman" w:hAnsi="Times New Roman" w:cs="Times New Roman"/>
          <w:sz w:val="28"/>
          <w:szCs w:val="28"/>
        </w:rPr>
        <w:t>Norrving</w:t>
      </w:r>
      <w:proofErr w:type="spellEnd"/>
      <w:r w:rsidRPr="00967513">
        <w:rPr>
          <w:rFonts w:ascii="Times New Roman" w:hAnsi="Times New Roman" w:cs="Times New Roman"/>
          <w:sz w:val="28"/>
          <w:szCs w:val="28"/>
        </w:rPr>
        <w:t xml:space="preserve">, B., &amp; Mensah, G. A. (2017). Global burden of stroke. Circulation Research, 120(3), 439–448. </w:t>
      </w:r>
      <w:hyperlink r:id="rId15" w:history="1">
        <w:r w:rsidRPr="00921B06">
          <w:rPr>
            <w:rStyle w:val="Hyperlink"/>
            <w:rFonts w:ascii="Times New Roman" w:hAnsi="Times New Roman" w:cs="Times New Roman"/>
            <w:sz w:val="28"/>
            <w:szCs w:val="28"/>
          </w:rPr>
          <w:t>https://doi.org/10.1161/CIRCRESAHA.116.308413</w:t>
        </w:r>
      </w:hyperlink>
      <w:r>
        <w:rPr>
          <w:rFonts w:ascii="Times New Roman" w:hAnsi="Times New Roman" w:cs="Times New Roman"/>
          <w:sz w:val="28"/>
          <w:szCs w:val="28"/>
        </w:rPr>
        <w:t xml:space="preserve"> </w:t>
      </w:r>
    </w:p>
    <w:p w14:paraId="6C8353CE" w14:textId="5E363294" w:rsidR="000A6CCB" w:rsidRPr="00C633CB" w:rsidRDefault="00302460" w:rsidP="000A6CCB">
      <w:pPr>
        <w:numPr>
          <w:ilvl w:val="0"/>
          <w:numId w:val="1"/>
        </w:numPr>
        <w:rPr>
          <w:rFonts w:ascii="Times New Roman" w:hAnsi="Times New Roman" w:cs="Times New Roman"/>
          <w:sz w:val="28"/>
          <w:szCs w:val="28"/>
        </w:rPr>
      </w:pPr>
      <w:r w:rsidRPr="00302460">
        <w:rPr>
          <w:rFonts w:ascii="Times New Roman" w:hAnsi="Times New Roman" w:cs="Times New Roman"/>
          <w:sz w:val="28"/>
          <w:szCs w:val="28"/>
        </w:rPr>
        <w:t xml:space="preserve">GBD 2021 Stroke Risk Factor Collaborators. (2024). Global, regional, and national burden of stroke and its risk factors, 1990–2021: a systematic analysis for the Global Burden of Disease Study 2021. The Lancet Neurology, 23(10), 973–1003. </w:t>
      </w:r>
      <w:hyperlink r:id="rId16" w:history="1">
        <w:r w:rsidRPr="00921B06">
          <w:rPr>
            <w:rStyle w:val="Hyperlink"/>
            <w:rFonts w:ascii="Times New Roman" w:hAnsi="Times New Roman" w:cs="Times New Roman"/>
            <w:sz w:val="28"/>
            <w:szCs w:val="28"/>
          </w:rPr>
          <w:t>https://doi.org/10.1016/S1474-4422(24)00369-7</w:t>
        </w:r>
      </w:hyperlink>
      <w:r>
        <w:rPr>
          <w:rFonts w:ascii="Times New Roman" w:hAnsi="Times New Roman" w:cs="Times New Roman"/>
          <w:sz w:val="28"/>
          <w:szCs w:val="28"/>
        </w:rPr>
        <w:t xml:space="preserve"> </w:t>
      </w:r>
    </w:p>
    <w:p w14:paraId="0532F7BB" w14:textId="6E51C4F5" w:rsidR="000A6CCB" w:rsidRPr="00C633CB" w:rsidRDefault="00B6658E" w:rsidP="000A6CCB">
      <w:pPr>
        <w:numPr>
          <w:ilvl w:val="0"/>
          <w:numId w:val="1"/>
        </w:numPr>
        <w:rPr>
          <w:rFonts w:ascii="Times New Roman" w:hAnsi="Times New Roman" w:cs="Times New Roman"/>
          <w:sz w:val="28"/>
          <w:szCs w:val="28"/>
        </w:rPr>
      </w:pPr>
      <w:r w:rsidRPr="00B6658E">
        <w:rPr>
          <w:rFonts w:ascii="Times New Roman" w:hAnsi="Times New Roman" w:cs="Times New Roman"/>
          <w:sz w:val="28"/>
          <w:szCs w:val="28"/>
        </w:rPr>
        <w:t xml:space="preserve">Gorelick, P. B., </w:t>
      </w:r>
      <w:proofErr w:type="spellStart"/>
      <w:r w:rsidRPr="00B6658E">
        <w:rPr>
          <w:rFonts w:ascii="Times New Roman" w:hAnsi="Times New Roman" w:cs="Times New Roman"/>
          <w:sz w:val="28"/>
          <w:szCs w:val="28"/>
        </w:rPr>
        <w:t>Scuteri</w:t>
      </w:r>
      <w:proofErr w:type="spellEnd"/>
      <w:r w:rsidRPr="00B6658E">
        <w:rPr>
          <w:rFonts w:ascii="Times New Roman" w:hAnsi="Times New Roman" w:cs="Times New Roman"/>
          <w:sz w:val="28"/>
          <w:szCs w:val="28"/>
        </w:rPr>
        <w:t xml:space="preserve">, A., Black, S. E., </w:t>
      </w:r>
      <w:proofErr w:type="spellStart"/>
      <w:r w:rsidRPr="00B6658E">
        <w:rPr>
          <w:rFonts w:ascii="Times New Roman" w:hAnsi="Times New Roman" w:cs="Times New Roman"/>
          <w:sz w:val="28"/>
          <w:szCs w:val="28"/>
        </w:rPr>
        <w:t>DeCarli</w:t>
      </w:r>
      <w:proofErr w:type="spellEnd"/>
      <w:r w:rsidRPr="00B6658E">
        <w:rPr>
          <w:rFonts w:ascii="Times New Roman" w:hAnsi="Times New Roman" w:cs="Times New Roman"/>
          <w:sz w:val="28"/>
          <w:szCs w:val="28"/>
        </w:rPr>
        <w:t xml:space="preserve">, C., Greenberg, S. M., </w:t>
      </w:r>
      <w:proofErr w:type="spellStart"/>
      <w:r w:rsidRPr="00B6658E">
        <w:rPr>
          <w:rFonts w:ascii="Times New Roman" w:hAnsi="Times New Roman" w:cs="Times New Roman"/>
          <w:sz w:val="28"/>
          <w:szCs w:val="28"/>
        </w:rPr>
        <w:t>Iadecola</w:t>
      </w:r>
      <w:proofErr w:type="spellEnd"/>
      <w:r w:rsidRPr="00B6658E">
        <w:rPr>
          <w:rFonts w:ascii="Times New Roman" w:hAnsi="Times New Roman" w:cs="Times New Roman"/>
          <w:sz w:val="28"/>
          <w:szCs w:val="28"/>
        </w:rPr>
        <w:t xml:space="preserve">, C., </w:t>
      </w:r>
      <w:proofErr w:type="spellStart"/>
      <w:r w:rsidRPr="00B6658E">
        <w:rPr>
          <w:rFonts w:ascii="Times New Roman" w:hAnsi="Times New Roman" w:cs="Times New Roman"/>
          <w:sz w:val="28"/>
          <w:szCs w:val="28"/>
        </w:rPr>
        <w:t>Launer</w:t>
      </w:r>
      <w:proofErr w:type="spellEnd"/>
      <w:r w:rsidRPr="00B6658E">
        <w:rPr>
          <w:rFonts w:ascii="Times New Roman" w:hAnsi="Times New Roman" w:cs="Times New Roman"/>
          <w:sz w:val="28"/>
          <w:szCs w:val="28"/>
        </w:rPr>
        <w:t xml:space="preserve">, L. J., Laurent, S., Lopez, O. L., </w:t>
      </w:r>
      <w:proofErr w:type="spellStart"/>
      <w:r w:rsidRPr="00B6658E">
        <w:rPr>
          <w:rFonts w:ascii="Times New Roman" w:hAnsi="Times New Roman" w:cs="Times New Roman"/>
          <w:sz w:val="28"/>
          <w:szCs w:val="28"/>
        </w:rPr>
        <w:t>Nyenhuis</w:t>
      </w:r>
      <w:proofErr w:type="spellEnd"/>
      <w:r w:rsidRPr="00B6658E">
        <w:rPr>
          <w:rFonts w:ascii="Times New Roman" w:hAnsi="Times New Roman" w:cs="Times New Roman"/>
          <w:sz w:val="28"/>
          <w:szCs w:val="28"/>
        </w:rPr>
        <w:t xml:space="preserve">, D., </w:t>
      </w:r>
      <w:r w:rsidRPr="00B6658E">
        <w:rPr>
          <w:rFonts w:ascii="Times New Roman" w:hAnsi="Times New Roman" w:cs="Times New Roman"/>
          <w:sz w:val="28"/>
          <w:szCs w:val="28"/>
        </w:rPr>
        <w:lastRenderedPageBreak/>
        <w:t xml:space="preserve">Petersen, R. C., Schneider, J. A., </w:t>
      </w:r>
      <w:proofErr w:type="spellStart"/>
      <w:r w:rsidRPr="00B6658E">
        <w:rPr>
          <w:rFonts w:ascii="Times New Roman" w:hAnsi="Times New Roman" w:cs="Times New Roman"/>
          <w:sz w:val="28"/>
          <w:szCs w:val="28"/>
        </w:rPr>
        <w:t>Tzourio</w:t>
      </w:r>
      <w:proofErr w:type="spellEnd"/>
      <w:r w:rsidRPr="00B6658E">
        <w:rPr>
          <w:rFonts w:ascii="Times New Roman" w:hAnsi="Times New Roman" w:cs="Times New Roman"/>
          <w:sz w:val="28"/>
          <w:szCs w:val="28"/>
        </w:rPr>
        <w:t xml:space="preserve">, C., Arnett, D. K., Bennett, D. A., Chui, H. C., </w:t>
      </w:r>
      <w:proofErr w:type="spellStart"/>
      <w:r w:rsidRPr="00B6658E">
        <w:rPr>
          <w:rFonts w:ascii="Times New Roman" w:hAnsi="Times New Roman" w:cs="Times New Roman"/>
          <w:sz w:val="28"/>
          <w:szCs w:val="28"/>
        </w:rPr>
        <w:t>Higashida</w:t>
      </w:r>
      <w:proofErr w:type="spellEnd"/>
      <w:r w:rsidRPr="00B6658E">
        <w:rPr>
          <w:rFonts w:ascii="Times New Roman" w:hAnsi="Times New Roman" w:cs="Times New Roman"/>
          <w:sz w:val="28"/>
          <w:szCs w:val="28"/>
        </w:rPr>
        <w:t xml:space="preserve">, R. T., Lindquist, R., Nilsson, P. M., Roman, G. C., </w:t>
      </w:r>
      <w:proofErr w:type="spellStart"/>
      <w:r w:rsidRPr="00B6658E">
        <w:rPr>
          <w:rFonts w:ascii="Times New Roman" w:hAnsi="Times New Roman" w:cs="Times New Roman"/>
          <w:sz w:val="28"/>
          <w:szCs w:val="28"/>
        </w:rPr>
        <w:t>Sellke</w:t>
      </w:r>
      <w:proofErr w:type="spellEnd"/>
      <w:r w:rsidRPr="00B6658E">
        <w:rPr>
          <w:rFonts w:ascii="Times New Roman" w:hAnsi="Times New Roman" w:cs="Times New Roman"/>
          <w:sz w:val="28"/>
          <w:szCs w:val="28"/>
        </w:rPr>
        <w:t xml:space="preserve">, F. W., &amp; Seshadri, S. (2011). Vascular contributions to cognitive impairment and dementia: A statement for healthcare professionals from the American Heart Association/American Stroke Association. *Stroke*, *42*(9), 2672–2713. </w:t>
      </w:r>
      <w:hyperlink r:id="rId17" w:history="1">
        <w:r w:rsidRPr="00921B06">
          <w:rPr>
            <w:rStyle w:val="Hyperlink"/>
            <w:rFonts w:ascii="Times New Roman" w:hAnsi="Times New Roman" w:cs="Times New Roman"/>
            <w:sz w:val="28"/>
            <w:szCs w:val="28"/>
          </w:rPr>
          <w:t>https://doi.org/10.1161/STR.0b013e3182299496</w:t>
        </w:r>
      </w:hyperlink>
      <w:r>
        <w:rPr>
          <w:rFonts w:ascii="Times New Roman" w:hAnsi="Times New Roman" w:cs="Times New Roman"/>
          <w:sz w:val="28"/>
          <w:szCs w:val="28"/>
        </w:rPr>
        <w:t xml:space="preserve"> </w:t>
      </w:r>
    </w:p>
    <w:p w14:paraId="0F567802" w14:textId="50E68831" w:rsidR="000A6CCB" w:rsidRPr="00C633CB" w:rsidRDefault="007F1A69" w:rsidP="000A6CCB">
      <w:pPr>
        <w:numPr>
          <w:ilvl w:val="0"/>
          <w:numId w:val="1"/>
        </w:numPr>
        <w:rPr>
          <w:rFonts w:ascii="Times New Roman" w:hAnsi="Times New Roman" w:cs="Times New Roman"/>
          <w:sz w:val="28"/>
          <w:szCs w:val="28"/>
        </w:rPr>
      </w:pPr>
      <w:r w:rsidRPr="007F1A69">
        <w:rPr>
          <w:rFonts w:ascii="Times New Roman" w:hAnsi="Times New Roman" w:cs="Times New Roman"/>
          <w:sz w:val="28"/>
          <w:szCs w:val="28"/>
        </w:rPr>
        <w:t xml:space="preserve">Greenberg, S. M., </w:t>
      </w:r>
      <w:proofErr w:type="spellStart"/>
      <w:r w:rsidRPr="007F1A69">
        <w:rPr>
          <w:rFonts w:ascii="Times New Roman" w:hAnsi="Times New Roman" w:cs="Times New Roman"/>
          <w:sz w:val="28"/>
          <w:szCs w:val="28"/>
        </w:rPr>
        <w:t>Ziai</w:t>
      </w:r>
      <w:proofErr w:type="spellEnd"/>
      <w:r w:rsidRPr="007F1A69">
        <w:rPr>
          <w:rFonts w:ascii="Times New Roman" w:hAnsi="Times New Roman" w:cs="Times New Roman"/>
          <w:sz w:val="28"/>
          <w:szCs w:val="28"/>
        </w:rPr>
        <w:t xml:space="preserve">, W. C., </w:t>
      </w:r>
      <w:proofErr w:type="spellStart"/>
      <w:r w:rsidRPr="007F1A69">
        <w:rPr>
          <w:rFonts w:ascii="Times New Roman" w:hAnsi="Times New Roman" w:cs="Times New Roman"/>
          <w:sz w:val="28"/>
          <w:szCs w:val="28"/>
        </w:rPr>
        <w:t>Cordonnier</w:t>
      </w:r>
      <w:proofErr w:type="spellEnd"/>
      <w:r w:rsidRPr="007F1A69">
        <w:rPr>
          <w:rFonts w:ascii="Times New Roman" w:hAnsi="Times New Roman" w:cs="Times New Roman"/>
          <w:sz w:val="28"/>
          <w:szCs w:val="28"/>
        </w:rPr>
        <w:t xml:space="preserve">, C., </w:t>
      </w:r>
      <w:proofErr w:type="spellStart"/>
      <w:r w:rsidRPr="007F1A69">
        <w:rPr>
          <w:rFonts w:ascii="Times New Roman" w:hAnsi="Times New Roman" w:cs="Times New Roman"/>
          <w:sz w:val="28"/>
          <w:szCs w:val="28"/>
        </w:rPr>
        <w:t>Dowlatshahi</w:t>
      </w:r>
      <w:proofErr w:type="spellEnd"/>
      <w:r w:rsidRPr="007F1A69">
        <w:rPr>
          <w:rFonts w:ascii="Times New Roman" w:hAnsi="Times New Roman" w:cs="Times New Roman"/>
          <w:sz w:val="28"/>
          <w:szCs w:val="28"/>
        </w:rPr>
        <w:t xml:space="preserve">, D., Francis, B., Goldstein, J. N., Hemphill, J. C., Johnson, R., </w:t>
      </w:r>
      <w:proofErr w:type="spellStart"/>
      <w:r w:rsidRPr="007F1A69">
        <w:rPr>
          <w:rFonts w:ascii="Times New Roman" w:hAnsi="Times New Roman" w:cs="Times New Roman"/>
          <w:sz w:val="28"/>
          <w:szCs w:val="28"/>
        </w:rPr>
        <w:t>Keigher</w:t>
      </w:r>
      <w:proofErr w:type="spellEnd"/>
      <w:r w:rsidRPr="007F1A69">
        <w:rPr>
          <w:rFonts w:ascii="Times New Roman" w:hAnsi="Times New Roman" w:cs="Times New Roman"/>
          <w:sz w:val="28"/>
          <w:szCs w:val="28"/>
        </w:rPr>
        <w:t xml:space="preserve">, K. M., Mack, W. J., </w:t>
      </w:r>
      <w:proofErr w:type="spellStart"/>
      <w:r w:rsidRPr="007F1A69">
        <w:rPr>
          <w:rFonts w:ascii="Times New Roman" w:hAnsi="Times New Roman" w:cs="Times New Roman"/>
          <w:sz w:val="28"/>
          <w:szCs w:val="28"/>
        </w:rPr>
        <w:t>Mocco</w:t>
      </w:r>
      <w:proofErr w:type="spellEnd"/>
      <w:r w:rsidRPr="007F1A69">
        <w:rPr>
          <w:rFonts w:ascii="Times New Roman" w:hAnsi="Times New Roman" w:cs="Times New Roman"/>
          <w:sz w:val="28"/>
          <w:szCs w:val="28"/>
        </w:rPr>
        <w:t xml:space="preserve">, J., Newton, E. J., Ruff, I. M., </w:t>
      </w:r>
      <w:proofErr w:type="spellStart"/>
      <w:r w:rsidRPr="007F1A69">
        <w:rPr>
          <w:rFonts w:ascii="Times New Roman" w:hAnsi="Times New Roman" w:cs="Times New Roman"/>
          <w:sz w:val="28"/>
          <w:szCs w:val="28"/>
        </w:rPr>
        <w:t>Sansing</w:t>
      </w:r>
      <w:proofErr w:type="spellEnd"/>
      <w:r w:rsidRPr="007F1A69">
        <w:rPr>
          <w:rFonts w:ascii="Times New Roman" w:hAnsi="Times New Roman" w:cs="Times New Roman"/>
          <w:sz w:val="28"/>
          <w:szCs w:val="28"/>
        </w:rPr>
        <w:t xml:space="preserve">, L. H., Schulman, S., Selim, M. H., </w:t>
      </w:r>
      <w:proofErr w:type="spellStart"/>
      <w:r w:rsidRPr="007F1A69">
        <w:rPr>
          <w:rFonts w:ascii="Times New Roman" w:hAnsi="Times New Roman" w:cs="Times New Roman"/>
          <w:sz w:val="28"/>
          <w:szCs w:val="28"/>
        </w:rPr>
        <w:t>Sheth</w:t>
      </w:r>
      <w:proofErr w:type="spellEnd"/>
      <w:r w:rsidRPr="007F1A69">
        <w:rPr>
          <w:rFonts w:ascii="Times New Roman" w:hAnsi="Times New Roman" w:cs="Times New Roman"/>
          <w:sz w:val="28"/>
          <w:szCs w:val="28"/>
        </w:rPr>
        <w:t xml:space="preserve">, K. N., </w:t>
      </w:r>
      <w:proofErr w:type="spellStart"/>
      <w:r w:rsidRPr="007F1A69">
        <w:rPr>
          <w:rFonts w:ascii="Times New Roman" w:hAnsi="Times New Roman" w:cs="Times New Roman"/>
          <w:sz w:val="28"/>
          <w:szCs w:val="28"/>
        </w:rPr>
        <w:t>Sprigg</w:t>
      </w:r>
      <w:proofErr w:type="spellEnd"/>
      <w:r w:rsidRPr="007F1A69">
        <w:rPr>
          <w:rFonts w:ascii="Times New Roman" w:hAnsi="Times New Roman" w:cs="Times New Roman"/>
          <w:sz w:val="28"/>
          <w:szCs w:val="28"/>
        </w:rPr>
        <w:t xml:space="preserve">, N., </w:t>
      </w:r>
      <w:proofErr w:type="spellStart"/>
      <w:r w:rsidRPr="007F1A69">
        <w:rPr>
          <w:rFonts w:ascii="Times New Roman" w:hAnsi="Times New Roman" w:cs="Times New Roman"/>
          <w:sz w:val="28"/>
          <w:szCs w:val="28"/>
        </w:rPr>
        <w:t>Sunnerhagen</w:t>
      </w:r>
      <w:proofErr w:type="spellEnd"/>
      <w:r w:rsidRPr="007F1A69">
        <w:rPr>
          <w:rFonts w:ascii="Times New Roman" w:hAnsi="Times New Roman" w:cs="Times New Roman"/>
          <w:sz w:val="28"/>
          <w:szCs w:val="28"/>
        </w:rPr>
        <w:t xml:space="preserve">, K. S., &amp; American Heart Association/American Stroke Association. (2022). 2022 Guideline for the Management of Patients </w:t>
      </w:r>
      <w:proofErr w:type="gramStart"/>
      <w:r w:rsidRPr="007F1A69">
        <w:rPr>
          <w:rFonts w:ascii="Times New Roman" w:hAnsi="Times New Roman" w:cs="Times New Roman"/>
          <w:sz w:val="28"/>
          <w:szCs w:val="28"/>
        </w:rPr>
        <w:t>With</w:t>
      </w:r>
      <w:proofErr w:type="gramEnd"/>
      <w:r w:rsidRPr="007F1A69">
        <w:rPr>
          <w:rFonts w:ascii="Times New Roman" w:hAnsi="Times New Roman" w:cs="Times New Roman"/>
          <w:sz w:val="28"/>
          <w:szCs w:val="28"/>
        </w:rPr>
        <w:t xml:space="preserve"> Spontaneous Intracerebral </w:t>
      </w:r>
      <w:proofErr w:type="spellStart"/>
      <w:r w:rsidRPr="007F1A69">
        <w:rPr>
          <w:rFonts w:ascii="Times New Roman" w:hAnsi="Times New Roman" w:cs="Times New Roman"/>
          <w:sz w:val="28"/>
          <w:szCs w:val="28"/>
        </w:rPr>
        <w:t>Hemorrhage</w:t>
      </w:r>
      <w:proofErr w:type="spellEnd"/>
      <w:r w:rsidRPr="007F1A69">
        <w:rPr>
          <w:rFonts w:ascii="Times New Roman" w:hAnsi="Times New Roman" w:cs="Times New Roman"/>
          <w:sz w:val="28"/>
          <w:szCs w:val="28"/>
        </w:rPr>
        <w:t xml:space="preserve">: A Guideline From the American Heart Association/American Stroke Association. *Stroke*, *53*(7), e282–e361. </w:t>
      </w:r>
      <w:hyperlink r:id="rId18" w:history="1">
        <w:r w:rsidRPr="00921B06">
          <w:rPr>
            <w:rStyle w:val="Hyperlink"/>
            <w:rFonts w:ascii="Times New Roman" w:hAnsi="Times New Roman" w:cs="Times New Roman"/>
            <w:sz w:val="28"/>
            <w:szCs w:val="28"/>
          </w:rPr>
          <w:t>https://doi.org/10.1161/STR.0000000000000407</w:t>
        </w:r>
      </w:hyperlink>
      <w:r>
        <w:rPr>
          <w:rFonts w:ascii="Times New Roman" w:hAnsi="Times New Roman" w:cs="Times New Roman"/>
          <w:sz w:val="28"/>
          <w:szCs w:val="28"/>
        </w:rPr>
        <w:t xml:space="preserve"> </w:t>
      </w:r>
    </w:p>
    <w:p w14:paraId="0346AB9D" w14:textId="77777777" w:rsidR="000A6CCB" w:rsidRPr="00C633CB" w:rsidRDefault="000A6CCB" w:rsidP="000A6CCB">
      <w:pPr>
        <w:numPr>
          <w:ilvl w:val="0"/>
          <w:numId w:val="1"/>
        </w:numPr>
        <w:rPr>
          <w:rFonts w:ascii="Times New Roman" w:hAnsi="Times New Roman" w:cs="Times New Roman"/>
          <w:sz w:val="28"/>
          <w:szCs w:val="28"/>
        </w:rPr>
      </w:pPr>
      <w:r w:rsidRPr="00C633CB">
        <w:rPr>
          <w:rFonts w:ascii="Times New Roman" w:hAnsi="Times New Roman" w:cs="Times New Roman"/>
          <w:sz w:val="28"/>
          <w:szCs w:val="28"/>
        </w:rPr>
        <w:t xml:space="preserve">Hansson, G. K. (2017). Inflammation and atherosclerosis. </w:t>
      </w:r>
      <w:r w:rsidRPr="00C633CB">
        <w:rPr>
          <w:rFonts w:ascii="Times New Roman" w:hAnsi="Times New Roman" w:cs="Times New Roman"/>
          <w:i/>
          <w:iCs/>
          <w:sz w:val="28"/>
          <w:szCs w:val="28"/>
        </w:rPr>
        <w:t>Journal of Internal Medicine, 281</w:t>
      </w:r>
      <w:r w:rsidRPr="00C633CB">
        <w:rPr>
          <w:rFonts w:ascii="Times New Roman" w:hAnsi="Times New Roman" w:cs="Times New Roman"/>
          <w:sz w:val="28"/>
          <w:szCs w:val="28"/>
        </w:rPr>
        <w:t>(3), 211–227.</w:t>
      </w:r>
    </w:p>
    <w:p w14:paraId="49325311" w14:textId="287ED9CE" w:rsidR="000A6CCB" w:rsidRPr="00C633CB" w:rsidRDefault="00E076B9" w:rsidP="000A6CCB">
      <w:pPr>
        <w:numPr>
          <w:ilvl w:val="0"/>
          <w:numId w:val="1"/>
        </w:numPr>
        <w:rPr>
          <w:rFonts w:ascii="Times New Roman" w:hAnsi="Times New Roman" w:cs="Times New Roman"/>
          <w:sz w:val="28"/>
          <w:szCs w:val="28"/>
        </w:rPr>
      </w:pPr>
      <w:proofErr w:type="spellStart"/>
      <w:r w:rsidRPr="00E076B9">
        <w:rPr>
          <w:rFonts w:ascii="Times New Roman" w:hAnsi="Times New Roman" w:cs="Times New Roman"/>
          <w:sz w:val="28"/>
          <w:szCs w:val="28"/>
        </w:rPr>
        <w:t>Iadecola</w:t>
      </w:r>
      <w:proofErr w:type="spellEnd"/>
      <w:r w:rsidRPr="00E076B9">
        <w:rPr>
          <w:rFonts w:ascii="Times New Roman" w:hAnsi="Times New Roman" w:cs="Times New Roman"/>
          <w:sz w:val="28"/>
          <w:szCs w:val="28"/>
        </w:rPr>
        <w:t xml:space="preserve">, C. (2013). The pathobiology of vascular dementia. Neuron, 80(4), 844–866. </w:t>
      </w:r>
      <w:hyperlink r:id="rId19" w:history="1">
        <w:r w:rsidRPr="00921B06">
          <w:rPr>
            <w:rStyle w:val="Hyperlink"/>
            <w:rFonts w:ascii="Times New Roman" w:hAnsi="Times New Roman" w:cs="Times New Roman"/>
            <w:sz w:val="28"/>
            <w:szCs w:val="28"/>
          </w:rPr>
          <w:t>https://doi.org/10.1016/j.neuron.2013.10.008</w:t>
        </w:r>
      </w:hyperlink>
      <w:r>
        <w:rPr>
          <w:rFonts w:ascii="Times New Roman" w:hAnsi="Times New Roman" w:cs="Times New Roman"/>
          <w:sz w:val="28"/>
          <w:szCs w:val="28"/>
        </w:rPr>
        <w:t xml:space="preserve"> </w:t>
      </w:r>
    </w:p>
    <w:p w14:paraId="2AA99363" w14:textId="29D9D750" w:rsidR="000A6CCB" w:rsidRPr="00C633CB" w:rsidRDefault="0026546E" w:rsidP="000A6CCB">
      <w:pPr>
        <w:numPr>
          <w:ilvl w:val="0"/>
          <w:numId w:val="1"/>
        </w:numPr>
        <w:rPr>
          <w:rFonts w:ascii="Times New Roman" w:hAnsi="Times New Roman" w:cs="Times New Roman"/>
          <w:sz w:val="28"/>
          <w:szCs w:val="28"/>
        </w:rPr>
      </w:pPr>
      <w:proofErr w:type="spellStart"/>
      <w:r w:rsidRPr="0026546E">
        <w:rPr>
          <w:rFonts w:ascii="Times New Roman" w:hAnsi="Times New Roman" w:cs="Times New Roman"/>
          <w:sz w:val="28"/>
          <w:szCs w:val="28"/>
        </w:rPr>
        <w:t>Iadecola</w:t>
      </w:r>
      <w:proofErr w:type="spellEnd"/>
      <w:r w:rsidRPr="0026546E">
        <w:rPr>
          <w:rFonts w:ascii="Times New Roman" w:hAnsi="Times New Roman" w:cs="Times New Roman"/>
          <w:sz w:val="28"/>
          <w:szCs w:val="28"/>
        </w:rPr>
        <w:t xml:space="preserve">, C., &amp; </w:t>
      </w:r>
      <w:proofErr w:type="spellStart"/>
      <w:r w:rsidRPr="0026546E">
        <w:rPr>
          <w:rFonts w:ascii="Times New Roman" w:hAnsi="Times New Roman" w:cs="Times New Roman"/>
          <w:sz w:val="28"/>
          <w:szCs w:val="28"/>
        </w:rPr>
        <w:t>Anrather</w:t>
      </w:r>
      <w:proofErr w:type="spellEnd"/>
      <w:r w:rsidRPr="0026546E">
        <w:rPr>
          <w:rFonts w:ascii="Times New Roman" w:hAnsi="Times New Roman" w:cs="Times New Roman"/>
          <w:sz w:val="28"/>
          <w:szCs w:val="28"/>
        </w:rPr>
        <w:t xml:space="preserve">, J. (2011). The immunology of stroke: from mechanisms to translation. Nature Medicine, 17(7), 796–808. </w:t>
      </w:r>
      <w:hyperlink r:id="rId20" w:history="1">
        <w:r w:rsidRPr="00921B06">
          <w:rPr>
            <w:rStyle w:val="Hyperlink"/>
            <w:rFonts w:ascii="Times New Roman" w:hAnsi="Times New Roman" w:cs="Times New Roman"/>
            <w:sz w:val="28"/>
            <w:szCs w:val="28"/>
          </w:rPr>
          <w:t>https://doi.org/10.1038/nm.2399</w:t>
        </w:r>
      </w:hyperlink>
      <w:r>
        <w:rPr>
          <w:rFonts w:ascii="Times New Roman" w:hAnsi="Times New Roman" w:cs="Times New Roman"/>
          <w:sz w:val="28"/>
          <w:szCs w:val="28"/>
        </w:rPr>
        <w:t xml:space="preserve"> </w:t>
      </w:r>
    </w:p>
    <w:p w14:paraId="46881023" w14:textId="749D6909" w:rsidR="000A6CCB" w:rsidRPr="00C633CB" w:rsidRDefault="000F1861" w:rsidP="000A6CCB">
      <w:pPr>
        <w:numPr>
          <w:ilvl w:val="0"/>
          <w:numId w:val="1"/>
        </w:numPr>
        <w:rPr>
          <w:rFonts w:ascii="Times New Roman" w:hAnsi="Times New Roman" w:cs="Times New Roman"/>
          <w:sz w:val="28"/>
          <w:szCs w:val="28"/>
        </w:rPr>
      </w:pPr>
      <w:r w:rsidRPr="000F1861">
        <w:rPr>
          <w:rFonts w:ascii="Times New Roman" w:hAnsi="Times New Roman" w:cs="Times New Roman"/>
          <w:sz w:val="28"/>
          <w:szCs w:val="28"/>
        </w:rPr>
        <w:t xml:space="preserve">Johnston, S. C., Rothwell, P. M., Nguyen-Huynh, M. N., Giles, M. F., Elkins, J. S., Bernstein, A. L., &amp; Sidney, S. (2007). Validation and refinement of scores to predict very early stroke risk after transient ischaemic attack. The Lancet, 369(9558), 283–292. </w:t>
      </w:r>
      <w:hyperlink r:id="rId21" w:history="1">
        <w:r w:rsidRPr="00921B06">
          <w:rPr>
            <w:rStyle w:val="Hyperlink"/>
            <w:rFonts w:ascii="Times New Roman" w:hAnsi="Times New Roman" w:cs="Times New Roman"/>
            <w:sz w:val="28"/>
            <w:szCs w:val="28"/>
          </w:rPr>
          <w:t>https://doi.org/10.1016/S0140-6736(07)60150-0</w:t>
        </w:r>
      </w:hyperlink>
      <w:r>
        <w:rPr>
          <w:rFonts w:ascii="Times New Roman" w:hAnsi="Times New Roman" w:cs="Times New Roman"/>
          <w:sz w:val="28"/>
          <w:szCs w:val="28"/>
        </w:rPr>
        <w:t xml:space="preserve"> </w:t>
      </w:r>
    </w:p>
    <w:p w14:paraId="6CDFDA04" w14:textId="242BC1CD" w:rsidR="000A6CCB" w:rsidRPr="00C633CB" w:rsidRDefault="00164AC9" w:rsidP="000A6CCB">
      <w:pPr>
        <w:numPr>
          <w:ilvl w:val="0"/>
          <w:numId w:val="1"/>
        </w:numPr>
        <w:rPr>
          <w:rFonts w:ascii="Times New Roman" w:hAnsi="Times New Roman" w:cs="Times New Roman"/>
          <w:sz w:val="28"/>
          <w:szCs w:val="28"/>
        </w:rPr>
      </w:pPr>
      <w:r w:rsidRPr="00164AC9">
        <w:rPr>
          <w:rFonts w:ascii="Times New Roman" w:hAnsi="Times New Roman" w:cs="Times New Roman"/>
          <w:sz w:val="28"/>
          <w:szCs w:val="28"/>
        </w:rPr>
        <w:t xml:space="preserve">Langhorne, P., Ramachandra, S., &amp; Stroke Unit Trialists' Collaboration. (2020). Organised inpatient (stroke unit) care for stroke: network meta-analysis. Cochrane Database of Systematic Reviews. </w:t>
      </w:r>
      <w:hyperlink r:id="rId22" w:history="1">
        <w:r w:rsidRPr="00921B06">
          <w:rPr>
            <w:rStyle w:val="Hyperlink"/>
            <w:rFonts w:ascii="Times New Roman" w:hAnsi="Times New Roman" w:cs="Times New Roman"/>
            <w:sz w:val="28"/>
            <w:szCs w:val="28"/>
          </w:rPr>
          <w:t>https://doi.org/10.1002/14651858.CD000197.pub4</w:t>
        </w:r>
      </w:hyperlink>
      <w:r>
        <w:rPr>
          <w:rFonts w:ascii="Times New Roman" w:hAnsi="Times New Roman" w:cs="Times New Roman"/>
          <w:sz w:val="28"/>
          <w:szCs w:val="28"/>
        </w:rPr>
        <w:t xml:space="preserve"> </w:t>
      </w:r>
    </w:p>
    <w:p w14:paraId="62BBBA58" w14:textId="074FA015" w:rsidR="000A6CCB" w:rsidRPr="00C633CB" w:rsidRDefault="009241A4" w:rsidP="000A6CCB">
      <w:pPr>
        <w:numPr>
          <w:ilvl w:val="0"/>
          <w:numId w:val="1"/>
        </w:numPr>
        <w:rPr>
          <w:rFonts w:ascii="Times New Roman" w:hAnsi="Times New Roman" w:cs="Times New Roman"/>
          <w:sz w:val="28"/>
          <w:szCs w:val="28"/>
        </w:rPr>
      </w:pPr>
      <w:r w:rsidRPr="009241A4">
        <w:rPr>
          <w:rFonts w:ascii="Times New Roman" w:hAnsi="Times New Roman" w:cs="Times New Roman"/>
          <w:sz w:val="28"/>
          <w:szCs w:val="28"/>
        </w:rPr>
        <w:t xml:space="preserve">Libby, P., </w:t>
      </w:r>
      <w:proofErr w:type="spellStart"/>
      <w:r w:rsidRPr="009241A4">
        <w:rPr>
          <w:rFonts w:ascii="Times New Roman" w:hAnsi="Times New Roman" w:cs="Times New Roman"/>
          <w:sz w:val="28"/>
          <w:szCs w:val="28"/>
        </w:rPr>
        <w:t>Ridker</w:t>
      </w:r>
      <w:proofErr w:type="spellEnd"/>
      <w:r w:rsidRPr="009241A4">
        <w:rPr>
          <w:rFonts w:ascii="Times New Roman" w:hAnsi="Times New Roman" w:cs="Times New Roman"/>
          <w:sz w:val="28"/>
          <w:szCs w:val="28"/>
        </w:rPr>
        <w:t xml:space="preserve">, P. M., &amp; Hansson, G. K. (2009). Inflammation in atherosclerosis: From pathophysiology to practice. Journal of the American College of Cardiology, 54(23), 2129–2138. </w:t>
      </w:r>
      <w:hyperlink r:id="rId23" w:history="1">
        <w:r w:rsidRPr="00921B06">
          <w:rPr>
            <w:rStyle w:val="Hyperlink"/>
            <w:rFonts w:ascii="Times New Roman" w:hAnsi="Times New Roman" w:cs="Times New Roman"/>
            <w:sz w:val="28"/>
            <w:szCs w:val="28"/>
          </w:rPr>
          <w:t>https://doi.org/10.1016/j.jacc.2009.09.009</w:t>
        </w:r>
      </w:hyperlink>
      <w:r>
        <w:rPr>
          <w:rFonts w:ascii="Times New Roman" w:hAnsi="Times New Roman" w:cs="Times New Roman"/>
          <w:sz w:val="28"/>
          <w:szCs w:val="28"/>
        </w:rPr>
        <w:t xml:space="preserve"> </w:t>
      </w:r>
    </w:p>
    <w:p w14:paraId="56E8BB94" w14:textId="1FD7D5D9" w:rsidR="000A6CCB" w:rsidRPr="00C633CB" w:rsidRDefault="00370E2A" w:rsidP="000A6CCB">
      <w:pPr>
        <w:numPr>
          <w:ilvl w:val="0"/>
          <w:numId w:val="1"/>
        </w:numPr>
        <w:rPr>
          <w:rFonts w:ascii="Times New Roman" w:hAnsi="Times New Roman" w:cs="Times New Roman"/>
          <w:sz w:val="28"/>
          <w:szCs w:val="28"/>
        </w:rPr>
      </w:pPr>
      <w:proofErr w:type="spellStart"/>
      <w:r w:rsidRPr="00370E2A">
        <w:rPr>
          <w:rFonts w:ascii="Times New Roman" w:hAnsi="Times New Roman" w:cs="Times New Roman"/>
          <w:sz w:val="28"/>
          <w:szCs w:val="28"/>
        </w:rPr>
        <w:lastRenderedPageBreak/>
        <w:t>Maguida</w:t>
      </w:r>
      <w:proofErr w:type="spellEnd"/>
      <w:r w:rsidRPr="00370E2A">
        <w:rPr>
          <w:rFonts w:ascii="Times New Roman" w:hAnsi="Times New Roman" w:cs="Times New Roman"/>
          <w:sz w:val="28"/>
          <w:szCs w:val="28"/>
        </w:rPr>
        <w:t xml:space="preserve">, G., &amp; Shuaib, A. (2023). Collateral circulation in ischemic stroke: An updated review. Journal of Stroke, 25(2), 179–198. </w:t>
      </w:r>
      <w:hyperlink r:id="rId24" w:history="1">
        <w:r w:rsidRPr="00921B06">
          <w:rPr>
            <w:rStyle w:val="Hyperlink"/>
            <w:rFonts w:ascii="Times New Roman" w:hAnsi="Times New Roman" w:cs="Times New Roman"/>
            <w:sz w:val="28"/>
            <w:szCs w:val="28"/>
          </w:rPr>
          <w:t>https://doi.org/10.5853/jos.2022.02936</w:t>
        </w:r>
      </w:hyperlink>
      <w:r>
        <w:rPr>
          <w:rFonts w:ascii="Times New Roman" w:hAnsi="Times New Roman" w:cs="Times New Roman"/>
          <w:sz w:val="28"/>
          <w:szCs w:val="28"/>
        </w:rPr>
        <w:t xml:space="preserve"> </w:t>
      </w:r>
    </w:p>
    <w:p w14:paraId="3970EF0A" w14:textId="628E4595" w:rsidR="000A6CCB" w:rsidRPr="00C633CB" w:rsidRDefault="0009751C" w:rsidP="000A6CCB">
      <w:pPr>
        <w:numPr>
          <w:ilvl w:val="0"/>
          <w:numId w:val="1"/>
        </w:numPr>
        <w:rPr>
          <w:rFonts w:ascii="Times New Roman" w:hAnsi="Times New Roman" w:cs="Times New Roman"/>
          <w:sz w:val="28"/>
          <w:szCs w:val="28"/>
        </w:rPr>
      </w:pPr>
      <w:r w:rsidRPr="0009751C">
        <w:rPr>
          <w:rFonts w:ascii="Times New Roman" w:hAnsi="Times New Roman" w:cs="Times New Roman"/>
          <w:sz w:val="28"/>
          <w:szCs w:val="28"/>
        </w:rPr>
        <w:t xml:space="preserve">Malik, R., Chauhan, G., Traylor, M., </w:t>
      </w:r>
      <w:proofErr w:type="spellStart"/>
      <w:r w:rsidRPr="0009751C">
        <w:rPr>
          <w:rFonts w:ascii="Times New Roman" w:hAnsi="Times New Roman" w:cs="Times New Roman"/>
          <w:sz w:val="28"/>
          <w:szCs w:val="28"/>
        </w:rPr>
        <w:t>Sargurupremraj</w:t>
      </w:r>
      <w:proofErr w:type="spellEnd"/>
      <w:r w:rsidRPr="0009751C">
        <w:rPr>
          <w:rFonts w:ascii="Times New Roman" w:hAnsi="Times New Roman" w:cs="Times New Roman"/>
          <w:sz w:val="28"/>
          <w:szCs w:val="28"/>
        </w:rPr>
        <w:t xml:space="preserve">, M., Okada, Y., Mishra, A., Rutten-Jacobs, L., Giese, A. K., van der </w:t>
      </w:r>
      <w:proofErr w:type="spellStart"/>
      <w:r w:rsidRPr="0009751C">
        <w:rPr>
          <w:rFonts w:ascii="Times New Roman" w:hAnsi="Times New Roman" w:cs="Times New Roman"/>
          <w:sz w:val="28"/>
          <w:szCs w:val="28"/>
        </w:rPr>
        <w:t>Laan</w:t>
      </w:r>
      <w:proofErr w:type="spellEnd"/>
      <w:r w:rsidRPr="0009751C">
        <w:rPr>
          <w:rFonts w:ascii="Times New Roman" w:hAnsi="Times New Roman" w:cs="Times New Roman"/>
          <w:sz w:val="28"/>
          <w:szCs w:val="28"/>
        </w:rPr>
        <w:t xml:space="preserve">, S. W., </w:t>
      </w:r>
      <w:proofErr w:type="spellStart"/>
      <w:r w:rsidRPr="0009751C">
        <w:rPr>
          <w:rFonts w:ascii="Times New Roman" w:hAnsi="Times New Roman" w:cs="Times New Roman"/>
          <w:sz w:val="28"/>
          <w:szCs w:val="28"/>
        </w:rPr>
        <w:t>Gretarsdottir</w:t>
      </w:r>
      <w:proofErr w:type="spellEnd"/>
      <w:r w:rsidRPr="0009751C">
        <w:rPr>
          <w:rFonts w:ascii="Times New Roman" w:hAnsi="Times New Roman" w:cs="Times New Roman"/>
          <w:sz w:val="28"/>
          <w:szCs w:val="28"/>
        </w:rPr>
        <w:t xml:space="preserve">, S., Anderson, C. D., Chong, M., Adams, H. H. H., Ago, T., Almgren, P., </w:t>
      </w:r>
      <w:proofErr w:type="spellStart"/>
      <w:r w:rsidRPr="0009751C">
        <w:rPr>
          <w:rFonts w:ascii="Times New Roman" w:hAnsi="Times New Roman" w:cs="Times New Roman"/>
          <w:sz w:val="28"/>
          <w:szCs w:val="28"/>
        </w:rPr>
        <w:t>Amouyel</w:t>
      </w:r>
      <w:proofErr w:type="spellEnd"/>
      <w:r w:rsidRPr="0009751C">
        <w:rPr>
          <w:rFonts w:ascii="Times New Roman" w:hAnsi="Times New Roman" w:cs="Times New Roman"/>
          <w:sz w:val="28"/>
          <w:szCs w:val="28"/>
        </w:rPr>
        <w:t xml:space="preserve">, P., Ay, H., </w:t>
      </w:r>
      <w:proofErr w:type="spellStart"/>
      <w:r w:rsidRPr="0009751C">
        <w:rPr>
          <w:rFonts w:ascii="Times New Roman" w:hAnsi="Times New Roman" w:cs="Times New Roman"/>
          <w:sz w:val="28"/>
          <w:szCs w:val="28"/>
        </w:rPr>
        <w:t>Bartz</w:t>
      </w:r>
      <w:proofErr w:type="spellEnd"/>
      <w:r w:rsidRPr="0009751C">
        <w:rPr>
          <w:rFonts w:ascii="Times New Roman" w:hAnsi="Times New Roman" w:cs="Times New Roman"/>
          <w:sz w:val="28"/>
          <w:szCs w:val="28"/>
        </w:rPr>
        <w:t xml:space="preserve">, T. M., </w:t>
      </w:r>
      <w:proofErr w:type="spellStart"/>
      <w:r w:rsidRPr="0009751C">
        <w:rPr>
          <w:rFonts w:ascii="Times New Roman" w:hAnsi="Times New Roman" w:cs="Times New Roman"/>
          <w:sz w:val="28"/>
          <w:szCs w:val="28"/>
        </w:rPr>
        <w:t>Benavente</w:t>
      </w:r>
      <w:proofErr w:type="spellEnd"/>
      <w:r w:rsidRPr="0009751C">
        <w:rPr>
          <w:rFonts w:ascii="Times New Roman" w:hAnsi="Times New Roman" w:cs="Times New Roman"/>
          <w:sz w:val="28"/>
          <w:szCs w:val="28"/>
        </w:rPr>
        <w:t xml:space="preserve">, O. R., ... Markus, H. S. (2018). </w:t>
      </w:r>
      <w:proofErr w:type="spellStart"/>
      <w:r w:rsidRPr="0009751C">
        <w:rPr>
          <w:rFonts w:ascii="Times New Roman" w:hAnsi="Times New Roman" w:cs="Times New Roman"/>
          <w:sz w:val="28"/>
          <w:szCs w:val="28"/>
        </w:rPr>
        <w:t>Multiancestry</w:t>
      </w:r>
      <w:proofErr w:type="spellEnd"/>
      <w:r w:rsidRPr="0009751C">
        <w:rPr>
          <w:rFonts w:ascii="Times New Roman" w:hAnsi="Times New Roman" w:cs="Times New Roman"/>
          <w:sz w:val="28"/>
          <w:szCs w:val="28"/>
        </w:rPr>
        <w:t xml:space="preserve"> genome-wide association study of 520,000 subjects identifies 32 loci associated with stroke and stroke subtypes. Nature Genetics, 50(4), 524–537. </w:t>
      </w:r>
      <w:hyperlink r:id="rId25" w:history="1">
        <w:r w:rsidRPr="00921B06">
          <w:rPr>
            <w:rStyle w:val="Hyperlink"/>
            <w:rFonts w:ascii="Times New Roman" w:hAnsi="Times New Roman" w:cs="Times New Roman"/>
            <w:sz w:val="28"/>
            <w:szCs w:val="28"/>
          </w:rPr>
          <w:t>https://doi.org/10.1038/s41588-018-0058-3</w:t>
        </w:r>
      </w:hyperlink>
      <w:r>
        <w:rPr>
          <w:rFonts w:ascii="Times New Roman" w:hAnsi="Times New Roman" w:cs="Times New Roman"/>
          <w:sz w:val="28"/>
          <w:szCs w:val="28"/>
        </w:rPr>
        <w:t xml:space="preserve"> </w:t>
      </w:r>
    </w:p>
    <w:p w14:paraId="3C8F170B" w14:textId="62A9898A" w:rsidR="000A6CCB" w:rsidRPr="00C633CB" w:rsidRDefault="00F9731E" w:rsidP="000A6CCB">
      <w:pPr>
        <w:numPr>
          <w:ilvl w:val="0"/>
          <w:numId w:val="1"/>
        </w:numPr>
        <w:rPr>
          <w:rFonts w:ascii="Times New Roman" w:hAnsi="Times New Roman" w:cs="Times New Roman"/>
          <w:sz w:val="28"/>
          <w:szCs w:val="28"/>
        </w:rPr>
      </w:pPr>
      <w:proofErr w:type="spellStart"/>
      <w:r w:rsidRPr="00F9731E">
        <w:rPr>
          <w:rFonts w:ascii="Times New Roman" w:hAnsi="Times New Roman" w:cs="Times New Roman"/>
          <w:sz w:val="28"/>
          <w:szCs w:val="28"/>
        </w:rPr>
        <w:t>Mendelow</w:t>
      </w:r>
      <w:proofErr w:type="spellEnd"/>
      <w:r w:rsidRPr="00F9731E">
        <w:rPr>
          <w:rFonts w:ascii="Times New Roman" w:hAnsi="Times New Roman" w:cs="Times New Roman"/>
          <w:sz w:val="28"/>
          <w:szCs w:val="28"/>
        </w:rPr>
        <w:t xml:space="preserve">, A. D., Gregson, B. A., Rowan, E. N., Murray, G. D., </w:t>
      </w:r>
      <w:proofErr w:type="spellStart"/>
      <w:r w:rsidRPr="00F9731E">
        <w:rPr>
          <w:rFonts w:ascii="Times New Roman" w:hAnsi="Times New Roman" w:cs="Times New Roman"/>
          <w:sz w:val="28"/>
          <w:szCs w:val="28"/>
        </w:rPr>
        <w:t>Gholkar</w:t>
      </w:r>
      <w:proofErr w:type="spellEnd"/>
      <w:r w:rsidRPr="00F9731E">
        <w:rPr>
          <w:rFonts w:ascii="Times New Roman" w:hAnsi="Times New Roman" w:cs="Times New Roman"/>
          <w:sz w:val="28"/>
          <w:szCs w:val="28"/>
        </w:rPr>
        <w:t xml:space="preserve">, A., &amp; Mitchell, P. M. (2013). Early surgery versus initial conservative treatment in patients with spontaneous supratentorial lobar intracerebral haematomas (STICH II): a randomised trial. The Lancet, 382(9890), 397–408. </w:t>
      </w:r>
      <w:hyperlink r:id="rId26" w:history="1">
        <w:r w:rsidRPr="00921B06">
          <w:rPr>
            <w:rStyle w:val="Hyperlink"/>
            <w:rFonts w:ascii="Times New Roman" w:hAnsi="Times New Roman" w:cs="Times New Roman"/>
            <w:sz w:val="28"/>
            <w:szCs w:val="28"/>
          </w:rPr>
          <w:t>https://doi.org/10.1016/S0140-6736(13)60986-1</w:t>
        </w:r>
      </w:hyperlink>
      <w:r>
        <w:rPr>
          <w:rFonts w:ascii="Times New Roman" w:hAnsi="Times New Roman" w:cs="Times New Roman"/>
          <w:sz w:val="28"/>
          <w:szCs w:val="28"/>
        </w:rPr>
        <w:t xml:space="preserve"> </w:t>
      </w:r>
    </w:p>
    <w:p w14:paraId="5873D49D" w14:textId="06A83F13" w:rsidR="000A6CCB" w:rsidRPr="00C633CB" w:rsidRDefault="00703B41" w:rsidP="000A6CCB">
      <w:pPr>
        <w:numPr>
          <w:ilvl w:val="0"/>
          <w:numId w:val="1"/>
        </w:numPr>
        <w:rPr>
          <w:rFonts w:ascii="Times New Roman" w:hAnsi="Times New Roman" w:cs="Times New Roman"/>
          <w:sz w:val="28"/>
          <w:szCs w:val="28"/>
        </w:rPr>
      </w:pPr>
      <w:proofErr w:type="spellStart"/>
      <w:r w:rsidRPr="00703B41">
        <w:rPr>
          <w:rFonts w:ascii="Times New Roman" w:hAnsi="Times New Roman" w:cs="Times New Roman"/>
          <w:sz w:val="28"/>
          <w:szCs w:val="28"/>
        </w:rPr>
        <w:t>Menshawi</w:t>
      </w:r>
      <w:proofErr w:type="spellEnd"/>
      <w:r w:rsidRPr="00703B41">
        <w:rPr>
          <w:rFonts w:ascii="Times New Roman" w:hAnsi="Times New Roman" w:cs="Times New Roman"/>
          <w:sz w:val="28"/>
          <w:szCs w:val="28"/>
        </w:rPr>
        <w:t xml:space="preserve">, K., Mohr, J. P., &amp; Gutierrez, J. (2015). A functional perspective on the embryology and anatomy of the cerebral blood supply. Journal of Stroke, 17(2), 144–158. </w:t>
      </w:r>
      <w:hyperlink r:id="rId27" w:history="1">
        <w:r w:rsidRPr="00921B06">
          <w:rPr>
            <w:rStyle w:val="Hyperlink"/>
            <w:rFonts w:ascii="Times New Roman" w:hAnsi="Times New Roman" w:cs="Times New Roman"/>
            <w:sz w:val="28"/>
            <w:szCs w:val="28"/>
          </w:rPr>
          <w:t>https://doi.org/10.5853/jos.2015.17.2.144</w:t>
        </w:r>
      </w:hyperlink>
      <w:r>
        <w:rPr>
          <w:rFonts w:ascii="Times New Roman" w:hAnsi="Times New Roman" w:cs="Times New Roman"/>
          <w:sz w:val="28"/>
          <w:szCs w:val="28"/>
        </w:rPr>
        <w:t xml:space="preserve"> </w:t>
      </w:r>
    </w:p>
    <w:p w14:paraId="6EB08025" w14:textId="60FCCD0D" w:rsidR="000A6CCB" w:rsidRPr="00C633CB" w:rsidRDefault="005D08CE" w:rsidP="000A6CCB">
      <w:pPr>
        <w:numPr>
          <w:ilvl w:val="0"/>
          <w:numId w:val="1"/>
        </w:numPr>
        <w:rPr>
          <w:rFonts w:ascii="Times New Roman" w:hAnsi="Times New Roman" w:cs="Times New Roman"/>
          <w:sz w:val="28"/>
          <w:szCs w:val="28"/>
        </w:rPr>
      </w:pPr>
      <w:r w:rsidRPr="005D08CE">
        <w:rPr>
          <w:rFonts w:ascii="Times New Roman" w:hAnsi="Times New Roman" w:cs="Times New Roman"/>
          <w:sz w:val="28"/>
          <w:szCs w:val="28"/>
        </w:rPr>
        <w:t xml:space="preserve">Murphy, S. J., &amp; </w:t>
      </w:r>
      <w:proofErr w:type="spellStart"/>
      <w:r w:rsidRPr="005D08CE">
        <w:rPr>
          <w:rFonts w:ascii="Times New Roman" w:hAnsi="Times New Roman" w:cs="Times New Roman"/>
          <w:sz w:val="28"/>
          <w:szCs w:val="28"/>
        </w:rPr>
        <w:t>Werring</w:t>
      </w:r>
      <w:proofErr w:type="spellEnd"/>
      <w:r w:rsidRPr="005D08CE">
        <w:rPr>
          <w:rFonts w:ascii="Times New Roman" w:hAnsi="Times New Roman" w:cs="Times New Roman"/>
          <w:sz w:val="28"/>
          <w:szCs w:val="28"/>
        </w:rPr>
        <w:t xml:space="preserve">, D. J. (2020). Stroke: Causes and clinical features. Medicine (Abingdon), 48(9), 561–566. </w:t>
      </w:r>
      <w:hyperlink r:id="rId28" w:history="1">
        <w:r w:rsidRPr="00921B06">
          <w:rPr>
            <w:rStyle w:val="Hyperlink"/>
            <w:rFonts w:ascii="Times New Roman" w:hAnsi="Times New Roman" w:cs="Times New Roman"/>
            <w:sz w:val="28"/>
            <w:szCs w:val="28"/>
          </w:rPr>
          <w:t>https://doi.org/10.1016/j.mpmed.2020.06.002</w:t>
        </w:r>
      </w:hyperlink>
      <w:r>
        <w:rPr>
          <w:rFonts w:ascii="Times New Roman" w:hAnsi="Times New Roman" w:cs="Times New Roman"/>
          <w:sz w:val="28"/>
          <w:szCs w:val="28"/>
        </w:rPr>
        <w:t xml:space="preserve"> </w:t>
      </w:r>
      <w:r w:rsidR="00880D64">
        <w:rPr>
          <w:rFonts w:ascii="Times New Roman" w:hAnsi="Times New Roman" w:cs="Times New Roman"/>
          <w:sz w:val="28"/>
          <w:szCs w:val="28"/>
        </w:rPr>
        <w:tab/>
      </w:r>
    </w:p>
    <w:p w14:paraId="043107FA" w14:textId="35376F41" w:rsidR="000A6CCB" w:rsidRPr="00C633CB" w:rsidRDefault="00880D64" w:rsidP="000A6CCB">
      <w:pPr>
        <w:numPr>
          <w:ilvl w:val="0"/>
          <w:numId w:val="1"/>
        </w:numPr>
        <w:rPr>
          <w:rFonts w:ascii="Times New Roman" w:hAnsi="Times New Roman" w:cs="Times New Roman"/>
          <w:sz w:val="28"/>
          <w:szCs w:val="28"/>
        </w:rPr>
      </w:pPr>
      <w:r w:rsidRPr="00880D64">
        <w:rPr>
          <w:rFonts w:ascii="Times New Roman" w:hAnsi="Times New Roman" w:cs="Times New Roman"/>
          <w:sz w:val="28"/>
          <w:szCs w:val="28"/>
        </w:rPr>
        <w:t>O'Donnell, M. J., Chin, S. L., Rangarajan, S., Xavier, D., Liu, L., Zhang, H., Rao-</w:t>
      </w:r>
      <w:proofErr w:type="spellStart"/>
      <w:r w:rsidRPr="00880D64">
        <w:rPr>
          <w:rFonts w:ascii="Times New Roman" w:hAnsi="Times New Roman" w:cs="Times New Roman"/>
          <w:sz w:val="28"/>
          <w:szCs w:val="28"/>
        </w:rPr>
        <w:t>Melacini</w:t>
      </w:r>
      <w:proofErr w:type="spellEnd"/>
      <w:r w:rsidRPr="00880D64">
        <w:rPr>
          <w:rFonts w:ascii="Times New Roman" w:hAnsi="Times New Roman" w:cs="Times New Roman"/>
          <w:sz w:val="28"/>
          <w:szCs w:val="28"/>
        </w:rPr>
        <w:t xml:space="preserve">, P., Zhang, X., </w:t>
      </w:r>
      <w:proofErr w:type="spellStart"/>
      <w:r w:rsidRPr="00880D64">
        <w:rPr>
          <w:rFonts w:ascii="Times New Roman" w:hAnsi="Times New Roman" w:cs="Times New Roman"/>
          <w:sz w:val="28"/>
          <w:szCs w:val="28"/>
        </w:rPr>
        <w:t>Pais</w:t>
      </w:r>
      <w:proofErr w:type="spellEnd"/>
      <w:r w:rsidRPr="00880D64">
        <w:rPr>
          <w:rFonts w:ascii="Times New Roman" w:hAnsi="Times New Roman" w:cs="Times New Roman"/>
          <w:sz w:val="28"/>
          <w:szCs w:val="28"/>
        </w:rPr>
        <w:t xml:space="preserve">, P., </w:t>
      </w:r>
      <w:proofErr w:type="spellStart"/>
      <w:r w:rsidRPr="00880D64">
        <w:rPr>
          <w:rFonts w:ascii="Times New Roman" w:hAnsi="Times New Roman" w:cs="Times New Roman"/>
          <w:sz w:val="28"/>
          <w:szCs w:val="28"/>
        </w:rPr>
        <w:t>Agapay</w:t>
      </w:r>
      <w:proofErr w:type="spellEnd"/>
      <w:r w:rsidRPr="00880D64">
        <w:rPr>
          <w:rFonts w:ascii="Times New Roman" w:hAnsi="Times New Roman" w:cs="Times New Roman"/>
          <w:sz w:val="28"/>
          <w:szCs w:val="28"/>
        </w:rPr>
        <w:t xml:space="preserve">, S., Lopez-Jaramillo, P., </w:t>
      </w:r>
      <w:proofErr w:type="spellStart"/>
      <w:r w:rsidRPr="00880D64">
        <w:rPr>
          <w:rFonts w:ascii="Times New Roman" w:hAnsi="Times New Roman" w:cs="Times New Roman"/>
          <w:sz w:val="28"/>
          <w:szCs w:val="28"/>
        </w:rPr>
        <w:t>Damasceno</w:t>
      </w:r>
      <w:proofErr w:type="spellEnd"/>
      <w:r w:rsidRPr="00880D64">
        <w:rPr>
          <w:rFonts w:ascii="Times New Roman" w:hAnsi="Times New Roman" w:cs="Times New Roman"/>
          <w:sz w:val="28"/>
          <w:szCs w:val="28"/>
        </w:rPr>
        <w:t xml:space="preserve">, A., Langhorne, P., McQueen, M. J., Rosengren, A., </w:t>
      </w:r>
      <w:proofErr w:type="spellStart"/>
      <w:r w:rsidRPr="00880D64">
        <w:rPr>
          <w:rFonts w:ascii="Times New Roman" w:hAnsi="Times New Roman" w:cs="Times New Roman"/>
          <w:sz w:val="28"/>
          <w:szCs w:val="28"/>
        </w:rPr>
        <w:t>Dehghan</w:t>
      </w:r>
      <w:proofErr w:type="spellEnd"/>
      <w:r w:rsidRPr="00880D64">
        <w:rPr>
          <w:rFonts w:ascii="Times New Roman" w:hAnsi="Times New Roman" w:cs="Times New Roman"/>
          <w:sz w:val="28"/>
          <w:szCs w:val="28"/>
        </w:rPr>
        <w:t xml:space="preserve">, M., Hankey, G. J., Dans, A. L., </w:t>
      </w:r>
      <w:proofErr w:type="spellStart"/>
      <w:r w:rsidRPr="00880D64">
        <w:rPr>
          <w:rFonts w:ascii="Times New Roman" w:hAnsi="Times New Roman" w:cs="Times New Roman"/>
          <w:sz w:val="28"/>
          <w:szCs w:val="28"/>
        </w:rPr>
        <w:t>Elsayed</w:t>
      </w:r>
      <w:proofErr w:type="spellEnd"/>
      <w:r w:rsidRPr="00880D64">
        <w:rPr>
          <w:rFonts w:ascii="Times New Roman" w:hAnsi="Times New Roman" w:cs="Times New Roman"/>
          <w:sz w:val="28"/>
          <w:szCs w:val="28"/>
        </w:rPr>
        <w:t xml:space="preserve">, A., ... Yusuf, S. (2016). Global and regional effects of potentially modifiable risk factors associated with acute stroke in 32 countries (INTERSTROKE): a case-control study. *The Lancet*, *388*(10046), 761–775. </w:t>
      </w:r>
      <w:hyperlink r:id="rId29" w:history="1">
        <w:r w:rsidRPr="00921B06">
          <w:rPr>
            <w:rStyle w:val="Hyperlink"/>
            <w:rFonts w:ascii="Times New Roman" w:hAnsi="Times New Roman" w:cs="Times New Roman"/>
            <w:sz w:val="28"/>
            <w:szCs w:val="28"/>
          </w:rPr>
          <w:t>https://doi.org/10.1016/S0140-6736(16)30506-2</w:t>
        </w:r>
      </w:hyperlink>
      <w:r>
        <w:rPr>
          <w:rFonts w:ascii="Times New Roman" w:hAnsi="Times New Roman" w:cs="Times New Roman"/>
          <w:sz w:val="28"/>
          <w:szCs w:val="28"/>
        </w:rPr>
        <w:t xml:space="preserve"> </w:t>
      </w:r>
    </w:p>
    <w:p w14:paraId="680BB119" w14:textId="134745E1" w:rsidR="000A6CCB" w:rsidRPr="00C633CB" w:rsidRDefault="001668DC" w:rsidP="000A6CCB">
      <w:pPr>
        <w:numPr>
          <w:ilvl w:val="0"/>
          <w:numId w:val="1"/>
        </w:numPr>
        <w:rPr>
          <w:rFonts w:ascii="Times New Roman" w:hAnsi="Times New Roman" w:cs="Times New Roman"/>
          <w:sz w:val="28"/>
          <w:szCs w:val="28"/>
        </w:rPr>
      </w:pPr>
      <w:r w:rsidRPr="001668DC">
        <w:rPr>
          <w:rFonts w:ascii="Times New Roman" w:hAnsi="Times New Roman" w:cs="Times New Roman"/>
          <w:sz w:val="28"/>
          <w:szCs w:val="28"/>
        </w:rPr>
        <w:t xml:space="preserve">Powers, W. J., </w:t>
      </w:r>
      <w:proofErr w:type="spellStart"/>
      <w:r w:rsidRPr="001668DC">
        <w:rPr>
          <w:rFonts w:ascii="Times New Roman" w:hAnsi="Times New Roman" w:cs="Times New Roman"/>
          <w:sz w:val="28"/>
          <w:szCs w:val="28"/>
        </w:rPr>
        <w:t>Rabinstein</w:t>
      </w:r>
      <w:proofErr w:type="spellEnd"/>
      <w:r w:rsidRPr="001668DC">
        <w:rPr>
          <w:rFonts w:ascii="Times New Roman" w:hAnsi="Times New Roman" w:cs="Times New Roman"/>
          <w:sz w:val="28"/>
          <w:szCs w:val="28"/>
        </w:rPr>
        <w:t xml:space="preserve">, A. A., Ackerson, T., Adeoye, O. M., </w:t>
      </w:r>
      <w:proofErr w:type="spellStart"/>
      <w:r w:rsidRPr="001668DC">
        <w:rPr>
          <w:rFonts w:ascii="Times New Roman" w:hAnsi="Times New Roman" w:cs="Times New Roman"/>
          <w:sz w:val="28"/>
          <w:szCs w:val="28"/>
        </w:rPr>
        <w:t>Bambakidis</w:t>
      </w:r>
      <w:proofErr w:type="spellEnd"/>
      <w:r w:rsidRPr="001668DC">
        <w:rPr>
          <w:rFonts w:ascii="Times New Roman" w:hAnsi="Times New Roman" w:cs="Times New Roman"/>
          <w:sz w:val="28"/>
          <w:szCs w:val="28"/>
        </w:rPr>
        <w:t xml:space="preserve">, N. C., Becker, K., Biller, J., Brown, M., </w:t>
      </w:r>
      <w:proofErr w:type="spellStart"/>
      <w:r w:rsidRPr="001668DC">
        <w:rPr>
          <w:rFonts w:ascii="Times New Roman" w:hAnsi="Times New Roman" w:cs="Times New Roman"/>
          <w:sz w:val="28"/>
          <w:szCs w:val="28"/>
        </w:rPr>
        <w:t>Demaerschalk</w:t>
      </w:r>
      <w:proofErr w:type="spellEnd"/>
      <w:r w:rsidRPr="001668DC">
        <w:rPr>
          <w:rFonts w:ascii="Times New Roman" w:hAnsi="Times New Roman" w:cs="Times New Roman"/>
          <w:sz w:val="28"/>
          <w:szCs w:val="28"/>
        </w:rPr>
        <w:t xml:space="preserve">, B. M., Hoh, B., </w:t>
      </w:r>
      <w:proofErr w:type="spellStart"/>
      <w:r w:rsidRPr="001668DC">
        <w:rPr>
          <w:rFonts w:ascii="Times New Roman" w:hAnsi="Times New Roman" w:cs="Times New Roman"/>
          <w:sz w:val="28"/>
          <w:szCs w:val="28"/>
        </w:rPr>
        <w:t>Jauch</w:t>
      </w:r>
      <w:proofErr w:type="spellEnd"/>
      <w:r w:rsidRPr="001668DC">
        <w:rPr>
          <w:rFonts w:ascii="Times New Roman" w:hAnsi="Times New Roman" w:cs="Times New Roman"/>
          <w:sz w:val="28"/>
          <w:szCs w:val="28"/>
        </w:rPr>
        <w:t>, E. C., Kidwell, C. S., Leslie-</w:t>
      </w:r>
      <w:proofErr w:type="spellStart"/>
      <w:r w:rsidRPr="001668DC">
        <w:rPr>
          <w:rFonts w:ascii="Times New Roman" w:hAnsi="Times New Roman" w:cs="Times New Roman"/>
          <w:sz w:val="28"/>
          <w:szCs w:val="28"/>
        </w:rPr>
        <w:t>Mazwi</w:t>
      </w:r>
      <w:proofErr w:type="spellEnd"/>
      <w:r w:rsidRPr="001668DC">
        <w:rPr>
          <w:rFonts w:ascii="Times New Roman" w:hAnsi="Times New Roman" w:cs="Times New Roman"/>
          <w:sz w:val="28"/>
          <w:szCs w:val="28"/>
        </w:rPr>
        <w:t xml:space="preserve">, T. M., </w:t>
      </w:r>
      <w:proofErr w:type="spellStart"/>
      <w:r w:rsidRPr="001668DC">
        <w:rPr>
          <w:rFonts w:ascii="Times New Roman" w:hAnsi="Times New Roman" w:cs="Times New Roman"/>
          <w:sz w:val="28"/>
          <w:szCs w:val="28"/>
        </w:rPr>
        <w:t>Ovbiagele</w:t>
      </w:r>
      <w:proofErr w:type="spellEnd"/>
      <w:r w:rsidRPr="001668DC">
        <w:rPr>
          <w:rFonts w:ascii="Times New Roman" w:hAnsi="Times New Roman" w:cs="Times New Roman"/>
          <w:sz w:val="28"/>
          <w:szCs w:val="28"/>
        </w:rPr>
        <w:t xml:space="preserve">, B., Scott, P. A., </w:t>
      </w:r>
      <w:proofErr w:type="spellStart"/>
      <w:r w:rsidRPr="001668DC">
        <w:rPr>
          <w:rFonts w:ascii="Times New Roman" w:hAnsi="Times New Roman" w:cs="Times New Roman"/>
          <w:sz w:val="28"/>
          <w:szCs w:val="28"/>
        </w:rPr>
        <w:t>Sheth</w:t>
      </w:r>
      <w:proofErr w:type="spellEnd"/>
      <w:r w:rsidRPr="001668DC">
        <w:rPr>
          <w:rFonts w:ascii="Times New Roman" w:hAnsi="Times New Roman" w:cs="Times New Roman"/>
          <w:sz w:val="28"/>
          <w:szCs w:val="28"/>
        </w:rPr>
        <w:t xml:space="preserve">, K. N., Southerland, A. M., Summers, D. V., &amp; </w:t>
      </w:r>
      <w:proofErr w:type="spellStart"/>
      <w:r w:rsidRPr="001668DC">
        <w:rPr>
          <w:rFonts w:ascii="Times New Roman" w:hAnsi="Times New Roman" w:cs="Times New Roman"/>
          <w:sz w:val="28"/>
          <w:szCs w:val="28"/>
        </w:rPr>
        <w:t>Tirschwell</w:t>
      </w:r>
      <w:proofErr w:type="spellEnd"/>
      <w:r w:rsidRPr="001668DC">
        <w:rPr>
          <w:rFonts w:ascii="Times New Roman" w:hAnsi="Times New Roman" w:cs="Times New Roman"/>
          <w:sz w:val="28"/>
          <w:szCs w:val="28"/>
        </w:rPr>
        <w:t xml:space="preserve">, D. L. (2019). Guidelines for the early management of patients with acute ischemic stroke: 2019 update to the 2018 guidelines </w:t>
      </w:r>
      <w:r w:rsidRPr="001668DC">
        <w:rPr>
          <w:rFonts w:ascii="Times New Roman" w:hAnsi="Times New Roman" w:cs="Times New Roman"/>
          <w:sz w:val="28"/>
          <w:szCs w:val="28"/>
        </w:rPr>
        <w:lastRenderedPageBreak/>
        <w:t xml:space="preserve">for the early management of acute ischemic stroke: A guideline for healthcare professionals from the American Heart Association/American Stroke Association. Stroke, 50(12), e344–e418. </w:t>
      </w:r>
      <w:hyperlink r:id="rId30" w:history="1">
        <w:r w:rsidRPr="00921B06">
          <w:rPr>
            <w:rStyle w:val="Hyperlink"/>
            <w:rFonts w:ascii="Times New Roman" w:hAnsi="Times New Roman" w:cs="Times New Roman"/>
            <w:sz w:val="28"/>
            <w:szCs w:val="28"/>
          </w:rPr>
          <w:t>https://doi.org/10.1161/STR.0000000000000211</w:t>
        </w:r>
      </w:hyperlink>
      <w:r>
        <w:rPr>
          <w:rFonts w:ascii="Times New Roman" w:hAnsi="Times New Roman" w:cs="Times New Roman"/>
          <w:sz w:val="28"/>
          <w:szCs w:val="28"/>
        </w:rPr>
        <w:t xml:space="preserve"> </w:t>
      </w:r>
    </w:p>
    <w:p w14:paraId="2395FD87" w14:textId="68957473" w:rsidR="000A6CCB" w:rsidRPr="00C633CB" w:rsidRDefault="001B635A" w:rsidP="000A6CCB">
      <w:pPr>
        <w:numPr>
          <w:ilvl w:val="0"/>
          <w:numId w:val="1"/>
        </w:numPr>
        <w:rPr>
          <w:rFonts w:ascii="Times New Roman" w:hAnsi="Times New Roman" w:cs="Times New Roman"/>
          <w:sz w:val="28"/>
          <w:szCs w:val="28"/>
        </w:rPr>
      </w:pPr>
      <w:r w:rsidRPr="001B635A">
        <w:rPr>
          <w:rFonts w:ascii="Times New Roman" w:hAnsi="Times New Roman" w:cs="Times New Roman"/>
          <w:sz w:val="28"/>
          <w:szCs w:val="28"/>
        </w:rPr>
        <w:t xml:space="preserve">Qureshi, A. I., </w:t>
      </w:r>
      <w:proofErr w:type="spellStart"/>
      <w:r w:rsidRPr="001B635A">
        <w:rPr>
          <w:rFonts w:ascii="Times New Roman" w:hAnsi="Times New Roman" w:cs="Times New Roman"/>
          <w:sz w:val="28"/>
          <w:szCs w:val="28"/>
        </w:rPr>
        <w:t>Mendelow</w:t>
      </w:r>
      <w:proofErr w:type="spellEnd"/>
      <w:r w:rsidRPr="001B635A">
        <w:rPr>
          <w:rFonts w:ascii="Times New Roman" w:hAnsi="Times New Roman" w:cs="Times New Roman"/>
          <w:sz w:val="28"/>
          <w:szCs w:val="28"/>
        </w:rPr>
        <w:t xml:space="preserve">, A. D., &amp; Hanley, D. F. (2009). Intracerebral haemorrhage. The Lancet, 373(9675), 1632–1644. </w:t>
      </w:r>
      <w:hyperlink r:id="rId31" w:history="1">
        <w:r w:rsidRPr="00921B06">
          <w:rPr>
            <w:rStyle w:val="Hyperlink"/>
            <w:rFonts w:ascii="Times New Roman" w:hAnsi="Times New Roman" w:cs="Times New Roman"/>
            <w:sz w:val="28"/>
            <w:szCs w:val="28"/>
          </w:rPr>
          <w:t>https://doi.org/10.1016/S0140-6736(09)60371-8</w:t>
        </w:r>
      </w:hyperlink>
      <w:r>
        <w:rPr>
          <w:rFonts w:ascii="Times New Roman" w:hAnsi="Times New Roman" w:cs="Times New Roman"/>
          <w:sz w:val="28"/>
          <w:szCs w:val="28"/>
        </w:rPr>
        <w:t xml:space="preserve"> </w:t>
      </w:r>
    </w:p>
    <w:p w14:paraId="4C2BD7AB" w14:textId="58977A9A" w:rsidR="000A6CCB" w:rsidRPr="00C633CB" w:rsidRDefault="0014411C" w:rsidP="000A6CCB">
      <w:pPr>
        <w:numPr>
          <w:ilvl w:val="0"/>
          <w:numId w:val="1"/>
        </w:numPr>
        <w:rPr>
          <w:rFonts w:ascii="Times New Roman" w:hAnsi="Times New Roman" w:cs="Times New Roman"/>
          <w:sz w:val="28"/>
          <w:szCs w:val="28"/>
        </w:rPr>
      </w:pPr>
      <w:proofErr w:type="spellStart"/>
      <w:r w:rsidRPr="0014411C">
        <w:rPr>
          <w:rFonts w:ascii="Times New Roman" w:hAnsi="Times New Roman" w:cs="Times New Roman"/>
          <w:sz w:val="28"/>
          <w:szCs w:val="28"/>
        </w:rPr>
        <w:t>Ridker</w:t>
      </w:r>
      <w:proofErr w:type="spellEnd"/>
      <w:r w:rsidRPr="0014411C">
        <w:rPr>
          <w:rFonts w:ascii="Times New Roman" w:hAnsi="Times New Roman" w:cs="Times New Roman"/>
          <w:sz w:val="28"/>
          <w:szCs w:val="28"/>
        </w:rPr>
        <w:t xml:space="preserve">, P. M., Everett, B. M., </w:t>
      </w:r>
      <w:proofErr w:type="spellStart"/>
      <w:r w:rsidRPr="0014411C">
        <w:rPr>
          <w:rFonts w:ascii="Times New Roman" w:hAnsi="Times New Roman" w:cs="Times New Roman"/>
          <w:sz w:val="28"/>
          <w:szCs w:val="28"/>
        </w:rPr>
        <w:t>Thuren</w:t>
      </w:r>
      <w:proofErr w:type="spellEnd"/>
      <w:r w:rsidRPr="0014411C">
        <w:rPr>
          <w:rFonts w:ascii="Times New Roman" w:hAnsi="Times New Roman" w:cs="Times New Roman"/>
          <w:sz w:val="28"/>
          <w:szCs w:val="28"/>
        </w:rPr>
        <w:t xml:space="preserve">, T., et al. (2017). Anti-inflammatory therapy with canakinumab for atherosclerotic disease. New England Journal of Medicine, 377(12), 1119–1131. </w:t>
      </w:r>
      <w:hyperlink r:id="rId32" w:history="1">
        <w:r w:rsidRPr="00921B06">
          <w:rPr>
            <w:rStyle w:val="Hyperlink"/>
            <w:rFonts w:ascii="Times New Roman" w:hAnsi="Times New Roman" w:cs="Times New Roman"/>
            <w:sz w:val="28"/>
            <w:szCs w:val="28"/>
          </w:rPr>
          <w:t>https://doi.org/10.1056/NEJMoa1707914</w:t>
        </w:r>
      </w:hyperlink>
      <w:r>
        <w:rPr>
          <w:rFonts w:ascii="Times New Roman" w:hAnsi="Times New Roman" w:cs="Times New Roman"/>
          <w:sz w:val="28"/>
          <w:szCs w:val="28"/>
        </w:rPr>
        <w:t xml:space="preserve"> </w:t>
      </w:r>
    </w:p>
    <w:p w14:paraId="48FD9ABB" w14:textId="6502791B" w:rsidR="000A6CCB" w:rsidRPr="00C633CB" w:rsidRDefault="00F62602" w:rsidP="000A6CCB">
      <w:pPr>
        <w:numPr>
          <w:ilvl w:val="0"/>
          <w:numId w:val="1"/>
        </w:numPr>
        <w:rPr>
          <w:rFonts w:ascii="Times New Roman" w:hAnsi="Times New Roman" w:cs="Times New Roman"/>
          <w:sz w:val="28"/>
          <w:szCs w:val="28"/>
        </w:rPr>
      </w:pPr>
      <w:r w:rsidRPr="00F62602">
        <w:rPr>
          <w:rFonts w:ascii="Times New Roman" w:hAnsi="Times New Roman" w:cs="Times New Roman"/>
          <w:sz w:val="28"/>
          <w:szCs w:val="28"/>
        </w:rPr>
        <w:t xml:space="preserve">Rosner, J., Reddy, V., &amp; Lui, F. (2025). Neuroanatomy, Circle of Willis. </w:t>
      </w:r>
      <w:proofErr w:type="spellStart"/>
      <w:r w:rsidRPr="00F62602">
        <w:rPr>
          <w:rFonts w:ascii="Times New Roman" w:hAnsi="Times New Roman" w:cs="Times New Roman"/>
          <w:sz w:val="28"/>
          <w:szCs w:val="28"/>
        </w:rPr>
        <w:t>StatPearls</w:t>
      </w:r>
      <w:proofErr w:type="spellEnd"/>
      <w:r w:rsidRPr="00F62602">
        <w:rPr>
          <w:rFonts w:ascii="Times New Roman" w:hAnsi="Times New Roman" w:cs="Times New Roman"/>
          <w:sz w:val="28"/>
          <w:szCs w:val="28"/>
        </w:rPr>
        <w:t xml:space="preserve">. </w:t>
      </w:r>
      <w:hyperlink r:id="rId33" w:history="1">
        <w:r w:rsidRPr="00921B06">
          <w:rPr>
            <w:rStyle w:val="Hyperlink"/>
            <w:rFonts w:ascii="Times New Roman" w:hAnsi="Times New Roman" w:cs="Times New Roman"/>
            <w:sz w:val="28"/>
            <w:szCs w:val="28"/>
          </w:rPr>
          <w:t>https://www.ncbi.nlm.nih.gov/books/NBK534861/</w:t>
        </w:r>
      </w:hyperlink>
      <w:r>
        <w:rPr>
          <w:rFonts w:ascii="Times New Roman" w:hAnsi="Times New Roman" w:cs="Times New Roman"/>
          <w:sz w:val="28"/>
          <w:szCs w:val="28"/>
        </w:rPr>
        <w:t xml:space="preserve"> </w:t>
      </w:r>
    </w:p>
    <w:p w14:paraId="4425C915" w14:textId="5B8D2766" w:rsidR="000A6CCB" w:rsidRPr="00C633CB" w:rsidRDefault="004C070C" w:rsidP="000A6CCB">
      <w:pPr>
        <w:numPr>
          <w:ilvl w:val="0"/>
          <w:numId w:val="1"/>
        </w:numPr>
        <w:rPr>
          <w:rFonts w:ascii="Times New Roman" w:hAnsi="Times New Roman" w:cs="Times New Roman"/>
          <w:sz w:val="28"/>
          <w:szCs w:val="28"/>
        </w:rPr>
      </w:pPr>
      <w:r w:rsidRPr="004C070C">
        <w:rPr>
          <w:rFonts w:ascii="Times New Roman" w:hAnsi="Times New Roman" w:cs="Times New Roman"/>
          <w:sz w:val="28"/>
          <w:szCs w:val="28"/>
        </w:rPr>
        <w:t xml:space="preserve">Saver, J. L. (2006). Time Is Brain—Quantified. Stroke, 37(1), 263–266. </w:t>
      </w:r>
      <w:hyperlink r:id="rId34" w:history="1">
        <w:r w:rsidRPr="00921B06">
          <w:rPr>
            <w:rStyle w:val="Hyperlink"/>
            <w:rFonts w:ascii="Times New Roman" w:hAnsi="Times New Roman" w:cs="Times New Roman"/>
            <w:sz w:val="28"/>
            <w:szCs w:val="28"/>
          </w:rPr>
          <w:t>https://doi.org/10.1161/01.STR.0000196957.55928.ab</w:t>
        </w:r>
      </w:hyperlink>
      <w:r>
        <w:rPr>
          <w:rFonts w:ascii="Times New Roman" w:hAnsi="Times New Roman" w:cs="Times New Roman"/>
          <w:sz w:val="28"/>
          <w:szCs w:val="28"/>
        </w:rPr>
        <w:t xml:space="preserve"> </w:t>
      </w:r>
    </w:p>
    <w:p w14:paraId="789FF99A" w14:textId="175C9A43" w:rsidR="000A6CCB" w:rsidRPr="00C633CB" w:rsidRDefault="00703805" w:rsidP="000A6CCB">
      <w:pPr>
        <w:numPr>
          <w:ilvl w:val="0"/>
          <w:numId w:val="1"/>
        </w:numPr>
        <w:rPr>
          <w:rFonts w:ascii="Times New Roman" w:hAnsi="Times New Roman" w:cs="Times New Roman"/>
          <w:sz w:val="28"/>
          <w:szCs w:val="28"/>
        </w:rPr>
      </w:pPr>
      <w:r w:rsidRPr="00703805">
        <w:rPr>
          <w:rFonts w:ascii="Times New Roman" w:hAnsi="Times New Roman" w:cs="Times New Roman"/>
          <w:sz w:val="28"/>
          <w:szCs w:val="28"/>
        </w:rPr>
        <w:t xml:space="preserve">Shuaib, A., Butcher, K., Mohammad, A. A., </w:t>
      </w:r>
      <w:proofErr w:type="spellStart"/>
      <w:r w:rsidRPr="00703805">
        <w:rPr>
          <w:rFonts w:ascii="Times New Roman" w:hAnsi="Times New Roman" w:cs="Times New Roman"/>
          <w:sz w:val="28"/>
          <w:szCs w:val="28"/>
        </w:rPr>
        <w:t>Saqqur</w:t>
      </w:r>
      <w:proofErr w:type="spellEnd"/>
      <w:r w:rsidRPr="00703805">
        <w:rPr>
          <w:rFonts w:ascii="Times New Roman" w:hAnsi="Times New Roman" w:cs="Times New Roman"/>
          <w:sz w:val="28"/>
          <w:szCs w:val="28"/>
        </w:rPr>
        <w:t xml:space="preserve">, M., &amp; </w:t>
      </w:r>
      <w:proofErr w:type="spellStart"/>
      <w:r w:rsidRPr="00703805">
        <w:rPr>
          <w:rFonts w:ascii="Times New Roman" w:hAnsi="Times New Roman" w:cs="Times New Roman"/>
          <w:sz w:val="28"/>
          <w:szCs w:val="28"/>
        </w:rPr>
        <w:t>Liebeskind</w:t>
      </w:r>
      <w:proofErr w:type="spellEnd"/>
      <w:r w:rsidRPr="00703805">
        <w:rPr>
          <w:rFonts w:ascii="Times New Roman" w:hAnsi="Times New Roman" w:cs="Times New Roman"/>
          <w:sz w:val="28"/>
          <w:szCs w:val="28"/>
        </w:rPr>
        <w:t xml:space="preserve">, D. S. (2011). Collateral blood vessels in acute ischaemic stroke: a potential therapeutic target. The Lancet Neurology, 10(10), 909–921. </w:t>
      </w:r>
      <w:hyperlink r:id="rId35" w:history="1">
        <w:r w:rsidRPr="00921B06">
          <w:rPr>
            <w:rStyle w:val="Hyperlink"/>
            <w:rFonts w:ascii="Times New Roman" w:hAnsi="Times New Roman" w:cs="Times New Roman"/>
            <w:sz w:val="28"/>
            <w:szCs w:val="28"/>
          </w:rPr>
          <w:t>https://doi.org/10.1016/S1474-4422(11)70195-8</w:t>
        </w:r>
      </w:hyperlink>
      <w:r>
        <w:rPr>
          <w:rFonts w:ascii="Times New Roman" w:hAnsi="Times New Roman" w:cs="Times New Roman"/>
          <w:sz w:val="28"/>
          <w:szCs w:val="28"/>
        </w:rPr>
        <w:t xml:space="preserve"> </w:t>
      </w:r>
    </w:p>
    <w:p w14:paraId="2C377405" w14:textId="4404302B" w:rsidR="000A6CCB" w:rsidRPr="00C633CB" w:rsidRDefault="00E3684F" w:rsidP="000A6CCB">
      <w:pPr>
        <w:numPr>
          <w:ilvl w:val="0"/>
          <w:numId w:val="1"/>
        </w:numPr>
        <w:rPr>
          <w:rFonts w:ascii="Times New Roman" w:hAnsi="Times New Roman" w:cs="Times New Roman"/>
          <w:sz w:val="28"/>
          <w:szCs w:val="28"/>
        </w:rPr>
      </w:pPr>
      <w:proofErr w:type="spellStart"/>
      <w:r w:rsidRPr="00E3684F">
        <w:rPr>
          <w:rFonts w:ascii="Times New Roman" w:hAnsi="Times New Roman" w:cs="Times New Roman"/>
          <w:sz w:val="28"/>
          <w:szCs w:val="28"/>
        </w:rPr>
        <w:t>Standring</w:t>
      </w:r>
      <w:proofErr w:type="spellEnd"/>
      <w:r w:rsidRPr="00E3684F">
        <w:rPr>
          <w:rFonts w:ascii="Times New Roman" w:hAnsi="Times New Roman" w:cs="Times New Roman"/>
          <w:sz w:val="28"/>
          <w:szCs w:val="28"/>
        </w:rPr>
        <w:t xml:space="preserve">, S. (Ed.). (2020). </w:t>
      </w:r>
      <w:proofErr w:type="spellStart"/>
      <w:r w:rsidRPr="00E3684F">
        <w:rPr>
          <w:rFonts w:ascii="Times New Roman" w:hAnsi="Times New Roman" w:cs="Times New Roman"/>
          <w:sz w:val="28"/>
          <w:szCs w:val="28"/>
        </w:rPr>
        <w:t>Gray's</w:t>
      </w:r>
      <w:proofErr w:type="spellEnd"/>
      <w:r w:rsidRPr="00E3684F">
        <w:rPr>
          <w:rFonts w:ascii="Times New Roman" w:hAnsi="Times New Roman" w:cs="Times New Roman"/>
          <w:sz w:val="28"/>
          <w:szCs w:val="28"/>
        </w:rPr>
        <w:t xml:space="preserve"> Anatomy: The Anatomical Basis of Clinical Practice (42nd ed.). Elsevier. </w:t>
      </w:r>
      <w:hyperlink r:id="rId36" w:history="1">
        <w:r w:rsidRPr="00921B06">
          <w:rPr>
            <w:rStyle w:val="Hyperlink"/>
            <w:rFonts w:ascii="Times New Roman" w:hAnsi="Times New Roman" w:cs="Times New Roman"/>
            <w:sz w:val="28"/>
            <w:szCs w:val="28"/>
          </w:rPr>
          <w:t>https://www.elsevier.com/books/grays-anatomy/standring/978-0-7020-7705-0</w:t>
        </w:r>
      </w:hyperlink>
      <w:r>
        <w:rPr>
          <w:rFonts w:ascii="Times New Roman" w:hAnsi="Times New Roman" w:cs="Times New Roman"/>
          <w:sz w:val="28"/>
          <w:szCs w:val="28"/>
        </w:rPr>
        <w:t xml:space="preserve"> </w:t>
      </w:r>
    </w:p>
    <w:p w14:paraId="666AAD05" w14:textId="2148F021" w:rsidR="000A6CCB" w:rsidRPr="00C633CB" w:rsidRDefault="000379B4" w:rsidP="000A6CCB">
      <w:pPr>
        <w:numPr>
          <w:ilvl w:val="0"/>
          <w:numId w:val="1"/>
        </w:numPr>
        <w:rPr>
          <w:rFonts w:ascii="Times New Roman" w:hAnsi="Times New Roman" w:cs="Times New Roman"/>
          <w:sz w:val="28"/>
          <w:szCs w:val="28"/>
        </w:rPr>
      </w:pPr>
      <w:r w:rsidRPr="000379B4">
        <w:rPr>
          <w:rFonts w:ascii="Times New Roman" w:hAnsi="Times New Roman" w:cs="Times New Roman"/>
          <w:sz w:val="28"/>
          <w:szCs w:val="28"/>
        </w:rPr>
        <w:t xml:space="preserve">Wardlaw, J. M., Smith, C., &amp; </w:t>
      </w:r>
      <w:proofErr w:type="spellStart"/>
      <w:r w:rsidRPr="000379B4">
        <w:rPr>
          <w:rFonts w:ascii="Times New Roman" w:hAnsi="Times New Roman" w:cs="Times New Roman"/>
          <w:sz w:val="28"/>
          <w:szCs w:val="28"/>
        </w:rPr>
        <w:t>Dichgans</w:t>
      </w:r>
      <w:proofErr w:type="spellEnd"/>
      <w:r w:rsidRPr="000379B4">
        <w:rPr>
          <w:rFonts w:ascii="Times New Roman" w:hAnsi="Times New Roman" w:cs="Times New Roman"/>
          <w:sz w:val="28"/>
          <w:szCs w:val="28"/>
        </w:rPr>
        <w:t xml:space="preserve">, M. (2019). Small vessel disease: mechanisms and clinical implications. The Lancet Neurology, 18(7), 684–696. </w:t>
      </w:r>
      <w:hyperlink r:id="rId37" w:history="1">
        <w:r w:rsidRPr="00921B06">
          <w:rPr>
            <w:rStyle w:val="Hyperlink"/>
            <w:rFonts w:ascii="Times New Roman" w:hAnsi="Times New Roman" w:cs="Times New Roman"/>
            <w:sz w:val="28"/>
            <w:szCs w:val="28"/>
          </w:rPr>
          <w:t>https://doi.org/10.1016/S1474-4422(19)30079-1</w:t>
        </w:r>
      </w:hyperlink>
      <w:r>
        <w:rPr>
          <w:rFonts w:ascii="Times New Roman" w:hAnsi="Times New Roman" w:cs="Times New Roman"/>
          <w:sz w:val="28"/>
          <w:szCs w:val="28"/>
        </w:rPr>
        <w:t xml:space="preserve"> </w:t>
      </w:r>
    </w:p>
    <w:p w14:paraId="257C846A" w14:textId="78E0A972" w:rsidR="000A6CCB" w:rsidRPr="00C633CB" w:rsidRDefault="00E36336" w:rsidP="000A6CCB">
      <w:pPr>
        <w:numPr>
          <w:ilvl w:val="0"/>
          <w:numId w:val="1"/>
        </w:numPr>
        <w:rPr>
          <w:rFonts w:ascii="Times New Roman" w:hAnsi="Times New Roman" w:cs="Times New Roman"/>
          <w:sz w:val="28"/>
          <w:szCs w:val="28"/>
        </w:rPr>
      </w:pPr>
      <w:proofErr w:type="spellStart"/>
      <w:r w:rsidRPr="00E36336">
        <w:rPr>
          <w:rFonts w:ascii="Times New Roman" w:hAnsi="Times New Roman" w:cs="Times New Roman"/>
          <w:sz w:val="28"/>
          <w:szCs w:val="28"/>
        </w:rPr>
        <w:t>Westendorp</w:t>
      </w:r>
      <w:proofErr w:type="spellEnd"/>
      <w:r w:rsidRPr="00E36336">
        <w:rPr>
          <w:rFonts w:ascii="Times New Roman" w:hAnsi="Times New Roman" w:cs="Times New Roman"/>
          <w:sz w:val="28"/>
          <w:szCs w:val="28"/>
        </w:rPr>
        <w:t xml:space="preserve">, W. F., </w:t>
      </w:r>
      <w:proofErr w:type="spellStart"/>
      <w:r w:rsidRPr="00E36336">
        <w:rPr>
          <w:rFonts w:ascii="Times New Roman" w:hAnsi="Times New Roman" w:cs="Times New Roman"/>
          <w:sz w:val="28"/>
          <w:szCs w:val="28"/>
        </w:rPr>
        <w:t>Vermeij</w:t>
      </w:r>
      <w:proofErr w:type="spellEnd"/>
      <w:r w:rsidRPr="00E36336">
        <w:rPr>
          <w:rFonts w:ascii="Times New Roman" w:hAnsi="Times New Roman" w:cs="Times New Roman"/>
          <w:sz w:val="28"/>
          <w:szCs w:val="28"/>
        </w:rPr>
        <w:t xml:space="preserve">, J. D., </w:t>
      </w:r>
      <w:proofErr w:type="spellStart"/>
      <w:r w:rsidRPr="00E36336">
        <w:rPr>
          <w:rFonts w:ascii="Times New Roman" w:hAnsi="Times New Roman" w:cs="Times New Roman"/>
          <w:sz w:val="28"/>
          <w:szCs w:val="28"/>
        </w:rPr>
        <w:t>Zock</w:t>
      </w:r>
      <w:proofErr w:type="spellEnd"/>
      <w:r w:rsidRPr="00E36336">
        <w:rPr>
          <w:rFonts w:ascii="Times New Roman" w:hAnsi="Times New Roman" w:cs="Times New Roman"/>
          <w:sz w:val="28"/>
          <w:szCs w:val="28"/>
        </w:rPr>
        <w:t xml:space="preserve">, E., </w:t>
      </w:r>
      <w:proofErr w:type="spellStart"/>
      <w:r w:rsidRPr="00E36336">
        <w:rPr>
          <w:rFonts w:ascii="Times New Roman" w:hAnsi="Times New Roman" w:cs="Times New Roman"/>
          <w:sz w:val="28"/>
          <w:szCs w:val="28"/>
        </w:rPr>
        <w:t>Hooijenga</w:t>
      </w:r>
      <w:proofErr w:type="spellEnd"/>
      <w:r w:rsidRPr="00E36336">
        <w:rPr>
          <w:rFonts w:ascii="Times New Roman" w:hAnsi="Times New Roman" w:cs="Times New Roman"/>
          <w:sz w:val="28"/>
          <w:szCs w:val="28"/>
        </w:rPr>
        <w:t xml:space="preserve">, I. J., </w:t>
      </w:r>
      <w:proofErr w:type="spellStart"/>
      <w:r w:rsidRPr="00E36336">
        <w:rPr>
          <w:rFonts w:ascii="Times New Roman" w:hAnsi="Times New Roman" w:cs="Times New Roman"/>
          <w:sz w:val="28"/>
          <w:szCs w:val="28"/>
        </w:rPr>
        <w:t>Kruyt</w:t>
      </w:r>
      <w:proofErr w:type="spellEnd"/>
      <w:r w:rsidRPr="00E36336">
        <w:rPr>
          <w:rFonts w:ascii="Times New Roman" w:hAnsi="Times New Roman" w:cs="Times New Roman"/>
          <w:sz w:val="28"/>
          <w:szCs w:val="28"/>
        </w:rPr>
        <w:t xml:space="preserve">, N. D., </w:t>
      </w:r>
      <w:proofErr w:type="spellStart"/>
      <w:r w:rsidRPr="00E36336">
        <w:rPr>
          <w:rFonts w:ascii="Times New Roman" w:hAnsi="Times New Roman" w:cs="Times New Roman"/>
          <w:sz w:val="28"/>
          <w:szCs w:val="28"/>
        </w:rPr>
        <w:t>Bosboom</w:t>
      </w:r>
      <w:proofErr w:type="spellEnd"/>
      <w:r w:rsidRPr="00E36336">
        <w:rPr>
          <w:rFonts w:ascii="Times New Roman" w:hAnsi="Times New Roman" w:cs="Times New Roman"/>
          <w:sz w:val="28"/>
          <w:szCs w:val="28"/>
        </w:rPr>
        <w:t xml:space="preserve">, H. J. L. W., Kwa, V. I. H., &amp; </w:t>
      </w:r>
      <w:proofErr w:type="spellStart"/>
      <w:r w:rsidRPr="00E36336">
        <w:rPr>
          <w:rFonts w:ascii="Times New Roman" w:hAnsi="Times New Roman" w:cs="Times New Roman"/>
          <w:sz w:val="28"/>
          <w:szCs w:val="28"/>
        </w:rPr>
        <w:t>Weisfelt</w:t>
      </w:r>
      <w:proofErr w:type="spellEnd"/>
      <w:r w:rsidRPr="00E36336">
        <w:rPr>
          <w:rFonts w:ascii="Times New Roman" w:hAnsi="Times New Roman" w:cs="Times New Roman"/>
          <w:sz w:val="28"/>
          <w:szCs w:val="28"/>
        </w:rPr>
        <w:t xml:space="preserve">, M. (2015). The Preventive Antibiotics in Stroke Study (PASS): a pragmatic randomised open-label masked endpoint clinical trial. The Lancet, 385(9977), 1519–1526. </w:t>
      </w:r>
      <w:hyperlink r:id="rId38" w:history="1">
        <w:r w:rsidRPr="00921B06">
          <w:rPr>
            <w:rStyle w:val="Hyperlink"/>
            <w:rFonts w:ascii="Times New Roman" w:hAnsi="Times New Roman" w:cs="Times New Roman"/>
            <w:sz w:val="28"/>
            <w:szCs w:val="28"/>
          </w:rPr>
          <w:t>https://doi.org/10.1016/S0140-6736(14)62456-9</w:t>
        </w:r>
      </w:hyperlink>
      <w:r>
        <w:rPr>
          <w:rFonts w:ascii="Times New Roman" w:hAnsi="Times New Roman" w:cs="Times New Roman"/>
          <w:sz w:val="28"/>
          <w:szCs w:val="28"/>
        </w:rPr>
        <w:t xml:space="preserve"> </w:t>
      </w:r>
    </w:p>
    <w:p w14:paraId="34F0AA0E" w14:textId="0934993E" w:rsidR="000A6CCB" w:rsidRPr="00C633CB" w:rsidRDefault="002F25C8" w:rsidP="000A6CCB">
      <w:pPr>
        <w:numPr>
          <w:ilvl w:val="0"/>
          <w:numId w:val="1"/>
        </w:numPr>
        <w:rPr>
          <w:rFonts w:ascii="Times New Roman" w:hAnsi="Times New Roman" w:cs="Times New Roman"/>
          <w:sz w:val="28"/>
          <w:szCs w:val="28"/>
        </w:rPr>
      </w:pPr>
      <w:r w:rsidRPr="002F25C8">
        <w:rPr>
          <w:rFonts w:ascii="Times New Roman" w:hAnsi="Times New Roman" w:cs="Times New Roman"/>
          <w:sz w:val="28"/>
          <w:szCs w:val="28"/>
        </w:rPr>
        <w:t xml:space="preserve">World Health Organization. (2005). WHO STEPS Stroke Manual: The WHO </w:t>
      </w:r>
      <w:proofErr w:type="spellStart"/>
      <w:r w:rsidRPr="002F25C8">
        <w:rPr>
          <w:rFonts w:ascii="Times New Roman" w:hAnsi="Times New Roman" w:cs="Times New Roman"/>
          <w:sz w:val="28"/>
          <w:szCs w:val="28"/>
        </w:rPr>
        <w:t>STEPwise</w:t>
      </w:r>
      <w:proofErr w:type="spellEnd"/>
      <w:r w:rsidRPr="002F25C8">
        <w:rPr>
          <w:rFonts w:ascii="Times New Roman" w:hAnsi="Times New Roman" w:cs="Times New Roman"/>
          <w:sz w:val="28"/>
          <w:szCs w:val="28"/>
        </w:rPr>
        <w:t xml:space="preserve"> approach to stroke surveillance. </w:t>
      </w:r>
      <w:hyperlink r:id="rId39" w:history="1">
        <w:r w:rsidRPr="00921B06">
          <w:rPr>
            <w:rStyle w:val="Hyperlink"/>
            <w:rFonts w:ascii="Times New Roman" w:hAnsi="Times New Roman" w:cs="Times New Roman"/>
            <w:sz w:val="28"/>
            <w:szCs w:val="28"/>
          </w:rPr>
          <w:t>https://www.who.int/publications/i/item/who-steps-stroke-manual-the-who-stepwise-approach-to-stroke-surveillance</w:t>
        </w:r>
      </w:hyperlink>
      <w:r>
        <w:rPr>
          <w:rFonts w:ascii="Times New Roman" w:hAnsi="Times New Roman" w:cs="Times New Roman"/>
          <w:sz w:val="28"/>
          <w:szCs w:val="28"/>
        </w:rPr>
        <w:t xml:space="preserve"> </w:t>
      </w:r>
    </w:p>
    <w:p w14:paraId="0FB8A2DF" w14:textId="3709E6F7" w:rsidR="000A6CCB" w:rsidRPr="00C633CB" w:rsidRDefault="00272206" w:rsidP="000A6CCB">
      <w:pPr>
        <w:numPr>
          <w:ilvl w:val="0"/>
          <w:numId w:val="1"/>
        </w:numPr>
        <w:rPr>
          <w:rFonts w:ascii="Times New Roman" w:hAnsi="Times New Roman" w:cs="Times New Roman"/>
          <w:sz w:val="28"/>
          <w:szCs w:val="28"/>
        </w:rPr>
      </w:pPr>
      <w:proofErr w:type="spellStart"/>
      <w:r w:rsidRPr="00272206">
        <w:rPr>
          <w:rFonts w:ascii="Times New Roman" w:hAnsi="Times New Roman" w:cs="Times New Roman"/>
          <w:sz w:val="28"/>
          <w:szCs w:val="28"/>
        </w:rPr>
        <w:lastRenderedPageBreak/>
        <w:t>Amarenco</w:t>
      </w:r>
      <w:proofErr w:type="spellEnd"/>
      <w:r w:rsidRPr="00272206">
        <w:rPr>
          <w:rFonts w:ascii="Times New Roman" w:hAnsi="Times New Roman" w:cs="Times New Roman"/>
          <w:sz w:val="28"/>
          <w:szCs w:val="28"/>
        </w:rPr>
        <w:t xml:space="preserve">, P., </w:t>
      </w:r>
      <w:proofErr w:type="spellStart"/>
      <w:r w:rsidRPr="00272206">
        <w:rPr>
          <w:rFonts w:ascii="Times New Roman" w:hAnsi="Times New Roman" w:cs="Times New Roman"/>
          <w:sz w:val="28"/>
          <w:szCs w:val="28"/>
        </w:rPr>
        <w:t>Bogousslavsky</w:t>
      </w:r>
      <w:proofErr w:type="spellEnd"/>
      <w:r w:rsidRPr="00272206">
        <w:rPr>
          <w:rFonts w:ascii="Times New Roman" w:hAnsi="Times New Roman" w:cs="Times New Roman"/>
          <w:sz w:val="28"/>
          <w:szCs w:val="28"/>
        </w:rPr>
        <w:t xml:space="preserve">, J., Callahan, A., Goldstein, L. B., </w:t>
      </w:r>
      <w:proofErr w:type="spellStart"/>
      <w:r w:rsidRPr="00272206">
        <w:rPr>
          <w:rFonts w:ascii="Times New Roman" w:hAnsi="Times New Roman" w:cs="Times New Roman"/>
          <w:sz w:val="28"/>
          <w:szCs w:val="28"/>
        </w:rPr>
        <w:t>Hennerici</w:t>
      </w:r>
      <w:proofErr w:type="spellEnd"/>
      <w:r w:rsidRPr="00272206">
        <w:rPr>
          <w:rFonts w:ascii="Times New Roman" w:hAnsi="Times New Roman" w:cs="Times New Roman"/>
          <w:sz w:val="28"/>
          <w:szCs w:val="28"/>
        </w:rPr>
        <w:t xml:space="preserve">, M., Rudolph, A. E., </w:t>
      </w:r>
      <w:proofErr w:type="spellStart"/>
      <w:r w:rsidRPr="00272206">
        <w:rPr>
          <w:rFonts w:ascii="Times New Roman" w:hAnsi="Times New Roman" w:cs="Times New Roman"/>
          <w:sz w:val="28"/>
          <w:szCs w:val="28"/>
        </w:rPr>
        <w:t>Sillesen</w:t>
      </w:r>
      <w:proofErr w:type="spellEnd"/>
      <w:r w:rsidRPr="00272206">
        <w:rPr>
          <w:rFonts w:ascii="Times New Roman" w:hAnsi="Times New Roman" w:cs="Times New Roman"/>
          <w:sz w:val="28"/>
          <w:szCs w:val="28"/>
        </w:rPr>
        <w:t xml:space="preserve">, H., Simunovic, L., </w:t>
      </w:r>
      <w:proofErr w:type="spellStart"/>
      <w:r w:rsidRPr="00272206">
        <w:rPr>
          <w:rFonts w:ascii="Times New Roman" w:hAnsi="Times New Roman" w:cs="Times New Roman"/>
          <w:sz w:val="28"/>
          <w:szCs w:val="28"/>
        </w:rPr>
        <w:t>Szarek</w:t>
      </w:r>
      <w:proofErr w:type="spellEnd"/>
      <w:r w:rsidRPr="00272206">
        <w:rPr>
          <w:rFonts w:ascii="Times New Roman" w:hAnsi="Times New Roman" w:cs="Times New Roman"/>
          <w:sz w:val="28"/>
          <w:szCs w:val="28"/>
        </w:rPr>
        <w:t xml:space="preserve">, M., Welch, K. M. A., &amp; </w:t>
      </w:r>
      <w:proofErr w:type="spellStart"/>
      <w:r w:rsidRPr="00272206">
        <w:rPr>
          <w:rFonts w:ascii="Times New Roman" w:hAnsi="Times New Roman" w:cs="Times New Roman"/>
          <w:sz w:val="28"/>
          <w:szCs w:val="28"/>
        </w:rPr>
        <w:t>Zivin</w:t>
      </w:r>
      <w:proofErr w:type="spellEnd"/>
      <w:r w:rsidRPr="00272206">
        <w:rPr>
          <w:rFonts w:ascii="Times New Roman" w:hAnsi="Times New Roman" w:cs="Times New Roman"/>
          <w:sz w:val="28"/>
          <w:szCs w:val="28"/>
        </w:rPr>
        <w:t xml:space="preserve">, J. A. (2006). High-dose atorvastatin after stroke or transient ischemic attack. New England Journal of Medicine, 355(6), 549–559. </w:t>
      </w:r>
      <w:hyperlink r:id="rId40" w:history="1">
        <w:r w:rsidRPr="00921B06">
          <w:rPr>
            <w:rStyle w:val="Hyperlink"/>
            <w:rFonts w:ascii="Times New Roman" w:hAnsi="Times New Roman" w:cs="Times New Roman"/>
            <w:sz w:val="28"/>
            <w:szCs w:val="28"/>
          </w:rPr>
          <w:t>https://doi.org/10.1056/NEJMoa061894</w:t>
        </w:r>
      </w:hyperlink>
      <w:r>
        <w:rPr>
          <w:rFonts w:ascii="Times New Roman" w:hAnsi="Times New Roman" w:cs="Times New Roman"/>
          <w:sz w:val="28"/>
          <w:szCs w:val="28"/>
        </w:rPr>
        <w:t xml:space="preserve"> </w:t>
      </w:r>
    </w:p>
    <w:p w14:paraId="394CF8F0" w14:textId="72441F91" w:rsidR="000A6CCB" w:rsidRPr="00C633CB" w:rsidRDefault="002C2742" w:rsidP="000A6CCB">
      <w:pPr>
        <w:numPr>
          <w:ilvl w:val="0"/>
          <w:numId w:val="1"/>
        </w:numPr>
        <w:rPr>
          <w:rFonts w:ascii="Times New Roman" w:hAnsi="Times New Roman" w:cs="Times New Roman"/>
          <w:sz w:val="28"/>
          <w:szCs w:val="28"/>
        </w:rPr>
      </w:pPr>
      <w:r w:rsidRPr="002C2742">
        <w:rPr>
          <w:rFonts w:ascii="Times New Roman" w:hAnsi="Times New Roman" w:cs="Times New Roman"/>
          <w:sz w:val="28"/>
          <w:szCs w:val="28"/>
        </w:rPr>
        <w:t xml:space="preserve">Goyal, M., Menon, B. K., van </w:t>
      </w:r>
      <w:proofErr w:type="spellStart"/>
      <w:r w:rsidRPr="002C2742">
        <w:rPr>
          <w:rFonts w:ascii="Times New Roman" w:hAnsi="Times New Roman" w:cs="Times New Roman"/>
          <w:sz w:val="28"/>
          <w:szCs w:val="28"/>
        </w:rPr>
        <w:t>Zwam</w:t>
      </w:r>
      <w:proofErr w:type="spellEnd"/>
      <w:r w:rsidRPr="002C2742">
        <w:rPr>
          <w:rFonts w:ascii="Times New Roman" w:hAnsi="Times New Roman" w:cs="Times New Roman"/>
          <w:sz w:val="28"/>
          <w:szCs w:val="28"/>
        </w:rPr>
        <w:t xml:space="preserve">, W. H., </w:t>
      </w:r>
      <w:proofErr w:type="spellStart"/>
      <w:r w:rsidRPr="002C2742">
        <w:rPr>
          <w:rFonts w:ascii="Times New Roman" w:hAnsi="Times New Roman" w:cs="Times New Roman"/>
          <w:sz w:val="28"/>
          <w:szCs w:val="28"/>
        </w:rPr>
        <w:t>Dippel</w:t>
      </w:r>
      <w:proofErr w:type="spellEnd"/>
      <w:r w:rsidRPr="002C2742">
        <w:rPr>
          <w:rFonts w:ascii="Times New Roman" w:hAnsi="Times New Roman" w:cs="Times New Roman"/>
          <w:sz w:val="28"/>
          <w:szCs w:val="28"/>
        </w:rPr>
        <w:t xml:space="preserve">, D. W. J., Mitchell, P. J., </w:t>
      </w:r>
      <w:proofErr w:type="spellStart"/>
      <w:r w:rsidRPr="002C2742">
        <w:rPr>
          <w:rFonts w:ascii="Times New Roman" w:hAnsi="Times New Roman" w:cs="Times New Roman"/>
          <w:sz w:val="28"/>
          <w:szCs w:val="28"/>
        </w:rPr>
        <w:t>Demchuk</w:t>
      </w:r>
      <w:proofErr w:type="spellEnd"/>
      <w:r w:rsidRPr="002C2742">
        <w:rPr>
          <w:rFonts w:ascii="Times New Roman" w:hAnsi="Times New Roman" w:cs="Times New Roman"/>
          <w:sz w:val="28"/>
          <w:szCs w:val="28"/>
        </w:rPr>
        <w:t xml:space="preserve">, A. M., </w:t>
      </w:r>
      <w:proofErr w:type="spellStart"/>
      <w:r w:rsidRPr="002C2742">
        <w:rPr>
          <w:rFonts w:ascii="Times New Roman" w:hAnsi="Times New Roman" w:cs="Times New Roman"/>
          <w:sz w:val="28"/>
          <w:szCs w:val="28"/>
        </w:rPr>
        <w:t>Dávalos</w:t>
      </w:r>
      <w:proofErr w:type="spellEnd"/>
      <w:r w:rsidRPr="002C2742">
        <w:rPr>
          <w:rFonts w:ascii="Times New Roman" w:hAnsi="Times New Roman" w:cs="Times New Roman"/>
          <w:sz w:val="28"/>
          <w:szCs w:val="28"/>
        </w:rPr>
        <w:t xml:space="preserve">, A., </w:t>
      </w:r>
      <w:proofErr w:type="spellStart"/>
      <w:r w:rsidRPr="002C2742">
        <w:rPr>
          <w:rFonts w:ascii="Times New Roman" w:hAnsi="Times New Roman" w:cs="Times New Roman"/>
          <w:sz w:val="28"/>
          <w:szCs w:val="28"/>
        </w:rPr>
        <w:t>Majoie</w:t>
      </w:r>
      <w:proofErr w:type="spellEnd"/>
      <w:r w:rsidRPr="002C2742">
        <w:rPr>
          <w:rFonts w:ascii="Times New Roman" w:hAnsi="Times New Roman" w:cs="Times New Roman"/>
          <w:sz w:val="28"/>
          <w:szCs w:val="28"/>
        </w:rPr>
        <w:t xml:space="preserve">, C. B. L. M., van der </w:t>
      </w:r>
      <w:proofErr w:type="spellStart"/>
      <w:r w:rsidRPr="002C2742">
        <w:rPr>
          <w:rFonts w:ascii="Times New Roman" w:hAnsi="Times New Roman" w:cs="Times New Roman"/>
          <w:sz w:val="28"/>
          <w:szCs w:val="28"/>
        </w:rPr>
        <w:t>Lugt</w:t>
      </w:r>
      <w:proofErr w:type="spellEnd"/>
      <w:r w:rsidRPr="002C2742">
        <w:rPr>
          <w:rFonts w:ascii="Times New Roman" w:hAnsi="Times New Roman" w:cs="Times New Roman"/>
          <w:sz w:val="28"/>
          <w:szCs w:val="28"/>
        </w:rPr>
        <w:t xml:space="preserve">, A., de Miquel, M. A., </w:t>
      </w:r>
      <w:proofErr w:type="spellStart"/>
      <w:r w:rsidRPr="002C2742">
        <w:rPr>
          <w:rFonts w:ascii="Times New Roman" w:hAnsi="Times New Roman" w:cs="Times New Roman"/>
          <w:sz w:val="28"/>
          <w:szCs w:val="28"/>
        </w:rPr>
        <w:t>Donnan</w:t>
      </w:r>
      <w:proofErr w:type="spellEnd"/>
      <w:r w:rsidRPr="002C2742">
        <w:rPr>
          <w:rFonts w:ascii="Times New Roman" w:hAnsi="Times New Roman" w:cs="Times New Roman"/>
          <w:sz w:val="28"/>
          <w:szCs w:val="28"/>
        </w:rPr>
        <w:t xml:space="preserve">, G. A., </w:t>
      </w:r>
      <w:proofErr w:type="spellStart"/>
      <w:r w:rsidRPr="002C2742">
        <w:rPr>
          <w:rFonts w:ascii="Times New Roman" w:hAnsi="Times New Roman" w:cs="Times New Roman"/>
          <w:sz w:val="28"/>
          <w:szCs w:val="28"/>
        </w:rPr>
        <w:t>Roos</w:t>
      </w:r>
      <w:proofErr w:type="spellEnd"/>
      <w:r w:rsidRPr="002C2742">
        <w:rPr>
          <w:rFonts w:ascii="Times New Roman" w:hAnsi="Times New Roman" w:cs="Times New Roman"/>
          <w:sz w:val="28"/>
          <w:szCs w:val="28"/>
        </w:rPr>
        <w:t xml:space="preserve">, Y. B. W. E. M., </w:t>
      </w:r>
      <w:proofErr w:type="spellStart"/>
      <w:r w:rsidRPr="002C2742">
        <w:rPr>
          <w:rFonts w:ascii="Times New Roman" w:hAnsi="Times New Roman" w:cs="Times New Roman"/>
          <w:sz w:val="28"/>
          <w:szCs w:val="28"/>
        </w:rPr>
        <w:t>Bonafe</w:t>
      </w:r>
      <w:proofErr w:type="spellEnd"/>
      <w:r w:rsidRPr="002C2742">
        <w:rPr>
          <w:rFonts w:ascii="Times New Roman" w:hAnsi="Times New Roman" w:cs="Times New Roman"/>
          <w:sz w:val="28"/>
          <w:szCs w:val="28"/>
        </w:rPr>
        <w:t xml:space="preserve">, A., Jahan, R., Diener, H.-C., van den Berg, L. A., Levy, E. I., </w:t>
      </w:r>
      <w:proofErr w:type="spellStart"/>
      <w:r w:rsidRPr="002C2742">
        <w:rPr>
          <w:rFonts w:ascii="Times New Roman" w:hAnsi="Times New Roman" w:cs="Times New Roman"/>
          <w:sz w:val="28"/>
          <w:szCs w:val="28"/>
        </w:rPr>
        <w:t>Berkhemer</w:t>
      </w:r>
      <w:proofErr w:type="spellEnd"/>
      <w:r w:rsidRPr="002C2742">
        <w:rPr>
          <w:rFonts w:ascii="Times New Roman" w:hAnsi="Times New Roman" w:cs="Times New Roman"/>
          <w:sz w:val="28"/>
          <w:szCs w:val="28"/>
        </w:rPr>
        <w:t xml:space="preserve">, O. A., Pereira, V. M., Rempel, J., </w:t>
      </w:r>
      <w:proofErr w:type="spellStart"/>
      <w:r w:rsidRPr="002C2742">
        <w:rPr>
          <w:rFonts w:ascii="Times New Roman" w:hAnsi="Times New Roman" w:cs="Times New Roman"/>
          <w:sz w:val="28"/>
          <w:szCs w:val="28"/>
        </w:rPr>
        <w:t>Millán</w:t>
      </w:r>
      <w:proofErr w:type="spellEnd"/>
      <w:r w:rsidRPr="002C2742">
        <w:rPr>
          <w:rFonts w:ascii="Times New Roman" w:hAnsi="Times New Roman" w:cs="Times New Roman"/>
          <w:sz w:val="28"/>
          <w:szCs w:val="28"/>
        </w:rPr>
        <w:t xml:space="preserve">, M., Davis, S. M., Roy, D., Thornton, J., San Román, L., </w:t>
      </w:r>
      <w:proofErr w:type="spellStart"/>
      <w:r w:rsidRPr="002C2742">
        <w:rPr>
          <w:rFonts w:ascii="Times New Roman" w:hAnsi="Times New Roman" w:cs="Times New Roman"/>
          <w:sz w:val="28"/>
          <w:szCs w:val="28"/>
        </w:rPr>
        <w:t>Ribó</w:t>
      </w:r>
      <w:proofErr w:type="spellEnd"/>
      <w:r w:rsidRPr="002C2742">
        <w:rPr>
          <w:rFonts w:ascii="Times New Roman" w:hAnsi="Times New Roman" w:cs="Times New Roman"/>
          <w:sz w:val="28"/>
          <w:szCs w:val="28"/>
        </w:rPr>
        <w:t xml:space="preserve">, M., </w:t>
      </w:r>
      <w:proofErr w:type="spellStart"/>
      <w:r w:rsidRPr="002C2742">
        <w:rPr>
          <w:rFonts w:ascii="Times New Roman" w:hAnsi="Times New Roman" w:cs="Times New Roman"/>
          <w:sz w:val="28"/>
          <w:szCs w:val="28"/>
        </w:rPr>
        <w:t>Beumer</w:t>
      </w:r>
      <w:proofErr w:type="spellEnd"/>
      <w:r w:rsidRPr="002C2742">
        <w:rPr>
          <w:rFonts w:ascii="Times New Roman" w:hAnsi="Times New Roman" w:cs="Times New Roman"/>
          <w:sz w:val="28"/>
          <w:szCs w:val="28"/>
        </w:rPr>
        <w:t xml:space="preserve">, D., </w:t>
      </w:r>
      <w:proofErr w:type="spellStart"/>
      <w:r w:rsidRPr="002C2742">
        <w:rPr>
          <w:rFonts w:ascii="Times New Roman" w:hAnsi="Times New Roman" w:cs="Times New Roman"/>
          <w:sz w:val="28"/>
          <w:szCs w:val="28"/>
        </w:rPr>
        <w:t>Stouch</w:t>
      </w:r>
      <w:proofErr w:type="spellEnd"/>
      <w:r w:rsidRPr="002C2742">
        <w:rPr>
          <w:rFonts w:ascii="Times New Roman" w:hAnsi="Times New Roman" w:cs="Times New Roman"/>
          <w:sz w:val="28"/>
          <w:szCs w:val="28"/>
        </w:rPr>
        <w:t xml:space="preserve">, B., Brown, S., Campbell, B. C. V., van </w:t>
      </w:r>
      <w:proofErr w:type="spellStart"/>
      <w:r w:rsidRPr="002C2742">
        <w:rPr>
          <w:rFonts w:ascii="Times New Roman" w:hAnsi="Times New Roman" w:cs="Times New Roman"/>
          <w:sz w:val="28"/>
          <w:szCs w:val="28"/>
        </w:rPr>
        <w:t>Oostenbrugge</w:t>
      </w:r>
      <w:proofErr w:type="spellEnd"/>
      <w:r w:rsidRPr="002C2742">
        <w:rPr>
          <w:rFonts w:ascii="Times New Roman" w:hAnsi="Times New Roman" w:cs="Times New Roman"/>
          <w:sz w:val="28"/>
          <w:szCs w:val="28"/>
        </w:rPr>
        <w:t xml:space="preserve">, R. J., Saver, J. L., Hill, M. D., &amp; </w:t>
      </w:r>
      <w:proofErr w:type="spellStart"/>
      <w:r w:rsidRPr="002C2742">
        <w:rPr>
          <w:rFonts w:ascii="Times New Roman" w:hAnsi="Times New Roman" w:cs="Times New Roman"/>
          <w:sz w:val="28"/>
          <w:szCs w:val="28"/>
        </w:rPr>
        <w:t>Jovin</w:t>
      </w:r>
      <w:proofErr w:type="spellEnd"/>
      <w:r w:rsidRPr="002C2742">
        <w:rPr>
          <w:rFonts w:ascii="Times New Roman" w:hAnsi="Times New Roman" w:cs="Times New Roman"/>
          <w:sz w:val="28"/>
          <w:szCs w:val="28"/>
        </w:rPr>
        <w:t xml:space="preserve">, T. G. (2016). Endovascular thrombectomy after large-vessel ischaemic stroke: a meta-analysis of individual patient data from five randomised trials. The Lancet, 387(10029), 1723–1731. </w:t>
      </w:r>
      <w:hyperlink r:id="rId41" w:history="1">
        <w:r w:rsidRPr="00921B06">
          <w:rPr>
            <w:rStyle w:val="Hyperlink"/>
            <w:rFonts w:ascii="Times New Roman" w:hAnsi="Times New Roman" w:cs="Times New Roman"/>
            <w:sz w:val="28"/>
            <w:szCs w:val="28"/>
          </w:rPr>
          <w:t>https://doi.org/10.1016/S0140-6736(16)00163-X</w:t>
        </w:r>
      </w:hyperlink>
      <w:r>
        <w:rPr>
          <w:rFonts w:ascii="Times New Roman" w:hAnsi="Times New Roman" w:cs="Times New Roman"/>
          <w:sz w:val="28"/>
          <w:szCs w:val="28"/>
        </w:rPr>
        <w:t xml:space="preserve"> </w:t>
      </w:r>
    </w:p>
    <w:p w14:paraId="58F6E44E" w14:textId="077C7AEE" w:rsidR="000A6CCB" w:rsidRPr="00C633CB" w:rsidRDefault="00B43766" w:rsidP="000A6CCB">
      <w:pPr>
        <w:numPr>
          <w:ilvl w:val="0"/>
          <w:numId w:val="1"/>
        </w:numPr>
        <w:rPr>
          <w:rFonts w:ascii="Times New Roman" w:hAnsi="Times New Roman" w:cs="Times New Roman"/>
          <w:sz w:val="28"/>
          <w:szCs w:val="28"/>
        </w:rPr>
      </w:pPr>
      <w:r w:rsidRPr="00B43766">
        <w:rPr>
          <w:rFonts w:ascii="Times New Roman" w:hAnsi="Times New Roman" w:cs="Times New Roman"/>
          <w:sz w:val="28"/>
          <w:szCs w:val="28"/>
        </w:rPr>
        <w:t xml:space="preserve">Langhorne, P., Bernhardt, J., &amp; </w:t>
      </w:r>
      <w:proofErr w:type="spellStart"/>
      <w:r w:rsidRPr="00B43766">
        <w:rPr>
          <w:rFonts w:ascii="Times New Roman" w:hAnsi="Times New Roman" w:cs="Times New Roman"/>
          <w:sz w:val="28"/>
          <w:szCs w:val="28"/>
        </w:rPr>
        <w:t>Kwakkel</w:t>
      </w:r>
      <w:proofErr w:type="spellEnd"/>
      <w:r w:rsidRPr="00B43766">
        <w:rPr>
          <w:rFonts w:ascii="Times New Roman" w:hAnsi="Times New Roman" w:cs="Times New Roman"/>
          <w:sz w:val="28"/>
          <w:szCs w:val="28"/>
        </w:rPr>
        <w:t xml:space="preserve">, G. (2011). Stroke rehabilitation. The Lancet, 377(9778), 1693–1702. </w:t>
      </w:r>
      <w:hyperlink r:id="rId42" w:history="1">
        <w:r w:rsidRPr="00921B06">
          <w:rPr>
            <w:rStyle w:val="Hyperlink"/>
            <w:rFonts w:ascii="Times New Roman" w:hAnsi="Times New Roman" w:cs="Times New Roman"/>
            <w:sz w:val="28"/>
            <w:szCs w:val="28"/>
          </w:rPr>
          <w:t>https://doi.org/10.1016/S0140-6736(11)60325-5</w:t>
        </w:r>
      </w:hyperlink>
      <w:r>
        <w:rPr>
          <w:rFonts w:ascii="Times New Roman" w:hAnsi="Times New Roman" w:cs="Times New Roman"/>
          <w:sz w:val="28"/>
          <w:szCs w:val="28"/>
        </w:rPr>
        <w:t xml:space="preserve"> </w:t>
      </w:r>
    </w:p>
    <w:p w14:paraId="12A16B5E" w14:textId="77777777" w:rsidR="000A6CCB" w:rsidRPr="00C633CB" w:rsidRDefault="000A6CCB" w:rsidP="000A6CCB">
      <w:pPr>
        <w:numPr>
          <w:ilvl w:val="0"/>
          <w:numId w:val="1"/>
        </w:numPr>
        <w:rPr>
          <w:rFonts w:ascii="Times New Roman" w:hAnsi="Times New Roman" w:cs="Times New Roman"/>
          <w:sz w:val="28"/>
          <w:szCs w:val="28"/>
        </w:rPr>
      </w:pPr>
      <w:proofErr w:type="spellStart"/>
      <w:r w:rsidRPr="00C633CB">
        <w:rPr>
          <w:rFonts w:ascii="Times New Roman" w:hAnsi="Times New Roman" w:cs="Times New Roman"/>
          <w:sz w:val="28"/>
          <w:szCs w:val="28"/>
        </w:rPr>
        <w:t>Iadecola</w:t>
      </w:r>
      <w:proofErr w:type="spellEnd"/>
      <w:r w:rsidRPr="00C633CB">
        <w:rPr>
          <w:rFonts w:ascii="Times New Roman" w:hAnsi="Times New Roman" w:cs="Times New Roman"/>
          <w:sz w:val="28"/>
          <w:szCs w:val="28"/>
        </w:rPr>
        <w:t xml:space="preserve">, C., &amp; Gottesman, R. F. (2019). Cerebrovascular contributions to dementia. </w:t>
      </w:r>
      <w:r w:rsidRPr="00C633CB">
        <w:rPr>
          <w:rFonts w:ascii="Times New Roman" w:hAnsi="Times New Roman" w:cs="Times New Roman"/>
          <w:i/>
          <w:iCs/>
          <w:sz w:val="28"/>
          <w:szCs w:val="28"/>
        </w:rPr>
        <w:t>Stroke, 50</w:t>
      </w:r>
      <w:r w:rsidRPr="00C633CB">
        <w:rPr>
          <w:rFonts w:ascii="Times New Roman" w:hAnsi="Times New Roman" w:cs="Times New Roman"/>
          <w:sz w:val="28"/>
          <w:szCs w:val="28"/>
        </w:rPr>
        <w:t>(3), 701–706.</w:t>
      </w:r>
    </w:p>
    <w:p w14:paraId="55A09F42" w14:textId="4EE52D29" w:rsidR="000A6CCB" w:rsidRPr="00C633CB" w:rsidRDefault="00506035" w:rsidP="000A6CCB">
      <w:pPr>
        <w:numPr>
          <w:ilvl w:val="0"/>
          <w:numId w:val="1"/>
        </w:numPr>
        <w:rPr>
          <w:rFonts w:ascii="Times New Roman" w:hAnsi="Times New Roman" w:cs="Times New Roman"/>
          <w:sz w:val="28"/>
          <w:szCs w:val="28"/>
        </w:rPr>
      </w:pPr>
      <w:r w:rsidRPr="00506035">
        <w:rPr>
          <w:rFonts w:ascii="Times New Roman" w:hAnsi="Times New Roman" w:cs="Times New Roman"/>
          <w:sz w:val="28"/>
          <w:szCs w:val="28"/>
        </w:rPr>
        <w:t xml:space="preserve">Saver, J. L., Goyal, M., </w:t>
      </w:r>
      <w:proofErr w:type="spellStart"/>
      <w:r w:rsidRPr="00506035">
        <w:rPr>
          <w:rFonts w:ascii="Times New Roman" w:hAnsi="Times New Roman" w:cs="Times New Roman"/>
          <w:sz w:val="28"/>
          <w:szCs w:val="28"/>
        </w:rPr>
        <w:t>Bonafe</w:t>
      </w:r>
      <w:proofErr w:type="spellEnd"/>
      <w:r w:rsidRPr="00506035">
        <w:rPr>
          <w:rFonts w:ascii="Times New Roman" w:hAnsi="Times New Roman" w:cs="Times New Roman"/>
          <w:sz w:val="28"/>
          <w:szCs w:val="28"/>
        </w:rPr>
        <w:t xml:space="preserve">, A., Diener, H. C., Levy, E. I., Pereira, V. M., Albers, G. W., </w:t>
      </w:r>
      <w:proofErr w:type="spellStart"/>
      <w:r w:rsidRPr="00506035">
        <w:rPr>
          <w:rFonts w:ascii="Times New Roman" w:hAnsi="Times New Roman" w:cs="Times New Roman"/>
          <w:sz w:val="28"/>
          <w:szCs w:val="28"/>
        </w:rPr>
        <w:t>Cognard</w:t>
      </w:r>
      <w:proofErr w:type="spellEnd"/>
      <w:r w:rsidRPr="00506035">
        <w:rPr>
          <w:rFonts w:ascii="Times New Roman" w:hAnsi="Times New Roman" w:cs="Times New Roman"/>
          <w:sz w:val="28"/>
          <w:szCs w:val="28"/>
        </w:rPr>
        <w:t xml:space="preserve">, C., Cohen, D. J., </w:t>
      </w:r>
      <w:proofErr w:type="spellStart"/>
      <w:r w:rsidRPr="00506035">
        <w:rPr>
          <w:rFonts w:ascii="Times New Roman" w:hAnsi="Times New Roman" w:cs="Times New Roman"/>
          <w:sz w:val="28"/>
          <w:szCs w:val="28"/>
        </w:rPr>
        <w:t>Hacke</w:t>
      </w:r>
      <w:proofErr w:type="spellEnd"/>
      <w:r w:rsidRPr="00506035">
        <w:rPr>
          <w:rFonts w:ascii="Times New Roman" w:hAnsi="Times New Roman" w:cs="Times New Roman"/>
          <w:sz w:val="28"/>
          <w:szCs w:val="28"/>
        </w:rPr>
        <w:t xml:space="preserve">, W., Jansen, O., </w:t>
      </w:r>
      <w:proofErr w:type="spellStart"/>
      <w:r w:rsidRPr="00506035">
        <w:rPr>
          <w:rFonts w:ascii="Times New Roman" w:hAnsi="Times New Roman" w:cs="Times New Roman"/>
          <w:sz w:val="28"/>
          <w:szCs w:val="28"/>
        </w:rPr>
        <w:t>Jovin</w:t>
      </w:r>
      <w:proofErr w:type="spellEnd"/>
      <w:r w:rsidRPr="00506035">
        <w:rPr>
          <w:rFonts w:ascii="Times New Roman" w:hAnsi="Times New Roman" w:cs="Times New Roman"/>
          <w:sz w:val="28"/>
          <w:szCs w:val="28"/>
        </w:rPr>
        <w:t xml:space="preserve">, T. G., </w:t>
      </w:r>
      <w:proofErr w:type="spellStart"/>
      <w:r w:rsidRPr="00506035">
        <w:rPr>
          <w:rFonts w:ascii="Times New Roman" w:hAnsi="Times New Roman" w:cs="Times New Roman"/>
          <w:sz w:val="28"/>
          <w:szCs w:val="28"/>
        </w:rPr>
        <w:t>Mattle</w:t>
      </w:r>
      <w:proofErr w:type="spellEnd"/>
      <w:r w:rsidRPr="00506035">
        <w:rPr>
          <w:rFonts w:ascii="Times New Roman" w:hAnsi="Times New Roman" w:cs="Times New Roman"/>
          <w:sz w:val="28"/>
          <w:szCs w:val="28"/>
        </w:rPr>
        <w:t xml:space="preserve">, H. P., Nogueira, R. G., Siddiqui, A. H., </w:t>
      </w:r>
      <w:proofErr w:type="spellStart"/>
      <w:r w:rsidRPr="00506035">
        <w:rPr>
          <w:rFonts w:ascii="Times New Roman" w:hAnsi="Times New Roman" w:cs="Times New Roman"/>
          <w:sz w:val="28"/>
          <w:szCs w:val="28"/>
        </w:rPr>
        <w:t>Yavagal</w:t>
      </w:r>
      <w:proofErr w:type="spellEnd"/>
      <w:r w:rsidRPr="00506035">
        <w:rPr>
          <w:rFonts w:ascii="Times New Roman" w:hAnsi="Times New Roman" w:cs="Times New Roman"/>
          <w:sz w:val="28"/>
          <w:szCs w:val="28"/>
        </w:rPr>
        <w:t xml:space="preserve">, D. R., Baxter, B. W., Devlin, T. G., Lopes, D. K., Reddy, V. K., du </w:t>
      </w:r>
      <w:proofErr w:type="spellStart"/>
      <w:r w:rsidRPr="00506035">
        <w:rPr>
          <w:rFonts w:ascii="Times New Roman" w:hAnsi="Times New Roman" w:cs="Times New Roman"/>
          <w:sz w:val="28"/>
          <w:szCs w:val="28"/>
        </w:rPr>
        <w:t>Mesnil</w:t>
      </w:r>
      <w:proofErr w:type="spellEnd"/>
      <w:r w:rsidRPr="00506035">
        <w:rPr>
          <w:rFonts w:ascii="Times New Roman" w:hAnsi="Times New Roman" w:cs="Times New Roman"/>
          <w:sz w:val="28"/>
          <w:szCs w:val="28"/>
        </w:rPr>
        <w:t xml:space="preserve"> de Rochemont, R., Singer, O. C., &amp; Jahan, R. (2015). Stent-retriever thrombectomy after intravenous t-PA vs. t-PA alone in stroke. New England Journal of Medicine, 372(24), 2285–2295. </w:t>
      </w:r>
      <w:hyperlink r:id="rId43" w:history="1">
        <w:r w:rsidRPr="00921B06">
          <w:rPr>
            <w:rStyle w:val="Hyperlink"/>
            <w:rFonts w:ascii="Times New Roman" w:hAnsi="Times New Roman" w:cs="Times New Roman"/>
            <w:sz w:val="28"/>
            <w:szCs w:val="28"/>
          </w:rPr>
          <w:t>https://doi.org/10.1056/NEJMoa1415061</w:t>
        </w:r>
      </w:hyperlink>
      <w:r>
        <w:rPr>
          <w:rFonts w:ascii="Times New Roman" w:hAnsi="Times New Roman" w:cs="Times New Roman"/>
          <w:sz w:val="28"/>
          <w:szCs w:val="28"/>
        </w:rPr>
        <w:t xml:space="preserve"> </w:t>
      </w:r>
    </w:p>
    <w:p w14:paraId="0E0A83F7" w14:textId="7F1D1C7A" w:rsidR="000A6CCB" w:rsidRPr="00C633CB" w:rsidRDefault="00EC48F0" w:rsidP="000A6CCB">
      <w:pPr>
        <w:numPr>
          <w:ilvl w:val="0"/>
          <w:numId w:val="1"/>
        </w:numPr>
        <w:rPr>
          <w:rFonts w:ascii="Times New Roman" w:hAnsi="Times New Roman" w:cs="Times New Roman"/>
          <w:sz w:val="28"/>
          <w:szCs w:val="28"/>
        </w:rPr>
      </w:pPr>
      <w:r w:rsidRPr="00EC48F0">
        <w:rPr>
          <w:rFonts w:ascii="Times New Roman" w:hAnsi="Times New Roman" w:cs="Times New Roman"/>
          <w:sz w:val="28"/>
          <w:szCs w:val="28"/>
        </w:rPr>
        <w:t xml:space="preserve">Wardlaw, J. M., Murray, V., Berge, E., &amp; del </w:t>
      </w:r>
      <w:proofErr w:type="spellStart"/>
      <w:r w:rsidRPr="00EC48F0">
        <w:rPr>
          <w:rFonts w:ascii="Times New Roman" w:hAnsi="Times New Roman" w:cs="Times New Roman"/>
          <w:sz w:val="28"/>
          <w:szCs w:val="28"/>
        </w:rPr>
        <w:t>Zoppo</w:t>
      </w:r>
      <w:proofErr w:type="spellEnd"/>
      <w:r w:rsidRPr="00EC48F0">
        <w:rPr>
          <w:rFonts w:ascii="Times New Roman" w:hAnsi="Times New Roman" w:cs="Times New Roman"/>
          <w:sz w:val="28"/>
          <w:szCs w:val="28"/>
        </w:rPr>
        <w:t xml:space="preserve">, G. J. (2014). Thrombolysis for acute ischaemic stroke. Cochrane Database of Systematic Reviews, (7), Article number CD000213. </w:t>
      </w:r>
      <w:hyperlink r:id="rId44" w:history="1">
        <w:r w:rsidRPr="00921B06">
          <w:rPr>
            <w:rStyle w:val="Hyperlink"/>
            <w:rFonts w:ascii="Times New Roman" w:hAnsi="Times New Roman" w:cs="Times New Roman"/>
            <w:sz w:val="28"/>
            <w:szCs w:val="28"/>
          </w:rPr>
          <w:t>https://doi.org/10.1002/14651858.CD000213.pub3</w:t>
        </w:r>
      </w:hyperlink>
      <w:r>
        <w:rPr>
          <w:rFonts w:ascii="Times New Roman" w:hAnsi="Times New Roman" w:cs="Times New Roman"/>
          <w:sz w:val="28"/>
          <w:szCs w:val="28"/>
        </w:rPr>
        <w:t xml:space="preserve"> </w:t>
      </w:r>
    </w:p>
    <w:p w14:paraId="44755E2A" w14:textId="20B7DD74" w:rsidR="000A6CCB" w:rsidRPr="00C633CB" w:rsidRDefault="002E6080" w:rsidP="000A6CCB">
      <w:pPr>
        <w:numPr>
          <w:ilvl w:val="0"/>
          <w:numId w:val="1"/>
        </w:numPr>
        <w:rPr>
          <w:rFonts w:ascii="Times New Roman" w:hAnsi="Times New Roman" w:cs="Times New Roman"/>
          <w:sz w:val="28"/>
          <w:szCs w:val="28"/>
        </w:rPr>
      </w:pPr>
      <w:proofErr w:type="spellStart"/>
      <w:r w:rsidRPr="002E6080">
        <w:rPr>
          <w:rFonts w:ascii="Times New Roman" w:hAnsi="Times New Roman" w:cs="Times New Roman"/>
          <w:sz w:val="28"/>
          <w:szCs w:val="28"/>
        </w:rPr>
        <w:t>Feigin</w:t>
      </w:r>
      <w:proofErr w:type="spellEnd"/>
      <w:r w:rsidRPr="002E6080">
        <w:rPr>
          <w:rFonts w:ascii="Times New Roman" w:hAnsi="Times New Roman" w:cs="Times New Roman"/>
          <w:sz w:val="28"/>
          <w:szCs w:val="28"/>
        </w:rPr>
        <w:t xml:space="preserve">, V. L., Roth, G. A., </w:t>
      </w:r>
      <w:proofErr w:type="spellStart"/>
      <w:r w:rsidRPr="002E6080">
        <w:rPr>
          <w:rFonts w:ascii="Times New Roman" w:hAnsi="Times New Roman" w:cs="Times New Roman"/>
          <w:sz w:val="28"/>
          <w:szCs w:val="28"/>
        </w:rPr>
        <w:t>Naghavi</w:t>
      </w:r>
      <w:proofErr w:type="spellEnd"/>
      <w:r w:rsidRPr="002E6080">
        <w:rPr>
          <w:rFonts w:ascii="Times New Roman" w:hAnsi="Times New Roman" w:cs="Times New Roman"/>
          <w:sz w:val="28"/>
          <w:szCs w:val="28"/>
        </w:rPr>
        <w:t xml:space="preserve">, M., Parmar, P., </w:t>
      </w:r>
      <w:proofErr w:type="spellStart"/>
      <w:r w:rsidRPr="002E6080">
        <w:rPr>
          <w:rFonts w:ascii="Times New Roman" w:hAnsi="Times New Roman" w:cs="Times New Roman"/>
          <w:sz w:val="28"/>
          <w:szCs w:val="28"/>
        </w:rPr>
        <w:t>Krishnamurthi</w:t>
      </w:r>
      <w:proofErr w:type="spellEnd"/>
      <w:r w:rsidRPr="002E6080">
        <w:rPr>
          <w:rFonts w:ascii="Times New Roman" w:hAnsi="Times New Roman" w:cs="Times New Roman"/>
          <w:sz w:val="28"/>
          <w:szCs w:val="28"/>
        </w:rPr>
        <w:t xml:space="preserve">, R., </w:t>
      </w:r>
      <w:proofErr w:type="spellStart"/>
      <w:r w:rsidRPr="002E6080">
        <w:rPr>
          <w:rFonts w:ascii="Times New Roman" w:hAnsi="Times New Roman" w:cs="Times New Roman"/>
          <w:sz w:val="28"/>
          <w:szCs w:val="28"/>
        </w:rPr>
        <w:t>Chugh</w:t>
      </w:r>
      <w:proofErr w:type="spellEnd"/>
      <w:r w:rsidRPr="002E6080">
        <w:rPr>
          <w:rFonts w:ascii="Times New Roman" w:hAnsi="Times New Roman" w:cs="Times New Roman"/>
          <w:sz w:val="28"/>
          <w:szCs w:val="28"/>
        </w:rPr>
        <w:t xml:space="preserve">, S., Mensah, G. A., </w:t>
      </w:r>
      <w:proofErr w:type="spellStart"/>
      <w:r w:rsidRPr="002E6080">
        <w:rPr>
          <w:rFonts w:ascii="Times New Roman" w:hAnsi="Times New Roman" w:cs="Times New Roman"/>
          <w:sz w:val="28"/>
          <w:szCs w:val="28"/>
        </w:rPr>
        <w:t>Norrving</w:t>
      </w:r>
      <w:proofErr w:type="spellEnd"/>
      <w:r w:rsidRPr="002E6080">
        <w:rPr>
          <w:rFonts w:ascii="Times New Roman" w:hAnsi="Times New Roman" w:cs="Times New Roman"/>
          <w:sz w:val="28"/>
          <w:szCs w:val="28"/>
        </w:rPr>
        <w:t xml:space="preserve">, B., Shiue, I., Ng, M., Estep, K., </w:t>
      </w:r>
      <w:proofErr w:type="spellStart"/>
      <w:r w:rsidRPr="002E6080">
        <w:rPr>
          <w:rFonts w:ascii="Times New Roman" w:hAnsi="Times New Roman" w:cs="Times New Roman"/>
          <w:sz w:val="28"/>
          <w:szCs w:val="28"/>
        </w:rPr>
        <w:t>Cercy</w:t>
      </w:r>
      <w:proofErr w:type="spellEnd"/>
      <w:r w:rsidRPr="002E6080">
        <w:rPr>
          <w:rFonts w:ascii="Times New Roman" w:hAnsi="Times New Roman" w:cs="Times New Roman"/>
          <w:sz w:val="28"/>
          <w:szCs w:val="28"/>
        </w:rPr>
        <w:t xml:space="preserve">, K., Murray, C. J. L., &amp; </w:t>
      </w:r>
      <w:proofErr w:type="spellStart"/>
      <w:r w:rsidRPr="002E6080">
        <w:rPr>
          <w:rFonts w:ascii="Times New Roman" w:hAnsi="Times New Roman" w:cs="Times New Roman"/>
          <w:sz w:val="28"/>
          <w:szCs w:val="28"/>
        </w:rPr>
        <w:t>Forouzanfar</w:t>
      </w:r>
      <w:proofErr w:type="spellEnd"/>
      <w:r w:rsidRPr="002E6080">
        <w:rPr>
          <w:rFonts w:ascii="Times New Roman" w:hAnsi="Times New Roman" w:cs="Times New Roman"/>
          <w:sz w:val="28"/>
          <w:szCs w:val="28"/>
        </w:rPr>
        <w:t xml:space="preserve">, M. H. (2016). Global burden of stroke and risk factors in 188 countries, during 1990–2013: a </w:t>
      </w:r>
      <w:r w:rsidRPr="002E6080">
        <w:rPr>
          <w:rFonts w:ascii="Times New Roman" w:hAnsi="Times New Roman" w:cs="Times New Roman"/>
          <w:sz w:val="28"/>
          <w:szCs w:val="28"/>
        </w:rPr>
        <w:lastRenderedPageBreak/>
        <w:t xml:space="preserve">systematic analysis for the Global Burden of Disease Study 2013. The Lancet Neurology, 15(9), 913–924. </w:t>
      </w:r>
      <w:hyperlink r:id="rId45" w:history="1">
        <w:r w:rsidRPr="00921B06">
          <w:rPr>
            <w:rStyle w:val="Hyperlink"/>
            <w:rFonts w:ascii="Times New Roman" w:hAnsi="Times New Roman" w:cs="Times New Roman"/>
            <w:sz w:val="28"/>
            <w:szCs w:val="28"/>
          </w:rPr>
          <w:t>https://doi.org/10.1016/S1474-4422(16)30073–4</w:t>
        </w:r>
      </w:hyperlink>
      <w:r>
        <w:rPr>
          <w:rFonts w:ascii="Times New Roman" w:hAnsi="Times New Roman" w:cs="Times New Roman"/>
          <w:sz w:val="28"/>
          <w:szCs w:val="28"/>
        </w:rPr>
        <w:t xml:space="preserve"> </w:t>
      </w:r>
    </w:p>
    <w:p w14:paraId="65AA5D61" w14:textId="3325507A" w:rsidR="000A6CCB" w:rsidRPr="00C633CB" w:rsidRDefault="000A4A8D" w:rsidP="000A6CCB">
      <w:pPr>
        <w:numPr>
          <w:ilvl w:val="0"/>
          <w:numId w:val="1"/>
        </w:numPr>
        <w:rPr>
          <w:rFonts w:ascii="Times New Roman" w:hAnsi="Times New Roman" w:cs="Times New Roman"/>
          <w:sz w:val="28"/>
          <w:szCs w:val="28"/>
        </w:rPr>
      </w:pPr>
      <w:proofErr w:type="spellStart"/>
      <w:r w:rsidRPr="000A4A8D">
        <w:rPr>
          <w:rFonts w:ascii="Times New Roman" w:hAnsi="Times New Roman" w:cs="Times New Roman"/>
          <w:sz w:val="28"/>
          <w:szCs w:val="28"/>
        </w:rPr>
        <w:t>Rabinstein</w:t>
      </w:r>
      <w:proofErr w:type="spellEnd"/>
      <w:r w:rsidRPr="000A4A8D">
        <w:rPr>
          <w:rFonts w:ascii="Times New Roman" w:hAnsi="Times New Roman" w:cs="Times New Roman"/>
          <w:sz w:val="28"/>
          <w:szCs w:val="28"/>
        </w:rPr>
        <w:t>, A. A. (2020). Update on Treatment of Acute Ischemic Stroke. Continuum (</w:t>
      </w:r>
      <w:proofErr w:type="spellStart"/>
      <w:r w:rsidRPr="000A4A8D">
        <w:rPr>
          <w:rFonts w:ascii="Times New Roman" w:hAnsi="Times New Roman" w:cs="Times New Roman"/>
          <w:sz w:val="28"/>
          <w:szCs w:val="28"/>
        </w:rPr>
        <w:t>Minneap</w:t>
      </w:r>
      <w:proofErr w:type="spellEnd"/>
      <w:r w:rsidRPr="000A4A8D">
        <w:rPr>
          <w:rFonts w:ascii="Times New Roman" w:hAnsi="Times New Roman" w:cs="Times New Roman"/>
          <w:sz w:val="28"/>
          <w:szCs w:val="28"/>
        </w:rPr>
        <w:t xml:space="preserve"> </w:t>
      </w:r>
      <w:proofErr w:type="spellStart"/>
      <w:r w:rsidRPr="000A4A8D">
        <w:rPr>
          <w:rFonts w:ascii="Times New Roman" w:hAnsi="Times New Roman" w:cs="Times New Roman"/>
          <w:sz w:val="28"/>
          <w:szCs w:val="28"/>
        </w:rPr>
        <w:t>Minn</w:t>
      </w:r>
      <w:proofErr w:type="spellEnd"/>
      <w:r w:rsidRPr="000A4A8D">
        <w:rPr>
          <w:rFonts w:ascii="Times New Roman" w:hAnsi="Times New Roman" w:cs="Times New Roman"/>
          <w:sz w:val="28"/>
          <w:szCs w:val="28"/>
        </w:rPr>
        <w:t xml:space="preserve">), 26(2), 268–286. </w:t>
      </w:r>
      <w:hyperlink r:id="rId46" w:history="1">
        <w:r w:rsidRPr="00921B06">
          <w:rPr>
            <w:rStyle w:val="Hyperlink"/>
            <w:rFonts w:ascii="Times New Roman" w:hAnsi="Times New Roman" w:cs="Times New Roman"/>
            <w:sz w:val="28"/>
            <w:szCs w:val="28"/>
          </w:rPr>
          <w:t>https://doi.org/10.1212/CON.0000000000000840</w:t>
        </w:r>
      </w:hyperlink>
      <w:r>
        <w:rPr>
          <w:rFonts w:ascii="Times New Roman" w:hAnsi="Times New Roman" w:cs="Times New Roman"/>
          <w:sz w:val="28"/>
          <w:szCs w:val="28"/>
        </w:rPr>
        <w:t xml:space="preserve"> </w:t>
      </w:r>
    </w:p>
    <w:p w14:paraId="53CD3033" w14:textId="77777777" w:rsidR="000A6CCB" w:rsidRDefault="000A6CCB" w:rsidP="000A6CCB">
      <w:pPr>
        <w:numPr>
          <w:ilvl w:val="0"/>
          <w:numId w:val="1"/>
        </w:numPr>
        <w:rPr>
          <w:rFonts w:ascii="Times New Roman" w:hAnsi="Times New Roman" w:cs="Times New Roman"/>
          <w:sz w:val="28"/>
          <w:szCs w:val="28"/>
        </w:rPr>
      </w:pPr>
      <w:r w:rsidRPr="00C633CB">
        <w:rPr>
          <w:rFonts w:ascii="Times New Roman" w:hAnsi="Times New Roman" w:cs="Times New Roman"/>
          <w:sz w:val="28"/>
          <w:szCs w:val="28"/>
        </w:rPr>
        <w:t xml:space="preserve">Liebeskind, D. S. (2019). Collateral circulation. </w:t>
      </w:r>
      <w:r w:rsidRPr="00C633CB">
        <w:rPr>
          <w:rFonts w:ascii="Times New Roman" w:hAnsi="Times New Roman" w:cs="Times New Roman"/>
          <w:i/>
          <w:iCs/>
          <w:sz w:val="28"/>
          <w:szCs w:val="28"/>
        </w:rPr>
        <w:t>Stroke, 50</w:t>
      </w:r>
      <w:r w:rsidRPr="00C633CB">
        <w:rPr>
          <w:rFonts w:ascii="Times New Roman" w:hAnsi="Times New Roman" w:cs="Times New Roman"/>
          <w:sz w:val="28"/>
          <w:szCs w:val="28"/>
        </w:rPr>
        <w:t>(7), 1979–1986.</w:t>
      </w:r>
    </w:p>
    <w:p w14:paraId="01BEE5D4" w14:textId="7313AA16" w:rsidR="000A6CCB" w:rsidRDefault="0075465B" w:rsidP="000A6CCB">
      <w:pPr>
        <w:numPr>
          <w:ilvl w:val="0"/>
          <w:numId w:val="1"/>
        </w:numPr>
        <w:rPr>
          <w:rFonts w:ascii="Times New Roman" w:hAnsi="Times New Roman" w:cs="Times New Roman"/>
          <w:sz w:val="28"/>
          <w:szCs w:val="28"/>
        </w:rPr>
      </w:pPr>
      <w:proofErr w:type="spellStart"/>
      <w:r w:rsidRPr="0075465B">
        <w:rPr>
          <w:rFonts w:ascii="Times New Roman" w:hAnsi="Times New Roman" w:cs="Times New Roman"/>
          <w:sz w:val="28"/>
          <w:szCs w:val="28"/>
        </w:rPr>
        <w:t>Tirschwell</w:t>
      </w:r>
      <w:proofErr w:type="spellEnd"/>
      <w:r w:rsidRPr="0075465B">
        <w:rPr>
          <w:rFonts w:ascii="Times New Roman" w:hAnsi="Times New Roman" w:cs="Times New Roman"/>
          <w:sz w:val="28"/>
          <w:szCs w:val="28"/>
        </w:rPr>
        <w:t xml:space="preserve">, D. L., Smith, N. L., </w:t>
      </w:r>
      <w:proofErr w:type="spellStart"/>
      <w:r w:rsidRPr="0075465B">
        <w:rPr>
          <w:rFonts w:ascii="Times New Roman" w:hAnsi="Times New Roman" w:cs="Times New Roman"/>
          <w:sz w:val="28"/>
          <w:szCs w:val="28"/>
        </w:rPr>
        <w:t>Heckbert</w:t>
      </w:r>
      <w:proofErr w:type="spellEnd"/>
      <w:r w:rsidRPr="0075465B">
        <w:rPr>
          <w:rFonts w:ascii="Times New Roman" w:hAnsi="Times New Roman" w:cs="Times New Roman"/>
          <w:sz w:val="28"/>
          <w:szCs w:val="28"/>
        </w:rPr>
        <w:t xml:space="preserve">, S. R., Lemaitre, R. N., </w:t>
      </w:r>
      <w:proofErr w:type="spellStart"/>
      <w:r w:rsidRPr="0075465B">
        <w:rPr>
          <w:rFonts w:ascii="Times New Roman" w:hAnsi="Times New Roman" w:cs="Times New Roman"/>
          <w:sz w:val="28"/>
          <w:szCs w:val="28"/>
        </w:rPr>
        <w:t>Longstreth</w:t>
      </w:r>
      <w:proofErr w:type="spellEnd"/>
      <w:r w:rsidRPr="0075465B">
        <w:rPr>
          <w:rFonts w:ascii="Times New Roman" w:hAnsi="Times New Roman" w:cs="Times New Roman"/>
          <w:sz w:val="28"/>
          <w:szCs w:val="28"/>
        </w:rPr>
        <w:t xml:space="preserve">, W. T., Jr., &amp; </w:t>
      </w:r>
      <w:proofErr w:type="spellStart"/>
      <w:r w:rsidRPr="0075465B">
        <w:rPr>
          <w:rFonts w:ascii="Times New Roman" w:hAnsi="Times New Roman" w:cs="Times New Roman"/>
          <w:sz w:val="28"/>
          <w:szCs w:val="28"/>
        </w:rPr>
        <w:t>Psaty</w:t>
      </w:r>
      <w:proofErr w:type="spellEnd"/>
      <w:r w:rsidRPr="0075465B">
        <w:rPr>
          <w:rFonts w:ascii="Times New Roman" w:hAnsi="Times New Roman" w:cs="Times New Roman"/>
          <w:sz w:val="28"/>
          <w:szCs w:val="28"/>
        </w:rPr>
        <w:t xml:space="preserve">, B. M. (2004). Association of cholesterol with stroke risk varies in stroke subtypes and patient subgroups. Neurology, 63(10), 1868–1875. </w:t>
      </w:r>
      <w:hyperlink r:id="rId47" w:history="1">
        <w:r w:rsidRPr="00921B06">
          <w:rPr>
            <w:rStyle w:val="Hyperlink"/>
            <w:rFonts w:ascii="Times New Roman" w:hAnsi="Times New Roman" w:cs="Times New Roman"/>
            <w:sz w:val="28"/>
            <w:szCs w:val="28"/>
          </w:rPr>
          <w:t>https://doi.org/10.1212/01.wnl.0000144282.42222.da</w:t>
        </w:r>
      </w:hyperlink>
      <w:r>
        <w:rPr>
          <w:rFonts w:ascii="Times New Roman" w:hAnsi="Times New Roman" w:cs="Times New Roman"/>
          <w:sz w:val="28"/>
          <w:szCs w:val="28"/>
        </w:rPr>
        <w:t xml:space="preserve"> </w:t>
      </w:r>
      <w:r w:rsidR="000A6CCB" w:rsidRPr="00305932">
        <w:rPr>
          <w:rFonts w:ascii="Times New Roman" w:hAnsi="Times New Roman" w:cs="Times New Roman"/>
          <w:sz w:val="28"/>
          <w:szCs w:val="28"/>
        </w:rPr>
        <w:t xml:space="preserve"> </w:t>
      </w:r>
      <w:r w:rsidR="000A6CCB" w:rsidRPr="004A05B0">
        <w:rPr>
          <w:rFonts w:ascii="Times New Roman" w:hAnsi="Times New Roman" w:cs="Times New Roman"/>
          <w:sz w:val="28"/>
          <w:szCs w:val="28"/>
        </w:rPr>
        <w:t xml:space="preserve"> </w:t>
      </w:r>
    </w:p>
    <w:p w14:paraId="1383AC91" w14:textId="1AAF3371" w:rsidR="000A6CCB" w:rsidRDefault="009F4A5F" w:rsidP="000A6CCB">
      <w:pPr>
        <w:numPr>
          <w:ilvl w:val="0"/>
          <w:numId w:val="1"/>
        </w:numPr>
        <w:rPr>
          <w:rFonts w:ascii="Times New Roman" w:hAnsi="Times New Roman" w:cs="Times New Roman"/>
          <w:sz w:val="28"/>
          <w:szCs w:val="28"/>
        </w:rPr>
      </w:pPr>
      <w:r w:rsidRPr="009F4A5F">
        <w:rPr>
          <w:rFonts w:ascii="Times New Roman" w:hAnsi="Times New Roman" w:cs="Times New Roman"/>
          <w:sz w:val="28"/>
          <w:szCs w:val="28"/>
        </w:rPr>
        <w:t xml:space="preserve">Roger, V. L., Go, A. S., Lloyd-Jones, D. M., Benjamin, E. J., Berry, J. D., Borden, W. B., </w:t>
      </w:r>
      <w:proofErr w:type="spellStart"/>
      <w:r w:rsidRPr="009F4A5F">
        <w:rPr>
          <w:rFonts w:ascii="Times New Roman" w:hAnsi="Times New Roman" w:cs="Times New Roman"/>
          <w:sz w:val="28"/>
          <w:szCs w:val="28"/>
        </w:rPr>
        <w:t>Bravata</w:t>
      </w:r>
      <w:proofErr w:type="spellEnd"/>
      <w:r w:rsidRPr="009F4A5F">
        <w:rPr>
          <w:rFonts w:ascii="Times New Roman" w:hAnsi="Times New Roman" w:cs="Times New Roman"/>
          <w:sz w:val="28"/>
          <w:szCs w:val="28"/>
        </w:rPr>
        <w:t xml:space="preserve">, D. M., Dai, S., Ford, E. S., Fox, C. S., Fullerton, H. J., Gillespie, C., </w:t>
      </w:r>
      <w:proofErr w:type="spellStart"/>
      <w:r w:rsidRPr="009F4A5F">
        <w:rPr>
          <w:rFonts w:ascii="Times New Roman" w:hAnsi="Times New Roman" w:cs="Times New Roman"/>
          <w:sz w:val="28"/>
          <w:szCs w:val="28"/>
        </w:rPr>
        <w:t>Hailpern</w:t>
      </w:r>
      <w:proofErr w:type="spellEnd"/>
      <w:r w:rsidRPr="009F4A5F">
        <w:rPr>
          <w:rFonts w:ascii="Times New Roman" w:hAnsi="Times New Roman" w:cs="Times New Roman"/>
          <w:sz w:val="28"/>
          <w:szCs w:val="28"/>
        </w:rPr>
        <w:t xml:space="preserve">, S. M., </w:t>
      </w:r>
      <w:proofErr w:type="spellStart"/>
      <w:r w:rsidRPr="009F4A5F">
        <w:rPr>
          <w:rFonts w:ascii="Times New Roman" w:hAnsi="Times New Roman" w:cs="Times New Roman"/>
          <w:sz w:val="28"/>
          <w:szCs w:val="28"/>
        </w:rPr>
        <w:t>Heit</w:t>
      </w:r>
      <w:proofErr w:type="spellEnd"/>
      <w:r w:rsidRPr="009F4A5F">
        <w:rPr>
          <w:rFonts w:ascii="Times New Roman" w:hAnsi="Times New Roman" w:cs="Times New Roman"/>
          <w:sz w:val="28"/>
          <w:szCs w:val="28"/>
        </w:rPr>
        <w:t xml:space="preserve">, J. A., Howard, V. J., </w:t>
      </w:r>
      <w:proofErr w:type="spellStart"/>
      <w:r w:rsidRPr="009F4A5F">
        <w:rPr>
          <w:rFonts w:ascii="Times New Roman" w:hAnsi="Times New Roman" w:cs="Times New Roman"/>
          <w:sz w:val="28"/>
          <w:szCs w:val="28"/>
        </w:rPr>
        <w:t>Kissela</w:t>
      </w:r>
      <w:proofErr w:type="spellEnd"/>
      <w:r w:rsidRPr="009F4A5F">
        <w:rPr>
          <w:rFonts w:ascii="Times New Roman" w:hAnsi="Times New Roman" w:cs="Times New Roman"/>
          <w:sz w:val="28"/>
          <w:szCs w:val="28"/>
        </w:rPr>
        <w:t xml:space="preserve">, B. M., </w:t>
      </w:r>
      <w:proofErr w:type="spellStart"/>
      <w:r w:rsidRPr="009F4A5F">
        <w:rPr>
          <w:rFonts w:ascii="Times New Roman" w:hAnsi="Times New Roman" w:cs="Times New Roman"/>
          <w:sz w:val="28"/>
          <w:szCs w:val="28"/>
        </w:rPr>
        <w:t>Kittner</w:t>
      </w:r>
      <w:proofErr w:type="spellEnd"/>
      <w:r w:rsidRPr="009F4A5F">
        <w:rPr>
          <w:rFonts w:ascii="Times New Roman" w:hAnsi="Times New Roman" w:cs="Times New Roman"/>
          <w:sz w:val="28"/>
          <w:szCs w:val="28"/>
        </w:rPr>
        <w:t xml:space="preserve">, S. J., Lackland, D. T., Lichtman, J. H., Lisabeth, L. D., </w:t>
      </w:r>
      <w:proofErr w:type="spellStart"/>
      <w:r w:rsidRPr="009F4A5F">
        <w:rPr>
          <w:rFonts w:ascii="Times New Roman" w:hAnsi="Times New Roman" w:cs="Times New Roman"/>
          <w:sz w:val="28"/>
          <w:szCs w:val="28"/>
        </w:rPr>
        <w:t>Makuc</w:t>
      </w:r>
      <w:proofErr w:type="spellEnd"/>
      <w:r w:rsidRPr="009F4A5F">
        <w:rPr>
          <w:rFonts w:ascii="Times New Roman" w:hAnsi="Times New Roman" w:cs="Times New Roman"/>
          <w:sz w:val="28"/>
          <w:szCs w:val="28"/>
        </w:rPr>
        <w:t xml:space="preserve">, D. M., Marcus, G. M., Marelli, A., </w:t>
      </w:r>
      <w:proofErr w:type="spellStart"/>
      <w:r w:rsidRPr="009F4A5F">
        <w:rPr>
          <w:rFonts w:ascii="Times New Roman" w:hAnsi="Times New Roman" w:cs="Times New Roman"/>
          <w:sz w:val="28"/>
          <w:szCs w:val="28"/>
        </w:rPr>
        <w:t>Matchar</w:t>
      </w:r>
      <w:proofErr w:type="spellEnd"/>
      <w:r w:rsidRPr="009F4A5F">
        <w:rPr>
          <w:rFonts w:ascii="Times New Roman" w:hAnsi="Times New Roman" w:cs="Times New Roman"/>
          <w:sz w:val="28"/>
          <w:szCs w:val="28"/>
        </w:rPr>
        <w:t xml:space="preserve">, D. B., Moy, C. S., </w:t>
      </w:r>
      <w:proofErr w:type="spellStart"/>
      <w:r w:rsidRPr="009F4A5F">
        <w:rPr>
          <w:rFonts w:ascii="Times New Roman" w:hAnsi="Times New Roman" w:cs="Times New Roman"/>
          <w:sz w:val="28"/>
          <w:szCs w:val="28"/>
        </w:rPr>
        <w:t>Mozaffarian</w:t>
      </w:r>
      <w:proofErr w:type="spellEnd"/>
      <w:r w:rsidRPr="009F4A5F">
        <w:rPr>
          <w:rFonts w:ascii="Times New Roman" w:hAnsi="Times New Roman" w:cs="Times New Roman"/>
          <w:sz w:val="28"/>
          <w:szCs w:val="28"/>
        </w:rPr>
        <w:t xml:space="preserve">, D., </w:t>
      </w:r>
      <w:proofErr w:type="spellStart"/>
      <w:r w:rsidRPr="009F4A5F">
        <w:rPr>
          <w:rFonts w:ascii="Times New Roman" w:hAnsi="Times New Roman" w:cs="Times New Roman"/>
          <w:sz w:val="28"/>
          <w:szCs w:val="28"/>
        </w:rPr>
        <w:t>Mussolino</w:t>
      </w:r>
      <w:proofErr w:type="spellEnd"/>
      <w:r w:rsidRPr="009F4A5F">
        <w:rPr>
          <w:rFonts w:ascii="Times New Roman" w:hAnsi="Times New Roman" w:cs="Times New Roman"/>
          <w:sz w:val="28"/>
          <w:szCs w:val="28"/>
        </w:rPr>
        <w:t xml:space="preserve">, M. E., Nichol, G., Paynter, N. P., Soliman, E. Z., </w:t>
      </w:r>
      <w:proofErr w:type="spellStart"/>
      <w:r w:rsidRPr="009F4A5F">
        <w:rPr>
          <w:rFonts w:ascii="Times New Roman" w:hAnsi="Times New Roman" w:cs="Times New Roman"/>
          <w:sz w:val="28"/>
          <w:szCs w:val="28"/>
        </w:rPr>
        <w:t>Sorlie</w:t>
      </w:r>
      <w:proofErr w:type="spellEnd"/>
      <w:r w:rsidRPr="009F4A5F">
        <w:rPr>
          <w:rFonts w:ascii="Times New Roman" w:hAnsi="Times New Roman" w:cs="Times New Roman"/>
          <w:sz w:val="28"/>
          <w:szCs w:val="28"/>
        </w:rPr>
        <w:t xml:space="preserve">, P. D., </w:t>
      </w:r>
      <w:proofErr w:type="spellStart"/>
      <w:r w:rsidRPr="009F4A5F">
        <w:rPr>
          <w:rFonts w:ascii="Times New Roman" w:hAnsi="Times New Roman" w:cs="Times New Roman"/>
          <w:sz w:val="28"/>
          <w:szCs w:val="28"/>
        </w:rPr>
        <w:t>Sotoodehnia</w:t>
      </w:r>
      <w:proofErr w:type="spellEnd"/>
      <w:r w:rsidRPr="009F4A5F">
        <w:rPr>
          <w:rFonts w:ascii="Times New Roman" w:hAnsi="Times New Roman" w:cs="Times New Roman"/>
          <w:sz w:val="28"/>
          <w:szCs w:val="28"/>
        </w:rPr>
        <w:t xml:space="preserve">, N., </w:t>
      </w:r>
      <w:proofErr w:type="spellStart"/>
      <w:r w:rsidRPr="009F4A5F">
        <w:rPr>
          <w:rFonts w:ascii="Times New Roman" w:hAnsi="Times New Roman" w:cs="Times New Roman"/>
          <w:sz w:val="28"/>
          <w:szCs w:val="28"/>
        </w:rPr>
        <w:t>Turan</w:t>
      </w:r>
      <w:proofErr w:type="spellEnd"/>
      <w:r w:rsidRPr="009F4A5F">
        <w:rPr>
          <w:rFonts w:ascii="Times New Roman" w:hAnsi="Times New Roman" w:cs="Times New Roman"/>
          <w:sz w:val="28"/>
          <w:szCs w:val="28"/>
        </w:rPr>
        <w:t xml:space="preserve">, T. N., Virani, S. S., Wong, N. D., Woo, D., &amp; Turner, M. B. (2012). Executive summary: Heart disease and stroke statistics--2012 update: A report from the American Heart Association. Circulation, 125(1), 188–197. </w:t>
      </w:r>
      <w:hyperlink r:id="rId48" w:history="1">
        <w:r w:rsidRPr="00921B06">
          <w:rPr>
            <w:rStyle w:val="Hyperlink"/>
            <w:rFonts w:ascii="Times New Roman" w:hAnsi="Times New Roman" w:cs="Times New Roman"/>
            <w:sz w:val="28"/>
            <w:szCs w:val="28"/>
          </w:rPr>
          <w:t>https://doi.org/10.1161/CIR.0b013e3182456d46</w:t>
        </w:r>
      </w:hyperlink>
      <w:r>
        <w:rPr>
          <w:rFonts w:ascii="Times New Roman" w:hAnsi="Times New Roman" w:cs="Times New Roman"/>
          <w:sz w:val="28"/>
          <w:szCs w:val="28"/>
        </w:rPr>
        <w:t xml:space="preserve"> </w:t>
      </w:r>
      <w:r w:rsidR="000A6CCB" w:rsidRPr="003A6D75">
        <w:rPr>
          <w:rFonts w:ascii="Times New Roman" w:hAnsi="Times New Roman" w:cs="Times New Roman"/>
          <w:sz w:val="28"/>
          <w:szCs w:val="28"/>
        </w:rPr>
        <w:t xml:space="preserve"> </w:t>
      </w:r>
    </w:p>
    <w:p w14:paraId="3D7FF325" w14:textId="296CA28B" w:rsidR="000A6CCB" w:rsidRDefault="00622B2A" w:rsidP="000A6CCB">
      <w:pPr>
        <w:numPr>
          <w:ilvl w:val="0"/>
          <w:numId w:val="1"/>
        </w:numPr>
        <w:rPr>
          <w:rFonts w:ascii="Times New Roman" w:hAnsi="Times New Roman" w:cs="Times New Roman"/>
          <w:sz w:val="28"/>
          <w:szCs w:val="28"/>
        </w:rPr>
      </w:pPr>
      <w:proofErr w:type="spellStart"/>
      <w:r w:rsidRPr="00622B2A">
        <w:rPr>
          <w:rFonts w:ascii="Times New Roman" w:hAnsi="Times New Roman" w:cs="Times New Roman"/>
          <w:sz w:val="28"/>
          <w:szCs w:val="28"/>
        </w:rPr>
        <w:t>Kapral</w:t>
      </w:r>
      <w:proofErr w:type="spellEnd"/>
      <w:r w:rsidRPr="00622B2A">
        <w:rPr>
          <w:rFonts w:ascii="Times New Roman" w:hAnsi="Times New Roman" w:cs="Times New Roman"/>
          <w:sz w:val="28"/>
          <w:szCs w:val="28"/>
        </w:rPr>
        <w:t xml:space="preserve">, M. K., Fang, J., Hill, M. D., Silver, F., Richards, J., </w:t>
      </w:r>
      <w:proofErr w:type="spellStart"/>
      <w:r w:rsidRPr="00622B2A">
        <w:rPr>
          <w:rFonts w:ascii="Times New Roman" w:hAnsi="Times New Roman" w:cs="Times New Roman"/>
          <w:sz w:val="28"/>
          <w:szCs w:val="28"/>
        </w:rPr>
        <w:t>Jaigobin</w:t>
      </w:r>
      <w:proofErr w:type="spellEnd"/>
      <w:r w:rsidRPr="00622B2A">
        <w:rPr>
          <w:rFonts w:ascii="Times New Roman" w:hAnsi="Times New Roman" w:cs="Times New Roman"/>
          <w:sz w:val="28"/>
          <w:szCs w:val="28"/>
        </w:rPr>
        <w:t xml:space="preserve">, C., &amp; Cheung, A. M. (2005). Sex differences in stroke care and outcomes: results from the Registry of the Canadian Stroke Network. Stroke, 36(4), 809–814. </w:t>
      </w:r>
      <w:hyperlink r:id="rId49" w:history="1">
        <w:r w:rsidRPr="00921B06">
          <w:rPr>
            <w:rStyle w:val="Hyperlink"/>
            <w:rFonts w:ascii="Times New Roman" w:hAnsi="Times New Roman" w:cs="Times New Roman"/>
            <w:sz w:val="28"/>
            <w:szCs w:val="28"/>
          </w:rPr>
          <w:t>https://doi.org/10.1161/01.STR.0000157662.09551.e5</w:t>
        </w:r>
      </w:hyperlink>
      <w:r>
        <w:rPr>
          <w:rFonts w:ascii="Times New Roman" w:hAnsi="Times New Roman" w:cs="Times New Roman"/>
          <w:sz w:val="28"/>
          <w:szCs w:val="28"/>
        </w:rPr>
        <w:t xml:space="preserve"> </w:t>
      </w:r>
    </w:p>
    <w:p w14:paraId="709FB352" w14:textId="1934737E" w:rsidR="000A6CCB" w:rsidRDefault="009C01AB" w:rsidP="000A6CCB">
      <w:pPr>
        <w:numPr>
          <w:ilvl w:val="0"/>
          <w:numId w:val="1"/>
        </w:numPr>
        <w:rPr>
          <w:rFonts w:ascii="Times New Roman" w:hAnsi="Times New Roman" w:cs="Times New Roman"/>
          <w:sz w:val="28"/>
          <w:szCs w:val="28"/>
        </w:rPr>
      </w:pPr>
      <w:r w:rsidRPr="009C01AB">
        <w:rPr>
          <w:rFonts w:ascii="Times New Roman" w:hAnsi="Times New Roman" w:cs="Times New Roman"/>
          <w:sz w:val="28"/>
          <w:szCs w:val="28"/>
        </w:rPr>
        <w:t xml:space="preserve">Reeves, M. J., </w:t>
      </w:r>
      <w:proofErr w:type="spellStart"/>
      <w:r w:rsidRPr="009C01AB">
        <w:rPr>
          <w:rFonts w:ascii="Times New Roman" w:hAnsi="Times New Roman" w:cs="Times New Roman"/>
          <w:sz w:val="28"/>
          <w:szCs w:val="28"/>
        </w:rPr>
        <w:t>Fonarow</w:t>
      </w:r>
      <w:proofErr w:type="spellEnd"/>
      <w:r w:rsidRPr="009C01AB">
        <w:rPr>
          <w:rFonts w:ascii="Times New Roman" w:hAnsi="Times New Roman" w:cs="Times New Roman"/>
          <w:sz w:val="28"/>
          <w:szCs w:val="28"/>
        </w:rPr>
        <w:t xml:space="preserve">, G. C., Zhao, X., Smith, E. E., </w:t>
      </w:r>
      <w:proofErr w:type="spellStart"/>
      <w:r w:rsidRPr="009C01AB">
        <w:rPr>
          <w:rFonts w:ascii="Times New Roman" w:hAnsi="Times New Roman" w:cs="Times New Roman"/>
          <w:sz w:val="28"/>
          <w:szCs w:val="28"/>
        </w:rPr>
        <w:t>Schwamm</w:t>
      </w:r>
      <w:proofErr w:type="spellEnd"/>
      <w:r w:rsidRPr="009C01AB">
        <w:rPr>
          <w:rFonts w:ascii="Times New Roman" w:hAnsi="Times New Roman" w:cs="Times New Roman"/>
          <w:sz w:val="28"/>
          <w:szCs w:val="28"/>
        </w:rPr>
        <w:t xml:space="preserve">, L. H., &amp; Get </w:t>
      </w:r>
      <w:proofErr w:type="gramStart"/>
      <w:r w:rsidRPr="009C01AB">
        <w:rPr>
          <w:rFonts w:ascii="Times New Roman" w:hAnsi="Times New Roman" w:cs="Times New Roman"/>
          <w:sz w:val="28"/>
          <w:szCs w:val="28"/>
        </w:rPr>
        <w:t>With</w:t>
      </w:r>
      <w:proofErr w:type="gramEnd"/>
      <w:r w:rsidRPr="009C01AB">
        <w:rPr>
          <w:rFonts w:ascii="Times New Roman" w:hAnsi="Times New Roman" w:cs="Times New Roman"/>
          <w:sz w:val="28"/>
          <w:szCs w:val="28"/>
        </w:rPr>
        <w:t xml:space="preserve"> The Guidelines-Stroke Steering Committee &amp; Investigators. (2009). Quality of care in women with ischemic stroke in the GWTG program. Stroke, 40(4), 1127–1133. </w:t>
      </w:r>
      <w:hyperlink r:id="rId50" w:history="1">
        <w:r w:rsidRPr="00921B06">
          <w:rPr>
            <w:rStyle w:val="Hyperlink"/>
            <w:rFonts w:ascii="Times New Roman" w:hAnsi="Times New Roman" w:cs="Times New Roman"/>
            <w:sz w:val="28"/>
            <w:szCs w:val="28"/>
          </w:rPr>
          <w:t>https://doi.org/10.1161/STROKEAHA.108.543157</w:t>
        </w:r>
      </w:hyperlink>
      <w:r>
        <w:rPr>
          <w:rFonts w:ascii="Times New Roman" w:hAnsi="Times New Roman" w:cs="Times New Roman"/>
          <w:sz w:val="28"/>
          <w:szCs w:val="28"/>
        </w:rPr>
        <w:t xml:space="preserve"> </w:t>
      </w:r>
    </w:p>
    <w:p w14:paraId="39AF4BAC" w14:textId="7FF210E6" w:rsidR="000A6CCB" w:rsidRDefault="00145871" w:rsidP="000A6CCB">
      <w:pPr>
        <w:numPr>
          <w:ilvl w:val="0"/>
          <w:numId w:val="1"/>
        </w:numPr>
        <w:rPr>
          <w:rFonts w:ascii="Times New Roman" w:hAnsi="Times New Roman" w:cs="Times New Roman"/>
          <w:sz w:val="28"/>
          <w:szCs w:val="28"/>
        </w:rPr>
      </w:pPr>
      <w:proofErr w:type="spellStart"/>
      <w:r w:rsidRPr="00145871">
        <w:rPr>
          <w:rFonts w:ascii="Times New Roman" w:hAnsi="Times New Roman" w:cs="Times New Roman"/>
          <w:sz w:val="28"/>
          <w:szCs w:val="28"/>
        </w:rPr>
        <w:t>Asplund</w:t>
      </w:r>
      <w:proofErr w:type="spellEnd"/>
      <w:r w:rsidRPr="00145871">
        <w:rPr>
          <w:rFonts w:ascii="Times New Roman" w:hAnsi="Times New Roman" w:cs="Times New Roman"/>
          <w:sz w:val="28"/>
          <w:szCs w:val="28"/>
        </w:rPr>
        <w:t xml:space="preserve">, K., </w:t>
      </w:r>
      <w:proofErr w:type="spellStart"/>
      <w:r w:rsidRPr="00145871">
        <w:rPr>
          <w:rFonts w:ascii="Times New Roman" w:hAnsi="Times New Roman" w:cs="Times New Roman"/>
          <w:sz w:val="28"/>
          <w:szCs w:val="28"/>
        </w:rPr>
        <w:t>Karvanen</w:t>
      </w:r>
      <w:proofErr w:type="spellEnd"/>
      <w:r w:rsidRPr="00145871">
        <w:rPr>
          <w:rFonts w:ascii="Times New Roman" w:hAnsi="Times New Roman" w:cs="Times New Roman"/>
          <w:sz w:val="28"/>
          <w:szCs w:val="28"/>
        </w:rPr>
        <w:t xml:space="preserve">, J., </w:t>
      </w:r>
      <w:proofErr w:type="spellStart"/>
      <w:r w:rsidRPr="00145871">
        <w:rPr>
          <w:rFonts w:ascii="Times New Roman" w:hAnsi="Times New Roman" w:cs="Times New Roman"/>
          <w:sz w:val="28"/>
          <w:szCs w:val="28"/>
        </w:rPr>
        <w:t>Giampaoli</w:t>
      </w:r>
      <w:proofErr w:type="spellEnd"/>
      <w:r w:rsidRPr="00145871">
        <w:rPr>
          <w:rFonts w:ascii="Times New Roman" w:hAnsi="Times New Roman" w:cs="Times New Roman"/>
          <w:sz w:val="28"/>
          <w:szCs w:val="28"/>
        </w:rPr>
        <w:t xml:space="preserve">, S., </w:t>
      </w:r>
      <w:proofErr w:type="spellStart"/>
      <w:r w:rsidRPr="00145871">
        <w:rPr>
          <w:rFonts w:ascii="Times New Roman" w:hAnsi="Times New Roman" w:cs="Times New Roman"/>
          <w:sz w:val="28"/>
          <w:szCs w:val="28"/>
        </w:rPr>
        <w:t>Jousilahti</w:t>
      </w:r>
      <w:proofErr w:type="spellEnd"/>
      <w:r w:rsidRPr="00145871">
        <w:rPr>
          <w:rFonts w:ascii="Times New Roman" w:hAnsi="Times New Roman" w:cs="Times New Roman"/>
          <w:sz w:val="28"/>
          <w:szCs w:val="28"/>
        </w:rPr>
        <w:t xml:space="preserve">, P., Niemela, M., </w:t>
      </w:r>
      <w:proofErr w:type="spellStart"/>
      <w:r w:rsidRPr="00145871">
        <w:rPr>
          <w:rFonts w:ascii="Times New Roman" w:hAnsi="Times New Roman" w:cs="Times New Roman"/>
          <w:sz w:val="28"/>
          <w:szCs w:val="28"/>
        </w:rPr>
        <w:t>Broda</w:t>
      </w:r>
      <w:proofErr w:type="spellEnd"/>
      <w:r w:rsidRPr="00145871">
        <w:rPr>
          <w:rFonts w:ascii="Times New Roman" w:hAnsi="Times New Roman" w:cs="Times New Roman"/>
          <w:sz w:val="28"/>
          <w:szCs w:val="28"/>
        </w:rPr>
        <w:t xml:space="preserve">, G., </w:t>
      </w:r>
      <w:proofErr w:type="spellStart"/>
      <w:r w:rsidRPr="00145871">
        <w:rPr>
          <w:rFonts w:ascii="Times New Roman" w:hAnsi="Times New Roman" w:cs="Times New Roman"/>
          <w:sz w:val="28"/>
          <w:szCs w:val="28"/>
        </w:rPr>
        <w:t>Cesana</w:t>
      </w:r>
      <w:proofErr w:type="spellEnd"/>
      <w:r w:rsidRPr="00145871">
        <w:rPr>
          <w:rFonts w:ascii="Times New Roman" w:hAnsi="Times New Roman" w:cs="Times New Roman"/>
          <w:sz w:val="28"/>
          <w:szCs w:val="28"/>
        </w:rPr>
        <w:t xml:space="preserve">, G., </w:t>
      </w:r>
      <w:proofErr w:type="spellStart"/>
      <w:r w:rsidRPr="00145871">
        <w:rPr>
          <w:rFonts w:ascii="Times New Roman" w:hAnsi="Times New Roman" w:cs="Times New Roman"/>
          <w:sz w:val="28"/>
          <w:szCs w:val="28"/>
        </w:rPr>
        <w:t>Dallongeville</w:t>
      </w:r>
      <w:proofErr w:type="spellEnd"/>
      <w:r w:rsidRPr="00145871">
        <w:rPr>
          <w:rFonts w:ascii="Times New Roman" w:hAnsi="Times New Roman" w:cs="Times New Roman"/>
          <w:sz w:val="28"/>
          <w:szCs w:val="28"/>
        </w:rPr>
        <w:t xml:space="preserve">, J., </w:t>
      </w:r>
      <w:proofErr w:type="spellStart"/>
      <w:r w:rsidRPr="00145871">
        <w:rPr>
          <w:rFonts w:ascii="Times New Roman" w:hAnsi="Times New Roman" w:cs="Times New Roman"/>
          <w:sz w:val="28"/>
          <w:szCs w:val="28"/>
        </w:rPr>
        <w:t>Ducimetriere</w:t>
      </w:r>
      <w:proofErr w:type="spellEnd"/>
      <w:r w:rsidRPr="00145871">
        <w:rPr>
          <w:rFonts w:ascii="Times New Roman" w:hAnsi="Times New Roman" w:cs="Times New Roman"/>
          <w:sz w:val="28"/>
          <w:szCs w:val="28"/>
        </w:rPr>
        <w:t xml:space="preserve">, P., Evans, A., </w:t>
      </w:r>
      <w:proofErr w:type="spellStart"/>
      <w:r w:rsidRPr="00145871">
        <w:rPr>
          <w:rFonts w:ascii="Times New Roman" w:hAnsi="Times New Roman" w:cs="Times New Roman"/>
          <w:sz w:val="28"/>
          <w:szCs w:val="28"/>
        </w:rPr>
        <w:t>Ferrières</w:t>
      </w:r>
      <w:proofErr w:type="spellEnd"/>
      <w:r w:rsidRPr="00145871">
        <w:rPr>
          <w:rFonts w:ascii="Times New Roman" w:hAnsi="Times New Roman" w:cs="Times New Roman"/>
          <w:sz w:val="28"/>
          <w:szCs w:val="28"/>
        </w:rPr>
        <w:t xml:space="preserve">, J., Haas, B., </w:t>
      </w:r>
      <w:proofErr w:type="spellStart"/>
      <w:r w:rsidRPr="00145871">
        <w:rPr>
          <w:rFonts w:ascii="Times New Roman" w:hAnsi="Times New Roman" w:cs="Times New Roman"/>
          <w:sz w:val="28"/>
          <w:szCs w:val="28"/>
        </w:rPr>
        <w:t>Jørgensen</w:t>
      </w:r>
      <w:proofErr w:type="spellEnd"/>
      <w:r w:rsidRPr="00145871">
        <w:rPr>
          <w:rFonts w:ascii="Times New Roman" w:hAnsi="Times New Roman" w:cs="Times New Roman"/>
          <w:sz w:val="28"/>
          <w:szCs w:val="28"/>
        </w:rPr>
        <w:t xml:space="preserve">, T., </w:t>
      </w:r>
      <w:proofErr w:type="spellStart"/>
      <w:r w:rsidRPr="00145871">
        <w:rPr>
          <w:rFonts w:ascii="Times New Roman" w:hAnsi="Times New Roman" w:cs="Times New Roman"/>
          <w:sz w:val="28"/>
          <w:szCs w:val="28"/>
        </w:rPr>
        <w:t>Tamosiunas</w:t>
      </w:r>
      <w:proofErr w:type="spellEnd"/>
      <w:r w:rsidRPr="00145871">
        <w:rPr>
          <w:rFonts w:ascii="Times New Roman" w:hAnsi="Times New Roman" w:cs="Times New Roman"/>
          <w:sz w:val="28"/>
          <w:szCs w:val="28"/>
        </w:rPr>
        <w:t xml:space="preserve">, A., </w:t>
      </w:r>
      <w:proofErr w:type="spellStart"/>
      <w:r w:rsidRPr="00145871">
        <w:rPr>
          <w:rFonts w:ascii="Times New Roman" w:hAnsi="Times New Roman" w:cs="Times New Roman"/>
          <w:sz w:val="28"/>
          <w:szCs w:val="28"/>
        </w:rPr>
        <w:t>Vanuzzo</w:t>
      </w:r>
      <w:proofErr w:type="spellEnd"/>
      <w:r w:rsidRPr="00145871">
        <w:rPr>
          <w:rFonts w:ascii="Times New Roman" w:hAnsi="Times New Roman" w:cs="Times New Roman"/>
          <w:sz w:val="28"/>
          <w:szCs w:val="28"/>
        </w:rPr>
        <w:t xml:space="preserve">, D., </w:t>
      </w:r>
      <w:proofErr w:type="spellStart"/>
      <w:r w:rsidRPr="00145871">
        <w:rPr>
          <w:rFonts w:ascii="Times New Roman" w:hAnsi="Times New Roman" w:cs="Times New Roman"/>
          <w:sz w:val="28"/>
          <w:szCs w:val="28"/>
        </w:rPr>
        <w:t>Wiklund</w:t>
      </w:r>
      <w:proofErr w:type="spellEnd"/>
      <w:r w:rsidRPr="00145871">
        <w:rPr>
          <w:rFonts w:ascii="Times New Roman" w:hAnsi="Times New Roman" w:cs="Times New Roman"/>
          <w:sz w:val="28"/>
          <w:szCs w:val="28"/>
        </w:rPr>
        <w:t xml:space="preserve">, P. G., Yarnell, J., </w:t>
      </w:r>
      <w:proofErr w:type="spellStart"/>
      <w:r w:rsidRPr="00145871">
        <w:rPr>
          <w:rFonts w:ascii="Times New Roman" w:hAnsi="Times New Roman" w:cs="Times New Roman"/>
          <w:sz w:val="28"/>
          <w:szCs w:val="28"/>
        </w:rPr>
        <w:t>Kuulasmaa</w:t>
      </w:r>
      <w:proofErr w:type="spellEnd"/>
      <w:r w:rsidRPr="00145871">
        <w:rPr>
          <w:rFonts w:ascii="Times New Roman" w:hAnsi="Times New Roman" w:cs="Times New Roman"/>
          <w:sz w:val="28"/>
          <w:szCs w:val="28"/>
        </w:rPr>
        <w:t xml:space="preserve">, K., &amp; </w:t>
      </w:r>
      <w:proofErr w:type="spellStart"/>
      <w:r w:rsidRPr="00145871">
        <w:rPr>
          <w:rFonts w:ascii="Times New Roman" w:hAnsi="Times New Roman" w:cs="Times New Roman"/>
          <w:sz w:val="28"/>
          <w:szCs w:val="28"/>
        </w:rPr>
        <w:t>Kulathinal</w:t>
      </w:r>
      <w:proofErr w:type="spellEnd"/>
      <w:r w:rsidRPr="00145871">
        <w:rPr>
          <w:rFonts w:ascii="Times New Roman" w:hAnsi="Times New Roman" w:cs="Times New Roman"/>
          <w:sz w:val="28"/>
          <w:szCs w:val="28"/>
        </w:rPr>
        <w:t xml:space="preserve">, S. (2009). </w:t>
      </w:r>
      <w:r w:rsidRPr="00145871">
        <w:rPr>
          <w:rFonts w:ascii="Times New Roman" w:hAnsi="Times New Roman" w:cs="Times New Roman"/>
          <w:sz w:val="28"/>
          <w:szCs w:val="28"/>
        </w:rPr>
        <w:lastRenderedPageBreak/>
        <w:t xml:space="preserve">Relative risks for stroke by age, sex, and population based on follow-up of 18 European populations in the MORGAM Project. Stroke, 40(7), 2319–2326. </w:t>
      </w:r>
      <w:hyperlink r:id="rId51" w:history="1">
        <w:r w:rsidRPr="00921B06">
          <w:rPr>
            <w:rStyle w:val="Hyperlink"/>
            <w:rFonts w:ascii="Times New Roman" w:hAnsi="Times New Roman" w:cs="Times New Roman"/>
            <w:sz w:val="28"/>
            <w:szCs w:val="28"/>
          </w:rPr>
          <w:t>https://doi.org/10.1161/STROKEAHA.109.547869</w:t>
        </w:r>
      </w:hyperlink>
      <w:r>
        <w:rPr>
          <w:rFonts w:ascii="Times New Roman" w:hAnsi="Times New Roman" w:cs="Times New Roman"/>
          <w:sz w:val="28"/>
          <w:szCs w:val="28"/>
        </w:rPr>
        <w:t xml:space="preserve"> </w:t>
      </w:r>
    </w:p>
    <w:p w14:paraId="14F6DB21" w14:textId="3CFFBFA8" w:rsidR="000A6CCB" w:rsidRDefault="001A0435" w:rsidP="000A6CCB">
      <w:pPr>
        <w:numPr>
          <w:ilvl w:val="0"/>
          <w:numId w:val="1"/>
        </w:numPr>
        <w:rPr>
          <w:rFonts w:ascii="Times New Roman" w:hAnsi="Times New Roman" w:cs="Times New Roman"/>
          <w:sz w:val="28"/>
          <w:szCs w:val="28"/>
        </w:rPr>
      </w:pPr>
      <w:r w:rsidRPr="001A0435">
        <w:rPr>
          <w:rFonts w:ascii="Times New Roman" w:hAnsi="Times New Roman" w:cs="Times New Roman"/>
          <w:sz w:val="28"/>
          <w:szCs w:val="28"/>
        </w:rPr>
        <w:t xml:space="preserve">Cruz-Flores, S., </w:t>
      </w:r>
      <w:proofErr w:type="spellStart"/>
      <w:r w:rsidRPr="001A0435">
        <w:rPr>
          <w:rFonts w:ascii="Times New Roman" w:hAnsi="Times New Roman" w:cs="Times New Roman"/>
          <w:sz w:val="28"/>
          <w:szCs w:val="28"/>
        </w:rPr>
        <w:t>Rabinstein</w:t>
      </w:r>
      <w:proofErr w:type="spellEnd"/>
      <w:r w:rsidRPr="001A0435">
        <w:rPr>
          <w:rFonts w:ascii="Times New Roman" w:hAnsi="Times New Roman" w:cs="Times New Roman"/>
          <w:sz w:val="28"/>
          <w:szCs w:val="28"/>
        </w:rPr>
        <w:t xml:space="preserve">, A., Biller, J., Elkind, M. S. V., Griffith, P., Gorelick, P. B., Howard, G., </w:t>
      </w:r>
      <w:proofErr w:type="spellStart"/>
      <w:r w:rsidRPr="001A0435">
        <w:rPr>
          <w:rFonts w:ascii="Times New Roman" w:hAnsi="Times New Roman" w:cs="Times New Roman"/>
          <w:sz w:val="28"/>
          <w:szCs w:val="28"/>
        </w:rPr>
        <w:t>Leira</w:t>
      </w:r>
      <w:proofErr w:type="spellEnd"/>
      <w:r w:rsidRPr="001A0435">
        <w:rPr>
          <w:rFonts w:ascii="Times New Roman" w:hAnsi="Times New Roman" w:cs="Times New Roman"/>
          <w:sz w:val="28"/>
          <w:szCs w:val="28"/>
        </w:rPr>
        <w:t xml:space="preserve">, E. C., Morgenstern, L. B., </w:t>
      </w:r>
      <w:proofErr w:type="spellStart"/>
      <w:r w:rsidRPr="001A0435">
        <w:rPr>
          <w:rFonts w:ascii="Times New Roman" w:hAnsi="Times New Roman" w:cs="Times New Roman"/>
          <w:sz w:val="28"/>
          <w:szCs w:val="28"/>
        </w:rPr>
        <w:t>Ovbiagele</w:t>
      </w:r>
      <w:proofErr w:type="spellEnd"/>
      <w:r w:rsidRPr="001A0435">
        <w:rPr>
          <w:rFonts w:ascii="Times New Roman" w:hAnsi="Times New Roman" w:cs="Times New Roman"/>
          <w:sz w:val="28"/>
          <w:szCs w:val="28"/>
        </w:rPr>
        <w:t xml:space="preserve">, B., Peterson, E., Rosamond, W., Trimble, B., &amp; Valderrama, A. L. (2011). Racial-ethnic disparities in stroke care: The American experience: A statement for healthcare professionals from the American Heart Association/American Stroke Association. *Stroke*, *42*(7), 2091–2116. </w:t>
      </w:r>
      <w:hyperlink r:id="rId52" w:history="1">
        <w:r w:rsidRPr="00921B06">
          <w:rPr>
            <w:rStyle w:val="Hyperlink"/>
            <w:rFonts w:ascii="Times New Roman" w:hAnsi="Times New Roman" w:cs="Times New Roman"/>
            <w:sz w:val="28"/>
            <w:szCs w:val="28"/>
          </w:rPr>
          <w:t>https://doi.org/10.1161/STR.0b013e3182213e24</w:t>
        </w:r>
      </w:hyperlink>
      <w:r>
        <w:rPr>
          <w:rFonts w:ascii="Times New Roman" w:hAnsi="Times New Roman" w:cs="Times New Roman"/>
          <w:sz w:val="28"/>
          <w:szCs w:val="28"/>
        </w:rPr>
        <w:t xml:space="preserve"> </w:t>
      </w:r>
      <w:r w:rsidR="000A6CCB" w:rsidRPr="00794385">
        <w:rPr>
          <w:rFonts w:ascii="Times New Roman" w:hAnsi="Times New Roman" w:cs="Times New Roman"/>
          <w:sz w:val="28"/>
          <w:szCs w:val="28"/>
        </w:rPr>
        <w:t xml:space="preserve"> </w:t>
      </w:r>
    </w:p>
    <w:p w14:paraId="5D414C11" w14:textId="4BB3418A" w:rsidR="000A6CCB" w:rsidRDefault="00CC2B11" w:rsidP="000A6CCB">
      <w:pPr>
        <w:numPr>
          <w:ilvl w:val="0"/>
          <w:numId w:val="1"/>
        </w:numPr>
        <w:rPr>
          <w:rFonts w:ascii="Times New Roman" w:hAnsi="Times New Roman" w:cs="Times New Roman"/>
          <w:sz w:val="28"/>
          <w:szCs w:val="28"/>
        </w:rPr>
      </w:pPr>
      <w:proofErr w:type="spellStart"/>
      <w:r w:rsidRPr="00CC2B11">
        <w:rPr>
          <w:rFonts w:ascii="Times New Roman" w:hAnsi="Times New Roman" w:cs="Times New Roman"/>
          <w:sz w:val="28"/>
          <w:szCs w:val="28"/>
        </w:rPr>
        <w:t>Zahuranec</w:t>
      </w:r>
      <w:proofErr w:type="spellEnd"/>
      <w:r w:rsidRPr="00CC2B11">
        <w:rPr>
          <w:rFonts w:ascii="Times New Roman" w:hAnsi="Times New Roman" w:cs="Times New Roman"/>
          <w:sz w:val="28"/>
          <w:szCs w:val="28"/>
        </w:rPr>
        <w:t xml:space="preserve">, D. B., Brown, D. L., Lisabeth, L. D., Gonzales, N. R., Longwell, P. J., Eden, S. V., Smith, M. A., Garcia, N. M., &amp; Morgenstern, L. B. (2006). Differences in intracerebral </w:t>
      </w:r>
      <w:proofErr w:type="spellStart"/>
      <w:r w:rsidRPr="00CC2B11">
        <w:rPr>
          <w:rFonts w:ascii="Times New Roman" w:hAnsi="Times New Roman" w:cs="Times New Roman"/>
          <w:sz w:val="28"/>
          <w:szCs w:val="28"/>
        </w:rPr>
        <w:t>hemorrhage</w:t>
      </w:r>
      <w:proofErr w:type="spellEnd"/>
      <w:r w:rsidRPr="00CC2B11">
        <w:rPr>
          <w:rFonts w:ascii="Times New Roman" w:hAnsi="Times New Roman" w:cs="Times New Roman"/>
          <w:sz w:val="28"/>
          <w:szCs w:val="28"/>
        </w:rPr>
        <w:t xml:space="preserve"> between Mexican Americans and non-Hispanic whites. Neurology, 66(1), 30–34. </w:t>
      </w:r>
      <w:hyperlink r:id="rId53" w:history="1">
        <w:r w:rsidRPr="00921B06">
          <w:rPr>
            <w:rStyle w:val="Hyperlink"/>
            <w:rFonts w:ascii="Times New Roman" w:hAnsi="Times New Roman" w:cs="Times New Roman"/>
            <w:sz w:val="28"/>
            <w:szCs w:val="28"/>
          </w:rPr>
          <w:t>https://doi.org/10.1212/01.wnl.0000191402.41914.d2</w:t>
        </w:r>
      </w:hyperlink>
      <w:r>
        <w:rPr>
          <w:rFonts w:ascii="Times New Roman" w:hAnsi="Times New Roman" w:cs="Times New Roman"/>
          <w:sz w:val="28"/>
          <w:szCs w:val="28"/>
        </w:rPr>
        <w:t xml:space="preserve"> </w:t>
      </w:r>
      <w:r w:rsidR="000A6CCB" w:rsidRPr="004A05B0">
        <w:rPr>
          <w:rFonts w:ascii="Times New Roman" w:hAnsi="Times New Roman" w:cs="Times New Roman"/>
          <w:sz w:val="28"/>
          <w:szCs w:val="28"/>
        </w:rPr>
        <w:t xml:space="preserve"> </w:t>
      </w:r>
    </w:p>
    <w:p w14:paraId="2D10022B" w14:textId="59E36189" w:rsidR="000A6CCB" w:rsidRDefault="004908BB" w:rsidP="000A6CCB">
      <w:pPr>
        <w:numPr>
          <w:ilvl w:val="0"/>
          <w:numId w:val="1"/>
        </w:numPr>
        <w:rPr>
          <w:rFonts w:ascii="Times New Roman" w:hAnsi="Times New Roman" w:cs="Times New Roman"/>
          <w:sz w:val="28"/>
          <w:szCs w:val="28"/>
        </w:rPr>
      </w:pPr>
      <w:r w:rsidRPr="004908BB">
        <w:rPr>
          <w:rFonts w:ascii="Times New Roman" w:hAnsi="Times New Roman" w:cs="Times New Roman"/>
          <w:sz w:val="28"/>
          <w:szCs w:val="28"/>
        </w:rPr>
        <w:t xml:space="preserve">Zhang, Y., Galloway, J. M., Welty, T. K., </w:t>
      </w:r>
      <w:proofErr w:type="spellStart"/>
      <w:r w:rsidRPr="004908BB">
        <w:rPr>
          <w:rFonts w:ascii="Times New Roman" w:hAnsi="Times New Roman" w:cs="Times New Roman"/>
          <w:sz w:val="28"/>
          <w:szCs w:val="28"/>
        </w:rPr>
        <w:t>Wiebers</w:t>
      </w:r>
      <w:proofErr w:type="spellEnd"/>
      <w:r w:rsidRPr="004908BB">
        <w:rPr>
          <w:rFonts w:ascii="Times New Roman" w:hAnsi="Times New Roman" w:cs="Times New Roman"/>
          <w:sz w:val="28"/>
          <w:szCs w:val="28"/>
        </w:rPr>
        <w:t xml:space="preserve">, D. O., </w:t>
      </w:r>
      <w:proofErr w:type="spellStart"/>
      <w:r w:rsidRPr="004908BB">
        <w:rPr>
          <w:rFonts w:ascii="Times New Roman" w:hAnsi="Times New Roman" w:cs="Times New Roman"/>
          <w:sz w:val="28"/>
          <w:szCs w:val="28"/>
        </w:rPr>
        <w:t>Whisnant</w:t>
      </w:r>
      <w:proofErr w:type="spellEnd"/>
      <w:r w:rsidRPr="004908BB">
        <w:rPr>
          <w:rFonts w:ascii="Times New Roman" w:hAnsi="Times New Roman" w:cs="Times New Roman"/>
          <w:sz w:val="28"/>
          <w:szCs w:val="28"/>
        </w:rPr>
        <w:t xml:space="preserve">, J. P., Devereux, R. B., </w:t>
      </w:r>
      <w:proofErr w:type="spellStart"/>
      <w:r w:rsidRPr="004908BB">
        <w:rPr>
          <w:rFonts w:ascii="Times New Roman" w:hAnsi="Times New Roman" w:cs="Times New Roman"/>
          <w:sz w:val="28"/>
          <w:szCs w:val="28"/>
        </w:rPr>
        <w:t>Kizer</w:t>
      </w:r>
      <w:proofErr w:type="spellEnd"/>
      <w:r w:rsidRPr="004908BB">
        <w:rPr>
          <w:rFonts w:ascii="Times New Roman" w:hAnsi="Times New Roman" w:cs="Times New Roman"/>
          <w:sz w:val="28"/>
          <w:szCs w:val="28"/>
        </w:rPr>
        <w:t xml:space="preserve">, J. R., Howard, B. V., Cowan, L. D., Yeh, J., Howard, W. J., Wang, W., Best, L., &amp; Lee, E. T. (2008). Incidence and risk factors for stroke in American Indians: The Strong Heart Study. Circulation, 118(15), 1577-1584. </w:t>
      </w:r>
      <w:hyperlink r:id="rId54" w:history="1">
        <w:r w:rsidRPr="00921B06">
          <w:rPr>
            <w:rStyle w:val="Hyperlink"/>
            <w:rFonts w:ascii="Times New Roman" w:hAnsi="Times New Roman" w:cs="Times New Roman"/>
            <w:sz w:val="28"/>
            <w:szCs w:val="28"/>
          </w:rPr>
          <w:t>https://doi.org/10.1161/CIRCULATIONAHA.108.772285</w:t>
        </w:r>
      </w:hyperlink>
      <w:r>
        <w:rPr>
          <w:rFonts w:ascii="Times New Roman" w:hAnsi="Times New Roman" w:cs="Times New Roman"/>
          <w:sz w:val="28"/>
          <w:szCs w:val="28"/>
        </w:rPr>
        <w:t xml:space="preserve"> </w:t>
      </w:r>
      <w:r w:rsidR="000A6CCB" w:rsidRPr="002669DF">
        <w:rPr>
          <w:rFonts w:ascii="Times New Roman" w:hAnsi="Times New Roman" w:cs="Times New Roman"/>
          <w:sz w:val="28"/>
          <w:szCs w:val="28"/>
        </w:rPr>
        <w:t xml:space="preserve"> </w:t>
      </w:r>
    </w:p>
    <w:p w14:paraId="5A2FE4DD" w14:textId="14D93BBD" w:rsidR="000A6CCB" w:rsidRDefault="00576998" w:rsidP="000A6CCB">
      <w:pPr>
        <w:numPr>
          <w:ilvl w:val="0"/>
          <w:numId w:val="1"/>
        </w:numPr>
        <w:rPr>
          <w:rFonts w:ascii="Times New Roman" w:hAnsi="Times New Roman" w:cs="Times New Roman"/>
          <w:sz w:val="28"/>
          <w:szCs w:val="28"/>
        </w:rPr>
      </w:pPr>
      <w:r w:rsidRPr="00576998">
        <w:rPr>
          <w:rFonts w:ascii="Times New Roman" w:hAnsi="Times New Roman" w:cs="Times New Roman"/>
          <w:sz w:val="28"/>
          <w:szCs w:val="28"/>
        </w:rPr>
        <w:t xml:space="preserve">Giles, W. H., </w:t>
      </w:r>
      <w:proofErr w:type="spellStart"/>
      <w:r w:rsidRPr="00576998">
        <w:rPr>
          <w:rFonts w:ascii="Times New Roman" w:hAnsi="Times New Roman" w:cs="Times New Roman"/>
          <w:sz w:val="28"/>
          <w:szCs w:val="28"/>
        </w:rPr>
        <w:t>Kittner</w:t>
      </w:r>
      <w:proofErr w:type="spellEnd"/>
      <w:r w:rsidRPr="00576998">
        <w:rPr>
          <w:rFonts w:ascii="Times New Roman" w:hAnsi="Times New Roman" w:cs="Times New Roman"/>
          <w:sz w:val="28"/>
          <w:szCs w:val="28"/>
        </w:rPr>
        <w:t xml:space="preserve">, S. J., Hebel, J. R., </w:t>
      </w:r>
      <w:proofErr w:type="spellStart"/>
      <w:r w:rsidRPr="00576998">
        <w:rPr>
          <w:rFonts w:ascii="Times New Roman" w:hAnsi="Times New Roman" w:cs="Times New Roman"/>
          <w:sz w:val="28"/>
          <w:szCs w:val="28"/>
        </w:rPr>
        <w:t>Losonczy</w:t>
      </w:r>
      <w:proofErr w:type="spellEnd"/>
      <w:r w:rsidRPr="00576998">
        <w:rPr>
          <w:rFonts w:ascii="Times New Roman" w:hAnsi="Times New Roman" w:cs="Times New Roman"/>
          <w:sz w:val="28"/>
          <w:szCs w:val="28"/>
        </w:rPr>
        <w:t xml:space="preserve">, K. G., &amp; Sherwin, R. W. (1995). Determinants of black-white differences in the risk of cerebral infarction. The national health and nutrition examination survey epidemiologic follow-up study. Archives of Internal Medicine, 155(12), 1319–1324. </w:t>
      </w:r>
      <w:hyperlink r:id="rId55" w:history="1">
        <w:r w:rsidRPr="00921B06">
          <w:rPr>
            <w:rStyle w:val="Hyperlink"/>
            <w:rFonts w:ascii="Times New Roman" w:hAnsi="Times New Roman" w:cs="Times New Roman"/>
            <w:sz w:val="28"/>
            <w:szCs w:val="28"/>
          </w:rPr>
          <w:t>https://pubmed.ncbi.nlm.nih.gov/7778964/</w:t>
        </w:r>
      </w:hyperlink>
      <w:r>
        <w:rPr>
          <w:rFonts w:ascii="Times New Roman" w:hAnsi="Times New Roman" w:cs="Times New Roman"/>
          <w:sz w:val="28"/>
          <w:szCs w:val="28"/>
        </w:rPr>
        <w:t xml:space="preserve"> </w:t>
      </w:r>
    </w:p>
    <w:p w14:paraId="7A6BE9CB" w14:textId="7BCE6B7C" w:rsidR="000A6CCB" w:rsidRDefault="006B7396" w:rsidP="000A6CCB">
      <w:pPr>
        <w:numPr>
          <w:ilvl w:val="0"/>
          <w:numId w:val="1"/>
        </w:numPr>
        <w:rPr>
          <w:rFonts w:ascii="Times New Roman" w:hAnsi="Times New Roman" w:cs="Times New Roman"/>
          <w:sz w:val="28"/>
          <w:szCs w:val="28"/>
        </w:rPr>
      </w:pPr>
      <w:r w:rsidRPr="006B7396">
        <w:rPr>
          <w:rFonts w:ascii="Times New Roman" w:hAnsi="Times New Roman" w:cs="Times New Roman"/>
          <w:sz w:val="28"/>
          <w:szCs w:val="28"/>
        </w:rPr>
        <w:t xml:space="preserve">Howard, G., Safford, M. M., Moy, C. S., Howard, V. J., </w:t>
      </w:r>
      <w:proofErr w:type="spellStart"/>
      <w:r w:rsidRPr="006B7396">
        <w:rPr>
          <w:rFonts w:ascii="Times New Roman" w:hAnsi="Times New Roman" w:cs="Times New Roman"/>
          <w:sz w:val="28"/>
          <w:szCs w:val="28"/>
        </w:rPr>
        <w:t>Kleindorfer</w:t>
      </w:r>
      <w:proofErr w:type="spellEnd"/>
      <w:r w:rsidRPr="006B7396">
        <w:rPr>
          <w:rFonts w:ascii="Times New Roman" w:hAnsi="Times New Roman" w:cs="Times New Roman"/>
          <w:sz w:val="28"/>
          <w:szCs w:val="28"/>
        </w:rPr>
        <w:t xml:space="preserve">, D. O., </w:t>
      </w:r>
      <w:proofErr w:type="spellStart"/>
      <w:r w:rsidRPr="006B7396">
        <w:rPr>
          <w:rFonts w:ascii="Times New Roman" w:hAnsi="Times New Roman" w:cs="Times New Roman"/>
          <w:sz w:val="28"/>
          <w:szCs w:val="28"/>
        </w:rPr>
        <w:t>Unverzagt</w:t>
      </w:r>
      <w:proofErr w:type="spellEnd"/>
      <w:r w:rsidRPr="006B7396">
        <w:rPr>
          <w:rFonts w:ascii="Times New Roman" w:hAnsi="Times New Roman" w:cs="Times New Roman"/>
          <w:sz w:val="28"/>
          <w:szCs w:val="28"/>
        </w:rPr>
        <w:t xml:space="preserve">, F. W., Soliman, E. Z., Flaherty, M. L., McClure, L. A., Lackland, D. T., Wadley, V. G., Pulley, L., &amp; Cushman, M. (2017). Racial differences in the incidence of cardiovascular risk factors in older black and white adults. Journal of the American Geriatrics Society. </w:t>
      </w:r>
      <w:hyperlink r:id="rId56" w:history="1">
        <w:r w:rsidRPr="00921B06">
          <w:rPr>
            <w:rStyle w:val="Hyperlink"/>
            <w:rFonts w:ascii="Times New Roman" w:hAnsi="Times New Roman" w:cs="Times New Roman"/>
            <w:sz w:val="28"/>
            <w:szCs w:val="28"/>
          </w:rPr>
          <w:t>https://doi.org/10.1111/jgs.14472</w:t>
        </w:r>
      </w:hyperlink>
      <w:r>
        <w:rPr>
          <w:rFonts w:ascii="Times New Roman" w:hAnsi="Times New Roman" w:cs="Times New Roman"/>
          <w:sz w:val="28"/>
          <w:szCs w:val="28"/>
        </w:rPr>
        <w:t xml:space="preserve"> </w:t>
      </w:r>
    </w:p>
    <w:p w14:paraId="18F50616" w14:textId="41D3E6D7" w:rsidR="000A6CCB" w:rsidRDefault="007C2A1F" w:rsidP="000A6CCB">
      <w:pPr>
        <w:numPr>
          <w:ilvl w:val="0"/>
          <w:numId w:val="1"/>
        </w:numPr>
        <w:rPr>
          <w:rFonts w:ascii="Times New Roman" w:hAnsi="Times New Roman" w:cs="Times New Roman"/>
          <w:sz w:val="28"/>
          <w:szCs w:val="28"/>
        </w:rPr>
      </w:pPr>
      <w:r w:rsidRPr="007C2A1F">
        <w:rPr>
          <w:rFonts w:ascii="Times New Roman" w:hAnsi="Times New Roman" w:cs="Times New Roman"/>
          <w:sz w:val="28"/>
          <w:szCs w:val="28"/>
        </w:rPr>
        <w:t xml:space="preserve">Seshadri, S., </w:t>
      </w:r>
      <w:proofErr w:type="spellStart"/>
      <w:r w:rsidRPr="007C2A1F">
        <w:rPr>
          <w:rFonts w:ascii="Times New Roman" w:hAnsi="Times New Roman" w:cs="Times New Roman"/>
          <w:sz w:val="28"/>
          <w:szCs w:val="28"/>
        </w:rPr>
        <w:t>Beiser</w:t>
      </w:r>
      <w:proofErr w:type="spellEnd"/>
      <w:r w:rsidRPr="007C2A1F">
        <w:rPr>
          <w:rFonts w:ascii="Times New Roman" w:hAnsi="Times New Roman" w:cs="Times New Roman"/>
          <w:sz w:val="28"/>
          <w:szCs w:val="28"/>
        </w:rPr>
        <w:t xml:space="preserve">, A., </w:t>
      </w:r>
      <w:proofErr w:type="spellStart"/>
      <w:r w:rsidRPr="007C2A1F">
        <w:rPr>
          <w:rFonts w:ascii="Times New Roman" w:hAnsi="Times New Roman" w:cs="Times New Roman"/>
          <w:sz w:val="28"/>
          <w:szCs w:val="28"/>
        </w:rPr>
        <w:t>Pikula</w:t>
      </w:r>
      <w:proofErr w:type="spellEnd"/>
      <w:r w:rsidRPr="007C2A1F">
        <w:rPr>
          <w:rFonts w:ascii="Times New Roman" w:hAnsi="Times New Roman" w:cs="Times New Roman"/>
          <w:sz w:val="28"/>
          <w:szCs w:val="28"/>
        </w:rPr>
        <w:t xml:space="preserve">, A., </w:t>
      </w:r>
      <w:proofErr w:type="spellStart"/>
      <w:r w:rsidRPr="007C2A1F">
        <w:rPr>
          <w:rFonts w:ascii="Times New Roman" w:hAnsi="Times New Roman" w:cs="Times New Roman"/>
          <w:sz w:val="28"/>
          <w:szCs w:val="28"/>
        </w:rPr>
        <w:t>Himali</w:t>
      </w:r>
      <w:proofErr w:type="spellEnd"/>
      <w:r w:rsidRPr="007C2A1F">
        <w:rPr>
          <w:rFonts w:ascii="Times New Roman" w:hAnsi="Times New Roman" w:cs="Times New Roman"/>
          <w:sz w:val="28"/>
          <w:szCs w:val="28"/>
        </w:rPr>
        <w:t xml:space="preserve">, J. J., Kelly-Hayes, M., </w:t>
      </w:r>
      <w:proofErr w:type="spellStart"/>
      <w:r w:rsidRPr="007C2A1F">
        <w:rPr>
          <w:rFonts w:ascii="Times New Roman" w:hAnsi="Times New Roman" w:cs="Times New Roman"/>
          <w:sz w:val="28"/>
          <w:szCs w:val="28"/>
        </w:rPr>
        <w:t>Debette</w:t>
      </w:r>
      <w:proofErr w:type="spellEnd"/>
      <w:r w:rsidRPr="007C2A1F">
        <w:rPr>
          <w:rFonts w:ascii="Times New Roman" w:hAnsi="Times New Roman" w:cs="Times New Roman"/>
          <w:sz w:val="28"/>
          <w:szCs w:val="28"/>
        </w:rPr>
        <w:t xml:space="preserve">, S., DeStefano, A. L., Romero, J. R., </w:t>
      </w:r>
      <w:proofErr w:type="spellStart"/>
      <w:r w:rsidRPr="007C2A1F">
        <w:rPr>
          <w:rFonts w:ascii="Times New Roman" w:hAnsi="Times New Roman" w:cs="Times New Roman"/>
          <w:sz w:val="28"/>
          <w:szCs w:val="28"/>
        </w:rPr>
        <w:t>Kase</w:t>
      </w:r>
      <w:proofErr w:type="spellEnd"/>
      <w:r w:rsidRPr="007C2A1F">
        <w:rPr>
          <w:rFonts w:ascii="Times New Roman" w:hAnsi="Times New Roman" w:cs="Times New Roman"/>
          <w:sz w:val="28"/>
          <w:szCs w:val="28"/>
        </w:rPr>
        <w:t xml:space="preserve">, C. S., &amp; Wolf, P. A. (2010). Parental occurrence of stroke and risk of stroke in their children: The Framingham study. Circulation, 121(11), 1304-1312. </w:t>
      </w:r>
      <w:hyperlink r:id="rId57" w:history="1">
        <w:r w:rsidRPr="00921B06">
          <w:rPr>
            <w:rStyle w:val="Hyperlink"/>
            <w:rFonts w:ascii="Times New Roman" w:hAnsi="Times New Roman" w:cs="Times New Roman"/>
            <w:sz w:val="28"/>
            <w:szCs w:val="28"/>
          </w:rPr>
          <w:t>https://doi.org/10.1161/CIRCULATIONAHA.109.854240</w:t>
        </w:r>
      </w:hyperlink>
      <w:r>
        <w:rPr>
          <w:rFonts w:ascii="Times New Roman" w:hAnsi="Times New Roman" w:cs="Times New Roman"/>
          <w:sz w:val="28"/>
          <w:szCs w:val="28"/>
        </w:rPr>
        <w:t xml:space="preserve"> </w:t>
      </w:r>
    </w:p>
    <w:p w14:paraId="0AF73EDB" w14:textId="24295E5F" w:rsidR="000A6CCB" w:rsidRDefault="00D13C11" w:rsidP="000A6CCB">
      <w:pPr>
        <w:numPr>
          <w:ilvl w:val="0"/>
          <w:numId w:val="1"/>
        </w:numPr>
        <w:rPr>
          <w:rFonts w:ascii="Times New Roman" w:hAnsi="Times New Roman" w:cs="Times New Roman"/>
          <w:sz w:val="28"/>
          <w:szCs w:val="28"/>
        </w:rPr>
      </w:pPr>
      <w:proofErr w:type="spellStart"/>
      <w:r w:rsidRPr="00D13C11">
        <w:rPr>
          <w:rFonts w:ascii="Times New Roman" w:hAnsi="Times New Roman" w:cs="Times New Roman"/>
          <w:sz w:val="28"/>
          <w:szCs w:val="28"/>
        </w:rPr>
        <w:lastRenderedPageBreak/>
        <w:t>Touzé</w:t>
      </w:r>
      <w:proofErr w:type="spellEnd"/>
      <w:r w:rsidRPr="00D13C11">
        <w:rPr>
          <w:rFonts w:ascii="Times New Roman" w:hAnsi="Times New Roman" w:cs="Times New Roman"/>
          <w:sz w:val="28"/>
          <w:szCs w:val="28"/>
        </w:rPr>
        <w:t xml:space="preserve">, E., &amp; Rothwell, P. M. (2008). Sex differences in heritability of ischemic stroke: A systematic review and meta-analysis. Stroke, 39(1), 16–23. </w:t>
      </w:r>
      <w:hyperlink r:id="rId58" w:history="1">
        <w:r w:rsidRPr="00921B06">
          <w:rPr>
            <w:rStyle w:val="Hyperlink"/>
            <w:rFonts w:ascii="Times New Roman" w:hAnsi="Times New Roman" w:cs="Times New Roman"/>
            <w:sz w:val="28"/>
            <w:szCs w:val="28"/>
          </w:rPr>
          <w:t>https://doi.org/10.1161/STROKEAHA.107.484618</w:t>
        </w:r>
      </w:hyperlink>
      <w:r>
        <w:rPr>
          <w:rFonts w:ascii="Times New Roman" w:hAnsi="Times New Roman" w:cs="Times New Roman"/>
          <w:sz w:val="28"/>
          <w:szCs w:val="28"/>
        </w:rPr>
        <w:t xml:space="preserve"> </w:t>
      </w:r>
      <w:r w:rsidR="000A6CCB" w:rsidRPr="000E738E">
        <w:rPr>
          <w:rFonts w:ascii="Times New Roman" w:hAnsi="Times New Roman" w:cs="Times New Roman"/>
          <w:sz w:val="28"/>
          <w:szCs w:val="28"/>
        </w:rPr>
        <w:t xml:space="preserve"> </w:t>
      </w:r>
    </w:p>
    <w:p w14:paraId="4A330843" w14:textId="0F720710" w:rsidR="000A6CCB" w:rsidRDefault="00517003" w:rsidP="000A6CCB">
      <w:pPr>
        <w:numPr>
          <w:ilvl w:val="0"/>
          <w:numId w:val="1"/>
        </w:numPr>
        <w:rPr>
          <w:rFonts w:ascii="Times New Roman" w:hAnsi="Times New Roman" w:cs="Times New Roman"/>
          <w:sz w:val="28"/>
          <w:szCs w:val="28"/>
        </w:rPr>
      </w:pPr>
      <w:proofErr w:type="spellStart"/>
      <w:r w:rsidRPr="00517003">
        <w:rPr>
          <w:rFonts w:ascii="Times New Roman" w:hAnsi="Times New Roman" w:cs="Times New Roman"/>
          <w:sz w:val="28"/>
          <w:szCs w:val="28"/>
        </w:rPr>
        <w:t>Chobanian</w:t>
      </w:r>
      <w:proofErr w:type="spellEnd"/>
      <w:r w:rsidRPr="00517003">
        <w:rPr>
          <w:rFonts w:ascii="Times New Roman" w:hAnsi="Times New Roman" w:cs="Times New Roman"/>
          <w:sz w:val="28"/>
          <w:szCs w:val="28"/>
        </w:rPr>
        <w:t xml:space="preserve">, A. V., </w:t>
      </w:r>
      <w:proofErr w:type="spellStart"/>
      <w:r w:rsidRPr="00517003">
        <w:rPr>
          <w:rFonts w:ascii="Times New Roman" w:hAnsi="Times New Roman" w:cs="Times New Roman"/>
          <w:sz w:val="28"/>
          <w:szCs w:val="28"/>
        </w:rPr>
        <w:t>Bakris</w:t>
      </w:r>
      <w:proofErr w:type="spellEnd"/>
      <w:r w:rsidRPr="00517003">
        <w:rPr>
          <w:rFonts w:ascii="Times New Roman" w:hAnsi="Times New Roman" w:cs="Times New Roman"/>
          <w:sz w:val="28"/>
          <w:szCs w:val="28"/>
        </w:rPr>
        <w:t xml:space="preserve">, G. L., Black, H. R., Cushman, W. C., Green, L. A., Izzo, J. L., Jr., Jones, D. W., </w:t>
      </w:r>
      <w:proofErr w:type="spellStart"/>
      <w:r w:rsidRPr="00517003">
        <w:rPr>
          <w:rFonts w:ascii="Times New Roman" w:hAnsi="Times New Roman" w:cs="Times New Roman"/>
          <w:sz w:val="28"/>
          <w:szCs w:val="28"/>
        </w:rPr>
        <w:t>Materson</w:t>
      </w:r>
      <w:proofErr w:type="spellEnd"/>
      <w:r w:rsidRPr="00517003">
        <w:rPr>
          <w:rFonts w:ascii="Times New Roman" w:hAnsi="Times New Roman" w:cs="Times New Roman"/>
          <w:sz w:val="28"/>
          <w:szCs w:val="28"/>
        </w:rPr>
        <w:t xml:space="preserve">, B. J., </w:t>
      </w:r>
      <w:proofErr w:type="spellStart"/>
      <w:r w:rsidRPr="00517003">
        <w:rPr>
          <w:rFonts w:ascii="Times New Roman" w:hAnsi="Times New Roman" w:cs="Times New Roman"/>
          <w:sz w:val="28"/>
          <w:szCs w:val="28"/>
        </w:rPr>
        <w:t>Oparil</w:t>
      </w:r>
      <w:proofErr w:type="spellEnd"/>
      <w:r w:rsidRPr="00517003">
        <w:rPr>
          <w:rFonts w:ascii="Times New Roman" w:hAnsi="Times New Roman" w:cs="Times New Roman"/>
          <w:sz w:val="28"/>
          <w:szCs w:val="28"/>
        </w:rPr>
        <w:t xml:space="preserve">, S., Wright, J. T., Jr., &amp; Roccella, E. J. (2003). The seventh report of the Joint National Committee on Prevention, Detection, Evaluation, and Treatment of High Blood Pressure: The JNC 7 report. JAMA, 289(19), 2560–2572. </w:t>
      </w:r>
      <w:hyperlink r:id="rId59" w:history="1">
        <w:r w:rsidRPr="00921B06">
          <w:rPr>
            <w:rStyle w:val="Hyperlink"/>
            <w:rFonts w:ascii="Times New Roman" w:hAnsi="Times New Roman" w:cs="Times New Roman"/>
            <w:sz w:val="28"/>
            <w:szCs w:val="28"/>
          </w:rPr>
          <w:t>https://doi.org/10.1001/jama.289.19.2560</w:t>
        </w:r>
      </w:hyperlink>
      <w:r>
        <w:rPr>
          <w:rFonts w:ascii="Times New Roman" w:hAnsi="Times New Roman" w:cs="Times New Roman"/>
          <w:sz w:val="28"/>
          <w:szCs w:val="28"/>
        </w:rPr>
        <w:t xml:space="preserve"> </w:t>
      </w:r>
    </w:p>
    <w:p w14:paraId="22D0CEBB" w14:textId="404B5E32" w:rsidR="000A6CCB" w:rsidRDefault="00023123" w:rsidP="000A6CCB">
      <w:pPr>
        <w:numPr>
          <w:ilvl w:val="0"/>
          <w:numId w:val="1"/>
        </w:numPr>
        <w:rPr>
          <w:rFonts w:ascii="Times New Roman" w:hAnsi="Times New Roman" w:cs="Times New Roman"/>
          <w:sz w:val="28"/>
          <w:szCs w:val="28"/>
        </w:rPr>
      </w:pPr>
      <w:r w:rsidRPr="00023123">
        <w:rPr>
          <w:rFonts w:ascii="Times New Roman" w:hAnsi="Times New Roman" w:cs="Times New Roman"/>
          <w:sz w:val="28"/>
          <w:szCs w:val="28"/>
        </w:rPr>
        <w:t xml:space="preserve">Lewington, S., Clarke, R., </w:t>
      </w:r>
      <w:proofErr w:type="spellStart"/>
      <w:r w:rsidRPr="00023123">
        <w:rPr>
          <w:rFonts w:ascii="Times New Roman" w:hAnsi="Times New Roman" w:cs="Times New Roman"/>
          <w:sz w:val="28"/>
          <w:szCs w:val="28"/>
        </w:rPr>
        <w:t>Qizilbash</w:t>
      </w:r>
      <w:proofErr w:type="spellEnd"/>
      <w:r w:rsidRPr="00023123">
        <w:rPr>
          <w:rFonts w:ascii="Times New Roman" w:hAnsi="Times New Roman" w:cs="Times New Roman"/>
          <w:sz w:val="28"/>
          <w:szCs w:val="28"/>
        </w:rPr>
        <w:t xml:space="preserve">, N., </w:t>
      </w:r>
      <w:proofErr w:type="spellStart"/>
      <w:r w:rsidRPr="00023123">
        <w:rPr>
          <w:rFonts w:ascii="Times New Roman" w:hAnsi="Times New Roman" w:cs="Times New Roman"/>
          <w:sz w:val="28"/>
          <w:szCs w:val="28"/>
        </w:rPr>
        <w:t>Peto</w:t>
      </w:r>
      <w:proofErr w:type="spellEnd"/>
      <w:r w:rsidRPr="00023123">
        <w:rPr>
          <w:rFonts w:ascii="Times New Roman" w:hAnsi="Times New Roman" w:cs="Times New Roman"/>
          <w:sz w:val="28"/>
          <w:szCs w:val="28"/>
        </w:rPr>
        <w:t xml:space="preserve">, R., &amp; Collins, R. (2002). Age-specific relevance of usual blood pressure to vascular mortality: A meta-analysis of individual data for one million adults in 61 prospective studies. Lancet, 360, 1903–1913. </w:t>
      </w:r>
      <w:hyperlink r:id="rId60" w:history="1">
        <w:r w:rsidRPr="00921B06">
          <w:rPr>
            <w:rStyle w:val="Hyperlink"/>
            <w:rFonts w:ascii="Times New Roman" w:hAnsi="Times New Roman" w:cs="Times New Roman"/>
            <w:sz w:val="28"/>
            <w:szCs w:val="28"/>
          </w:rPr>
          <w:t>https://doi.org/10.1016/s0140-6736(02)11911-8</w:t>
        </w:r>
      </w:hyperlink>
      <w:r>
        <w:rPr>
          <w:rFonts w:ascii="Times New Roman" w:hAnsi="Times New Roman" w:cs="Times New Roman"/>
          <w:sz w:val="28"/>
          <w:szCs w:val="28"/>
        </w:rPr>
        <w:t xml:space="preserve"> </w:t>
      </w:r>
      <w:r w:rsidR="000A6CCB" w:rsidRPr="003A3D5C">
        <w:rPr>
          <w:rFonts w:ascii="Times New Roman" w:hAnsi="Times New Roman" w:cs="Times New Roman"/>
          <w:sz w:val="28"/>
          <w:szCs w:val="28"/>
        </w:rPr>
        <w:t xml:space="preserve"> </w:t>
      </w:r>
    </w:p>
    <w:p w14:paraId="3F978DFC" w14:textId="562CA74A" w:rsidR="000A6CCB" w:rsidRDefault="00E80E5D" w:rsidP="000A6CCB">
      <w:pPr>
        <w:numPr>
          <w:ilvl w:val="0"/>
          <w:numId w:val="1"/>
        </w:numPr>
        <w:rPr>
          <w:rFonts w:ascii="Times New Roman" w:hAnsi="Times New Roman" w:cs="Times New Roman"/>
          <w:sz w:val="28"/>
          <w:szCs w:val="28"/>
        </w:rPr>
      </w:pPr>
      <w:r w:rsidRPr="00E80E5D">
        <w:rPr>
          <w:rFonts w:ascii="Times New Roman" w:hAnsi="Times New Roman" w:cs="Times New Roman"/>
          <w:sz w:val="28"/>
          <w:szCs w:val="28"/>
        </w:rPr>
        <w:t xml:space="preserve">Banerjee, C., Moon, Y. P., Paik, M. C., </w:t>
      </w:r>
      <w:proofErr w:type="spellStart"/>
      <w:r w:rsidRPr="00E80E5D">
        <w:rPr>
          <w:rFonts w:ascii="Times New Roman" w:hAnsi="Times New Roman" w:cs="Times New Roman"/>
          <w:sz w:val="28"/>
          <w:szCs w:val="28"/>
        </w:rPr>
        <w:t>Rundek</w:t>
      </w:r>
      <w:proofErr w:type="spellEnd"/>
      <w:r w:rsidRPr="00E80E5D">
        <w:rPr>
          <w:rFonts w:ascii="Times New Roman" w:hAnsi="Times New Roman" w:cs="Times New Roman"/>
          <w:sz w:val="28"/>
          <w:szCs w:val="28"/>
        </w:rPr>
        <w:t xml:space="preserve">, T., Mora-McLaughlin, C., Vieira, J. R., Sacco, R. L., &amp; Elkind, M. S. V. (2012). Duration of diabetes and risk of ischemic stroke: The Northern Manhattan Study. Stroke, 43(5), 1212–1217. </w:t>
      </w:r>
      <w:hyperlink r:id="rId61" w:history="1">
        <w:r w:rsidRPr="00921B06">
          <w:rPr>
            <w:rStyle w:val="Hyperlink"/>
            <w:rFonts w:ascii="Times New Roman" w:hAnsi="Times New Roman" w:cs="Times New Roman"/>
            <w:sz w:val="28"/>
            <w:szCs w:val="28"/>
          </w:rPr>
          <w:t>https://doi.org/10.1161/STROKEAHA.111.641381</w:t>
        </w:r>
      </w:hyperlink>
      <w:r>
        <w:rPr>
          <w:rFonts w:ascii="Times New Roman" w:hAnsi="Times New Roman" w:cs="Times New Roman"/>
          <w:sz w:val="28"/>
          <w:szCs w:val="28"/>
        </w:rPr>
        <w:t xml:space="preserve"> </w:t>
      </w:r>
    </w:p>
    <w:p w14:paraId="342EE346" w14:textId="634048FB" w:rsidR="000A6CCB" w:rsidRDefault="00B13B76" w:rsidP="000A6CCB">
      <w:pPr>
        <w:numPr>
          <w:ilvl w:val="0"/>
          <w:numId w:val="1"/>
        </w:numPr>
        <w:rPr>
          <w:rFonts w:ascii="Times New Roman" w:hAnsi="Times New Roman" w:cs="Times New Roman"/>
          <w:sz w:val="28"/>
          <w:szCs w:val="28"/>
        </w:rPr>
      </w:pPr>
      <w:r w:rsidRPr="00B13B76">
        <w:rPr>
          <w:rFonts w:ascii="Times New Roman" w:hAnsi="Times New Roman" w:cs="Times New Roman"/>
          <w:sz w:val="28"/>
          <w:szCs w:val="28"/>
        </w:rPr>
        <w:t xml:space="preserve">Sui, X., </w:t>
      </w:r>
      <w:proofErr w:type="spellStart"/>
      <w:r w:rsidRPr="00B13B76">
        <w:rPr>
          <w:rFonts w:ascii="Times New Roman" w:hAnsi="Times New Roman" w:cs="Times New Roman"/>
          <w:sz w:val="28"/>
          <w:szCs w:val="28"/>
        </w:rPr>
        <w:t>Lavie</w:t>
      </w:r>
      <w:proofErr w:type="spellEnd"/>
      <w:r w:rsidRPr="00B13B76">
        <w:rPr>
          <w:rFonts w:ascii="Times New Roman" w:hAnsi="Times New Roman" w:cs="Times New Roman"/>
          <w:sz w:val="28"/>
          <w:szCs w:val="28"/>
        </w:rPr>
        <w:t xml:space="preserve">, C. J., Hooker, S. P., Lee, D. C., </w:t>
      </w:r>
      <w:proofErr w:type="spellStart"/>
      <w:r w:rsidRPr="00B13B76">
        <w:rPr>
          <w:rFonts w:ascii="Times New Roman" w:hAnsi="Times New Roman" w:cs="Times New Roman"/>
          <w:sz w:val="28"/>
          <w:szCs w:val="28"/>
        </w:rPr>
        <w:t>Colabianchi</w:t>
      </w:r>
      <w:proofErr w:type="spellEnd"/>
      <w:r w:rsidRPr="00B13B76">
        <w:rPr>
          <w:rFonts w:ascii="Times New Roman" w:hAnsi="Times New Roman" w:cs="Times New Roman"/>
          <w:sz w:val="28"/>
          <w:szCs w:val="28"/>
        </w:rPr>
        <w:t xml:space="preserve">, N., Lee, C. D., &amp; Blair, S. N. (2011). A prospective study of fasting plasma glucose and risk of stroke in asymptomatic men. Mayo Clinic Proceedings, 86(11), 1042–1049. </w:t>
      </w:r>
      <w:hyperlink r:id="rId62" w:history="1">
        <w:r w:rsidRPr="00921B06">
          <w:rPr>
            <w:rStyle w:val="Hyperlink"/>
            <w:rFonts w:ascii="Times New Roman" w:hAnsi="Times New Roman" w:cs="Times New Roman"/>
            <w:sz w:val="28"/>
            <w:szCs w:val="28"/>
          </w:rPr>
          <w:t>https://doi.org/10.4065/mcp.2011.0267</w:t>
        </w:r>
      </w:hyperlink>
      <w:r>
        <w:rPr>
          <w:rFonts w:ascii="Times New Roman" w:hAnsi="Times New Roman" w:cs="Times New Roman"/>
          <w:sz w:val="28"/>
          <w:szCs w:val="28"/>
        </w:rPr>
        <w:t xml:space="preserve"> </w:t>
      </w:r>
      <w:r w:rsidR="000A6CCB" w:rsidRPr="00061A4B">
        <w:rPr>
          <w:rFonts w:ascii="Times New Roman" w:hAnsi="Times New Roman" w:cs="Times New Roman"/>
          <w:sz w:val="28"/>
          <w:szCs w:val="28"/>
        </w:rPr>
        <w:t xml:space="preserve"> </w:t>
      </w:r>
    </w:p>
    <w:p w14:paraId="05D1CF66" w14:textId="275AA12D" w:rsidR="000A6CCB" w:rsidRDefault="00734BA6" w:rsidP="000A6CCB">
      <w:pPr>
        <w:numPr>
          <w:ilvl w:val="0"/>
          <w:numId w:val="1"/>
        </w:numPr>
        <w:rPr>
          <w:rFonts w:ascii="Times New Roman" w:hAnsi="Times New Roman" w:cs="Times New Roman"/>
          <w:sz w:val="28"/>
          <w:szCs w:val="28"/>
        </w:rPr>
      </w:pPr>
      <w:proofErr w:type="spellStart"/>
      <w:r w:rsidRPr="00734BA6">
        <w:rPr>
          <w:rFonts w:ascii="Times New Roman" w:hAnsi="Times New Roman" w:cs="Times New Roman"/>
          <w:sz w:val="28"/>
          <w:szCs w:val="28"/>
        </w:rPr>
        <w:t>Horenstein</w:t>
      </w:r>
      <w:proofErr w:type="spellEnd"/>
      <w:r w:rsidRPr="00734BA6">
        <w:rPr>
          <w:rFonts w:ascii="Times New Roman" w:hAnsi="Times New Roman" w:cs="Times New Roman"/>
          <w:sz w:val="28"/>
          <w:szCs w:val="28"/>
        </w:rPr>
        <w:t xml:space="preserve">, R. B., Smith, D. E., &amp; </w:t>
      </w:r>
      <w:proofErr w:type="spellStart"/>
      <w:r w:rsidRPr="00734BA6">
        <w:rPr>
          <w:rFonts w:ascii="Times New Roman" w:hAnsi="Times New Roman" w:cs="Times New Roman"/>
          <w:sz w:val="28"/>
          <w:szCs w:val="28"/>
        </w:rPr>
        <w:t>Mosca</w:t>
      </w:r>
      <w:proofErr w:type="spellEnd"/>
      <w:r w:rsidRPr="00734BA6">
        <w:rPr>
          <w:rFonts w:ascii="Times New Roman" w:hAnsi="Times New Roman" w:cs="Times New Roman"/>
          <w:sz w:val="28"/>
          <w:szCs w:val="28"/>
        </w:rPr>
        <w:t xml:space="preserve">, L. (2002). Cholesterol predicts stroke mortality in the women's pooling project. Stroke, 33, 1863–1868. </w:t>
      </w:r>
      <w:hyperlink r:id="rId63" w:history="1">
        <w:r w:rsidRPr="00921B06">
          <w:rPr>
            <w:rStyle w:val="Hyperlink"/>
            <w:rFonts w:ascii="Times New Roman" w:hAnsi="Times New Roman" w:cs="Times New Roman"/>
            <w:sz w:val="28"/>
            <w:szCs w:val="28"/>
          </w:rPr>
          <w:t>https://doi.org/10.1161/01.str.0000020093.67593.0b</w:t>
        </w:r>
      </w:hyperlink>
      <w:r>
        <w:rPr>
          <w:rFonts w:ascii="Times New Roman" w:hAnsi="Times New Roman" w:cs="Times New Roman"/>
          <w:sz w:val="28"/>
          <w:szCs w:val="28"/>
        </w:rPr>
        <w:t xml:space="preserve"> </w:t>
      </w:r>
      <w:r w:rsidR="000A6CCB" w:rsidRPr="00D405A1">
        <w:rPr>
          <w:rFonts w:ascii="Times New Roman" w:hAnsi="Times New Roman" w:cs="Times New Roman"/>
          <w:sz w:val="28"/>
          <w:szCs w:val="28"/>
        </w:rPr>
        <w:t xml:space="preserve"> </w:t>
      </w:r>
    </w:p>
    <w:p w14:paraId="5D0E1CCC" w14:textId="20FBEF8B" w:rsidR="000A6CCB" w:rsidRDefault="004A465F" w:rsidP="000A6CCB">
      <w:pPr>
        <w:numPr>
          <w:ilvl w:val="0"/>
          <w:numId w:val="1"/>
        </w:numPr>
        <w:rPr>
          <w:rFonts w:ascii="Times New Roman" w:hAnsi="Times New Roman" w:cs="Times New Roman"/>
          <w:sz w:val="28"/>
          <w:szCs w:val="28"/>
        </w:rPr>
      </w:pPr>
      <w:r w:rsidRPr="004A465F">
        <w:rPr>
          <w:rFonts w:ascii="Times New Roman" w:hAnsi="Times New Roman" w:cs="Times New Roman"/>
          <w:sz w:val="28"/>
          <w:szCs w:val="28"/>
        </w:rPr>
        <w:t xml:space="preserve">Sacco, R. L., Benson, R. T., </w:t>
      </w:r>
      <w:proofErr w:type="spellStart"/>
      <w:r w:rsidRPr="004A465F">
        <w:rPr>
          <w:rFonts w:ascii="Times New Roman" w:hAnsi="Times New Roman" w:cs="Times New Roman"/>
          <w:sz w:val="28"/>
          <w:szCs w:val="28"/>
        </w:rPr>
        <w:t>Kargman</w:t>
      </w:r>
      <w:proofErr w:type="spellEnd"/>
      <w:r w:rsidRPr="004A465F">
        <w:rPr>
          <w:rFonts w:ascii="Times New Roman" w:hAnsi="Times New Roman" w:cs="Times New Roman"/>
          <w:sz w:val="28"/>
          <w:szCs w:val="28"/>
        </w:rPr>
        <w:t>, D. E., Boden-</w:t>
      </w:r>
      <w:proofErr w:type="spellStart"/>
      <w:r w:rsidRPr="004A465F">
        <w:rPr>
          <w:rFonts w:ascii="Times New Roman" w:hAnsi="Times New Roman" w:cs="Times New Roman"/>
          <w:sz w:val="28"/>
          <w:szCs w:val="28"/>
        </w:rPr>
        <w:t>Albala</w:t>
      </w:r>
      <w:proofErr w:type="spellEnd"/>
      <w:r w:rsidRPr="004A465F">
        <w:rPr>
          <w:rFonts w:ascii="Times New Roman" w:hAnsi="Times New Roman" w:cs="Times New Roman"/>
          <w:sz w:val="28"/>
          <w:szCs w:val="28"/>
        </w:rPr>
        <w:t xml:space="preserve">, B., Tuck, C., Lin, I. F., Cheng, J. F., Paik, M. C., Shea, S., &amp; Berglund, L. (2001). High-density lipoprotein cholesterol and ischemic stroke in the elderly: The Northern Manhattan Stroke Study. JAMA, 285(21), 2729–2735. </w:t>
      </w:r>
      <w:hyperlink r:id="rId64" w:history="1">
        <w:r w:rsidRPr="00921B06">
          <w:rPr>
            <w:rStyle w:val="Hyperlink"/>
            <w:rFonts w:ascii="Times New Roman" w:hAnsi="Times New Roman" w:cs="Times New Roman"/>
            <w:sz w:val="28"/>
            <w:szCs w:val="28"/>
          </w:rPr>
          <w:t>https://doi.org/10.1001/jama.285.21.2729</w:t>
        </w:r>
      </w:hyperlink>
      <w:r>
        <w:rPr>
          <w:rFonts w:ascii="Times New Roman" w:hAnsi="Times New Roman" w:cs="Times New Roman"/>
          <w:sz w:val="28"/>
          <w:szCs w:val="28"/>
        </w:rPr>
        <w:t xml:space="preserve"> </w:t>
      </w:r>
      <w:r w:rsidR="000A6CCB" w:rsidRPr="00567655">
        <w:rPr>
          <w:rFonts w:ascii="Times New Roman" w:hAnsi="Times New Roman" w:cs="Times New Roman"/>
          <w:sz w:val="28"/>
          <w:szCs w:val="28"/>
        </w:rPr>
        <w:t xml:space="preserve"> </w:t>
      </w:r>
    </w:p>
    <w:p w14:paraId="0173A66A" w14:textId="30C7C7AD" w:rsidR="000A6CCB" w:rsidRDefault="009C31BD" w:rsidP="000A6CCB">
      <w:pPr>
        <w:numPr>
          <w:ilvl w:val="0"/>
          <w:numId w:val="1"/>
        </w:numPr>
        <w:rPr>
          <w:rFonts w:ascii="Times New Roman" w:hAnsi="Times New Roman" w:cs="Times New Roman"/>
          <w:sz w:val="28"/>
          <w:szCs w:val="28"/>
        </w:rPr>
      </w:pPr>
      <w:proofErr w:type="spellStart"/>
      <w:r w:rsidRPr="009C31BD">
        <w:rPr>
          <w:rFonts w:ascii="Times New Roman" w:hAnsi="Times New Roman" w:cs="Times New Roman"/>
          <w:sz w:val="28"/>
          <w:szCs w:val="28"/>
        </w:rPr>
        <w:t>Amarenco</w:t>
      </w:r>
      <w:proofErr w:type="spellEnd"/>
      <w:r w:rsidRPr="009C31BD">
        <w:rPr>
          <w:rFonts w:ascii="Times New Roman" w:hAnsi="Times New Roman" w:cs="Times New Roman"/>
          <w:sz w:val="28"/>
          <w:szCs w:val="28"/>
        </w:rPr>
        <w:t xml:space="preserve">, P., </w:t>
      </w:r>
      <w:proofErr w:type="spellStart"/>
      <w:r w:rsidRPr="009C31BD">
        <w:rPr>
          <w:rFonts w:ascii="Times New Roman" w:hAnsi="Times New Roman" w:cs="Times New Roman"/>
          <w:sz w:val="28"/>
          <w:szCs w:val="28"/>
        </w:rPr>
        <w:t>Labreuche</w:t>
      </w:r>
      <w:proofErr w:type="spellEnd"/>
      <w:r w:rsidRPr="009C31BD">
        <w:rPr>
          <w:rFonts w:ascii="Times New Roman" w:hAnsi="Times New Roman" w:cs="Times New Roman"/>
          <w:sz w:val="28"/>
          <w:szCs w:val="28"/>
        </w:rPr>
        <w:t xml:space="preserve">, J., </w:t>
      </w:r>
      <w:proofErr w:type="spellStart"/>
      <w:r w:rsidRPr="009C31BD">
        <w:rPr>
          <w:rFonts w:ascii="Times New Roman" w:hAnsi="Times New Roman" w:cs="Times New Roman"/>
          <w:sz w:val="28"/>
          <w:szCs w:val="28"/>
        </w:rPr>
        <w:t>Lavallée</w:t>
      </w:r>
      <w:proofErr w:type="spellEnd"/>
      <w:r w:rsidRPr="009C31BD">
        <w:rPr>
          <w:rFonts w:ascii="Times New Roman" w:hAnsi="Times New Roman" w:cs="Times New Roman"/>
          <w:sz w:val="28"/>
          <w:szCs w:val="28"/>
        </w:rPr>
        <w:t xml:space="preserve">, P., &amp; </w:t>
      </w:r>
      <w:proofErr w:type="spellStart"/>
      <w:r w:rsidRPr="009C31BD">
        <w:rPr>
          <w:rFonts w:ascii="Times New Roman" w:hAnsi="Times New Roman" w:cs="Times New Roman"/>
          <w:sz w:val="28"/>
          <w:szCs w:val="28"/>
        </w:rPr>
        <w:t>Touboul</w:t>
      </w:r>
      <w:proofErr w:type="spellEnd"/>
      <w:r w:rsidRPr="009C31BD">
        <w:rPr>
          <w:rFonts w:ascii="Times New Roman" w:hAnsi="Times New Roman" w:cs="Times New Roman"/>
          <w:sz w:val="28"/>
          <w:szCs w:val="28"/>
        </w:rPr>
        <w:t xml:space="preserve">, P. J. (2004). Statins in stroke prevention and carotid atherosclerosis: Systematic review and up-to-date meta-analysis. Stroke, 35(12), 2902–2909. </w:t>
      </w:r>
      <w:hyperlink r:id="rId65" w:history="1">
        <w:r w:rsidRPr="00921B06">
          <w:rPr>
            <w:rStyle w:val="Hyperlink"/>
            <w:rFonts w:ascii="Times New Roman" w:hAnsi="Times New Roman" w:cs="Times New Roman"/>
            <w:sz w:val="28"/>
            <w:szCs w:val="28"/>
          </w:rPr>
          <w:t>https://doi.org/10.1161/01.STR.0000147965.52712.fa</w:t>
        </w:r>
      </w:hyperlink>
      <w:r>
        <w:rPr>
          <w:rFonts w:ascii="Times New Roman" w:hAnsi="Times New Roman" w:cs="Times New Roman"/>
          <w:sz w:val="28"/>
          <w:szCs w:val="28"/>
        </w:rPr>
        <w:t xml:space="preserve"> </w:t>
      </w:r>
    </w:p>
    <w:p w14:paraId="4CC3DDFD" w14:textId="2A40849F" w:rsidR="000A6CCB" w:rsidRDefault="002A47C5" w:rsidP="000A6CCB">
      <w:pPr>
        <w:numPr>
          <w:ilvl w:val="0"/>
          <w:numId w:val="1"/>
        </w:numPr>
        <w:rPr>
          <w:rFonts w:ascii="Times New Roman" w:hAnsi="Times New Roman" w:cs="Times New Roman"/>
          <w:sz w:val="28"/>
          <w:szCs w:val="28"/>
        </w:rPr>
      </w:pPr>
      <w:r w:rsidRPr="002A47C5">
        <w:rPr>
          <w:rFonts w:ascii="Times New Roman" w:hAnsi="Times New Roman" w:cs="Times New Roman"/>
          <w:sz w:val="28"/>
          <w:szCs w:val="28"/>
        </w:rPr>
        <w:lastRenderedPageBreak/>
        <w:t xml:space="preserve">Baigent, C., Keech, A., Kearney, P. M., Blackwell, L., Buck, G., </w:t>
      </w:r>
      <w:proofErr w:type="spellStart"/>
      <w:r w:rsidRPr="002A47C5">
        <w:rPr>
          <w:rFonts w:ascii="Times New Roman" w:hAnsi="Times New Roman" w:cs="Times New Roman"/>
          <w:sz w:val="28"/>
          <w:szCs w:val="28"/>
        </w:rPr>
        <w:t>Pollicino</w:t>
      </w:r>
      <w:proofErr w:type="spellEnd"/>
      <w:r w:rsidRPr="002A47C5">
        <w:rPr>
          <w:rFonts w:ascii="Times New Roman" w:hAnsi="Times New Roman" w:cs="Times New Roman"/>
          <w:sz w:val="28"/>
          <w:szCs w:val="28"/>
        </w:rPr>
        <w:t xml:space="preserve">, C., Kirby, A., </w:t>
      </w:r>
      <w:proofErr w:type="spellStart"/>
      <w:r w:rsidRPr="002A47C5">
        <w:rPr>
          <w:rFonts w:ascii="Times New Roman" w:hAnsi="Times New Roman" w:cs="Times New Roman"/>
          <w:sz w:val="28"/>
          <w:szCs w:val="28"/>
        </w:rPr>
        <w:t>Sourjina</w:t>
      </w:r>
      <w:proofErr w:type="spellEnd"/>
      <w:r w:rsidRPr="002A47C5">
        <w:rPr>
          <w:rFonts w:ascii="Times New Roman" w:hAnsi="Times New Roman" w:cs="Times New Roman"/>
          <w:sz w:val="28"/>
          <w:szCs w:val="28"/>
        </w:rPr>
        <w:t xml:space="preserve">, T., </w:t>
      </w:r>
      <w:proofErr w:type="spellStart"/>
      <w:r w:rsidRPr="002A47C5">
        <w:rPr>
          <w:rFonts w:ascii="Times New Roman" w:hAnsi="Times New Roman" w:cs="Times New Roman"/>
          <w:sz w:val="28"/>
          <w:szCs w:val="28"/>
        </w:rPr>
        <w:t>Peto</w:t>
      </w:r>
      <w:proofErr w:type="spellEnd"/>
      <w:r w:rsidRPr="002A47C5">
        <w:rPr>
          <w:rFonts w:ascii="Times New Roman" w:hAnsi="Times New Roman" w:cs="Times New Roman"/>
          <w:sz w:val="28"/>
          <w:szCs w:val="28"/>
        </w:rPr>
        <w:t xml:space="preserve">, R., Collins, R., &amp; </w:t>
      </w:r>
      <w:proofErr w:type="spellStart"/>
      <w:r w:rsidRPr="002A47C5">
        <w:rPr>
          <w:rFonts w:ascii="Times New Roman" w:hAnsi="Times New Roman" w:cs="Times New Roman"/>
          <w:sz w:val="28"/>
          <w:szCs w:val="28"/>
        </w:rPr>
        <w:t>Simes</w:t>
      </w:r>
      <w:proofErr w:type="spellEnd"/>
      <w:r w:rsidRPr="002A47C5">
        <w:rPr>
          <w:rFonts w:ascii="Times New Roman" w:hAnsi="Times New Roman" w:cs="Times New Roman"/>
          <w:sz w:val="28"/>
          <w:szCs w:val="28"/>
        </w:rPr>
        <w:t xml:space="preserve">, R. (2005). Efficacy and safety of cholesterol-lowering treatment: Prospective meta-analysis of data from 90,056 participants in 14 randomised trials of statins. Lancet, 366(9493), 1267–1278. </w:t>
      </w:r>
      <w:hyperlink r:id="rId66" w:history="1">
        <w:r w:rsidRPr="00921B06">
          <w:rPr>
            <w:rStyle w:val="Hyperlink"/>
            <w:rFonts w:ascii="Times New Roman" w:hAnsi="Times New Roman" w:cs="Times New Roman"/>
            <w:sz w:val="28"/>
            <w:szCs w:val="28"/>
          </w:rPr>
          <w:t>https://doi.org/10.1016/S0140-6736(05)67394-1</w:t>
        </w:r>
      </w:hyperlink>
      <w:r>
        <w:rPr>
          <w:rFonts w:ascii="Times New Roman" w:hAnsi="Times New Roman" w:cs="Times New Roman"/>
          <w:sz w:val="28"/>
          <w:szCs w:val="28"/>
        </w:rPr>
        <w:t xml:space="preserve"> </w:t>
      </w:r>
      <w:r w:rsidR="000A6CCB" w:rsidRPr="00A3760C">
        <w:rPr>
          <w:rFonts w:ascii="Times New Roman" w:hAnsi="Times New Roman" w:cs="Times New Roman"/>
          <w:sz w:val="28"/>
          <w:szCs w:val="28"/>
        </w:rPr>
        <w:t xml:space="preserve"> </w:t>
      </w:r>
    </w:p>
    <w:p w14:paraId="11281692" w14:textId="4C3FBE18" w:rsidR="000A6CCB" w:rsidRDefault="005F0BBF" w:rsidP="000A6CCB">
      <w:pPr>
        <w:numPr>
          <w:ilvl w:val="0"/>
          <w:numId w:val="1"/>
        </w:numPr>
        <w:rPr>
          <w:rFonts w:ascii="Times New Roman" w:hAnsi="Times New Roman" w:cs="Times New Roman"/>
          <w:sz w:val="28"/>
          <w:szCs w:val="28"/>
        </w:rPr>
      </w:pPr>
      <w:r w:rsidRPr="005F0BBF">
        <w:rPr>
          <w:rFonts w:ascii="Times New Roman" w:hAnsi="Times New Roman" w:cs="Times New Roman"/>
          <w:sz w:val="28"/>
          <w:szCs w:val="28"/>
        </w:rPr>
        <w:t xml:space="preserve">Lauer, A., Greenberg, S. M., &amp; </w:t>
      </w:r>
      <w:proofErr w:type="spellStart"/>
      <w:r w:rsidRPr="005F0BBF">
        <w:rPr>
          <w:rFonts w:ascii="Times New Roman" w:hAnsi="Times New Roman" w:cs="Times New Roman"/>
          <w:sz w:val="28"/>
          <w:szCs w:val="28"/>
        </w:rPr>
        <w:t>Gurol</w:t>
      </w:r>
      <w:proofErr w:type="spellEnd"/>
      <w:r w:rsidRPr="005F0BBF">
        <w:rPr>
          <w:rFonts w:ascii="Times New Roman" w:hAnsi="Times New Roman" w:cs="Times New Roman"/>
          <w:sz w:val="28"/>
          <w:szCs w:val="28"/>
        </w:rPr>
        <w:t xml:space="preserve">, M. E. (2015). Statins in Intracerebral </w:t>
      </w:r>
      <w:proofErr w:type="spellStart"/>
      <w:r w:rsidRPr="005F0BBF">
        <w:rPr>
          <w:rFonts w:ascii="Times New Roman" w:hAnsi="Times New Roman" w:cs="Times New Roman"/>
          <w:sz w:val="28"/>
          <w:szCs w:val="28"/>
        </w:rPr>
        <w:t>Hemorrhage</w:t>
      </w:r>
      <w:proofErr w:type="spellEnd"/>
      <w:r w:rsidRPr="005F0BBF">
        <w:rPr>
          <w:rFonts w:ascii="Times New Roman" w:hAnsi="Times New Roman" w:cs="Times New Roman"/>
          <w:sz w:val="28"/>
          <w:szCs w:val="28"/>
        </w:rPr>
        <w:t xml:space="preserve">. Current Atherosclerosis Reports. </w:t>
      </w:r>
      <w:hyperlink r:id="rId67" w:history="1">
        <w:r w:rsidRPr="00921B06">
          <w:rPr>
            <w:rStyle w:val="Hyperlink"/>
            <w:rFonts w:ascii="Times New Roman" w:hAnsi="Times New Roman" w:cs="Times New Roman"/>
            <w:sz w:val="28"/>
            <w:szCs w:val="28"/>
          </w:rPr>
          <w:t>https://doi.org/10.1007/s11883-015-0526-5</w:t>
        </w:r>
      </w:hyperlink>
      <w:r>
        <w:rPr>
          <w:rFonts w:ascii="Times New Roman" w:hAnsi="Times New Roman" w:cs="Times New Roman"/>
          <w:sz w:val="28"/>
          <w:szCs w:val="28"/>
        </w:rPr>
        <w:t xml:space="preserve"> </w:t>
      </w:r>
    </w:p>
    <w:p w14:paraId="49F68DF2" w14:textId="763A002B" w:rsidR="000A6CCB" w:rsidRDefault="000B2ACB" w:rsidP="000A6CCB">
      <w:pPr>
        <w:numPr>
          <w:ilvl w:val="0"/>
          <w:numId w:val="1"/>
        </w:numPr>
        <w:rPr>
          <w:rFonts w:ascii="Times New Roman" w:hAnsi="Times New Roman" w:cs="Times New Roman"/>
          <w:sz w:val="28"/>
          <w:szCs w:val="28"/>
        </w:rPr>
      </w:pPr>
      <w:r w:rsidRPr="000B2ACB">
        <w:rPr>
          <w:rFonts w:ascii="Times New Roman" w:hAnsi="Times New Roman" w:cs="Times New Roman"/>
          <w:sz w:val="28"/>
          <w:szCs w:val="28"/>
        </w:rPr>
        <w:t xml:space="preserve">Goldstein, L. B., </w:t>
      </w:r>
      <w:proofErr w:type="spellStart"/>
      <w:r w:rsidRPr="000B2ACB">
        <w:rPr>
          <w:rFonts w:ascii="Times New Roman" w:hAnsi="Times New Roman" w:cs="Times New Roman"/>
          <w:sz w:val="28"/>
          <w:szCs w:val="28"/>
        </w:rPr>
        <w:t>Amarenco</w:t>
      </w:r>
      <w:proofErr w:type="spellEnd"/>
      <w:r w:rsidRPr="000B2ACB">
        <w:rPr>
          <w:rFonts w:ascii="Times New Roman" w:hAnsi="Times New Roman" w:cs="Times New Roman"/>
          <w:sz w:val="28"/>
          <w:szCs w:val="28"/>
        </w:rPr>
        <w:t xml:space="preserve">, P., </w:t>
      </w:r>
      <w:proofErr w:type="spellStart"/>
      <w:r w:rsidRPr="000B2ACB">
        <w:rPr>
          <w:rFonts w:ascii="Times New Roman" w:hAnsi="Times New Roman" w:cs="Times New Roman"/>
          <w:sz w:val="28"/>
          <w:szCs w:val="28"/>
        </w:rPr>
        <w:t>Szarek</w:t>
      </w:r>
      <w:proofErr w:type="spellEnd"/>
      <w:r w:rsidRPr="000B2ACB">
        <w:rPr>
          <w:rFonts w:ascii="Times New Roman" w:hAnsi="Times New Roman" w:cs="Times New Roman"/>
          <w:sz w:val="28"/>
          <w:szCs w:val="28"/>
        </w:rPr>
        <w:t xml:space="preserve">, M., Callahan, A., 3rd, </w:t>
      </w:r>
      <w:proofErr w:type="spellStart"/>
      <w:r w:rsidRPr="000B2ACB">
        <w:rPr>
          <w:rFonts w:ascii="Times New Roman" w:hAnsi="Times New Roman" w:cs="Times New Roman"/>
          <w:sz w:val="28"/>
          <w:szCs w:val="28"/>
        </w:rPr>
        <w:t>Hennerici</w:t>
      </w:r>
      <w:proofErr w:type="spellEnd"/>
      <w:r w:rsidRPr="000B2ACB">
        <w:rPr>
          <w:rFonts w:ascii="Times New Roman" w:hAnsi="Times New Roman" w:cs="Times New Roman"/>
          <w:sz w:val="28"/>
          <w:szCs w:val="28"/>
        </w:rPr>
        <w:t xml:space="preserve">, M., </w:t>
      </w:r>
      <w:proofErr w:type="spellStart"/>
      <w:r w:rsidRPr="000B2ACB">
        <w:rPr>
          <w:rFonts w:ascii="Times New Roman" w:hAnsi="Times New Roman" w:cs="Times New Roman"/>
          <w:sz w:val="28"/>
          <w:szCs w:val="28"/>
        </w:rPr>
        <w:t>Sillesen</w:t>
      </w:r>
      <w:proofErr w:type="spellEnd"/>
      <w:r w:rsidRPr="000B2ACB">
        <w:rPr>
          <w:rFonts w:ascii="Times New Roman" w:hAnsi="Times New Roman" w:cs="Times New Roman"/>
          <w:sz w:val="28"/>
          <w:szCs w:val="28"/>
        </w:rPr>
        <w:t xml:space="preserve">, H., </w:t>
      </w:r>
      <w:proofErr w:type="spellStart"/>
      <w:r w:rsidRPr="000B2ACB">
        <w:rPr>
          <w:rFonts w:ascii="Times New Roman" w:hAnsi="Times New Roman" w:cs="Times New Roman"/>
          <w:sz w:val="28"/>
          <w:szCs w:val="28"/>
        </w:rPr>
        <w:t>Zivin</w:t>
      </w:r>
      <w:proofErr w:type="spellEnd"/>
      <w:r w:rsidRPr="000B2ACB">
        <w:rPr>
          <w:rFonts w:ascii="Times New Roman" w:hAnsi="Times New Roman" w:cs="Times New Roman"/>
          <w:sz w:val="28"/>
          <w:szCs w:val="28"/>
        </w:rPr>
        <w:t xml:space="preserve">, J. A., &amp; Welch, K. M. A. (2008). </w:t>
      </w:r>
      <w:proofErr w:type="spellStart"/>
      <w:r w:rsidRPr="000B2ACB">
        <w:rPr>
          <w:rFonts w:ascii="Times New Roman" w:hAnsi="Times New Roman" w:cs="Times New Roman"/>
          <w:sz w:val="28"/>
          <w:szCs w:val="28"/>
        </w:rPr>
        <w:t>Hemorrhagic</w:t>
      </w:r>
      <w:proofErr w:type="spellEnd"/>
      <w:r w:rsidRPr="000B2ACB">
        <w:rPr>
          <w:rFonts w:ascii="Times New Roman" w:hAnsi="Times New Roman" w:cs="Times New Roman"/>
          <w:sz w:val="28"/>
          <w:szCs w:val="28"/>
        </w:rPr>
        <w:t xml:space="preserve"> stroke in the Stroke Prevention by Aggressive Reduction in Cholesterol Levels study. Neurology, 70(24 Pt 2), 2364–2370. </w:t>
      </w:r>
      <w:hyperlink r:id="rId68" w:history="1">
        <w:r w:rsidRPr="00921B06">
          <w:rPr>
            <w:rStyle w:val="Hyperlink"/>
            <w:rFonts w:ascii="Times New Roman" w:hAnsi="Times New Roman" w:cs="Times New Roman"/>
            <w:sz w:val="28"/>
            <w:szCs w:val="28"/>
          </w:rPr>
          <w:t>https://doi.org/10.1212/01.wnl.0000296277.63350.77</w:t>
        </w:r>
      </w:hyperlink>
      <w:r>
        <w:rPr>
          <w:rFonts w:ascii="Times New Roman" w:hAnsi="Times New Roman" w:cs="Times New Roman"/>
          <w:sz w:val="28"/>
          <w:szCs w:val="28"/>
        </w:rPr>
        <w:t xml:space="preserve"> </w:t>
      </w:r>
      <w:r w:rsidR="000A6CCB" w:rsidRPr="00B6686F">
        <w:rPr>
          <w:rFonts w:ascii="Times New Roman" w:hAnsi="Times New Roman" w:cs="Times New Roman"/>
          <w:sz w:val="28"/>
          <w:szCs w:val="28"/>
        </w:rPr>
        <w:t xml:space="preserve"> </w:t>
      </w:r>
    </w:p>
    <w:p w14:paraId="12B04B84" w14:textId="0FE3798D" w:rsidR="000A6CCB" w:rsidRDefault="00AD3360" w:rsidP="000A6CCB">
      <w:pPr>
        <w:numPr>
          <w:ilvl w:val="0"/>
          <w:numId w:val="1"/>
        </w:numPr>
        <w:rPr>
          <w:rFonts w:ascii="Times New Roman" w:hAnsi="Times New Roman" w:cs="Times New Roman"/>
          <w:sz w:val="28"/>
          <w:szCs w:val="28"/>
        </w:rPr>
      </w:pPr>
      <w:r w:rsidRPr="00AD3360">
        <w:rPr>
          <w:rFonts w:ascii="Times New Roman" w:hAnsi="Times New Roman" w:cs="Times New Roman"/>
          <w:sz w:val="28"/>
          <w:szCs w:val="28"/>
        </w:rPr>
        <w:t xml:space="preserve">Zhou, M. L., Zhu, L., Wang, J., Hang, C. H., &amp; Shi, J. X. (2007). The inflammation in the gut after experimental subarachnoid </w:t>
      </w:r>
      <w:proofErr w:type="spellStart"/>
      <w:r w:rsidRPr="00AD3360">
        <w:rPr>
          <w:rFonts w:ascii="Times New Roman" w:hAnsi="Times New Roman" w:cs="Times New Roman"/>
          <w:sz w:val="28"/>
          <w:szCs w:val="28"/>
        </w:rPr>
        <w:t>hemorrhage</w:t>
      </w:r>
      <w:proofErr w:type="spellEnd"/>
      <w:r w:rsidRPr="00AD3360">
        <w:rPr>
          <w:rFonts w:ascii="Times New Roman" w:hAnsi="Times New Roman" w:cs="Times New Roman"/>
          <w:sz w:val="28"/>
          <w:szCs w:val="28"/>
        </w:rPr>
        <w:t xml:space="preserve">. The Journal of Surgical Research, 137(1), 103–108. </w:t>
      </w:r>
      <w:hyperlink r:id="rId69" w:history="1">
        <w:r w:rsidRPr="00921B06">
          <w:rPr>
            <w:rStyle w:val="Hyperlink"/>
            <w:rFonts w:ascii="Times New Roman" w:hAnsi="Times New Roman" w:cs="Times New Roman"/>
            <w:sz w:val="28"/>
            <w:szCs w:val="28"/>
          </w:rPr>
          <w:t>https://doi.org/10.1016/j.jss.2006.06.023</w:t>
        </w:r>
      </w:hyperlink>
      <w:r>
        <w:rPr>
          <w:rFonts w:ascii="Times New Roman" w:hAnsi="Times New Roman" w:cs="Times New Roman"/>
          <w:sz w:val="28"/>
          <w:szCs w:val="28"/>
        </w:rPr>
        <w:t xml:space="preserve"> </w:t>
      </w:r>
      <w:r w:rsidR="000A6CCB" w:rsidRPr="00107D9A">
        <w:rPr>
          <w:rFonts w:ascii="Times New Roman" w:hAnsi="Times New Roman" w:cs="Times New Roman"/>
          <w:sz w:val="28"/>
          <w:szCs w:val="28"/>
        </w:rPr>
        <w:t xml:space="preserve"> </w:t>
      </w:r>
    </w:p>
    <w:p w14:paraId="104DCF30" w14:textId="410830B5" w:rsidR="000A6CCB" w:rsidRDefault="00AF16D8" w:rsidP="000A6CCB">
      <w:pPr>
        <w:numPr>
          <w:ilvl w:val="0"/>
          <w:numId w:val="1"/>
        </w:numPr>
        <w:rPr>
          <w:rFonts w:ascii="Times New Roman" w:hAnsi="Times New Roman" w:cs="Times New Roman"/>
          <w:sz w:val="28"/>
          <w:szCs w:val="28"/>
        </w:rPr>
      </w:pPr>
      <w:r w:rsidRPr="00AF16D8">
        <w:rPr>
          <w:rFonts w:ascii="Times New Roman" w:hAnsi="Times New Roman" w:cs="Times New Roman"/>
          <w:sz w:val="28"/>
          <w:szCs w:val="28"/>
        </w:rPr>
        <w:t xml:space="preserve">Manson, J. E., Colditz, G. A., </w:t>
      </w:r>
      <w:proofErr w:type="spellStart"/>
      <w:r w:rsidRPr="00AF16D8">
        <w:rPr>
          <w:rFonts w:ascii="Times New Roman" w:hAnsi="Times New Roman" w:cs="Times New Roman"/>
          <w:sz w:val="28"/>
          <w:szCs w:val="28"/>
        </w:rPr>
        <w:t>Stampfer</w:t>
      </w:r>
      <w:proofErr w:type="spellEnd"/>
      <w:r w:rsidRPr="00AF16D8">
        <w:rPr>
          <w:rFonts w:ascii="Times New Roman" w:hAnsi="Times New Roman" w:cs="Times New Roman"/>
          <w:sz w:val="28"/>
          <w:szCs w:val="28"/>
        </w:rPr>
        <w:t xml:space="preserve">, M. J., Willett, W. C., </w:t>
      </w:r>
      <w:proofErr w:type="spellStart"/>
      <w:r w:rsidRPr="00AF16D8">
        <w:rPr>
          <w:rFonts w:ascii="Times New Roman" w:hAnsi="Times New Roman" w:cs="Times New Roman"/>
          <w:sz w:val="28"/>
          <w:szCs w:val="28"/>
        </w:rPr>
        <w:t>Krolewski</w:t>
      </w:r>
      <w:proofErr w:type="spellEnd"/>
      <w:r w:rsidRPr="00AF16D8">
        <w:rPr>
          <w:rFonts w:ascii="Times New Roman" w:hAnsi="Times New Roman" w:cs="Times New Roman"/>
          <w:sz w:val="28"/>
          <w:szCs w:val="28"/>
        </w:rPr>
        <w:t xml:space="preserve">, A. S., Rosner, B., </w:t>
      </w:r>
      <w:proofErr w:type="spellStart"/>
      <w:r w:rsidRPr="00AF16D8">
        <w:rPr>
          <w:rFonts w:ascii="Times New Roman" w:hAnsi="Times New Roman" w:cs="Times New Roman"/>
          <w:sz w:val="28"/>
          <w:szCs w:val="28"/>
        </w:rPr>
        <w:t>Arky</w:t>
      </w:r>
      <w:proofErr w:type="spellEnd"/>
      <w:r w:rsidRPr="00AF16D8">
        <w:rPr>
          <w:rFonts w:ascii="Times New Roman" w:hAnsi="Times New Roman" w:cs="Times New Roman"/>
          <w:sz w:val="28"/>
          <w:szCs w:val="28"/>
        </w:rPr>
        <w:t xml:space="preserve">, R. A., </w:t>
      </w:r>
      <w:proofErr w:type="spellStart"/>
      <w:r w:rsidRPr="00AF16D8">
        <w:rPr>
          <w:rFonts w:ascii="Times New Roman" w:hAnsi="Times New Roman" w:cs="Times New Roman"/>
          <w:sz w:val="28"/>
          <w:szCs w:val="28"/>
        </w:rPr>
        <w:t>Speizer</w:t>
      </w:r>
      <w:proofErr w:type="spellEnd"/>
      <w:r w:rsidRPr="00AF16D8">
        <w:rPr>
          <w:rFonts w:ascii="Times New Roman" w:hAnsi="Times New Roman" w:cs="Times New Roman"/>
          <w:sz w:val="28"/>
          <w:szCs w:val="28"/>
        </w:rPr>
        <w:t xml:space="preserve">, F. E., &amp; </w:t>
      </w:r>
      <w:proofErr w:type="spellStart"/>
      <w:r w:rsidRPr="00AF16D8">
        <w:rPr>
          <w:rFonts w:ascii="Times New Roman" w:hAnsi="Times New Roman" w:cs="Times New Roman"/>
          <w:sz w:val="28"/>
          <w:szCs w:val="28"/>
        </w:rPr>
        <w:t>Hennekens</w:t>
      </w:r>
      <w:proofErr w:type="spellEnd"/>
      <w:r w:rsidRPr="00AF16D8">
        <w:rPr>
          <w:rFonts w:ascii="Times New Roman" w:hAnsi="Times New Roman" w:cs="Times New Roman"/>
          <w:sz w:val="28"/>
          <w:szCs w:val="28"/>
        </w:rPr>
        <w:t xml:space="preserve">, C. H. (1991). A prospective study of maturity-onset diabetes mellitus and risk of coronary heart disease and stroke in women. Archives of Internal Medicine, 151(6), 1141–1147. </w:t>
      </w:r>
      <w:hyperlink r:id="rId70" w:history="1">
        <w:r w:rsidRPr="00921B06">
          <w:rPr>
            <w:rStyle w:val="Hyperlink"/>
            <w:rFonts w:ascii="Times New Roman" w:hAnsi="Times New Roman" w:cs="Times New Roman"/>
            <w:sz w:val="28"/>
            <w:szCs w:val="28"/>
          </w:rPr>
          <w:t>https://pubmed.ncbi.nlm.nih.gov/2043016/</w:t>
        </w:r>
      </w:hyperlink>
      <w:r>
        <w:rPr>
          <w:rFonts w:ascii="Times New Roman" w:hAnsi="Times New Roman" w:cs="Times New Roman"/>
          <w:sz w:val="28"/>
          <w:szCs w:val="28"/>
        </w:rPr>
        <w:t xml:space="preserve"> </w:t>
      </w:r>
    </w:p>
    <w:p w14:paraId="14121BD0" w14:textId="28D39926" w:rsidR="000A6CCB" w:rsidRDefault="000F6B97" w:rsidP="000A6CCB">
      <w:pPr>
        <w:numPr>
          <w:ilvl w:val="0"/>
          <w:numId w:val="1"/>
        </w:numPr>
        <w:rPr>
          <w:rFonts w:ascii="Times New Roman" w:hAnsi="Times New Roman" w:cs="Times New Roman"/>
          <w:sz w:val="28"/>
          <w:szCs w:val="28"/>
        </w:rPr>
      </w:pPr>
      <w:proofErr w:type="spellStart"/>
      <w:r w:rsidRPr="000F6B97">
        <w:rPr>
          <w:rFonts w:ascii="Times New Roman" w:hAnsi="Times New Roman" w:cs="Times New Roman"/>
          <w:sz w:val="28"/>
          <w:szCs w:val="28"/>
        </w:rPr>
        <w:t>Rantakömi</w:t>
      </w:r>
      <w:proofErr w:type="spellEnd"/>
      <w:r w:rsidRPr="000F6B97">
        <w:rPr>
          <w:rFonts w:ascii="Times New Roman" w:hAnsi="Times New Roman" w:cs="Times New Roman"/>
          <w:sz w:val="28"/>
          <w:szCs w:val="28"/>
        </w:rPr>
        <w:t xml:space="preserve">, S. H., Laukkanen, J. A., </w:t>
      </w:r>
      <w:proofErr w:type="spellStart"/>
      <w:r w:rsidRPr="000F6B97">
        <w:rPr>
          <w:rFonts w:ascii="Times New Roman" w:hAnsi="Times New Roman" w:cs="Times New Roman"/>
          <w:sz w:val="28"/>
          <w:szCs w:val="28"/>
        </w:rPr>
        <w:t>Sivenius</w:t>
      </w:r>
      <w:proofErr w:type="spellEnd"/>
      <w:r w:rsidRPr="000F6B97">
        <w:rPr>
          <w:rFonts w:ascii="Times New Roman" w:hAnsi="Times New Roman" w:cs="Times New Roman"/>
          <w:sz w:val="28"/>
          <w:szCs w:val="28"/>
        </w:rPr>
        <w:t xml:space="preserve">, J., </w:t>
      </w:r>
      <w:proofErr w:type="spellStart"/>
      <w:r w:rsidRPr="000F6B97">
        <w:rPr>
          <w:rFonts w:ascii="Times New Roman" w:hAnsi="Times New Roman" w:cs="Times New Roman"/>
          <w:sz w:val="28"/>
          <w:szCs w:val="28"/>
        </w:rPr>
        <w:t>Kauhanen</w:t>
      </w:r>
      <w:proofErr w:type="spellEnd"/>
      <w:r w:rsidRPr="000F6B97">
        <w:rPr>
          <w:rFonts w:ascii="Times New Roman" w:hAnsi="Times New Roman" w:cs="Times New Roman"/>
          <w:sz w:val="28"/>
          <w:szCs w:val="28"/>
        </w:rPr>
        <w:t xml:space="preserve">, J., </w:t>
      </w:r>
      <w:proofErr w:type="spellStart"/>
      <w:r w:rsidRPr="000F6B97">
        <w:rPr>
          <w:rFonts w:ascii="Times New Roman" w:hAnsi="Times New Roman" w:cs="Times New Roman"/>
          <w:sz w:val="28"/>
          <w:szCs w:val="28"/>
        </w:rPr>
        <w:t>Kurl</w:t>
      </w:r>
      <w:proofErr w:type="spellEnd"/>
      <w:r w:rsidRPr="000F6B97">
        <w:rPr>
          <w:rFonts w:ascii="Times New Roman" w:hAnsi="Times New Roman" w:cs="Times New Roman"/>
          <w:sz w:val="28"/>
          <w:szCs w:val="28"/>
        </w:rPr>
        <w:t xml:space="preserve">, S. (2013). Alcohol consumption and the risk of stroke among hypertensive and overweight men. Journal of Neurology, 260(2), 534–539. </w:t>
      </w:r>
      <w:hyperlink r:id="rId71" w:history="1">
        <w:r w:rsidRPr="00921B06">
          <w:rPr>
            <w:rStyle w:val="Hyperlink"/>
            <w:rFonts w:ascii="Times New Roman" w:hAnsi="Times New Roman" w:cs="Times New Roman"/>
            <w:sz w:val="28"/>
            <w:szCs w:val="28"/>
          </w:rPr>
          <w:t>https://doi.org/10.1007/s00415-012-6672-6</w:t>
        </w:r>
      </w:hyperlink>
      <w:r>
        <w:rPr>
          <w:rFonts w:ascii="Times New Roman" w:hAnsi="Times New Roman" w:cs="Times New Roman"/>
          <w:sz w:val="28"/>
          <w:szCs w:val="28"/>
        </w:rPr>
        <w:t xml:space="preserve"> </w:t>
      </w:r>
    </w:p>
    <w:p w14:paraId="15C1B6F5" w14:textId="39D8C1C0" w:rsidR="000A6CCB" w:rsidRDefault="003727C3" w:rsidP="000A6CCB">
      <w:pPr>
        <w:numPr>
          <w:ilvl w:val="0"/>
          <w:numId w:val="1"/>
        </w:numPr>
        <w:rPr>
          <w:rFonts w:ascii="Times New Roman" w:hAnsi="Times New Roman" w:cs="Times New Roman"/>
          <w:sz w:val="28"/>
          <w:szCs w:val="28"/>
        </w:rPr>
      </w:pPr>
      <w:r w:rsidRPr="003727C3">
        <w:rPr>
          <w:rFonts w:ascii="Times New Roman" w:hAnsi="Times New Roman" w:cs="Times New Roman"/>
          <w:sz w:val="28"/>
          <w:szCs w:val="28"/>
        </w:rPr>
        <w:t xml:space="preserve">Taylor, B., Irving, H. M., Baliunas, D., </w:t>
      </w:r>
      <w:proofErr w:type="spellStart"/>
      <w:r w:rsidRPr="003727C3">
        <w:rPr>
          <w:rFonts w:ascii="Times New Roman" w:hAnsi="Times New Roman" w:cs="Times New Roman"/>
          <w:sz w:val="28"/>
          <w:szCs w:val="28"/>
        </w:rPr>
        <w:t>Roerecke</w:t>
      </w:r>
      <w:proofErr w:type="spellEnd"/>
      <w:r w:rsidRPr="003727C3">
        <w:rPr>
          <w:rFonts w:ascii="Times New Roman" w:hAnsi="Times New Roman" w:cs="Times New Roman"/>
          <w:sz w:val="28"/>
          <w:szCs w:val="28"/>
        </w:rPr>
        <w:t xml:space="preserve">, M., Patra, J., Mohapatra, S., &amp; Rehm, J. (2009). Alcohol and hypertension: Gender differences in dose-response relationships determined through systematic review and meta-analysis. Addiction, 104(12), 1981–1990. </w:t>
      </w:r>
      <w:hyperlink r:id="rId72" w:history="1">
        <w:r w:rsidRPr="00921B06">
          <w:rPr>
            <w:rStyle w:val="Hyperlink"/>
            <w:rFonts w:ascii="Times New Roman" w:hAnsi="Times New Roman" w:cs="Times New Roman"/>
            <w:sz w:val="28"/>
            <w:szCs w:val="28"/>
          </w:rPr>
          <w:t>https://doi.org/10.1111/j.1360-0443.2009.02694.x</w:t>
        </w:r>
      </w:hyperlink>
      <w:r>
        <w:rPr>
          <w:rFonts w:ascii="Times New Roman" w:hAnsi="Times New Roman" w:cs="Times New Roman"/>
          <w:sz w:val="28"/>
          <w:szCs w:val="28"/>
        </w:rPr>
        <w:t xml:space="preserve"> </w:t>
      </w:r>
    </w:p>
    <w:p w14:paraId="439497EA" w14:textId="62B270AF" w:rsidR="000A6CCB" w:rsidRDefault="00DB464C" w:rsidP="000A6CCB">
      <w:pPr>
        <w:numPr>
          <w:ilvl w:val="0"/>
          <w:numId w:val="1"/>
        </w:numPr>
        <w:rPr>
          <w:rFonts w:ascii="Times New Roman" w:hAnsi="Times New Roman" w:cs="Times New Roman"/>
          <w:sz w:val="28"/>
          <w:szCs w:val="28"/>
        </w:rPr>
      </w:pPr>
      <w:proofErr w:type="spellStart"/>
      <w:r w:rsidRPr="00DB464C">
        <w:rPr>
          <w:rFonts w:ascii="Times New Roman" w:hAnsi="Times New Roman" w:cs="Times New Roman"/>
          <w:sz w:val="28"/>
          <w:szCs w:val="28"/>
        </w:rPr>
        <w:t>Kaptoge</w:t>
      </w:r>
      <w:proofErr w:type="spellEnd"/>
      <w:r w:rsidRPr="00DB464C">
        <w:rPr>
          <w:rFonts w:ascii="Times New Roman" w:hAnsi="Times New Roman" w:cs="Times New Roman"/>
          <w:sz w:val="28"/>
          <w:szCs w:val="28"/>
        </w:rPr>
        <w:t xml:space="preserve">, S., Di </w:t>
      </w:r>
      <w:proofErr w:type="spellStart"/>
      <w:r w:rsidRPr="00DB464C">
        <w:rPr>
          <w:rFonts w:ascii="Times New Roman" w:hAnsi="Times New Roman" w:cs="Times New Roman"/>
          <w:sz w:val="28"/>
          <w:szCs w:val="28"/>
        </w:rPr>
        <w:t>Angelantonio</w:t>
      </w:r>
      <w:proofErr w:type="spellEnd"/>
      <w:r w:rsidRPr="00DB464C">
        <w:rPr>
          <w:rFonts w:ascii="Times New Roman" w:hAnsi="Times New Roman" w:cs="Times New Roman"/>
          <w:sz w:val="28"/>
          <w:szCs w:val="28"/>
        </w:rPr>
        <w:t xml:space="preserve">, E., Lowe, G., Pepys, M. B., Thompson, S. G., Collins, R., &amp; </w:t>
      </w:r>
      <w:proofErr w:type="spellStart"/>
      <w:r w:rsidRPr="00DB464C">
        <w:rPr>
          <w:rFonts w:ascii="Times New Roman" w:hAnsi="Times New Roman" w:cs="Times New Roman"/>
          <w:sz w:val="28"/>
          <w:szCs w:val="28"/>
        </w:rPr>
        <w:t>Danesh</w:t>
      </w:r>
      <w:proofErr w:type="spellEnd"/>
      <w:r w:rsidRPr="00DB464C">
        <w:rPr>
          <w:rFonts w:ascii="Times New Roman" w:hAnsi="Times New Roman" w:cs="Times New Roman"/>
          <w:sz w:val="28"/>
          <w:szCs w:val="28"/>
        </w:rPr>
        <w:t xml:space="preserve">, J. (2010). C-reactive protein concentration and risk of coronary heart disease, stroke, and mortality: An individual participant meta-analysis. Lancet, 375(9709), 132–140. </w:t>
      </w:r>
      <w:hyperlink r:id="rId73" w:history="1">
        <w:r w:rsidRPr="00921B06">
          <w:rPr>
            <w:rStyle w:val="Hyperlink"/>
            <w:rFonts w:ascii="Times New Roman" w:hAnsi="Times New Roman" w:cs="Times New Roman"/>
            <w:sz w:val="28"/>
            <w:szCs w:val="28"/>
          </w:rPr>
          <w:t>https://doi.org/10.1016/S0140-6736(09)61717-7</w:t>
        </w:r>
      </w:hyperlink>
      <w:r>
        <w:rPr>
          <w:rFonts w:ascii="Times New Roman" w:hAnsi="Times New Roman" w:cs="Times New Roman"/>
          <w:sz w:val="28"/>
          <w:szCs w:val="28"/>
        </w:rPr>
        <w:t xml:space="preserve"> </w:t>
      </w:r>
      <w:r w:rsidR="000A6CCB" w:rsidRPr="00937DB6">
        <w:rPr>
          <w:rFonts w:ascii="Times New Roman" w:hAnsi="Times New Roman" w:cs="Times New Roman"/>
          <w:sz w:val="28"/>
          <w:szCs w:val="28"/>
        </w:rPr>
        <w:t xml:space="preserve"> </w:t>
      </w:r>
    </w:p>
    <w:p w14:paraId="3694CDB7" w14:textId="4B5357EE" w:rsidR="000A6CCB" w:rsidRDefault="00297A9B" w:rsidP="000A6CCB">
      <w:pPr>
        <w:numPr>
          <w:ilvl w:val="0"/>
          <w:numId w:val="1"/>
        </w:numPr>
        <w:rPr>
          <w:rFonts w:ascii="Times New Roman" w:hAnsi="Times New Roman" w:cs="Times New Roman"/>
          <w:sz w:val="28"/>
          <w:szCs w:val="28"/>
        </w:rPr>
      </w:pPr>
      <w:r w:rsidRPr="00297A9B">
        <w:rPr>
          <w:rFonts w:ascii="Times New Roman" w:hAnsi="Times New Roman" w:cs="Times New Roman"/>
          <w:sz w:val="28"/>
          <w:szCs w:val="28"/>
        </w:rPr>
        <w:lastRenderedPageBreak/>
        <w:t xml:space="preserve">Elkind, M. S. V. (2007). Why now? Moving from stroke risk factors to stroke triggers. Current Opinion in Neurology, 20(1), 51–57. </w:t>
      </w:r>
      <w:hyperlink r:id="rId74" w:history="1">
        <w:r w:rsidRPr="00921B06">
          <w:rPr>
            <w:rStyle w:val="Hyperlink"/>
            <w:rFonts w:ascii="Times New Roman" w:hAnsi="Times New Roman" w:cs="Times New Roman"/>
            <w:sz w:val="28"/>
            <w:szCs w:val="28"/>
          </w:rPr>
          <w:t>https://doi.org/10.1097/WCO.0b013e328012da75</w:t>
        </w:r>
      </w:hyperlink>
      <w:r>
        <w:rPr>
          <w:rFonts w:ascii="Times New Roman" w:hAnsi="Times New Roman" w:cs="Times New Roman"/>
          <w:sz w:val="28"/>
          <w:szCs w:val="28"/>
        </w:rPr>
        <w:t xml:space="preserve"> </w:t>
      </w:r>
      <w:r w:rsidR="000A6CCB" w:rsidRPr="00E329B0">
        <w:rPr>
          <w:rFonts w:ascii="Times New Roman" w:hAnsi="Times New Roman" w:cs="Times New Roman"/>
          <w:sz w:val="28"/>
          <w:szCs w:val="28"/>
        </w:rPr>
        <w:t xml:space="preserve"> </w:t>
      </w:r>
    </w:p>
    <w:p w14:paraId="05A4B9EE" w14:textId="0FD74A84" w:rsidR="000A6CCB" w:rsidRDefault="00B75E45" w:rsidP="000A6CCB">
      <w:pPr>
        <w:numPr>
          <w:ilvl w:val="0"/>
          <w:numId w:val="1"/>
        </w:numPr>
        <w:rPr>
          <w:rFonts w:ascii="Times New Roman" w:hAnsi="Times New Roman" w:cs="Times New Roman"/>
          <w:sz w:val="28"/>
          <w:szCs w:val="28"/>
        </w:rPr>
      </w:pPr>
      <w:r w:rsidRPr="00B75E45">
        <w:rPr>
          <w:rFonts w:ascii="Times New Roman" w:hAnsi="Times New Roman" w:cs="Times New Roman"/>
          <w:sz w:val="28"/>
          <w:szCs w:val="28"/>
        </w:rPr>
        <w:t xml:space="preserve">Lo, E. H., </w:t>
      </w:r>
      <w:proofErr w:type="spellStart"/>
      <w:r w:rsidRPr="00B75E45">
        <w:rPr>
          <w:rFonts w:ascii="Times New Roman" w:hAnsi="Times New Roman" w:cs="Times New Roman"/>
          <w:sz w:val="28"/>
          <w:szCs w:val="28"/>
        </w:rPr>
        <w:t>Dalkara</w:t>
      </w:r>
      <w:proofErr w:type="spellEnd"/>
      <w:r w:rsidRPr="00B75E45">
        <w:rPr>
          <w:rFonts w:ascii="Times New Roman" w:hAnsi="Times New Roman" w:cs="Times New Roman"/>
          <w:sz w:val="28"/>
          <w:szCs w:val="28"/>
        </w:rPr>
        <w:t xml:space="preserve">, T., &amp; Moskowitz, M. A. (2003). Mechanisms, challenges and opportunities in stroke. Nature Reviews Neuroscience, 4(5), 399-415. </w:t>
      </w:r>
      <w:hyperlink r:id="rId75" w:history="1">
        <w:r w:rsidRPr="00921B06">
          <w:rPr>
            <w:rStyle w:val="Hyperlink"/>
            <w:rFonts w:ascii="Times New Roman" w:hAnsi="Times New Roman" w:cs="Times New Roman"/>
            <w:sz w:val="28"/>
            <w:szCs w:val="28"/>
          </w:rPr>
          <w:t>https://doi.org/10.1038/nrn1106</w:t>
        </w:r>
      </w:hyperlink>
      <w:r>
        <w:rPr>
          <w:rFonts w:ascii="Times New Roman" w:hAnsi="Times New Roman" w:cs="Times New Roman"/>
          <w:sz w:val="28"/>
          <w:szCs w:val="28"/>
        </w:rPr>
        <w:t xml:space="preserve"> </w:t>
      </w:r>
    </w:p>
    <w:p w14:paraId="1B7D87C6" w14:textId="589409F0" w:rsidR="000A6CCB" w:rsidRDefault="00B7747A" w:rsidP="000A6CCB">
      <w:pPr>
        <w:numPr>
          <w:ilvl w:val="0"/>
          <w:numId w:val="1"/>
        </w:numPr>
        <w:rPr>
          <w:rFonts w:ascii="Times New Roman" w:hAnsi="Times New Roman" w:cs="Times New Roman"/>
          <w:sz w:val="28"/>
          <w:szCs w:val="28"/>
        </w:rPr>
      </w:pPr>
      <w:r w:rsidRPr="00B7747A">
        <w:rPr>
          <w:rFonts w:ascii="Times New Roman" w:hAnsi="Times New Roman" w:cs="Times New Roman"/>
          <w:sz w:val="28"/>
          <w:szCs w:val="28"/>
        </w:rPr>
        <w:t xml:space="preserve">Mansour, M. (2023). Reperfusion Therapies in Acute Ischemic Stroke Beyond the Conventional Time Window: A Narrative Review. </w:t>
      </w:r>
      <w:proofErr w:type="spellStart"/>
      <w:r w:rsidRPr="00B7747A">
        <w:rPr>
          <w:rFonts w:ascii="Times New Roman" w:hAnsi="Times New Roman" w:cs="Times New Roman"/>
          <w:sz w:val="28"/>
          <w:szCs w:val="28"/>
        </w:rPr>
        <w:t>Cureus</w:t>
      </w:r>
      <w:proofErr w:type="spellEnd"/>
      <w:r w:rsidRPr="00B7747A">
        <w:rPr>
          <w:rFonts w:ascii="Times New Roman" w:hAnsi="Times New Roman" w:cs="Times New Roman"/>
          <w:sz w:val="28"/>
          <w:szCs w:val="28"/>
        </w:rPr>
        <w:t xml:space="preserve">, 15(9), e45864. </w:t>
      </w:r>
      <w:hyperlink r:id="rId76" w:history="1">
        <w:r w:rsidRPr="00921B06">
          <w:rPr>
            <w:rStyle w:val="Hyperlink"/>
            <w:rFonts w:ascii="Times New Roman" w:hAnsi="Times New Roman" w:cs="Times New Roman"/>
            <w:sz w:val="28"/>
            <w:szCs w:val="28"/>
          </w:rPr>
          <w:t>https://doi.org/10.7759/cureus.45864</w:t>
        </w:r>
      </w:hyperlink>
      <w:r>
        <w:rPr>
          <w:rFonts w:ascii="Times New Roman" w:hAnsi="Times New Roman" w:cs="Times New Roman"/>
          <w:sz w:val="28"/>
          <w:szCs w:val="28"/>
        </w:rPr>
        <w:t xml:space="preserve"> </w:t>
      </w:r>
      <w:r w:rsidR="000A6CCB" w:rsidRPr="006C607C">
        <w:rPr>
          <w:rFonts w:ascii="Times New Roman" w:hAnsi="Times New Roman" w:cs="Times New Roman"/>
          <w:sz w:val="28"/>
          <w:szCs w:val="28"/>
        </w:rPr>
        <w:t xml:space="preserve"> </w:t>
      </w:r>
    </w:p>
    <w:p w14:paraId="39CE8621" w14:textId="4AF494BF" w:rsidR="000A6CCB" w:rsidRDefault="00702E85" w:rsidP="000A6CCB">
      <w:pPr>
        <w:numPr>
          <w:ilvl w:val="0"/>
          <w:numId w:val="1"/>
        </w:numPr>
        <w:rPr>
          <w:rFonts w:ascii="Times New Roman" w:hAnsi="Times New Roman" w:cs="Times New Roman"/>
          <w:sz w:val="28"/>
          <w:szCs w:val="28"/>
        </w:rPr>
      </w:pPr>
      <w:proofErr w:type="spellStart"/>
      <w:r w:rsidRPr="00702E85">
        <w:rPr>
          <w:rFonts w:ascii="Times New Roman" w:hAnsi="Times New Roman" w:cs="Times New Roman"/>
          <w:sz w:val="28"/>
          <w:szCs w:val="28"/>
        </w:rPr>
        <w:t>Heiss</w:t>
      </w:r>
      <w:proofErr w:type="spellEnd"/>
      <w:r w:rsidRPr="00702E85">
        <w:rPr>
          <w:rFonts w:ascii="Times New Roman" w:hAnsi="Times New Roman" w:cs="Times New Roman"/>
          <w:sz w:val="28"/>
          <w:szCs w:val="28"/>
        </w:rPr>
        <w:t xml:space="preserve">, W. D., &amp; Graf, R. (1994). The ischemic penumbra. Current Opinion in Neurology, 7(1), 11-19. </w:t>
      </w:r>
      <w:hyperlink r:id="rId77" w:history="1">
        <w:r w:rsidRPr="00921B06">
          <w:rPr>
            <w:rStyle w:val="Hyperlink"/>
            <w:rFonts w:ascii="Times New Roman" w:hAnsi="Times New Roman" w:cs="Times New Roman"/>
            <w:sz w:val="28"/>
            <w:szCs w:val="28"/>
          </w:rPr>
          <w:t>https://doi.org/10.1097/00019052-199402000-00004</w:t>
        </w:r>
      </w:hyperlink>
      <w:r>
        <w:rPr>
          <w:rFonts w:ascii="Times New Roman" w:hAnsi="Times New Roman" w:cs="Times New Roman"/>
          <w:sz w:val="28"/>
          <w:szCs w:val="28"/>
        </w:rPr>
        <w:t xml:space="preserve"> </w:t>
      </w:r>
    </w:p>
    <w:p w14:paraId="42FC799A" w14:textId="0CB85E70" w:rsidR="000A6CCB" w:rsidRPr="00C633CB" w:rsidRDefault="00592F83" w:rsidP="000A6CCB">
      <w:pPr>
        <w:numPr>
          <w:ilvl w:val="0"/>
          <w:numId w:val="1"/>
        </w:numPr>
        <w:rPr>
          <w:rFonts w:ascii="Times New Roman" w:hAnsi="Times New Roman" w:cs="Times New Roman"/>
          <w:sz w:val="28"/>
          <w:szCs w:val="28"/>
        </w:rPr>
      </w:pPr>
      <w:proofErr w:type="spellStart"/>
      <w:r w:rsidRPr="00592F83">
        <w:rPr>
          <w:rFonts w:ascii="Times New Roman" w:hAnsi="Times New Roman" w:cs="Times New Roman"/>
          <w:sz w:val="28"/>
          <w:szCs w:val="28"/>
        </w:rPr>
        <w:t>Thomalla</w:t>
      </w:r>
      <w:proofErr w:type="spellEnd"/>
      <w:r w:rsidRPr="00592F83">
        <w:rPr>
          <w:rFonts w:ascii="Times New Roman" w:hAnsi="Times New Roman" w:cs="Times New Roman"/>
          <w:sz w:val="28"/>
          <w:szCs w:val="28"/>
        </w:rPr>
        <w:t xml:space="preserve">, G., Cheng, B., </w:t>
      </w:r>
      <w:proofErr w:type="spellStart"/>
      <w:r w:rsidRPr="00592F83">
        <w:rPr>
          <w:rFonts w:ascii="Times New Roman" w:hAnsi="Times New Roman" w:cs="Times New Roman"/>
          <w:sz w:val="28"/>
          <w:szCs w:val="28"/>
        </w:rPr>
        <w:t>Ebinger</w:t>
      </w:r>
      <w:proofErr w:type="spellEnd"/>
      <w:r w:rsidRPr="00592F83">
        <w:rPr>
          <w:rFonts w:ascii="Times New Roman" w:hAnsi="Times New Roman" w:cs="Times New Roman"/>
          <w:sz w:val="28"/>
          <w:szCs w:val="28"/>
        </w:rPr>
        <w:t xml:space="preserve">, M., Hao, Q., </w:t>
      </w:r>
      <w:proofErr w:type="spellStart"/>
      <w:r w:rsidRPr="00592F83">
        <w:rPr>
          <w:rFonts w:ascii="Times New Roman" w:hAnsi="Times New Roman" w:cs="Times New Roman"/>
          <w:sz w:val="28"/>
          <w:szCs w:val="28"/>
        </w:rPr>
        <w:t>Tourdias</w:t>
      </w:r>
      <w:proofErr w:type="spellEnd"/>
      <w:r w:rsidRPr="00592F83">
        <w:rPr>
          <w:rFonts w:ascii="Times New Roman" w:hAnsi="Times New Roman" w:cs="Times New Roman"/>
          <w:sz w:val="28"/>
          <w:szCs w:val="28"/>
        </w:rPr>
        <w:t xml:space="preserve">, T., Wu, O., et al. (2011). DWI-FLAIR mismatch for the identification of patients with acute ischaemic stroke within 4·5 h of symptom onset (PRE-FLAIR): a multicentre observational study. Lancet Neurology, 10(11), 978-986. </w:t>
      </w:r>
      <w:hyperlink r:id="rId78" w:history="1">
        <w:r w:rsidRPr="00921B06">
          <w:rPr>
            <w:rStyle w:val="Hyperlink"/>
            <w:rFonts w:ascii="Times New Roman" w:hAnsi="Times New Roman" w:cs="Times New Roman"/>
            <w:sz w:val="28"/>
            <w:szCs w:val="28"/>
          </w:rPr>
          <w:t>https://doi.org/10.1016/S1474-4422(11)70192-2</w:t>
        </w:r>
      </w:hyperlink>
      <w:r>
        <w:rPr>
          <w:rFonts w:ascii="Times New Roman" w:hAnsi="Times New Roman" w:cs="Times New Roman"/>
          <w:sz w:val="28"/>
          <w:szCs w:val="28"/>
        </w:rPr>
        <w:t xml:space="preserve"> </w:t>
      </w:r>
    </w:p>
    <w:p w14:paraId="6AD1EC13" w14:textId="77777777" w:rsidR="000A6CCB" w:rsidRDefault="000A6CCB" w:rsidP="000A6CCB">
      <w:pPr>
        <w:rPr>
          <w:rFonts w:ascii="Times New Roman" w:hAnsi="Times New Roman" w:cs="Times New Roman"/>
          <w:sz w:val="28"/>
          <w:szCs w:val="28"/>
        </w:rPr>
      </w:pPr>
    </w:p>
    <w:p w14:paraId="125A7AA8" w14:textId="77777777" w:rsidR="000A6CCB" w:rsidRPr="00C633CB" w:rsidRDefault="000A6CCB" w:rsidP="000A6CCB">
      <w:pPr>
        <w:rPr>
          <w:rFonts w:ascii="Times New Roman" w:hAnsi="Times New Roman" w:cs="Times New Roman"/>
          <w:sz w:val="28"/>
          <w:szCs w:val="28"/>
        </w:rPr>
      </w:pPr>
    </w:p>
    <w:p w14:paraId="34204C49" w14:textId="77777777" w:rsidR="000A6CCB" w:rsidRPr="00C633CB" w:rsidRDefault="000A6CCB" w:rsidP="000A6CCB"/>
    <w:p w14:paraId="561B4A69" w14:textId="77777777" w:rsidR="000A6CCB" w:rsidRPr="00B30612" w:rsidRDefault="000A6CCB" w:rsidP="000A6CCB">
      <w:pPr>
        <w:rPr>
          <w:rFonts w:ascii="Times New Roman" w:hAnsi="Times New Roman" w:cs="Times New Roman"/>
          <w:sz w:val="28"/>
          <w:szCs w:val="28"/>
        </w:rPr>
      </w:pPr>
    </w:p>
    <w:p w14:paraId="42F856A3" w14:textId="77777777" w:rsidR="0075176F" w:rsidRPr="00C633CB" w:rsidRDefault="0075176F"/>
    <w:sectPr w:rsidR="0075176F" w:rsidRPr="00C633CB">
      <w:headerReference w:type="even" r:id="rId79"/>
      <w:headerReference w:type="default" r:id="rId80"/>
      <w:footerReference w:type="even" r:id="rId81"/>
      <w:footerReference w:type="default" r:id="rId82"/>
      <w:headerReference w:type="first" r:id="rId83"/>
      <w:footerReference w:type="first" r:id="rId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5C2D" w14:textId="77777777" w:rsidR="00AD53E7" w:rsidRDefault="00AD53E7" w:rsidP="0042621B">
      <w:pPr>
        <w:spacing w:after="0" w:line="240" w:lineRule="auto"/>
      </w:pPr>
      <w:r>
        <w:separator/>
      </w:r>
    </w:p>
  </w:endnote>
  <w:endnote w:type="continuationSeparator" w:id="0">
    <w:p w14:paraId="6FD47911" w14:textId="77777777" w:rsidR="00AD53E7" w:rsidRDefault="00AD53E7" w:rsidP="0042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BFE59" w14:textId="77777777" w:rsidR="0042621B" w:rsidRDefault="0042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92B4" w14:textId="77777777" w:rsidR="0042621B" w:rsidRDefault="00426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E9B1E" w14:textId="77777777" w:rsidR="0042621B" w:rsidRDefault="00426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9351" w14:textId="77777777" w:rsidR="00AD53E7" w:rsidRDefault="00AD53E7" w:rsidP="0042621B">
      <w:pPr>
        <w:spacing w:after="0" w:line="240" w:lineRule="auto"/>
      </w:pPr>
      <w:r>
        <w:separator/>
      </w:r>
    </w:p>
  </w:footnote>
  <w:footnote w:type="continuationSeparator" w:id="0">
    <w:p w14:paraId="60ACCC6E" w14:textId="77777777" w:rsidR="00AD53E7" w:rsidRDefault="00AD53E7" w:rsidP="0042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6244" w14:textId="1BDC1AA2" w:rsidR="0042621B" w:rsidRDefault="0042621B">
    <w:pPr>
      <w:pStyle w:val="Header"/>
    </w:pPr>
    <w:r>
      <w:rPr>
        <w:noProof/>
      </w:rPr>
      <w:pict w14:anchorId="5045AB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D0A85" w14:textId="0AC70633" w:rsidR="0042621B" w:rsidRDefault="0042621B">
    <w:pPr>
      <w:pStyle w:val="Header"/>
    </w:pPr>
    <w:r>
      <w:rPr>
        <w:noProof/>
      </w:rPr>
      <w:pict w14:anchorId="11A1E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0BEA" w14:textId="4D1DC10F" w:rsidR="0042621B" w:rsidRDefault="0042621B">
    <w:pPr>
      <w:pStyle w:val="Header"/>
    </w:pPr>
    <w:r>
      <w:rPr>
        <w:noProof/>
      </w:rPr>
      <w:pict w14:anchorId="3BDA9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639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402648"/>
    <w:multiLevelType w:val="hybridMultilevel"/>
    <w:tmpl w:val="EAF69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0D13E7"/>
    <w:multiLevelType w:val="hybridMultilevel"/>
    <w:tmpl w:val="6234BD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8772C1"/>
    <w:multiLevelType w:val="multilevel"/>
    <w:tmpl w:val="2A6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64"/>
    <w:rsid w:val="00023123"/>
    <w:rsid w:val="000379B4"/>
    <w:rsid w:val="000627E4"/>
    <w:rsid w:val="000748D0"/>
    <w:rsid w:val="0009751C"/>
    <w:rsid w:val="000A4A8D"/>
    <w:rsid w:val="000A6C21"/>
    <w:rsid w:val="000A6CCB"/>
    <w:rsid w:val="000B10E2"/>
    <w:rsid w:val="000B2ACB"/>
    <w:rsid w:val="000B4D61"/>
    <w:rsid w:val="000F1861"/>
    <w:rsid w:val="000F6B97"/>
    <w:rsid w:val="00106CC6"/>
    <w:rsid w:val="0014411C"/>
    <w:rsid w:val="00145871"/>
    <w:rsid w:val="00156F7D"/>
    <w:rsid w:val="00164AC9"/>
    <w:rsid w:val="001668DC"/>
    <w:rsid w:val="00166ABB"/>
    <w:rsid w:val="001677E6"/>
    <w:rsid w:val="001A0435"/>
    <w:rsid w:val="001B635A"/>
    <w:rsid w:val="001C2FE8"/>
    <w:rsid w:val="00200A64"/>
    <w:rsid w:val="002054EF"/>
    <w:rsid w:val="0021279A"/>
    <w:rsid w:val="0026546E"/>
    <w:rsid w:val="00272206"/>
    <w:rsid w:val="00287C6B"/>
    <w:rsid w:val="00297658"/>
    <w:rsid w:val="00297A9B"/>
    <w:rsid w:val="002A11B8"/>
    <w:rsid w:val="002A47C5"/>
    <w:rsid w:val="002B231A"/>
    <w:rsid w:val="002C2742"/>
    <w:rsid w:val="002C4BF4"/>
    <w:rsid w:val="002E6080"/>
    <w:rsid w:val="002F135A"/>
    <w:rsid w:val="002F25C8"/>
    <w:rsid w:val="00302460"/>
    <w:rsid w:val="00303945"/>
    <w:rsid w:val="003558F2"/>
    <w:rsid w:val="00370E2A"/>
    <w:rsid w:val="003727C3"/>
    <w:rsid w:val="00375776"/>
    <w:rsid w:val="00377ED7"/>
    <w:rsid w:val="003904AB"/>
    <w:rsid w:val="00393AD6"/>
    <w:rsid w:val="003A67AC"/>
    <w:rsid w:val="003B6D2F"/>
    <w:rsid w:val="003B7DE0"/>
    <w:rsid w:val="003F4377"/>
    <w:rsid w:val="00412E9D"/>
    <w:rsid w:val="004201A2"/>
    <w:rsid w:val="0042071D"/>
    <w:rsid w:val="0042621B"/>
    <w:rsid w:val="0044652C"/>
    <w:rsid w:val="00450F4D"/>
    <w:rsid w:val="0046417C"/>
    <w:rsid w:val="0048252A"/>
    <w:rsid w:val="004908BB"/>
    <w:rsid w:val="004A465F"/>
    <w:rsid w:val="004B72A1"/>
    <w:rsid w:val="004C03D1"/>
    <w:rsid w:val="004C070C"/>
    <w:rsid w:val="004E7D6D"/>
    <w:rsid w:val="004F4180"/>
    <w:rsid w:val="00506035"/>
    <w:rsid w:val="00517003"/>
    <w:rsid w:val="00576998"/>
    <w:rsid w:val="00577DBA"/>
    <w:rsid w:val="00587C44"/>
    <w:rsid w:val="00592F83"/>
    <w:rsid w:val="00596A3A"/>
    <w:rsid w:val="005C5D90"/>
    <w:rsid w:val="005D08CE"/>
    <w:rsid w:val="005D6B2E"/>
    <w:rsid w:val="005F0BBF"/>
    <w:rsid w:val="00621B76"/>
    <w:rsid w:val="00622B2A"/>
    <w:rsid w:val="00634C8F"/>
    <w:rsid w:val="00666E5E"/>
    <w:rsid w:val="006A2145"/>
    <w:rsid w:val="006B6054"/>
    <w:rsid w:val="006B7396"/>
    <w:rsid w:val="006D2048"/>
    <w:rsid w:val="006F23B0"/>
    <w:rsid w:val="00702E85"/>
    <w:rsid w:val="00703805"/>
    <w:rsid w:val="00703B41"/>
    <w:rsid w:val="00716BAB"/>
    <w:rsid w:val="007171C3"/>
    <w:rsid w:val="00723FCB"/>
    <w:rsid w:val="00734BA6"/>
    <w:rsid w:val="007428E2"/>
    <w:rsid w:val="00750C95"/>
    <w:rsid w:val="0075176F"/>
    <w:rsid w:val="0075465B"/>
    <w:rsid w:val="007B2D82"/>
    <w:rsid w:val="007C2A1F"/>
    <w:rsid w:val="007F1A69"/>
    <w:rsid w:val="0084080D"/>
    <w:rsid w:val="00845840"/>
    <w:rsid w:val="008575A5"/>
    <w:rsid w:val="00880D64"/>
    <w:rsid w:val="008A03A3"/>
    <w:rsid w:val="008C13B1"/>
    <w:rsid w:val="008C627C"/>
    <w:rsid w:val="008F2D10"/>
    <w:rsid w:val="009241A4"/>
    <w:rsid w:val="00931FC9"/>
    <w:rsid w:val="00936EE8"/>
    <w:rsid w:val="00945C32"/>
    <w:rsid w:val="00967513"/>
    <w:rsid w:val="00972B4B"/>
    <w:rsid w:val="009C01AB"/>
    <w:rsid w:val="009C14F0"/>
    <w:rsid w:val="009C31BD"/>
    <w:rsid w:val="009E72BA"/>
    <w:rsid w:val="009F4A5F"/>
    <w:rsid w:val="009F7362"/>
    <w:rsid w:val="00A245F3"/>
    <w:rsid w:val="00A57BFA"/>
    <w:rsid w:val="00A84387"/>
    <w:rsid w:val="00A91348"/>
    <w:rsid w:val="00AA7433"/>
    <w:rsid w:val="00AB325A"/>
    <w:rsid w:val="00AD3360"/>
    <w:rsid w:val="00AD53E7"/>
    <w:rsid w:val="00AF05E8"/>
    <w:rsid w:val="00AF16D8"/>
    <w:rsid w:val="00B001FB"/>
    <w:rsid w:val="00B13B76"/>
    <w:rsid w:val="00B162CE"/>
    <w:rsid w:val="00B22790"/>
    <w:rsid w:val="00B23AF6"/>
    <w:rsid w:val="00B43766"/>
    <w:rsid w:val="00B51E54"/>
    <w:rsid w:val="00B57A7E"/>
    <w:rsid w:val="00B6658E"/>
    <w:rsid w:val="00B75E45"/>
    <w:rsid w:val="00B7747A"/>
    <w:rsid w:val="00BB3E29"/>
    <w:rsid w:val="00BB51C1"/>
    <w:rsid w:val="00C03CC2"/>
    <w:rsid w:val="00C04D37"/>
    <w:rsid w:val="00C50BF6"/>
    <w:rsid w:val="00C633CB"/>
    <w:rsid w:val="00C6567A"/>
    <w:rsid w:val="00C72913"/>
    <w:rsid w:val="00CA6AAB"/>
    <w:rsid w:val="00CA7339"/>
    <w:rsid w:val="00CC2B11"/>
    <w:rsid w:val="00CF6AF6"/>
    <w:rsid w:val="00D06C5D"/>
    <w:rsid w:val="00D13C11"/>
    <w:rsid w:val="00DB464C"/>
    <w:rsid w:val="00DC0742"/>
    <w:rsid w:val="00E076B9"/>
    <w:rsid w:val="00E1227F"/>
    <w:rsid w:val="00E201ED"/>
    <w:rsid w:val="00E36336"/>
    <w:rsid w:val="00E3684F"/>
    <w:rsid w:val="00E553BF"/>
    <w:rsid w:val="00E600B3"/>
    <w:rsid w:val="00E74111"/>
    <w:rsid w:val="00E80E5D"/>
    <w:rsid w:val="00E91907"/>
    <w:rsid w:val="00EB0051"/>
    <w:rsid w:val="00EB7A73"/>
    <w:rsid w:val="00EC2ED8"/>
    <w:rsid w:val="00EC48F0"/>
    <w:rsid w:val="00EE58CA"/>
    <w:rsid w:val="00F02D84"/>
    <w:rsid w:val="00F0351A"/>
    <w:rsid w:val="00F12905"/>
    <w:rsid w:val="00F31EF6"/>
    <w:rsid w:val="00F54FB0"/>
    <w:rsid w:val="00F62602"/>
    <w:rsid w:val="00F8551D"/>
    <w:rsid w:val="00F94B21"/>
    <w:rsid w:val="00F95A21"/>
    <w:rsid w:val="00F9731E"/>
    <w:rsid w:val="00FD02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5AFD3"/>
  <w15:chartTrackingRefBased/>
  <w15:docId w15:val="{6FB325CE-32FC-45FC-9330-8835EB90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A64"/>
  </w:style>
  <w:style w:type="paragraph" w:styleId="Heading1">
    <w:name w:val="heading 1"/>
    <w:basedOn w:val="Normal"/>
    <w:next w:val="Normal"/>
    <w:link w:val="Heading1Char"/>
    <w:uiPriority w:val="9"/>
    <w:qFormat/>
    <w:rsid w:val="00200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64"/>
    <w:rPr>
      <w:rFonts w:eastAsiaTheme="majorEastAsia" w:cstheme="majorBidi"/>
      <w:color w:val="272727" w:themeColor="text1" w:themeTint="D8"/>
    </w:rPr>
  </w:style>
  <w:style w:type="paragraph" w:styleId="Title">
    <w:name w:val="Title"/>
    <w:basedOn w:val="Normal"/>
    <w:next w:val="Normal"/>
    <w:link w:val="TitleChar"/>
    <w:uiPriority w:val="10"/>
    <w:qFormat/>
    <w:rsid w:val="00200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64"/>
    <w:pPr>
      <w:spacing w:before="160"/>
      <w:jc w:val="center"/>
    </w:pPr>
    <w:rPr>
      <w:i/>
      <w:iCs/>
      <w:color w:val="404040" w:themeColor="text1" w:themeTint="BF"/>
    </w:rPr>
  </w:style>
  <w:style w:type="character" w:customStyle="1" w:styleId="QuoteChar">
    <w:name w:val="Quote Char"/>
    <w:basedOn w:val="DefaultParagraphFont"/>
    <w:link w:val="Quote"/>
    <w:uiPriority w:val="29"/>
    <w:rsid w:val="00200A64"/>
    <w:rPr>
      <w:i/>
      <w:iCs/>
      <w:color w:val="404040" w:themeColor="text1" w:themeTint="BF"/>
    </w:rPr>
  </w:style>
  <w:style w:type="paragraph" w:styleId="ListParagraph">
    <w:name w:val="List Paragraph"/>
    <w:basedOn w:val="Normal"/>
    <w:uiPriority w:val="34"/>
    <w:qFormat/>
    <w:rsid w:val="00200A64"/>
    <w:pPr>
      <w:ind w:left="720"/>
      <w:contextualSpacing/>
    </w:pPr>
  </w:style>
  <w:style w:type="character" w:styleId="IntenseEmphasis">
    <w:name w:val="Intense Emphasis"/>
    <w:basedOn w:val="DefaultParagraphFont"/>
    <w:uiPriority w:val="21"/>
    <w:qFormat/>
    <w:rsid w:val="00200A64"/>
    <w:rPr>
      <w:i/>
      <w:iCs/>
      <w:color w:val="2F5496" w:themeColor="accent1" w:themeShade="BF"/>
    </w:rPr>
  </w:style>
  <w:style w:type="paragraph" w:styleId="IntenseQuote">
    <w:name w:val="Intense Quote"/>
    <w:basedOn w:val="Normal"/>
    <w:next w:val="Normal"/>
    <w:link w:val="IntenseQuoteChar"/>
    <w:uiPriority w:val="30"/>
    <w:qFormat/>
    <w:rsid w:val="00200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A64"/>
    <w:rPr>
      <w:i/>
      <w:iCs/>
      <w:color w:val="2F5496" w:themeColor="accent1" w:themeShade="BF"/>
    </w:rPr>
  </w:style>
  <w:style w:type="character" w:styleId="IntenseReference">
    <w:name w:val="Intense Reference"/>
    <w:basedOn w:val="DefaultParagraphFont"/>
    <w:uiPriority w:val="32"/>
    <w:qFormat/>
    <w:rsid w:val="00200A64"/>
    <w:rPr>
      <w:b/>
      <w:bCs/>
      <w:smallCaps/>
      <w:color w:val="2F5496" w:themeColor="accent1" w:themeShade="BF"/>
      <w:spacing w:val="5"/>
    </w:rPr>
  </w:style>
  <w:style w:type="character" w:styleId="Hyperlink">
    <w:name w:val="Hyperlink"/>
    <w:basedOn w:val="DefaultParagraphFont"/>
    <w:uiPriority w:val="99"/>
    <w:unhideWhenUsed/>
    <w:rsid w:val="00C633CB"/>
    <w:rPr>
      <w:color w:val="0563C1" w:themeColor="hyperlink"/>
      <w:u w:val="single"/>
    </w:rPr>
  </w:style>
  <w:style w:type="character" w:styleId="UnresolvedMention">
    <w:name w:val="Unresolved Mention"/>
    <w:basedOn w:val="DefaultParagraphFont"/>
    <w:uiPriority w:val="99"/>
    <w:semiHidden/>
    <w:unhideWhenUsed/>
    <w:rsid w:val="00C633CB"/>
    <w:rPr>
      <w:color w:val="605E5C"/>
      <w:shd w:val="clear" w:color="auto" w:fill="E1DFDD"/>
    </w:rPr>
  </w:style>
  <w:style w:type="paragraph" w:styleId="Header">
    <w:name w:val="header"/>
    <w:basedOn w:val="Normal"/>
    <w:link w:val="HeaderChar"/>
    <w:uiPriority w:val="99"/>
    <w:unhideWhenUsed/>
    <w:rsid w:val="0042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21B"/>
  </w:style>
  <w:style w:type="paragraph" w:styleId="Footer">
    <w:name w:val="footer"/>
    <w:basedOn w:val="Normal"/>
    <w:link w:val="FooterChar"/>
    <w:uiPriority w:val="99"/>
    <w:unhideWhenUsed/>
    <w:rsid w:val="0042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S0140-6736(13)60986-1" TargetMode="External"/><Relationship Id="rId21" Type="http://schemas.openxmlformats.org/officeDocument/2006/relationships/hyperlink" Target="https://doi.org/10.1016/S0140-6736(07)60150-0" TargetMode="External"/><Relationship Id="rId42" Type="http://schemas.openxmlformats.org/officeDocument/2006/relationships/hyperlink" Target="https://doi.org/10.1016/S0140-6736(11)60325-5" TargetMode="External"/><Relationship Id="rId47" Type="http://schemas.openxmlformats.org/officeDocument/2006/relationships/hyperlink" Target="https://doi.org/10.1212/01.wnl.0000144282.42222.da" TargetMode="External"/><Relationship Id="rId63" Type="http://schemas.openxmlformats.org/officeDocument/2006/relationships/hyperlink" Target="https://doi.org/10.1161/01.str.0000020093.67593.0b" TargetMode="External"/><Relationship Id="rId68" Type="http://schemas.openxmlformats.org/officeDocument/2006/relationships/hyperlink" Target="https://doi.org/10.1212/01.wnl.0000296277.63350.77" TargetMode="External"/><Relationship Id="rId84" Type="http://schemas.openxmlformats.org/officeDocument/2006/relationships/footer" Target="footer3.xml"/><Relationship Id="rId16" Type="http://schemas.openxmlformats.org/officeDocument/2006/relationships/hyperlink" Target="https://doi.org/10.1016/S1474-4422(24)00369-7" TargetMode="External"/><Relationship Id="rId11" Type="http://schemas.openxmlformats.org/officeDocument/2006/relationships/hyperlink" Target="https://doi.org/10.1016/S0140-6736(16)31357-5" TargetMode="External"/><Relationship Id="rId32" Type="http://schemas.openxmlformats.org/officeDocument/2006/relationships/hyperlink" Target="https://doi.org/10.1056/NEJMoa1707914" TargetMode="External"/><Relationship Id="rId37" Type="http://schemas.openxmlformats.org/officeDocument/2006/relationships/hyperlink" Target="https://doi.org/10.1016/S1474-4422(19)30079-1" TargetMode="External"/><Relationship Id="rId53" Type="http://schemas.openxmlformats.org/officeDocument/2006/relationships/hyperlink" Target="https://doi.org/10.1212/01.wnl.0000191402.41914.d2" TargetMode="External"/><Relationship Id="rId58" Type="http://schemas.openxmlformats.org/officeDocument/2006/relationships/hyperlink" Target="https://doi.org/10.1161/STROKEAHA.107.484618" TargetMode="External"/><Relationship Id="rId74" Type="http://schemas.openxmlformats.org/officeDocument/2006/relationships/hyperlink" Target="https://doi.org/10.1097/WCO.0b013e328012da75" TargetMode="External"/><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doi.org/10.1016/j.neuron.2013.10.008" TargetMode="External"/><Relationship Id="rId14" Type="http://schemas.openxmlformats.org/officeDocument/2006/relationships/hyperlink" Target="https://doi.org/10.1161/STROKEAHA.120.030429" TargetMode="External"/><Relationship Id="rId22" Type="http://schemas.openxmlformats.org/officeDocument/2006/relationships/hyperlink" Target="https://doi.org/10.1002/14651858.CD000197.pub4" TargetMode="External"/><Relationship Id="rId27" Type="http://schemas.openxmlformats.org/officeDocument/2006/relationships/hyperlink" Target="https://doi.org/10.5853/jos.2015.17.2.144" TargetMode="External"/><Relationship Id="rId30" Type="http://schemas.openxmlformats.org/officeDocument/2006/relationships/hyperlink" Target="https://doi.org/10.1161/STR.0000000000000211" TargetMode="External"/><Relationship Id="rId35" Type="http://schemas.openxmlformats.org/officeDocument/2006/relationships/hyperlink" Target="https://doi.org/10.1016/S1474-4422(11)70195-8" TargetMode="External"/><Relationship Id="rId43" Type="http://schemas.openxmlformats.org/officeDocument/2006/relationships/hyperlink" Target="https://doi.org/10.1056/NEJMoa1415061" TargetMode="External"/><Relationship Id="rId48" Type="http://schemas.openxmlformats.org/officeDocument/2006/relationships/hyperlink" Target="https://doi.org/10.1161/CIR.0b013e3182456d46" TargetMode="External"/><Relationship Id="rId56" Type="http://schemas.openxmlformats.org/officeDocument/2006/relationships/hyperlink" Target="https://doi.org/10.1111/jgs.14472" TargetMode="External"/><Relationship Id="rId64" Type="http://schemas.openxmlformats.org/officeDocument/2006/relationships/hyperlink" Target="https://doi.org/10.1001/jama.285.21.2729" TargetMode="External"/><Relationship Id="rId69" Type="http://schemas.openxmlformats.org/officeDocument/2006/relationships/hyperlink" Target="https://doi.org/10.1016/j.jss.2006.06.023" TargetMode="External"/><Relationship Id="rId77" Type="http://schemas.openxmlformats.org/officeDocument/2006/relationships/hyperlink" Target="https://doi.org/10.1097/00019052-199402000-00004" TargetMode="External"/><Relationship Id="rId8" Type="http://schemas.openxmlformats.org/officeDocument/2006/relationships/hyperlink" Target="https://doi.org/10.1056/NEJMoa1713973" TargetMode="External"/><Relationship Id="rId51" Type="http://schemas.openxmlformats.org/officeDocument/2006/relationships/hyperlink" Target="https://doi.org/10.1161/STROKEAHA.109.547869" TargetMode="External"/><Relationship Id="rId72" Type="http://schemas.openxmlformats.org/officeDocument/2006/relationships/hyperlink" Target="https://doi.org/10.1111/j.1360-0443.2009.02694.x"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89/tmj.2017.0006" TargetMode="External"/><Relationship Id="rId17" Type="http://schemas.openxmlformats.org/officeDocument/2006/relationships/hyperlink" Target="https://doi.org/10.1161/STR.0b013e3182299496" TargetMode="External"/><Relationship Id="rId25" Type="http://schemas.openxmlformats.org/officeDocument/2006/relationships/hyperlink" Target="https://doi.org/10.1038/s41588-018-0058-3" TargetMode="External"/><Relationship Id="rId33" Type="http://schemas.openxmlformats.org/officeDocument/2006/relationships/hyperlink" Target="https://www.ncbi.nlm.nih.gov/books/NBK534861/" TargetMode="External"/><Relationship Id="rId38" Type="http://schemas.openxmlformats.org/officeDocument/2006/relationships/hyperlink" Target="https://doi.org/10.1016/S0140-6736(14)62456-9" TargetMode="External"/><Relationship Id="rId46" Type="http://schemas.openxmlformats.org/officeDocument/2006/relationships/hyperlink" Target="https://doi.org/10.1212/CON.0000000000000840" TargetMode="External"/><Relationship Id="rId59" Type="http://schemas.openxmlformats.org/officeDocument/2006/relationships/hyperlink" Target="https://doi.org/10.1001/jama.289.19.2560" TargetMode="External"/><Relationship Id="rId67" Type="http://schemas.openxmlformats.org/officeDocument/2006/relationships/hyperlink" Target="https://doi.org/10.1007/s11883-015-0526-5" TargetMode="External"/><Relationship Id="rId20" Type="http://schemas.openxmlformats.org/officeDocument/2006/relationships/hyperlink" Target="https://doi.org/10.1038/nm.2399" TargetMode="External"/><Relationship Id="rId41" Type="http://schemas.openxmlformats.org/officeDocument/2006/relationships/hyperlink" Target="https://doi.org/10.1016/S0140-6736(16)00163-X" TargetMode="External"/><Relationship Id="rId54" Type="http://schemas.openxmlformats.org/officeDocument/2006/relationships/hyperlink" Target="https://doi.org/10.1161/CIRCULATIONAHA.108.772285" TargetMode="External"/><Relationship Id="rId62" Type="http://schemas.openxmlformats.org/officeDocument/2006/relationships/hyperlink" Target="https://doi.org/10.4065/mcp.2011.0267" TargetMode="External"/><Relationship Id="rId70" Type="http://schemas.openxmlformats.org/officeDocument/2006/relationships/hyperlink" Target="https://pubmed.ncbi.nlm.nih.gov/2043016/" TargetMode="External"/><Relationship Id="rId75" Type="http://schemas.openxmlformats.org/officeDocument/2006/relationships/hyperlink" Target="https://doi.org/10.1038/nrn1106" TargetMode="External"/><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61/CIRCRESAHA.116.308413" TargetMode="External"/><Relationship Id="rId23" Type="http://schemas.openxmlformats.org/officeDocument/2006/relationships/hyperlink" Target="https://doi.org/10.1016/j.jacc.2009.09.009" TargetMode="External"/><Relationship Id="rId28" Type="http://schemas.openxmlformats.org/officeDocument/2006/relationships/hyperlink" Target="https://doi.org/10.1016/j.mpmed.2020.06.002" TargetMode="External"/><Relationship Id="rId36" Type="http://schemas.openxmlformats.org/officeDocument/2006/relationships/hyperlink" Target="https://www.elsevier.com/books/grays-anatomy/standring/978-0-7020-7705-0" TargetMode="External"/><Relationship Id="rId49" Type="http://schemas.openxmlformats.org/officeDocument/2006/relationships/hyperlink" Target="https://doi.org/10.1161/01.STR.0000157662.09551.e5" TargetMode="External"/><Relationship Id="rId57" Type="http://schemas.openxmlformats.org/officeDocument/2006/relationships/hyperlink" Target="https://doi.org/10.1161/CIRCULATIONAHA.109.854240" TargetMode="External"/><Relationship Id="rId10" Type="http://schemas.openxmlformats.org/officeDocument/2006/relationships/hyperlink" Target="https://doi.org/10.1017/CBO9781316095805" TargetMode="External"/><Relationship Id="rId31" Type="http://schemas.openxmlformats.org/officeDocument/2006/relationships/hyperlink" Target="https://doi.org/10.1016/S0140-6736(09)60371-8" TargetMode="External"/><Relationship Id="rId44" Type="http://schemas.openxmlformats.org/officeDocument/2006/relationships/hyperlink" Target="https://doi.org/10.1002/14651858.CD000213.pub3" TargetMode="External"/><Relationship Id="rId52" Type="http://schemas.openxmlformats.org/officeDocument/2006/relationships/hyperlink" Target="https://doi.org/10.1161/STR.0b013e3182213e24" TargetMode="External"/><Relationship Id="rId60" Type="http://schemas.openxmlformats.org/officeDocument/2006/relationships/hyperlink" Target="https://doi.org/10.1016/s0140-6736(02)11911-8" TargetMode="External"/><Relationship Id="rId65" Type="http://schemas.openxmlformats.org/officeDocument/2006/relationships/hyperlink" Target="https://doi.org/10.1161/01.STR.0000147965.52712.fa" TargetMode="External"/><Relationship Id="rId73" Type="http://schemas.openxmlformats.org/officeDocument/2006/relationships/hyperlink" Target="https://doi.org/10.1016/S0140-6736(09)61717-7" TargetMode="External"/><Relationship Id="rId78" Type="http://schemas.openxmlformats.org/officeDocument/2006/relationships/hyperlink" Target="https://doi.org/10.1016/S1474-4422(11)70192-2"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36/bmj.k1185" TargetMode="External"/><Relationship Id="rId13" Type="http://schemas.openxmlformats.org/officeDocument/2006/relationships/hyperlink" Target="https://doi.org/10.1016/S0140-6736(08)60694-7" TargetMode="External"/><Relationship Id="rId18" Type="http://schemas.openxmlformats.org/officeDocument/2006/relationships/hyperlink" Target="https://doi.org/10.1161/STR.0000000000000407" TargetMode="External"/><Relationship Id="rId39" Type="http://schemas.openxmlformats.org/officeDocument/2006/relationships/hyperlink" Target="https://www.who.int/publications/i/item/who-steps-stroke-manual-the-who-stepwise-approach-to-stroke-surveillance" TargetMode="External"/><Relationship Id="rId34" Type="http://schemas.openxmlformats.org/officeDocument/2006/relationships/hyperlink" Target="https://doi.org/10.1161/01.STR.0000196957.55928.ab" TargetMode="External"/><Relationship Id="rId50" Type="http://schemas.openxmlformats.org/officeDocument/2006/relationships/hyperlink" Target="https://doi.org/10.1161/STROKEAHA.108.543157" TargetMode="External"/><Relationship Id="rId55" Type="http://schemas.openxmlformats.org/officeDocument/2006/relationships/hyperlink" Target="https://pubmed.ncbi.nlm.nih.gov/7778964/" TargetMode="External"/><Relationship Id="rId76" Type="http://schemas.openxmlformats.org/officeDocument/2006/relationships/hyperlink" Target="https://doi.org/10.7759/cureus.45864" TargetMode="External"/><Relationship Id="rId7" Type="http://schemas.openxmlformats.org/officeDocument/2006/relationships/hyperlink" Target="https://doi.org/10.1161/01.STR.24.1.35" TargetMode="External"/><Relationship Id="rId71" Type="http://schemas.openxmlformats.org/officeDocument/2006/relationships/hyperlink" Target="https://doi.org/10.1007/s00415-012-6672-6" TargetMode="External"/><Relationship Id="rId2" Type="http://schemas.openxmlformats.org/officeDocument/2006/relationships/styles" Target="styles.xml"/><Relationship Id="rId29" Type="http://schemas.openxmlformats.org/officeDocument/2006/relationships/hyperlink" Target="https://doi.org/10.1016/S0140-6736(16)30506-2" TargetMode="External"/><Relationship Id="rId24" Type="http://schemas.openxmlformats.org/officeDocument/2006/relationships/hyperlink" Target="https://doi.org/10.5853/jos.2022.02936" TargetMode="External"/><Relationship Id="rId40" Type="http://schemas.openxmlformats.org/officeDocument/2006/relationships/hyperlink" Target="https://doi.org/10.1056/NEJMoa061894" TargetMode="External"/><Relationship Id="rId45" Type="http://schemas.openxmlformats.org/officeDocument/2006/relationships/hyperlink" Target="https://doi.org/10.1016/S1474-4422(16)30073&#8211;4" TargetMode="External"/><Relationship Id="rId66" Type="http://schemas.openxmlformats.org/officeDocument/2006/relationships/hyperlink" Target="https://doi.org/10.1016/S0140-6736(05)67394-1" TargetMode="External"/><Relationship Id="rId61" Type="http://schemas.openxmlformats.org/officeDocument/2006/relationships/hyperlink" Target="https://doi.org/10.1161/STROKEAHA.111.641381"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32</Pages>
  <Words>11957</Words>
  <Characters>68157</Characters>
  <Application>Microsoft Office Word</Application>
  <DocSecurity>0</DocSecurity>
  <Lines>567</Lines>
  <Paragraphs>159</Paragraphs>
  <ScaleCrop>false</ScaleCrop>
  <Company/>
  <LinksUpToDate>false</LinksUpToDate>
  <CharactersWithSpaces>79955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simranjit kaur</dc:creator>
  <cp:keywords/>
  <dc:description/>
  <cp:lastModifiedBy>SDI 1084</cp:lastModifiedBy>
  <cp:revision>175</cp:revision>
  <dcterms:created xsi:type="dcterms:W3CDTF">2025-12-24T07:21:00Z</dcterms:created>
  <dcterms:modified xsi:type="dcterms:W3CDTF">2026-01-03T08:00:00Z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c0543bd8-70de-40cd-a20a-8e7cebd95eaf</vt:lpwstr>
  </property>
</Properties>
</file>