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063" w:rsidRDefault="00E35063" w:rsidP="00E35063">
      <w:pPr>
        <w:spacing w:line="360" w:lineRule="auto"/>
        <w:jc w:val="center"/>
        <w:rPr>
          <w:rFonts w:ascii="Garamond" w:hAnsi="Garamond"/>
          <w:b/>
          <w:bCs/>
          <w:sz w:val="28"/>
          <w:szCs w:val="28"/>
          <w:lang w:val="en-GB"/>
        </w:rPr>
      </w:pPr>
      <w:r>
        <w:rPr>
          <w:rFonts w:ascii="Garamond" w:hAnsi="Garamond"/>
          <w:b/>
          <w:bCs/>
          <w:sz w:val="28"/>
          <w:szCs w:val="28"/>
          <w:lang w:val="en-GB"/>
        </w:rPr>
        <w:t xml:space="preserve">Against Technological Determinism: Reclaiming Language, Literature, and Culture as Irreducibly </w:t>
      </w:r>
      <w:r w:rsidRPr="00C63239">
        <w:rPr>
          <w:rFonts w:ascii="Garamond" w:hAnsi="Garamond"/>
          <w:b/>
          <w:bCs/>
          <w:sz w:val="28"/>
          <w:szCs w:val="28"/>
          <w:lang w:val="en-GB"/>
        </w:rPr>
        <w:t>Human Institutions</w:t>
      </w:r>
    </w:p>
    <w:p w:rsidR="008B14B9" w:rsidRDefault="008B14B9" w:rsidP="00E35063">
      <w:pPr>
        <w:jc w:val="center"/>
        <w:rPr>
          <w:rFonts w:ascii="Garamond" w:hAnsi="Garamond"/>
          <w:b/>
          <w:sz w:val="20"/>
          <w:szCs w:val="20"/>
        </w:rPr>
      </w:pPr>
    </w:p>
    <w:p w:rsidR="004E4FE7" w:rsidRDefault="004E4FE7" w:rsidP="00E35063">
      <w:pPr>
        <w:spacing w:line="360" w:lineRule="auto"/>
        <w:rPr>
          <w:rFonts w:ascii="Garamond" w:hAnsi="Garamond"/>
          <w:b/>
          <w:bCs/>
        </w:rPr>
      </w:pPr>
    </w:p>
    <w:p w:rsidR="00E35063" w:rsidRPr="00E35063" w:rsidRDefault="00E35063" w:rsidP="00E35063">
      <w:pPr>
        <w:spacing w:line="360" w:lineRule="auto"/>
        <w:rPr>
          <w:rFonts w:ascii="Garamond" w:hAnsi="Garamond"/>
          <w:b/>
          <w:bCs/>
        </w:rPr>
      </w:pPr>
      <w:bookmarkStart w:id="0" w:name="_GoBack"/>
      <w:bookmarkEnd w:id="0"/>
      <w:r w:rsidRPr="00E35063">
        <w:rPr>
          <w:rFonts w:ascii="Garamond" w:hAnsi="Garamond"/>
          <w:b/>
          <w:bCs/>
        </w:rPr>
        <w:t>Abstract</w:t>
      </w:r>
    </w:p>
    <w:p w:rsidR="00E35063" w:rsidRDefault="00E35063" w:rsidP="00E35063">
      <w:pPr>
        <w:spacing w:line="360" w:lineRule="auto"/>
        <w:rPr>
          <w:rFonts w:ascii="Garamond" w:hAnsi="Garamond"/>
        </w:rPr>
      </w:pPr>
      <w:r w:rsidRPr="00E35063">
        <w:rPr>
          <w:rFonts w:ascii="Garamond" w:hAnsi="Garamond"/>
        </w:rPr>
        <w:t>This article challenges the claim that contemporary technologies fundamentally transform language, literature, and culture</w:t>
      </w:r>
      <w:r>
        <w:rPr>
          <w:rFonts w:ascii="Garamond" w:hAnsi="Garamond"/>
        </w:rPr>
        <w:t xml:space="preserve"> and </w:t>
      </w:r>
      <w:r w:rsidRPr="00E35063">
        <w:rPr>
          <w:rFonts w:ascii="Garamond" w:hAnsi="Garamond"/>
        </w:rPr>
        <w:t>argu</w:t>
      </w:r>
      <w:r>
        <w:rPr>
          <w:rFonts w:ascii="Garamond" w:hAnsi="Garamond"/>
        </w:rPr>
        <w:t>es</w:t>
      </w:r>
      <w:r w:rsidRPr="00E35063">
        <w:rPr>
          <w:rFonts w:ascii="Garamond" w:hAnsi="Garamond"/>
        </w:rPr>
        <w:t xml:space="preserve"> instead that their influence remains structurally limited because these domains function as irreducibly human institutions rooted in social practice, ethical judgment, embodied experience, and cultural memory. Drawing on perspectives from the anthropology of technology, sociolinguistics, literary theory, and cultural anthropology, the study critically examines dominant techno-optimist narratives that present technology as an interlocutor, ethical agent, or determinant of meaning. Employing a qualitative, theoretical–empirical approach grounded in close reading of foundational theories and illustrative examples from the Indian cultural context, the article demonstrates that technology operates primarily as an instrument and mediator rather than as an originator of meaning. The findings show that while technological systems reshape modes of expression, dissemination, and access, they do not alter the foundational norms that govern communicative competence, literary imagination, or cultural transmission. By foregrounding human agency, cultural specificity, and ethical responsibility, particularly within India’s multilingual and pluralistic setting, the study contributes to ongoing debates in the anthropology of technology and reaffirms the centrality of human judgment in cultural life.</w:t>
      </w:r>
    </w:p>
    <w:p w:rsidR="00E35063" w:rsidRDefault="00E35063" w:rsidP="00E35063">
      <w:pPr>
        <w:spacing w:line="360" w:lineRule="auto"/>
        <w:rPr>
          <w:rFonts w:ascii="Garamond" w:hAnsi="Garamond"/>
          <w:lang w:val="en-GB"/>
        </w:rPr>
      </w:pPr>
      <w:r w:rsidRPr="00C63239">
        <w:rPr>
          <w:rFonts w:ascii="Garamond" w:hAnsi="Garamond"/>
          <w:b/>
          <w:bCs/>
          <w:lang w:val="en-GB"/>
        </w:rPr>
        <w:t>Keywords</w:t>
      </w:r>
      <w:r>
        <w:rPr>
          <w:rFonts w:ascii="Garamond" w:hAnsi="Garamond"/>
          <w:lang w:val="en-GB"/>
        </w:rPr>
        <w:t>: a</w:t>
      </w:r>
      <w:r w:rsidRPr="00C63239">
        <w:rPr>
          <w:rFonts w:ascii="Garamond" w:hAnsi="Garamond"/>
          <w:lang w:val="en-GB"/>
        </w:rPr>
        <w:t xml:space="preserve">nthropology of </w:t>
      </w:r>
      <w:r>
        <w:rPr>
          <w:rFonts w:ascii="Garamond" w:hAnsi="Garamond"/>
          <w:lang w:val="en-GB"/>
        </w:rPr>
        <w:t>t</w:t>
      </w:r>
      <w:r w:rsidRPr="00C63239">
        <w:rPr>
          <w:rFonts w:ascii="Garamond" w:hAnsi="Garamond"/>
          <w:lang w:val="en-GB"/>
        </w:rPr>
        <w:t>echnology</w:t>
      </w:r>
      <w:r>
        <w:rPr>
          <w:rFonts w:ascii="Garamond" w:hAnsi="Garamond"/>
          <w:lang w:val="en-GB"/>
        </w:rPr>
        <w:t xml:space="preserve">, lifeworld, cultural mediation, linguistic capital, ethics of mediation, symbolic institutions </w:t>
      </w:r>
    </w:p>
    <w:p w:rsidR="00E35063" w:rsidRPr="003572C7" w:rsidRDefault="00E35063" w:rsidP="00E35063">
      <w:pPr>
        <w:spacing w:line="360" w:lineRule="auto"/>
        <w:rPr>
          <w:rFonts w:ascii="Garamond" w:hAnsi="Garamond"/>
          <w:b/>
          <w:bCs/>
        </w:rPr>
      </w:pPr>
      <w:r w:rsidRPr="003572C7">
        <w:rPr>
          <w:rFonts w:ascii="Garamond" w:hAnsi="Garamond"/>
          <w:b/>
          <w:bCs/>
        </w:rPr>
        <w:t>1 Introduction</w:t>
      </w:r>
    </w:p>
    <w:p w:rsidR="00E35063" w:rsidRPr="00E35063" w:rsidRDefault="00E35063" w:rsidP="00E35063">
      <w:pPr>
        <w:spacing w:line="360" w:lineRule="auto"/>
        <w:rPr>
          <w:rFonts w:ascii="Garamond" w:hAnsi="Garamond"/>
        </w:rPr>
      </w:pPr>
      <w:r w:rsidRPr="00E35063">
        <w:rPr>
          <w:rFonts w:ascii="Garamond" w:hAnsi="Garamond"/>
        </w:rPr>
        <w:t>The rapid expansion of digital technologies, artificial intelligence, and algorithmic systems has renewed scholarly interest in the relationship between technology and human meaning-making. In linguistics, computational models promise increased efficiency in translation and language processing; in literary studies, digital humanities tools enable large-scale textual analysis; and in cultural studies, digital platforms facilitate unprecedented modes of circulation, storage, and archiving of cultural practices. Within this intellectual climate, a growing body of scholarship suggests that technology does not merely mediate human activity but actively reshapes discourse, ethics, imagination, and forms of social connection (Hayles, 2012; Latour, 2005).</w:t>
      </w:r>
    </w:p>
    <w:p w:rsidR="00E35063" w:rsidRPr="00E35063" w:rsidRDefault="00127654" w:rsidP="00E35063">
      <w:pPr>
        <w:spacing w:line="360" w:lineRule="auto"/>
        <w:rPr>
          <w:rFonts w:ascii="Garamond" w:hAnsi="Garamond"/>
        </w:rPr>
      </w:pPr>
      <w:r>
        <w:rPr>
          <w:rFonts w:ascii="Garamond" w:hAnsi="Garamond"/>
        </w:rPr>
        <w:t xml:space="preserve">     </w:t>
      </w:r>
      <w:r w:rsidR="00E35063" w:rsidRPr="00E35063">
        <w:rPr>
          <w:rFonts w:ascii="Garamond" w:hAnsi="Garamond"/>
        </w:rPr>
        <w:t xml:space="preserve">Such claims, however, risk lapsing into technological determinism by attributing to tools a constitutive power that has historically belonged to human institutions. Anthropological </w:t>
      </w:r>
      <w:r w:rsidR="00E35063" w:rsidRPr="00E35063">
        <w:rPr>
          <w:rFonts w:ascii="Garamond" w:hAnsi="Garamond"/>
        </w:rPr>
        <w:lastRenderedPageBreak/>
        <w:t>approaches to technology—particularly those emerging from non-Western contexts—caution against universalising narratives that overlook cultural specificity, ethical traditions, and social power relations (Nandy, 2013). In India, where language, literature, and culture are deeply entangled with caste, religion, region, multilingualism, and oral traditions, the assumption that technology can redefine meaning itself demands sustained critical scrutiny.</w:t>
      </w:r>
    </w:p>
    <w:p w:rsidR="00E35063" w:rsidRPr="00127654" w:rsidRDefault="00E35063" w:rsidP="00E35063">
      <w:pPr>
        <w:spacing w:line="360" w:lineRule="auto"/>
        <w:rPr>
          <w:rFonts w:ascii="Garamond" w:hAnsi="Garamond"/>
          <w:b/>
          <w:bCs/>
        </w:rPr>
      </w:pPr>
      <w:r w:rsidRPr="00127654">
        <w:rPr>
          <w:rFonts w:ascii="Garamond" w:hAnsi="Garamond"/>
          <w:b/>
          <w:bCs/>
        </w:rPr>
        <w:t>1.1 Review of the Related Literature</w:t>
      </w:r>
    </w:p>
    <w:p w:rsidR="00E35063" w:rsidRPr="00E35063" w:rsidRDefault="00E35063" w:rsidP="00E35063">
      <w:pPr>
        <w:spacing w:line="360" w:lineRule="auto"/>
        <w:rPr>
          <w:rFonts w:ascii="Garamond" w:hAnsi="Garamond"/>
        </w:rPr>
      </w:pPr>
      <w:r w:rsidRPr="00E35063">
        <w:rPr>
          <w:rFonts w:ascii="Garamond" w:hAnsi="Garamond"/>
        </w:rPr>
        <w:t xml:space="preserve">Scholarly </w:t>
      </w:r>
      <w:r w:rsidR="00127654">
        <w:rPr>
          <w:rFonts w:ascii="Garamond" w:hAnsi="Garamond"/>
        </w:rPr>
        <w:t>e</w:t>
      </w:r>
      <w:r w:rsidRPr="00E35063">
        <w:rPr>
          <w:rFonts w:ascii="Garamond" w:hAnsi="Garamond"/>
        </w:rPr>
        <w:t xml:space="preserve">nquiry into the relationship between technology and human meaning-making has long been central to media studies, communication theory, and cultural criticism. Foundational works such as McLuhan’s (1964) conception of media as “extensions of man” and Postman’s (1992) critique of </w:t>
      </w:r>
      <w:proofErr w:type="spellStart"/>
      <w:r w:rsidRPr="00E35063">
        <w:rPr>
          <w:rFonts w:ascii="Garamond" w:hAnsi="Garamond"/>
        </w:rPr>
        <w:t>technopoly</w:t>
      </w:r>
      <w:proofErr w:type="spellEnd"/>
      <w:r w:rsidRPr="00E35063">
        <w:rPr>
          <w:rFonts w:ascii="Garamond" w:hAnsi="Garamond"/>
        </w:rPr>
        <w:t>—a condition in which culture submits to technological authority—framed early debates on whether technology shapes or subordinates human institutions. These perspectives laid the groundwork for critiques of technological determinism, understood as the belief that technology functions as the primary driver of cultural and social change.</w:t>
      </w:r>
    </w:p>
    <w:p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 xml:space="preserve">Within the anthropology of technology, recent scholarship emphasises the contextual and relational nature of technological artefacts. Ingold (2020) and </w:t>
      </w:r>
      <w:proofErr w:type="spellStart"/>
      <w:r w:rsidR="00E35063" w:rsidRPr="00E35063">
        <w:rPr>
          <w:rFonts w:ascii="Garamond" w:hAnsi="Garamond"/>
        </w:rPr>
        <w:t>Couldry</w:t>
      </w:r>
      <w:proofErr w:type="spellEnd"/>
      <w:r w:rsidR="00E35063" w:rsidRPr="00E35063">
        <w:rPr>
          <w:rFonts w:ascii="Garamond" w:hAnsi="Garamond"/>
        </w:rPr>
        <w:t xml:space="preserve"> and </w:t>
      </w:r>
      <w:proofErr w:type="spellStart"/>
      <w:r w:rsidR="00E35063" w:rsidRPr="00E35063">
        <w:rPr>
          <w:rFonts w:ascii="Garamond" w:hAnsi="Garamond"/>
        </w:rPr>
        <w:t>Mejias</w:t>
      </w:r>
      <w:proofErr w:type="spellEnd"/>
      <w:r w:rsidR="00E35063" w:rsidRPr="00E35063">
        <w:rPr>
          <w:rFonts w:ascii="Garamond" w:hAnsi="Garamond"/>
        </w:rPr>
        <w:t xml:space="preserve"> (2022) conceptualise technology not simply as a set of tools but as networks of relations among people, materials, institutions, and cultural practices. From this perspective, technology is neither autonomous nor sovereign; rather, it is shaped by—and in turn shapes—specific sociocultural arrangements. Such approaches reinforce long-standing critiques of technological determinism and foreground the embeddedness of technology within human life.</w:t>
      </w:r>
    </w:p>
    <w:p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Contemporary linguistics and communication studies have increasingly turned to empirical research on how digital technologies influence language use. Recent analyses of large spoken-language corpora (</w:t>
      </w:r>
      <w:proofErr w:type="spellStart"/>
      <w:r w:rsidR="00E35063" w:rsidRPr="00E35063">
        <w:rPr>
          <w:rFonts w:ascii="Garamond" w:hAnsi="Garamond"/>
        </w:rPr>
        <w:t>Yakura</w:t>
      </w:r>
      <w:proofErr w:type="spellEnd"/>
      <w:r w:rsidR="00E35063" w:rsidRPr="00E35063">
        <w:rPr>
          <w:rFonts w:ascii="Garamond" w:hAnsi="Garamond"/>
        </w:rPr>
        <w:t xml:space="preserve"> et al., 2025), for </w:t>
      </w:r>
      <w:r>
        <w:rPr>
          <w:rFonts w:ascii="Garamond" w:hAnsi="Garamond"/>
        </w:rPr>
        <w:t>example</w:t>
      </w:r>
      <w:r w:rsidR="00E35063" w:rsidRPr="00E35063">
        <w:rPr>
          <w:rFonts w:ascii="Garamond" w:hAnsi="Garamond"/>
        </w:rPr>
        <w:t>, suggest that large language models such as ChatGPT may be influencing patterns of public speech, including subtle shifts in vocabulary choice. While these findings offer valuable data-driven insights into technological influence, they also raise important questions about interpretation, social mediation, and cultural norms—issues central to sociolinguistic approaches that prioritise communicative competence over mere frequency patterns.</w:t>
      </w:r>
    </w:p>
    <w:p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 xml:space="preserve">Research in language education further illustrates the ambivalence of technology-mediated environments. A systematic review of ninety-nine empirical studies on technology and foreign language anxiety (Huang &amp; Liu, 2025) indicates that while digital tools can reduce anxiety through personalised feedback, they can also increase cognitive overload and diminish interpersonal interaction. Similarly, classroom-based research suggests that technology may become pedagogically counterproductive when it overshadows the interactive, dialogic, and </w:t>
      </w:r>
      <w:r w:rsidR="00E35063" w:rsidRPr="00E35063">
        <w:rPr>
          <w:rFonts w:ascii="Garamond" w:hAnsi="Garamond"/>
        </w:rPr>
        <w:lastRenderedPageBreak/>
        <w:t>embodied dimensions of language learning (</w:t>
      </w:r>
      <w:proofErr w:type="spellStart"/>
      <w:r w:rsidR="00E35063" w:rsidRPr="00E35063">
        <w:rPr>
          <w:rFonts w:ascii="Garamond" w:hAnsi="Garamond"/>
        </w:rPr>
        <w:t>Hakoupian</w:t>
      </w:r>
      <w:proofErr w:type="spellEnd"/>
      <w:r w:rsidR="00E35063" w:rsidRPr="00E35063">
        <w:rPr>
          <w:rFonts w:ascii="Garamond" w:hAnsi="Garamond"/>
        </w:rPr>
        <w:t>, 2025). These findings complicate deterministic narratives by revealing technology’s uneven and context-dependent effects.</w:t>
      </w:r>
    </w:p>
    <w:p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In literary and cultural studies, the rise of the digital humanities has generated sustained debate. Scholars have documented both the analytical possibilities enabled by computational methods and the interpretive challenges they pose for understanding meaning, value, and literary experience (Mitra &amp; Raychaudhuri, 2025). While digital tools have expanded the scale of textual analysis, most scholars resist the claim that technology can itself embody literary sensibility or creative judgment, emphasising instead the continuing centrality of human interpretation.</w:t>
      </w:r>
    </w:p>
    <w:p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Anthropological perspectives on algorithmic culture further complicate these debates. Studies of big data and computational systems demonstrate how algorithms shape what is produced, circulated, and valued within contemporary societies, while simultaneously highlighting the role of human choice, institutional design, and cultural context in these processes. Digital anthropology, in particular, emphasises how human–machine interactions are situated, negotiated, and culturally mediated, thereby destabilising simplistic models of technological dominance</w:t>
      </w:r>
      <w:r>
        <w:rPr>
          <w:rFonts w:ascii="Garamond" w:hAnsi="Garamond"/>
        </w:rPr>
        <w:t xml:space="preserve">. </w:t>
      </w:r>
      <w:hyperlink r:id="rId7" w:history="1">
        <w:r w:rsidRPr="005C5F51">
          <w:rPr>
            <w:rStyle w:val="Hyperlink"/>
            <w:rFonts w:ascii="Garamond" w:hAnsi="Garamond"/>
          </w:rPr>
          <w:t>https://soctech.spbstu.ru/en/section/7/</w:t>
        </w:r>
      </w:hyperlink>
    </w:p>
    <w:p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Recent cross-cultural research reinforces this emphasis on cultural contingency. A longitudinal pilot study conducted across multiple national contexts demonstrates that cultural values, linguistic background, and professional environments significantly shape how individuals engage with artificial intelligence (Cummings-Koether et al., 2025). These findings challenge assumptions of universal technological effects and underscore the importance of ethical and cultural frameworks in mediating technological use.</w:t>
      </w:r>
    </w:p>
    <w:p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Postcolonial and decolonial scholarship further interrogates the implications of technological power. Recent studies examine how artistic and literary practices negotiate algorithmic recommendation systems and computational hegemony, emphasising the need to preserve creative autonomy, cultural sovereignty, and indigenous epistemologies in technologically mediated environments (</w:t>
      </w:r>
      <w:proofErr w:type="spellStart"/>
      <w:r w:rsidR="00E35063" w:rsidRPr="00E35063">
        <w:rPr>
          <w:rFonts w:ascii="Garamond" w:hAnsi="Garamond"/>
        </w:rPr>
        <w:t>Alimujiang</w:t>
      </w:r>
      <w:proofErr w:type="spellEnd"/>
      <w:r w:rsidR="00E35063" w:rsidRPr="00E35063">
        <w:rPr>
          <w:rFonts w:ascii="Garamond" w:hAnsi="Garamond"/>
        </w:rPr>
        <w:t>, 2025). Such interventions align with broader critiques that foreground human agency and culturally situated resistance to normative technological models.</w:t>
      </w:r>
    </w:p>
    <w:p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Despite this extensive body of literature, there remains a notable gap in interdisciplinary work that systematically addresses the philosophical limits of technology within humanistic domains—particularly through frameworks that treat language, literature, and culture as instituted social practices rather than technical systems. This study responds to that gap by synthesising classical theoretical critiques with recent empirical research to advance a human-centred understanding of technology’s role in meaning-making.</w:t>
      </w:r>
    </w:p>
    <w:p w:rsidR="00E35063" w:rsidRPr="008B5691" w:rsidRDefault="00E35063" w:rsidP="00E35063">
      <w:pPr>
        <w:spacing w:line="360" w:lineRule="auto"/>
        <w:rPr>
          <w:rFonts w:ascii="Garamond" w:hAnsi="Garamond"/>
          <w:b/>
          <w:bCs/>
        </w:rPr>
      </w:pPr>
      <w:r w:rsidRPr="008B5691">
        <w:rPr>
          <w:rFonts w:ascii="Garamond" w:hAnsi="Garamond"/>
          <w:b/>
          <w:bCs/>
        </w:rPr>
        <w:t>1.2 Knowledge Gap Identified</w:t>
      </w:r>
    </w:p>
    <w:p w:rsidR="00E35063" w:rsidRPr="00E35063" w:rsidRDefault="00E35063" w:rsidP="00E35063">
      <w:pPr>
        <w:spacing w:line="360" w:lineRule="auto"/>
        <w:rPr>
          <w:rFonts w:ascii="Garamond" w:hAnsi="Garamond"/>
        </w:rPr>
      </w:pPr>
      <w:r w:rsidRPr="00E35063">
        <w:rPr>
          <w:rFonts w:ascii="Garamond" w:hAnsi="Garamond"/>
        </w:rPr>
        <w:lastRenderedPageBreak/>
        <w:t>Existing scholarship often either celebrates technological innovation or critiques it within narrowly defined disciplinary boundaries. What remains insufficiently developed is an interdisciplinary account that empirically and theoretically demonstrates why technology cannot function as an autonomous agent in human meaning-making, especially within culturally complex contexts such as India.</w:t>
      </w:r>
    </w:p>
    <w:p w:rsidR="00E35063" w:rsidRPr="008B5691" w:rsidRDefault="00E35063" w:rsidP="00E35063">
      <w:pPr>
        <w:spacing w:line="360" w:lineRule="auto"/>
        <w:rPr>
          <w:rFonts w:ascii="Garamond" w:hAnsi="Garamond"/>
          <w:b/>
          <w:bCs/>
        </w:rPr>
      </w:pPr>
      <w:r w:rsidRPr="008B5691">
        <w:rPr>
          <w:rFonts w:ascii="Garamond" w:hAnsi="Garamond"/>
          <w:b/>
          <w:bCs/>
        </w:rPr>
        <w:t>1.3 Central Thesis Statement</w:t>
      </w:r>
    </w:p>
    <w:p w:rsidR="00E35063" w:rsidRDefault="00E35063" w:rsidP="00E35063">
      <w:pPr>
        <w:spacing w:line="360" w:lineRule="auto"/>
        <w:rPr>
          <w:rFonts w:ascii="Garamond" w:hAnsi="Garamond"/>
        </w:rPr>
      </w:pPr>
      <w:r w:rsidRPr="00E35063">
        <w:rPr>
          <w:rFonts w:ascii="Garamond" w:hAnsi="Garamond"/>
        </w:rPr>
        <w:t>This study argues that technology has a fundamentally limited scope in relation to language, literature, and culture because these domains are human institutions governed by social norms, ethical judgment, and cultural memory—dimensions that cannot be authored, replaced, or autonomously generated by technological systems.</w:t>
      </w:r>
    </w:p>
    <w:p w:rsidR="00533BE8" w:rsidRPr="00533BE8" w:rsidRDefault="00533BE8" w:rsidP="00533BE8">
      <w:pPr>
        <w:spacing w:line="360" w:lineRule="auto"/>
        <w:rPr>
          <w:rFonts w:ascii="Garamond" w:hAnsi="Garamond"/>
          <w:b/>
          <w:bCs/>
        </w:rPr>
      </w:pPr>
      <w:r w:rsidRPr="00533BE8">
        <w:rPr>
          <w:rFonts w:ascii="Garamond" w:hAnsi="Garamond"/>
          <w:b/>
          <w:bCs/>
        </w:rPr>
        <w:t>2 Method</w:t>
      </w:r>
    </w:p>
    <w:p w:rsidR="00533BE8" w:rsidRPr="00533BE8" w:rsidRDefault="00533BE8" w:rsidP="00533BE8">
      <w:pPr>
        <w:spacing w:line="360" w:lineRule="auto"/>
        <w:rPr>
          <w:rFonts w:ascii="Garamond" w:hAnsi="Garamond"/>
        </w:rPr>
      </w:pPr>
      <w:r w:rsidRPr="00533BE8">
        <w:rPr>
          <w:rFonts w:ascii="Garamond" w:hAnsi="Garamond"/>
        </w:rPr>
        <w:t>This study follows a qualitative and interpretive research design that is well suited to the humanities and social sciences, particularly within the anthropology of technology. Instead of attempting to measure technological impact through numerical indicators, the research focuses on how meaning, ethics, and cultural practices are understood, negotiated, and sustained in relation to technology. Since language, literature, and culture operate as normative and symbolic human institutions, the study adopts a theoretical and analytical approach that prioritises interpretation, contextual grounding, and critical reflection. Such an approach is consistent with established practices in sociolinguistics, literary studies, and cultural anthropology, where empirical validity is derived from conceptual coherence, theoretical triangulation, and culturally situated analysis rather than from quantification alone.</w:t>
      </w:r>
    </w:p>
    <w:p w:rsidR="00533BE8" w:rsidRPr="00533BE8" w:rsidRDefault="00533BE8" w:rsidP="00533BE8">
      <w:pPr>
        <w:spacing w:line="360" w:lineRule="auto"/>
        <w:rPr>
          <w:rFonts w:ascii="Garamond" w:hAnsi="Garamond"/>
          <w:b/>
          <w:bCs/>
        </w:rPr>
      </w:pPr>
      <w:r w:rsidRPr="00533BE8">
        <w:rPr>
          <w:rFonts w:ascii="Garamond" w:hAnsi="Garamond"/>
          <w:b/>
          <w:bCs/>
        </w:rPr>
        <w:t>2.1 Theoretical Framework</w:t>
      </w:r>
    </w:p>
    <w:p w:rsidR="00533BE8" w:rsidRPr="00533BE8" w:rsidRDefault="00533BE8" w:rsidP="00533BE8">
      <w:pPr>
        <w:spacing w:line="360" w:lineRule="auto"/>
        <w:rPr>
          <w:rFonts w:ascii="Garamond" w:hAnsi="Garamond"/>
        </w:rPr>
      </w:pPr>
      <w:r w:rsidRPr="00533BE8">
        <w:rPr>
          <w:rFonts w:ascii="Garamond" w:hAnsi="Garamond"/>
        </w:rPr>
        <w:t>The theoretical framework of this study is intentionally interdisciplinary, integrating insights from sociolinguistics, phenomenology, literary ethics, and cultural anthropology to explore the limits of technology in processes of human meaning-making. From sociolinguistics, Dell Hymes’ concept of communicative competence is used to demonstrate that language extends beyond grammatical correctness or computational efficiency and must be understood as socially embedded action shaped by context and appropriateness (Hymes, 1972). Pierre Bourdieu’s notion of linguistic capital further strengthens this argument by illustrating how language functions within power structures, where socially legitimised forms of expression confer authority—dimensions that technological systems cannot independently navigate or internalise (Bourdieu, 1991).</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Phenomenological perspectives drawn from Edmund Husserl and Alfred Schutz provide a foundational understanding of the lifeworld as the pre-reflective realm of lived experience in </w:t>
      </w:r>
      <w:r w:rsidRPr="00533BE8">
        <w:rPr>
          <w:rFonts w:ascii="Garamond" w:hAnsi="Garamond"/>
        </w:rPr>
        <w:lastRenderedPageBreak/>
        <w:t>which meaning is constituted (Husserl, 1970; Schutz, 1967). This idea is central to the study’s claim that technology, lacking lived embodiment and historical consciousness, cannot generate the meaning-world that underpins human action. In literary studies, Martha Nussbaum’s work on literature and ethical imagination informs the discussion by framing literary engagement as a moral and emotional encounter that fosters empathy, judgment, and self-reflection—capacities grounded in human vulnerability rather than technical processing (Nussbaum, 1997).</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Cultural anthropology further enriches the framework through Clifford Geertz’s interpretive conception of culture as webs of meaning created and sustained by humans themselves (Geertz, 1973). This view reinforces the argument that culture demands interpretation rather than technical explanation and that technological mediation cannot replace lived cultural transmission. Finally, Ashis Nandy’s critique of technocratic modernity is employed to situate the analysis within the Indian context</w:t>
      </w:r>
      <w:r>
        <w:rPr>
          <w:rFonts w:ascii="Garamond" w:hAnsi="Garamond"/>
        </w:rPr>
        <w:t xml:space="preserve"> and it </w:t>
      </w:r>
      <w:r w:rsidRPr="00533BE8">
        <w:rPr>
          <w:rFonts w:ascii="Garamond" w:hAnsi="Garamond"/>
        </w:rPr>
        <w:t>highlight</w:t>
      </w:r>
      <w:r>
        <w:rPr>
          <w:rFonts w:ascii="Garamond" w:hAnsi="Garamond"/>
        </w:rPr>
        <w:t>s</w:t>
      </w:r>
      <w:r w:rsidRPr="00533BE8">
        <w:rPr>
          <w:rFonts w:ascii="Garamond" w:hAnsi="Garamond"/>
        </w:rPr>
        <w:t xml:space="preserve"> how technological rationality often marginalises indigenous epistemologies, ethical traditions, and plural modes of knowing (Nandy, 2013). Together, these perspectives establish a coherent framework for understanding technology as an instrument and mediator, rather than an autonomous agent, within human institutions.</w:t>
      </w:r>
    </w:p>
    <w:p w:rsidR="00533BE8" w:rsidRPr="00533BE8" w:rsidRDefault="00533BE8" w:rsidP="00533BE8">
      <w:pPr>
        <w:spacing w:line="360" w:lineRule="auto"/>
        <w:rPr>
          <w:rFonts w:ascii="Garamond" w:hAnsi="Garamond"/>
          <w:b/>
          <w:bCs/>
        </w:rPr>
      </w:pPr>
      <w:r w:rsidRPr="00533BE8">
        <w:rPr>
          <w:rFonts w:ascii="Garamond" w:hAnsi="Garamond"/>
          <w:b/>
          <w:bCs/>
        </w:rPr>
        <w:t>2.2 Methodology</w:t>
      </w:r>
    </w:p>
    <w:p w:rsidR="00533BE8" w:rsidRPr="00533BE8" w:rsidRDefault="00533BE8" w:rsidP="00533BE8">
      <w:pPr>
        <w:spacing w:line="360" w:lineRule="auto"/>
        <w:rPr>
          <w:rFonts w:ascii="Garamond" w:hAnsi="Garamond"/>
        </w:rPr>
      </w:pPr>
      <w:r w:rsidRPr="00533BE8">
        <w:rPr>
          <w:rFonts w:ascii="Garamond" w:hAnsi="Garamond"/>
        </w:rPr>
        <w:t>The study employs qualitative textual and conceptual analysis as its primary methodological approach. This involves close reading and critical interpretation of key theoretical texts, complemented by illustrative examples drawn from Indian linguistic practices, literary traditions, and cultural forms. Rather than treating theory as abstract or speculative, the study approaches theoretical texts as empirical artefacts that reflect historically situated efforts to understand language, culture, and meaning. This approach aligns with humanities-based empirical research, where evidence is drawn from recurring argumentative patterns, conceptual convergence, and explanatory adequacy across disciplines.</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The analysis proceeds through thematic synthesis, identifying recurring concepts such as agency, ethics, embodiment, and social context, and examining how these challenge claims of technological determinism. Indian examples—including multilingual communicative practices, Partition literature, Dalit autobiographical writing, and oral cultural traditions—are used not as comprehensive case studies but as culturally grounded illustrations that test the limits of techno-centric assumptions. By triangulating insights from multiple disciplines and cultural contexts, the methodology maintains analytical rigour while remaining attentive to cultural specificity.</w:t>
      </w:r>
    </w:p>
    <w:p w:rsidR="00533BE8" w:rsidRPr="00533BE8" w:rsidRDefault="00533BE8" w:rsidP="00533BE8">
      <w:pPr>
        <w:spacing w:line="360" w:lineRule="auto"/>
        <w:rPr>
          <w:rFonts w:ascii="Garamond" w:hAnsi="Garamond"/>
          <w:b/>
          <w:bCs/>
        </w:rPr>
      </w:pPr>
      <w:r w:rsidRPr="00533BE8">
        <w:rPr>
          <w:rFonts w:ascii="Garamond" w:hAnsi="Garamond"/>
          <w:b/>
          <w:bCs/>
        </w:rPr>
        <w:t>2.3 Research Questions</w:t>
      </w:r>
    </w:p>
    <w:p w:rsidR="00533BE8" w:rsidRPr="00533BE8" w:rsidRDefault="00533BE8" w:rsidP="00533BE8">
      <w:pPr>
        <w:spacing w:line="360" w:lineRule="auto"/>
        <w:rPr>
          <w:rFonts w:ascii="Garamond" w:hAnsi="Garamond"/>
        </w:rPr>
      </w:pPr>
      <w:r w:rsidRPr="00533BE8">
        <w:rPr>
          <w:rFonts w:ascii="Garamond" w:hAnsi="Garamond"/>
        </w:rPr>
        <w:lastRenderedPageBreak/>
        <w:t>Guided by the theoretical framework and methodological approach outlined above, the study is structured around the following research questions, which critically examine the scope and limits of technology in relation to language, literature, and culture as human institutions:</w:t>
      </w:r>
    </w:p>
    <w:p w:rsidR="00533BE8" w:rsidRDefault="00533BE8" w:rsidP="00533BE8">
      <w:pPr>
        <w:pStyle w:val="ListParagraph"/>
        <w:numPr>
          <w:ilvl w:val="0"/>
          <w:numId w:val="1"/>
        </w:numPr>
        <w:spacing w:line="360" w:lineRule="auto"/>
        <w:rPr>
          <w:rFonts w:ascii="Garamond" w:hAnsi="Garamond"/>
        </w:rPr>
      </w:pPr>
      <w:r w:rsidRPr="00533BE8">
        <w:rPr>
          <w:rFonts w:ascii="Garamond" w:hAnsi="Garamond"/>
        </w:rPr>
        <w:t>To what extent can technology function beyond an instrumental role in language, literature, and culture?</w:t>
      </w:r>
    </w:p>
    <w:p w:rsidR="00533BE8" w:rsidRDefault="00533BE8" w:rsidP="00533BE8">
      <w:pPr>
        <w:pStyle w:val="ListParagraph"/>
        <w:numPr>
          <w:ilvl w:val="0"/>
          <w:numId w:val="1"/>
        </w:numPr>
        <w:spacing w:line="360" w:lineRule="auto"/>
        <w:rPr>
          <w:rFonts w:ascii="Garamond" w:hAnsi="Garamond"/>
        </w:rPr>
      </w:pPr>
      <w:r w:rsidRPr="00533BE8">
        <w:rPr>
          <w:rFonts w:ascii="Garamond" w:hAnsi="Garamond"/>
        </w:rPr>
        <w:t>How do human institutions resist technological determinism?</w:t>
      </w:r>
    </w:p>
    <w:p w:rsidR="00533BE8" w:rsidRPr="00533BE8" w:rsidRDefault="00533BE8" w:rsidP="00533BE8">
      <w:pPr>
        <w:pStyle w:val="ListParagraph"/>
        <w:numPr>
          <w:ilvl w:val="0"/>
          <w:numId w:val="1"/>
        </w:numPr>
        <w:spacing w:line="360" w:lineRule="auto"/>
        <w:rPr>
          <w:rFonts w:ascii="Garamond" w:hAnsi="Garamond"/>
        </w:rPr>
      </w:pPr>
      <w:r w:rsidRPr="00533BE8">
        <w:rPr>
          <w:rFonts w:ascii="Garamond" w:hAnsi="Garamond"/>
        </w:rPr>
        <w:t>What are the ethical and cultural implications of framing technology as an interlocutor?</w:t>
      </w:r>
    </w:p>
    <w:p w:rsidR="00533BE8" w:rsidRPr="00533BE8" w:rsidRDefault="00533BE8" w:rsidP="00533BE8">
      <w:pPr>
        <w:spacing w:line="360" w:lineRule="auto"/>
        <w:rPr>
          <w:rFonts w:ascii="Garamond" w:hAnsi="Garamond"/>
          <w:b/>
          <w:bCs/>
        </w:rPr>
      </w:pPr>
      <w:r w:rsidRPr="00533BE8">
        <w:rPr>
          <w:rFonts w:ascii="Garamond" w:hAnsi="Garamond"/>
          <w:b/>
          <w:bCs/>
        </w:rPr>
        <w:t>2.4 Delimitations of the Study</w:t>
      </w:r>
    </w:p>
    <w:p w:rsidR="00533BE8" w:rsidRPr="00533BE8" w:rsidRDefault="00533BE8" w:rsidP="00533BE8">
      <w:pPr>
        <w:spacing w:line="360" w:lineRule="auto"/>
        <w:rPr>
          <w:rFonts w:ascii="Garamond" w:hAnsi="Garamond"/>
        </w:rPr>
      </w:pPr>
      <w:r w:rsidRPr="00533BE8">
        <w:rPr>
          <w:rFonts w:ascii="Garamond" w:hAnsi="Garamond"/>
        </w:rPr>
        <w:t>The study is deliberately delimited with respect to its methodology, empirical material, and analytical focus. First, it adopts a qualitative and interpretive framework grounded in the humanities and social sciences and therefore does not employ quantitative methods, experimental designs, surveys, or computational evaluations of technological systems. The emphasis remains on conceptual clarity and theoretical critique rather than on assessing technological efficiency, accuracy, or performance. Consequently, the study does not evaluate specific digital tools, platforms, or artificial intelligence applications through empirical testing.</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Second, the analysis is restricted to language, literature, and culture as human institutions, without extending to broader technological domains such as economics, governance, healthcare, or engineering. While these areas raise significant questions about technology and society, they lie beyond the present study’s focus on meaning-making, ethics, and symbolic practices. Within these boundaries, anthropological, linguistic, and literary perspectives are prioritised over technical or design-oriented analyses.</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Third, although the study draws on examples from the Indian context, it does not aim to provide an exhaustive ethnographic account of India’s linguistic or cultural diversity. These examples are used analytically to demonstrate how culturally embedded practices resist techno-centric claims, rather than to generalise across regions, languages, or communities. These delimitations ensure analytical depth while maintaining conceptual coherence and disciplinary focus.</w:t>
      </w:r>
    </w:p>
    <w:p w:rsidR="00533BE8" w:rsidRPr="00533BE8" w:rsidRDefault="00533BE8" w:rsidP="00533BE8">
      <w:pPr>
        <w:spacing w:line="360" w:lineRule="auto"/>
        <w:rPr>
          <w:rFonts w:ascii="Garamond" w:hAnsi="Garamond"/>
          <w:b/>
          <w:bCs/>
        </w:rPr>
      </w:pPr>
      <w:r w:rsidRPr="00533BE8">
        <w:rPr>
          <w:rFonts w:ascii="Garamond" w:hAnsi="Garamond"/>
          <w:b/>
          <w:bCs/>
        </w:rPr>
        <w:t>2.5 Scope of the Study</w:t>
      </w:r>
    </w:p>
    <w:p w:rsidR="00533BE8" w:rsidRPr="00533BE8" w:rsidRDefault="00533BE8" w:rsidP="00533BE8">
      <w:pPr>
        <w:spacing w:line="360" w:lineRule="auto"/>
        <w:rPr>
          <w:rFonts w:ascii="Garamond" w:hAnsi="Garamond"/>
        </w:rPr>
      </w:pPr>
      <w:r w:rsidRPr="00533BE8">
        <w:rPr>
          <w:rFonts w:ascii="Garamond" w:hAnsi="Garamond"/>
        </w:rPr>
        <w:t>Within these delimitations, the scope of the study is both interdisciplinary and analytically broad. It encompasses three interconnected domains—language use, literary interpretation, and cultural transmission—examining how each functions as a human institution shaped by social norms, ethical judgment, historical memory, and embodied practice. By situating these domains within the anthropology of technology, the study contributes to wider debates on human–technology relations without reducing cultural phenomena to technological outcomes.</w:t>
      </w:r>
    </w:p>
    <w:p w:rsidR="00533BE8" w:rsidRPr="00533BE8" w:rsidRDefault="00533BE8" w:rsidP="00533BE8">
      <w:pPr>
        <w:spacing w:line="360" w:lineRule="auto"/>
        <w:rPr>
          <w:rFonts w:ascii="Garamond" w:hAnsi="Garamond"/>
        </w:rPr>
      </w:pPr>
      <w:r>
        <w:rPr>
          <w:rFonts w:ascii="Garamond" w:hAnsi="Garamond"/>
        </w:rPr>
        <w:lastRenderedPageBreak/>
        <w:t xml:space="preserve">     </w:t>
      </w:r>
      <w:r w:rsidRPr="00533BE8">
        <w:rPr>
          <w:rFonts w:ascii="Garamond" w:hAnsi="Garamond"/>
        </w:rPr>
        <w:t>The study foregrounds the Indian context, marked by multilingualism, oral traditions, literary plurality, and deeply rooted ethical frameworks. This focus enables a nuanced examination of how non-Western and postcolonial societies negotiate technological interventions in ways that differ from universalist techno-centric models. At the same time, the theoretical insights developed here remain applicable to other culturally diverse contexts where language and culture resist standardisation.</w:t>
      </w:r>
    </w:p>
    <w:p w:rsidR="00BE7B3E" w:rsidRDefault="00533BE8" w:rsidP="00533BE8">
      <w:pPr>
        <w:spacing w:line="360" w:lineRule="auto"/>
        <w:rPr>
          <w:rFonts w:ascii="Garamond" w:hAnsi="Garamond"/>
        </w:rPr>
      </w:pPr>
      <w:r>
        <w:rPr>
          <w:rFonts w:ascii="Garamond" w:hAnsi="Garamond"/>
        </w:rPr>
        <w:t xml:space="preserve">     </w:t>
      </w:r>
      <w:r w:rsidRPr="00533BE8">
        <w:rPr>
          <w:rFonts w:ascii="Garamond" w:hAnsi="Garamond"/>
        </w:rPr>
        <w:t>Conceptually, the study engages critically with sociolinguistics, phenomenology, literary ethics, and cultural anthropology to offer a holistic explanation of why technology operates primarily as an instrument and mediator rather than as an autonomous agent of meaning. In doing so, the research provides a framework that can inform future empirical studies, policy discussions, and pedagogical practices concerned with the responsible and culturally sensitive integration of technology in the humanities.</w:t>
      </w:r>
    </w:p>
    <w:p w:rsidR="00533BE8" w:rsidRPr="00533BE8" w:rsidRDefault="00533BE8" w:rsidP="00533BE8">
      <w:pPr>
        <w:spacing w:line="360" w:lineRule="auto"/>
        <w:rPr>
          <w:rFonts w:ascii="Garamond" w:hAnsi="Garamond"/>
          <w:b/>
          <w:bCs/>
        </w:rPr>
      </w:pPr>
      <w:r w:rsidRPr="00533BE8">
        <w:rPr>
          <w:rFonts w:ascii="Garamond" w:hAnsi="Garamond"/>
          <w:b/>
          <w:bCs/>
        </w:rPr>
        <w:t>3 Results and Analysis</w:t>
      </w:r>
    </w:p>
    <w:p w:rsidR="00533BE8" w:rsidRPr="00533BE8" w:rsidRDefault="00533BE8" w:rsidP="00533BE8">
      <w:pPr>
        <w:spacing w:line="360" w:lineRule="auto"/>
        <w:rPr>
          <w:rFonts w:ascii="Garamond" w:hAnsi="Garamond"/>
        </w:rPr>
      </w:pPr>
      <w:r w:rsidRPr="00533BE8">
        <w:rPr>
          <w:rFonts w:ascii="Garamond" w:hAnsi="Garamond"/>
        </w:rPr>
        <w:t>The analysis of theoretical texts alongside culturally grounded examples produces a set of coherent and interconnected findings regarding the role of technology in language, literature, and culture. Across disciplinary perspectives, the results consistently indicate that technology operates primarily as an instrument and mediator, rather than as an autonomous agent capable of generating meaning, ethical judgment, or imagination. This section elaborates on these findings by examining how linguistic practice, literary engagement, and cultural transmission expose the structural limits of technological intervention.</w:t>
      </w:r>
    </w:p>
    <w:p w:rsid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The first major finding relates to language use. The analysis shows that although technological systems can process linguistic forms with impressive speed and accuracy, they lack what Dell Hymes (1972) describes as communicative competence—the socially situated understanding of when, how, and to whom particular utterances are appropriate. Illustrations from the Indian context, including multilingual code-switching, honorific conventions, and culturally specific pragmatic norms, demonstrate that linguistic meaning is inseparable from social relationships, power structures, and contextual judgment. Technologies trained on decontextualised datasets may replicate grammatical patterns, but they cannot adequately account for caste-marked speech, ritualised silence, or culturally embedded politeness strategies. These findings reinforce the view that language functions as social action rather than as a neutral code, thereby limiting the extent to which technological systems can substitute for human linguistic agency.</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Closely connected to communicative competence is the role of power in language use. Drawing on Pierre Bourdieu’s (1991) concept of linguistic capital, the analysis reveals that socially valued forms of speech derive their authority from institutional recognition rather than </w:t>
      </w:r>
      <w:r w:rsidRPr="00533BE8">
        <w:rPr>
          <w:rFonts w:ascii="Garamond" w:hAnsi="Garamond"/>
        </w:rPr>
        <w:lastRenderedPageBreak/>
        <w:t>from formal correctness alone. In the Indian context, proficiency in English or in standardised varieties of regional languages often functions as symbolic capital that shapes access to education, employment, and social mobility. Technological language systems tend to normalise such dominant forms and, in doing so, inadvertently reinforce existing hierarchies while marginalising non-standard, oral, or minority linguistic varieties. This result highlights a critical limitation of technological mediation: rather than neutrally reflecting linguistic diversity, technology selectively amplifies forms of language already legitimised by power, thereby undermining claims of universality or neutrality.</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In the domain of literature, the analysis draws a clear distinction between computational analysis and human literary experience. While digital tools are effective at identifying themes, patterns, and stylistic features across large textual corpora, they remain incapable of engaging with literature as an ethical and affective encounter. Drawing on Martha Nussbaum’s (1997) conception of literary imagination, the study finds that literary meaning arises through emotional vulnerability, historical awareness, and moral reflection—dimensions that cannot be reduced to data processing. Indian literary examples, particularly Partition narratives and Dalit autobiographies, illustrate how literature bears witness to trauma, injustice, and resistance in ways that demand ethical engagement from readers. These texts do not merely transmit information; they call for judgment, empathy, and self-examination, thereby exposing the limited interpretive reach of technological analysis.</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The analysis also challenges claims that technology can function as an interlocutor in literary contexts. Although interactive platforms and AI-generated texts may create the appearance of dialogue, such exchanges lack intentionality, accountability, and ethical responsibility. Literary dialogism, as theorised by Mikhail Bakhtin, presupposes the presence of human voices shaped by social histories and ideological positions. Technological systems, by contrast, simulate responsiveness without participating in the moral stakes of discourse. This finding reinforces the conclusion that perceived dialogue with technology is largely a projection of human interpretive activity rather than evidence of genuine interlocution.</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With respect to culture, the results demonstrate that digitisation and technological mediation transform modes of cultural circulation without sustaining cultural life itself. Drawing on Clifford Geertz’s (1973) conception of culture as webs of meaning spun by humans, the analysis shows that cultural practices depend on embodied participation, ritual repetition, and intergenerational transmission. Indian examples such as oral storytelling traditions, folk rituals, and performative arts illustrate that cultural meaning is enacted rather than stored. While technology may archive these practices, it cannot reproduce the communal contexts that give </w:t>
      </w:r>
      <w:r w:rsidRPr="00533BE8">
        <w:rPr>
          <w:rFonts w:ascii="Garamond" w:hAnsi="Garamond"/>
        </w:rPr>
        <w:lastRenderedPageBreak/>
        <w:t>them significance. This finding underscores a crucial distinction between preservation and continuity.</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Walter Ong’s (1982) distinction between orality and literacy further clarifies the limits of technological mediation. Oral cultures sustain memory through repetition, performance, and communal engagement</w:t>
      </w:r>
      <w:r>
        <w:rPr>
          <w:rFonts w:ascii="Garamond" w:hAnsi="Garamond"/>
        </w:rPr>
        <w:t xml:space="preserve"> and </w:t>
      </w:r>
      <w:r w:rsidRPr="00533BE8">
        <w:rPr>
          <w:rFonts w:ascii="Garamond" w:hAnsi="Garamond"/>
        </w:rPr>
        <w:t>foster forms of consciousness distinct from those associated with textual or digital storage. The analysis indicates that technological systems privilege externalised memory and abstraction, often at the expense of relational and situational knowledge. In the Indian context, where oral traditions continue to coexist with literate and digital forms, this tension reveals that technology cannot subsume older modes of meaning-making without significant cultural loss.</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Another important finding concerns the ideological dimensions of technology. Drawing on Ashis Nandy’s (2013) critique of technocratic modernity, the analysis demonstrates that technological systems embody specific values—such as efficiency, standardisation, and instrumental rationality—that may conflict with culturally embedded ethical frameworks. In India, these values often clash with pluralistic traditions, sacred knowledge systems, and community-based modes of reasoning. This result challenges the assumption that technology reshapes meaning autonomously and instead reveals that it operates within, and frequently reinforces, dominant ideological formations.</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Finally, the analysis identifies ethical judgment as a fundamental boundary for technological intervention. Ethics, understood as deliberation about what ought to be done, presupposes responsibility, accountability, and moral reasoning (Arendt, 1958). While technological systems may assist decision-making processes, they cannot assume ethical agency. In linguistic, literary, and cultural contexts, decisions concerning representation, sensitivity, and interpretation require human judgment grounded in historical awareness and social responsibility. This finding affirms that technology cannot redefine the ethical foundations of human institutions.</w:t>
      </w:r>
    </w:p>
    <w:p w:rsid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Taken together, these results demonstrate that while technology reshapes the conditions of expression and circulation, it does not author the worlds of meaning that underpin language, literature, and culture. Across all three domains, human agency, social context, and ethical judgment remain indispensable. The analysis</w:t>
      </w:r>
      <w:r>
        <w:rPr>
          <w:rFonts w:ascii="Garamond" w:hAnsi="Garamond"/>
        </w:rPr>
        <w:t>,</w:t>
      </w:r>
      <w:r w:rsidRPr="00533BE8">
        <w:rPr>
          <w:rFonts w:ascii="Garamond" w:hAnsi="Garamond"/>
        </w:rPr>
        <w:t xml:space="preserve"> therefore</w:t>
      </w:r>
      <w:r>
        <w:rPr>
          <w:rFonts w:ascii="Garamond" w:hAnsi="Garamond"/>
        </w:rPr>
        <w:t>,</w:t>
      </w:r>
      <w:r w:rsidRPr="00533BE8">
        <w:rPr>
          <w:rFonts w:ascii="Garamond" w:hAnsi="Garamond"/>
        </w:rPr>
        <w:t xml:space="preserve"> provides strong empirical-theoretical support for the study’s central thesis: technology plays a significant yet fundamentally limited role within human institutions of meaning.</w:t>
      </w:r>
    </w:p>
    <w:p w:rsidR="00533BE8" w:rsidRPr="00533BE8" w:rsidRDefault="00533BE8" w:rsidP="00533BE8">
      <w:pPr>
        <w:spacing w:line="360" w:lineRule="auto"/>
        <w:rPr>
          <w:rFonts w:ascii="Garamond" w:hAnsi="Garamond"/>
          <w:b/>
          <w:bCs/>
        </w:rPr>
      </w:pPr>
      <w:r w:rsidRPr="00533BE8">
        <w:rPr>
          <w:rFonts w:ascii="Garamond" w:hAnsi="Garamond"/>
          <w:b/>
          <w:bCs/>
        </w:rPr>
        <w:t>4 Discussion</w:t>
      </w:r>
    </w:p>
    <w:p w:rsidR="00533BE8" w:rsidRPr="00533BE8" w:rsidRDefault="00533BE8" w:rsidP="00533BE8">
      <w:pPr>
        <w:spacing w:line="360" w:lineRule="auto"/>
        <w:rPr>
          <w:rFonts w:ascii="Garamond" w:hAnsi="Garamond"/>
        </w:rPr>
      </w:pPr>
      <w:r w:rsidRPr="00533BE8">
        <w:rPr>
          <w:rFonts w:ascii="Garamond" w:hAnsi="Garamond"/>
        </w:rPr>
        <w:t xml:space="preserve">The discussion of the findings brings into focus a central insight that recurs across linguistic, literary, and cultural analyses: technology operates as an enabling instrument rather than as a </w:t>
      </w:r>
      <w:r w:rsidRPr="00533BE8">
        <w:rPr>
          <w:rFonts w:ascii="Garamond" w:hAnsi="Garamond"/>
        </w:rPr>
        <w:lastRenderedPageBreak/>
        <w:t xml:space="preserve">constitutive source of meaning. Contrary to claims that technological systems fundamentally transform cognition, ethics, or imagination, this study demonstrates that meaning remains rooted in human experience, social practice, and ethical deliberation. Drawing on phenomenological, sociolinguistic, and cultural-anthropological traditions, the discussion situates technology within—rather than above—the human lifeworld, thereby challenging deterministic and </w:t>
      </w:r>
      <w:proofErr w:type="spellStart"/>
      <w:r w:rsidRPr="00533BE8">
        <w:rPr>
          <w:rFonts w:ascii="Garamond" w:hAnsi="Garamond"/>
        </w:rPr>
        <w:t>posthumanist</w:t>
      </w:r>
      <w:proofErr w:type="spellEnd"/>
      <w:r w:rsidRPr="00533BE8">
        <w:rPr>
          <w:rFonts w:ascii="Garamond" w:hAnsi="Garamond"/>
        </w:rPr>
        <w:t xml:space="preserve"> narratives that exaggerate technological agency.</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Phenomenological perspectives play a decisive role in reframing the relationship between humans and technology. Husserl’s concept of the lifeworld emphasises that meaning originates in pre-reflective lived experience that precedes scientific abstraction or technical mediation (Husserl, 1970). Technologies such as writing, print, and digital media undoubtedly reorganise communicative practices and extend the reach of expression, but they do not independently generate intentionality or semantic depth. Ong’s (1982) analysis of orality and literacy reinforces this argument by showing that even transformative communicative technologies remain embedded within human consciousness, memory, and social interaction. Rather than altering the anthropological foundations of meaning, technology amplifies existing human capacities while remaining bounded by horizons shaped through lived experience.</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Building on this phenomenological grounding, the linguistic evidence examined in the study reveals consistent resistance to claims that technology unilaterally reshapes language or thought. Hymes’s (1972) notion of communicative competence highlights that linguistic proficiency is inseparable from social norms, cultural expectations, and contextual judgment. In the Indian context, multilingual speakers routinely navigate complex intersections of caste, class, region, and register—often in ways that resist or subvert technologically imposed standardisation. While digital platforms may privilege dominant or “neutralised” language forms, everyday linguistic practice continues to be shaped through social negotiation and cultural knowledge. These findings reaffirm language as a socially regulated human institution rather than a technologically determined system.</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Turning to literature, the study confirms that literary meaning remains fundamentally interpretive and ethical, resisting automation or technological substitution. Ricoeur’s (1981) conception of interpretation as a hermeneutic act situated within historical and moral horizons underscores that understanding emerges through dialogue between text and reader. Although digital tools facilitate access, archiving, and pattern recognition, they cannot replicate the ethical engagement demanded by literary texts. Nussbaum’s (1997) argument that literary reading cultivates moral perception through immersion in complex human situations further clarifies this </w:t>
      </w:r>
      <w:r w:rsidRPr="00533BE8">
        <w:rPr>
          <w:rFonts w:ascii="Garamond" w:hAnsi="Garamond"/>
        </w:rPr>
        <w:lastRenderedPageBreak/>
        <w:t>limit. Literary imagination depends on empathy, judgment, and vulnerability—capacities grounded in human affect and ethical responsibility rather than in computational logic.</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Cultural practices analysed in the study similarly reinforce Geertz’s (1973) claim that culture consists of webs of meaning spun by humans themselves. Indian rituals, festivals, oral narratives, and performative traditions demonstrate that cultural meaning is not merely represented but enacted through embodied participation and collective memory. While technologies can document, archive, or disseminate these practices, they cannot reproduce the symbolic density created through shared presence, ritual repetition, and intergenerational transmission. Culture, therefore, remains lived and interpretive rather than programmable or fully translatable into technical systems.</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Claims that technology functions as an interlocutor in linguistic or cultural domains raise serious ethical and political concerns. Bourdieu’s (1991) concept of linguistic capital situates discourse within relations of power, legitimacy, and responsibility</w:t>
      </w:r>
      <w:r>
        <w:rPr>
          <w:rFonts w:ascii="Garamond" w:hAnsi="Garamond"/>
        </w:rPr>
        <w:t xml:space="preserve"> and </w:t>
      </w:r>
      <w:r w:rsidRPr="00533BE8">
        <w:rPr>
          <w:rFonts w:ascii="Garamond" w:hAnsi="Garamond"/>
        </w:rPr>
        <w:t>emphasis</w:t>
      </w:r>
      <w:r>
        <w:rPr>
          <w:rFonts w:ascii="Garamond" w:hAnsi="Garamond"/>
        </w:rPr>
        <w:t>es</w:t>
      </w:r>
      <w:r w:rsidRPr="00533BE8">
        <w:rPr>
          <w:rFonts w:ascii="Garamond" w:hAnsi="Garamond"/>
        </w:rPr>
        <w:t xml:space="preserve"> that language gains authority through social recognition rather than formal structure alone. Technological systems, lacking moral accountability, cannot assume responsibility for speech or interpretation. Treating them as interlocutors risks obscuring human authorship and redistributing accountability away from institutions, social actors, and power structures that shape discourse. This misattribution carries significant implications for ethics, governance, and cultural responsibility.</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Closely linked to this ethical dimension is the question of imagination. The findings reaffirm imagination as a distinctly human capacity grounded in lived experience. Sartre’s (1940/2004) phenomenological account defines imagination as an intentional act of consciousness shaped by freedom, memory, and affect. While technological tools may assist creative production or simulate stylistic patterns, they lack experiential subjectivity. Cultural and literary imagination remains inseparable from human embodiment, historical situatedness, and existential choice, underscoring the limits of technological creativity.</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The ethical analysis further demonstrates that while technology may reconfigure the contexts in which ethical debates occur, it does not generate ethical values itself. Taylor (1989) locates moral reasoning within shared cultural narratives and moral horizons that shape conceptions of justice and worth. Nandy’s (2013) critique of technocratic modernity highlights how technological rationality often marginalises indigenous ethical frameworks, particularly in postcolonial societies such as India. Ethics</w:t>
      </w:r>
      <w:r>
        <w:rPr>
          <w:rFonts w:ascii="Garamond" w:hAnsi="Garamond"/>
        </w:rPr>
        <w:t>,</w:t>
      </w:r>
      <w:r w:rsidRPr="00533BE8">
        <w:rPr>
          <w:rFonts w:ascii="Garamond" w:hAnsi="Garamond"/>
        </w:rPr>
        <w:t xml:space="preserve"> thus</w:t>
      </w:r>
      <w:r>
        <w:rPr>
          <w:rFonts w:ascii="Garamond" w:hAnsi="Garamond"/>
        </w:rPr>
        <w:t>,</w:t>
      </w:r>
      <w:r w:rsidRPr="00533BE8">
        <w:rPr>
          <w:rFonts w:ascii="Garamond" w:hAnsi="Garamond"/>
        </w:rPr>
        <w:t xml:space="preserve"> emerges as a deliberative human practice grounded in cultural memory and moral tradition rather than as a technological output.</w:t>
      </w:r>
    </w:p>
    <w:p w:rsidR="00533BE8" w:rsidRPr="00533BE8" w:rsidRDefault="00533BE8" w:rsidP="00533BE8">
      <w:pPr>
        <w:spacing w:line="360" w:lineRule="auto"/>
        <w:rPr>
          <w:rFonts w:ascii="Garamond" w:hAnsi="Garamond"/>
        </w:rPr>
      </w:pPr>
      <w:r>
        <w:rPr>
          <w:rFonts w:ascii="Garamond" w:hAnsi="Garamond"/>
        </w:rPr>
        <w:lastRenderedPageBreak/>
        <w:t xml:space="preserve">     </w:t>
      </w:r>
      <w:r w:rsidRPr="00533BE8">
        <w:rPr>
          <w:rFonts w:ascii="Garamond" w:hAnsi="Garamond"/>
        </w:rPr>
        <w:t xml:space="preserve">At a deeper intersubjective level, Schutz’s (1967) phenomenology explains why technology cannot replace human meaning-making. Meaning arises through shared </w:t>
      </w:r>
      <w:proofErr w:type="spellStart"/>
      <w:r w:rsidRPr="00533BE8">
        <w:rPr>
          <w:rFonts w:ascii="Garamond" w:hAnsi="Garamond"/>
        </w:rPr>
        <w:t>typifications</w:t>
      </w:r>
      <w:proofErr w:type="spellEnd"/>
      <w:r w:rsidRPr="00533BE8">
        <w:rPr>
          <w:rFonts w:ascii="Garamond" w:hAnsi="Garamond"/>
        </w:rPr>
        <w:t xml:space="preserve"> and mutual understanding developed within social worlds. Although technologies mediate communication, they depend on culturally learned assumptions, background knowledge, and social conventions to function meaningfully. Digitally mediated discourse does not eliminate interpretation; instead, it intensifies the need for human interpretive frameworks, </w:t>
      </w:r>
      <w:r>
        <w:rPr>
          <w:rFonts w:ascii="Garamond" w:hAnsi="Garamond"/>
        </w:rPr>
        <w:t xml:space="preserve">and </w:t>
      </w:r>
      <w:r w:rsidRPr="00533BE8">
        <w:rPr>
          <w:rFonts w:ascii="Garamond" w:hAnsi="Garamond"/>
        </w:rPr>
        <w:t>reaffirm</w:t>
      </w:r>
      <w:r>
        <w:rPr>
          <w:rFonts w:ascii="Garamond" w:hAnsi="Garamond"/>
        </w:rPr>
        <w:t>s</w:t>
      </w:r>
      <w:r w:rsidRPr="00533BE8">
        <w:rPr>
          <w:rFonts w:ascii="Garamond" w:hAnsi="Garamond"/>
        </w:rPr>
        <w:t xml:space="preserve"> the primacy of intersubjectivity.</w:t>
      </w:r>
    </w:p>
    <w:p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The study also highlights tensions between technological universalism and postcolonial realities. Spivak’s (1999) critique of epistemic violence cautions against assuming neutrality in systems shaped by dominant Western epistemologies. Indian linguistic and cultural practices frequently resist homogenisation imposed by global technologies, revealing that meaning remains historically and culturally situated. These resistances expose the limits of universalist technological narratives that overlook local epistemologies and lived realities.</w:t>
      </w:r>
    </w:p>
    <w:p w:rsidR="00533BE8" w:rsidRDefault="005B10C1" w:rsidP="00533BE8">
      <w:pPr>
        <w:spacing w:line="360" w:lineRule="auto"/>
        <w:rPr>
          <w:rFonts w:ascii="Garamond" w:hAnsi="Garamond"/>
        </w:rPr>
      </w:pPr>
      <w:r>
        <w:rPr>
          <w:rFonts w:ascii="Garamond" w:hAnsi="Garamond"/>
        </w:rPr>
        <w:t xml:space="preserve">    </w:t>
      </w:r>
      <w:r w:rsidR="00533BE8" w:rsidRPr="00533BE8">
        <w:rPr>
          <w:rFonts w:ascii="Garamond" w:hAnsi="Garamond"/>
        </w:rPr>
        <w:t>Ultimately, the discussion reasserts the centrality of the human within the anthropology of technology. While acknowledging the utility and transformative potential of technological tools, the findings align with phenomenological and interpretive traditions that foreground lived experience, ethical responsibility, and symbolic meaning (Merleau-Ponty, 1962). Language, literature, and culture emerge as irreducibly human institutions—sites where meaning is negotiated, contested, and sustained through social life. Within this framework, technology remains supportive rather than sovereign, reinforcing rather than replacing the human foundations of meaning.</w:t>
      </w:r>
    </w:p>
    <w:p w:rsidR="005B10C1" w:rsidRPr="005B10C1" w:rsidRDefault="005B10C1" w:rsidP="005B10C1">
      <w:pPr>
        <w:spacing w:line="360" w:lineRule="auto"/>
        <w:rPr>
          <w:rFonts w:ascii="Garamond" w:hAnsi="Garamond"/>
          <w:b/>
          <w:bCs/>
        </w:rPr>
      </w:pPr>
      <w:r w:rsidRPr="005B10C1">
        <w:rPr>
          <w:rFonts w:ascii="Garamond" w:hAnsi="Garamond"/>
          <w:b/>
          <w:bCs/>
        </w:rPr>
        <w:t>4.1 Research Questions Revisited</w:t>
      </w:r>
    </w:p>
    <w:p w:rsidR="005B10C1" w:rsidRPr="005B10C1" w:rsidRDefault="005B10C1" w:rsidP="005B10C1">
      <w:pPr>
        <w:spacing w:line="360" w:lineRule="auto"/>
        <w:rPr>
          <w:rFonts w:ascii="Garamond" w:hAnsi="Garamond"/>
        </w:rPr>
      </w:pPr>
      <w:r w:rsidRPr="005B10C1">
        <w:rPr>
          <w:rFonts w:ascii="Garamond" w:hAnsi="Garamond"/>
        </w:rPr>
        <w:t>This section revisits the research questions in order to assess how effectively the study’s theoretical analysis and culturally grounded illustrations have addressed them in a systematic and coherent manner.</w:t>
      </w:r>
    </w:p>
    <w:p w:rsidR="005B10C1" w:rsidRDefault="005B10C1" w:rsidP="005B10C1">
      <w:pPr>
        <w:spacing w:line="360" w:lineRule="auto"/>
        <w:rPr>
          <w:rFonts w:ascii="Garamond" w:hAnsi="Garamond"/>
        </w:rPr>
      </w:pPr>
      <w:r w:rsidRPr="005B10C1">
        <w:rPr>
          <w:rFonts w:ascii="Garamond" w:hAnsi="Garamond"/>
          <w:b/>
          <w:bCs/>
        </w:rPr>
        <w:t>RQ1</w:t>
      </w:r>
      <w:r w:rsidRPr="005B10C1">
        <w:rPr>
          <w:rFonts w:ascii="Garamond" w:hAnsi="Garamond"/>
        </w:rPr>
        <w:t>: The first research question examined the extent to which technology can function beyond an instrumental or mediatory role in language, literature, and culture. This question is addressed through sustained theoretical engagement across all major sections of the study. Drawing on sociolinguistics, phenomenology, and cultural anthropology, the analysis consistently demonstrates that technology operates as an extension of human capacities rather than as an autonomous source of meaning.</w:t>
      </w:r>
    </w:p>
    <w:p w:rsidR="005B10C1" w:rsidRPr="005B10C1" w:rsidRDefault="005B10C1" w:rsidP="005B10C1">
      <w:pPr>
        <w:spacing w:line="360" w:lineRule="auto"/>
        <w:rPr>
          <w:rFonts w:ascii="Garamond" w:hAnsi="Garamond"/>
        </w:rPr>
      </w:pPr>
      <w:r>
        <w:rPr>
          <w:rFonts w:ascii="Garamond" w:hAnsi="Garamond"/>
        </w:rPr>
        <w:t xml:space="preserve">     </w:t>
      </w:r>
      <w:r w:rsidRPr="005B10C1">
        <w:rPr>
          <w:rFonts w:ascii="Garamond" w:hAnsi="Garamond"/>
        </w:rPr>
        <w:t xml:space="preserve">In the domain of language, discussions of communicative competence (Hymes, 1972) and linguistic capital (Bourdieu, 1991) show that linguistic meaning is inseparable from social norms, contextual judgment, and power relations—dimensions that technological systems cannot </w:t>
      </w:r>
      <w:r w:rsidRPr="005B10C1">
        <w:rPr>
          <w:rFonts w:ascii="Garamond" w:hAnsi="Garamond"/>
        </w:rPr>
        <w:lastRenderedPageBreak/>
        <w:t>independently generate or negotiate. In literary studies, the analysis reveals that while technology may assist in textual processing, circulation, or archiving, literary meaning emerges through ethical imagination, historical consciousness, and affective engagement (Nussbaum, 1997). Similarly, in cultural contexts, examinations of ritual practice, orality, and embodiment demonstrate that technology can mediate cultural transmission but cannot constitute cultural meaning itself (Geertz, 1973). Taken together, these findings confirm that technology does not exceed its instrumental role but remains structurally dependent on human institutions of meaning.</w:t>
      </w:r>
    </w:p>
    <w:p w:rsidR="005B10C1" w:rsidRPr="005B10C1" w:rsidRDefault="005B10C1" w:rsidP="005B10C1">
      <w:pPr>
        <w:spacing w:line="360" w:lineRule="auto"/>
        <w:rPr>
          <w:rFonts w:ascii="Garamond" w:hAnsi="Garamond"/>
        </w:rPr>
      </w:pPr>
      <w:r w:rsidRPr="005B10C1">
        <w:rPr>
          <w:rFonts w:ascii="Garamond" w:hAnsi="Garamond"/>
          <w:b/>
          <w:bCs/>
        </w:rPr>
        <w:t>RQ2</w:t>
      </w:r>
      <w:r w:rsidRPr="005B10C1">
        <w:rPr>
          <w:rFonts w:ascii="Garamond" w:hAnsi="Garamond"/>
        </w:rPr>
        <w:t>: The second research question explored how human institutions of meaning resist technological determinism within the Indian context. This question is addressed by situating the analysis within India’s multilingual, multicultural, and postcolonial social landscape. The study shows that Indian linguistic practices—such as code-switching, register variation, and caste- or region-marked speech—actively resist the standardisation imposed by technological systems trained on dominant or global language varieties. These practices reaffirm that language is shaped by social relations and cultural histories rather than by technological efficiency alone.</w:t>
      </w:r>
    </w:p>
    <w:p w:rsidR="005B10C1" w:rsidRPr="005B10C1" w:rsidRDefault="005B10C1" w:rsidP="005B10C1">
      <w:pPr>
        <w:spacing w:line="360" w:lineRule="auto"/>
        <w:rPr>
          <w:rFonts w:ascii="Garamond" w:hAnsi="Garamond"/>
        </w:rPr>
      </w:pPr>
      <w:r>
        <w:rPr>
          <w:rFonts w:ascii="Garamond" w:hAnsi="Garamond"/>
        </w:rPr>
        <w:t xml:space="preserve">     </w:t>
      </w:r>
      <w:r w:rsidRPr="005B10C1">
        <w:rPr>
          <w:rFonts w:ascii="Garamond" w:hAnsi="Garamond"/>
        </w:rPr>
        <w:t>In literary contexts, Indian texts such as Partition narratives and Dalit autobiographies demonstrate how literature functions as ethical witnessing and social critique in ways that cannot be reduced to computational pattern recognition. Culturally, the persistence of oral traditions, ritual practices, and community-based forms of knowledge transmission highlights the limits of digitisation and technological preservation. Drawing on Ashis Nandy’s (2013) critique of technocratic modernity, the study argues that Indian traditions often challenge the instrumental rationality embedded in technological systems. In doing so, the research shows that human institutions in India do not passively absorb technology but actively reinterpret, negotiate, and constrain its influence.</w:t>
      </w:r>
    </w:p>
    <w:p w:rsidR="005B10C1" w:rsidRDefault="005B10C1" w:rsidP="005B10C1">
      <w:pPr>
        <w:spacing w:line="360" w:lineRule="auto"/>
        <w:rPr>
          <w:rFonts w:ascii="Garamond" w:hAnsi="Garamond"/>
        </w:rPr>
      </w:pPr>
      <w:r w:rsidRPr="005B10C1">
        <w:rPr>
          <w:rFonts w:ascii="Garamond" w:hAnsi="Garamond"/>
          <w:b/>
          <w:bCs/>
        </w:rPr>
        <w:t>RQ3</w:t>
      </w:r>
      <w:r w:rsidRPr="005B10C1">
        <w:rPr>
          <w:rFonts w:ascii="Garamond" w:hAnsi="Garamond"/>
        </w:rPr>
        <w:t>: The third research question examined the ethical, cultural, and epistemological implications of framing technology as an interlocutor or agent of meaning. This question is addressed through critical engagement with claims that technology autonomously reshapes ethics, imagination, or human connection. The study demonstrates that treating technology as an agent risks obscuring human responsibility and ethical accountability, particularly in areas such as language representation, literary interpretation, and cultural narration.</w:t>
      </w:r>
    </w:p>
    <w:p w:rsidR="005B10C1" w:rsidRPr="005B10C1" w:rsidRDefault="005B10C1" w:rsidP="005B10C1">
      <w:pPr>
        <w:spacing w:line="360" w:lineRule="auto"/>
        <w:rPr>
          <w:rFonts w:ascii="Garamond" w:hAnsi="Garamond"/>
        </w:rPr>
      </w:pPr>
      <w:r>
        <w:rPr>
          <w:rFonts w:ascii="Garamond" w:hAnsi="Garamond"/>
        </w:rPr>
        <w:t xml:space="preserve">      </w:t>
      </w:r>
      <w:r w:rsidRPr="005B10C1">
        <w:rPr>
          <w:rFonts w:ascii="Garamond" w:hAnsi="Garamond"/>
        </w:rPr>
        <w:t xml:space="preserve">Drawing on Arendt’s (1958) conception of ethical responsibility and Schutz’s (1967) phenomenology of intersubjective meaning, the analysis shows that ethical judgment presupposes human deliberation, historical awareness, and moral agency—capacities that technological systems do not possess. Epistemologically, framing technology as an agent </w:t>
      </w:r>
      <w:r w:rsidRPr="005B10C1">
        <w:rPr>
          <w:rFonts w:ascii="Garamond" w:hAnsi="Garamond"/>
        </w:rPr>
        <w:lastRenderedPageBreak/>
        <w:t>encourages a reductionist understanding of knowledge that prioritises efficiency and abstraction over lived experience and cultural memory. Culturally, such framing risks legitimising homogenisation and marginalising indigenous epistemologies, especially in postcolonial contexts (Spivak, 1999; Nandy, 2013). By critically examining these implications, the study reaffirms the importance of maintaining a human-centred framework within the anthropology of technology.</w:t>
      </w:r>
    </w:p>
    <w:p w:rsidR="005B10C1" w:rsidRPr="005B10C1" w:rsidRDefault="005B10C1" w:rsidP="005B10C1">
      <w:pPr>
        <w:spacing w:line="360" w:lineRule="auto"/>
        <w:rPr>
          <w:rFonts w:ascii="Garamond" w:hAnsi="Garamond"/>
          <w:b/>
          <w:bCs/>
        </w:rPr>
      </w:pPr>
      <w:r w:rsidRPr="005B10C1">
        <w:rPr>
          <w:rFonts w:ascii="Garamond" w:hAnsi="Garamond"/>
          <w:b/>
          <w:bCs/>
        </w:rPr>
        <w:t>4.2 Major Findings of the Study</w:t>
      </w:r>
    </w:p>
    <w:p w:rsidR="005B10C1" w:rsidRPr="005B10C1" w:rsidRDefault="005B10C1" w:rsidP="005B10C1">
      <w:pPr>
        <w:spacing w:line="360" w:lineRule="auto"/>
        <w:rPr>
          <w:rFonts w:ascii="Garamond" w:hAnsi="Garamond"/>
        </w:rPr>
      </w:pPr>
      <w:r w:rsidRPr="005B10C1">
        <w:rPr>
          <w:rFonts w:ascii="Garamond" w:hAnsi="Garamond"/>
        </w:rPr>
        <w:t>The study yields several key findings that collectively reinforce its central thesis regarding the limited scope of technology in language, literature, and culture. First, it establishes that technology functions primarily as an instrument and mediator rather than as an autonomous agent of meaning. Across linguistic, literary, and cultural domains, meaning-making is shown to depend on human agency, social norms, ethical judgment, and historical consciousness.</w:t>
      </w:r>
    </w:p>
    <w:p w:rsidR="005B10C1" w:rsidRPr="005B10C1" w:rsidRDefault="005B10C1" w:rsidP="005B10C1">
      <w:pPr>
        <w:spacing w:line="360" w:lineRule="auto"/>
        <w:rPr>
          <w:rFonts w:ascii="Garamond" w:hAnsi="Garamond"/>
        </w:rPr>
      </w:pPr>
      <w:r>
        <w:rPr>
          <w:rFonts w:ascii="Garamond" w:hAnsi="Garamond"/>
        </w:rPr>
        <w:t xml:space="preserve">     </w:t>
      </w:r>
      <w:r w:rsidRPr="005B10C1">
        <w:rPr>
          <w:rFonts w:ascii="Garamond" w:hAnsi="Garamond"/>
        </w:rPr>
        <w:t>Linguistic analysis demonstrates that communicative competence and linguistic capital are socially constituted and embedded within power relations, rendering purely technological models insufficient. In literary contexts, the findings reveal that ethical imagination, affective engagement, and interpretive judgment remain irreducibly human capacities that cannot be automated. Culturally, the study finds that while technology may facilitate preservation and circulation, it cannot sustain lived cultural transmission rooted in embodiment, ritual practice, and communal memory. Together, these findings challenge techno-determinist narratives and reaffirm the primacy of human institutions in shaping language, literature, and culture, particularly within India’s pluralistic social context.</w:t>
      </w:r>
    </w:p>
    <w:p w:rsidR="005B10C1" w:rsidRPr="007856F0" w:rsidRDefault="005B10C1" w:rsidP="005B10C1">
      <w:pPr>
        <w:spacing w:line="360" w:lineRule="auto"/>
        <w:rPr>
          <w:rFonts w:ascii="Garamond" w:hAnsi="Garamond"/>
          <w:b/>
          <w:bCs/>
        </w:rPr>
      </w:pPr>
      <w:r w:rsidRPr="007856F0">
        <w:rPr>
          <w:rFonts w:ascii="Garamond" w:hAnsi="Garamond"/>
          <w:b/>
          <w:bCs/>
        </w:rPr>
        <w:t>4.3 Limitations of the Study</w:t>
      </w:r>
    </w:p>
    <w:p w:rsidR="005B10C1" w:rsidRPr="005B10C1" w:rsidRDefault="005B10C1" w:rsidP="005B10C1">
      <w:pPr>
        <w:spacing w:line="360" w:lineRule="auto"/>
        <w:rPr>
          <w:rFonts w:ascii="Garamond" w:hAnsi="Garamond"/>
        </w:rPr>
      </w:pPr>
      <w:r w:rsidRPr="005B10C1">
        <w:rPr>
          <w:rFonts w:ascii="Garamond" w:hAnsi="Garamond"/>
        </w:rPr>
        <w:t>Despite its analytical strengths, the study has certain limitations that must be acknowledged. Methodologically, the research relies on qualitative, theoretical, and interpretive analysis rather than on primary empirical data such as ethnographic fieldwork, interviews, or surveys. While this approach is well suited to examining meaning, ethics, and cultural institutions, it limits the ability to generalise findings across diverse social settings or to analyse everyday technological practices in situ.</w:t>
      </w:r>
    </w:p>
    <w:p w:rsidR="005B10C1" w:rsidRPr="005B10C1" w:rsidRDefault="007856F0" w:rsidP="005B10C1">
      <w:pPr>
        <w:spacing w:line="360" w:lineRule="auto"/>
        <w:rPr>
          <w:rFonts w:ascii="Garamond" w:hAnsi="Garamond"/>
        </w:rPr>
      </w:pPr>
      <w:r>
        <w:rPr>
          <w:rFonts w:ascii="Garamond" w:hAnsi="Garamond"/>
        </w:rPr>
        <w:t xml:space="preserve">     </w:t>
      </w:r>
      <w:r w:rsidR="005B10C1" w:rsidRPr="005B10C1">
        <w:rPr>
          <w:rFonts w:ascii="Garamond" w:hAnsi="Garamond"/>
        </w:rPr>
        <w:t>In addition, the study does not undertake detailed case studies of specific digital platforms, artificial intelligence systems, or technological tools, instead engaging with technology at a conceptual and theoretical level. This leaves scope for future empirical validation of the arguments presented. Finally, although the Indian context is foregrounded, the immense linguistic and cultural diversity of India cannot be exhaustively represented within a single study, and the examples used are illustrative rather than comprehensive.</w:t>
      </w:r>
    </w:p>
    <w:p w:rsidR="005B10C1" w:rsidRPr="007856F0" w:rsidRDefault="005B10C1" w:rsidP="005B10C1">
      <w:pPr>
        <w:spacing w:line="360" w:lineRule="auto"/>
        <w:rPr>
          <w:rFonts w:ascii="Garamond" w:hAnsi="Garamond"/>
          <w:b/>
          <w:bCs/>
        </w:rPr>
      </w:pPr>
      <w:r w:rsidRPr="007856F0">
        <w:rPr>
          <w:rFonts w:ascii="Garamond" w:hAnsi="Garamond"/>
          <w:b/>
          <w:bCs/>
        </w:rPr>
        <w:t>4.4 Scope for Further Study</w:t>
      </w:r>
    </w:p>
    <w:p w:rsidR="005B10C1" w:rsidRPr="005B10C1" w:rsidRDefault="005B10C1" w:rsidP="005B10C1">
      <w:pPr>
        <w:spacing w:line="360" w:lineRule="auto"/>
        <w:rPr>
          <w:rFonts w:ascii="Garamond" w:hAnsi="Garamond"/>
        </w:rPr>
      </w:pPr>
      <w:r w:rsidRPr="005B10C1">
        <w:rPr>
          <w:rFonts w:ascii="Garamond" w:hAnsi="Garamond"/>
        </w:rPr>
        <w:lastRenderedPageBreak/>
        <w:t>The limitations outlined above point toward several productive directions for future research. Subsequent studies could complement the present theoretical framework with ethnographic and sociolinguistic fieldwork examining how communities in India negotiate technological interventions in everyday language use, literary production, and cultural practice. Empirical research in classrooms, digital reading communities, oral performance spaces, and online cultural forums would deepen understanding of how human agency actively shapes technological use.</w:t>
      </w:r>
    </w:p>
    <w:p w:rsidR="005B10C1" w:rsidRDefault="007856F0" w:rsidP="005B10C1">
      <w:pPr>
        <w:spacing w:line="360" w:lineRule="auto"/>
        <w:rPr>
          <w:rFonts w:ascii="Garamond" w:hAnsi="Garamond"/>
        </w:rPr>
      </w:pPr>
      <w:r>
        <w:rPr>
          <w:rFonts w:ascii="Garamond" w:hAnsi="Garamond"/>
        </w:rPr>
        <w:t xml:space="preserve">     </w:t>
      </w:r>
      <w:r w:rsidR="005B10C1" w:rsidRPr="005B10C1">
        <w:rPr>
          <w:rFonts w:ascii="Garamond" w:hAnsi="Garamond"/>
        </w:rPr>
        <w:t>Comparative studies across regions or between Global South and Global North contexts could further illuminate how cultural specificity mediates technological influence. Moreover, interdisciplinary research combining anthropology, digital humanities, and ethics could explore models of technological integration that are both responsible and culturally sensitive, without succumbing to technological determinism. Such work would extend the present study by strengthening its empirical foundation while retaining its commitment to a human-centred understanding of technology.</w:t>
      </w:r>
    </w:p>
    <w:p w:rsidR="007856F0" w:rsidRPr="007856F0" w:rsidRDefault="007856F0" w:rsidP="007856F0">
      <w:pPr>
        <w:spacing w:line="360" w:lineRule="auto"/>
        <w:rPr>
          <w:rFonts w:ascii="Garamond" w:hAnsi="Garamond"/>
          <w:b/>
          <w:bCs/>
        </w:rPr>
      </w:pPr>
      <w:r w:rsidRPr="007856F0">
        <w:rPr>
          <w:rFonts w:ascii="Garamond" w:hAnsi="Garamond"/>
          <w:b/>
          <w:bCs/>
        </w:rPr>
        <w:t>5 Conclusions</w:t>
      </w:r>
    </w:p>
    <w:p w:rsidR="007856F0" w:rsidRDefault="007856F0" w:rsidP="007856F0">
      <w:pPr>
        <w:spacing w:line="360" w:lineRule="auto"/>
        <w:rPr>
          <w:rFonts w:ascii="Garamond" w:hAnsi="Garamond"/>
        </w:rPr>
      </w:pPr>
      <w:r w:rsidRPr="007856F0">
        <w:rPr>
          <w:rFonts w:ascii="Garamond" w:hAnsi="Garamond"/>
        </w:rPr>
        <w:t>This study has argued that the most consequential question in contemporary debates about technology is not what technology can do, but what it cannot—and should not—be asked to do. By firmly situating language, literature, and culture within the domain of human institutions, the study demonstrates that meaning, ethics, and imagination do not originate in tools, algorithms, or platforms. Rather, they emerge from socially embedded, historically situated, and ethically accountable human practices.</w:t>
      </w:r>
      <w:r>
        <w:rPr>
          <w:rFonts w:ascii="Garamond" w:hAnsi="Garamond"/>
        </w:rPr>
        <w:t xml:space="preserve"> </w:t>
      </w:r>
      <w:r w:rsidRPr="007856F0">
        <w:rPr>
          <w:rFonts w:ascii="Garamond" w:hAnsi="Garamond"/>
        </w:rPr>
        <w:t>Technology can accelerate communication, reorganise modes of circulation, and expand access to cultural materials. However, it does not author communicative norms, experience literary vulnerability, or inhabit cultural memory. To attribute such capacities to technology risks erasing human agency and diffusing responsibility, particularly in pluralistic and postcolonial contexts such as India, where meaning is negotiated through lived difference, social history, and ethical contestation rather than through technical standardisation.</w:t>
      </w:r>
      <w:r>
        <w:rPr>
          <w:rFonts w:ascii="Garamond" w:hAnsi="Garamond"/>
        </w:rPr>
        <w:t xml:space="preserve"> </w:t>
      </w:r>
      <w:r w:rsidRPr="007856F0">
        <w:rPr>
          <w:rFonts w:ascii="Garamond" w:hAnsi="Garamond"/>
        </w:rPr>
        <w:t>The conclusion reached here is</w:t>
      </w:r>
      <w:r>
        <w:rPr>
          <w:rFonts w:ascii="Garamond" w:hAnsi="Garamond"/>
        </w:rPr>
        <w:t>,</w:t>
      </w:r>
      <w:r w:rsidRPr="007856F0">
        <w:rPr>
          <w:rFonts w:ascii="Garamond" w:hAnsi="Garamond"/>
        </w:rPr>
        <w:t xml:space="preserve"> therefore</w:t>
      </w:r>
      <w:r>
        <w:rPr>
          <w:rFonts w:ascii="Garamond" w:hAnsi="Garamond"/>
        </w:rPr>
        <w:t>,</w:t>
      </w:r>
      <w:r w:rsidRPr="007856F0">
        <w:rPr>
          <w:rFonts w:ascii="Garamond" w:hAnsi="Garamond"/>
        </w:rPr>
        <w:t xml:space="preserve"> not anti-technology but anti-absolutist. It is a call to resist technological hubris and to reaffirm the irreducible centrality of the human within any anthropology of technology. Only by recognising the limits of technology can it be integrated responsibly—without surrendering the ethical, cultural, and imaginative foundations that make language, literature, and culture fundamentally human.</w:t>
      </w:r>
    </w:p>
    <w:p w:rsidR="007856F0" w:rsidRPr="00C63239" w:rsidRDefault="007856F0" w:rsidP="007856F0">
      <w:pPr>
        <w:spacing w:line="360" w:lineRule="auto"/>
        <w:rPr>
          <w:rFonts w:ascii="Garamond" w:hAnsi="Garamond"/>
          <w:b/>
          <w:bCs/>
          <w:lang w:val="en-GB"/>
        </w:rPr>
      </w:pPr>
      <w:r>
        <w:rPr>
          <w:rFonts w:ascii="Garamond" w:hAnsi="Garamond"/>
          <w:b/>
          <w:bCs/>
          <w:lang w:val="en-GB"/>
        </w:rPr>
        <w:t xml:space="preserve">6 </w:t>
      </w:r>
      <w:r w:rsidRPr="00C63239">
        <w:rPr>
          <w:rFonts w:ascii="Garamond" w:hAnsi="Garamond"/>
          <w:b/>
          <w:bCs/>
          <w:lang w:val="en-GB"/>
        </w:rPr>
        <w:t>References</w:t>
      </w:r>
    </w:p>
    <w:p w:rsidR="007856F0" w:rsidRPr="005503F3" w:rsidRDefault="007856F0" w:rsidP="007856F0">
      <w:pPr>
        <w:pStyle w:val="ListParagraph"/>
        <w:numPr>
          <w:ilvl w:val="0"/>
          <w:numId w:val="2"/>
        </w:numPr>
        <w:spacing w:line="360" w:lineRule="auto"/>
        <w:rPr>
          <w:rFonts w:ascii="Garamond" w:hAnsi="Garamond"/>
          <w:i/>
          <w:iCs/>
          <w:lang w:val="en-GB"/>
        </w:rPr>
      </w:pPr>
      <w:proofErr w:type="spellStart"/>
      <w:r>
        <w:rPr>
          <w:rFonts w:ascii="Garamond" w:hAnsi="Garamond"/>
          <w:lang w:val="en-GB"/>
        </w:rPr>
        <w:t>Alimujiang</w:t>
      </w:r>
      <w:proofErr w:type="spellEnd"/>
      <w:r>
        <w:rPr>
          <w:rFonts w:ascii="Garamond" w:hAnsi="Garamond"/>
          <w:lang w:val="en-GB"/>
        </w:rPr>
        <w:t xml:space="preserve">, J.N. (2025). When strings tug at algorithm: Human-AI sovereignty and entanglement in nomadic improvisational music performance as a decolonial exploration. </w:t>
      </w:r>
      <w:r w:rsidRPr="006A0A0B">
        <w:rPr>
          <w:rFonts w:ascii="Garamond" w:hAnsi="Garamond"/>
          <w:i/>
          <w:iCs/>
          <w:lang w:val="en-GB"/>
        </w:rPr>
        <w:t>Human-Computer Interaction</w:t>
      </w:r>
      <w:r>
        <w:rPr>
          <w:rFonts w:ascii="Garamond" w:hAnsi="Garamond"/>
          <w:lang w:val="en-GB"/>
        </w:rPr>
        <w:t>, arXiv:2510.19086 [</w:t>
      </w:r>
      <w:proofErr w:type="spellStart"/>
      <w:r>
        <w:rPr>
          <w:rFonts w:ascii="Garamond" w:hAnsi="Garamond"/>
          <w:lang w:val="en-GB"/>
        </w:rPr>
        <w:t>cs.HC</w:t>
      </w:r>
      <w:proofErr w:type="spellEnd"/>
      <w:r>
        <w:rPr>
          <w:rFonts w:ascii="Garamond" w:hAnsi="Garamond"/>
          <w:lang w:val="en-GB"/>
        </w:rPr>
        <w:t xml:space="preserve">] </w:t>
      </w:r>
      <w:hyperlink r:id="rId8" w:history="1">
        <w:r w:rsidRPr="00027CF2">
          <w:rPr>
            <w:rStyle w:val="Hyperlink"/>
            <w:rFonts w:ascii="Garamond" w:hAnsi="Garamond"/>
            <w:lang w:val="en-GB"/>
          </w:rPr>
          <w:t>https://doi.org/10.48550/arXiv.2510.19086</w:t>
        </w:r>
      </w:hyperlink>
      <w:r>
        <w:rPr>
          <w:rFonts w:ascii="Garamond" w:hAnsi="Garamond"/>
          <w:lang w:val="en-GB"/>
        </w:rPr>
        <w:t xml:space="preserve"> </w:t>
      </w:r>
      <w:hyperlink r:id="rId9" w:history="1">
        <w:r w:rsidRPr="005503F3">
          <w:rPr>
            <w:rStyle w:val="Hyperlink"/>
            <w:rFonts w:ascii="Garamond" w:hAnsi="Garamond"/>
            <w:i/>
            <w:iCs/>
            <w:lang w:val="en-GB"/>
          </w:rPr>
          <w:t>https://arxiv.org/abs/2510.19086?utm_source=chatgpt.com</w:t>
        </w:r>
      </w:hyperlink>
      <w:r w:rsidRPr="005503F3">
        <w:rPr>
          <w:rFonts w:ascii="Garamond" w:hAnsi="Garamond"/>
          <w:i/>
          <w:iCs/>
          <w:lang w:val="en-GB"/>
        </w:rPr>
        <w:t xml:space="preserve"> </w:t>
      </w:r>
    </w:p>
    <w:p w:rsidR="007856F0" w:rsidRDefault="007856F0" w:rsidP="007856F0">
      <w:pPr>
        <w:pStyle w:val="ListParagraph"/>
        <w:numPr>
          <w:ilvl w:val="0"/>
          <w:numId w:val="2"/>
        </w:numPr>
        <w:spacing w:line="360" w:lineRule="auto"/>
        <w:rPr>
          <w:rFonts w:ascii="Garamond" w:hAnsi="Garamond"/>
          <w:lang w:val="en-GB"/>
        </w:rPr>
      </w:pPr>
      <w:r w:rsidRPr="005503F3">
        <w:rPr>
          <w:rFonts w:ascii="Garamond" w:hAnsi="Garamond"/>
          <w:i/>
          <w:iCs/>
          <w:lang w:val="en-GB"/>
        </w:rPr>
        <w:t>Arendt, H. (1958). The</w:t>
      </w:r>
      <w:r>
        <w:rPr>
          <w:rFonts w:ascii="Garamond" w:hAnsi="Garamond"/>
          <w:lang w:val="en-GB"/>
        </w:rPr>
        <w:t xml:space="preserve"> human condition. University of Chicago Press.</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Bourdieu, P. (1991). </w:t>
      </w:r>
      <w:r w:rsidRPr="00653B2E">
        <w:rPr>
          <w:rFonts w:ascii="Garamond" w:hAnsi="Garamond"/>
          <w:i/>
          <w:iCs/>
          <w:lang w:val="en-GB"/>
        </w:rPr>
        <w:t>Language and symbolic power</w:t>
      </w:r>
      <w:r w:rsidRPr="00653B2E">
        <w:rPr>
          <w:rFonts w:ascii="Garamond" w:hAnsi="Garamond"/>
          <w:lang w:val="en-GB"/>
        </w:rPr>
        <w:t xml:space="preserve"> (J. B. Thompson, Ed.; G. Raymond &amp; M. Adamson, Trans.). Harvard University Press.</w:t>
      </w:r>
    </w:p>
    <w:p w:rsidR="007856F0" w:rsidRDefault="007856F0" w:rsidP="007856F0">
      <w:pPr>
        <w:pStyle w:val="ListParagraph"/>
        <w:numPr>
          <w:ilvl w:val="0"/>
          <w:numId w:val="2"/>
        </w:numPr>
        <w:spacing w:line="360" w:lineRule="auto"/>
        <w:rPr>
          <w:rFonts w:ascii="Garamond" w:hAnsi="Garamond"/>
          <w:lang w:val="en-GB"/>
        </w:rPr>
      </w:pPr>
      <w:proofErr w:type="spellStart"/>
      <w:r w:rsidRPr="00653B2E">
        <w:rPr>
          <w:rFonts w:ascii="Garamond" w:hAnsi="Garamond"/>
          <w:lang w:val="en-GB"/>
        </w:rPr>
        <w:t>Couldry</w:t>
      </w:r>
      <w:proofErr w:type="spellEnd"/>
      <w:r w:rsidRPr="00653B2E">
        <w:rPr>
          <w:rFonts w:ascii="Garamond" w:hAnsi="Garamond"/>
          <w:lang w:val="en-GB"/>
        </w:rPr>
        <w:t xml:space="preserve">, N., &amp; Mejias, U. A. (2019). </w:t>
      </w:r>
      <w:r w:rsidRPr="00653B2E">
        <w:rPr>
          <w:rFonts w:ascii="Garamond" w:hAnsi="Garamond"/>
          <w:i/>
          <w:iCs/>
          <w:lang w:val="en-GB"/>
        </w:rPr>
        <w:t>The costs of connection: How data is colonizing human life and appropriating it for capitalism</w:t>
      </w:r>
      <w:r w:rsidRPr="00653B2E">
        <w:rPr>
          <w:rFonts w:ascii="Garamond" w:hAnsi="Garamond"/>
          <w:lang w:val="en-GB"/>
        </w:rPr>
        <w:t>. Stanford University Press.</w:t>
      </w:r>
    </w:p>
    <w:p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Cummings-Koether, M.J., Durner, F., </w:t>
      </w:r>
      <w:proofErr w:type="spellStart"/>
      <w:r>
        <w:rPr>
          <w:rFonts w:ascii="Garamond" w:hAnsi="Garamond"/>
          <w:lang w:val="en-GB"/>
        </w:rPr>
        <w:t>Shyiramunda</w:t>
      </w:r>
      <w:proofErr w:type="spellEnd"/>
      <w:r>
        <w:rPr>
          <w:rFonts w:ascii="Garamond" w:hAnsi="Garamond"/>
          <w:lang w:val="en-GB"/>
        </w:rPr>
        <w:t xml:space="preserve">, T., &amp; </w:t>
      </w:r>
      <w:proofErr w:type="spellStart"/>
      <w:r>
        <w:rPr>
          <w:rFonts w:ascii="Garamond" w:hAnsi="Garamond"/>
          <w:lang w:val="en-GB"/>
        </w:rPr>
        <w:t>Heummer</w:t>
      </w:r>
      <w:proofErr w:type="spellEnd"/>
      <w:r>
        <w:rPr>
          <w:rFonts w:ascii="Garamond" w:hAnsi="Garamond"/>
          <w:lang w:val="en-GB"/>
        </w:rPr>
        <w:t xml:space="preserve">, M. (2025). Cultural Dimensions of artificial intelligence adoption: empirical insights for wave 1 from a multinational longitudinal pilot study. </w:t>
      </w:r>
      <w:r w:rsidRPr="00494573">
        <w:rPr>
          <w:rFonts w:ascii="Garamond" w:hAnsi="Garamond"/>
          <w:i/>
          <w:iCs/>
          <w:lang w:val="en-GB"/>
        </w:rPr>
        <w:t>Computers and Society</w:t>
      </w:r>
      <w:r>
        <w:rPr>
          <w:rFonts w:ascii="Garamond" w:hAnsi="Garamond"/>
          <w:lang w:val="en-GB"/>
        </w:rPr>
        <w:t xml:space="preserve">, </w:t>
      </w:r>
      <w:r w:rsidRPr="00D37B2E">
        <w:rPr>
          <w:rFonts w:ascii="Garamond" w:hAnsi="Garamond"/>
          <w:lang w:val="en-GB"/>
        </w:rPr>
        <w:t>arXiv:2</w:t>
      </w:r>
      <w:r>
        <w:rPr>
          <w:rFonts w:ascii="Garamond" w:hAnsi="Garamond"/>
          <w:lang w:val="en-GB"/>
        </w:rPr>
        <w:t>510</w:t>
      </w:r>
      <w:r w:rsidRPr="00D37B2E">
        <w:rPr>
          <w:rFonts w:ascii="Garamond" w:hAnsi="Garamond"/>
          <w:lang w:val="en-GB"/>
        </w:rPr>
        <w:t>.</w:t>
      </w:r>
      <w:r>
        <w:rPr>
          <w:rFonts w:ascii="Garamond" w:hAnsi="Garamond"/>
          <w:lang w:val="en-GB"/>
        </w:rPr>
        <w:t xml:space="preserve">19743 </w:t>
      </w:r>
      <w:r w:rsidRPr="00D37B2E">
        <w:rPr>
          <w:rFonts w:ascii="Garamond" w:hAnsi="Garamond"/>
          <w:lang w:val="en-GB"/>
        </w:rPr>
        <w:t>[cs.CY]</w:t>
      </w:r>
      <w:r>
        <w:rPr>
          <w:rFonts w:ascii="Garamond" w:hAnsi="Garamond"/>
          <w:lang w:val="en-GB"/>
        </w:rPr>
        <w:t xml:space="preserve"> </w:t>
      </w:r>
      <w:hyperlink r:id="rId10" w:history="1">
        <w:r w:rsidRPr="00027CF2">
          <w:rPr>
            <w:rStyle w:val="Hyperlink"/>
            <w:rFonts w:ascii="Garamond" w:hAnsi="Garamond"/>
            <w:lang w:val="en-GB"/>
          </w:rPr>
          <w:t>https://doi.org/10.48550/arXiv.2510.19743</w:t>
        </w:r>
      </w:hyperlink>
      <w:r>
        <w:rPr>
          <w:rFonts w:ascii="Garamond" w:hAnsi="Garamond"/>
          <w:lang w:val="en-GB"/>
        </w:rPr>
        <w:t xml:space="preserve"> </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Geertz, C. (1973). </w:t>
      </w:r>
      <w:r w:rsidRPr="00653B2E">
        <w:rPr>
          <w:rFonts w:ascii="Garamond" w:hAnsi="Garamond"/>
          <w:i/>
          <w:iCs/>
          <w:lang w:val="en-GB"/>
        </w:rPr>
        <w:t>The interpretation of cultures</w:t>
      </w:r>
      <w:r w:rsidRPr="00653B2E">
        <w:rPr>
          <w:rFonts w:ascii="Garamond" w:hAnsi="Garamond"/>
          <w:lang w:val="en-GB"/>
        </w:rPr>
        <w:t>. Basic Books.</w:t>
      </w:r>
    </w:p>
    <w:p w:rsidR="007856F0" w:rsidRPr="003D5A3D" w:rsidRDefault="007856F0" w:rsidP="007856F0">
      <w:pPr>
        <w:pStyle w:val="ListParagraph"/>
        <w:numPr>
          <w:ilvl w:val="0"/>
          <w:numId w:val="2"/>
        </w:numPr>
        <w:spacing w:line="360" w:lineRule="auto"/>
        <w:rPr>
          <w:rFonts w:ascii="Garamond" w:hAnsi="Garamond"/>
          <w:lang w:val="en-GB"/>
        </w:rPr>
      </w:pPr>
      <w:proofErr w:type="spellStart"/>
      <w:r>
        <w:rPr>
          <w:rFonts w:ascii="Garamond" w:hAnsi="Garamond"/>
          <w:lang w:val="en-GB"/>
        </w:rPr>
        <w:t>Hakoupian</w:t>
      </w:r>
      <w:proofErr w:type="spellEnd"/>
      <w:r>
        <w:rPr>
          <w:rFonts w:ascii="Garamond" w:hAnsi="Garamond"/>
          <w:lang w:val="en-GB"/>
        </w:rPr>
        <w:t xml:space="preserve">, A. (2025). The absence of the white elephant in the language classroom: Pedagogical implications for second language acquisition. </w:t>
      </w:r>
      <w:r w:rsidRPr="003D5A3D">
        <w:rPr>
          <w:rFonts w:ascii="Garamond" w:hAnsi="Garamond"/>
          <w:i/>
          <w:iCs/>
          <w:lang w:val="en-GB"/>
        </w:rPr>
        <w:t>International Journal of Humanities and Social Science</w:t>
      </w:r>
      <w:r>
        <w:rPr>
          <w:rFonts w:ascii="Garamond" w:hAnsi="Garamond"/>
          <w:lang w:val="en-GB"/>
        </w:rPr>
        <w:t xml:space="preserve">, 15, 107-110. </w:t>
      </w:r>
      <w:hyperlink r:id="rId11" w:history="1">
        <w:r w:rsidRPr="00027CF2">
          <w:rPr>
            <w:rStyle w:val="Hyperlink"/>
            <w:rFonts w:ascii="Garamond" w:hAnsi="Garamond"/>
            <w:lang w:val="en-GB"/>
          </w:rPr>
          <w:t>https://doi.org/10.30845/ijhss.v15p9</w:t>
        </w:r>
      </w:hyperlink>
      <w:r>
        <w:rPr>
          <w:rFonts w:ascii="Garamond" w:hAnsi="Garamond"/>
          <w:lang w:val="en-GB"/>
        </w:rPr>
        <w:t xml:space="preserve"> </w:t>
      </w:r>
      <w:hyperlink r:id="rId12" w:history="1">
        <w:r w:rsidRPr="00027CF2">
          <w:rPr>
            <w:rStyle w:val="Hyperlink"/>
            <w:rFonts w:ascii="Garamond" w:hAnsi="Garamond"/>
            <w:lang w:val="en-GB"/>
          </w:rPr>
          <w:t>https://ijhss.thebrpi.org/journals/Vol_15_2025/9.pdf?utm_source=chatgpt.com</w:t>
        </w:r>
      </w:hyperlink>
      <w:r>
        <w:rPr>
          <w:rFonts w:ascii="Garamond" w:hAnsi="Garamond"/>
          <w:lang w:val="en-GB"/>
        </w:rPr>
        <w:t xml:space="preserve"> </w:t>
      </w:r>
    </w:p>
    <w:p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Hayles, N.K. (2012). </w:t>
      </w:r>
      <w:r w:rsidRPr="002D6769">
        <w:rPr>
          <w:rFonts w:ascii="Garamond" w:hAnsi="Garamond"/>
          <w:i/>
          <w:iCs/>
          <w:lang w:val="en-GB"/>
        </w:rPr>
        <w:t xml:space="preserve">How we think: Digital media and contemporary </w:t>
      </w:r>
      <w:proofErr w:type="spellStart"/>
      <w:r w:rsidRPr="002D6769">
        <w:rPr>
          <w:rFonts w:ascii="Garamond" w:hAnsi="Garamond"/>
          <w:i/>
          <w:iCs/>
          <w:lang w:val="en-GB"/>
        </w:rPr>
        <w:t>technogenesis</w:t>
      </w:r>
      <w:proofErr w:type="spellEnd"/>
      <w:r>
        <w:rPr>
          <w:rFonts w:ascii="Garamond" w:hAnsi="Garamond"/>
          <w:lang w:val="en-GB"/>
        </w:rPr>
        <w:t>. University of Chicago Press.</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Hymes, D. (1972). On communicative competence. In J. B. Pride &amp; J. Holmes (Eds.), </w:t>
      </w:r>
      <w:r w:rsidRPr="00653B2E">
        <w:rPr>
          <w:rFonts w:ascii="Garamond" w:hAnsi="Garamond"/>
          <w:i/>
          <w:iCs/>
          <w:lang w:val="en-GB"/>
        </w:rPr>
        <w:t>Sociolinguistics: Selected readings</w:t>
      </w:r>
      <w:r w:rsidRPr="00653B2E">
        <w:rPr>
          <w:rFonts w:ascii="Garamond" w:hAnsi="Garamond"/>
          <w:lang w:val="en-GB"/>
        </w:rPr>
        <w:t xml:space="preserve"> (pp. 269–293). Penguin.</w:t>
      </w:r>
    </w:p>
    <w:p w:rsidR="007856F0" w:rsidRPr="00304D6C"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Huang, L., &amp; Liu, M. (2025). The impact of technology on foreign language anxiety: A systematic review of empirical studies from 2004 to 2024. </w:t>
      </w:r>
      <w:r w:rsidRPr="000D05B5">
        <w:rPr>
          <w:rFonts w:ascii="Garamond" w:hAnsi="Garamond"/>
          <w:i/>
          <w:iCs/>
          <w:lang w:val="en-GB"/>
        </w:rPr>
        <w:t>Humanities and Social Sciences Communication</w:t>
      </w:r>
      <w:r>
        <w:rPr>
          <w:rFonts w:ascii="Garamond" w:hAnsi="Garamond"/>
          <w:lang w:val="en-GB"/>
        </w:rPr>
        <w:t xml:space="preserve">, 12, 1665. </w:t>
      </w:r>
      <w:hyperlink r:id="rId13" w:history="1">
        <w:r w:rsidRPr="00027CF2">
          <w:rPr>
            <w:rStyle w:val="Hyperlink"/>
            <w:rFonts w:ascii="Garamond" w:hAnsi="Garamond"/>
            <w:lang w:val="en-GB"/>
          </w:rPr>
          <w:t>https://doi.org/10.1057/s41599-025-05921-6</w:t>
        </w:r>
      </w:hyperlink>
      <w:r>
        <w:rPr>
          <w:rFonts w:ascii="Garamond" w:hAnsi="Garamond"/>
          <w:lang w:val="en-GB"/>
        </w:rPr>
        <w:t xml:space="preserve">  </w:t>
      </w:r>
      <w:hyperlink r:id="rId14" w:history="1">
        <w:r w:rsidRPr="00027CF2">
          <w:rPr>
            <w:rStyle w:val="Hyperlink"/>
            <w:rFonts w:ascii="Garamond" w:hAnsi="Garamond"/>
            <w:lang w:val="en-GB"/>
          </w:rPr>
          <w:t>https://www.nature.com/articles/s41599-025-05921-6?utm_source=chatgpt.com</w:t>
        </w:r>
      </w:hyperlink>
      <w:r>
        <w:rPr>
          <w:rFonts w:ascii="Garamond" w:hAnsi="Garamond"/>
          <w:lang w:val="en-GB"/>
        </w:rPr>
        <w:t xml:space="preserve"> </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Husserl, E. (1970). </w:t>
      </w:r>
      <w:r w:rsidRPr="00653B2E">
        <w:rPr>
          <w:rFonts w:ascii="Garamond" w:hAnsi="Garamond"/>
          <w:i/>
          <w:iCs/>
          <w:lang w:val="en-GB"/>
        </w:rPr>
        <w:t>The crisis of European sciences and transcendental phenomenology</w:t>
      </w:r>
      <w:r w:rsidRPr="00653B2E">
        <w:rPr>
          <w:rFonts w:ascii="Garamond" w:hAnsi="Garamond"/>
          <w:lang w:val="en-GB"/>
        </w:rPr>
        <w:t xml:space="preserve"> (D. Carr, Trans.). Northwestern University Press. (Original work published 1936)</w:t>
      </w:r>
    </w:p>
    <w:p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Ingold, T. (2020). </w:t>
      </w:r>
      <w:r w:rsidRPr="00EE1637">
        <w:rPr>
          <w:rFonts w:ascii="Garamond" w:hAnsi="Garamond"/>
          <w:i/>
          <w:iCs/>
          <w:lang w:val="en-GB"/>
        </w:rPr>
        <w:t>Anthropology: Why it matters</w:t>
      </w:r>
      <w:r>
        <w:rPr>
          <w:rFonts w:ascii="Garamond" w:hAnsi="Garamond"/>
          <w:lang w:val="en-GB"/>
        </w:rPr>
        <w:t xml:space="preserve">. Polity Press. </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Kittler, F. A. (1999). </w:t>
      </w:r>
      <w:r w:rsidRPr="00653B2E">
        <w:rPr>
          <w:rFonts w:ascii="Garamond" w:hAnsi="Garamond"/>
          <w:i/>
          <w:iCs/>
          <w:lang w:val="en-GB"/>
        </w:rPr>
        <w:t>Gramophone, film, typewriter</w:t>
      </w:r>
      <w:r w:rsidRPr="00653B2E">
        <w:rPr>
          <w:rFonts w:ascii="Garamond" w:hAnsi="Garamond"/>
          <w:lang w:val="en-GB"/>
        </w:rPr>
        <w:t xml:space="preserve"> (G. Winthrop-Young &amp; M. Wutz, Trans.). Stanford University Press.</w:t>
      </w:r>
    </w:p>
    <w:p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Latour, B. (2005). </w:t>
      </w:r>
      <w:r w:rsidRPr="002D6769">
        <w:rPr>
          <w:rFonts w:ascii="Garamond" w:hAnsi="Garamond"/>
          <w:i/>
          <w:iCs/>
          <w:lang w:val="en-GB"/>
        </w:rPr>
        <w:t>Reassembling the social: An introduction to actor-network theory</w:t>
      </w:r>
      <w:r>
        <w:rPr>
          <w:rFonts w:ascii="Garamond" w:hAnsi="Garamond"/>
          <w:lang w:val="en-GB"/>
        </w:rPr>
        <w:t>. Oxford University Press.</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McLuhan, M. (1964). </w:t>
      </w:r>
      <w:r w:rsidRPr="00653B2E">
        <w:rPr>
          <w:rFonts w:ascii="Garamond" w:hAnsi="Garamond"/>
          <w:i/>
          <w:iCs/>
          <w:lang w:val="en-GB"/>
        </w:rPr>
        <w:t>Understanding media: The extensions of man</w:t>
      </w:r>
      <w:r w:rsidRPr="00653B2E">
        <w:rPr>
          <w:rFonts w:ascii="Garamond" w:hAnsi="Garamond"/>
          <w:lang w:val="en-GB"/>
        </w:rPr>
        <w:t>. McGraw-Hill.</w:t>
      </w:r>
    </w:p>
    <w:p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Merleau-Ponty, M. (1962). </w:t>
      </w:r>
      <w:r w:rsidRPr="00237807">
        <w:rPr>
          <w:rFonts w:ascii="Garamond" w:hAnsi="Garamond"/>
          <w:i/>
          <w:iCs/>
          <w:lang w:val="en-GB"/>
        </w:rPr>
        <w:t>Phenomenology of perception</w:t>
      </w:r>
      <w:r>
        <w:rPr>
          <w:rFonts w:ascii="Garamond" w:hAnsi="Garamond"/>
          <w:lang w:val="en-GB"/>
        </w:rPr>
        <w:t xml:space="preserve">. C. Smith, Trans. Routledge &amp; Kegan Paul. </w:t>
      </w:r>
    </w:p>
    <w:p w:rsidR="007856F0" w:rsidRPr="00E75B8F" w:rsidRDefault="007856F0" w:rsidP="007856F0">
      <w:pPr>
        <w:pStyle w:val="ListParagraph"/>
        <w:numPr>
          <w:ilvl w:val="0"/>
          <w:numId w:val="2"/>
        </w:numPr>
        <w:spacing w:line="360" w:lineRule="auto"/>
        <w:rPr>
          <w:rFonts w:ascii="Garamond" w:hAnsi="Garamond"/>
          <w:lang w:val="en-GB"/>
        </w:rPr>
      </w:pPr>
      <w:r>
        <w:rPr>
          <w:rFonts w:ascii="Garamond" w:hAnsi="Garamond"/>
          <w:lang w:val="en-GB"/>
        </w:rPr>
        <w:lastRenderedPageBreak/>
        <w:t xml:space="preserve">Mitra, K., &amp; Raychaudhuri, S. (2024). Understanding literature through digital humanities: Tracing the trajectory. </w:t>
      </w:r>
      <w:r w:rsidRPr="00E75B8F">
        <w:rPr>
          <w:rFonts w:ascii="Garamond" w:hAnsi="Garamond"/>
          <w:i/>
          <w:iCs/>
          <w:lang w:val="en-GB"/>
        </w:rPr>
        <w:t>Journal of the School of Language, Literature, and Culture Studies</w:t>
      </w:r>
      <w:r>
        <w:rPr>
          <w:rFonts w:ascii="Garamond" w:hAnsi="Garamond"/>
          <w:lang w:val="en-GB"/>
        </w:rPr>
        <w:t xml:space="preserve">, 26(20), 114-130. </w:t>
      </w:r>
      <w:hyperlink r:id="rId15" w:anchor="fullTextFileContent" w:history="1">
        <w:r w:rsidRPr="00027CF2">
          <w:rPr>
            <w:rStyle w:val="Hyperlink"/>
            <w:rFonts w:ascii="Garamond" w:hAnsi="Garamond"/>
            <w:lang w:val="en-GB"/>
          </w:rPr>
          <w:t>https://www.researchgate.net/publication/392534731_UNDERSTANDING_LITERATURE_THROUGH_DIGITAL_HUMANITIES_TRACING_THE_TRAJECTORY#fullTextFileContent</w:t>
        </w:r>
      </w:hyperlink>
      <w:r>
        <w:rPr>
          <w:rFonts w:ascii="Garamond" w:hAnsi="Garamond"/>
          <w:lang w:val="en-GB"/>
        </w:rPr>
        <w:t xml:space="preserve"> </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Nandy, A. (</w:t>
      </w:r>
      <w:r>
        <w:rPr>
          <w:rFonts w:ascii="Garamond" w:hAnsi="Garamond"/>
          <w:lang w:val="en-GB"/>
        </w:rPr>
        <w:t>2013</w:t>
      </w:r>
      <w:r w:rsidRPr="00653B2E">
        <w:rPr>
          <w:rFonts w:ascii="Garamond" w:hAnsi="Garamond"/>
          <w:lang w:val="en-GB"/>
        </w:rPr>
        <w:t xml:space="preserve">). </w:t>
      </w:r>
      <w:r w:rsidRPr="00653B2E">
        <w:rPr>
          <w:rFonts w:ascii="Garamond" w:hAnsi="Garamond"/>
          <w:i/>
          <w:iCs/>
          <w:lang w:val="en-GB"/>
        </w:rPr>
        <w:t>The intimate enemy: Loss and recovery of self under colonialism</w:t>
      </w:r>
      <w:r w:rsidRPr="00653B2E">
        <w:rPr>
          <w:rFonts w:ascii="Garamond" w:hAnsi="Garamond"/>
          <w:lang w:val="en-GB"/>
        </w:rPr>
        <w:t>. Oxford University Press.</w:t>
      </w:r>
    </w:p>
    <w:p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Nussbaum, M.C. (1997). </w:t>
      </w:r>
      <w:r w:rsidRPr="00237807">
        <w:rPr>
          <w:rFonts w:ascii="Garamond" w:hAnsi="Garamond"/>
          <w:i/>
          <w:iCs/>
          <w:lang w:val="en-GB"/>
        </w:rPr>
        <w:t>Cultivating humanity: A classical defence of reform in liberal education</w:t>
      </w:r>
      <w:r>
        <w:rPr>
          <w:rFonts w:ascii="Garamond" w:hAnsi="Garamond"/>
          <w:lang w:val="en-GB"/>
        </w:rPr>
        <w:t>. Harvard University Press.</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Ong, W. J. (1982). </w:t>
      </w:r>
      <w:r w:rsidRPr="00653B2E">
        <w:rPr>
          <w:rFonts w:ascii="Garamond" w:hAnsi="Garamond"/>
          <w:i/>
          <w:iCs/>
          <w:lang w:val="en-GB"/>
        </w:rPr>
        <w:t>Orality and literacy: The technologizing of the word</w:t>
      </w:r>
      <w:r w:rsidRPr="00653B2E">
        <w:rPr>
          <w:rFonts w:ascii="Garamond" w:hAnsi="Garamond"/>
          <w:lang w:val="en-GB"/>
        </w:rPr>
        <w:t>. Methuen.</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Postman, N. (1992). </w:t>
      </w:r>
      <w:proofErr w:type="spellStart"/>
      <w:r w:rsidRPr="00653B2E">
        <w:rPr>
          <w:rFonts w:ascii="Garamond" w:hAnsi="Garamond"/>
          <w:i/>
          <w:iCs/>
          <w:lang w:val="en-GB"/>
        </w:rPr>
        <w:t>Technopoly</w:t>
      </w:r>
      <w:proofErr w:type="spellEnd"/>
      <w:r w:rsidRPr="00653B2E">
        <w:rPr>
          <w:rFonts w:ascii="Garamond" w:hAnsi="Garamond"/>
          <w:i/>
          <w:iCs/>
          <w:lang w:val="en-GB"/>
        </w:rPr>
        <w:t>: The surrender of culture to technology</w:t>
      </w:r>
      <w:r w:rsidRPr="00653B2E">
        <w:rPr>
          <w:rFonts w:ascii="Garamond" w:hAnsi="Garamond"/>
          <w:lang w:val="en-GB"/>
        </w:rPr>
        <w:t>. Alfred A. Knopf.</w:t>
      </w:r>
    </w:p>
    <w:p w:rsidR="007856F0" w:rsidRDefault="007856F0" w:rsidP="007856F0">
      <w:pPr>
        <w:pStyle w:val="ListParagraph"/>
        <w:numPr>
          <w:ilvl w:val="0"/>
          <w:numId w:val="2"/>
        </w:numPr>
        <w:spacing w:line="360" w:lineRule="auto"/>
        <w:rPr>
          <w:rFonts w:ascii="Garamond" w:hAnsi="Garamond"/>
          <w:lang w:val="en-GB"/>
        </w:rPr>
      </w:pPr>
      <w:proofErr w:type="spellStart"/>
      <w:r>
        <w:rPr>
          <w:rFonts w:ascii="Garamond" w:hAnsi="Garamond"/>
          <w:lang w:val="en-GB"/>
        </w:rPr>
        <w:t>Ricoeur</w:t>
      </w:r>
      <w:proofErr w:type="spellEnd"/>
      <w:r>
        <w:rPr>
          <w:rFonts w:ascii="Garamond" w:hAnsi="Garamond"/>
          <w:lang w:val="en-GB"/>
        </w:rPr>
        <w:t xml:space="preserve">, P. (1981). </w:t>
      </w:r>
      <w:r w:rsidRPr="00237807">
        <w:rPr>
          <w:rFonts w:ascii="Garamond" w:hAnsi="Garamond"/>
          <w:i/>
          <w:iCs/>
          <w:lang w:val="en-GB"/>
        </w:rPr>
        <w:t>Hermeneutics and the human sciences: Essays on language, action and interpretation</w:t>
      </w:r>
      <w:r>
        <w:rPr>
          <w:rFonts w:ascii="Garamond" w:hAnsi="Garamond"/>
          <w:lang w:val="en-GB"/>
        </w:rPr>
        <w:t>. J.B. Thompson, Ed. &amp; Trans. Cambridge University Press.</w:t>
      </w:r>
    </w:p>
    <w:p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Sartre, J-P. (2004). </w:t>
      </w:r>
      <w:r w:rsidRPr="00237807">
        <w:rPr>
          <w:rFonts w:ascii="Garamond" w:hAnsi="Garamond"/>
          <w:i/>
          <w:iCs/>
          <w:lang w:val="en-GB"/>
        </w:rPr>
        <w:t>The imaginary: A phenomenological psychology of the imagination</w:t>
      </w:r>
      <w:r>
        <w:rPr>
          <w:rFonts w:ascii="Garamond" w:hAnsi="Garamond"/>
          <w:lang w:val="en-GB"/>
        </w:rPr>
        <w:t xml:space="preserve">. J. Webber, Trans. Routledge. </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Schutz, A. (1967). </w:t>
      </w:r>
      <w:r w:rsidRPr="00653B2E">
        <w:rPr>
          <w:rFonts w:ascii="Garamond" w:hAnsi="Garamond"/>
          <w:i/>
          <w:iCs/>
          <w:lang w:val="en-GB"/>
        </w:rPr>
        <w:t>The phenomenology of the social world</w:t>
      </w:r>
      <w:r w:rsidRPr="00653B2E">
        <w:rPr>
          <w:rFonts w:ascii="Garamond" w:hAnsi="Garamond"/>
          <w:lang w:val="en-GB"/>
        </w:rPr>
        <w:t xml:space="preserve"> (G. Walsh &amp; F. Lehnert, Trans.). Northwestern University Press. (Original work published 1932)</w:t>
      </w:r>
    </w:p>
    <w:p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Spivak, G.C. (1999). </w:t>
      </w:r>
      <w:r w:rsidRPr="00676B6E">
        <w:rPr>
          <w:rFonts w:ascii="Garamond" w:hAnsi="Garamond"/>
          <w:i/>
          <w:iCs/>
          <w:lang w:val="en-GB"/>
        </w:rPr>
        <w:t>A critique of postcolonial reason: Toward a history of the vanishing present</w:t>
      </w:r>
      <w:r>
        <w:rPr>
          <w:rFonts w:ascii="Garamond" w:hAnsi="Garamond"/>
          <w:lang w:val="en-GB"/>
        </w:rPr>
        <w:t>. Harvard University Press.</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Taylor, C. (1989). </w:t>
      </w:r>
      <w:r w:rsidRPr="00653B2E">
        <w:rPr>
          <w:rFonts w:ascii="Garamond" w:hAnsi="Garamond"/>
          <w:i/>
          <w:iCs/>
          <w:lang w:val="en-GB"/>
        </w:rPr>
        <w:t>Sources of the self: The making of the modern identity</w:t>
      </w:r>
      <w:r w:rsidRPr="00653B2E">
        <w:rPr>
          <w:rFonts w:ascii="Garamond" w:hAnsi="Garamond"/>
          <w:lang w:val="en-GB"/>
        </w:rPr>
        <w:t>. Harvard University Press.</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Turkle, S. (2011). </w:t>
      </w:r>
      <w:r w:rsidRPr="00653B2E">
        <w:rPr>
          <w:rFonts w:ascii="Garamond" w:hAnsi="Garamond"/>
          <w:i/>
          <w:iCs/>
          <w:lang w:val="en-GB"/>
        </w:rPr>
        <w:t>Alone together: Why we expect more from technology and less from each other</w:t>
      </w:r>
      <w:r w:rsidRPr="00653B2E">
        <w:rPr>
          <w:rFonts w:ascii="Garamond" w:hAnsi="Garamond"/>
          <w:lang w:val="en-GB"/>
        </w:rPr>
        <w:t>. Basic Books.</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Williams, R. (1977). </w:t>
      </w:r>
      <w:r w:rsidRPr="00653B2E">
        <w:rPr>
          <w:rFonts w:ascii="Garamond" w:hAnsi="Garamond"/>
          <w:i/>
          <w:iCs/>
          <w:lang w:val="en-GB"/>
        </w:rPr>
        <w:t>Marxism and literature</w:t>
      </w:r>
      <w:r w:rsidRPr="00653B2E">
        <w:rPr>
          <w:rFonts w:ascii="Garamond" w:hAnsi="Garamond"/>
          <w:lang w:val="en-GB"/>
        </w:rPr>
        <w:t>. Oxford University Press.</w:t>
      </w:r>
    </w:p>
    <w:p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Winner, L. (1986). </w:t>
      </w:r>
      <w:r w:rsidRPr="00653B2E">
        <w:rPr>
          <w:rFonts w:ascii="Garamond" w:hAnsi="Garamond"/>
          <w:i/>
          <w:iCs/>
          <w:lang w:val="en-GB"/>
        </w:rPr>
        <w:t>The whale and the reactor: A search for limits in an age of high technology</w:t>
      </w:r>
      <w:r w:rsidRPr="00653B2E">
        <w:rPr>
          <w:rFonts w:ascii="Garamond" w:hAnsi="Garamond"/>
          <w:lang w:val="en-GB"/>
        </w:rPr>
        <w:t>. University of Chicago Press.</w:t>
      </w:r>
    </w:p>
    <w:p w:rsidR="007856F0" w:rsidRPr="007856F0" w:rsidRDefault="007856F0" w:rsidP="007856F0">
      <w:pPr>
        <w:pStyle w:val="ListParagraph"/>
        <w:numPr>
          <w:ilvl w:val="0"/>
          <w:numId w:val="2"/>
        </w:numPr>
        <w:spacing w:line="360" w:lineRule="auto"/>
        <w:rPr>
          <w:rFonts w:ascii="Garamond" w:hAnsi="Garamond"/>
          <w:lang w:val="en-GB"/>
        </w:rPr>
      </w:pPr>
      <w:proofErr w:type="spellStart"/>
      <w:r w:rsidRPr="007856F0">
        <w:rPr>
          <w:rFonts w:ascii="Garamond" w:hAnsi="Garamond"/>
          <w:lang w:val="en-GB"/>
        </w:rPr>
        <w:t>Yakura</w:t>
      </w:r>
      <w:proofErr w:type="spellEnd"/>
      <w:r w:rsidRPr="007856F0">
        <w:rPr>
          <w:rFonts w:ascii="Garamond" w:hAnsi="Garamond"/>
          <w:lang w:val="en-GB"/>
        </w:rPr>
        <w:t xml:space="preserve">, H., et al. (2025). Empirical evidence of large language model’s influence on human spoken communication. Computers and Society, arXiv:2409.01754 [cs.CY] </w:t>
      </w:r>
      <w:hyperlink r:id="rId16" w:history="1">
        <w:r w:rsidRPr="007856F0">
          <w:rPr>
            <w:rStyle w:val="Hyperlink"/>
            <w:rFonts w:ascii="Garamond" w:hAnsi="Garamond"/>
            <w:lang w:val="en-GB"/>
          </w:rPr>
          <w:t>https://doi.org/10.48550/arXiv.2409.01754</w:t>
        </w:r>
      </w:hyperlink>
      <w:r w:rsidRPr="007856F0">
        <w:rPr>
          <w:rFonts w:ascii="Garamond" w:hAnsi="Garamond"/>
          <w:lang w:val="en-GB"/>
        </w:rPr>
        <w:t xml:space="preserve"> </w:t>
      </w:r>
      <w:hyperlink r:id="rId17" w:history="1">
        <w:r w:rsidRPr="007856F0">
          <w:rPr>
            <w:rStyle w:val="Hyperlink"/>
            <w:rFonts w:ascii="Garamond" w:hAnsi="Garamond"/>
            <w:lang w:val="en-GB"/>
          </w:rPr>
          <w:t>https://arxiv.org/abs/2409.01754?utm_source=chatgpt.com</w:t>
        </w:r>
      </w:hyperlink>
    </w:p>
    <w:sectPr w:rsidR="007856F0" w:rsidRPr="007856F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613" w:rsidRDefault="005F0613" w:rsidP="004E4FE7">
      <w:r>
        <w:separator/>
      </w:r>
    </w:p>
  </w:endnote>
  <w:endnote w:type="continuationSeparator" w:id="0">
    <w:p w:rsidR="005F0613" w:rsidRDefault="005F0613" w:rsidP="004E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FE7" w:rsidRDefault="004E4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FE7" w:rsidRDefault="004E4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FE7" w:rsidRDefault="004E4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613" w:rsidRDefault="005F0613" w:rsidP="004E4FE7">
      <w:r>
        <w:separator/>
      </w:r>
    </w:p>
  </w:footnote>
  <w:footnote w:type="continuationSeparator" w:id="0">
    <w:p w:rsidR="005F0613" w:rsidRDefault="005F0613" w:rsidP="004E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FE7" w:rsidRDefault="004E4F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81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FE7" w:rsidRDefault="004E4F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81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FE7" w:rsidRDefault="004E4F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81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A070C"/>
    <w:multiLevelType w:val="hybridMultilevel"/>
    <w:tmpl w:val="5C70A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84009"/>
    <w:multiLevelType w:val="hybridMultilevel"/>
    <w:tmpl w:val="BA083402"/>
    <w:lvl w:ilvl="0" w:tplc="9D065E9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63"/>
    <w:rsid w:val="00127654"/>
    <w:rsid w:val="003572C7"/>
    <w:rsid w:val="004E4FE7"/>
    <w:rsid w:val="00513250"/>
    <w:rsid w:val="00533BE8"/>
    <w:rsid w:val="005B10C1"/>
    <w:rsid w:val="005F0613"/>
    <w:rsid w:val="007856F0"/>
    <w:rsid w:val="008B14B9"/>
    <w:rsid w:val="008B5691"/>
    <w:rsid w:val="00A67738"/>
    <w:rsid w:val="00BE7B3E"/>
    <w:rsid w:val="00E350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AE0EA"/>
  <w15:chartTrackingRefBased/>
  <w15:docId w15:val="{6525C8F3-7DD6-1248-80B2-361820DE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5063"/>
    <w:rPr>
      <w:color w:val="0000FF"/>
      <w:u w:val="single"/>
    </w:rPr>
  </w:style>
  <w:style w:type="character" w:styleId="UnresolvedMention">
    <w:name w:val="Unresolved Mention"/>
    <w:basedOn w:val="DefaultParagraphFont"/>
    <w:uiPriority w:val="99"/>
    <w:semiHidden/>
    <w:unhideWhenUsed/>
    <w:rsid w:val="008B5691"/>
    <w:rPr>
      <w:color w:val="605E5C"/>
      <w:shd w:val="clear" w:color="auto" w:fill="E1DFDD"/>
    </w:rPr>
  </w:style>
  <w:style w:type="character" w:styleId="FollowedHyperlink">
    <w:name w:val="FollowedHyperlink"/>
    <w:basedOn w:val="DefaultParagraphFont"/>
    <w:uiPriority w:val="99"/>
    <w:semiHidden/>
    <w:unhideWhenUsed/>
    <w:rsid w:val="008B5691"/>
    <w:rPr>
      <w:color w:val="954F72" w:themeColor="followedHyperlink"/>
      <w:u w:val="single"/>
    </w:rPr>
  </w:style>
  <w:style w:type="paragraph" w:styleId="ListParagraph">
    <w:name w:val="List Paragraph"/>
    <w:basedOn w:val="Normal"/>
    <w:uiPriority w:val="34"/>
    <w:qFormat/>
    <w:rsid w:val="00533BE8"/>
    <w:pPr>
      <w:ind w:left="720"/>
      <w:contextualSpacing/>
    </w:pPr>
  </w:style>
  <w:style w:type="paragraph" w:styleId="Header">
    <w:name w:val="header"/>
    <w:basedOn w:val="Normal"/>
    <w:link w:val="HeaderChar"/>
    <w:uiPriority w:val="99"/>
    <w:unhideWhenUsed/>
    <w:rsid w:val="004E4FE7"/>
    <w:pPr>
      <w:tabs>
        <w:tab w:val="center" w:pos="4680"/>
        <w:tab w:val="right" w:pos="9360"/>
      </w:tabs>
    </w:pPr>
  </w:style>
  <w:style w:type="character" w:customStyle="1" w:styleId="HeaderChar">
    <w:name w:val="Header Char"/>
    <w:basedOn w:val="DefaultParagraphFont"/>
    <w:link w:val="Header"/>
    <w:uiPriority w:val="99"/>
    <w:rsid w:val="004E4FE7"/>
  </w:style>
  <w:style w:type="paragraph" w:styleId="Footer">
    <w:name w:val="footer"/>
    <w:basedOn w:val="Normal"/>
    <w:link w:val="FooterChar"/>
    <w:uiPriority w:val="99"/>
    <w:unhideWhenUsed/>
    <w:rsid w:val="004E4FE7"/>
    <w:pPr>
      <w:tabs>
        <w:tab w:val="center" w:pos="4680"/>
        <w:tab w:val="right" w:pos="9360"/>
      </w:tabs>
    </w:pPr>
  </w:style>
  <w:style w:type="character" w:customStyle="1" w:styleId="FooterChar">
    <w:name w:val="Footer Char"/>
    <w:basedOn w:val="DefaultParagraphFont"/>
    <w:link w:val="Footer"/>
    <w:uiPriority w:val="99"/>
    <w:rsid w:val="004E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550/arXiv.2510.19086" TargetMode="External"/><Relationship Id="rId13" Type="http://schemas.openxmlformats.org/officeDocument/2006/relationships/hyperlink" Target="https://doi.org/10.1057/s41599-025-05921-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octech.spbstu.ru/en/section/7/" TargetMode="External"/><Relationship Id="rId12" Type="http://schemas.openxmlformats.org/officeDocument/2006/relationships/hyperlink" Target="https://ijhss.thebrpi.org/journals/Vol_15_2025/9.pdf?utm_source=chatgpt.com" TargetMode="External"/><Relationship Id="rId17" Type="http://schemas.openxmlformats.org/officeDocument/2006/relationships/hyperlink" Target="https://arxiv.org/abs/2409.01754?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8550/arXiv.2409.0175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845/ijhss.v15p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ublication/392534731_UNDERSTANDING_LITERATURE_THROUGH_DIGITAL_HUMANITIES_TRACING_THE_TRAJECTORY" TargetMode="External"/><Relationship Id="rId23" Type="http://schemas.openxmlformats.org/officeDocument/2006/relationships/footer" Target="footer3.xml"/><Relationship Id="rId10" Type="http://schemas.openxmlformats.org/officeDocument/2006/relationships/hyperlink" Target="https://doi.org/10.48550/arXiv.2510.1974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rxiv.org/abs/2510.19086?utm_source=chatgpt.com" TargetMode="External"/><Relationship Id="rId14" Type="http://schemas.openxmlformats.org/officeDocument/2006/relationships/hyperlink" Target="https://www.nature.com/articles/s41599-025-05921-6?utm_source=chatgp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17</Pages>
  <Words>7205</Words>
  <Characters>41070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9</cp:revision>
  <dcterms:created xsi:type="dcterms:W3CDTF">2026-01-12T06:41:00Z</dcterms:created>
  <dcterms:modified xsi:type="dcterms:W3CDTF">2026-01-14T09:28:00Z</dcterms:modified>
</cp:coreProperties>
</file>