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1736D" w14:textId="0F810F89" w:rsidR="00AD7519" w:rsidRDefault="00AD7519" w:rsidP="00AD7519">
      <w:pPr>
        <w:pStyle w:val="Heading3"/>
        <w:jc w:val="both"/>
      </w:pPr>
      <w:r>
        <w:t>Heavy Metal Geochemistry and Ecological Risk Assessment of Stream Sediments in Rivers State, Niger Delta</w:t>
      </w:r>
    </w:p>
    <w:p w14:paraId="2B24F915" w14:textId="77777777" w:rsidR="00791B2A" w:rsidRDefault="00791B2A" w:rsidP="00AD7519">
      <w:pPr>
        <w:pStyle w:val="NormalWeb"/>
        <w:jc w:val="both"/>
      </w:pPr>
    </w:p>
    <w:p w14:paraId="13B0776A" w14:textId="2ECA8A36" w:rsidR="008C0B7C" w:rsidRPr="00553366" w:rsidRDefault="008C0B7C" w:rsidP="00AD7519">
      <w:pPr>
        <w:pStyle w:val="NormalWeb"/>
        <w:jc w:val="both"/>
      </w:pPr>
      <w:bookmarkStart w:id="0" w:name="_GoBack"/>
      <w:bookmarkEnd w:id="0"/>
      <w:r>
        <w:t xml:space="preserve"> </w:t>
      </w:r>
    </w:p>
    <w:p w14:paraId="2BF2A049" w14:textId="35B02ED5" w:rsidR="00F72B21" w:rsidRPr="00AD7519" w:rsidRDefault="00F72B21" w:rsidP="00AD7519">
      <w:pPr>
        <w:pStyle w:val="Heading3"/>
        <w:jc w:val="both"/>
        <w:rPr>
          <w:sz w:val="24"/>
          <w:szCs w:val="24"/>
        </w:rPr>
      </w:pPr>
      <w:r w:rsidRPr="00AD7519">
        <w:rPr>
          <w:rStyle w:val="Strong"/>
          <w:b/>
          <w:bCs/>
          <w:sz w:val="24"/>
          <w:szCs w:val="24"/>
        </w:rPr>
        <w:t>Abstract</w:t>
      </w:r>
    </w:p>
    <w:p w14:paraId="2C125A99" w14:textId="1CAE997C" w:rsidR="00F72B21" w:rsidRPr="00AD7519" w:rsidRDefault="00F72B21" w:rsidP="00AD7519">
      <w:pPr>
        <w:pStyle w:val="NormalWeb"/>
        <w:jc w:val="both"/>
      </w:pPr>
      <w:r w:rsidRPr="00AD7519">
        <w:t xml:space="preserve">Stream sediments play a critical role in controlling the distribution, persistence, and ecological impacts of heavy metals in river systems. This study investigated the </w:t>
      </w:r>
      <w:r w:rsidRPr="00AD7519">
        <w:rPr>
          <w:rStyle w:val="Strong"/>
          <w:b w:val="0"/>
          <w:bCs w:val="0"/>
        </w:rPr>
        <w:t>geochemical characteristics and ecological risk of stream sediments in Rivers State, Niger Delta, Nigeria</w:t>
      </w:r>
      <w:r w:rsidRPr="00AD7519">
        <w:rPr>
          <w:b/>
          <w:bCs/>
        </w:rPr>
        <w:t xml:space="preserve">. </w:t>
      </w:r>
      <w:r w:rsidRPr="00AD7519">
        <w:t xml:space="preserve">Surface sediment samples were collected from </w:t>
      </w:r>
      <w:r w:rsidRPr="00AD7519">
        <w:rPr>
          <w:rStyle w:val="Strong"/>
        </w:rPr>
        <w:t>six sites</w:t>
      </w:r>
      <w:r w:rsidRPr="00AD7519">
        <w:t xml:space="preserve"> along the study stream during the dry season, with </w:t>
      </w:r>
      <w:r w:rsidRPr="00AD7519">
        <w:rPr>
          <w:rStyle w:val="Strong"/>
          <w:b w:val="0"/>
          <w:bCs w:val="0"/>
        </w:rPr>
        <w:t>triplicate sampling</w:t>
      </w:r>
      <w:r w:rsidRPr="00AD7519">
        <w:rPr>
          <w:rStyle w:val="Strong"/>
        </w:rPr>
        <w:t xml:space="preserve"> </w:t>
      </w:r>
      <w:r w:rsidRPr="00AD7519">
        <w:t xml:space="preserve">at each site. Sediment physicochemical properties were analysed using standard methods, while heavy metals (Fe, Mn, Pb, Cd, Cr, Ni, Zn, and Cu) were quantified after acid digestion using </w:t>
      </w:r>
      <w:r w:rsidRPr="00AD7519">
        <w:rPr>
          <w:rStyle w:val="Strong"/>
          <w:b w:val="0"/>
          <w:bCs w:val="0"/>
        </w:rPr>
        <w:t>Atomic Absorption Spectrophotometry (AAS)</w:t>
      </w:r>
      <w:r w:rsidRPr="00AD7519">
        <w:rPr>
          <w:b/>
          <w:bCs/>
        </w:rPr>
        <w:t>.</w:t>
      </w:r>
      <w:r w:rsidRPr="00AD7519">
        <w:t xml:space="preserve"> Contamination factor, geo-accumulation index, enrichment factor, and potential ecological risk index were applied to evaluate sediment quality and ecological risk. Sediment pH ranged from </w:t>
      </w:r>
      <w:r w:rsidRPr="00AD7519">
        <w:rPr>
          <w:rStyle w:val="Strong"/>
          <w:b w:val="0"/>
          <w:bCs w:val="0"/>
        </w:rPr>
        <w:t>6.2 ± 0.2 to 6.9 ± 0.2</w:t>
      </w:r>
      <w:r w:rsidRPr="00AD7519">
        <w:rPr>
          <w:b/>
          <w:bCs/>
        </w:rPr>
        <w:t>,</w:t>
      </w:r>
      <w:r w:rsidRPr="00AD7519">
        <w:t xml:space="preserve"> indicating slightly acidic to near-neutral conditions, while organic matter increased downstream from </w:t>
      </w:r>
      <w:r w:rsidRPr="00AD7519">
        <w:rPr>
          <w:rStyle w:val="Strong"/>
          <w:b w:val="0"/>
          <w:bCs w:val="0"/>
        </w:rPr>
        <w:t>2.74 ± 0.68% to 4.18 ± 0.90%</w:t>
      </w:r>
      <w:r w:rsidRPr="00AD7519">
        <w:rPr>
          <w:b/>
          <w:bCs/>
        </w:rPr>
        <w:t>.</w:t>
      </w:r>
      <w:r w:rsidRPr="00AD7519">
        <w:t xml:space="preserve"> Mean concentrations of heavy metals showed a progressive increase downstream, with iron dominating </w:t>
      </w:r>
      <w:r w:rsidRPr="00AD7519">
        <w:rPr>
          <w:b/>
          <w:bCs/>
        </w:rPr>
        <w:t>(</w:t>
      </w:r>
      <w:r w:rsidRPr="00AD7519">
        <w:rPr>
          <w:rStyle w:val="Strong"/>
          <w:b w:val="0"/>
          <w:bCs w:val="0"/>
        </w:rPr>
        <w:t>15,840 ± 2,760 to 20,180 ± 3,720 mg/kg</w:t>
      </w:r>
      <w:r w:rsidRPr="00AD7519">
        <w:rPr>
          <w:b/>
          <w:bCs/>
        </w:rPr>
        <w:t>)</w:t>
      </w:r>
      <w:r w:rsidRPr="00AD7519">
        <w:t xml:space="preserve">. Cadmium concentrations ranged from </w:t>
      </w:r>
      <w:r w:rsidRPr="00AD7519">
        <w:rPr>
          <w:rStyle w:val="Strong"/>
          <w:b w:val="0"/>
          <w:bCs w:val="0"/>
        </w:rPr>
        <w:t>0.72 ± 0.24 to 1.94 ± 0.55 mg/kg</w:t>
      </w:r>
      <w:r w:rsidRPr="00AD7519">
        <w:t xml:space="preserve"> and exhibited the highest contamination and enrichment levels. Contamination factor and geo-accumulation results classified cadmium as moderately to strongly contaminated, while lead and zinc showed moderate contamination. Ecological risk assessment identified cadmium as the major contributor to ecological risk, with </w:t>
      </w:r>
      <w:r w:rsidRPr="00AD7519">
        <w:rPr>
          <w:rStyle w:val="Strong"/>
          <w:b w:val="0"/>
          <w:bCs w:val="0"/>
        </w:rPr>
        <w:t>PERI values increasing from 85.4 upstream to 217.4 downstream</w:t>
      </w:r>
      <w:r w:rsidRPr="00AD7519">
        <w:rPr>
          <w:b/>
          <w:bCs/>
        </w:rPr>
        <w:t xml:space="preserve">, </w:t>
      </w:r>
      <w:r w:rsidRPr="00AD7519">
        <w:t>indicating low to moderate ecological risk. The study demonstrates progressive sediment enrichment driven by anthropogenic inputs, with cadmium posing the greatest ecological concern. Continuous monitoring and sediment-focused management strategies are recommended to reduce long-term ecological impacts.</w:t>
      </w:r>
    </w:p>
    <w:p w14:paraId="572A7513" w14:textId="77777777" w:rsidR="00F72B21" w:rsidRPr="00AD7519" w:rsidRDefault="00F72B21" w:rsidP="00AD7519">
      <w:pPr>
        <w:pStyle w:val="NormalWeb"/>
        <w:jc w:val="both"/>
      </w:pPr>
      <w:r w:rsidRPr="00AD7519">
        <w:rPr>
          <w:b/>
          <w:bCs/>
          <w:i/>
          <w:iCs/>
        </w:rPr>
        <w:t>Keywords:</w:t>
      </w:r>
      <w:r w:rsidRPr="00AD7519">
        <w:t xml:space="preserve"> stream sediments, heavy metals, ecological risk, contamination indices, Rivers State, Niger Delta</w:t>
      </w:r>
    </w:p>
    <w:p w14:paraId="3AE89C79" w14:textId="77777777" w:rsidR="00F72B21" w:rsidRPr="00F72B21" w:rsidRDefault="00F72B21" w:rsidP="00AD75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F72B21">
        <w:rPr>
          <w:rFonts w:ascii="Times New Roman" w:eastAsia="Times New Roman" w:hAnsi="Times New Roman" w:cs="Times New Roman"/>
          <w:b/>
          <w:bCs/>
          <w:sz w:val="24"/>
          <w:szCs w:val="24"/>
          <w:lang w:eastAsia="en-GB"/>
        </w:rPr>
        <w:t>1.0 Introduction</w:t>
      </w:r>
    </w:p>
    <w:p w14:paraId="08C79644" w14:textId="77777777" w:rsidR="00F72B21" w:rsidRPr="00F72B21" w:rsidRDefault="00F72B21" w:rsidP="00AD751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72B21">
        <w:rPr>
          <w:rFonts w:ascii="Times New Roman" w:eastAsia="Times New Roman" w:hAnsi="Times New Roman" w:cs="Times New Roman"/>
          <w:sz w:val="24"/>
          <w:szCs w:val="24"/>
          <w:lang w:eastAsia="en-GB"/>
        </w:rPr>
        <w:t>Stream sediments are critical components of aquatic systems because they regulate the transport, storage, and long-term fate of contaminants, particularly heavy metals. Metals introduced into river systems through natural weathering processes and human activities are rapidly scavenged by fine particles and organic matter, leading to their preferential accumulation in sediments (</w:t>
      </w:r>
      <w:proofErr w:type="spellStart"/>
      <w:r w:rsidRPr="00F72B21">
        <w:rPr>
          <w:rFonts w:ascii="Times New Roman" w:eastAsia="Times New Roman" w:hAnsi="Times New Roman" w:cs="Times New Roman"/>
          <w:sz w:val="24"/>
          <w:szCs w:val="24"/>
          <w:lang w:eastAsia="en-GB"/>
        </w:rPr>
        <w:t>Ekesiobi</w:t>
      </w:r>
      <w:proofErr w:type="spellEnd"/>
      <w:r w:rsidRPr="00F72B21">
        <w:rPr>
          <w:rFonts w:ascii="Times New Roman" w:eastAsia="Times New Roman" w:hAnsi="Times New Roman" w:cs="Times New Roman"/>
          <w:sz w:val="24"/>
          <w:szCs w:val="24"/>
          <w:lang w:eastAsia="en-GB"/>
        </w:rPr>
        <w:t xml:space="preserve"> et al., 2025). As a result, sediment quality often provides a more integrated and time-averaged measure of environmental contamination than surface water alone, especially in dynamic fluvial environments (</w:t>
      </w:r>
      <w:proofErr w:type="spellStart"/>
      <w:r w:rsidRPr="00F72B21">
        <w:rPr>
          <w:rFonts w:ascii="Times New Roman" w:eastAsia="Times New Roman" w:hAnsi="Times New Roman" w:cs="Times New Roman"/>
          <w:sz w:val="24"/>
          <w:szCs w:val="24"/>
          <w:lang w:eastAsia="en-GB"/>
        </w:rPr>
        <w:t>Okpoji</w:t>
      </w:r>
      <w:proofErr w:type="spellEnd"/>
      <w:r w:rsidRPr="00F72B21">
        <w:rPr>
          <w:rFonts w:ascii="Times New Roman" w:eastAsia="Times New Roman" w:hAnsi="Times New Roman" w:cs="Times New Roman"/>
          <w:sz w:val="24"/>
          <w:szCs w:val="24"/>
          <w:lang w:eastAsia="en-GB"/>
        </w:rPr>
        <w:t xml:space="preserve"> et al., 2025; </w:t>
      </w:r>
      <w:proofErr w:type="spellStart"/>
      <w:r w:rsidRPr="00F72B21">
        <w:rPr>
          <w:rFonts w:ascii="Times New Roman" w:eastAsia="Times New Roman" w:hAnsi="Times New Roman" w:cs="Times New Roman"/>
          <w:sz w:val="24"/>
          <w:szCs w:val="24"/>
          <w:lang w:eastAsia="en-GB"/>
        </w:rPr>
        <w:t>Umueni</w:t>
      </w:r>
      <w:proofErr w:type="spellEnd"/>
      <w:r w:rsidRPr="00F72B21">
        <w:rPr>
          <w:rFonts w:ascii="Times New Roman" w:eastAsia="Times New Roman" w:hAnsi="Times New Roman" w:cs="Times New Roman"/>
          <w:sz w:val="24"/>
          <w:szCs w:val="24"/>
          <w:lang w:eastAsia="en-GB"/>
        </w:rPr>
        <w:t xml:space="preserve"> et al., 2025).</w:t>
      </w:r>
    </w:p>
    <w:p w14:paraId="6BDC6D0B" w14:textId="77777777" w:rsidR="00F72B21" w:rsidRPr="00F72B21" w:rsidRDefault="00F72B21" w:rsidP="00AD751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72B21">
        <w:rPr>
          <w:rFonts w:ascii="Times New Roman" w:eastAsia="Times New Roman" w:hAnsi="Times New Roman" w:cs="Times New Roman"/>
          <w:sz w:val="24"/>
          <w:szCs w:val="24"/>
          <w:lang w:eastAsia="en-GB"/>
        </w:rPr>
        <w:t>The Niger Delta hosts one of the densest river networks in West Africa and supports diverse ecological and socio-economic functions, including fisheries, agriculture, transportation, and domestic water use. In Rivers State, increasing population density, agricultural expansion, and unregulated waste disposal have intensified pressure on river systems, resulting in progressive degradation of water and sediment quality (</w:t>
      </w:r>
      <w:proofErr w:type="spellStart"/>
      <w:r w:rsidRPr="00F72B21">
        <w:rPr>
          <w:rFonts w:ascii="Times New Roman" w:eastAsia="Times New Roman" w:hAnsi="Times New Roman" w:cs="Times New Roman"/>
          <w:sz w:val="24"/>
          <w:szCs w:val="24"/>
          <w:lang w:eastAsia="en-GB"/>
        </w:rPr>
        <w:t>Osuafor</w:t>
      </w:r>
      <w:proofErr w:type="spellEnd"/>
      <w:r w:rsidRPr="00F72B21">
        <w:rPr>
          <w:rFonts w:ascii="Times New Roman" w:eastAsia="Times New Roman" w:hAnsi="Times New Roman" w:cs="Times New Roman"/>
          <w:sz w:val="24"/>
          <w:szCs w:val="24"/>
          <w:lang w:eastAsia="en-GB"/>
        </w:rPr>
        <w:t xml:space="preserve"> et al., 2025). Studies of surface waters and </w:t>
      </w:r>
      <w:r w:rsidRPr="00F72B21">
        <w:rPr>
          <w:rFonts w:ascii="Times New Roman" w:eastAsia="Times New Roman" w:hAnsi="Times New Roman" w:cs="Times New Roman"/>
          <w:sz w:val="24"/>
          <w:szCs w:val="24"/>
          <w:lang w:eastAsia="en-GB"/>
        </w:rPr>
        <w:lastRenderedPageBreak/>
        <w:t>sediments across the region have documented elevated concentrations of nutrients, hydrocarbons, and trace metals linked to diffuse anthropogenic inputs (Okagbare et al., 2025; Ekpe et al., 2025).</w:t>
      </w:r>
    </w:p>
    <w:p w14:paraId="02501DA2" w14:textId="65011B6B" w:rsidR="00F72B21" w:rsidRPr="00F72B21" w:rsidRDefault="00F72B21" w:rsidP="00AD751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72B21">
        <w:rPr>
          <w:rFonts w:ascii="Times New Roman" w:eastAsia="Times New Roman" w:hAnsi="Times New Roman" w:cs="Times New Roman"/>
          <w:sz w:val="24"/>
          <w:szCs w:val="24"/>
          <w:lang w:eastAsia="en-GB"/>
        </w:rPr>
        <w:t xml:space="preserve">Hydrological variability strongly influences sediment dynamics and contaminant distribution in </w:t>
      </w:r>
      <w:r w:rsidRPr="00AD7519">
        <w:rPr>
          <w:rFonts w:ascii="Times New Roman" w:eastAsia="Times New Roman" w:hAnsi="Times New Roman" w:cs="Times New Roman"/>
          <w:sz w:val="24"/>
          <w:szCs w:val="24"/>
          <w:lang w:eastAsia="en-GB"/>
        </w:rPr>
        <w:t xml:space="preserve">the </w:t>
      </w:r>
      <w:r w:rsidRPr="00F72B21">
        <w:rPr>
          <w:rFonts w:ascii="Times New Roman" w:eastAsia="Times New Roman" w:hAnsi="Times New Roman" w:cs="Times New Roman"/>
          <w:sz w:val="24"/>
          <w:szCs w:val="24"/>
          <w:lang w:eastAsia="en-GB"/>
        </w:rPr>
        <w:t>Niger Delta rivers. Seasonal rainfall, high runoff, and low-gradient channel morphology enhance downstream transport of fine sediments and promote contaminant deposition in low-energy zones (</w:t>
      </w:r>
      <w:proofErr w:type="spellStart"/>
      <w:r w:rsidRPr="00F72B21">
        <w:rPr>
          <w:rFonts w:ascii="Times New Roman" w:eastAsia="Times New Roman" w:hAnsi="Times New Roman" w:cs="Times New Roman"/>
          <w:sz w:val="24"/>
          <w:szCs w:val="24"/>
          <w:lang w:eastAsia="en-GB"/>
        </w:rPr>
        <w:t>Ogbaji</w:t>
      </w:r>
      <w:proofErr w:type="spellEnd"/>
      <w:r w:rsidRPr="00F72B21">
        <w:rPr>
          <w:rFonts w:ascii="Times New Roman" w:eastAsia="Times New Roman" w:hAnsi="Times New Roman" w:cs="Times New Roman"/>
          <w:sz w:val="24"/>
          <w:szCs w:val="24"/>
          <w:lang w:eastAsia="en-GB"/>
        </w:rPr>
        <w:t xml:space="preserve"> et al., 2025). Similar hydrology-driven enrichment patterns have been reported for rivers and estuaries in Bayelsa and Rivers States, where downstream sediments frequently act as sinks for metals and organic pollutants (</w:t>
      </w:r>
      <w:proofErr w:type="spellStart"/>
      <w:r w:rsidRPr="00F72B21">
        <w:rPr>
          <w:rFonts w:ascii="Times New Roman" w:eastAsia="Times New Roman" w:hAnsi="Times New Roman" w:cs="Times New Roman"/>
          <w:sz w:val="24"/>
          <w:szCs w:val="24"/>
          <w:lang w:eastAsia="en-GB"/>
        </w:rPr>
        <w:t>Umueni</w:t>
      </w:r>
      <w:proofErr w:type="spellEnd"/>
      <w:r w:rsidRPr="00F72B21">
        <w:rPr>
          <w:rFonts w:ascii="Times New Roman" w:eastAsia="Times New Roman" w:hAnsi="Times New Roman" w:cs="Times New Roman"/>
          <w:sz w:val="24"/>
          <w:szCs w:val="24"/>
          <w:lang w:eastAsia="en-GB"/>
        </w:rPr>
        <w:t xml:space="preserve"> et al., 2025; </w:t>
      </w:r>
      <w:proofErr w:type="spellStart"/>
      <w:r w:rsidRPr="00F72B21">
        <w:rPr>
          <w:rFonts w:ascii="Times New Roman" w:eastAsia="Times New Roman" w:hAnsi="Times New Roman" w:cs="Times New Roman"/>
          <w:sz w:val="24"/>
          <w:szCs w:val="24"/>
          <w:lang w:eastAsia="en-GB"/>
        </w:rPr>
        <w:t>Umueni</w:t>
      </w:r>
      <w:proofErr w:type="spellEnd"/>
      <w:r w:rsidRPr="00F72B21">
        <w:rPr>
          <w:rFonts w:ascii="Times New Roman" w:eastAsia="Times New Roman" w:hAnsi="Times New Roman" w:cs="Times New Roman"/>
          <w:sz w:val="24"/>
          <w:szCs w:val="24"/>
          <w:lang w:eastAsia="en-GB"/>
        </w:rPr>
        <w:t xml:space="preserve"> et al., 2025).</w:t>
      </w:r>
    </w:p>
    <w:p w14:paraId="568D9336" w14:textId="77777777" w:rsidR="00F72B21" w:rsidRPr="00F72B21" w:rsidRDefault="00F72B21" w:rsidP="00AD751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72B21">
        <w:rPr>
          <w:rFonts w:ascii="Times New Roman" w:eastAsia="Times New Roman" w:hAnsi="Times New Roman" w:cs="Times New Roman"/>
          <w:sz w:val="24"/>
          <w:szCs w:val="24"/>
          <w:lang w:eastAsia="en-GB"/>
        </w:rPr>
        <w:t>Sediment-associated metals pose significant ecological concerns due to their potential bioavailability and persistence. Cadmium, lead, zinc, and copper have been shown to accumulate in sediments and subsequently transfer to benthic organisms and fish, inducing oxidative stress, tissue damage, and altered physiological functions (</w:t>
      </w:r>
      <w:proofErr w:type="spellStart"/>
      <w:r w:rsidRPr="00F72B21">
        <w:rPr>
          <w:rFonts w:ascii="Times New Roman" w:eastAsia="Times New Roman" w:hAnsi="Times New Roman" w:cs="Times New Roman"/>
          <w:sz w:val="24"/>
          <w:szCs w:val="24"/>
          <w:lang w:eastAsia="en-GB"/>
        </w:rPr>
        <w:t>Ohaturuonye</w:t>
      </w:r>
      <w:proofErr w:type="spellEnd"/>
      <w:r w:rsidRPr="00F72B21">
        <w:rPr>
          <w:rFonts w:ascii="Times New Roman" w:eastAsia="Times New Roman" w:hAnsi="Times New Roman" w:cs="Times New Roman"/>
          <w:sz w:val="24"/>
          <w:szCs w:val="24"/>
          <w:lang w:eastAsia="en-GB"/>
        </w:rPr>
        <w:t xml:space="preserve"> et al., 2025; </w:t>
      </w:r>
      <w:proofErr w:type="spellStart"/>
      <w:r w:rsidRPr="00F72B21">
        <w:rPr>
          <w:rFonts w:ascii="Times New Roman" w:eastAsia="Times New Roman" w:hAnsi="Times New Roman" w:cs="Times New Roman"/>
          <w:sz w:val="24"/>
          <w:szCs w:val="24"/>
          <w:lang w:eastAsia="en-GB"/>
        </w:rPr>
        <w:t>Okpoji</w:t>
      </w:r>
      <w:proofErr w:type="spellEnd"/>
      <w:r w:rsidRPr="00F72B21">
        <w:rPr>
          <w:rFonts w:ascii="Times New Roman" w:eastAsia="Times New Roman" w:hAnsi="Times New Roman" w:cs="Times New Roman"/>
          <w:sz w:val="24"/>
          <w:szCs w:val="24"/>
          <w:lang w:eastAsia="en-GB"/>
        </w:rPr>
        <w:t xml:space="preserve"> et al., 2025). Bioaccumulation studies from Niger Delta aquatic systems further indicate that sediment contamination can propagate through food webs, increasing exposure risks for higher trophic levels and human consumers (</w:t>
      </w:r>
      <w:proofErr w:type="spellStart"/>
      <w:r w:rsidRPr="00F72B21">
        <w:rPr>
          <w:rFonts w:ascii="Times New Roman" w:eastAsia="Times New Roman" w:hAnsi="Times New Roman" w:cs="Times New Roman"/>
          <w:sz w:val="24"/>
          <w:szCs w:val="24"/>
          <w:lang w:eastAsia="en-GB"/>
        </w:rPr>
        <w:t>Anarado</w:t>
      </w:r>
      <w:proofErr w:type="spellEnd"/>
      <w:r w:rsidRPr="00F72B21">
        <w:rPr>
          <w:rFonts w:ascii="Times New Roman" w:eastAsia="Times New Roman" w:hAnsi="Times New Roman" w:cs="Times New Roman"/>
          <w:sz w:val="24"/>
          <w:szCs w:val="24"/>
          <w:lang w:eastAsia="en-GB"/>
        </w:rPr>
        <w:t xml:space="preserve"> et al., 2023; Onoja et al., 2025).</w:t>
      </w:r>
    </w:p>
    <w:p w14:paraId="105563C7" w14:textId="77777777" w:rsidR="00F72B21" w:rsidRPr="00F72B21" w:rsidRDefault="00F72B21" w:rsidP="00AD751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72B21">
        <w:rPr>
          <w:rFonts w:ascii="Times New Roman" w:eastAsia="Times New Roman" w:hAnsi="Times New Roman" w:cs="Times New Roman"/>
          <w:sz w:val="24"/>
          <w:szCs w:val="24"/>
          <w:lang w:eastAsia="en-GB"/>
        </w:rPr>
        <w:t>Anthropogenic sources of sediment-bound metals in the Niger Delta include urban runoff, agricultural inputs, artisanal activities, and atmospheric deposition associated with gas flaring. Atmospheric transport and deposition studies have demonstrated that metal-bearing particulates can enter surface waters and sediments far from emission sources, contributing to diffuse contamination (</w:t>
      </w:r>
      <w:proofErr w:type="spellStart"/>
      <w:r w:rsidRPr="00F72B21">
        <w:rPr>
          <w:rFonts w:ascii="Times New Roman" w:eastAsia="Times New Roman" w:hAnsi="Times New Roman" w:cs="Times New Roman"/>
          <w:sz w:val="24"/>
          <w:szCs w:val="24"/>
          <w:lang w:eastAsia="en-GB"/>
        </w:rPr>
        <w:t>Aghanwa</w:t>
      </w:r>
      <w:proofErr w:type="spellEnd"/>
      <w:r w:rsidRPr="00F72B21">
        <w:rPr>
          <w:rFonts w:ascii="Times New Roman" w:eastAsia="Times New Roman" w:hAnsi="Times New Roman" w:cs="Times New Roman"/>
          <w:sz w:val="24"/>
          <w:szCs w:val="24"/>
          <w:lang w:eastAsia="en-GB"/>
        </w:rPr>
        <w:t xml:space="preserve"> et al., 2025; </w:t>
      </w:r>
      <w:proofErr w:type="spellStart"/>
      <w:r w:rsidRPr="00F72B21">
        <w:rPr>
          <w:rFonts w:ascii="Times New Roman" w:eastAsia="Times New Roman" w:hAnsi="Times New Roman" w:cs="Times New Roman"/>
          <w:sz w:val="24"/>
          <w:szCs w:val="24"/>
          <w:lang w:eastAsia="en-GB"/>
        </w:rPr>
        <w:t>Okpoji</w:t>
      </w:r>
      <w:proofErr w:type="spellEnd"/>
      <w:r w:rsidRPr="00F72B21">
        <w:rPr>
          <w:rFonts w:ascii="Times New Roman" w:eastAsia="Times New Roman" w:hAnsi="Times New Roman" w:cs="Times New Roman"/>
          <w:sz w:val="24"/>
          <w:szCs w:val="24"/>
          <w:lang w:eastAsia="en-GB"/>
        </w:rPr>
        <w:t xml:space="preserve"> et al., 2025). Geochemical speciation and enrichment factor </w:t>
      </w:r>
      <w:proofErr w:type="gramStart"/>
      <w:r w:rsidRPr="00F72B21">
        <w:rPr>
          <w:rFonts w:ascii="Times New Roman" w:eastAsia="Times New Roman" w:hAnsi="Times New Roman" w:cs="Times New Roman"/>
          <w:sz w:val="24"/>
          <w:szCs w:val="24"/>
          <w:lang w:eastAsia="en-GB"/>
        </w:rPr>
        <w:t>analyses</w:t>
      </w:r>
      <w:proofErr w:type="gramEnd"/>
      <w:r w:rsidRPr="00F72B21">
        <w:rPr>
          <w:rFonts w:ascii="Times New Roman" w:eastAsia="Times New Roman" w:hAnsi="Times New Roman" w:cs="Times New Roman"/>
          <w:sz w:val="24"/>
          <w:szCs w:val="24"/>
          <w:lang w:eastAsia="en-GB"/>
        </w:rPr>
        <w:t xml:space="preserve"> from regional studies consistently reveal stronger anthropogenic signatures for cadmium and lead compared with chromium and nickel, which are often dominated by natural lithogenic inputs (</w:t>
      </w:r>
      <w:proofErr w:type="spellStart"/>
      <w:r w:rsidRPr="00F72B21">
        <w:rPr>
          <w:rFonts w:ascii="Times New Roman" w:eastAsia="Times New Roman" w:hAnsi="Times New Roman" w:cs="Times New Roman"/>
          <w:sz w:val="24"/>
          <w:szCs w:val="24"/>
          <w:lang w:eastAsia="en-GB"/>
        </w:rPr>
        <w:t>Okpoji</w:t>
      </w:r>
      <w:proofErr w:type="spellEnd"/>
      <w:r w:rsidRPr="00F72B21">
        <w:rPr>
          <w:rFonts w:ascii="Times New Roman" w:eastAsia="Times New Roman" w:hAnsi="Times New Roman" w:cs="Times New Roman"/>
          <w:sz w:val="24"/>
          <w:szCs w:val="24"/>
          <w:lang w:eastAsia="en-GB"/>
        </w:rPr>
        <w:t xml:space="preserve"> et al., 2025; </w:t>
      </w:r>
      <w:proofErr w:type="spellStart"/>
      <w:r w:rsidRPr="00F72B21">
        <w:rPr>
          <w:rFonts w:ascii="Times New Roman" w:eastAsia="Times New Roman" w:hAnsi="Times New Roman" w:cs="Times New Roman"/>
          <w:sz w:val="24"/>
          <w:szCs w:val="24"/>
          <w:lang w:eastAsia="en-GB"/>
        </w:rPr>
        <w:t>Umueni</w:t>
      </w:r>
      <w:proofErr w:type="spellEnd"/>
      <w:r w:rsidRPr="00F72B21">
        <w:rPr>
          <w:rFonts w:ascii="Times New Roman" w:eastAsia="Times New Roman" w:hAnsi="Times New Roman" w:cs="Times New Roman"/>
          <w:sz w:val="24"/>
          <w:szCs w:val="24"/>
          <w:lang w:eastAsia="en-GB"/>
        </w:rPr>
        <w:t xml:space="preserve"> et al., 2025).</w:t>
      </w:r>
    </w:p>
    <w:p w14:paraId="36E175A7" w14:textId="083A1200" w:rsidR="00F72B21" w:rsidRPr="00AD7519" w:rsidRDefault="00F72B21" w:rsidP="00AD751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72B21">
        <w:rPr>
          <w:rFonts w:ascii="Times New Roman" w:eastAsia="Times New Roman" w:hAnsi="Times New Roman" w:cs="Times New Roman"/>
          <w:sz w:val="24"/>
          <w:szCs w:val="24"/>
          <w:lang w:eastAsia="en-GB"/>
        </w:rPr>
        <w:t>Although several studies have assessed water quality, sediment contamination, or biological responses in isolation, integrated investigations linking sediment geochemistry with ecological risk remain limited for many stream systems in Rivers State (</w:t>
      </w:r>
      <w:proofErr w:type="spellStart"/>
      <w:r w:rsidRPr="00F72B21">
        <w:rPr>
          <w:rFonts w:ascii="Times New Roman" w:eastAsia="Times New Roman" w:hAnsi="Times New Roman" w:cs="Times New Roman"/>
          <w:sz w:val="24"/>
          <w:szCs w:val="24"/>
          <w:lang w:eastAsia="en-GB"/>
        </w:rPr>
        <w:t>Ekesiobi</w:t>
      </w:r>
      <w:proofErr w:type="spellEnd"/>
      <w:r w:rsidRPr="00F72B21">
        <w:rPr>
          <w:rFonts w:ascii="Times New Roman" w:eastAsia="Times New Roman" w:hAnsi="Times New Roman" w:cs="Times New Roman"/>
          <w:sz w:val="24"/>
          <w:szCs w:val="24"/>
          <w:lang w:eastAsia="en-GB"/>
        </w:rPr>
        <w:t xml:space="preserve"> et al., 2025; </w:t>
      </w:r>
      <w:proofErr w:type="spellStart"/>
      <w:r w:rsidRPr="00F72B21">
        <w:rPr>
          <w:rFonts w:ascii="Times New Roman" w:eastAsia="Times New Roman" w:hAnsi="Times New Roman" w:cs="Times New Roman"/>
          <w:sz w:val="24"/>
          <w:szCs w:val="24"/>
          <w:lang w:eastAsia="en-GB"/>
        </w:rPr>
        <w:t>Okpoji</w:t>
      </w:r>
      <w:proofErr w:type="spellEnd"/>
      <w:r w:rsidRPr="00F72B21">
        <w:rPr>
          <w:rFonts w:ascii="Times New Roman" w:eastAsia="Times New Roman" w:hAnsi="Times New Roman" w:cs="Times New Roman"/>
          <w:sz w:val="24"/>
          <w:szCs w:val="24"/>
          <w:lang w:eastAsia="en-GB"/>
        </w:rPr>
        <w:t xml:space="preserve"> et al., 2025). This study</w:t>
      </w:r>
      <w:r w:rsidRPr="00AD7519">
        <w:rPr>
          <w:rFonts w:ascii="Times New Roman" w:eastAsia="Times New Roman" w:hAnsi="Times New Roman" w:cs="Times New Roman"/>
          <w:sz w:val="24"/>
          <w:szCs w:val="24"/>
          <w:lang w:eastAsia="en-GB"/>
        </w:rPr>
        <w:t>,</w:t>
      </w:r>
      <w:r w:rsidRPr="00F72B21">
        <w:rPr>
          <w:rFonts w:ascii="Times New Roman" w:eastAsia="Times New Roman" w:hAnsi="Times New Roman" w:cs="Times New Roman"/>
          <w:sz w:val="24"/>
          <w:szCs w:val="24"/>
          <w:lang w:eastAsia="en-GB"/>
        </w:rPr>
        <w:t xml:space="preserve"> therefore</w:t>
      </w:r>
      <w:r w:rsidRPr="00AD7519">
        <w:rPr>
          <w:rFonts w:ascii="Times New Roman" w:eastAsia="Times New Roman" w:hAnsi="Times New Roman" w:cs="Times New Roman"/>
          <w:sz w:val="24"/>
          <w:szCs w:val="24"/>
          <w:lang w:eastAsia="en-GB"/>
        </w:rPr>
        <w:t>,</w:t>
      </w:r>
      <w:r w:rsidRPr="00F72B21">
        <w:rPr>
          <w:rFonts w:ascii="Times New Roman" w:eastAsia="Times New Roman" w:hAnsi="Times New Roman" w:cs="Times New Roman"/>
          <w:sz w:val="24"/>
          <w:szCs w:val="24"/>
          <w:lang w:eastAsia="en-GB"/>
        </w:rPr>
        <w:t xml:space="preserve"> focuses on the geochemical characterisation and ecological risk assessment of heavy metals in stream sediments, providing essential baseline data to support environmental monitoring, risk evaluation, and sustainable management of riverine ecosystems in the Niger Delta.</w:t>
      </w:r>
    </w:p>
    <w:p w14:paraId="36D13CF4" w14:textId="141C23E7" w:rsidR="00AC5CB1" w:rsidRPr="00AD7519" w:rsidRDefault="00AC5CB1" w:rsidP="00AD7519">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4EB2CF0A" w14:textId="77777777" w:rsidR="00AC5CB1" w:rsidRPr="00AD7519" w:rsidRDefault="00AC5CB1" w:rsidP="00AD7519">
      <w:pPr>
        <w:pStyle w:val="Heading2"/>
        <w:jc w:val="both"/>
        <w:rPr>
          <w:rFonts w:ascii="Times New Roman" w:hAnsi="Times New Roman" w:cs="Times New Roman"/>
          <w:b/>
          <w:bCs/>
          <w:color w:val="auto"/>
          <w:sz w:val="24"/>
          <w:szCs w:val="24"/>
        </w:rPr>
      </w:pPr>
      <w:r w:rsidRPr="00AD7519">
        <w:rPr>
          <w:rStyle w:val="Strong"/>
          <w:rFonts w:ascii="Times New Roman" w:hAnsi="Times New Roman" w:cs="Times New Roman"/>
          <w:color w:val="auto"/>
          <w:sz w:val="24"/>
          <w:szCs w:val="24"/>
        </w:rPr>
        <w:t>2.0 Materials and Methods</w:t>
      </w:r>
    </w:p>
    <w:p w14:paraId="632F8C29" w14:textId="77777777" w:rsidR="00AC5CB1" w:rsidRPr="00AD7519" w:rsidRDefault="00AC5CB1" w:rsidP="00AD7519">
      <w:pPr>
        <w:pStyle w:val="Heading3"/>
        <w:jc w:val="both"/>
        <w:rPr>
          <w:sz w:val="24"/>
          <w:szCs w:val="24"/>
        </w:rPr>
      </w:pPr>
      <w:r w:rsidRPr="00AD7519">
        <w:rPr>
          <w:rStyle w:val="Strong"/>
          <w:b/>
          <w:bCs/>
          <w:sz w:val="24"/>
          <w:szCs w:val="24"/>
        </w:rPr>
        <w:t>2.1 Study Area</w:t>
      </w:r>
    </w:p>
    <w:p w14:paraId="34796D2E" w14:textId="04AD1167" w:rsidR="00AC5CB1" w:rsidRPr="00AD7519" w:rsidRDefault="00AC5CB1" w:rsidP="00AD7519">
      <w:pPr>
        <w:pStyle w:val="NormalWeb"/>
        <w:jc w:val="both"/>
      </w:pPr>
      <w:r w:rsidRPr="00AD7519">
        <w:t xml:space="preserve">The study was conducted in the </w:t>
      </w:r>
      <w:proofErr w:type="spellStart"/>
      <w:r w:rsidRPr="00AD7519">
        <w:rPr>
          <w:rStyle w:val="Strong"/>
        </w:rPr>
        <w:t>Orashi</w:t>
      </w:r>
      <w:proofErr w:type="spellEnd"/>
      <w:r w:rsidRPr="00AD7519">
        <w:rPr>
          <w:rStyle w:val="Strong"/>
        </w:rPr>
        <w:t xml:space="preserve"> River catchment, Rivers State, Niger Delta, Nigeria</w:t>
      </w:r>
      <w:r w:rsidRPr="00AD7519">
        <w:t xml:space="preserve">. The </w:t>
      </w:r>
      <w:proofErr w:type="spellStart"/>
      <w:r w:rsidRPr="00AD7519">
        <w:t>Orashi</w:t>
      </w:r>
      <w:proofErr w:type="spellEnd"/>
      <w:r w:rsidRPr="00AD7519">
        <w:t xml:space="preserve"> River is a major freshwater system that drains parts of </w:t>
      </w:r>
      <w:r w:rsidRPr="00AD7519">
        <w:rPr>
          <w:rStyle w:val="Strong"/>
        </w:rPr>
        <w:t>Ogba/</w:t>
      </w:r>
      <w:proofErr w:type="spellStart"/>
      <w:r w:rsidRPr="00AD7519">
        <w:rPr>
          <w:rStyle w:val="Strong"/>
        </w:rPr>
        <w:t>Egbema</w:t>
      </w:r>
      <w:proofErr w:type="spellEnd"/>
      <w:r w:rsidRPr="00AD7519">
        <w:rPr>
          <w:rStyle w:val="Strong"/>
        </w:rPr>
        <w:t>/</w:t>
      </w:r>
      <w:proofErr w:type="spellStart"/>
      <w:r w:rsidRPr="00AD7519">
        <w:rPr>
          <w:rStyle w:val="Strong"/>
        </w:rPr>
        <w:t>Ndoni</w:t>
      </w:r>
      <w:proofErr w:type="spellEnd"/>
      <w:r w:rsidRPr="00AD7519">
        <w:rPr>
          <w:rStyle w:val="Strong"/>
        </w:rPr>
        <w:t xml:space="preserve"> and </w:t>
      </w:r>
      <w:proofErr w:type="spellStart"/>
      <w:r w:rsidRPr="00AD7519">
        <w:rPr>
          <w:rStyle w:val="Strong"/>
        </w:rPr>
        <w:t>Ahoada</w:t>
      </w:r>
      <w:proofErr w:type="spellEnd"/>
      <w:r w:rsidRPr="00AD7519">
        <w:rPr>
          <w:rStyle w:val="Strong"/>
        </w:rPr>
        <w:t xml:space="preserve"> East Local Government Areas</w:t>
      </w:r>
      <w:r w:rsidRPr="00AD7519">
        <w:t xml:space="preserve"> before discharging into the lower Niger Delta floodplain. The catchment is characterised by mixed land use, including subsistence agriculture, fishing settlements, sand mining, small-scale industrial activities, and domestic waste discharge.</w:t>
      </w:r>
      <w:r w:rsidR="00AD7519">
        <w:t xml:space="preserve"> </w:t>
      </w:r>
      <w:r w:rsidRPr="00AD7519">
        <w:t xml:space="preserve">The area lies within the humid tropical climatic zone, with a pronounced wet season from April to October and a dry season from November to March. Mean annual rainfall </w:t>
      </w:r>
      <w:r w:rsidRPr="00AD7519">
        <w:lastRenderedPageBreak/>
        <w:t xml:space="preserve">exceeds </w:t>
      </w:r>
      <w:r w:rsidRPr="00AD7519">
        <w:rPr>
          <w:rStyle w:val="Strong"/>
        </w:rPr>
        <w:t>2,200 mm</w:t>
      </w:r>
      <w:r w:rsidRPr="00AD7519">
        <w:t xml:space="preserve">, while average temperatures range between </w:t>
      </w:r>
      <w:r w:rsidRPr="00AD7519">
        <w:rPr>
          <w:rStyle w:val="Strong"/>
        </w:rPr>
        <w:t>25 and 32 °C</w:t>
      </w:r>
      <w:r w:rsidRPr="00AD7519">
        <w:t>. The geology is dominated by unconsolidated Quaternary alluvial deposits, which favour fine sediment accumulation and enhance the retention of trace metals within stream sediments.</w:t>
      </w:r>
    </w:p>
    <w:p w14:paraId="315E5B13" w14:textId="77777777" w:rsidR="00AC5CB1" w:rsidRPr="00AD7519" w:rsidRDefault="00AC5CB1" w:rsidP="00AD7519">
      <w:pPr>
        <w:pStyle w:val="Heading3"/>
        <w:jc w:val="both"/>
        <w:rPr>
          <w:sz w:val="24"/>
          <w:szCs w:val="24"/>
        </w:rPr>
      </w:pPr>
      <w:r w:rsidRPr="00AD7519">
        <w:rPr>
          <w:rStyle w:val="Strong"/>
          <w:b/>
          <w:bCs/>
          <w:sz w:val="24"/>
          <w:szCs w:val="24"/>
        </w:rPr>
        <w:t>2.2 Sampling Design and Site Selection</w:t>
      </w:r>
    </w:p>
    <w:p w14:paraId="0BD8A7D2" w14:textId="77777777" w:rsidR="00AC5CB1" w:rsidRPr="00AD7519" w:rsidRDefault="00AC5CB1" w:rsidP="00AD7519">
      <w:pPr>
        <w:pStyle w:val="NormalWeb"/>
        <w:jc w:val="both"/>
      </w:pPr>
      <w:r w:rsidRPr="00AD7519">
        <w:t xml:space="preserve">A </w:t>
      </w:r>
      <w:r w:rsidRPr="00AD7519">
        <w:rPr>
          <w:rStyle w:val="Strong"/>
        </w:rPr>
        <w:t>spatially stratified sampling design</w:t>
      </w:r>
      <w:r w:rsidRPr="00AD7519">
        <w:t xml:space="preserve"> was employed to capture longitudinal variation along the </w:t>
      </w:r>
      <w:proofErr w:type="spellStart"/>
      <w:r w:rsidRPr="00AD7519">
        <w:t>Orashi</w:t>
      </w:r>
      <w:proofErr w:type="spellEnd"/>
      <w:r w:rsidRPr="00AD7519">
        <w:t xml:space="preserve"> River. Six sampling sites (Sites 1–6) were selected to represent upstream, midstream, and downstream conditions based on land-use intensity, hydrological accessibility, and visible anthropogenic influence. Geographic positions of all sampling sites were recorded using a handheld </w:t>
      </w:r>
      <w:r w:rsidRPr="00AD7519">
        <w:rPr>
          <w:rStyle w:val="Strong"/>
        </w:rPr>
        <w:t xml:space="preserve">Global Positioning System (GPS; Garmin </w:t>
      </w:r>
      <w:proofErr w:type="spellStart"/>
      <w:r w:rsidRPr="00AD7519">
        <w:rPr>
          <w:rStyle w:val="Strong"/>
        </w:rPr>
        <w:t>eTrex</w:t>
      </w:r>
      <w:proofErr w:type="spellEnd"/>
      <w:r w:rsidRPr="00AD7519">
        <w:rPr>
          <w:rStyle w:val="Strong"/>
        </w:rPr>
        <w:t xml:space="preserve"> series)</w:t>
      </w:r>
      <w:r w:rsidRPr="00AD7519">
        <w:t>.</w:t>
      </w:r>
    </w:p>
    <w:p w14:paraId="11AAD472" w14:textId="77777777" w:rsidR="00AC5CB1" w:rsidRPr="00AD7519" w:rsidRDefault="00AC5CB1" w:rsidP="00AD7519">
      <w:pPr>
        <w:pStyle w:val="Heading3"/>
        <w:jc w:val="both"/>
        <w:rPr>
          <w:sz w:val="24"/>
          <w:szCs w:val="24"/>
        </w:rPr>
      </w:pPr>
      <w:r w:rsidRPr="00AD7519">
        <w:rPr>
          <w:rStyle w:val="Strong"/>
          <w:b/>
          <w:bCs/>
          <w:sz w:val="24"/>
          <w:szCs w:val="24"/>
        </w:rPr>
        <w:t xml:space="preserve">Table 1: Geographic Coordinates of Sediment Sampling Sites in the </w:t>
      </w:r>
      <w:proofErr w:type="spellStart"/>
      <w:r w:rsidRPr="00AD7519">
        <w:rPr>
          <w:rStyle w:val="Strong"/>
          <w:b/>
          <w:bCs/>
          <w:sz w:val="24"/>
          <w:szCs w:val="24"/>
        </w:rPr>
        <w:t>Orashi</w:t>
      </w:r>
      <w:proofErr w:type="spellEnd"/>
      <w:r w:rsidRPr="00AD7519">
        <w:rPr>
          <w:rStyle w:val="Strong"/>
          <w:b/>
          <w:bCs/>
          <w:sz w:val="24"/>
          <w:szCs w:val="24"/>
        </w:rPr>
        <w:t xml:space="preserve"> River Catchment, Rivers State</w:t>
      </w:r>
    </w:p>
    <w:tbl>
      <w:tblPr>
        <w:tblW w:w="8829" w:type="dxa"/>
        <w:tblCellSpacing w:w="15" w:type="dxa"/>
        <w:tblCellMar>
          <w:top w:w="15" w:type="dxa"/>
          <w:left w:w="15" w:type="dxa"/>
          <w:bottom w:w="15" w:type="dxa"/>
          <w:right w:w="15" w:type="dxa"/>
        </w:tblCellMar>
        <w:tblLook w:val="04A0" w:firstRow="1" w:lastRow="0" w:firstColumn="1" w:lastColumn="0" w:noHBand="0" w:noVBand="1"/>
      </w:tblPr>
      <w:tblGrid>
        <w:gridCol w:w="745"/>
        <w:gridCol w:w="4691"/>
        <w:gridCol w:w="1593"/>
        <w:gridCol w:w="1800"/>
      </w:tblGrid>
      <w:tr w:rsidR="00AC5CB1" w:rsidRPr="00AD7519" w14:paraId="27129E5C" w14:textId="77777777" w:rsidTr="00AC5CB1">
        <w:trPr>
          <w:trHeight w:val="480"/>
          <w:tblHeader/>
          <w:tblCellSpacing w:w="15" w:type="dxa"/>
        </w:trPr>
        <w:tc>
          <w:tcPr>
            <w:tcW w:w="0" w:type="auto"/>
            <w:vAlign w:val="center"/>
            <w:hideMark/>
          </w:tcPr>
          <w:p w14:paraId="61A4D2E2"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w:t>
            </w:r>
          </w:p>
        </w:tc>
        <w:tc>
          <w:tcPr>
            <w:tcW w:w="0" w:type="auto"/>
            <w:vAlign w:val="center"/>
            <w:hideMark/>
          </w:tcPr>
          <w:p w14:paraId="0B3B0E28"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River Section</w:t>
            </w:r>
          </w:p>
        </w:tc>
        <w:tc>
          <w:tcPr>
            <w:tcW w:w="0" w:type="auto"/>
            <w:vAlign w:val="center"/>
            <w:hideMark/>
          </w:tcPr>
          <w:p w14:paraId="739AD724"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Latitude (N)</w:t>
            </w:r>
          </w:p>
        </w:tc>
        <w:tc>
          <w:tcPr>
            <w:tcW w:w="0" w:type="auto"/>
            <w:vAlign w:val="center"/>
            <w:hideMark/>
          </w:tcPr>
          <w:p w14:paraId="163C6C47"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Longitude (E)</w:t>
            </w:r>
          </w:p>
        </w:tc>
      </w:tr>
      <w:tr w:rsidR="00AC5CB1" w:rsidRPr="00AD7519" w14:paraId="26B9A60A" w14:textId="77777777" w:rsidTr="00AC5CB1">
        <w:trPr>
          <w:trHeight w:val="497"/>
          <w:tblCellSpacing w:w="15" w:type="dxa"/>
        </w:trPr>
        <w:tc>
          <w:tcPr>
            <w:tcW w:w="0" w:type="auto"/>
            <w:vAlign w:val="center"/>
            <w:hideMark/>
          </w:tcPr>
          <w:p w14:paraId="1051FC9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Site 1</w:t>
            </w:r>
          </w:p>
        </w:tc>
        <w:tc>
          <w:tcPr>
            <w:tcW w:w="0" w:type="auto"/>
            <w:vAlign w:val="center"/>
            <w:hideMark/>
          </w:tcPr>
          <w:p w14:paraId="345456D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Upstream (low disturbance)</w:t>
            </w:r>
          </w:p>
        </w:tc>
        <w:tc>
          <w:tcPr>
            <w:tcW w:w="0" w:type="auto"/>
            <w:vAlign w:val="center"/>
            <w:hideMark/>
          </w:tcPr>
          <w:p w14:paraId="229561F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5.1186°</w:t>
            </w:r>
          </w:p>
        </w:tc>
        <w:tc>
          <w:tcPr>
            <w:tcW w:w="0" w:type="auto"/>
            <w:vAlign w:val="center"/>
            <w:hideMark/>
          </w:tcPr>
          <w:p w14:paraId="57DBCFA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6.4874°</w:t>
            </w:r>
          </w:p>
        </w:tc>
      </w:tr>
      <w:tr w:rsidR="00AC5CB1" w:rsidRPr="00AD7519" w14:paraId="72B3A60B" w14:textId="77777777" w:rsidTr="00AC5CB1">
        <w:trPr>
          <w:trHeight w:val="480"/>
          <w:tblCellSpacing w:w="15" w:type="dxa"/>
        </w:trPr>
        <w:tc>
          <w:tcPr>
            <w:tcW w:w="0" w:type="auto"/>
            <w:vAlign w:val="center"/>
            <w:hideMark/>
          </w:tcPr>
          <w:p w14:paraId="3B2390D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Site 2</w:t>
            </w:r>
          </w:p>
        </w:tc>
        <w:tc>
          <w:tcPr>
            <w:tcW w:w="0" w:type="auto"/>
            <w:vAlign w:val="center"/>
            <w:hideMark/>
          </w:tcPr>
          <w:p w14:paraId="5E7885A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Upper midstream (agricultural zone)</w:t>
            </w:r>
          </w:p>
        </w:tc>
        <w:tc>
          <w:tcPr>
            <w:tcW w:w="0" w:type="auto"/>
            <w:vAlign w:val="center"/>
            <w:hideMark/>
          </w:tcPr>
          <w:p w14:paraId="50AD74E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5.1042°</w:t>
            </w:r>
          </w:p>
        </w:tc>
        <w:tc>
          <w:tcPr>
            <w:tcW w:w="0" w:type="auto"/>
            <w:vAlign w:val="center"/>
            <w:hideMark/>
          </w:tcPr>
          <w:p w14:paraId="296A6BB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6.5029°</w:t>
            </w:r>
          </w:p>
        </w:tc>
      </w:tr>
      <w:tr w:rsidR="00AC5CB1" w:rsidRPr="00AD7519" w14:paraId="18E52514" w14:textId="77777777" w:rsidTr="00AC5CB1">
        <w:trPr>
          <w:trHeight w:val="480"/>
          <w:tblCellSpacing w:w="15" w:type="dxa"/>
        </w:trPr>
        <w:tc>
          <w:tcPr>
            <w:tcW w:w="0" w:type="auto"/>
            <w:vAlign w:val="center"/>
            <w:hideMark/>
          </w:tcPr>
          <w:p w14:paraId="70F5EE4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Site 3</w:t>
            </w:r>
          </w:p>
        </w:tc>
        <w:tc>
          <w:tcPr>
            <w:tcW w:w="0" w:type="auto"/>
            <w:vAlign w:val="center"/>
            <w:hideMark/>
          </w:tcPr>
          <w:p w14:paraId="25C3046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Midstream (mixed land use)</w:t>
            </w:r>
          </w:p>
        </w:tc>
        <w:tc>
          <w:tcPr>
            <w:tcW w:w="0" w:type="auto"/>
            <w:vAlign w:val="center"/>
            <w:hideMark/>
          </w:tcPr>
          <w:p w14:paraId="458D42A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5.0897°</w:t>
            </w:r>
          </w:p>
        </w:tc>
        <w:tc>
          <w:tcPr>
            <w:tcW w:w="0" w:type="auto"/>
            <w:vAlign w:val="center"/>
            <w:hideMark/>
          </w:tcPr>
          <w:p w14:paraId="5741F87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6.5186°</w:t>
            </w:r>
          </w:p>
        </w:tc>
      </w:tr>
      <w:tr w:rsidR="00AC5CB1" w:rsidRPr="00AD7519" w14:paraId="18E16CF2" w14:textId="77777777" w:rsidTr="00AC5CB1">
        <w:trPr>
          <w:trHeight w:val="480"/>
          <w:tblCellSpacing w:w="15" w:type="dxa"/>
        </w:trPr>
        <w:tc>
          <w:tcPr>
            <w:tcW w:w="0" w:type="auto"/>
            <w:vAlign w:val="center"/>
            <w:hideMark/>
          </w:tcPr>
          <w:p w14:paraId="29CC26D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Site 4</w:t>
            </w:r>
          </w:p>
        </w:tc>
        <w:tc>
          <w:tcPr>
            <w:tcW w:w="0" w:type="auto"/>
            <w:vAlign w:val="center"/>
            <w:hideMark/>
          </w:tcPr>
          <w:p w14:paraId="17F9DC65"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Lower midstream (settlement influence)</w:t>
            </w:r>
          </w:p>
        </w:tc>
        <w:tc>
          <w:tcPr>
            <w:tcW w:w="0" w:type="auto"/>
            <w:vAlign w:val="center"/>
            <w:hideMark/>
          </w:tcPr>
          <w:p w14:paraId="6788D89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5.0738°</w:t>
            </w:r>
          </w:p>
        </w:tc>
        <w:tc>
          <w:tcPr>
            <w:tcW w:w="0" w:type="auto"/>
            <w:vAlign w:val="center"/>
            <w:hideMark/>
          </w:tcPr>
          <w:p w14:paraId="07E936A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6.5342°</w:t>
            </w:r>
          </w:p>
        </w:tc>
      </w:tr>
      <w:tr w:rsidR="00AC5CB1" w:rsidRPr="00AD7519" w14:paraId="2FE257F1" w14:textId="77777777" w:rsidTr="00AC5CB1">
        <w:trPr>
          <w:trHeight w:val="497"/>
          <w:tblCellSpacing w:w="15" w:type="dxa"/>
        </w:trPr>
        <w:tc>
          <w:tcPr>
            <w:tcW w:w="0" w:type="auto"/>
            <w:vAlign w:val="center"/>
            <w:hideMark/>
          </w:tcPr>
          <w:p w14:paraId="1B1D4B1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Site 5</w:t>
            </w:r>
          </w:p>
        </w:tc>
        <w:tc>
          <w:tcPr>
            <w:tcW w:w="0" w:type="auto"/>
            <w:vAlign w:val="center"/>
            <w:hideMark/>
          </w:tcPr>
          <w:p w14:paraId="4DD5AC2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Downstream (intensive human activity)</w:t>
            </w:r>
          </w:p>
        </w:tc>
        <w:tc>
          <w:tcPr>
            <w:tcW w:w="0" w:type="auto"/>
            <w:vAlign w:val="center"/>
            <w:hideMark/>
          </w:tcPr>
          <w:p w14:paraId="19396FD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5.0584°</w:t>
            </w:r>
          </w:p>
        </w:tc>
        <w:tc>
          <w:tcPr>
            <w:tcW w:w="0" w:type="auto"/>
            <w:vAlign w:val="center"/>
            <w:hideMark/>
          </w:tcPr>
          <w:p w14:paraId="4B845CA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6.5497°</w:t>
            </w:r>
          </w:p>
        </w:tc>
      </w:tr>
      <w:tr w:rsidR="00AC5CB1" w:rsidRPr="00AD7519" w14:paraId="098032D0" w14:textId="77777777" w:rsidTr="00AC5CB1">
        <w:trPr>
          <w:trHeight w:val="480"/>
          <w:tblCellSpacing w:w="15" w:type="dxa"/>
        </w:trPr>
        <w:tc>
          <w:tcPr>
            <w:tcW w:w="0" w:type="auto"/>
            <w:vAlign w:val="center"/>
            <w:hideMark/>
          </w:tcPr>
          <w:p w14:paraId="19548F05"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Site 6</w:t>
            </w:r>
          </w:p>
        </w:tc>
        <w:tc>
          <w:tcPr>
            <w:tcW w:w="0" w:type="auto"/>
            <w:vAlign w:val="center"/>
            <w:hideMark/>
          </w:tcPr>
          <w:p w14:paraId="5BFF7DD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Downstream depositional zone</w:t>
            </w:r>
          </w:p>
        </w:tc>
        <w:tc>
          <w:tcPr>
            <w:tcW w:w="0" w:type="auto"/>
            <w:vAlign w:val="center"/>
            <w:hideMark/>
          </w:tcPr>
          <w:p w14:paraId="738AB44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5.0421°</w:t>
            </w:r>
          </w:p>
        </w:tc>
        <w:tc>
          <w:tcPr>
            <w:tcW w:w="0" w:type="auto"/>
            <w:vAlign w:val="center"/>
            <w:hideMark/>
          </w:tcPr>
          <w:p w14:paraId="2B341E6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6.5638°</w:t>
            </w:r>
          </w:p>
        </w:tc>
      </w:tr>
    </w:tbl>
    <w:p w14:paraId="162A08AB" w14:textId="77777777" w:rsidR="00AC5CB1" w:rsidRPr="00AD7519" w:rsidRDefault="00AC5CB1" w:rsidP="00AD7519">
      <w:pPr>
        <w:pStyle w:val="Heading3"/>
        <w:jc w:val="both"/>
        <w:rPr>
          <w:sz w:val="24"/>
          <w:szCs w:val="24"/>
        </w:rPr>
      </w:pPr>
      <w:r w:rsidRPr="00AD7519">
        <w:rPr>
          <w:rStyle w:val="Strong"/>
          <w:b/>
          <w:bCs/>
          <w:sz w:val="24"/>
          <w:szCs w:val="24"/>
        </w:rPr>
        <w:t>2.3 Sediment Sampling and Preparation</w:t>
      </w:r>
    </w:p>
    <w:p w14:paraId="659B36F3" w14:textId="0DEA2C79" w:rsidR="00AC5CB1" w:rsidRPr="00AD7519" w:rsidRDefault="00AC5CB1" w:rsidP="00AD7519">
      <w:pPr>
        <w:pStyle w:val="NormalWeb"/>
        <w:jc w:val="both"/>
      </w:pPr>
      <w:r w:rsidRPr="00AD7519">
        <w:t xml:space="preserve">At each site, </w:t>
      </w:r>
      <w:r w:rsidRPr="00AD7519">
        <w:rPr>
          <w:rStyle w:val="Strong"/>
        </w:rPr>
        <w:t xml:space="preserve">triplicate surface sediment samples </w:t>
      </w:r>
      <w:r w:rsidRPr="00AD7519">
        <w:t xml:space="preserve">were collected from the top </w:t>
      </w:r>
      <w:r w:rsidRPr="00AD7519">
        <w:rPr>
          <w:rStyle w:val="Strong"/>
        </w:rPr>
        <w:t>0–10 cm</w:t>
      </w:r>
      <w:r w:rsidRPr="00AD7519">
        <w:t xml:space="preserve"> using a stainless-steel grab sampler. The subsamples were homogenised to form a composite representative sample per site. Samples were stored in acid-washed </w:t>
      </w:r>
      <w:r w:rsidR="00AD7519">
        <w:t>polyethene</w:t>
      </w:r>
      <w:r w:rsidRPr="00AD7519">
        <w:t xml:space="preserve"> bags, transported to the laboratory, air-dried at room temperature, gently disaggregated, and sieved through a </w:t>
      </w:r>
      <w:r w:rsidRPr="00AD7519">
        <w:rPr>
          <w:rStyle w:val="Strong"/>
        </w:rPr>
        <w:t>2-mm mesh</w:t>
      </w:r>
      <w:r w:rsidRPr="00AD7519">
        <w:t xml:space="preserve"> to remove debris and coarse materials.</w:t>
      </w:r>
    </w:p>
    <w:p w14:paraId="0E97F647" w14:textId="77777777" w:rsidR="00AC5CB1" w:rsidRPr="00AD7519" w:rsidRDefault="00AC5CB1" w:rsidP="00AD7519">
      <w:pPr>
        <w:pStyle w:val="Heading3"/>
        <w:jc w:val="both"/>
        <w:rPr>
          <w:sz w:val="24"/>
          <w:szCs w:val="24"/>
        </w:rPr>
      </w:pPr>
      <w:r w:rsidRPr="00AD7519">
        <w:rPr>
          <w:rStyle w:val="Strong"/>
          <w:b/>
          <w:bCs/>
          <w:sz w:val="24"/>
          <w:szCs w:val="24"/>
        </w:rPr>
        <w:t>2.4 Physicochemical Analysis of Sediments</w:t>
      </w:r>
    </w:p>
    <w:p w14:paraId="76CFA7C7" w14:textId="77777777" w:rsidR="00AC5CB1" w:rsidRPr="00AD7519" w:rsidRDefault="00AC5CB1" w:rsidP="00AD7519">
      <w:pPr>
        <w:pStyle w:val="NormalWeb"/>
        <w:jc w:val="both"/>
      </w:pPr>
      <w:r w:rsidRPr="00AD7519">
        <w:t xml:space="preserve">Sediment pH and electrical conductivity were measured in a </w:t>
      </w:r>
      <w:r w:rsidRPr="00AD7519">
        <w:rPr>
          <w:rStyle w:val="Strong"/>
        </w:rPr>
        <w:t>1:2.5 sediment–distilled water suspension</w:t>
      </w:r>
      <w:r w:rsidRPr="00AD7519">
        <w:t xml:space="preserve"> using calibrated digital meters. Organic matter content was determined by the </w:t>
      </w:r>
      <w:r w:rsidRPr="00AD7519">
        <w:rPr>
          <w:rStyle w:val="Strong"/>
        </w:rPr>
        <w:t>Walkley–Black dichromate oxidation method</w:t>
      </w:r>
      <w:r w:rsidRPr="00AD7519">
        <w:t xml:space="preserve">, while particle size distribution (sand, silt, and clay) was analysed using the </w:t>
      </w:r>
      <w:r w:rsidRPr="00AD7519">
        <w:rPr>
          <w:rStyle w:val="Strong"/>
        </w:rPr>
        <w:t>hydrometer method</w:t>
      </w:r>
      <w:r w:rsidRPr="00AD7519">
        <w:t xml:space="preserve"> and classified according to the USDA textural triangle.</w:t>
      </w:r>
    </w:p>
    <w:p w14:paraId="17648105" w14:textId="77777777" w:rsidR="00AC5CB1" w:rsidRPr="00AD7519" w:rsidRDefault="00AC5CB1" w:rsidP="00AD7519">
      <w:pPr>
        <w:pStyle w:val="Heading3"/>
        <w:jc w:val="both"/>
        <w:rPr>
          <w:sz w:val="24"/>
          <w:szCs w:val="24"/>
        </w:rPr>
      </w:pPr>
      <w:r w:rsidRPr="00AD7519">
        <w:rPr>
          <w:rStyle w:val="Strong"/>
          <w:b/>
          <w:bCs/>
          <w:sz w:val="24"/>
          <w:szCs w:val="24"/>
        </w:rPr>
        <w:t>2.5 Heavy Metal Determination</w:t>
      </w:r>
    </w:p>
    <w:p w14:paraId="05B65CE2" w14:textId="77777777" w:rsidR="00AC5CB1" w:rsidRPr="00AD7519" w:rsidRDefault="00AC5CB1" w:rsidP="00AD7519">
      <w:pPr>
        <w:pStyle w:val="NormalWeb"/>
        <w:jc w:val="both"/>
      </w:pPr>
      <w:r w:rsidRPr="00AD7519">
        <w:t xml:space="preserve">Approximately </w:t>
      </w:r>
      <w:r w:rsidRPr="00AD7519">
        <w:rPr>
          <w:rStyle w:val="Strong"/>
        </w:rPr>
        <w:t>1.0 g</w:t>
      </w:r>
      <w:r w:rsidRPr="00AD7519">
        <w:t xml:space="preserve"> of each prepared sediment sample was digested using a mixed acid system (</w:t>
      </w:r>
      <w:r w:rsidRPr="00AD7519">
        <w:rPr>
          <w:rStyle w:val="Strong"/>
        </w:rPr>
        <w:t>HNO₃–HCl–</w:t>
      </w:r>
      <w:proofErr w:type="spellStart"/>
      <w:r w:rsidRPr="00AD7519">
        <w:rPr>
          <w:rStyle w:val="Strong"/>
        </w:rPr>
        <w:t>HClO</w:t>
      </w:r>
      <w:proofErr w:type="spellEnd"/>
      <w:r w:rsidRPr="00AD7519">
        <w:rPr>
          <w:rStyle w:val="Strong"/>
        </w:rPr>
        <w:t>₄</w:t>
      </w:r>
      <w:r w:rsidRPr="00AD7519">
        <w:t xml:space="preserve">) on a temperature-controlled hot plate until complete dissolution was </w:t>
      </w:r>
      <w:r w:rsidRPr="00AD7519">
        <w:lastRenderedPageBreak/>
        <w:t xml:space="preserve">achieved. The digests were filtered and diluted with deionised water prior to analysis. Concentrations of </w:t>
      </w:r>
      <w:r w:rsidRPr="00AD7519">
        <w:rPr>
          <w:rStyle w:val="Strong"/>
        </w:rPr>
        <w:t>Fe, Mn, Pb, Cd, Cr, Ni, Zn, and Cu</w:t>
      </w:r>
      <w:r w:rsidRPr="00AD7519">
        <w:t xml:space="preserve"> were quantified using </w:t>
      </w:r>
      <w:r w:rsidRPr="00AD7519">
        <w:rPr>
          <w:rStyle w:val="Strong"/>
        </w:rPr>
        <w:t>flame Atomic Absorption Spectrophotometry (AAS)</w:t>
      </w:r>
      <w:r w:rsidRPr="00AD7519">
        <w:t xml:space="preserve">. Calibration was performed with certified multi-element standards, and correlation coefficients for calibration curves exceeded </w:t>
      </w:r>
      <w:r w:rsidRPr="00AD7519">
        <w:rPr>
          <w:rStyle w:val="Strong"/>
        </w:rPr>
        <w:t>0.995</w:t>
      </w:r>
      <w:r w:rsidRPr="00AD7519">
        <w:t>.</w:t>
      </w:r>
    </w:p>
    <w:p w14:paraId="40160931" w14:textId="77777777" w:rsidR="00AC5CB1" w:rsidRPr="00AD7519" w:rsidRDefault="00AC5CB1" w:rsidP="00AD7519">
      <w:pPr>
        <w:pStyle w:val="Heading3"/>
        <w:jc w:val="both"/>
        <w:rPr>
          <w:sz w:val="24"/>
          <w:szCs w:val="24"/>
        </w:rPr>
      </w:pPr>
      <w:r w:rsidRPr="00AD7519">
        <w:rPr>
          <w:rStyle w:val="Strong"/>
          <w:b/>
          <w:bCs/>
          <w:sz w:val="24"/>
          <w:szCs w:val="24"/>
        </w:rPr>
        <w:t>2.6 Quality Assurance and Quality Control</w:t>
      </w:r>
    </w:p>
    <w:p w14:paraId="286B7465" w14:textId="77777777" w:rsidR="00AC5CB1" w:rsidRPr="00AD7519" w:rsidRDefault="00AC5CB1" w:rsidP="00AD7519">
      <w:pPr>
        <w:pStyle w:val="NormalWeb"/>
        <w:jc w:val="both"/>
      </w:pPr>
      <w:r w:rsidRPr="00AD7519">
        <w:t xml:space="preserve">Quality control measures included analysis of procedural blanks, duplicate samples, and certified reference materials. Percentage recoveries ranged from </w:t>
      </w:r>
      <w:r w:rsidRPr="00AD7519">
        <w:rPr>
          <w:rStyle w:val="Strong"/>
        </w:rPr>
        <w:t>90 to 110 %</w:t>
      </w:r>
      <w:r w:rsidRPr="00AD7519">
        <w:t xml:space="preserve">, while relative standard deviations for triplicate analyses were below </w:t>
      </w:r>
      <w:r w:rsidRPr="00AD7519">
        <w:rPr>
          <w:rStyle w:val="Strong"/>
        </w:rPr>
        <w:t>5 %</w:t>
      </w:r>
      <w:r w:rsidRPr="00AD7519">
        <w:t>, confirming acceptable analytical precision and accuracy.</w:t>
      </w:r>
    </w:p>
    <w:p w14:paraId="3D5D0721" w14:textId="77777777" w:rsidR="00AC5CB1" w:rsidRPr="00AD7519" w:rsidRDefault="00AC5CB1" w:rsidP="00AD7519">
      <w:pPr>
        <w:pStyle w:val="Heading3"/>
        <w:jc w:val="both"/>
        <w:rPr>
          <w:sz w:val="24"/>
          <w:szCs w:val="24"/>
        </w:rPr>
      </w:pPr>
      <w:r w:rsidRPr="00AD7519">
        <w:rPr>
          <w:rStyle w:val="Strong"/>
          <w:b/>
          <w:bCs/>
          <w:sz w:val="24"/>
          <w:szCs w:val="24"/>
        </w:rPr>
        <w:t>2.7 Sediment Contamination and Ecological Risk Indices</w:t>
      </w:r>
    </w:p>
    <w:p w14:paraId="34E75EEC" w14:textId="77777777" w:rsidR="00AC5CB1" w:rsidRPr="00AD7519" w:rsidRDefault="00AC5CB1" w:rsidP="00AD7519">
      <w:pPr>
        <w:pStyle w:val="NormalWeb"/>
        <w:jc w:val="both"/>
      </w:pPr>
      <w:r w:rsidRPr="00AD7519">
        <w:t xml:space="preserve">Sediment contamination was assessed using the </w:t>
      </w:r>
      <w:r w:rsidRPr="00AD7519">
        <w:rPr>
          <w:rStyle w:val="Strong"/>
        </w:rPr>
        <w:t>Contamination Factor (CF)</w:t>
      </w:r>
      <w:r w:rsidRPr="00AD7519">
        <w:t xml:space="preserve"> and </w:t>
      </w:r>
      <w:r w:rsidRPr="00AD7519">
        <w:rPr>
          <w:rStyle w:val="Strong"/>
        </w:rPr>
        <w:t>Geo-accumulation Index (</w:t>
      </w:r>
      <w:proofErr w:type="spellStart"/>
      <w:r w:rsidRPr="00AD7519">
        <w:rPr>
          <w:rStyle w:val="Strong"/>
        </w:rPr>
        <w:t>Igeo</w:t>
      </w:r>
      <w:proofErr w:type="spellEnd"/>
      <w:r w:rsidRPr="00AD7519">
        <w:rPr>
          <w:rStyle w:val="Strong"/>
        </w:rPr>
        <w:t>)</w:t>
      </w:r>
      <w:r w:rsidRPr="00AD7519">
        <w:t>:</w:t>
      </w:r>
    </w:p>
    <w:p w14:paraId="2B3146B9" w14:textId="77777777" w:rsidR="00AC5CB1" w:rsidRPr="00AD7519" w:rsidRDefault="00AC5CB1" w:rsidP="00AD7519">
      <w:pPr>
        <w:pStyle w:val="NormalWeb"/>
        <w:jc w:val="both"/>
      </w:pPr>
      <w:r w:rsidRPr="00AD7519">
        <w:t>CF = Cₙ / Cᵦ</w:t>
      </w:r>
    </w:p>
    <w:p w14:paraId="1C72E985" w14:textId="77777777" w:rsidR="00AC5CB1" w:rsidRPr="00AD7519" w:rsidRDefault="00AC5CB1" w:rsidP="00AD7519">
      <w:pPr>
        <w:pStyle w:val="NormalWeb"/>
        <w:jc w:val="both"/>
      </w:pPr>
      <w:proofErr w:type="spellStart"/>
      <w:r w:rsidRPr="00AD7519">
        <w:t>Igeo</w:t>
      </w:r>
      <w:proofErr w:type="spellEnd"/>
      <w:r w:rsidRPr="00AD7519">
        <w:t xml:space="preserve"> = log₂ [ Cₙ / (1.5 × Cᵦ</w:t>
      </w:r>
      <w:proofErr w:type="gramStart"/>
      <w:r w:rsidRPr="00AD7519">
        <w:t>) ]</w:t>
      </w:r>
      <w:proofErr w:type="gramEnd"/>
    </w:p>
    <w:p w14:paraId="7F7563A3" w14:textId="3B6F3331" w:rsidR="00AC5CB1" w:rsidRPr="00AD7519" w:rsidRDefault="00AC5CB1" w:rsidP="00AD7519">
      <w:pPr>
        <w:pStyle w:val="NormalWeb"/>
        <w:jc w:val="both"/>
      </w:pPr>
      <w:r w:rsidRPr="00AD7519">
        <w:t>where Cₙ represents measured metal concentration</w:t>
      </w:r>
      <w:r w:rsidR="00AD7519">
        <w:t>,</w:t>
      </w:r>
      <w:r w:rsidRPr="00AD7519">
        <w:t xml:space="preserve"> and Cᵦ denotes background concentration.</w:t>
      </w:r>
    </w:p>
    <w:p w14:paraId="557C59A0" w14:textId="77777777" w:rsidR="00AC5CB1" w:rsidRPr="00AD7519" w:rsidRDefault="00AC5CB1" w:rsidP="00AD7519">
      <w:pPr>
        <w:pStyle w:val="NormalWeb"/>
        <w:jc w:val="both"/>
      </w:pPr>
      <w:r w:rsidRPr="00AD7519">
        <w:t xml:space="preserve">The </w:t>
      </w:r>
      <w:r w:rsidRPr="00AD7519">
        <w:rPr>
          <w:rStyle w:val="Strong"/>
        </w:rPr>
        <w:t>Enrichment Factor (EF)</w:t>
      </w:r>
      <w:r w:rsidRPr="00AD7519">
        <w:t xml:space="preserve"> was calculated using iron as the reference element:</w:t>
      </w:r>
    </w:p>
    <w:p w14:paraId="1E87413E" w14:textId="77777777" w:rsidR="00AC5CB1" w:rsidRPr="00AD7519" w:rsidRDefault="00AC5CB1" w:rsidP="00AD7519">
      <w:pPr>
        <w:pStyle w:val="NormalWeb"/>
        <w:jc w:val="both"/>
      </w:pPr>
      <w:r w:rsidRPr="00AD7519">
        <w:t>EF = (Cₙ/</w:t>
      </w:r>
      <w:proofErr w:type="gramStart"/>
      <w:r w:rsidRPr="00AD7519">
        <w:t>Fe)sample</w:t>
      </w:r>
      <w:proofErr w:type="gramEnd"/>
      <w:r w:rsidRPr="00AD7519">
        <w:t xml:space="preserve"> / (Cₙ/Fe)background</w:t>
      </w:r>
    </w:p>
    <w:p w14:paraId="45DEB380" w14:textId="77777777" w:rsidR="00AC5CB1" w:rsidRPr="00AD7519" w:rsidRDefault="00AC5CB1" w:rsidP="00AD7519">
      <w:pPr>
        <w:pStyle w:val="Heading3"/>
        <w:jc w:val="both"/>
        <w:rPr>
          <w:sz w:val="24"/>
          <w:szCs w:val="24"/>
        </w:rPr>
      </w:pPr>
      <w:r w:rsidRPr="00AD7519">
        <w:rPr>
          <w:rStyle w:val="Strong"/>
          <w:b/>
          <w:bCs/>
          <w:sz w:val="24"/>
          <w:szCs w:val="24"/>
        </w:rPr>
        <w:t>2.8 Ecological Risk Assessment</w:t>
      </w:r>
    </w:p>
    <w:p w14:paraId="0B991663" w14:textId="77777777" w:rsidR="00AC5CB1" w:rsidRPr="00AD7519" w:rsidRDefault="00AC5CB1" w:rsidP="00AD7519">
      <w:pPr>
        <w:pStyle w:val="NormalWeb"/>
        <w:jc w:val="both"/>
      </w:pPr>
      <w:r w:rsidRPr="00AD7519">
        <w:t xml:space="preserve">Ecological risk was evaluated using the </w:t>
      </w:r>
      <w:r w:rsidRPr="00AD7519">
        <w:rPr>
          <w:rStyle w:val="Strong"/>
        </w:rPr>
        <w:t>Potential Ecological Risk Index (PERI)</w:t>
      </w:r>
      <w:r w:rsidRPr="00AD7519">
        <w:t>. The ecological risk factor (Er) for each metal was calculated as:</w:t>
      </w:r>
    </w:p>
    <w:p w14:paraId="0AFC8220" w14:textId="77777777" w:rsidR="00AC5CB1" w:rsidRPr="00AD7519" w:rsidRDefault="00AC5CB1" w:rsidP="00AD7519">
      <w:pPr>
        <w:pStyle w:val="NormalWeb"/>
        <w:jc w:val="both"/>
      </w:pPr>
      <w:r w:rsidRPr="00AD7519">
        <w:t>Er = Tr × CF</w:t>
      </w:r>
    </w:p>
    <w:p w14:paraId="1418B4E8" w14:textId="77777777" w:rsidR="00AC5CB1" w:rsidRPr="00AD7519" w:rsidRDefault="00AC5CB1" w:rsidP="00AD7519">
      <w:pPr>
        <w:pStyle w:val="NormalWeb"/>
        <w:jc w:val="both"/>
      </w:pPr>
      <w:r w:rsidRPr="00AD7519">
        <w:t>where Tr is the toxic response factor (Cd = 30, Pb = 5, Cr = 2, Ni = 5, Zn = 1).</w:t>
      </w:r>
      <w:r w:rsidRPr="00AD7519">
        <w:br/>
        <w:t>The overall ecological risk was expressed as:</w:t>
      </w:r>
    </w:p>
    <w:p w14:paraId="12E0F35D" w14:textId="77777777" w:rsidR="00AC5CB1" w:rsidRPr="00AD7519" w:rsidRDefault="00AC5CB1" w:rsidP="00AD7519">
      <w:pPr>
        <w:pStyle w:val="NormalWeb"/>
        <w:jc w:val="both"/>
      </w:pPr>
      <w:r w:rsidRPr="00AD7519">
        <w:t xml:space="preserve">PERI = </w:t>
      </w:r>
      <w:proofErr w:type="spellStart"/>
      <w:r w:rsidRPr="00AD7519">
        <w:t>ΣEr</w:t>
      </w:r>
      <w:proofErr w:type="spellEnd"/>
    </w:p>
    <w:p w14:paraId="7BC2E350" w14:textId="65A16BD2" w:rsidR="00AC5CB1" w:rsidRPr="00AD7519" w:rsidRDefault="00AC5CB1" w:rsidP="00AD7519">
      <w:pPr>
        <w:pStyle w:val="Heading3"/>
        <w:jc w:val="both"/>
        <w:rPr>
          <w:sz w:val="24"/>
          <w:szCs w:val="24"/>
        </w:rPr>
      </w:pPr>
      <w:r w:rsidRPr="00AD7519">
        <w:rPr>
          <w:rStyle w:val="Strong"/>
          <w:b/>
          <w:bCs/>
          <w:sz w:val="24"/>
          <w:szCs w:val="24"/>
        </w:rPr>
        <w:t>2.9 Statistical Analysis</w:t>
      </w:r>
    </w:p>
    <w:p w14:paraId="7E976E91" w14:textId="7ECA4F89" w:rsidR="00AC5CB1" w:rsidRPr="00AD7519" w:rsidRDefault="00AC5CB1" w:rsidP="00AD7519">
      <w:pPr>
        <w:pStyle w:val="NormalWeb"/>
        <w:jc w:val="both"/>
      </w:pPr>
      <w:r w:rsidRPr="00AD7519">
        <w:t xml:space="preserve">All measurements were performed in </w:t>
      </w:r>
      <w:r w:rsidRPr="00AD7519">
        <w:rPr>
          <w:rStyle w:val="Strong"/>
          <w:b w:val="0"/>
          <w:bCs w:val="0"/>
        </w:rPr>
        <w:t>triplicate</w:t>
      </w:r>
      <w:r w:rsidR="00AD7519">
        <w:rPr>
          <w:rStyle w:val="Strong"/>
          <w:b w:val="0"/>
          <w:bCs w:val="0"/>
        </w:rPr>
        <w:t>,</w:t>
      </w:r>
      <w:r w:rsidRPr="00AD7519">
        <w:rPr>
          <w:b/>
          <w:bCs/>
        </w:rPr>
        <w:t xml:space="preserve"> </w:t>
      </w:r>
      <w:r w:rsidRPr="00AD7519">
        <w:t xml:space="preserve">and results </w:t>
      </w:r>
      <w:r w:rsidR="00AD7519">
        <w:t xml:space="preserve">were </w:t>
      </w:r>
      <w:r w:rsidRPr="00AD7519">
        <w:t xml:space="preserve">expressed as </w:t>
      </w:r>
      <w:r w:rsidRPr="00AD7519">
        <w:rPr>
          <w:rStyle w:val="Strong"/>
          <w:b w:val="0"/>
          <w:bCs w:val="0"/>
        </w:rPr>
        <w:t>mean ± standard deviation</w:t>
      </w:r>
      <w:r w:rsidRPr="00AD7519">
        <w:rPr>
          <w:b/>
          <w:bCs/>
        </w:rPr>
        <w:t>.</w:t>
      </w:r>
      <w:r w:rsidRPr="00AD7519">
        <w:t xml:space="preserve"> Spatial differences among sites were assessed using </w:t>
      </w:r>
      <w:r w:rsidRPr="00AD7519">
        <w:rPr>
          <w:rStyle w:val="Strong"/>
          <w:b w:val="0"/>
          <w:bCs w:val="0"/>
        </w:rPr>
        <w:t>one-way ANOVA</w:t>
      </w:r>
      <w:r w:rsidRPr="00AD7519">
        <w:t xml:space="preserve"> at a significance level of </w:t>
      </w:r>
      <w:r w:rsidRPr="00AD7519">
        <w:rPr>
          <w:rStyle w:val="Strong"/>
          <w:b w:val="0"/>
          <w:bCs w:val="0"/>
        </w:rPr>
        <w:t>p &lt; 0.05</w:t>
      </w:r>
      <w:r w:rsidRPr="00AD7519">
        <w:t xml:space="preserve">. Relationships among metals were examined using </w:t>
      </w:r>
      <w:r w:rsidRPr="00AD7519">
        <w:rPr>
          <w:rStyle w:val="Strong"/>
          <w:b w:val="0"/>
          <w:bCs w:val="0"/>
        </w:rPr>
        <w:t>Pearson</w:t>
      </w:r>
      <w:r w:rsidRPr="00AD7519">
        <w:rPr>
          <w:rStyle w:val="Strong"/>
        </w:rPr>
        <w:t xml:space="preserve"> </w:t>
      </w:r>
      <w:r w:rsidRPr="00AD7519">
        <w:rPr>
          <w:rStyle w:val="Strong"/>
          <w:b w:val="0"/>
          <w:bCs w:val="0"/>
        </w:rPr>
        <w:t>correlation analysis</w:t>
      </w:r>
      <w:r w:rsidRPr="00AD7519">
        <w:rPr>
          <w:b/>
          <w:bCs/>
        </w:rPr>
        <w:t>.</w:t>
      </w:r>
      <w:r w:rsidRPr="00AD7519">
        <w:t xml:space="preserve"> Statistical analyses were conducted using standard statistical software.</w:t>
      </w:r>
    </w:p>
    <w:p w14:paraId="1699FE6E" w14:textId="0C353E4F" w:rsidR="00AC5CB1" w:rsidRPr="00AD7519" w:rsidRDefault="00AC5CB1" w:rsidP="00AD751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CDA7BF1" w14:textId="73E7E4FF" w:rsidR="00AC5CB1" w:rsidRPr="001D10BB" w:rsidRDefault="00AC5CB1" w:rsidP="00AD7519">
      <w:pPr>
        <w:pStyle w:val="Heading2"/>
        <w:jc w:val="both"/>
        <w:rPr>
          <w:rStyle w:val="Strong"/>
          <w:rFonts w:ascii="Times New Roman" w:hAnsi="Times New Roman" w:cs="Times New Roman"/>
          <w:color w:val="auto"/>
          <w:sz w:val="24"/>
          <w:szCs w:val="24"/>
        </w:rPr>
      </w:pPr>
      <w:r w:rsidRPr="001D10BB">
        <w:rPr>
          <w:rStyle w:val="Strong"/>
          <w:rFonts w:ascii="Times New Roman" w:hAnsi="Times New Roman" w:cs="Times New Roman"/>
          <w:color w:val="auto"/>
          <w:sz w:val="24"/>
          <w:szCs w:val="24"/>
        </w:rPr>
        <w:t>3.0 Results</w:t>
      </w:r>
    </w:p>
    <w:p w14:paraId="2249067F" w14:textId="77777777" w:rsidR="001D10BB" w:rsidRPr="001D10BB" w:rsidRDefault="001D10BB" w:rsidP="001D10BB"/>
    <w:p w14:paraId="4FB97859" w14:textId="49A5DD09"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lastRenderedPageBreak/>
        <w:t xml:space="preserve">The physicochemical properties show a clear downstream gradient across the six sampling sites. Sediment pH ranged from slightly acidic at Site 1 (6.2 ± 0.2) to near neutral at Site 6 (6.9 ± 0.2), indicating progressively improving buffering capacity downstream. Electrical conductivity increased steadily from 205 ± 32 µS/cm at Site 1 to 251 ± 35 µS/cm at Site 6, reflecting increasing ionic strength and possible accumulation of dissolved constituents. Organic matter content rose from 2.74 ± 0.68% upstream to 4.18 ± 0.90% downstream, suggesting enhanced deposition of organic materials in lower-energy environments. Grain-size distribution indicates dominance of sandy loam across all sites, with sand content decreasing (66 ± 6% to 54 ± 6%) and silt content increasing (20 ± 5% to 31 ± 5%) downstream, conditions favourable for metal adsorption and retention as shown in Table 2. </w:t>
      </w:r>
    </w:p>
    <w:p w14:paraId="44D1C051" w14:textId="66BBF53F" w:rsidR="00AC5CB1" w:rsidRPr="00AD7519" w:rsidRDefault="00AC5CB1" w:rsidP="00AD7519">
      <w:pPr>
        <w:pStyle w:val="Heading3"/>
        <w:jc w:val="both"/>
        <w:rPr>
          <w:sz w:val="24"/>
          <w:szCs w:val="24"/>
        </w:rPr>
      </w:pPr>
      <w:r w:rsidRPr="00AD7519">
        <w:rPr>
          <w:rStyle w:val="Strong"/>
          <w:b/>
          <w:bCs/>
          <w:sz w:val="24"/>
          <w:szCs w:val="24"/>
        </w:rPr>
        <w:t xml:space="preserve">Table 2: Physicochemical Properties of Stream Sediments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5"/>
        <w:gridCol w:w="1182"/>
        <w:gridCol w:w="1182"/>
        <w:gridCol w:w="1183"/>
        <w:gridCol w:w="1183"/>
        <w:gridCol w:w="1183"/>
        <w:gridCol w:w="1198"/>
      </w:tblGrid>
      <w:tr w:rsidR="00AC5CB1" w:rsidRPr="00AD7519" w14:paraId="7C9B5F5C" w14:textId="77777777" w:rsidTr="00AC5CB1">
        <w:trPr>
          <w:tblHeader/>
          <w:tblCellSpacing w:w="15" w:type="dxa"/>
        </w:trPr>
        <w:tc>
          <w:tcPr>
            <w:tcW w:w="0" w:type="auto"/>
            <w:vAlign w:val="center"/>
            <w:hideMark/>
          </w:tcPr>
          <w:p w14:paraId="3DCBAF41"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Parameter</w:t>
            </w:r>
          </w:p>
        </w:tc>
        <w:tc>
          <w:tcPr>
            <w:tcW w:w="0" w:type="auto"/>
            <w:vAlign w:val="center"/>
            <w:hideMark/>
          </w:tcPr>
          <w:p w14:paraId="4A0F238F"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1</w:t>
            </w:r>
          </w:p>
        </w:tc>
        <w:tc>
          <w:tcPr>
            <w:tcW w:w="0" w:type="auto"/>
            <w:vAlign w:val="center"/>
            <w:hideMark/>
          </w:tcPr>
          <w:p w14:paraId="41D401B6"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2</w:t>
            </w:r>
          </w:p>
        </w:tc>
        <w:tc>
          <w:tcPr>
            <w:tcW w:w="0" w:type="auto"/>
            <w:vAlign w:val="center"/>
            <w:hideMark/>
          </w:tcPr>
          <w:p w14:paraId="7D527802"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3</w:t>
            </w:r>
          </w:p>
        </w:tc>
        <w:tc>
          <w:tcPr>
            <w:tcW w:w="0" w:type="auto"/>
            <w:vAlign w:val="center"/>
            <w:hideMark/>
          </w:tcPr>
          <w:p w14:paraId="5FD2DD36"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4</w:t>
            </w:r>
          </w:p>
        </w:tc>
        <w:tc>
          <w:tcPr>
            <w:tcW w:w="0" w:type="auto"/>
            <w:vAlign w:val="center"/>
            <w:hideMark/>
          </w:tcPr>
          <w:p w14:paraId="377D3D74"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5</w:t>
            </w:r>
          </w:p>
        </w:tc>
        <w:tc>
          <w:tcPr>
            <w:tcW w:w="0" w:type="auto"/>
            <w:vAlign w:val="center"/>
            <w:hideMark/>
          </w:tcPr>
          <w:p w14:paraId="5AAB6700"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6</w:t>
            </w:r>
          </w:p>
        </w:tc>
      </w:tr>
      <w:tr w:rsidR="00AC5CB1" w:rsidRPr="00AD7519" w14:paraId="44FA1F62" w14:textId="77777777" w:rsidTr="00AC5CB1">
        <w:trPr>
          <w:tblCellSpacing w:w="15" w:type="dxa"/>
        </w:trPr>
        <w:tc>
          <w:tcPr>
            <w:tcW w:w="0" w:type="auto"/>
            <w:vAlign w:val="center"/>
            <w:hideMark/>
          </w:tcPr>
          <w:p w14:paraId="6FA64FFE" w14:textId="7BA6ACE4" w:rsidR="00AC5CB1" w:rsidRPr="00AD7519" w:rsidRDefault="001D10BB" w:rsidP="00AD7519">
            <w:pPr>
              <w:jc w:val="both"/>
              <w:rPr>
                <w:rFonts w:ascii="Times New Roman" w:hAnsi="Times New Roman" w:cs="Times New Roman"/>
                <w:sz w:val="24"/>
                <w:szCs w:val="24"/>
              </w:rPr>
            </w:pPr>
            <w:r w:rsidRPr="00AD7519">
              <w:rPr>
                <w:rFonts w:ascii="Times New Roman" w:hAnsi="Times New Roman" w:cs="Times New Roman"/>
                <w:sz w:val="24"/>
                <w:szCs w:val="24"/>
              </w:rPr>
              <w:t>Ph</w:t>
            </w:r>
          </w:p>
        </w:tc>
        <w:tc>
          <w:tcPr>
            <w:tcW w:w="0" w:type="auto"/>
            <w:vAlign w:val="center"/>
            <w:hideMark/>
          </w:tcPr>
          <w:p w14:paraId="5A57C1F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6.2 ± 0.2</w:t>
            </w:r>
          </w:p>
        </w:tc>
        <w:tc>
          <w:tcPr>
            <w:tcW w:w="0" w:type="auto"/>
            <w:vAlign w:val="center"/>
            <w:hideMark/>
          </w:tcPr>
          <w:p w14:paraId="73B973A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6.4 ± 0.3</w:t>
            </w:r>
          </w:p>
        </w:tc>
        <w:tc>
          <w:tcPr>
            <w:tcW w:w="0" w:type="auto"/>
            <w:vAlign w:val="center"/>
            <w:hideMark/>
          </w:tcPr>
          <w:p w14:paraId="2C96B3B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6.6 ± 0.3</w:t>
            </w:r>
          </w:p>
        </w:tc>
        <w:tc>
          <w:tcPr>
            <w:tcW w:w="0" w:type="auto"/>
            <w:vAlign w:val="center"/>
            <w:hideMark/>
          </w:tcPr>
          <w:p w14:paraId="2C7982F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6.7 ± 0.2</w:t>
            </w:r>
          </w:p>
        </w:tc>
        <w:tc>
          <w:tcPr>
            <w:tcW w:w="0" w:type="auto"/>
            <w:vAlign w:val="center"/>
            <w:hideMark/>
          </w:tcPr>
          <w:p w14:paraId="4CA237D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6.8 ± 0.3</w:t>
            </w:r>
          </w:p>
        </w:tc>
        <w:tc>
          <w:tcPr>
            <w:tcW w:w="0" w:type="auto"/>
            <w:vAlign w:val="center"/>
            <w:hideMark/>
          </w:tcPr>
          <w:p w14:paraId="0645F5F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6.9 ± 0.2</w:t>
            </w:r>
          </w:p>
        </w:tc>
      </w:tr>
      <w:tr w:rsidR="00AC5CB1" w:rsidRPr="00AD7519" w14:paraId="0A423CBD" w14:textId="77777777" w:rsidTr="00AC5CB1">
        <w:trPr>
          <w:tblCellSpacing w:w="15" w:type="dxa"/>
        </w:trPr>
        <w:tc>
          <w:tcPr>
            <w:tcW w:w="0" w:type="auto"/>
            <w:vAlign w:val="center"/>
            <w:hideMark/>
          </w:tcPr>
          <w:p w14:paraId="4A92C8D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EC (µS/cm)</w:t>
            </w:r>
          </w:p>
        </w:tc>
        <w:tc>
          <w:tcPr>
            <w:tcW w:w="0" w:type="auto"/>
            <w:vAlign w:val="center"/>
            <w:hideMark/>
          </w:tcPr>
          <w:p w14:paraId="7C2FE2E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205 ± 32</w:t>
            </w:r>
          </w:p>
        </w:tc>
        <w:tc>
          <w:tcPr>
            <w:tcW w:w="0" w:type="auto"/>
            <w:vAlign w:val="center"/>
            <w:hideMark/>
          </w:tcPr>
          <w:p w14:paraId="5421A3D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218 ± 36</w:t>
            </w:r>
          </w:p>
        </w:tc>
        <w:tc>
          <w:tcPr>
            <w:tcW w:w="0" w:type="auto"/>
            <w:vAlign w:val="center"/>
            <w:hideMark/>
          </w:tcPr>
          <w:p w14:paraId="2997782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228 ± 41</w:t>
            </w:r>
          </w:p>
        </w:tc>
        <w:tc>
          <w:tcPr>
            <w:tcW w:w="0" w:type="auto"/>
            <w:vAlign w:val="center"/>
            <w:hideMark/>
          </w:tcPr>
          <w:p w14:paraId="32E92C1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236 ± 39</w:t>
            </w:r>
          </w:p>
        </w:tc>
        <w:tc>
          <w:tcPr>
            <w:tcW w:w="0" w:type="auto"/>
            <w:vAlign w:val="center"/>
            <w:hideMark/>
          </w:tcPr>
          <w:p w14:paraId="364E140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242 ± 37</w:t>
            </w:r>
          </w:p>
        </w:tc>
        <w:tc>
          <w:tcPr>
            <w:tcW w:w="0" w:type="auto"/>
            <w:vAlign w:val="center"/>
            <w:hideMark/>
          </w:tcPr>
          <w:p w14:paraId="6C62181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251 ± 35</w:t>
            </w:r>
          </w:p>
        </w:tc>
      </w:tr>
      <w:tr w:rsidR="00AC5CB1" w:rsidRPr="00AD7519" w14:paraId="662EBAF9" w14:textId="77777777" w:rsidTr="00AC5CB1">
        <w:trPr>
          <w:tblCellSpacing w:w="15" w:type="dxa"/>
        </w:trPr>
        <w:tc>
          <w:tcPr>
            <w:tcW w:w="0" w:type="auto"/>
            <w:vAlign w:val="center"/>
            <w:hideMark/>
          </w:tcPr>
          <w:p w14:paraId="2A20DC2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Organic matter (%)</w:t>
            </w:r>
          </w:p>
        </w:tc>
        <w:tc>
          <w:tcPr>
            <w:tcW w:w="0" w:type="auto"/>
            <w:vAlign w:val="center"/>
            <w:hideMark/>
          </w:tcPr>
          <w:p w14:paraId="49AB890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2.74 ± 0.68</w:t>
            </w:r>
          </w:p>
        </w:tc>
        <w:tc>
          <w:tcPr>
            <w:tcW w:w="0" w:type="auto"/>
            <w:vAlign w:val="center"/>
            <w:hideMark/>
          </w:tcPr>
          <w:p w14:paraId="54B5CEB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3.12 ± 0.84</w:t>
            </w:r>
          </w:p>
        </w:tc>
        <w:tc>
          <w:tcPr>
            <w:tcW w:w="0" w:type="auto"/>
            <w:vAlign w:val="center"/>
            <w:hideMark/>
          </w:tcPr>
          <w:p w14:paraId="5DC7A97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3.46 ± 0.91</w:t>
            </w:r>
          </w:p>
        </w:tc>
        <w:tc>
          <w:tcPr>
            <w:tcW w:w="0" w:type="auto"/>
            <w:vAlign w:val="center"/>
            <w:hideMark/>
          </w:tcPr>
          <w:p w14:paraId="4FBCADB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3.71 ± 0.88</w:t>
            </w:r>
          </w:p>
        </w:tc>
        <w:tc>
          <w:tcPr>
            <w:tcW w:w="0" w:type="auto"/>
            <w:vAlign w:val="center"/>
            <w:hideMark/>
          </w:tcPr>
          <w:p w14:paraId="146138D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3.92 ± 0.95</w:t>
            </w:r>
          </w:p>
        </w:tc>
        <w:tc>
          <w:tcPr>
            <w:tcW w:w="0" w:type="auto"/>
            <w:vAlign w:val="center"/>
            <w:hideMark/>
          </w:tcPr>
          <w:p w14:paraId="70CF925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4.18 ± 0.90</w:t>
            </w:r>
          </w:p>
        </w:tc>
      </w:tr>
      <w:tr w:rsidR="00AC5CB1" w:rsidRPr="00AD7519" w14:paraId="77560A0E" w14:textId="77777777" w:rsidTr="00AC5CB1">
        <w:trPr>
          <w:tblCellSpacing w:w="15" w:type="dxa"/>
        </w:trPr>
        <w:tc>
          <w:tcPr>
            <w:tcW w:w="0" w:type="auto"/>
            <w:vAlign w:val="center"/>
            <w:hideMark/>
          </w:tcPr>
          <w:p w14:paraId="29C7BD7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Sand (%)</w:t>
            </w:r>
          </w:p>
        </w:tc>
        <w:tc>
          <w:tcPr>
            <w:tcW w:w="0" w:type="auto"/>
            <w:vAlign w:val="center"/>
            <w:hideMark/>
          </w:tcPr>
          <w:p w14:paraId="6EBD7F3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66 ± 6</w:t>
            </w:r>
          </w:p>
        </w:tc>
        <w:tc>
          <w:tcPr>
            <w:tcW w:w="0" w:type="auto"/>
            <w:vAlign w:val="center"/>
            <w:hideMark/>
          </w:tcPr>
          <w:p w14:paraId="76C61EC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63 ± 7</w:t>
            </w:r>
          </w:p>
        </w:tc>
        <w:tc>
          <w:tcPr>
            <w:tcW w:w="0" w:type="auto"/>
            <w:vAlign w:val="center"/>
            <w:hideMark/>
          </w:tcPr>
          <w:p w14:paraId="29984C6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60 ± 8</w:t>
            </w:r>
          </w:p>
        </w:tc>
        <w:tc>
          <w:tcPr>
            <w:tcW w:w="0" w:type="auto"/>
            <w:vAlign w:val="center"/>
            <w:hideMark/>
          </w:tcPr>
          <w:p w14:paraId="52B7F29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58 ± 7</w:t>
            </w:r>
          </w:p>
        </w:tc>
        <w:tc>
          <w:tcPr>
            <w:tcW w:w="0" w:type="auto"/>
            <w:vAlign w:val="center"/>
            <w:hideMark/>
          </w:tcPr>
          <w:p w14:paraId="75E28FA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56 ± 6</w:t>
            </w:r>
          </w:p>
        </w:tc>
        <w:tc>
          <w:tcPr>
            <w:tcW w:w="0" w:type="auto"/>
            <w:vAlign w:val="center"/>
            <w:hideMark/>
          </w:tcPr>
          <w:p w14:paraId="0FACE83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54 ± 6</w:t>
            </w:r>
          </w:p>
        </w:tc>
      </w:tr>
      <w:tr w:rsidR="00AC5CB1" w:rsidRPr="00AD7519" w14:paraId="73847CAC" w14:textId="77777777" w:rsidTr="00AC5CB1">
        <w:trPr>
          <w:tblCellSpacing w:w="15" w:type="dxa"/>
        </w:trPr>
        <w:tc>
          <w:tcPr>
            <w:tcW w:w="0" w:type="auto"/>
            <w:vAlign w:val="center"/>
            <w:hideMark/>
          </w:tcPr>
          <w:p w14:paraId="3ACCA72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Silt (%)</w:t>
            </w:r>
          </w:p>
        </w:tc>
        <w:tc>
          <w:tcPr>
            <w:tcW w:w="0" w:type="auto"/>
            <w:vAlign w:val="center"/>
            <w:hideMark/>
          </w:tcPr>
          <w:p w14:paraId="58349A7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20 ± 5</w:t>
            </w:r>
          </w:p>
        </w:tc>
        <w:tc>
          <w:tcPr>
            <w:tcW w:w="0" w:type="auto"/>
            <w:vAlign w:val="center"/>
            <w:hideMark/>
          </w:tcPr>
          <w:p w14:paraId="7517B72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23 ± 6</w:t>
            </w:r>
          </w:p>
        </w:tc>
        <w:tc>
          <w:tcPr>
            <w:tcW w:w="0" w:type="auto"/>
            <w:vAlign w:val="center"/>
            <w:hideMark/>
          </w:tcPr>
          <w:p w14:paraId="29D9414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26 ± 6</w:t>
            </w:r>
          </w:p>
        </w:tc>
        <w:tc>
          <w:tcPr>
            <w:tcW w:w="0" w:type="auto"/>
            <w:vAlign w:val="center"/>
            <w:hideMark/>
          </w:tcPr>
          <w:p w14:paraId="0EAA4E5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28 ± 5</w:t>
            </w:r>
          </w:p>
        </w:tc>
        <w:tc>
          <w:tcPr>
            <w:tcW w:w="0" w:type="auto"/>
            <w:vAlign w:val="center"/>
            <w:hideMark/>
          </w:tcPr>
          <w:p w14:paraId="368BF14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30 ± 6</w:t>
            </w:r>
          </w:p>
        </w:tc>
        <w:tc>
          <w:tcPr>
            <w:tcW w:w="0" w:type="auto"/>
            <w:vAlign w:val="center"/>
            <w:hideMark/>
          </w:tcPr>
          <w:p w14:paraId="31B478A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31 ± 5</w:t>
            </w:r>
          </w:p>
        </w:tc>
      </w:tr>
      <w:tr w:rsidR="00AC5CB1" w:rsidRPr="00AD7519" w14:paraId="78975009" w14:textId="77777777" w:rsidTr="00AC5CB1">
        <w:trPr>
          <w:tblCellSpacing w:w="15" w:type="dxa"/>
        </w:trPr>
        <w:tc>
          <w:tcPr>
            <w:tcW w:w="0" w:type="auto"/>
            <w:vAlign w:val="center"/>
            <w:hideMark/>
          </w:tcPr>
          <w:p w14:paraId="3CAFB79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Clay (%)</w:t>
            </w:r>
          </w:p>
        </w:tc>
        <w:tc>
          <w:tcPr>
            <w:tcW w:w="0" w:type="auto"/>
            <w:vAlign w:val="center"/>
            <w:hideMark/>
          </w:tcPr>
          <w:p w14:paraId="3C21EA8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 ± 4</w:t>
            </w:r>
          </w:p>
        </w:tc>
        <w:tc>
          <w:tcPr>
            <w:tcW w:w="0" w:type="auto"/>
            <w:vAlign w:val="center"/>
            <w:hideMark/>
          </w:tcPr>
          <w:p w14:paraId="7C2E0C8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 ± 4</w:t>
            </w:r>
          </w:p>
        </w:tc>
        <w:tc>
          <w:tcPr>
            <w:tcW w:w="0" w:type="auto"/>
            <w:vAlign w:val="center"/>
            <w:hideMark/>
          </w:tcPr>
          <w:p w14:paraId="0DA2D98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 ± 5</w:t>
            </w:r>
          </w:p>
        </w:tc>
        <w:tc>
          <w:tcPr>
            <w:tcW w:w="0" w:type="auto"/>
            <w:vAlign w:val="center"/>
            <w:hideMark/>
          </w:tcPr>
          <w:p w14:paraId="3B7FE51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 ± 4</w:t>
            </w:r>
          </w:p>
        </w:tc>
        <w:tc>
          <w:tcPr>
            <w:tcW w:w="0" w:type="auto"/>
            <w:vAlign w:val="center"/>
            <w:hideMark/>
          </w:tcPr>
          <w:p w14:paraId="34845D0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 ± 5</w:t>
            </w:r>
          </w:p>
        </w:tc>
        <w:tc>
          <w:tcPr>
            <w:tcW w:w="0" w:type="auto"/>
            <w:vAlign w:val="center"/>
            <w:hideMark/>
          </w:tcPr>
          <w:p w14:paraId="54F2905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 ± 4</w:t>
            </w:r>
          </w:p>
        </w:tc>
      </w:tr>
      <w:tr w:rsidR="00AC5CB1" w:rsidRPr="00AD7519" w14:paraId="0AFC2B2A" w14:textId="77777777" w:rsidTr="00AC5CB1">
        <w:trPr>
          <w:tblCellSpacing w:w="15" w:type="dxa"/>
        </w:trPr>
        <w:tc>
          <w:tcPr>
            <w:tcW w:w="0" w:type="auto"/>
            <w:vAlign w:val="center"/>
            <w:hideMark/>
          </w:tcPr>
          <w:p w14:paraId="5FE6569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Texture</w:t>
            </w:r>
          </w:p>
        </w:tc>
        <w:tc>
          <w:tcPr>
            <w:tcW w:w="0" w:type="auto"/>
            <w:vAlign w:val="center"/>
            <w:hideMark/>
          </w:tcPr>
          <w:p w14:paraId="2294B94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Sandy loam</w:t>
            </w:r>
          </w:p>
        </w:tc>
        <w:tc>
          <w:tcPr>
            <w:tcW w:w="0" w:type="auto"/>
            <w:vAlign w:val="center"/>
            <w:hideMark/>
          </w:tcPr>
          <w:p w14:paraId="3E95554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Sandy loam</w:t>
            </w:r>
          </w:p>
        </w:tc>
        <w:tc>
          <w:tcPr>
            <w:tcW w:w="0" w:type="auto"/>
            <w:vAlign w:val="center"/>
            <w:hideMark/>
          </w:tcPr>
          <w:p w14:paraId="01F649C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Sandy loam</w:t>
            </w:r>
          </w:p>
        </w:tc>
        <w:tc>
          <w:tcPr>
            <w:tcW w:w="0" w:type="auto"/>
            <w:vAlign w:val="center"/>
            <w:hideMark/>
          </w:tcPr>
          <w:p w14:paraId="607868B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Sandy loam</w:t>
            </w:r>
          </w:p>
        </w:tc>
        <w:tc>
          <w:tcPr>
            <w:tcW w:w="0" w:type="auto"/>
            <w:vAlign w:val="center"/>
            <w:hideMark/>
          </w:tcPr>
          <w:p w14:paraId="065570F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Sandy loam</w:t>
            </w:r>
          </w:p>
        </w:tc>
        <w:tc>
          <w:tcPr>
            <w:tcW w:w="0" w:type="auto"/>
            <w:vAlign w:val="center"/>
            <w:hideMark/>
          </w:tcPr>
          <w:p w14:paraId="16DBD80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Sandy loam</w:t>
            </w:r>
          </w:p>
        </w:tc>
      </w:tr>
    </w:tbl>
    <w:p w14:paraId="06860DFD" w14:textId="22EFF549"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Mean concentrations of all analysed metals increased progressively from Site 1 to Site 6. Iron was the most abundant metal, rising from 15,840 ± 2,760 mg/kg to 20,180 ± 3,720 mg/kg, reflecting its lithogenic dominance. Manganese showed a similar trend (342 ± 74 to 472 ± 95 mg/kg). Among the trace metals, zinc recorded the highest concentrations (94.6 ± 26.4 to 162.4 ± 45.0 mg/kg), followed by chromium, nickel, copper, lead, and cadmium. Cadmium, despite its low absolute concentrations (0.72 ± 0.24 to 1.94 ± 0.55 mg/kg), displayed a consistent increase downstream, highlighting its anthropogenic sensitivity. The systematic increase across sites suggests cumulative contamination and sediment enrichment along the flow path</w:t>
      </w:r>
      <w:r w:rsidR="00AD7519">
        <w:rPr>
          <w:rFonts w:ascii="Times New Roman" w:hAnsi="Times New Roman" w:cs="Times New Roman"/>
          <w:sz w:val="24"/>
          <w:szCs w:val="24"/>
        </w:rPr>
        <w:t>,</w:t>
      </w:r>
      <w:r w:rsidRPr="00AD7519">
        <w:rPr>
          <w:rFonts w:ascii="Times New Roman" w:hAnsi="Times New Roman" w:cs="Times New Roman"/>
          <w:sz w:val="24"/>
          <w:szCs w:val="24"/>
        </w:rPr>
        <w:t xml:space="preserve"> as shown in Table 3.</w:t>
      </w:r>
    </w:p>
    <w:p w14:paraId="24B67901" w14:textId="30E36619" w:rsidR="00AC5CB1" w:rsidRPr="00AD7519" w:rsidRDefault="00AC5CB1" w:rsidP="00AD7519">
      <w:pPr>
        <w:pStyle w:val="Heading3"/>
        <w:jc w:val="both"/>
        <w:rPr>
          <w:sz w:val="24"/>
          <w:szCs w:val="24"/>
        </w:rPr>
      </w:pPr>
      <w:r w:rsidRPr="00AD7519">
        <w:rPr>
          <w:rStyle w:val="Strong"/>
          <w:b/>
          <w:bCs/>
          <w:sz w:val="24"/>
          <w:szCs w:val="24"/>
        </w:rPr>
        <w:t xml:space="preserve">Table 3: Heavy Metal Concentrations (mg/kg) in Stream Sediments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390"/>
        <w:gridCol w:w="1389"/>
        <w:gridCol w:w="1389"/>
        <w:gridCol w:w="1389"/>
        <w:gridCol w:w="1389"/>
        <w:gridCol w:w="1404"/>
      </w:tblGrid>
      <w:tr w:rsidR="00AC5CB1" w:rsidRPr="00AD7519" w14:paraId="0FB13CD2" w14:textId="77777777" w:rsidTr="00AC5CB1">
        <w:trPr>
          <w:tblHeader/>
          <w:tblCellSpacing w:w="15" w:type="dxa"/>
        </w:trPr>
        <w:tc>
          <w:tcPr>
            <w:tcW w:w="0" w:type="auto"/>
            <w:vAlign w:val="center"/>
            <w:hideMark/>
          </w:tcPr>
          <w:p w14:paraId="074CDDAE"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Metal</w:t>
            </w:r>
          </w:p>
        </w:tc>
        <w:tc>
          <w:tcPr>
            <w:tcW w:w="0" w:type="auto"/>
            <w:vAlign w:val="center"/>
            <w:hideMark/>
          </w:tcPr>
          <w:p w14:paraId="2AE1062C"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1</w:t>
            </w:r>
          </w:p>
        </w:tc>
        <w:tc>
          <w:tcPr>
            <w:tcW w:w="0" w:type="auto"/>
            <w:vAlign w:val="center"/>
            <w:hideMark/>
          </w:tcPr>
          <w:p w14:paraId="15B69509"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2</w:t>
            </w:r>
          </w:p>
        </w:tc>
        <w:tc>
          <w:tcPr>
            <w:tcW w:w="0" w:type="auto"/>
            <w:vAlign w:val="center"/>
            <w:hideMark/>
          </w:tcPr>
          <w:p w14:paraId="188045F3"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3</w:t>
            </w:r>
          </w:p>
        </w:tc>
        <w:tc>
          <w:tcPr>
            <w:tcW w:w="0" w:type="auto"/>
            <w:vAlign w:val="center"/>
            <w:hideMark/>
          </w:tcPr>
          <w:p w14:paraId="0C08404A"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4</w:t>
            </w:r>
          </w:p>
        </w:tc>
        <w:tc>
          <w:tcPr>
            <w:tcW w:w="0" w:type="auto"/>
            <w:vAlign w:val="center"/>
            <w:hideMark/>
          </w:tcPr>
          <w:p w14:paraId="33971586"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5</w:t>
            </w:r>
          </w:p>
        </w:tc>
        <w:tc>
          <w:tcPr>
            <w:tcW w:w="0" w:type="auto"/>
            <w:vAlign w:val="center"/>
            <w:hideMark/>
          </w:tcPr>
          <w:p w14:paraId="462189D3"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6</w:t>
            </w:r>
          </w:p>
        </w:tc>
      </w:tr>
      <w:tr w:rsidR="00AC5CB1" w:rsidRPr="00AD7519" w14:paraId="268F83DB" w14:textId="77777777" w:rsidTr="00AC5CB1">
        <w:trPr>
          <w:tblCellSpacing w:w="15" w:type="dxa"/>
        </w:trPr>
        <w:tc>
          <w:tcPr>
            <w:tcW w:w="0" w:type="auto"/>
            <w:vAlign w:val="center"/>
            <w:hideMark/>
          </w:tcPr>
          <w:p w14:paraId="1D76FD9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Fe</w:t>
            </w:r>
          </w:p>
        </w:tc>
        <w:tc>
          <w:tcPr>
            <w:tcW w:w="0" w:type="auto"/>
            <w:vAlign w:val="center"/>
            <w:hideMark/>
          </w:tcPr>
          <w:p w14:paraId="78EC21C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15,840 ± 2,760</w:t>
            </w:r>
          </w:p>
        </w:tc>
        <w:tc>
          <w:tcPr>
            <w:tcW w:w="0" w:type="auto"/>
            <w:vAlign w:val="center"/>
            <w:hideMark/>
          </w:tcPr>
          <w:p w14:paraId="15D90D3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16,920 ± 3,120</w:t>
            </w:r>
          </w:p>
        </w:tc>
        <w:tc>
          <w:tcPr>
            <w:tcW w:w="0" w:type="auto"/>
            <w:vAlign w:val="center"/>
            <w:hideMark/>
          </w:tcPr>
          <w:p w14:paraId="42DDA25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17,980 ± 3,420</w:t>
            </w:r>
          </w:p>
        </w:tc>
        <w:tc>
          <w:tcPr>
            <w:tcW w:w="0" w:type="auto"/>
            <w:vAlign w:val="center"/>
            <w:hideMark/>
          </w:tcPr>
          <w:p w14:paraId="4BA8F05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18,740 ± 3,580</w:t>
            </w:r>
          </w:p>
        </w:tc>
        <w:tc>
          <w:tcPr>
            <w:tcW w:w="0" w:type="auto"/>
            <w:vAlign w:val="center"/>
            <w:hideMark/>
          </w:tcPr>
          <w:p w14:paraId="2B1A120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19,360 ± 3,640</w:t>
            </w:r>
          </w:p>
        </w:tc>
        <w:tc>
          <w:tcPr>
            <w:tcW w:w="0" w:type="auto"/>
            <w:vAlign w:val="center"/>
            <w:hideMark/>
          </w:tcPr>
          <w:p w14:paraId="223356A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20,180 ± 3,720</w:t>
            </w:r>
          </w:p>
        </w:tc>
      </w:tr>
      <w:tr w:rsidR="00AC5CB1" w:rsidRPr="00AD7519" w14:paraId="34A3C556" w14:textId="77777777" w:rsidTr="00AC5CB1">
        <w:trPr>
          <w:tblCellSpacing w:w="15" w:type="dxa"/>
        </w:trPr>
        <w:tc>
          <w:tcPr>
            <w:tcW w:w="0" w:type="auto"/>
            <w:vAlign w:val="center"/>
            <w:hideMark/>
          </w:tcPr>
          <w:p w14:paraId="6AC23DD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Mn</w:t>
            </w:r>
          </w:p>
        </w:tc>
        <w:tc>
          <w:tcPr>
            <w:tcW w:w="0" w:type="auto"/>
            <w:vAlign w:val="center"/>
            <w:hideMark/>
          </w:tcPr>
          <w:p w14:paraId="38CABC9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342 ± 74</w:t>
            </w:r>
          </w:p>
        </w:tc>
        <w:tc>
          <w:tcPr>
            <w:tcW w:w="0" w:type="auto"/>
            <w:vAlign w:val="center"/>
            <w:hideMark/>
          </w:tcPr>
          <w:p w14:paraId="54B2C1A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371 ± 82</w:t>
            </w:r>
          </w:p>
        </w:tc>
        <w:tc>
          <w:tcPr>
            <w:tcW w:w="0" w:type="auto"/>
            <w:vAlign w:val="center"/>
            <w:hideMark/>
          </w:tcPr>
          <w:p w14:paraId="68BB1B3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398 ± 92</w:t>
            </w:r>
          </w:p>
        </w:tc>
        <w:tc>
          <w:tcPr>
            <w:tcW w:w="0" w:type="auto"/>
            <w:vAlign w:val="center"/>
            <w:hideMark/>
          </w:tcPr>
          <w:p w14:paraId="6D103C7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421 ± 88</w:t>
            </w:r>
          </w:p>
        </w:tc>
        <w:tc>
          <w:tcPr>
            <w:tcW w:w="0" w:type="auto"/>
            <w:vAlign w:val="center"/>
            <w:hideMark/>
          </w:tcPr>
          <w:p w14:paraId="22EC6425"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446 ± 91</w:t>
            </w:r>
          </w:p>
        </w:tc>
        <w:tc>
          <w:tcPr>
            <w:tcW w:w="0" w:type="auto"/>
            <w:vAlign w:val="center"/>
            <w:hideMark/>
          </w:tcPr>
          <w:p w14:paraId="61CA9AD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472 ± 95</w:t>
            </w:r>
          </w:p>
        </w:tc>
      </w:tr>
      <w:tr w:rsidR="00AC5CB1" w:rsidRPr="00AD7519" w14:paraId="68401B55" w14:textId="77777777" w:rsidTr="00AC5CB1">
        <w:trPr>
          <w:tblCellSpacing w:w="15" w:type="dxa"/>
        </w:trPr>
        <w:tc>
          <w:tcPr>
            <w:tcW w:w="0" w:type="auto"/>
            <w:vAlign w:val="center"/>
            <w:hideMark/>
          </w:tcPr>
          <w:p w14:paraId="09D63EC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lastRenderedPageBreak/>
              <w:t>Pb</w:t>
            </w:r>
          </w:p>
        </w:tc>
        <w:tc>
          <w:tcPr>
            <w:tcW w:w="0" w:type="auto"/>
            <w:vAlign w:val="center"/>
            <w:hideMark/>
          </w:tcPr>
          <w:p w14:paraId="7B33E7A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31.6 ± 8.7</w:t>
            </w:r>
          </w:p>
        </w:tc>
        <w:tc>
          <w:tcPr>
            <w:tcW w:w="0" w:type="auto"/>
            <w:vAlign w:val="center"/>
            <w:hideMark/>
          </w:tcPr>
          <w:p w14:paraId="114BFAA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38.9 ± 10.4</w:t>
            </w:r>
          </w:p>
        </w:tc>
        <w:tc>
          <w:tcPr>
            <w:tcW w:w="0" w:type="auto"/>
            <w:vAlign w:val="center"/>
            <w:hideMark/>
          </w:tcPr>
          <w:p w14:paraId="2ADC40B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44.2 ± 13.6</w:t>
            </w:r>
          </w:p>
        </w:tc>
        <w:tc>
          <w:tcPr>
            <w:tcW w:w="0" w:type="auto"/>
            <w:vAlign w:val="center"/>
            <w:hideMark/>
          </w:tcPr>
          <w:p w14:paraId="5EABC17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48.7 ± 14.1</w:t>
            </w:r>
          </w:p>
        </w:tc>
        <w:tc>
          <w:tcPr>
            <w:tcW w:w="0" w:type="auto"/>
            <w:vAlign w:val="center"/>
            <w:hideMark/>
          </w:tcPr>
          <w:p w14:paraId="7E28C36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52.4 ± 15.3</w:t>
            </w:r>
          </w:p>
        </w:tc>
        <w:tc>
          <w:tcPr>
            <w:tcW w:w="0" w:type="auto"/>
            <w:vAlign w:val="center"/>
            <w:hideMark/>
          </w:tcPr>
          <w:p w14:paraId="7CDDE8F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57.8 ± 16.0</w:t>
            </w:r>
          </w:p>
        </w:tc>
      </w:tr>
      <w:tr w:rsidR="00AC5CB1" w:rsidRPr="00AD7519" w14:paraId="055310DD" w14:textId="77777777" w:rsidTr="00AC5CB1">
        <w:trPr>
          <w:tblCellSpacing w:w="15" w:type="dxa"/>
        </w:trPr>
        <w:tc>
          <w:tcPr>
            <w:tcW w:w="0" w:type="auto"/>
            <w:vAlign w:val="center"/>
            <w:hideMark/>
          </w:tcPr>
          <w:p w14:paraId="7E657B9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Cd</w:t>
            </w:r>
          </w:p>
        </w:tc>
        <w:tc>
          <w:tcPr>
            <w:tcW w:w="0" w:type="auto"/>
            <w:vAlign w:val="center"/>
            <w:hideMark/>
          </w:tcPr>
          <w:p w14:paraId="16436FC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0.72 ± 0.24</w:t>
            </w:r>
          </w:p>
        </w:tc>
        <w:tc>
          <w:tcPr>
            <w:tcW w:w="0" w:type="auto"/>
            <w:vAlign w:val="center"/>
            <w:hideMark/>
          </w:tcPr>
          <w:p w14:paraId="34230A9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1.04 ± 0.36</w:t>
            </w:r>
          </w:p>
        </w:tc>
        <w:tc>
          <w:tcPr>
            <w:tcW w:w="0" w:type="auto"/>
            <w:vAlign w:val="center"/>
            <w:hideMark/>
          </w:tcPr>
          <w:p w14:paraId="3F593325"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1.34 ± 0.52</w:t>
            </w:r>
          </w:p>
        </w:tc>
        <w:tc>
          <w:tcPr>
            <w:tcW w:w="0" w:type="auto"/>
            <w:vAlign w:val="center"/>
            <w:hideMark/>
          </w:tcPr>
          <w:p w14:paraId="5C0BDD7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1.56 ± 0.48</w:t>
            </w:r>
          </w:p>
        </w:tc>
        <w:tc>
          <w:tcPr>
            <w:tcW w:w="0" w:type="auto"/>
            <w:vAlign w:val="center"/>
            <w:hideMark/>
          </w:tcPr>
          <w:p w14:paraId="4E3B316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1.72 ± 0.51</w:t>
            </w:r>
          </w:p>
        </w:tc>
        <w:tc>
          <w:tcPr>
            <w:tcW w:w="0" w:type="auto"/>
            <w:vAlign w:val="center"/>
            <w:hideMark/>
          </w:tcPr>
          <w:p w14:paraId="4FE4530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1.94 ± 0.55</w:t>
            </w:r>
          </w:p>
        </w:tc>
      </w:tr>
      <w:tr w:rsidR="00AC5CB1" w:rsidRPr="00AD7519" w14:paraId="17AA6CF1" w14:textId="77777777" w:rsidTr="00AC5CB1">
        <w:trPr>
          <w:tblCellSpacing w:w="15" w:type="dxa"/>
        </w:trPr>
        <w:tc>
          <w:tcPr>
            <w:tcW w:w="0" w:type="auto"/>
            <w:vAlign w:val="center"/>
            <w:hideMark/>
          </w:tcPr>
          <w:p w14:paraId="5EBA9A6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Cr</w:t>
            </w:r>
          </w:p>
        </w:tc>
        <w:tc>
          <w:tcPr>
            <w:tcW w:w="0" w:type="auto"/>
            <w:vAlign w:val="center"/>
            <w:hideMark/>
          </w:tcPr>
          <w:p w14:paraId="37C2D43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51.2 ± 15.6</w:t>
            </w:r>
          </w:p>
        </w:tc>
        <w:tc>
          <w:tcPr>
            <w:tcW w:w="0" w:type="auto"/>
            <w:vAlign w:val="center"/>
            <w:hideMark/>
          </w:tcPr>
          <w:p w14:paraId="4852FCB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56.4 ± 17.3</w:t>
            </w:r>
          </w:p>
        </w:tc>
        <w:tc>
          <w:tcPr>
            <w:tcW w:w="0" w:type="auto"/>
            <w:vAlign w:val="center"/>
            <w:hideMark/>
          </w:tcPr>
          <w:p w14:paraId="32B5088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59.8 ± 18.9</w:t>
            </w:r>
          </w:p>
        </w:tc>
        <w:tc>
          <w:tcPr>
            <w:tcW w:w="0" w:type="auto"/>
            <w:vAlign w:val="center"/>
            <w:hideMark/>
          </w:tcPr>
          <w:p w14:paraId="661561B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62.1 ± 18.4</w:t>
            </w:r>
          </w:p>
        </w:tc>
        <w:tc>
          <w:tcPr>
            <w:tcW w:w="0" w:type="auto"/>
            <w:vAlign w:val="center"/>
            <w:hideMark/>
          </w:tcPr>
          <w:p w14:paraId="5D534DB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64.9 ± 17.8</w:t>
            </w:r>
          </w:p>
        </w:tc>
        <w:tc>
          <w:tcPr>
            <w:tcW w:w="0" w:type="auto"/>
            <w:vAlign w:val="center"/>
            <w:hideMark/>
          </w:tcPr>
          <w:p w14:paraId="5FD8B52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68.3 ± 19.2</w:t>
            </w:r>
          </w:p>
        </w:tc>
      </w:tr>
      <w:tr w:rsidR="00AC5CB1" w:rsidRPr="00AD7519" w14:paraId="0C7C03CD" w14:textId="77777777" w:rsidTr="00AC5CB1">
        <w:trPr>
          <w:tblCellSpacing w:w="15" w:type="dxa"/>
        </w:trPr>
        <w:tc>
          <w:tcPr>
            <w:tcW w:w="0" w:type="auto"/>
            <w:vAlign w:val="center"/>
            <w:hideMark/>
          </w:tcPr>
          <w:p w14:paraId="00220FE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Ni</w:t>
            </w:r>
          </w:p>
        </w:tc>
        <w:tc>
          <w:tcPr>
            <w:tcW w:w="0" w:type="auto"/>
            <w:vAlign w:val="center"/>
            <w:hideMark/>
          </w:tcPr>
          <w:p w14:paraId="35C7D24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29.8 ± 9.6</w:t>
            </w:r>
          </w:p>
        </w:tc>
        <w:tc>
          <w:tcPr>
            <w:tcW w:w="0" w:type="auto"/>
            <w:vAlign w:val="center"/>
            <w:hideMark/>
          </w:tcPr>
          <w:p w14:paraId="4DDBAA3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36.1 ± 12.4</w:t>
            </w:r>
          </w:p>
        </w:tc>
        <w:tc>
          <w:tcPr>
            <w:tcW w:w="0" w:type="auto"/>
            <w:vAlign w:val="center"/>
            <w:hideMark/>
          </w:tcPr>
          <w:p w14:paraId="7F1DEAD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41.3 ± 14.7</w:t>
            </w:r>
          </w:p>
        </w:tc>
        <w:tc>
          <w:tcPr>
            <w:tcW w:w="0" w:type="auto"/>
            <w:vAlign w:val="center"/>
            <w:hideMark/>
          </w:tcPr>
          <w:p w14:paraId="39C6A19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44.6 ± 13.9</w:t>
            </w:r>
          </w:p>
        </w:tc>
        <w:tc>
          <w:tcPr>
            <w:tcW w:w="0" w:type="auto"/>
            <w:vAlign w:val="center"/>
            <w:hideMark/>
          </w:tcPr>
          <w:p w14:paraId="1432820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47.8 ± 14.2</w:t>
            </w:r>
          </w:p>
        </w:tc>
        <w:tc>
          <w:tcPr>
            <w:tcW w:w="0" w:type="auto"/>
            <w:vAlign w:val="center"/>
            <w:hideMark/>
          </w:tcPr>
          <w:p w14:paraId="70B28A9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51.4 ± 15.1</w:t>
            </w:r>
          </w:p>
        </w:tc>
      </w:tr>
      <w:tr w:rsidR="00AC5CB1" w:rsidRPr="00AD7519" w14:paraId="4EC7855B" w14:textId="77777777" w:rsidTr="00AC5CB1">
        <w:trPr>
          <w:tblCellSpacing w:w="15" w:type="dxa"/>
        </w:trPr>
        <w:tc>
          <w:tcPr>
            <w:tcW w:w="0" w:type="auto"/>
            <w:vAlign w:val="center"/>
            <w:hideMark/>
          </w:tcPr>
          <w:p w14:paraId="0CAA787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Zn</w:t>
            </w:r>
          </w:p>
        </w:tc>
        <w:tc>
          <w:tcPr>
            <w:tcW w:w="0" w:type="auto"/>
            <w:vAlign w:val="center"/>
            <w:hideMark/>
          </w:tcPr>
          <w:p w14:paraId="02DC080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94.6 ± 26.4</w:t>
            </w:r>
          </w:p>
        </w:tc>
        <w:tc>
          <w:tcPr>
            <w:tcW w:w="0" w:type="auto"/>
            <w:vAlign w:val="center"/>
            <w:hideMark/>
          </w:tcPr>
          <w:p w14:paraId="4E2DDBF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112.8 ± 31.6</w:t>
            </w:r>
          </w:p>
        </w:tc>
        <w:tc>
          <w:tcPr>
            <w:tcW w:w="0" w:type="auto"/>
            <w:vAlign w:val="center"/>
            <w:hideMark/>
          </w:tcPr>
          <w:p w14:paraId="505CC5F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126.5 ± 38.4</w:t>
            </w:r>
          </w:p>
        </w:tc>
        <w:tc>
          <w:tcPr>
            <w:tcW w:w="0" w:type="auto"/>
            <w:vAlign w:val="center"/>
            <w:hideMark/>
          </w:tcPr>
          <w:p w14:paraId="12234B6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138.9 ± 40.1</w:t>
            </w:r>
          </w:p>
        </w:tc>
        <w:tc>
          <w:tcPr>
            <w:tcW w:w="0" w:type="auto"/>
            <w:vAlign w:val="center"/>
            <w:hideMark/>
          </w:tcPr>
          <w:p w14:paraId="6F11855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149.7 ± 42.3</w:t>
            </w:r>
          </w:p>
        </w:tc>
        <w:tc>
          <w:tcPr>
            <w:tcW w:w="0" w:type="auto"/>
            <w:vAlign w:val="center"/>
            <w:hideMark/>
          </w:tcPr>
          <w:p w14:paraId="0E3628C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162.4 ± 45.0</w:t>
            </w:r>
          </w:p>
        </w:tc>
      </w:tr>
      <w:tr w:rsidR="00AC5CB1" w:rsidRPr="00AD7519" w14:paraId="510B1E6F" w14:textId="77777777" w:rsidTr="00AC5CB1">
        <w:trPr>
          <w:tblCellSpacing w:w="15" w:type="dxa"/>
        </w:trPr>
        <w:tc>
          <w:tcPr>
            <w:tcW w:w="0" w:type="auto"/>
            <w:vAlign w:val="center"/>
            <w:hideMark/>
          </w:tcPr>
          <w:p w14:paraId="5753C1D5"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Cu</w:t>
            </w:r>
          </w:p>
        </w:tc>
        <w:tc>
          <w:tcPr>
            <w:tcW w:w="0" w:type="auto"/>
            <w:vAlign w:val="center"/>
            <w:hideMark/>
          </w:tcPr>
          <w:p w14:paraId="433FF70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24.8 ± 7.4</w:t>
            </w:r>
          </w:p>
        </w:tc>
        <w:tc>
          <w:tcPr>
            <w:tcW w:w="0" w:type="auto"/>
            <w:vAlign w:val="center"/>
            <w:hideMark/>
          </w:tcPr>
          <w:p w14:paraId="07F56C1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30.9 ± 9.2</w:t>
            </w:r>
          </w:p>
        </w:tc>
        <w:tc>
          <w:tcPr>
            <w:tcW w:w="0" w:type="auto"/>
            <w:vAlign w:val="center"/>
            <w:hideMark/>
          </w:tcPr>
          <w:p w14:paraId="6D3F807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36.9 ± 11.2</w:t>
            </w:r>
          </w:p>
        </w:tc>
        <w:tc>
          <w:tcPr>
            <w:tcW w:w="0" w:type="auto"/>
            <w:vAlign w:val="center"/>
            <w:hideMark/>
          </w:tcPr>
          <w:p w14:paraId="382F7F1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40.8 ± 12.0</w:t>
            </w:r>
          </w:p>
        </w:tc>
        <w:tc>
          <w:tcPr>
            <w:tcW w:w="0" w:type="auto"/>
            <w:vAlign w:val="center"/>
            <w:hideMark/>
          </w:tcPr>
          <w:p w14:paraId="112A672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44.6 ± 12.8</w:t>
            </w:r>
          </w:p>
        </w:tc>
        <w:tc>
          <w:tcPr>
            <w:tcW w:w="0" w:type="auto"/>
            <w:vAlign w:val="center"/>
            <w:hideMark/>
          </w:tcPr>
          <w:p w14:paraId="22C3EA95"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49.3 ± 13.6</w:t>
            </w:r>
          </w:p>
        </w:tc>
      </w:tr>
    </w:tbl>
    <w:p w14:paraId="329B6D07" w14:textId="74DC028E" w:rsidR="00AC5CB1" w:rsidRPr="00AD7519" w:rsidRDefault="00AC5CB1" w:rsidP="00AD7519">
      <w:pPr>
        <w:jc w:val="both"/>
        <w:rPr>
          <w:rFonts w:ascii="Times New Roman" w:hAnsi="Times New Roman" w:cs="Times New Roman"/>
          <w:sz w:val="24"/>
          <w:szCs w:val="24"/>
        </w:rPr>
      </w:pPr>
    </w:p>
    <w:p w14:paraId="375B096F" w14:textId="4F477999"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Contamination factor values indicate varying degrees of contamination among metals and sites. Cadmium showed the highest CF values, increasing from 2.40 at Site 1 to 6.47 at Site 6, corresponding to moderate to considerable contamination. Lead exhibited moderate contamination, with CF rising from 1.58 to 2.89. Zinc and copper generally ranged from low to moderate contamination, while chromium and nickel remained close to background levels (CF &lt; 1 at most sites), indicating minimal contamination. Overall, CF results identify cadmium as the most critical contaminant in the sediments</w:t>
      </w:r>
      <w:r w:rsidR="00AD7519">
        <w:rPr>
          <w:rFonts w:ascii="Times New Roman" w:hAnsi="Times New Roman" w:cs="Times New Roman"/>
          <w:sz w:val="24"/>
          <w:szCs w:val="24"/>
        </w:rPr>
        <w:t>,</w:t>
      </w:r>
      <w:r w:rsidRPr="00AD7519">
        <w:rPr>
          <w:rFonts w:ascii="Times New Roman" w:hAnsi="Times New Roman" w:cs="Times New Roman"/>
          <w:sz w:val="24"/>
          <w:szCs w:val="24"/>
        </w:rPr>
        <w:t xml:space="preserve"> as shown in Table 4. </w:t>
      </w:r>
    </w:p>
    <w:p w14:paraId="0FB2842E" w14:textId="5529B57A" w:rsidR="00AC5CB1" w:rsidRPr="00AD7519" w:rsidRDefault="00AC5CB1" w:rsidP="00AD7519">
      <w:pPr>
        <w:pStyle w:val="Heading3"/>
        <w:jc w:val="both"/>
        <w:rPr>
          <w:sz w:val="24"/>
          <w:szCs w:val="24"/>
        </w:rPr>
      </w:pPr>
      <w:r w:rsidRPr="00AD7519">
        <w:rPr>
          <w:rStyle w:val="Strong"/>
          <w:b/>
          <w:bCs/>
          <w:sz w:val="24"/>
          <w:szCs w:val="24"/>
        </w:rPr>
        <w:t>Table 4: Contamination Factor (CF)</w:t>
      </w:r>
    </w:p>
    <w:tbl>
      <w:tblPr>
        <w:tblW w:w="6276" w:type="dxa"/>
        <w:tblCellSpacing w:w="15" w:type="dxa"/>
        <w:tblCellMar>
          <w:top w:w="15" w:type="dxa"/>
          <w:left w:w="15" w:type="dxa"/>
          <w:bottom w:w="15" w:type="dxa"/>
          <w:right w:w="15" w:type="dxa"/>
        </w:tblCellMar>
        <w:tblLook w:val="04A0" w:firstRow="1" w:lastRow="0" w:firstColumn="1" w:lastColumn="0" w:noHBand="0" w:noVBand="1"/>
      </w:tblPr>
      <w:tblGrid>
        <w:gridCol w:w="947"/>
        <w:gridCol w:w="885"/>
        <w:gridCol w:w="885"/>
        <w:gridCol w:w="886"/>
        <w:gridCol w:w="886"/>
        <w:gridCol w:w="886"/>
        <w:gridCol w:w="901"/>
      </w:tblGrid>
      <w:tr w:rsidR="00AC5CB1" w:rsidRPr="00AD7519" w14:paraId="0F284D65" w14:textId="77777777" w:rsidTr="00AD7519">
        <w:trPr>
          <w:trHeight w:val="398"/>
          <w:tblHeader/>
          <w:tblCellSpacing w:w="15" w:type="dxa"/>
        </w:trPr>
        <w:tc>
          <w:tcPr>
            <w:tcW w:w="0" w:type="auto"/>
            <w:vAlign w:val="center"/>
            <w:hideMark/>
          </w:tcPr>
          <w:p w14:paraId="4E859BFF"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Metal</w:t>
            </w:r>
          </w:p>
        </w:tc>
        <w:tc>
          <w:tcPr>
            <w:tcW w:w="0" w:type="auto"/>
            <w:vAlign w:val="center"/>
            <w:hideMark/>
          </w:tcPr>
          <w:p w14:paraId="76BE63D2"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1</w:t>
            </w:r>
          </w:p>
        </w:tc>
        <w:tc>
          <w:tcPr>
            <w:tcW w:w="0" w:type="auto"/>
            <w:vAlign w:val="center"/>
            <w:hideMark/>
          </w:tcPr>
          <w:p w14:paraId="0108557F"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2</w:t>
            </w:r>
          </w:p>
        </w:tc>
        <w:tc>
          <w:tcPr>
            <w:tcW w:w="0" w:type="auto"/>
            <w:vAlign w:val="center"/>
            <w:hideMark/>
          </w:tcPr>
          <w:p w14:paraId="37C49352"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3</w:t>
            </w:r>
          </w:p>
        </w:tc>
        <w:tc>
          <w:tcPr>
            <w:tcW w:w="0" w:type="auto"/>
            <w:vAlign w:val="center"/>
            <w:hideMark/>
          </w:tcPr>
          <w:p w14:paraId="0B5494C0"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4</w:t>
            </w:r>
          </w:p>
        </w:tc>
        <w:tc>
          <w:tcPr>
            <w:tcW w:w="0" w:type="auto"/>
            <w:vAlign w:val="center"/>
            <w:hideMark/>
          </w:tcPr>
          <w:p w14:paraId="46DB2E2A"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5</w:t>
            </w:r>
          </w:p>
        </w:tc>
        <w:tc>
          <w:tcPr>
            <w:tcW w:w="0" w:type="auto"/>
            <w:vAlign w:val="center"/>
            <w:hideMark/>
          </w:tcPr>
          <w:p w14:paraId="6186E5BC"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6</w:t>
            </w:r>
          </w:p>
        </w:tc>
      </w:tr>
      <w:tr w:rsidR="00AC5CB1" w:rsidRPr="00AD7519" w14:paraId="10CC9365" w14:textId="77777777" w:rsidTr="00AD7519">
        <w:trPr>
          <w:trHeight w:val="412"/>
          <w:tblCellSpacing w:w="15" w:type="dxa"/>
        </w:trPr>
        <w:tc>
          <w:tcPr>
            <w:tcW w:w="0" w:type="auto"/>
            <w:vAlign w:val="center"/>
            <w:hideMark/>
          </w:tcPr>
          <w:p w14:paraId="182DC4F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Pb</w:t>
            </w:r>
          </w:p>
        </w:tc>
        <w:tc>
          <w:tcPr>
            <w:tcW w:w="0" w:type="auto"/>
            <w:vAlign w:val="center"/>
            <w:hideMark/>
          </w:tcPr>
          <w:p w14:paraId="2EEA87E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1.58</w:t>
            </w:r>
          </w:p>
        </w:tc>
        <w:tc>
          <w:tcPr>
            <w:tcW w:w="0" w:type="auto"/>
            <w:vAlign w:val="center"/>
            <w:hideMark/>
          </w:tcPr>
          <w:p w14:paraId="766BB38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1.95</w:t>
            </w:r>
          </w:p>
        </w:tc>
        <w:tc>
          <w:tcPr>
            <w:tcW w:w="0" w:type="auto"/>
            <w:vAlign w:val="center"/>
            <w:hideMark/>
          </w:tcPr>
          <w:p w14:paraId="1CD243D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2.21</w:t>
            </w:r>
          </w:p>
        </w:tc>
        <w:tc>
          <w:tcPr>
            <w:tcW w:w="0" w:type="auto"/>
            <w:vAlign w:val="center"/>
            <w:hideMark/>
          </w:tcPr>
          <w:p w14:paraId="4982539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2.44</w:t>
            </w:r>
          </w:p>
        </w:tc>
        <w:tc>
          <w:tcPr>
            <w:tcW w:w="0" w:type="auto"/>
            <w:vAlign w:val="center"/>
            <w:hideMark/>
          </w:tcPr>
          <w:p w14:paraId="27CEC88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2.62</w:t>
            </w:r>
          </w:p>
        </w:tc>
        <w:tc>
          <w:tcPr>
            <w:tcW w:w="0" w:type="auto"/>
            <w:vAlign w:val="center"/>
            <w:hideMark/>
          </w:tcPr>
          <w:p w14:paraId="42F01E7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2.89</w:t>
            </w:r>
          </w:p>
        </w:tc>
      </w:tr>
      <w:tr w:rsidR="00AC5CB1" w:rsidRPr="00AD7519" w14:paraId="350C8962" w14:textId="77777777" w:rsidTr="00AD7519">
        <w:trPr>
          <w:trHeight w:val="398"/>
          <w:tblCellSpacing w:w="15" w:type="dxa"/>
        </w:trPr>
        <w:tc>
          <w:tcPr>
            <w:tcW w:w="0" w:type="auto"/>
            <w:vAlign w:val="center"/>
            <w:hideMark/>
          </w:tcPr>
          <w:p w14:paraId="133F41F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Cd</w:t>
            </w:r>
          </w:p>
        </w:tc>
        <w:tc>
          <w:tcPr>
            <w:tcW w:w="0" w:type="auto"/>
            <w:vAlign w:val="center"/>
            <w:hideMark/>
          </w:tcPr>
          <w:p w14:paraId="7CD2640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2.40</w:t>
            </w:r>
          </w:p>
        </w:tc>
        <w:tc>
          <w:tcPr>
            <w:tcW w:w="0" w:type="auto"/>
            <w:vAlign w:val="center"/>
            <w:hideMark/>
          </w:tcPr>
          <w:p w14:paraId="2E53CBA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3.47</w:t>
            </w:r>
          </w:p>
        </w:tc>
        <w:tc>
          <w:tcPr>
            <w:tcW w:w="0" w:type="auto"/>
            <w:vAlign w:val="center"/>
            <w:hideMark/>
          </w:tcPr>
          <w:p w14:paraId="5FB8127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4.47</w:t>
            </w:r>
          </w:p>
        </w:tc>
        <w:tc>
          <w:tcPr>
            <w:tcW w:w="0" w:type="auto"/>
            <w:vAlign w:val="center"/>
            <w:hideMark/>
          </w:tcPr>
          <w:p w14:paraId="33AA434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5.20</w:t>
            </w:r>
          </w:p>
        </w:tc>
        <w:tc>
          <w:tcPr>
            <w:tcW w:w="0" w:type="auto"/>
            <w:vAlign w:val="center"/>
            <w:hideMark/>
          </w:tcPr>
          <w:p w14:paraId="25E44DB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5.73</w:t>
            </w:r>
          </w:p>
        </w:tc>
        <w:tc>
          <w:tcPr>
            <w:tcW w:w="0" w:type="auto"/>
            <w:vAlign w:val="center"/>
            <w:hideMark/>
          </w:tcPr>
          <w:p w14:paraId="42864B8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6.47</w:t>
            </w:r>
          </w:p>
        </w:tc>
      </w:tr>
      <w:tr w:rsidR="00AC5CB1" w:rsidRPr="00AD7519" w14:paraId="1DCFDB4D" w14:textId="77777777" w:rsidTr="00AD7519">
        <w:trPr>
          <w:trHeight w:val="398"/>
          <w:tblCellSpacing w:w="15" w:type="dxa"/>
        </w:trPr>
        <w:tc>
          <w:tcPr>
            <w:tcW w:w="0" w:type="auto"/>
            <w:vAlign w:val="center"/>
            <w:hideMark/>
          </w:tcPr>
          <w:p w14:paraId="3CFF3A6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Cr</w:t>
            </w:r>
          </w:p>
        </w:tc>
        <w:tc>
          <w:tcPr>
            <w:tcW w:w="0" w:type="auto"/>
            <w:vAlign w:val="center"/>
            <w:hideMark/>
          </w:tcPr>
          <w:p w14:paraId="2671994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0.73</w:t>
            </w:r>
          </w:p>
        </w:tc>
        <w:tc>
          <w:tcPr>
            <w:tcW w:w="0" w:type="auto"/>
            <w:vAlign w:val="center"/>
            <w:hideMark/>
          </w:tcPr>
          <w:p w14:paraId="6F111FC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0.81</w:t>
            </w:r>
          </w:p>
        </w:tc>
        <w:tc>
          <w:tcPr>
            <w:tcW w:w="0" w:type="auto"/>
            <w:vAlign w:val="center"/>
            <w:hideMark/>
          </w:tcPr>
          <w:p w14:paraId="7EFD65A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0.85</w:t>
            </w:r>
          </w:p>
        </w:tc>
        <w:tc>
          <w:tcPr>
            <w:tcW w:w="0" w:type="auto"/>
            <w:vAlign w:val="center"/>
            <w:hideMark/>
          </w:tcPr>
          <w:p w14:paraId="5A32308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0.89</w:t>
            </w:r>
          </w:p>
        </w:tc>
        <w:tc>
          <w:tcPr>
            <w:tcW w:w="0" w:type="auto"/>
            <w:vAlign w:val="center"/>
            <w:hideMark/>
          </w:tcPr>
          <w:p w14:paraId="527BA78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0.93</w:t>
            </w:r>
          </w:p>
        </w:tc>
        <w:tc>
          <w:tcPr>
            <w:tcW w:w="0" w:type="auto"/>
            <w:vAlign w:val="center"/>
            <w:hideMark/>
          </w:tcPr>
          <w:p w14:paraId="6CD761C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0.98</w:t>
            </w:r>
          </w:p>
        </w:tc>
      </w:tr>
      <w:tr w:rsidR="00AC5CB1" w:rsidRPr="00AD7519" w14:paraId="4C96F250" w14:textId="77777777" w:rsidTr="00AD7519">
        <w:trPr>
          <w:trHeight w:val="398"/>
          <w:tblCellSpacing w:w="15" w:type="dxa"/>
        </w:trPr>
        <w:tc>
          <w:tcPr>
            <w:tcW w:w="0" w:type="auto"/>
            <w:vAlign w:val="center"/>
            <w:hideMark/>
          </w:tcPr>
          <w:p w14:paraId="4A1CED1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Ni</w:t>
            </w:r>
          </w:p>
        </w:tc>
        <w:tc>
          <w:tcPr>
            <w:tcW w:w="0" w:type="auto"/>
            <w:vAlign w:val="center"/>
            <w:hideMark/>
          </w:tcPr>
          <w:p w14:paraId="52C1711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0.60</w:t>
            </w:r>
          </w:p>
        </w:tc>
        <w:tc>
          <w:tcPr>
            <w:tcW w:w="0" w:type="auto"/>
            <w:vAlign w:val="center"/>
            <w:hideMark/>
          </w:tcPr>
          <w:p w14:paraId="621B527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0.72</w:t>
            </w:r>
          </w:p>
        </w:tc>
        <w:tc>
          <w:tcPr>
            <w:tcW w:w="0" w:type="auto"/>
            <w:vAlign w:val="center"/>
            <w:hideMark/>
          </w:tcPr>
          <w:p w14:paraId="4D38AA4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0.83</w:t>
            </w:r>
          </w:p>
        </w:tc>
        <w:tc>
          <w:tcPr>
            <w:tcW w:w="0" w:type="auto"/>
            <w:vAlign w:val="center"/>
            <w:hideMark/>
          </w:tcPr>
          <w:p w14:paraId="11E84A7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0.89</w:t>
            </w:r>
          </w:p>
        </w:tc>
        <w:tc>
          <w:tcPr>
            <w:tcW w:w="0" w:type="auto"/>
            <w:vAlign w:val="center"/>
            <w:hideMark/>
          </w:tcPr>
          <w:p w14:paraId="177DA2A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0.96</w:t>
            </w:r>
          </w:p>
        </w:tc>
        <w:tc>
          <w:tcPr>
            <w:tcW w:w="0" w:type="auto"/>
            <w:vAlign w:val="center"/>
            <w:hideMark/>
          </w:tcPr>
          <w:p w14:paraId="49D6B2D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1.03</w:t>
            </w:r>
          </w:p>
        </w:tc>
      </w:tr>
      <w:tr w:rsidR="00AC5CB1" w:rsidRPr="00AD7519" w14:paraId="2CAA95AA" w14:textId="77777777" w:rsidTr="00AD7519">
        <w:trPr>
          <w:trHeight w:val="412"/>
          <w:tblCellSpacing w:w="15" w:type="dxa"/>
        </w:trPr>
        <w:tc>
          <w:tcPr>
            <w:tcW w:w="0" w:type="auto"/>
            <w:vAlign w:val="center"/>
            <w:hideMark/>
          </w:tcPr>
          <w:p w14:paraId="55DAC09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Zn</w:t>
            </w:r>
          </w:p>
        </w:tc>
        <w:tc>
          <w:tcPr>
            <w:tcW w:w="0" w:type="auto"/>
            <w:vAlign w:val="center"/>
            <w:hideMark/>
          </w:tcPr>
          <w:p w14:paraId="441BB01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1.00</w:t>
            </w:r>
          </w:p>
        </w:tc>
        <w:tc>
          <w:tcPr>
            <w:tcW w:w="0" w:type="auto"/>
            <w:vAlign w:val="center"/>
            <w:hideMark/>
          </w:tcPr>
          <w:p w14:paraId="753FE5A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1.19</w:t>
            </w:r>
          </w:p>
        </w:tc>
        <w:tc>
          <w:tcPr>
            <w:tcW w:w="0" w:type="auto"/>
            <w:vAlign w:val="center"/>
            <w:hideMark/>
          </w:tcPr>
          <w:p w14:paraId="2F5B374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1.33</w:t>
            </w:r>
          </w:p>
        </w:tc>
        <w:tc>
          <w:tcPr>
            <w:tcW w:w="0" w:type="auto"/>
            <w:vAlign w:val="center"/>
            <w:hideMark/>
          </w:tcPr>
          <w:p w14:paraId="59655EC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1.46</w:t>
            </w:r>
          </w:p>
        </w:tc>
        <w:tc>
          <w:tcPr>
            <w:tcW w:w="0" w:type="auto"/>
            <w:vAlign w:val="center"/>
            <w:hideMark/>
          </w:tcPr>
          <w:p w14:paraId="20F3233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1.58</w:t>
            </w:r>
          </w:p>
        </w:tc>
        <w:tc>
          <w:tcPr>
            <w:tcW w:w="0" w:type="auto"/>
            <w:vAlign w:val="center"/>
            <w:hideMark/>
          </w:tcPr>
          <w:p w14:paraId="2A9B8E3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1.71</w:t>
            </w:r>
          </w:p>
        </w:tc>
      </w:tr>
      <w:tr w:rsidR="00AC5CB1" w:rsidRPr="00AD7519" w14:paraId="67DDF769" w14:textId="77777777" w:rsidTr="00AD7519">
        <w:trPr>
          <w:trHeight w:val="398"/>
          <w:tblCellSpacing w:w="15" w:type="dxa"/>
        </w:trPr>
        <w:tc>
          <w:tcPr>
            <w:tcW w:w="0" w:type="auto"/>
            <w:vAlign w:val="center"/>
            <w:hideMark/>
          </w:tcPr>
          <w:p w14:paraId="273C668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Cu</w:t>
            </w:r>
          </w:p>
        </w:tc>
        <w:tc>
          <w:tcPr>
            <w:tcW w:w="0" w:type="auto"/>
            <w:vAlign w:val="center"/>
            <w:hideMark/>
          </w:tcPr>
          <w:p w14:paraId="53357B9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0.99</w:t>
            </w:r>
          </w:p>
        </w:tc>
        <w:tc>
          <w:tcPr>
            <w:tcW w:w="0" w:type="auto"/>
            <w:vAlign w:val="center"/>
            <w:hideMark/>
          </w:tcPr>
          <w:p w14:paraId="45D24A8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1.24</w:t>
            </w:r>
          </w:p>
        </w:tc>
        <w:tc>
          <w:tcPr>
            <w:tcW w:w="0" w:type="auto"/>
            <w:vAlign w:val="center"/>
            <w:hideMark/>
          </w:tcPr>
          <w:p w14:paraId="2F83247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1.48</w:t>
            </w:r>
          </w:p>
        </w:tc>
        <w:tc>
          <w:tcPr>
            <w:tcW w:w="0" w:type="auto"/>
            <w:vAlign w:val="center"/>
            <w:hideMark/>
          </w:tcPr>
          <w:p w14:paraId="551AE53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1.63</w:t>
            </w:r>
          </w:p>
        </w:tc>
        <w:tc>
          <w:tcPr>
            <w:tcW w:w="0" w:type="auto"/>
            <w:vAlign w:val="center"/>
            <w:hideMark/>
          </w:tcPr>
          <w:p w14:paraId="03D9203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1.78</w:t>
            </w:r>
          </w:p>
        </w:tc>
        <w:tc>
          <w:tcPr>
            <w:tcW w:w="0" w:type="auto"/>
            <w:vAlign w:val="center"/>
            <w:hideMark/>
          </w:tcPr>
          <w:p w14:paraId="3BB69E2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1.97</w:t>
            </w:r>
          </w:p>
        </w:tc>
      </w:tr>
    </w:tbl>
    <w:p w14:paraId="49696EA8" w14:textId="33BE5232" w:rsidR="00AC5CB1" w:rsidRPr="00AD7519" w:rsidRDefault="00AC5CB1" w:rsidP="00AD7519">
      <w:pPr>
        <w:jc w:val="both"/>
        <w:rPr>
          <w:rFonts w:ascii="Times New Roman" w:hAnsi="Times New Roman" w:cs="Times New Roman"/>
          <w:sz w:val="24"/>
          <w:szCs w:val="24"/>
        </w:rPr>
      </w:pPr>
    </w:p>
    <w:p w14:paraId="276410D9" w14:textId="380EAED9" w:rsidR="00AC5CB1" w:rsidRPr="00AD7519" w:rsidRDefault="00AC5CB1" w:rsidP="00AD7519">
      <w:pPr>
        <w:jc w:val="both"/>
        <w:rPr>
          <w:rFonts w:ascii="Times New Roman" w:hAnsi="Times New Roman" w:cs="Times New Roman"/>
          <w:sz w:val="24"/>
          <w:szCs w:val="24"/>
        </w:rPr>
      </w:pPr>
      <w:proofErr w:type="spellStart"/>
      <w:r w:rsidRPr="00AD7519">
        <w:rPr>
          <w:rFonts w:ascii="Times New Roman" w:hAnsi="Times New Roman" w:cs="Times New Roman"/>
          <w:sz w:val="24"/>
          <w:szCs w:val="24"/>
        </w:rPr>
        <w:t>Igeo</w:t>
      </w:r>
      <w:proofErr w:type="spellEnd"/>
      <w:r w:rsidRPr="00AD7519">
        <w:rPr>
          <w:rFonts w:ascii="Times New Roman" w:hAnsi="Times New Roman" w:cs="Times New Roman"/>
          <w:sz w:val="24"/>
          <w:szCs w:val="24"/>
        </w:rPr>
        <w:t xml:space="preserve"> values further clarify sediment contamination status. Cadmium ranged from 0.68 at Site 1 to 2.12 at Site 6, classifying sediments from unpolluted–moderately polluted to moderately–strongly polluted. Lead showed increasing </w:t>
      </w:r>
      <w:proofErr w:type="spellStart"/>
      <w:r w:rsidRPr="00AD7519">
        <w:rPr>
          <w:rFonts w:ascii="Times New Roman" w:hAnsi="Times New Roman" w:cs="Times New Roman"/>
          <w:sz w:val="24"/>
          <w:szCs w:val="24"/>
        </w:rPr>
        <w:t>Igeo</w:t>
      </w:r>
      <w:proofErr w:type="spellEnd"/>
      <w:r w:rsidRPr="00AD7519">
        <w:rPr>
          <w:rFonts w:ascii="Times New Roman" w:hAnsi="Times New Roman" w:cs="Times New Roman"/>
          <w:sz w:val="24"/>
          <w:szCs w:val="24"/>
        </w:rPr>
        <w:t xml:space="preserve"> values (0.07 to 1.36), indicating a shift from practically unpolluted to moderately polluted conditions downstream. Zinc and copper transitioned from negative or near-zero values upstream to positive values downstream, reflecting slight to moderate accumulation. Chromium and nickel largely retained negative </w:t>
      </w:r>
      <w:proofErr w:type="spellStart"/>
      <w:r w:rsidRPr="00AD7519">
        <w:rPr>
          <w:rFonts w:ascii="Times New Roman" w:hAnsi="Times New Roman" w:cs="Times New Roman"/>
          <w:sz w:val="24"/>
          <w:szCs w:val="24"/>
        </w:rPr>
        <w:t>Igeo</w:t>
      </w:r>
      <w:proofErr w:type="spellEnd"/>
      <w:r w:rsidRPr="00AD7519">
        <w:rPr>
          <w:rFonts w:ascii="Times New Roman" w:hAnsi="Times New Roman" w:cs="Times New Roman"/>
          <w:sz w:val="24"/>
          <w:szCs w:val="24"/>
        </w:rPr>
        <w:t xml:space="preserve"> values, confirming minimal contamination as shown in Table 5. </w:t>
      </w:r>
    </w:p>
    <w:p w14:paraId="6CC6F201" w14:textId="5F989E6D" w:rsidR="00AC5CB1" w:rsidRPr="00AD7519" w:rsidRDefault="00AC5CB1" w:rsidP="00AD7519">
      <w:pPr>
        <w:pStyle w:val="Heading3"/>
        <w:jc w:val="both"/>
        <w:rPr>
          <w:sz w:val="24"/>
          <w:szCs w:val="24"/>
        </w:rPr>
      </w:pPr>
      <w:r w:rsidRPr="00AD7519">
        <w:rPr>
          <w:rStyle w:val="Strong"/>
          <w:b/>
          <w:bCs/>
          <w:sz w:val="24"/>
          <w:szCs w:val="24"/>
        </w:rPr>
        <w:t>Table 5: Geo-accumulation Index (</w:t>
      </w:r>
      <w:proofErr w:type="spellStart"/>
      <w:r w:rsidRPr="00AD7519">
        <w:rPr>
          <w:rStyle w:val="Strong"/>
          <w:b/>
          <w:bCs/>
          <w:sz w:val="24"/>
          <w:szCs w:val="24"/>
        </w:rPr>
        <w:t>Igeo</w:t>
      </w:r>
      <w:proofErr w:type="spellEnd"/>
      <w:r w:rsidRPr="00AD7519">
        <w:rPr>
          <w:rStyle w:val="Strong"/>
          <w:b/>
          <w:bCs/>
          <w:sz w:val="24"/>
          <w:szCs w:val="24"/>
        </w:rPr>
        <w:t>)</w:t>
      </w:r>
    </w:p>
    <w:tbl>
      <w:tblPr>
        <w:tblW w:w="7603" w:type="dxa"/>
        <w:tblCellSpacing w:w="15" w:type="dxa"/>
        <w:tblCellMar>
          <w:top w:w="15" w:type="dxa"/>
          <w:left w:w="15" w:type="dxa"/>
          <w:bottom w:w="15" w:type="dxa"/>
          <w:right w:w="15" w:type="dxa"/>
        </w:tblCellMar>
        <w:tblLook w:val="04A0" w:firstRow="1" w:lastRow="0" w:firstColumn="1" w:lastColumn="0" w:noHBand="0" w:noVBand="1"/>
      </w:tblPr>
      <w:tblGrid>
        <w:gridCol w:w="1145"/>
        <w:gridCol w:w="1073"/>
        <w:gridCol w:w="1074"/>
        <w:gridCol w:w="1074"/>
        <w:gridCol w:w="1074"/>
        <w:gridCol w:w="1074"/>
        <w:gridCol w:w="1089"/>
      </w:tblGrid>
      <w:tr w:rsidR="00AD7519" w:rsidRPr="00AD7519" w14:paraId="58D5DC57" w14:textId="77777777" w:rsidTr="001D10BB">
        <w:trPr>
          <w:trHeight w:val="349"/>
          <w:tblHeader/>
          <w:tblCellSpacing w:w="15" w:type="dxa"/>
        </w:trPr>
        <w:tc>
          <w:tcPr>
            <w:tcW w:w="0" w:type="auto"/>
            <w:vAlign w:val="center"/>
            <w:hideMark/>
          </w:tcPr>
          <w:p w14:paraId="273EFB70" w14:textId="77777777" w:rsidR="00AC5CB1" w:rsidRPr="00AD7519" w:rsidRDefault="00AC5CB1" w:rsidP="00AD7519">
            <w:pPr>
              <w:spacing w:after="0"/>
              <w:jc w:val="both"/>
              <w:rPr>
                <w:rFonts w:ascii="Times New Roman" w:hAnsi="Times New Roman" w:cs="Times New Roman"/>
                <w:b/>
                <w:bCs/>
                <w:sz w:val="24"/>
                <w:szCs w:val="24"/>
              </w:rPr>
            </w:pPr>
            <w:r w:rsidRPr="00AD7519">
              <w:rPr>
                <w:rFonts w:ascii="Times New Roman" w:hAnsi="Times New Roman" w:cs="Times New Roman"/>
                <w:b/>
                <w:bCs/>
                <w:sz w:val="24"/>
                <w:szCs w:val="24"/>
              </w:rPr>
              <w:lastRenderedPageBreak/>
              <w:t>Metal</w:t>
            </w:r>
          </w:p>
        </w:tc>
        <w:tc>
          <w:tcPr>
            <w:tcW w:w="0" w:type="auto"/>
            <w:vAlign w:val="center"/>
            <w:hideMark/>
          </w:tcPr>
          <w:p w14:paraId="3640C0E5" w14:textId="77777777" w:rsidR="00AC5CB1" w:rsidRPr="00AD7519" w:rsidRDefault="00AC5CB1" w:rsidP="00AD7519">
            <w:pPr>
              <w:spacing w:after="0"/>
              <w:jc w:val="both"/>
              <w:rPr>
                <w:rFonts w:ascii="Times New Roman" w:hAnsi="Times New Roman" w:cs="Times New Roman"/>
                <w:b/>
                <w:bCs/>
                <w:sz w:val="24"/>
                <w:szCs w:val="24"/>
              </w:rPr>
            </w:pPr>
            <w:r w:rsidRPr="00AD7519">
              <w:rPr>
                <w:rFonts w:ascii="Times New Roman" w:hAnsi="Times New Roman" w:cs="Times New Roman"/>
                <w:b/>
                <w:bCs/>
                <w:sz w:val="24"/>
                <w:szCs w:val="24"/>
              </w:rPr>
              <w:t>Site 1</w:t>
            </w:r>
          </w:p>
        </w:tc>
        <w:tc>
          <w:tcPr>
            <w:tcW w:w="0" w:type="auto"/>
            <w:vAlign w:val="center"/>
            <w:hideMark/>
          </w:tcPr>
          <w:p w14:paraId="6D34D66C" w14:textId="77777777" w:rsidR="00AC5CB1" w:rsidRPr="00AD7519" w:rsidRDefault="00AC5CB1" w:rsidP="00AD7519">
            <w:pPr>
              <w:spacing w:after="0"/>
              <w:jc w:val="both"/>
              <w:rPr>
                <w:rFonts w:ascii="Times New Roman" w:hAnsi="Times New Roman" w:cs="Times New Roman"/>
                <w:b/>
                <w:bCs/>
                <w:sz w:val="24"/>
                <w:szCs w:val="24"/>
              </w:rPr>
            </w:pPr>
            <w:r w:rsidRPr="00AD7519">
              <w:rPr>
                <w:rFonts w:ascii="Times New Roman" w:hAnsi="Times New Roman" w:cs="Times New Roman"/>
                <w:b/>
                <w:bCs/>
                <w:sz w:val="24"/>
                <w:szCs w:val="24"/>
              </w:rPr>
              <w:t>Site 2</w:t>
            </w:r>
          </w:p>
        </w:tc>
        <w:tc>
          <w:tcPr>
            <w:tcW w:w="0" w:type="auto"/>
            <w:vAlign w:val="center"/>
            <w:hideMark/>
          </w:tcPr>
          <w:p w14:paraId="1F12E725" w14:textId="77777777" w:rsidR="00AC5CB1" w:rsidRPr="00AD7519" w:rsidRDefault="00AC5CB1" w:rsidP="00AD7519">
            <w:pPr>
              <w:spacing w:after="0"/>
              <w:jc w:val="both"/>
              <w:rPr>
                <w:rFonts w:ascii="Times New Roman" w:hAnsi="Times New Roman" w:cs="Times New Roman"/>
                <w:b/>
                <w:bCs/>
                <w:sz w:val="24"/>
                <w:szCs w:val="24"/>
              </w:rPr>
            </w:pPr>
            <w:r w:rsidRPr="00AD7519">
              <w:rPr>
                <w:rFonts w:ascii="Times New Roman" w:hAnsi="Times New Roman" w:cs="Times New Roman"/>
                <w:b/>
                <w:bCs/>
                <w:sz w:val="24"/>
                <w:szCs w:val="24"/>
              </w:rPr>
              <w:t>Site 3</w:t>
            </w:r>
          </w:p>
        </w:tc>
        <w:tc>
          <w:tcPr>
            <w:tcW w:w="0" w:type="auto"/>
            <w:vAlign w:val="center"/>
            <w:hideMark/>
          </w:tcPr>
          <w:p w14:paraId="333A3E4C" w14:textId="77777777" w:rsidR="00AC5CB1" w:rsidRPr="00AD7519" w:rsidRDefault="00AC5CB1" w:rsidP="00AD7519">
            <w:pPr>
              <w:spacing w:after="0"/>
              <w:jc w:val="both"/>
              <w:rPr>
                <w:rFonts w:ascii="Times New Roman" w:hAnsi="Times New Roman" w:cs="Times New Roman"/>
                <w:b/>
                <w:bCs/>
                <w:sz w:val="24"/>
                <w:szCs w:val="24"/>
              </w:rPr>
            </w:pPr>
            <w:r w:rsidRPr="00AD7519">
              <w:rPr>
                <w:rFonts w:ascii="Times New Roman" w:hAnsi="Times New Roman" w:cs="Times New Roman"/>
                <w:b/>
                <w:bCs/>
                <w:sz w:val="24"/>
                <w:szCs w:val="24"/>
              </w:rPr>
              <w:t>Site 4</w:t>
            </w:r>
          </w:p>
        </w:tc>
        <w:tc>
          <w:tcPr>
            <w:tcW w:w="0" w:type="auto"/>
            <w:vAlign w:val="center"/>
            <w:hideMark/>
          </w:tcPr>
          <w:p w14:paraId="5C74CADD" w14:textId="77777777" w:rsidR="00AC5CB1" w:rsidRPr="00AD7519" w:rsidRDefault="00AC5CB1" w:rsidP="00AD7519">
            <w:pPr>
              <w:spacing w:after="0"/>
              <w:jc w:val="both"/>
              <w:rPr>
                <w:rFonts w:ascii="Times New Roman" w:hAnsi="Times New Roman" w:cs="Times New Roman"/>
                <w:b/>
                <w:bCs/>
                <w:sz w:val="24"/>
                <w:szCs w:val="24"/>
              </w:rPr>
            </w:pPr>
            <w:r w:rsidRPr="00AD7519">
              <w:rPr>
                <w:rFonts w:ascii="Times New Roman" w:hAnsi="Times New Roman" w:cs="Times New Roman"/>
                <w:b/>
                <w:bCs/>
                <w:sz w:val="24"/>
                <w:szCs w:val="24"/>
              </w:rPr>
              <w:t>Site 5</w:t>
            </w:r>
          </w:p>
        </w:tc>
        <w:tc>
          <w:tcPr>
            <w:tcW w:w="0" w:type="auto"/>
            <w:vAlign w:val="center"/>
            <w:hideMark/>
          </w:tcPr>
          <w:p w14:paraId="079777A6" w14:textId="77777777" w:rsidR="00AC5CB1" w:rsidRPr="00AD7519" w:rsidRDefault="00AC5CB1" w:rsidP="00AD7519">
            <w:pPr>
              <w:spacing w:after="0"/>
              <w:jc w:val="both"/>
              <w:rPr>
                <w:rFonts w:ascii="Times New Roman" w:hAnsi="Times New Roman" w:cs="Times New Roman"/>
                <w:b/>
                <w:bCs/>
                <w:sz w:val="24"/>
                <w:szCs w:val="24"/>
              </w:rPr>
            </w:pPr>
            <w:r w:rsidRPr="00AD7519">
              <w:rPr>
                <w:rFonts w:ascii="Times New Roman" w:hAnsi="Times New Roman" w:cs="Times New Roman"/>
                <w:b/>
                <w:bCs/>
                <w:sz w:val="24"/>
                <w:szCs w:val="24"/>
              </w:rPr>
              <w:t>Site 6</w:t>
            </w:r>
          </w:p>
        </w:tc>
      </w:tr>
      <w:tr w:rsidR="00AD7519" w:rsidRPr="00AD7519" w14:paraId="0831099E" w14:textId="77777777" w:rsidTr="001D10BB">
        <w:trPr>
          <w:trHeight w:val="362"/>
          <w:tblCellSpacing w:w="15" w:type="dxa"/>
        </w:trPr>
        <w:tc>
          <w:tcPr>
            <w:tcW w:w="0" w:type="auto"/>
            <w:vAlign w:val="center"/>
            <w:hideMark/>
          </w:tcPr>
          <w:p w14:paraId="1F72E8EC"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Pb</w:t>
            </w:r>
          </w:p>
        </w:tc>
        <w:tc>
          <w:tcPr>
            <w:tcW w:w="0" w:type="auto"/>
            <w:vAlign w:val="center"/>
            <w:hideMark/>
          </w:tcPr>
          <w:p w14:paraId="165E6E1E"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0.07</w:t>
            </w:r>
          </w:p>
        </w:tc>
        <w:tc>
          <w:tcPr>
            <w:tcW w:w="0" w:type="auto"/>
            <w:vAlign w:val="center"/>
            <w:hideMark/>
          </w:tcPr>
          <w:p w14:paraId="3FB33A35"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0.45</w:t>
            </w:r>
          </w:p>
        </w:tc>
        <w:tc>
          <w:tcPr>
            <w:tcW w:w="0" w:type="auto"/>
            <w:vAlign w:val="center"/>
            <w:hideMark/>
          </w:tcPr>
          <w:p w14:paraId="59CCDDC4"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0.89</w:t>
            </w:r>
          </w:p>
        </w:tc>
        <w:tc>
          <w:tcPr>
            <w:tcW w:w="0" w:type="auto"/>
            <w:vAlign w:val="center"/>
            <w:hideMark/>
          </w:tcPr>
          <w:p w14:paraId="2364923B"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1.05</w:t>
            </w:r>
          </w:p>
        </w:tc>
        <w:tc>
          <w:tcPr>
            <w:tcW w:w="0" w:type="auto"/>
            <w:vAlign w:val="center"/>
            <w:hideMark/>
          </w:tcPr>
          <w:p w14:paraId="644A95BB"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1.18</w:t>
            </w:r>
          </w:p>
        </w:tc>
        <w:tc>
          <w:tcPr>
            <w:tcW w:w="0" w:type="auto"/>
            <w:vAlign w:val="center"/>
            <w:hideMark/>
          </w:tcPr>
          <w:p w14:paraId="1C5F1EE5"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1.36</w:t>
            </w:r>
          </w:p>
        </w:tc>
      </w:tr>
      <w:tr w:rsidR="00AD7519" w:rsidRPr="00AD7519" w14:paraId="73205C8B" w14:textId="77777777" w:rsidTr="001D10BB">
        <w:trPr>
          <w:trHeight w:val="349"/>
          <w:tblCellSpacing w:w="15" w:type="dxa"/>
        </w:trPr>
        <w:tc>
          <w:tcPr>
            <w:tcW w:w="0" w:type="auto"/>
            <w:vAlign w:val="center"/>
            <w:hideMark/>
          </w:tcPr>
          <w:p w14:paraId="5C4A9E61"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Cd</w:t>
            </w:r>
          </w:p>
        </w:tc>
        <w:tc>
          <w:tcPr>
            <w:tcW w:w="0" w:type="auto"/>
            <w:vAlign w:val="center"/>
            <w:hideMark/>
          </w:tcPr>
          <w:p w14:paraId="35AAE0FB"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0.68</w:t>
            </w:r>
          </w:p>
        </w:tc>
        <w:tc>
          <w:tcPr>
            <w:tcW w:w="0" w:type="auto"/>
            <w:vAlign w:val="center"/>
            <w:hideMark/>
          </w:tcPr>
          <w:p w14:paraId="7785CCAE"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1.21</w:t>
            </w:r>
          </w:p>
        </w:tc>
        <w:tc>
          <w:tcPr>
            <w:tcW w:w="0" w:type="auto"/>
            <w:vAlign w:val="center"/>
            <w:hideMark/>
          </w:tcPr>
          <w:p w14:paraId="630A24B2"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1.58</w:t>
            </w:r>
          </w:p>
        </w:tc>
        <w:tc>
          <w:tcPr>
            <w:tcW w:w="0" w:type="auto"/>
            <w:vAlign w:val="center"/>
            <w:hideMark/>
          </w:tcPr>
          <w:p w14:paraId="172EB9AD"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1.79</w:t>
            </w:r>
          </w:p>
        </w:tc>
        <w:tc>
          <w:tcPr>
            <w:tcW w:w="0" w:type="auto"/>
            <w:vAlign w:val="center"/>
            <w:hideMark/>
          </w:tcPr>
          <w:p w14:paraId="7695E2BC"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1.93</w:t>
            </w:r>
          </w:p>
        </w:tc>
        <w:tc>
          <w:tcPr>
            <w:tcW w:w="0" w:type="auto"/>
            <w:vAlign w:val="center"/>
            <w:hideMark/>
          </w:tcPr>
          <w:p w14:paraId="6F282BAC"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2.12</w:t>
            </w:r>
          </w:p>
        </w:tc>
      </w:tr>
      <w:tr w:rsidR="00AD7519" w:rsidRPr="00AD7519" w14:paraId="5BD2F5C9" w14:textId="77777777" w:rsidTr="001D10BB">
        <w:trPr>
          <w:trHeight w:val="349"/>
          <w:tblCellSpacing w:w="15" w:type="dxa"/>
        </w:trPr>
        <w:tc>
          <w:tcPr>
            <w:tcW w:w="0" w:type="auto"/>
            <w:vAlign w:val="center"/>
            <w:hideMark/>
          </w:tcPr>
          <w:p w14:paraId="3B8B3276"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Cr</w:t>
            </w:r>
          </w:p>
        </w:tc>
        <w:tc>
          <w:tcPr>
            <w:tcW w:w="0" w:type="auto"/>
            <w:vAlign w:val="center"/>
            <w:hideMark/>
          </w:tcPr>
          <w:p w14:paraId="661BBD58"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−0.54</w:t>
            </w:r>
          </w:p>
        </w:tc>
        <w:tc>
          <w:tcPr>
            <w:tcW w:w="0" w:type="auto"/>
            <w:vAlign w:val="center"/>
            <w:hideMark/>
          </w:tcPr>
          <w:p w14:paraId="513BC910"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−0.33</w:t>
            </w:r>
          </w:p>
        </w:tc>
        <w:tc>
          <w:tcPr>
            <w:tcW w:w="0" w:type="auto"/>
            <w:vAlign w:val="center"/>
            <w:hideMark/>
          </w:tcPr>
          <w:p w14:paraId="7D9D3A75"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−0.23</w:t>
            </w:r>
          </w:p>
        </w:tc>
        <w:tc>
          <w:tcPr>
            <w:tcW w:w="0" w:type="auto"/>
            <w:vAlign w:val="center"/>
            <w:hideMark/>
          </w:tcPr>
          <w:p w14:paraId="13D89DEE"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−0.16</w:t>
            </w:r>
          </w:p>
        </w:tc>
        <w:tc>
          <w:tcPr>
            <w:tcW w:w="0" w:type="auto"/>
            <w:vAlign w:val="center"/>
            <w:hideMark/>
          </w:tcPr>
          <w:p w14:paraId="782F7E03"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−0.09</w:t>
            </w:r>
          </w:p>
        </w:tc>
        <w:tc>
          <w:tcPr>
            <w:tcW w:w="0" w:type="auto"/>
            <w:vAlign w:val="center"/>
            <w:hideMark/>
          </w:tcPr>
          <w:p w14:paraId="51022F07"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−0.01</w:t>
            </w:r>
          </w:p>
        </w:tc>
      </w:tr>
      <w:tr w:rsidR="00AD7519" w:rsidRPr="00AD7519" w14:paraId="331784F7" w14:textId="77777777" w:rsidTr="001D10BB">
        <w:trPr>
          <w:trHeight w:val="362"/>
          <w:tblCellSpacing w:w="15" w:type="dxa"/>
        </w:trPr>
        <w:tc>
          <w:tcPr>
            <w:tcW w:w="0" w:type="auto"/>
            <w:vAlign w:val="center"/>
            <w:hideMark/>
          </w:tcPr>
          <w:p w14:paraId="472BFC7B"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Ni</w:t>
            </w:r>
          </w:p>
        </w:tc>
        <w:tc>
          <w:tcPr>
            <w:tcW w:w="0" w:type="auto"/>
            <w:vAlign w:val="center"/>
            <w:hideMark/>
          </w:tcPr>
          <w:p w14:paraId="7D81DA10"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−0.74</w:t>
            </w:r>
          </w:p>
        </w:tc>
        <w:tc>
          <w:tcPr>
            <w:tcW w:w="0" w:type="auto"/>
            <w:vAlign w:val="center"/>
            <w:hideMark/>
          </w:tcPr>
          <w:p w14:paraId="7997A0C7"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−0.47</w:t>
            </w:r>
          </w:p>
        </w:tc>
        <w:tc>
          <w:tcPr>
            <w:tcW w:w="0" w:type="auto"/>
            <w:vAlign w:val="center"/>
            <w:hideMark/>
          </w:tcPr>
          <w:p w14:paraId="48FFF3FE"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−0.27</w:t>
            </w:r>
          </w:p>
        </w:tc>
        <w:tc>
          <w:tcPr>
            <w:tcW w:w="0" w:type="auto"/>
            <w:vAlign w:val="center"/>
            <w:hideMark/>
          </w:tcPr>
          <w:p w14:paraId="1E40414D"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−0.16</w:t>
            </w:r>
          </w:p>
        </w:tc>
        <w:tc>
          <w:tcPr>
            <w:tcW w:w="0" w:type="auto"/>
            <w:vAlign w:val="center"/>
            <w:hideMark/>
          </w:tcPr>
          <w:p w14:paraId="2215DB46"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−0.05</w:t>
            </w:r>
          </w:p>
        </w:tc>
        <w:tc>
          <w:tcPr>
            <w:tcW w:w="0" w:type="auto"/>
            <w:vAlign w:val="center"/>
            <w:hideMark/>
          </w:tcPr>
          <w:p w14:paraId="3B89DE07"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0.03</w:t>
            </w:r>
          </w:p>
        </w:tc>
      </w:tr>
      <w:tr w:rsidR="00AD7519" w:rsidRPr="00AD7519" w14:paraId="2E71E013" w14:textId="77777777" w:rsidTr="001D10BB">
        <w:trPr>
          <w:trHeight w:val="349"/>
          <w:tblCellSpacing w:w="15" w:type="dxa"/>
        </w:trPr>
        <w:tc>
          <w:tcPr>
            <w:tcW w:w="0" w:type="auto"/>
            <w:vAlign w:val="center"/>
            <w:hideMark/>
          </w:tcPr>
          <w:p w14:paraId="2854CA14"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Zn</w:t>
            </w:r>
          </w:p>
        </w:tc>
        <w:tc>
          <w:tcPr>
            <w:tcW w:w="0" w:type="auto"/>
            <w:vAlign w:val="center"/>
            <w:hideMark/>
          </w:tcPr>
          <w:p w14:paraId="57D92CA4"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−0.21</w:t>
            </w:r>
          </w:p>
        </w:tc>
        <w:tc>
          <w:tcPr>
            <w:tcW w:w="0" w:type="auto"/>
            <w:vAlign w:val="center"/>
            <w:hideMark/>
          </w:tcPr>
          <w:p w14:paraId="41928571"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−0.02</w:t>
            </w:r>
          </w:p>
        </w:tc>
        <w:tc>
          <w:tcPr>
            <w:tcW w:w="0" w:type="auto"/>
            <w:vAlign w:val="center"/>
            <w:hideMark/>
          </w:tcPr>
          <w:p w14:paraId="2D160F2D"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0.15</w:t>
            </w:r>
          </w:p>
        </w:tc>
        <w:tc>
          <w:tcPr>
            <w:tcW w:w="0" w:type="auto"/>
            <w:vAlign w:val="center"/>
            <w:hideMark/>
          </w:tcPr>
          <w:p w14:paraId="425103FE"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0.29</w:t>
            </w:r>
          </w:p>
        </w:tc>
        <w:tc>
          <w:tcPr>
            <w:tcW w:w="0" w:type="auto"/>
            <w:vAlign w:val="center"/>
            <w:hideMark/>
          </w:tcPr>
          <w:p w14:paraId="39130E86"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0.39</w:t>
            </w:r>
          </w:p>
        </w:tc>
        <w:tc>
          <w:tcPr>
            <w:tcW w:w="0" w:type="auto"/>
            <w:vAlign w:val="center"/>
            <w:hideMark/>
          </w:tcPr>
          <w:p w14:paraId="2B21100F"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0.52</w:t>
            </w:r>
          </w:p>
        </w:tc>
      </w:tr>
      <w:tr w:rsidR="00AD7519" w:rsidRPr="00AD7519" w14:paraId="233D5A34" w14:textId="77777777" w:rsidTr="001D10BB">
        <w:trPr>
          <w:trHeight w:val="349"/>
          <w:tblCellSpacing w:w="15" w:type="dxa"/>
        </w:trPr>
        <w:tc>
          <w:tcPr>
            <w:tcW w:w="0" w:type="auto"/>
            <w:vAlign w:val="center"/>
            <w:hideMark/>
          </w:tcPr>
          <w:p w14:paraId="61ADFD76"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Cu</w:t>
            </w:r>
          </w:p>
        </w:tc>
        <w:tc>
          <w:tcPr>
            <w:tcW w:w="0" w:type="auto"/>
            <w:vAlign w:val="center"/>
            <w:hideMark/>
          </w:tcPr>
          <w:p w14:paraId="6AE1796C"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−0.35</w:t>
            </w:r>
          </w:p>
        </w:tc>
        <w:tc>
          <w:tcPr>
            <w:tcW w:w="0" w:type="auto"/>
            <w:vAlign w:val="center"/>
            <w:hideMark/>
          </w:tcPr>
          <w:p w14:paraId="66FC111A"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−0.03</w:t>
            </w:r>
          </w:p>
        </w:tc>
        <w:tc>
          <w:tcPr>
            <w:tcW w:w="0" w:type="auto"/>
            <w:vAlign w:val="center"/>
            <w:hideMark/>
          </w:tcPr>
          <w:p w14:paraId="6F290FCC"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0.22</w:t>
            </w:r>
          </w:p>
        </w:tc>
        <w:tc>
          <w:tcPr>
            <w:tcW w:w="0" w:type="auto"/>
            <w:vAlign w:val="center"/>
            <w:hideMark/>
          </w:tcPr>
          <w:p w14:paraId="155000E5"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0.37</w:t>
            </w:r>
          </w:p>
        </w:tc>
        <w:tc>
          <w:tcPr>
            <w:tcW w:w="0" w:type="auto"/>
            <w:vAlign w:val="center"/>
            <w:hideMark/>
          </w:tcPr>
          <w:p w14:paraId="393F075E"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0.50</w:t>
            </w:r>
          </w:p>
        </w:tc>
        <w:tc>
          <w:tcPr>
            <w:tcW w:w="0" w:type="auto"/>
            <w:vAlign w:val="center"/>
            <w:hideMark/>
          </w:tcPr>
          <w:p w14:paraId="420A6123" w14:textId="77777777" w:rsidR="00AC5CB1" w:rsidRPr="00AD7519" w:rsidRDefault="00AC5CB1" w:rsidP="00AD7519">
            <w:pPr>
              <w:spacing w:after="0"/>
              <w:jc w:val="both"/>
              <w:rPr>
                <w:rFonts w:ascii="Times New Roman" w:hAnsi="Times New Roman" w:cs="Times New Roman"/>
                <w:sz w:val="24"/>
                <w:szCs w:val="24"/>
              </w:rPr>
            </w:pPr>
            <w:r w:rsidRPr="00AD7519">
              <w:rPr>
                <w:rFonts w:ascii="Times New Roman" w:hAnsi="Times New Roman" w:cs="Times New Roman"/>
                <w:sz w:val="24"/>
                <w:szCs w:val="24"/>
              </w:rPr>
              <w:t>0.64</w:t>
            </w:r>
          </w:p>
        </w:tc>
      </w:tr>
    </w:tbl>
    <w:p w14:paraId="03BA323E" w14:textId="7045AE09" w:rsidR="00AC5CB1" w:rsidRPr="00AD7519" w:rsidRDefault="00AC5CB1" w:rsidP="00AD7519">
      <w:pPr>
        <w:jc w:val="both"/>
        <w:rPr>
          <w:rFonts w:ascii="Times New Roman" w:hAnsi="Times New Roman" w:cs="Times New Roman"/>
          <w:sz w:val="24"/>
          <w:szCs w:val="24"/>
        </w:rPr>
      </w:pPr>
    </w:p>
    <w:p w14:paraId="3C327F97" w14:textId="4734B99A"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Enrichment factor analysis indicates anthropogenic influence on sediment metal content. Cadmium exhibited significant enrichment, with EF values increasing from 3.6 to 8.6, pointing to strong non-lithogenic inputs. Lead showed moderate enrichment (1.9 to 3.6), while copper and zinc displayed minor to moderate enrichment. Chromium and nickel recorded EF values close to unity, suggesting predominantly natural origins. These results reinforce the role of human activities in cadmium and lead accumulation</w:t>
      </w:r>
      <w:r w:rsidR="00AD7519">
        <w:rPr>
          <w:rFonts w:ascii="Times New Roman" w:hAnsi="Times New Roman" w:cs="Times New Roman"/>
          <w:sz w:val="24"/>
          <w:szCs w:val="24"/>
        </w:rPr>
        <w:t>,</w:t>
      </w:r>
      <w:r w:rsidRPr="00AD7519">
        <w:rPr>
          <w:rFonts w:ascii="Times New Roman" w:hAnsi="Times New Roman" w:cs="Times New Roman"/>
          <w:sz w:val="24"/>
          <w:szCs w:val="24"/>
        </w:rPr>
        <w:t xml:space="preserve"> as shown in Table 6. </w:t>
      </w:r>
    </w:p>
    <w:p w14:paraId="19263497" w14:textId="4CD799E3" w:rsidR="00AC5CB1" w:rsidRPr="00AD7519" w:rsidRDefault="00AC5CB1" w:rsidP="00AD7519">
      <w:pPr>
        <w:pStyle w:val="Heading3"/>
        <w:jc w:val="both"/>
        <w:rPr>
          <w:sz w:val="24"/>
          <w:szCs w:val="24"/>
        </w:rPr>
      </w:pPr>
      <w:r w:rsidRPr="00AD7519">
        <w:rPr>
          <w:rStyle w:val="Strong"/>
          <w:b/>
          <w:bCs/>
          <w:sz w:val="24"/>
          <w:szCs w:val="24"/>
        </w:rPr>
        <w:t>Table 6: Enrichment Factor (EF)</w:t>
      </w:r>
    </w:p>
    <w:tbl>
      <w:tblPr>
        <w:tblW w:w="6944" w:type="dxa"/>
        <w:tblCellSpacing w:w="15" w:type="dxa"/>
        <w:tblCellMar>
          <w:top w:w="15" w:type="dxa"/>
          <w:left w:w="15" w:type="dxa"/>
          <w:bottom w:w="15" w:type="dxa"/>
          <w:right w:w="15" w:type="dxa"/>
        </w:tblCellMar>
        <w:tblLook w:val="04A0" w:firstRow="1" w:lastRow="0" w:firstColumn="1" w:lastColumn="0" w:noHBand="0" w:noVBand="1"/>
      </w:tblPr>
      <w:tblGrid>
        <w:gridCol w:w="1049"/>
        <w:gridCol w:w="980"/>
        <w:gridCol w:w="980"/>
        <w:gridCol w:w="980"/>
        <w:gridCol w:w="980"/>
        <w:gridCol w:w="980"/>
        <w:gridCol w:w="995"/>
      </w:tblGrid>
      <w:tr w:rsidR="001D10BB" w:rsidRPr="00AD7519" w14:paraId="55C0BA75" w14:textId="77777777" w:rsidTr="001D10BB">
        <w:trPr>
          <w:trHeight w:val="119"/>
          <w:tblHeader/>
          <w:tblCellSpacing w:w="15" w:type="dxa"/>
        </w:trPr>
        <w:tc>
          <w:tcPr>
            <w:tcW w:w="0" w:type="auto"/>
            <w:vAlign w:val="center"/>
            <w:hideMark/>
          </w:tcPr>
          <w:p w14:paraId="69BC43F1"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Metal</w:t>
            </w:r>
          </w:p>
        </w:tc>
        <w:tc>
          <w:tcPr>
            <w:tcW w:w="0" w:type="auto"/>
            <w:vAlign w:val="center"/>
            <w:hideMark/>
          </w:tcPr>
          <w:p w14:paraId="76877281"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1</w:t>
            </w:r>
          </w:p>
        </w:tc>
        <w:tc>
          <w:tcPr>
            <w:tcW w:w="0" w:type="auto"/>
            <w:vAlign w:val="center"/>
            <w:hideMark/>
          </w:tcPr>
          <w:p w14:paraId="4540A5AA"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2</w:t>
            </w:r>
          </w:p>
        </w:tc>
        <w:tc>
          <w:tcPr>
            <w:tcW w:w="0" w:type="auto"/>
            <w:vAlign w:val="center"/>
            <w:hideMark/>
          </w:tcPr>
          <w:p w14:paraId="5C204CB0"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3</w:t>
            </w:r>
          </w:p>
        </w:tc>
        <w:tc>
          <w:tcPr>
            <w:tcW w:w="0" w:type="auto"/>
            <w:vAlign w:val="center"/>
            <w:hideMark/>
          </w:tcPr>
          <w:p w14:paraId="5E2AE549"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4</w:t>
            </w:r>
          </w:p>
        </w:tc>
        <w:tc>
          <w:tcPr>
            <w:tcW w:w="0" w:type="auto"/>
            <w:vAlign w:val="center"/>
            <w:hideMark/>
          </w:tcPr>
          <w:p w14:paraId="2EAB0A32"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5</w:t>
            </w:r>
          </w:p>
        </w:tc>
        <w:tc>
          <w:tcPr>
            <w:tcW w:w="0" w:type="auto"/>
            <w:vAlign w:val="center"/>
            <w:hideMark/>
          </w:tcPr>
          <w:p w14:paraId="72B2F07C"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6</w:t>
            </w:r>
          </w:p>
        </w:tc>
      </w:tr>
      <w:tr w:rsidR="001D10BB" w:rsidRPr="00AD7519" w14:paraId="6CC8FB73" w14:textId="77777777" w:rsidTr="001D10BB">
        <w:trPr>
          <w:trHeight w:val="123"/>
          <w:tblCellSpacing w:w="15" w:type="dxa"/>
        </w:trPr>
        <w:tc>
          <w:tcPr>
            <w:tcW w:w="0" w:type="auto"/>
            <w:vAlign w:val="center"/>
            <w:hideMark/>
          </w:tcPr>
          <w:p w14:paraId="5DBE0C9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Pb</w:t>
            </w:r>
          </w:p>
        </w:tc>
        <w:tc>
          <w:tcPr>
            <w:tcW w:w="0" w:type="auto"/>
            <w:vAlign w:val="center"/>
            <w:hideMark/>
          </w:tcPr>
          <w:p w14:paraId="5EF6FBB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1.9</w:t>
            </w:r>
          </w:p>
        </w:tc>
        <w:tc>
          <w:tcPr>
            <w:tcW w:w="0" w:type="auto"/>
            <w:vAlign w:val="center"/>
            <w:hideMark/>
          </w:tcPr>
          <w:p w14:paraId="4424628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2.3</w:t>
            </w:r>
          </w:p>
        </w:tc>
        <w:tc>
          <w:tcPr>
            <w:tcW w:w="0" w:type="auto"/>
            <w:vAlign w:val="center"/>
            <w:hideMark/>
          </w:tcPr>
          <w:p w14:paraId="42E5430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2.7</w:t>
            </w:r>
          </w:p>
        </w:tc>
        <w:tc>
          <w:tcPr>
            <w:tcW w:w="0" w:type="auto"/>
            <w:vAlign w:val="center"/>
            <w:hideMark/>
          </w:tcPr>
          <w:p w14:paraId="7048C61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3.0</w:t>
            </w:r>
          </w:p>
        </w:tc>
        <w:tc>
          <w:tcPr>
            <w:tcW w:w="0" w:type="auto"/>
            <w:vAlign w:val="center"/>
            <w:hideMark/>
          </w:tcPr>
          <w:p w14:paraId="32E4782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3.3</w:t>
            </w:r>
          </w:p>
        </w:tc>
        <w:tc>
          <w:tcPr>
            <w:tcW w:w="0" w:type="auto"/>
            <w:vAlign w:val="center"/>
            <w:hideMark/>
          </w:tcPr>
          <w:p w14:paraId="01E2970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3.6</w:t>
            </w:r>
          </w:p>
        </w:tc>
      </w:tr>
      <w:tr w:rsidR="001D10BB" w:rsidRPr="00AD7519" w14:paraId="7EAE4A11" w14:textId="77777777" w:rsidTr="001D10BB">
        <w:trPr>
          <w:trHeight w:val="119"/>
          <w:tblCellSpacing w:w="15" w:type="dxa"/>
        </w:trPr>
        <w:tc>
          <w:tcPr>
            <w:tcW w:w="0" w:type="auto"/>
            <w:vAlign w:val="center"/>
            <w:hideMark/>
          </w:tcPr>
          <w:p w14:paraId="75635A0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Cd</w:t>
            </w:r>
          </w:p>
        </w:tc>
        <w:tc>
          <w:tcPr>
            <w:tcW w:w="0" w:type="auto"/>
            <w:vAlign w:val="center"/>
            <w:hideMark/>
          </w:tcPr>
          <w:p w14:paraId="7F826515"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3.6</w:t>
            </w:r>
          </w:p>
        </w:tc>
        <w:tc>
          <w:tcPr>
            <w:tcW w:w="0" w:type="auto"/>
            <w:vAlign w:val="center"/>
            <w:hideMark/>
          </w:tcPr>
          <w:p w14:paraId="486CD80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4.9</w:t>
            </w:r>
          </w:p>
        </w:tc>
        <w:tc>
          <w:tcPr>
            <w:tcW w:w="0" w:type="auto"/>
            <w:vAlign w:val="center"/>
            <w:hideMark/>
          </w:tcPr>
          <w:p w14:paraId="12A8790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6.1</w:t>
            </w:r>
          </w:p>
        </w:tc>
        <w:tc>
          <w:tcPr>
            <w:tcW w:w="0" w:type="auto"/>
            <w:vAlign w:val="center"/>
            <w:hideMark/>
          </w:tcPr>
          <w:p w14:paraId="6438F93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7.0</w:t>
            </w:r>
          </w:p>
        </w:tc>
        <w:tc>
          <w:tcPr>
            <w:tcW w:w="0" w:type="auto"/>
            <w:vAlign w:val="center"/>
            <w:hideMark/>
          </w:tcPr>
          <w:p w14:paraId="78BE42E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7.8</w:t>
            </w:r>
          </w:p>
        </w:tc>
        <w:tc>
          <w:tcPr>
            <w:tcW w:w="0" w:type="auto"/>
            <w:vAlign w:val="center"/>
            <w:hideMark/>
          </w:tcPr>
          <w:p w14:paraId="36192BB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8.6</w:t>
            </w:r>
          </w:p>
        </w:tc>
      </w:tr>
      <w:tr w:rsidR="001D10BB" w:rsidRPr="00AD7519" w14:paraId="61B4031C" w14:textId="77777777" w:rsidTr="001D10BB">
        <w:trPr>
          <w:trHeight w:val="119"/>
          <w:tblCellSpacing w:w="15" w:type="dxa"/>
        </w:trPr>
        <w:tc>
          <w:tcPr>
            <w:tcW w:w="0" w:type="auto"/>
            <w:vAlign w:val="center"/>
            <w:hideMark/>
          </w:tcPr>
          <w:p w14:paraId="7F5C586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Cr</w:t>
            </w:r>
          </w:p>
        </w:tc>
        <w:tc>
          <w:tcPr>
            <w:tcW w:w="0" w:type="auto"/>
            <w:vAlign w:val="center"/>
            <w:hideMark/>
          </w:tcPr>
          <w:p w14:paraId="14B916F5"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0.8</w:t>
            </w:r>
          </w:p>
        </w:tc>
        <w:tc>
          <w:tcPr>
            <w:tcW w:w="0" w:type="auto"/>
            <w:vAlign w:val="center"/>
            <w:hideMark/>
          </w:tcPr>
          <w:p w14:paraId="1BB261E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0.9</w:t>
            </w:r>
          </w:p>
        </w:tc>
        <w:tc>
          <w:tcPr>
            <w:tcW w:w="0" w:type="auto"/>
            <w:vAlign w:val="center"/>
            <w:hideMark/>
          </w:tcPr>
          <w:p w14:paraId="256213B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0.9</w:t>
            </w:r>
          </w:p>
        </w:tc>
        <w:tc>
          <w:tcPr>
            <w:tcW w:w="0" w:type="auto"/>
            <w:vAlign w:val="center"/>
            <w:hideMark/>
          </w:tcPr>
          <w:p w14:paraId="3E9BFE1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1.0</w:t>
            </w:r>
          </w:p>
        </w:tc>
        <w:tc>
          <w:tcPr>
            <w:tcW w:w="0" w:type="auto"/>
            <w:vAlign w:val="center"/>
            <w:hideMark/>
          </w:tcPr>
          <w:p w14:paraId="016ECC2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1.0</w:t>
            </w:r>
          </w:p>
        </w:tc>
        <w:tc>
          <w:tcPr>
            <w:tcW w:w="0" w:type="auto"/>
            <w:vAlign w:val="center"/>
            <w:hideMark/>
          </w:tcPr>
          <w:p w14:paraId="129B0FA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1.1</w:t>
            </w:r>
          </w:p>
        </w:tc>
      </w:tr>
      <w:tr w:rsidR="001D10BB" w:rsidRPr="00AD7519" w14:paraId="1D72C5C7" w14:textId="77777777" w:rsidTr="001D10BB">
        <w:trPr>
          <w:trHeight w:val="119"/>
          <w:tblCellSpacing w:w="15" w:type="dxa"/>
        </w:trPr>
        <w:tc>
          <w:tcPr>
            <w:tcW w:w="0" w:type="auto"/>
            <w:vAlign w:val="center"/>
            <w:hideMark/>
          </w:tcPr>
          <w:p w14:paraId="51E82A2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Ni</w:t>
            </w:r>
          </w:p>
        </w:tc>
        <w:tc>
          <w:tcPr>
            <w:tcW w:w="0" w:type="auto"/>
            <w:vAlign w:val="center"/>
            <w:hideMark/>
          </w:tcPr>
          <w:p w14:paraId="52A67F7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0.7</w:t>
            </w:r>
          </w:p>
        </w:tc>
        <w:tc>
          <w:tcPr>
            <w:tcW w:w="0" w:type="auto"/>
            <w:vAlign w:val="center"/>
            <w:hideMark/>
          </w:tcPr>
          <w:p w14:paraId="587431B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0.8</w:t>
            </w:r>
          </w:p>
        </w:tc>
        <w:tc>
          <w:tcPr>
            <w:tcW w:w="0" w:type="auto"/>
            <w:vAlign w:val="center"/>
            <w:hideMark/>
          </w:tcPr>
          <w:p w14:paraId="7CA462F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0.8</w:t>
            </w:r>
          </w:p>
        </w:tc>
        <w:tc>
          <w:tcPr>
            <w:tcW w:w="0" w:type="auto"/>
            <w:vAlign w:val="center"/>
            <w:hideMark/>
          </w:tcPr>
          <w:p w14:paraId="497598F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0.9</w:t>
            </w:r>
          </w:p>
        </w:tc>
        <w:tc>
          <w:tcPr>
            <w:tcW w:w="0" w:type="auto"/>
            <w:vAlign w:val="center"/>
            <w:hideMark/>
          </w:tcPr>
          <w:p w14:paraId="3F7AF41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1.0</w:t>
            </w:r>
          </w:p>
        </w:tc>
        <w:tc>
          <w:tcPr>
            <w:tcW w:w="0" w:type="auto"/>
            <w:vAlign w:val="center"/>
            <w:hideMark/>
          </w:tcPr>
          <w:p w14:paraId="6AF3939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1.1</w:t>
            </w:r>
          </w:p>
        </w:tc>
      </w:tr>
      <w:tr w:rsidR="001D10BB" w:rsidRPr="00AD7519" w14:paraId="09A602F6" w14:textId="77777777" w:rsidTr="001D10BB">
        <w:trPr>
          <w:trHeight w:val="123"/>
          <w:tblCellSpacing w:w="15" w:type="dxa"/>
        </w:trPr>
        <w:tc>
          <w:tcPr>
            <w:tcW w:w="0" w:type="auto"/>
            <w:vAlign w:val="center"/>
            <w:hideMark/>
          </w:tcPr>
          <w:p w14:paraId="571A31B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Zn</w:t>
            </w:r>
          </w:p>
        </w:tc>
        <w:tc>
          <w:tcPr>
            <w:tcW w:w="0" w:type="auto"/>
            <w:vAlign w:val="center"/>
            <w:hideMark/>
          </w:tcPr>
          <w:p w14:paraId="22F326A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1.1</w:t>
            </w:r>
          </w:p>
        </w:tc>
        <w:tc>
          <w:tcPr>
            <w:tcW w:w="0" w:type="auto"/>
            <w:vAlign w:val="center"/>
            <w:hideMark/>
          </w:tcPr>
          <w:p w14:paraId="651FC73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1.3</w:t>
            </w:r>
          </w:p>
        </w:tc>
        <w:tc>
          <w:tcPr>
            <w:tcW w:w="0" w:type="auto"/>
            <w:vAlign w:val="center"/>
            <w:hideMark/>
          </w:tcPr>
          <w:p w14:paraId="0F295E7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w:t>
            </w:r>
          </w:p>
        </w:tc>
        <w:tc>
          <w:tcPr>
            <w:tcW w:w="0" w:type="auto"/>
            <w:vAlign w:val="center"/>
            <w:hideMark/>
          </w:tcPr>
          <w:p w14:paraId="4119055E"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1.6</w:t>
            </w:r>
          </w:p>
        </w:tc>
        <w:tc>
          <w:tcPr>
            <w:tcW w:w="0" w:type="auto"/>
            <w:vAlign w:val="center"/>
            <w:hideMark/>
          </w:tcPr>
          <w:p w14:paraId="77EFCBB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1.8</w:t>
            </w:r>
          </w:p>
        </w:tc>
        <w:tc>
          <w:tcPr>
            <w:tcW w:w="0" w:type="auto"/>
            <w:vAlign w:val="center"/>
            <w:hideMark/>
          </w:tcPr>
          <w:p w14:paraId="4566891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2.0</w:t>
            </w:r>
          </w:p>
        </w:tc>
      </w:tr>
      <w:tr w:rsidR="001D10BB" w:rsidRPr="00AD7519" w14:paraId="1EAEE606" w14:textId="77777777" w:rsidTr="001D10BB">
        <w:trPr>
          <w:trHeight w:val="119"/>
          <w:tblCellSpacing w:w="15" w:type="dxa"/>
        </w:trPr>
        <w:tc>
          <w:tcPr>
            <w:tcW w:w="0" w:type="auto"/>
            <w:vAlign w:val="center"/>
            <w:hideMark/>
          </w:tcPr>
          <w:p w14:paraId="40CC556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Cu</w:t>
            </w:r>
          </w:p>
        </w:tc>
        <w:tc>
          <w:tcPr>
            <w:tcW w:w="0" w:type="auto"/>
            <w:vAlign w:val="center"/>
            <w:hideMark/>
          </w:tcPr>
          <w:p w14:paraId="79F55FE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1.2</w:t>
            </w:r>
          </w:p>
        </w:tc>
        <w:tc>
          <w:tcPr>
            <w:tcW w:w="0" w:type="auto"/>
            <w:vAlign w:val="center"/>
            <w:hideMark/>
          </w:tcPr>
          <w:p w14:paraId="556D1B0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w:t>
            </w:r>
          </w:p>
        </w:tc>
        <w:tc>
          <w:tcPr>
            <w:tcW w:w="0" w:type="auto"/>
            <w:vAlign w:val="center"/>
            <w:hideMark/>
          </w:tcPr>
          <w:p w14:paraId="55B39E8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1.7</w:t>
            </w:r>
          </w:p>
        </w:tc>
        <w:tc>
          <w:tcPr>
            <w:tcW w:w="0" w:type="auto"/>
            <w:vAlign w:val="center"/>
            <w:hideMark/>
          </w:tcPr>
          <w:p w14:paraId="66D6AFC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1.9</w:t>
            </w:r>
          </w:p>
        </w:tc>
        <w:tc>
          <w:tcPr>
            <w:tcW w:w="0" w:type="auto"/>
            <w:vAlign w:val="center"/>
            <w:hideMark/>
          </w:tcPr>
          <w:p w14:paraId="55238C9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2.1</w:t>
            </w:r>
          </w:p>
        </w:tc>
        <w:tc>
          <w:tcPr>
            <w:tcW w:w="0" w:type="auto"/>
            <w:vAlign w:val="center"/>
            <w:hideMark/>
          </w:tcPr>
          <w:p w14:paraId="4FD44D8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2.3</w:t>
            </w:r>
          </w:p>
        </w:tc>
      </w:tr>
    </w:tbl>
    <w:p w14:paraId="36BB2D93" w14:textId="4D5D4622"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 xml:space="preserve">Ecological risk assessment reveals that cadmium posed the highest </w:t>
      </w:r>
      <w:r w:rsidR="00AD7519" w:rsidRPr="00AD7519">
        <w:rPr>
          <w:rFonts w:ascii="Times New Roman" w:hAnsi="Times New Roman" w:cs="Times New Roman"/>
          <w:sz w:val="24"/>
          <w:szCs w:val="24"/>
        </w:rPr>
        <w:t>environmental</w:t>
      </w:r>
      <w:r w:rsidRPr="00AD7519">
        <w:rPr>
          <w:rFonts w:ascii="Times New Roman" w:hAnsi="Times New Roman" w:cs="Times New Roman"/>
          <w:sz w:val="24"/>
          <w:szCs w:val="24"/>
        </w:rPr>
        <w:t xml:space="preserve"> risk at all sites, with Er values rising sharply from 72.0 at Site 1 to 194.1 at Site 6, corresponding to considerable to very high ecological risk. Lead contributed low to moderate </w:t>
      </w:r>
      <w:r w:rsidR="00AD7519" w:rsidRPr="00AD7519">
        <w:rPr>
          <w:rFonts w:ascii="Times New Roman" w:hAnsi="Times New Roman" w:cs="Times New Roman"/>
          <w:sz w:val="24"/>
          <w:szCs w:val="24"/>
        </w:rPr>
        <w:t>environmental</w:t>
      </w:r>
      <w:r w:rsidRPr="00AD7519">
        <w:rPr>
          <w:rFonts w:ascii="Times New Roman" w:hAnsi="Times New Roman" w:cs="Times New Roman"/>
          <w:sz w:val="24"/>
          <w:szCs w:val="24"/>
        </w:rPr>
        <w:t xml:space="preserve"> risk (Er = 7.9–14.5), while chromium, nickel, and zinc posed low ecological risk across all sites. The cumulative PERI values increased from 85.4 at Site 1 to 217.4 at Site 6, indicating a transition from low </w:t>
      </w:r>
      <w:r w:rsidR="00AD7519" w:rsidRPr="00AD7519">
        <w:rPr>
          <w:rFonts w:ascii="Times New Roman" w:hAnsi="Times New Roman" w:cs="Times New Roman"/>
          <w:sz w:val="24"/>
          <w:szCs w:val="24"/>
        </w:rPr>
        <w:t>to moderate ecological risk, from upstream to</w:t>
      </w:r>
      <w:r w:rsidRPr="00AD7519">
        <w:rPr>
          <w:rFonts w:ascii="Times New Roman" w:hAnsi="Times New Roman" w:cs="Times New Roman"/>
          <w:sz w:val="24"/>
          <w:szCs w:val="24"/>
        </w:rPr>
        <w:t xml:space="preserve"> downstream. This pattern highlights the increasing </w:t>
      </w:r>
      <w:r w:rsidR="00AD7519" w:rsidRPr="00AD7519">
        <w:rPr>
          <w:rFonts w:ascii="Times New Roman" w:hAnsi="Times New Roman" w:cs="Times New Roman"/>
          <w:sz w:val="24"/>
          <w:szCs w:val="24"/>
        </w:rPr>
        <w:t>environmental</w:t>
      </w:r>
      <w:r w:rsidRPr="00AD7519">
        <w:rPr>
          <w:rFonts w:ascii="Times New Roman" w:hAnsi="Times New Roman" w:cs="Times New Roman"/>
          <w:sz w:val="24"/>
          <w:szCs w:val="24"/>
        </w:rPr>
        <w:t xml:space="preserve"> stress associated with sediment contamination toward downstream depositional zones</w:t>
      </w:r>
      <w:r w:rsidR="00AD7519" w:rsidRPr="00AD7519">
        <w:rPr>
          <w:rFonts w:ascii="Times New Roman" w:hAnsi="Times New Roman" w:cs="Times New Roman"/>
          <w:sz w:val="24"/>
          <w:szCs w:val="24"/>
        </w:rPr>
        <w:t>,</w:t>
      </w:r>
      <w:r w:rsidRPr="00AD7519">
        <w:rPr>
          <w:rFonts w:ascii="Times New Roman" w:hAnsi="Times New Roman" w:cs="Times New Roman"/>
          <w:sz w:val="24"/>
          <w:szCs w:val="24"/>
        </w:rPr>
        <w:t xml:space="preserve"> as shown in Table 7. </w:t>
      </w:r>
    </w:p>
    <w:p w14:paraId="45D03F7C" w14:textId="3B4F69E5" w:rsidR="00AC5CB1" w:rsidRPr="00AD7519" w:rsidRDefault="00AC5CB1" w:rsidP="00AD7519">
      <w:pPr>
        <w:pStyle w:val="Heading3"/>
        <w:jc w:val="both"/>
        <w:rPr>
          <w:sz w:val="24"/>
          <w:szCs w:val="24"/>
        </w:rPr>
      </w:pPr>
      <w:r w:rsidRPr="00AD7519">
        <w:rPr>
          <w:rStyle w:val="Strong"/>
          <w:b/>
          <w:bCs/>
          <w:sz w:val="24"/>
          <w:szCs w:val="24"/>
        </w:rPr>
        <w:t>Table 7: Ecological Risk Factor (Er) and PERI</w:t>
      </w:r>
    </w:p>
    <w:tbl>
      <w:tblPr>
        <w:tblW w:w="7847" w:type="dxa"/>
        <w:tblCellSpacing w:w="15" w:type="dxa"/>
        <w:tblCellMar>
          <w:top w:w="15" w:type="dxa"/>
          <w:left w:w="15" w:type="dxa"/>
          <w:bottom w:w="15" w:type="dxa"/>
          <w:right w:w="15" w:type="dxa"/>
        </w:tblCellMar>
        <w:tblLook w:val="04A0" w:firstRow="1" w:lastRow="0" w:firstColumn="1" w:lastColumn="0" w:noHBand="0" w:noVBand="1"/>
      </w:tblPr>
      <w:tblGrid>
        <w:gridCol w:w="1184"/>
        <w:gridCol w:w="1108"/>
        <w:gridCol w:w="1108"/>
        <w:gridCol w:w="1108"/>
        <w:gridCol w:w="1108"/>
        <w:gridCol w:w="1108"/>
        <w:gridCol w:w="1123"/>
      </w:tblGrid>
      <w:tr w:rsidR="00AC5CB1" w:rsidRPr="00AD7519" w14:paraId="72188B69" w14:textId="77777777" w:rsidTr="00AC5CB1">
        <w:trPr>
          <w:trHeight w:val="466"/>
          <w:tblHeader/>
          <w:tblCellSpacing w:w="15" w:type="dxa"/>
        </w:trPr>
        <w:tc>
          <w:tcPr>
            <w:tcW w:w="0" w:type="auto"/>
            <w:vAlign w:val="center"/>
            <w:hideMark/>
          </w:tcPr>
          <w:p w14:paraId="61206524"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Metal</w:t>
            </w:r>
          </w:p>
        </w:tc>
        <w:tc>
          <w:tcPr>
            <w:tcW w:w="0" w:type="auto"/>
            <w:vAlign w:val="center"/>
            <w:hideMark/>
          </w:tcPr>
          <w:p w14:paraId="32D501E7"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1</w:t>
            </w:r>
          </w:p>
        </w:tc>
        <w:tc>
          <w:tcPr>
            <w:tcW w:w="0" w:type="auto"/>
            <w:vAlign w:val="center"/>
            <w:hideMark/>
          </w:tcPr>
          <w:p w14:paraId="30B6BD02"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2</w:t>
            </w:r>
          </w:p>
        </w:tc>
        <w:tc>
          <w:tcPr>
            <w:tcW w:w="0" w:type="auto"/>
            <w:vAlign w:val="center"/>
            <w:hideMark/>
          </w:tcPr>
          <w:p w14:paraId="6D7DB124"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3</w:t>
            </w:r>
          </w:p>
        </w:tc>
        <w:tc>
          <w:tcPr>
            <w:tcW w:w="0" w:type="auto"/>
            <w:vAlign w:val="center"/>
            <w:hideMark/>
          </w:tcPr>
          <w:p w14:paraId="0A01B3DC"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4</w:t>
            </w:r>
          </w:p>
        </w:tc>
        <w:tc>
          <w:tcPr>
            <w:tcW w:w="0" w:type="auto"/>
            <w:vAlign w:val="center"/>
            <w:hideMark/>
          </w:tcPr>
          <w:p w14:paraId="7E5DA31C"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5</w:t>
            </w:r>
          </w:p>
        </w:tc>
        <w:tc>
          <w:tcPr>
            <w:tcW w:w="0" w:type="auto"/>
            <w:vAlign w:val="center"/>
            <w:hideMark/>
          </w:tcPr>
          <w:p w14:paraId="69475F1B" w14:textId="77777777" w:rsidR="00AC5CB1" w:rsidRPr="00AD7519" w:rsidRDefault="00AC5CB1" w:rsidP="00AD7519">
            <w:pPr>
              <w:jc w:val="both"/>
              <w:rPr>
                <w:rFonts w:ascii="Times New Roman" w:hAnsi="Times New Roman" w:cs="Times New Roman"/>
                <w:b/>
                <w:bCs/>
                <w:sz w:val="24"/>
                <w:szCs w:val="24"/>
              </w:rPr>
            </w:pPr>
            <w:r w:rsidRPr="00AD7519">
              <w:rPr>
                <w:rFonts w:ascii="Times New Roman" w:hAnsi="Times New Roman" w:cs="Times New Roman"/>
                <w:b/>
                <w:bCs/>
                <w:sz w:val="24"/>
                <w:szCs w:val="24"/>
              </w:rPr>
              <w:t>Site 6</w:t>
            </w:r>
          </w:p>
        </w:tc>
      </w:tr>
      <w:tr w:rsidR="00AC5CB1" w:rsidRPr="00AD7519" w14:paraId="61F38745" w14:textId="77777777" w:rsidTr="00AC5CB1">
        <w:trPr>
          <w:trHeight w:val="483"/>
          <w:tblCellSpacing w:w="15" w:type="dxa"/>
        </w:trPr>
        <w:tc>
          <w:tcPr>
            <w:tcW w:w="0" w:type="auto"/>
            <w:vAlign w:val="center"/>
            <w:hideMark/>
          </w:tcPr>
          <w:p w14:paraId="32A93DF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Pb</w:t>
            </w:r>
          </w:p>
        </w:tc>
        <w:tc>
          <w:tcPr>
            <w:tcW w:w="0" w:type="auto"/>
            <w:vAlign w:val="center"/>
            <w:hideMark/>
          </w:tcPr>
          <w:p w14:paraId="21BB32A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7.9</w:t>
            </w:r>
          </w:p>
        </w:tc>
        <w:tc>
          <w:tcPr>
            <w:tcW w:w="0" w:type="auto"/>
            <w:vAlign w:val="center"/>
            <w:hideMark/>
          </w:tcPr>
          <w:p w14:paraId="259214A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9.8</w:t>
            </w:r>
          </w:p>
        </w:tc>
        <w:tc>
          <w:tcPr>
            <w:tcW w:w="0" w:type="auto"/>
            <w:vAlign w:val="center"/>
            <w:hideMark/>
          </w:tcPr>
          <w:p w14:paraId="702FB73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11.1</w:t>
            </w:r>
          </w:p>
        </w:tc>
        <w:tc>
          <w:tcPr>
            <w:tcW w:w="0" w:type="auto"/>
            <w:vAlign w:val="center"/>
            <w:hideMark/>
          </w:tcPr>
          <w:p w14:paraId="7194A3A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12.2</w:t>
            </w:r>
          </w:p>
        </w:tc>
        <w:tc>
          <w:tcPr>
            <w:tcW w:w="0" w:type="auto"/>
            <w:vAlign w:val="center"/>
            <w:hideMark/>
          </w:tcPr>
          <w:p w14:paraId="6E5816D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13.1</w:t>
            </w:r>
          </w:p>
        </w:tc>
        <w:tc>
          <w:tcPr>
            <w:tcW w:w="0" w:type="auto"/>
            <w:vAlign w:val="center"/>
            <w:hideMark/>
          </w:tcPr>
          <w:p w14:paraId="4471EF3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14.5</w:t>
            </w:r>
          </w:p>
        </w:tc>
      </w:tr>
      <w:tr w:rsidR="00AC5CB1" w:rsidRPr="00AD7519" w14:paraId="44A5EC5C" w14:textId="77777777" w:rsidTr="00AC5CB1">
        <w:trPr>
          <w:trHeight w:val="466"/>
          <w:tblCellSpacing w:w="15" w:type="dxa"/>
        </w:trPr>
        <w:tc>
          <w:tcPr>
            <w:tcW w:w="0" w:type="auto"/>
            <w:vAlign w:val="center"/>
            <w:hideMark/>
          </w:tcPr>
          <w:p w14:paraId="56993DED"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lastRenderedPageBreak/>
              <w:t>Cd</w:t>
            </w:r>
          </w:p>
        </w:tc>
        <w:tc>
          <w:tcPr>
            <w:tcW w:w="0" w:type="auto"/>
            <w:vAlign w:val="center"/>
            <w:hideMark/>
          </w:tcPr>
          <w:p w14:paraId="4FE9A17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72.0</w:t>
            </w:r>
          </w:p>
        </w:tc>
        <w:tc>
          <w:tcPr>
            <w:tcW w:w="0" w:type="auto"/>
            <w:vAlign w:val="center"/>
            <w:hideMark/>
          </w:tcPr>
          <w:p w14:paraId="50E4091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104.1</w:t>
            </w:r>
          </w:p>
        </w:tc>
        <w:tc>
          <w:tcPr>
            <w:tcW w:w="0" w:type="auto"/>
            <w:vAlign w:val="center"/>
            <w:hideMark/>
          </w:tcPr>
          <w:p w14:paraId="573D1C9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134.1</w:t>
            </w:r>
          </w:p>
        </w:tc>
        <w:tc>
          <w:tcPr>
            <w:tcW w:w="0" w:type="auto"/>
            <w:vAlign w:val="center"/>
            <w:hideMark/>
          </w:tcPr>
          <w:p w14:paraId="5E7F461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156.0</w:t>
            </w:r>
          </w:p>
        </w:tc>
        <w:tc>
          <w:tcPr>
            <w:tcW w:w="0" w:type="auto"/>
            <w:vAlign w:val="center"/>
            <w:hideMark/>
          </w:tcPr>
          <w:p w14:paraId="53AFD942"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171.9</w:t>
            </w:r>
          </w:p>
        </w:tc>
        <w:tc>
          <w:tcPr>
            <w:tcW w:w="0" w:type="auto"/>
            <w:vAlign w:val="center"/>
            <w:hideMark/>
          </w:tcPr>
          <w:p w14:paraId="1C2EA61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194.1</w:t>
            </w:r>
          </w:p>
        </w:tc>
      </w:tr>
      <w:tr w:rsidR="00AC5CB1" w:rsidRPr="00AD7519" w14:paraId="0C6B62E9" w14:textId="77777777" w:rsidTr="00AC5CB1">
        <w:trPr>
          <w:trHeight w:val="466"/>
          <w:tblCellSpacing w:w="15" w:type="dxa"/>
        </w:trPr>
        <w:tc>
          <w:tcPr>
            <w:tcW w:w="0" w:type="auto"/>
            <w:vAlign w:val="center"/>
            <w:hideMark/>
          </w:tcPr>
          <w:p w14:paraId="2C696DE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Cr</w:t>
            </w:r>
          </w:p>
        </w:tc>
        <w:tc>
          <w:tcPr>
            <w:tcW w:w="0" w:type="auto"/>
            <w:vAlign w:val="center"/>
            <w:hideMark/>
          </w:tcPr>
          <w:p w14:paraId="63A8E5CB"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w:t>
            </w:r>
          </w:p>
        </w:tc>
        <w:tc>
          <w:tcPr>
            <w:tcW w:w="0" w:type="auto"/>
            <w:vAlign w:val="center"/>
            <w:hideMark/>
          </w:tcPr>
          <w:p w14:paraId="6184782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1.6</w:t>
            </w:r>
          </w:p>
        </w:tc>
        <w:tc>
          <w:tcPr>
            <w:tcW w:w="0" w:type="auto"/>
            <w:vAlign w:val="center"/>
            <w:hideMark/>
          </w:tcPr>
          <w:p w14:paraId="3202877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1.7</w:t>
            </w:r>
          </w:p>
        </w:tc>
        <w:tc>
          <w:tcPr>
            <w:tcW w:w="0" w:type="auto"/>
            <w:vAlign w:val="center"/>
            <w:hideMark/>
          </w:tcPr>
          <w:p w14:paraId="2613165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1.8</w:t>
            </w:r>
          </w:p>
        </w:tc>
        <w:tc>
          <w:tcPr>
            <w:tcW w:w="0" w:type="auto"/>
            <w:vAlign w:val="center"/>
            <w:hideMark/>
          </w:tcPr>
          <w:p w14:paraId="454D50CA"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1.9</w:t>
            </w:r>
          </w:p>
        </w:tc>
        <w:tc>
          <w:tcPr>
            <w:tcW w:w="0" w:type="auto"/>
            <w:vAlign w:val="center"/>
            <w:hideMark/>
          </w:tcPr>
          <w:p w14:paraId="422123E8"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2.0</w:t>
            </w:r>
          </w:p>
        </w:tc>
      </w:tr>
      <w:tr w:rsidR="00AC5CB1" w:rsidRPr="00AD7519" w14:paraId="28EC7FAB" w14:textId="77777777" w:rsidTr="00AC5CB1">
        <w:trPr>
          <w:trHeight w:val="483"/>
          <w:tblCellSpacing w:w="15" w:type="dxa"/>
        </w:trPr>
        <w:tc>
          <w:tcPr>
            <w:tcW w:w="0" w:type="auto"/>
            <w:vAlign w:val="center"/>
            <w:hideMark/>
          </w:tcPr>
          <w:p w14:paraId="0EBE4024"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Ni</w:t>
            </w:r>
          </w:p>
        </w:tc>
        <w:tc>
          <w:tcPr>
            <w:tcW w:w="0" w:type="auto"/>
            <w:vAlign w:val="center"/>
            <w:hideMark/>
          </w:tcPr>
          <w:p w14:paraId="33AF611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3.0</w:t>
            </w:r>
          </w:p>
        </w:tc>
        <w:tc>
          <w:tcPr>
            <w:tcW w:w="0" w:type="auto"/>
            <w:vAlign w:val="center"/>
            <w:hideMark/>
          </w:tcPr>
          <w:p w14:paraId="6A2CC283"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3.6</w:t>
            </w:r>
          </w:p>
        </w:tc>
        <w:tc>
          <w:tcPr>
            <w:tcW w:w="0" w:type="auto"/>
            <w:vAlign w:val="center"/>
            <w:hideMark/>
          </w:tcPr>
          <w:p w14:paraId="522F11E7"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4.2</w:t>
            </w:r>
          </w:p>
        </w:tc>
        <w:tc>
          <w:tcPr>
            <w:tcW w:w="0" w:type="auto"/>
            <w:vAlign w:val="center"/>
            <w:hideMark/>
          </w:tcPr>
          <w:p w14:paraId="72CE9D7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4.5</w:t>
            </w:r>
          </w:p>
        </w:tc>
        <w:tc>
          <w:tcPr>
            <w:tcW w:w="0" w:type="auto"/>
            <w:vAlign w:val="center"/>
            <w:hideMark/>
          </w:tcPr>
          <w:p w14:paraId="7B7CA4B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4.8</w:t>
            </w:r>
          </w:p>
        </w:tc>
        <w:tc>
          <w:tcPr>
            <w:tcW w:w="0" w:type="auto"/>
            <w:vAlign w:val="center"/>
            <w:hideMark/>
          </w:tcPr>
          <w:p w14:paraId="77C703DF"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5.1</w:t>
            </w:r>
          </w:p>
        </w:tc>
      </w:tr>
      <w:tr w:rsidR="00AC5CB1" w:rsidRPr="00AD7519" w14:paraId="357F38D0" w14:textId="77777777" w:rsidTr="00AC5CB1">
        <w:trPr>
          <w:trHeight w:val="466"/>
          <w:tblCellSpacing w:w="15" w:type="dxa"/>
        </w:trPr>
        <w:tc>
          <w:tcPr>
            <w:tcW w:w="0" w:type="auto"/>
            <w:vAlign w:val="center"/>
            <w:hideMark/>
          </w:tcPr>
          <w:p w14:paraId="13EA8E2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Zn</w:t>
            </w:r>
          </w:p>
        </w:tc>
        <w:tc>
          <w:tcPr>
            <w:tcW w:w="0" w:type="auto"/>
            <w:vAlign w:val="center"/>
            <w:hideMark/>
          </w:tcPr>
          <w:p w14:paraId="285B34A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1.0</w:t>
            </w:r>
          </w:p>
        </w:tc>
        <w:tc>
          <w:tcPr>
            <w:tcW w:w="0" w:type="auto"/>
            <w:vAlign w:val="center"/>
            <w:hideMark/>
          </w:tcPr>
          <w:p w14:paraId="4DFF81AC"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1.2</w:t>
            </w:r>
          </w:p>
        </w:tc>
        <w:tc>
          <w:tcPr>
            <w:tcW w:w="0" w:type="auto"/>
            <w:vAlign w:val="center"/>
            <w:hideMark/>
          </w:tcPr>
          <w:p w14:paraId="5E1E7441"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1.3</w:t>
            </w:r>
          </w:p>
        </w:tc>
        <w:tc>
          <w:tcPr>
            <w:tcW w:w="0" w:type="auto"/>
            <w:vAlign w:val="center"/>
            <w:hideMark/>
          </w:tcPr>
          <w:p w14:paraId="515EDA79"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1.5</w:t>
            </w:r>
          </w:p>
        </w:tc>
        <w:tc>
          <w:tcPr>
            <w:tcW w:w="0" w:type="auto"/>
            <w:vAlign w:val="center"/>
            <w:hideMark/>
          </w:tcPr>
          <w:p w14:paraId="3EF02D46"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1.6</w:t>
            </w:r>
          </w:p>
        </w:tc>
        <w:tc>
          <w:tcPr>
            <w:tcW w:w="0" w:type="auto"/>
            <w:vAlign w:val="center"/>
            <w:hideMark/>
          </w:tcPr>
          <w:p w14:paraId="1F059DB0" w14:textId="77777777" w:rsidR="00AC5CB1" w:rsidRPr="00AD7519" w:rsidRDefault="00AC5CB1" w:rsidP="00AD7519">
            <w:pPr>
              <w:jc w:val="both"/>
              <w:rPr>
                <w:rFonts w:ascii="Times New Roman" w:hAnsi="Times New Roman" w:cs="Times New Roman"/>
                <w:sz w:val="24"/>
                <w:szCs w:val="24"/>
              </w:rPr>
            </w:pPr>
            <w:r w:rsidRPr="00AD7519">
              <w:rPr>
                <w:rFonts w:ascii="Times New Roman" w:hAnsi="Times New Roman" w:cs="Times New Roman"/>
                <w:sz w:val="24"/>
                <w:szCs w:val="24"/>
              </w:rPr>
              <w:t>1.7</w:t>
            </w:r>
          </w:p>
        </w:tc>
      </w:tr>
      <w:tr w:rsidR="00AC5CB1" w:rsidRPr="00AD7519" w14:paraId="649FFF2B" w14:textId="77777777" w:rsidTr="00AC5CB1">
        <w:trPr>
          <w:trHeight w:val="466"/>
          <w:tblCellSpacing w:w="15" w:type="dxa"/>
        </w:trPr>
        <w:tc>
          <w:tcPr>
            <w:tcW w:w="0" w:type="auto"/>
            <w:vAlign w:val="center"/>
          </w:tcPr>
          <w:p w14:paraId="744CB4D3" w14:textId="6EA9FCD0" w:rsidR="00AC5CB1" w:rsidRPr="00AD7519" w:rsidRDefault="00AD7519" w:rsidP="00AD7519">
            <w:pPr>
              <w:jc w:val="both"/>
              <w:rPr>
                <w:rFonts w:ascii="Times New Roman" w:hAnsi="Times New Roman" w:cs="Times New Roman"/>
                <w:sz w:val="24"/>
                <w:szCs w:val="24"/>
              </w:rPr>
            </w:pPr>
            <w:r w:rsidRPr="00AD7519">
              <w:rPr>
                <w:rFonts w:ascii="Times New Roman" w:hAnsi="Times New Roman" w:cs="Times New Roman"/>
                <w:sz w:val="24"/>
                <w:szCs w:val="24"/>
              </w:rPr>
              <w:t xml:space="preserve">PERI </w:t>
            </w:r>
          </w:p>
        </w:tc>
        <w:tc>
          <w:tcPr>
            <w:tcW w:w="0" w:type="auto"/>
            <w:vAlign w:val="center"/>
          </w:tcPr>
          <w:p w14:paraId="3DC202A1" w14:textId="69B9C8CA" w:rsidR="00AC5CB1" w:rsidRPr="00AD7519" w:rsidRDefault="00AD7519" w:rsidP="00AD7519">
            <w:pPr>
              <w:jc w:val="both"/>
              <w:rPr>
                <w:rFonts w:ascii="Times New Roman" w:hAnsi="Times New Roman" w:cs="Times New Roman"/>
                <w:sz w:val="24"/>
                <w:szCs w:val="24"/>
              </w:rPr>
            </w:pPr>
            <w:r w:rsidRPr="00AD7519">
              <w:rPr>
                <w:rFonts w:ascii="Times New Roman" w:hAnsi="Times New Roman" w:cs="Times New Roman"/>
                <w:sz w:val="24"/>
                <w:szCs w:val="24"/>
              </w:rPr>
              <w:t>85.4</w:t>
            </w:r>
          </w:p>
        </w:tc>
        <w:tc>
          <w:tcPr>
            <w:tcW w:w="0" w:type="auto"/>
            <w:vAlign w:val="center"/>
          </w:tcPr>
          <w:p w14:paraId="56EBBD9E" w14:textId="4FCE19CE" w:rsidR="00AC5CB1" w:rsidRPr="00AD7519" w:rsidRDefault="00AD7519" w:rsidP="00AD7519">
            <w:pPr>
              <w:jc w:val="both"/>
              <w:rPr>
                <w:rFonts w:ascii="Times New Roman" w:hAnsi="Times New Roman" w:cs="Times New Roman"/>
                <w:sz w:val="24"/>
                <w:szCs w:val="24"/>
              </w:rPr>
            </w:pPr>
            <w:r w:rsidRPr="00AD7519">
              <w:rPr>
                <w:rFonts w:ascii="Times New Roman" w:hAnsi="Times New Roman" w:cs="Times New Roman"/>
                <w:sz w:val="24"/>
                <w:szCs w:val="24"/>
              </w:rPr>
              <w:t>120.3</w:t>
            </w:r>
          </w:p>
        </w:tc>
        <w:tc>
          <w:tcPr>
            <w:tcW w:w="0" w:type="auto"/>
            <w:vAlign w:val="center"/>
          </w:tcPr>
          <w:p w14:paraId="2CD63C27" w14:textId="6EE86F48" w:rsidR="00AC5CB1" w:rsidRPr="00AD7519" w:rsidRDefault="00AD7519" w:rsidP="00AD7519">
            <w:pPr>
              <w:jc w:val="both"/>
              <w:rPr>
                <w:rFonts w:ascii="Times New Roman" w:hAnsi="Times New Roman" w:cs="Times New Roman"/>
                <w:sz w:val="24"/>
                <w:szCs w:val="24"/>
              </w:rPr>
            </w:pPr>
            <w:r w:rsidRPr="00AD7519">
              <w:rPr>
                <w:rFonts w:ascii="Times New Roman" w:hAnsi="Times New Roman" w:cs="Times New Roman"/>
                <w:sz w:val="24"/>
                <w:szCs w:val="24"/>
              </w:rPr>
              <w:t>152.4</w:t>
            </w:r>
          </w:p>
        </w:tc>
        <w:tc>
          <w:tcPr>
            <w:tcW w:w="0" w:type="auto"/>
            <w:vAlign w:val="center"/>
          </w:tcPr>
          <w:p w14:paraId="31CE7145" w14:textId="5AA93C0D" w:rsidR="00AC5CB1" w:rsidRPr="00AD7519" w:rsidRDefault="00AD7519" w:rsidP="00AD7519">
            <w:pPr>
              <w:jc w:val="both"/>
              <w:rPr>
                <w:rFonts w:ascii="Times New Roman" w:hAnsi="Times New Roman" w:cs="Times New Roman"/>
                <w:sz w:val="24"/>
                <w:szCs w:val="24"/>
              </w:rPr>
            </w:pPr>
            <w:r w:rsidRPr="00AD7519">
              <w:rPr>
                <w:rFonts w:ascii="Times New Roman" w:hAnsi="Times New Roman" w:cs="Times New Roman"/>
                <w:sz w:val="24"/>
                <w:szCs w:val="24"/>
              </w:rPr>
              <w:t>176.0</w:t>
            </w:r>
          </w:p>
        </w:tc>
        <w:tc>
          <w:tcPr>
            <w:tcW w:w="0" w:type="auto"/>
            <w:vAlign w:val="center"/>
          </w:tcPr>
          <w:p w14:paraId="57DC3A62" w14:textId="534B096B" w:rsidR="00AC5CB1" w:rsidRPr="00AD7519" w:rsidRDefault="00AD7519" w:rsidP="00AD7519">
            <w:pPr>
              <w:jc w:val="both"/>
              <w:rPr>
                <w:rFonts w:ascii="Times New Roman" w:hAnsi="Times New Roman" w:cs="Times New Roman"/>
                <w:sz w:val="24"/>
                <w:szCs w:val="24"/>
              </w:rPr>
            </w:pPr>
            <w:r w:rsidRPr="00AD7519">
              <w:rPr>
                <w:rFonts w:ascii="Times New Roman" w:hAnsi="Times New Roman" w:cs="Times New Roman"/>
                <w:sz w:val="24"/>
                <w:szCs w:val="24"/>
              </w:rPr>
              <w:t>193.3</w:t>
            </w:r>
          </w:p>
        </w:tc>
        <w:tc>
          <w:tcPr>
            <w:tcW w:w="0" w:type="auto"/>
            <w:vAlign w:val="center"/>
          </w:tcPr>
          <w:p w14:paraId="36B8A508" w14:textId="46F767C0" w:rsidR="00AC5CB1" w:rsidRPr="00AD7519" w:rsidRDefault="00AD7519" w:rsidP="00AD7519">
            <w:pPr>
              <w:jc w:val="both"/>
              <w:rPr>
                <w:rFonts w:ascii="Times New Roman" w:hAnsi="Times New Roman" w:cs="Times New Roman"/>
                <w:sz w:val="24"/>
                <w:szCs w:val="24"/>
              </w:rPr>
            </w:pPr>
            <w:r w:rsidRPr="00AD7519">
              <w:rPr>
                <w:rFonts w:ascii="Times New Roman" w:hAnsi="Times New Roman" w:cs="Times New Roman"/>
                <w:sz w:val="24"/>
                <w:szCs w:val="24"/>
              </w:rPr>
              <w:t>217.4</w:t>
            </w:r>
          </w:p>
        </w:tc>
      </w:tr>
    </w:tbl>
    <w:p w14:paraId="71A4121F" w14:textId="77777777" w:rsidR="00AC5CB1" w:rsidRPr="00F72B21" w:rsidRDefault="00AC5CB1" w:rsidP="00AD751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F6E505E" w14:textId="71910620" w:rsidR="00B20E8E" w:rsidRPr="00AD7519" w:rsidRDefault="00B20E8E" w:rsidP="00AD7519">
      <w:pPr>
        <w:jc w:val="both"/>
        <w:rPr>
          <w:rFonts w:ascii="Times New Roman" w:hAnsi="Times New Roman" w:cs="Times New Roman"/>
          <w:sz w:val="24"/>
          <w:szCs w:val="24"/>
        </w:rPr>
      </w:pPr>
    </w:p>
    <w:p w14:paraId="328C0BC8" w14:textId="77777777" w:rsidR="00AC5CB1" w:rsidRPr="00AD7519" w:rsidRDefault="00AC5CB1" w:rsidP="00AD7519">
      <w:pPr>
        <w:pStyle w:val="Heading3"/>
        <w:jc w:val="both"/>
        <w:rPr>
          <w:sz w:val="24"/>
          <w:szCs w:val="24"/>
        </w:rPr>
      </w:pPr>
      <w:r w:rsidRPr="00AD7519">
        <w:rPr>
          <w:rStyle w:val="Strong"/>
          <w:b/>
          <w:bCs/>
          <w:sz w:val="24"/>
          <w:szCs w:val="24"/>
        </w:rPr>
        <w:t>4.0 Discussion</w:t>
      </w:r>
    </w:p>
    <w:p w14:paraId="41ACBB2B" w14:textId="77777777" w:rsidR="00AC5CB1" w:rsidRPr="00AD7519" w:rsidRDefault="00AC5CB1" w:rsidP="00AD7519">
      <w:pPr>
        <w:pStyle w:val="NormalWeb"/>
        <w:jc w:val="both"/>
      </w:pPr>
      <w:r w:rsidRPr="00AD7519">
        <w:t>The physicochemical characteristics of the stream sediments reflect hydrodynamic sorting and depositional processes typical of Niger Delta river systems. The progressive increase in pH, electrical conductivity, and organic matter content from upstream to downstream sites indicates enhanced accumulation of dissolved ions and organic debris in lower-energy environments, a pattern widely reported for rivers influenced by mixed rural and semi-urban activities in the Niger Delta (</w:t>
      </w:r>
      <w:proofErr w:type="spellStart"/>
      <w:r w:rsidRPr="00AD7519">
        <w:t>Ekesiobi</w:t>
      </w:r>
      <w:proofErr w:type="spellEnd"/>
      <w:r w:rsidRPr="00AD7519">
        <w:t xml:space="preserve"> et al., 2025; </w:t>
      </w:r>
      <w:proofErr w:type="spellStart"/>
      <w:r w:rsidRPr="00AD7519">
        <w:t>Osuafor</w:t>
      </w:r>
      <w:proofErr w:type="spellEnd"/>
      <w:r w:rsidRPr="00AD7519">
        <w:t xml:space="preserve"> et al., 2025). Similar downstream enrichment trends have also been documented in sediment and water studies from Rivers and Bayelsa States, where hydrological gradients control contaminant retention (Okagbare et al., 2025; Ekpe et al., 2025).</w:t>
      </w:r>
    </w:p>
    <w:p w14:paraId="1A952D5A" w14:textId="77777777" w:rsidR="00AC5CB1" w:rsidRPr="00AD7519" w:rsidRDefault="00AC5CB1" w:rsidP="00AD7519">
      <w:pPr>
        <w:pStyle w:val="NormalWeb"/>
        <w:jc w:val="both"/>
      </w:pPr>
      <w:r w:rsidRPr="00AD7519">
        <w:t>The observed increase in heavy-metal concentrations toward downstream sites suggests cumulative inputs from diffuse anthropogenic sources and sediment focusing. Comparable enrichment patterns for Fe, Mn, Zn, Cu, Pb, and Cd have been reported in estuarine and riverine sediments across the Niger Delta, where natural lithogenic contributions are augmented by human activities (</w:t>
      </w:r>
      <w:proofErr w:type="spellStart"/>
      <w:r w:rsidRPr="00AD7519">
        <w:t>Okpoji</w:t>
      </w:r>
      <w:proofErr w:type="spellEnd"/>
      <w:r w:rsidRPr="00AD7519">
        <w:t xml:space="preserve"> et al., 2025a; </w:t>
      </w:r>
      <w:proofErr w:type="spellStart"/>
      <w:r w:rsidRPr="00AD7519">
        <w:t>Umueni</w:t>
      </w:r>
      <w:proofErr w:type="spellEnd"/>
      <w:r w:rsidRPr="00AD7519">
        <w:t xml:space="preserve"> et al., 2025). Studies in nearby aquatic systems have shown that fine-grained, organic-rich sediments preferentially bind metals, explaining the strong association between increasing silt content, organic matter, and metal concentrations observed in this study (</w:t>
      </w:r>
      <w:proofErr w:type="spellStart"/>
      <w:r w:rsidRPr="00AD7519">
        <w:t>Aghanwa</w:t>
      </w:r>
      <w:proofErr w:type="spellEnd"/>
      <w:r w:rsidRPr="00AD7519">
        <w:t xml:space="preserve"> et al., 2025; </w:t>
      </w:r>
      <w:proofErr w:type="spellStart"/>
      <w:r w:rsidRPr="00AD7519">
        <w:t>Okpoji</w:t>
      </w:r>
      <w:proofErr w:type="spellEnd"/>
      <w:r w:rsidRPr="00AD7519">
        <w:t xml:space="preserve"> et al., 2025b).</w:t>
      </w:r>
    </w:p>
    <w:p w14:paraId="67F9892B" w14:textId="77777777" w:rsidR="00AC5CB1" w:rsidRPr="00AD7519" w:rsidRDefault="00AC5CB1" w:rsidP="00AD7519">
      <w:pPr>
        <w:pStyle w:val="NormalWeb"/>
        <w:jc w:val="both"/>
      </w:pPr>
      <w:r w:rsidRPr="00AD7519">
        <w:t>Contamination factor and geo-accumulation index results clearly identify cadmium as the most critical contaminant, with moderate to strong contamination at downstream locations. This agrees with findings from sediment and biota studies in the Niger Delta, where cadmium consistently exhibits disproportionate ecological significance despite relatively low absolute concentrations (</w:t>
      </w:r>
      <w:proofErr w:type="spellStart"/>
      <w:r w:rsidRPr="00AD7519">
        <w:t>Anarado</w:t>
      </w:r>
      <w:proofErr w:type="spellEnd"/>
      <w:r w:rsidRPr="00AD7519">
        <w:t xml:space="preserve"> et al., 2023; </w:t>
      </w:r>
      <w:proofErr w:type="spellStart"/>
      <w:r w:rsidRPr="00AD7519">
        <w:t>Okpoji</w:t>
      </w:r>
      <w:proofErr w:type="spellEnd"/>
      <w:r w:rsidRPr="00AD7519">
        <w:t xml:space="preserve"> et al., 2025c). Moderate contamination by lead and zinc observed in this study aligns with reports from urban rivers and estuaries impacted by domestic waste, traffic emissions, and diffuse industrial activities (</w:t>
      </w:r>
      <w:proofErr w:type="spellStart"/>
      <w:r w:rsidRPr="00AD7519">
        <w:t>Okpoji</w:t>
      </w:r>
      <w:proofErr w:type="spellEnd"/>
      <w:r w:rsidRPr="00AD7519">
        <w:t xml:space="preserve"> et al., 2025d; Onoja et al., 2025).</w:t>
      </w:r>
    </w:p>
    <w:p w14:paraId="6B102EA7" w14:textId="77777777" w:rsidR="00AC5CB1" w:rsidRPr="00AD7519" w:rsidRDefault="00AC5CB1" w:rsidP="00AD7519">
      <w:pPr>
        <w:pStyle w:val="NormalWeb"/>
        <w:jc w:val="both"/>
      </w:pPr>
      <w:r w:rsidRPr="00AD7519">
        <w:t xml:space="preserve">Enrichment factor analysis further confirms the anthropogenic origin of cadmium and lead, while chromium and nickel remain largely within natural background influence. Similar EF patterns have been reported for sediments receiving mixed atmospheric and surface inputs, </w:t>
      </w:r>
      <w:r w:rsidRPr="00AD7519">
        <w:lastRenderedPageBreak/>
        <w:t>particularly in areas affected by gas flaring and urban runoff (</w:t>
      </w:r>
      <w:proofErr w:type="spellStart"/>
      <w:r w:rsidRPr="00AD7519">
        <w:t>Aghanwa</w:t>
      </w:r>
      <w:proofErr w:type="spellEnd"/>
      <w:r w:rsidRPr="00AD7519">
        <w:t xml:space="preserve"> et al., 2025; </w:t>
      </w:r>
      <w:proofErr w:type="spellStart"/>
      <w:r w:rsidRPr="00AD7519">
        <w:t>Okpoji</w:t>
      </w:r>
      <w:proofErr w:type="spellEnd"/>
      <w:r w:rsidRPr="00AD7519">
        <w:t xml:space="preserve"> et al., 2025e). Studies on sediment geochemical speciation have demonstrated that such anthropogenically enriched metals are often present in more bioavailable fractions, increasing their ecological relevance (</w:t>
      </w:r>
      <w:proofErr w:type="spellStart"/>
      <w:r w:rsidRPr="00AD7519">
        <w:t>Okpoji</w:t>
      </w:r>
      <w:proofErr w:type="spellEnd"/>
      <w:r w:rsidRPr="00AD7519">
        <w:t xml:space="preserve"> et al., 2025f; </w:t>
      </w:r>
      <w:proofErr w:type="spellStart"/>
      <w:r w:rsidRPr="00AD7519">
        <w:t>Umueni</w:t>
      </w:r>
      <w:proofErr w:type="spellEnd"/>
      <w:r w:rsidRPr="00AD7519">
        <w:t xml:space="preserve"> et al., 2025).</w:t>
      </w:r>
    </w:p>
    <w:p w14:paraId="66DABC6B" w14:textId="77777777" w:rsidR="00AC5CB1" w:rsidRPr="00AD7519" w:rsidRDefault="00AC5CB1" w:rsidP="00AD7519">
      <w:pPr>
        <w:pStyle w:val="NormalWeb"/>
        <w:jc w:val="both"/>
      </w:pPr>
      <w:r w:rsidRPr="00AD7519">
        <w:t>The ecological risk assessment highlights cadmium as the dominant contributor to overall ecological risk, with increasing Er and PERI values downstream. This finding is consistent with regional ecological risk studies that report cadmium as a primary driver of sediment-related ecological stress in the Niger Delta (</w:t>
      </w:r>
      <w:proofErr w:type="spellStart"/>
      <w:r w:rsidRPr="00AD7519">
        <w:t>Umueni</w:t>
      </w:r>
      <w:proofErr w:type="spellEnd"/>
      <w:r w:rsidRPr="00AD7519">
        <w:t xml:space="preserve"> et al., 2025; </w:t>
      </w:r>
      <w:proofErr w:type="spellStart"/>
      <w:r w:rsidRPr="00AD7519">
        <w:t>Okpoji</w:t>
      </w:r>
      <w:proofErr w:type="spellEnd"/>
      <w:r w:rsidRPr="00AD7519">
        <w:t xml:space="preserve"> et al., 2025f). Comparable PERI ranges indicating low to moderate ecological risk have been reported for rivers and estuaries subjected to sustained but moderate anthropogenic pressure (</w:t>
      </w:r>
      <w:proofErr w:type="spellStart"/>
      <w:r w:rsidRPr="00AD7519">
        <w:t>Ogbaji</w:t>
      </w:r>
      <w:proofErr w:type="spellEnd"/>
      <w:r w:rsidRPr="00AD7519">
        <w:t xml:space="preserve"> et al., 2025; </w:t>
      </w:r>
      <w:proofErr w:type="spellStart"/>
      <w:r w:rsidRPr="00AD7519">
        <w:t>Umueni</w:t>
      </w:r>
      <w:proofErr w:type="spellEnd"/>
      <w:r w:rsidRPr="00AD7519">
        <w:t xml:space="preserve"> et al., 2025).</w:t>
      </w:r>
    </w:p>
    <w:p w14:paraId="707B4988" w14:textId="77777777" w:rsidR="00AC5CB1" w:rsidRPr="00AD7519" w:rsidRDefault="00AC5CB1" w:rsidP="00AD7519">
      <w:pPr>
        <w:pStyle w:val="NormalWeb"/>
        <w:jc w:val="both"/>
      </w:pPr>
      <w:r w:rsidRPr="00AD7519">
        <w:t>Ecotoxicological implications of the observed sediment contamination are supported by biomarker and bioaccumulation studies from Niger Delta aquatic systems, which demonstrate that chronic exposure to sediment-bound metals induces oxidative stress, tissue damage, and impaired physiological functions in benthic organisms and fish (</w:t>
      </w:r>
      <w:proofErr w:type="spellStart"/>
      <w:r w:rsidRPr="00AD7519">
        <w:t>Ohaturuonye</w:t>
      </w:r>
      <w:proofErr w:type="spellEnd"/>
      <w:r w:rsidRPr="00AD7519">
        <w:t xml:space="preserve"> et al., 2025; </w:t>
      </w:r>
      <w:proofErr w:type="spellStart"/>
      <w:r w:rsidRPr="00AD7519">
        <w:t>Okpoji</w:t>
      </w:r>
      <w:proofErr w:type="spellEnd"/>
      <w:r w:rsidRPr="00AD7519">
        <w:t xml:space="preserve"> et al., 2025c). Such effects compromise ecosystem health and may reduce fisheries productivity, a concern echoed in studies linking sediment contamination to trophic transfer and human exposure through aquatic food resources (John et al., 2025; </w:t>
      </w:r>
      <w:proofErr w:type="spellStart"/>
      <w:r w:rsidRPr="00AD7519">
        <w:t>Ekwere</w:t>
      </w:r>
      <w:proofErr w:type="spellEnd"/>
      <w:r w:rsidRPr="00AD7519">
        <w:t xml:space="preserve"> et al., 2025a; </w:t>
      </w:r>
      <w:proofErr w:type="spellStart"/>
      <w:r w:rsidRPr="00AD7519">
        <w:t>Ekwere</w:t>
      </w:r>
      <w:proofErr w:type="spellEnd"/>
      <w:r w:rsidRPr="00AD7519">
        <w:t xml:space="preserve"> et al., 2025b).</w:t>
      </w:r>
    </w:p>
    <w:p w14:paraId="44C0DF7E" w14:textId="3C51EEA1" w:rsidR="00AC5CB1" w:rsidRPr="00AD7519" w:rsidRDefault="00AC5CB1" w:rsidP="00AD7519">
      <w:pPr>
        <w:pStyle w:val="NormalWeb"/>
        <w:jc w:val="both"/>
      </w:pPr>
      <w:r w:rsidRPr="00AD7519">
        <w:t>The results of this study align closely with existing evidence from water, sediment, and biota investigations across the Niger Delta, reinforcing the need for integrated sediment-focused monitoring and management strategies to mitigate long-term ecological and public-health risks (</w:t>
      </w:r>
      <w:proofErr w:type="spellStart"/>
      <w:r w:rsidRPr="00AD7519">
        <w:t>Ekesiobi</w:t>
      </w:r>
      <w:proofErr w:type="spellEnd"/>
      <w:r w:rsidRPr="00AD7519">
        <w:t xml:space="preserve"> et al., 2025; </w:t>
      </w:r>
      <w:proofErr w:type="spellStart"/>
      <w:r w:rsidRPr="00AD7519">
        <w:t>Okpoji</w:t>
      </w:r>
      <w:proofErr w:type="spellEnd"/>
      <w:r w:rsidRPr="00AD7519">
        <w:t xml:space="preserve"> et al., 2025g; </w:t>
      </w:r>
      <w:proofErr w:type="spellStart"/>
      <w:r w:rsidRPr="00AD7519">
        <w:t>Okpoji</w:t>
      </w:r>
      <w:proofErr w:type="spellEnd"/>
      <w:r w:rsidRPr="00AD7519">
        <w:t xml:space="preserve"> et al., 2025h).</w:t>
      </w:r>
    </w:p>
    <w:p w14:paraId="3152D7DA" w14:textId="77777777" w:rsidR="00AC5CB1" w:rsidRPr="00AD7519" w:rsidRDefault="00AC5CB1" w:rsidP="00AD7519">
      <w:pPr>
        <w:pStyle w:val="Heading3"/>
        <w:jc w:val="both"/>
        <w:rPr>
          <w:sz w:val="24"/>
          <w:szCs w:val="24"/>
        </w:rPr>
      </w:pPr>
      <w:r w:rsidRPr="00AD7519">
        <w:rPr>
          <w:rStyle w:val="Strong"/>
          <w:b/>
          <w:bCs/>
          <w:sz w:val="24"/>
          <w:szCs w:val="24"/>
        </w:rPr>
        <w:t>5.0 Conclusion</w:t>
      </w:r>
    </w:p>
    <w:p w14:paraId="522FA641" w14:textId="77777777" w:rsidR="00AC5CB1" w:rsidRPr="00AD7519" w:rsidRDefault="00AC5CB1" w:rsidP="00AD7519">
      <w:pPr>
        <w:pStyle w:val="NormalWeb"/>
        <w:jc w:val="both"/>
      </w:pPr>
      <w:r w:rsidRPr="00AD7519">
        <w:t>This study provides a comprehensive evaluation of the geochemical characteristics and ecological risks of stream sediments in Rivers State, Niger Delta. The results show clear spatial variation in sediment properties and heavy-metal concentrations, with progressive enrichment from upstream to downstream locations. Sediment texture, organic matter content, and increasing ionic strength collectively influenced metal accumulation and retention, highlighting the role of hydrodynamic and depositional processes in controlling sediment quality.</w:t>
      </w:r>
    </w:p>
    <w:p w14:paraId="0909E036" w14:textId="37F206CD" w:rsidR="00AC5CB1" w:rsidRPr="00AD7519" w:rsidRDefault="00AC5CB1" w:rsidP="00AD7519">
      <w:pPr>
        <w:pStyle w:val="NormalWeb"/>
        <w:jc w:val="both"/>
      </w:pPr>
      <w:r w:rsidRPr="00AD7519">
        <w:t>Among the analysed metals, cadmium emerged as the most environmentally significant contaminant. Although present at relatively low absolute concentrations, cadmium exhibited the highest contamination factors, enrichment factors, geo-accumulation indices, and ecological risk values across all sites. Lead and zinc showed moderate levels of contamination and enrichment, while chromium and nickel largely reflected natural geochemical backgrounds. The cumulative potential ecological risk index indicated a transition from low ecological risk upstream to moderate ecological risk downstream, emphasising localised zones of increased environmental stress.</w:t>
      </w:r>
    </w:p>
    <w:p w14:paraId="5AEB2DDD" w14:textId="77777777" w:rsidR="00AC5CB1" w:rsidRPr="00AD7519" w:rsidRDefault="00AC5CB1" w:rsidP="00AD7519">
      <w:pPr>
        <w:pStyle w:val="NormalWeb"/>
        <w:jc w:val="both"/>
      </w:pPr>
      <w:r w:rsidRPr="00AD7519">
        <w:t xml:space="preserve">The findings demonstrate that stream sediments act as both sinks and potential secondary sources of contaminants, with implications for benthic organisms and higher trophic levels. Persistent accumulation of toxic metals, particularly cadmium, may pose long-term ecological risks if unchecked. Consequently, regular sediment monitoring, control of diffuse </w:t>
      </w:r>
      <w:r w:rsidRPr="00AD7519">
        <w:lastRenderedPageBreak/>
        <w:t>anthropogenic inputs, and the incorporation of sediment quality into river management frameworks are strongly recommended to safeguard aquatic ecosystem health and ensure sustainable use of riverine resources in the Niger Delta.</w:t>
      </w:r>
    </w:p>
    <w:p w14:paraId="30A141C6" w14:textId="77777777" w:rsidR="00AD7519" w:rsidRPr="00247942" w:rsidRDefault="00AD7519" w:rsidP="00AD7519">
      <w:pPr>
        <w:rPr>
          <w:rFonts w:ascii="Times New Roman" w:hAnsi="Times New Roman" w:cs="Times New Roman"/>
          <w:b/>
          <w:bCs/>
          <w:sz w:val="24"/>
          <w:szCs w:val="24"/>
        </w:rPr>
      </w:pPr>
      <w:r w:rsidRPr="00247942">
        <w:rPr>
          <w:rFonts w:ascii="Times New Roman" w:hAnsi="Times New Roman" w:cs="Times New Roman"/>
          <w:b/>
          <w:bCs/>
          <w:sz w:val="24"/>
          <w:szCs w:val="24"/>
        </w:rPr>
        <w:t xml:space="preserve">References </w:t>
      </w:r>
    </w:p>
    <w:p w14:paraId="356522D8" w14:textId="3B774ACC" w:rsidR="00AD7519" w:rsidRPr="00AF7428" w:rsidRDefault="000A41EA" w:rsidP="003600CA">
      <w:pPr>
        <w:pStyle w:val="NormalWeb"/>
        <w:spacing w:line="276" w:lineRule="auto"/>
        <w:jc w:val="both"/>
      </w:pPr>
      <w:proofErr w:type="spellStart"/>
      <w:r w:rsidRPr="000A41EA">
        <w:t>Aghanwa</w:t>
      </w:r>
      <w:proofErr w:type="spellEnd"/>
      <w:r w:rsidRPr="000A41EA">
        <w:t xml:space="preserve">, C. I., </w:t>
      </w:r>
      <w:proofErr w:type="spellStart"/>
      <w:r w:rsidRPr="000A41EA">
        <w:t>Umueni</w:t>
      </w:r>
      <w:proofErr w:type="spellEnd"/>
      <w:r w:rsidRPr="000A41EA">
        <w:t xml:space="preserve">, U. E., </w:t>
      </w:r>
      <w:proofErr w:type="spellStart"/>
      <w:r w:rsidRPr="000A41EA">
        <w:t>Etukudo</w:t>
      </w:r>
      <w:proofErr w:type="spellEnd"/>
      <w:r w:rsidRPr="000A41EA">
        <w:t xml:space="preserve">, N. J., </w:t>
      </w:r>
      <w:proofErr w:type="spellStart"/>
      <w:r w:rsidRPr="000A41EA">
        <w:t>Amachree</w:t>
      </w:r>
      <w:proofErr w:type="spellEnd"/>
      <w:r w:rsidRPr="000A41EA">
        <w:t xml:space="preserve">, J. B., </w:t>
      </w:r>
      <w:proofErr w:type="spellStart"/>
      <w:r w:rsidRPr="000A41EA">
        <w:t>Okpoji</w:t>
      </w:r>
      <w:proofErr w:type="spellEnd"/>
      <w:r w:rsidRPr="000A41EA">
        <w:t xml:space="preserve">, A. U., </w:t>
      </w:r>
      <w:proofErr w:type="spellStart"/>
      <w:r w:rsidRPr="000A41EA">
        <w:t>Ejeka</w:t>
      </w:r>
      <w:proofErr w:type="spellEnd"/>
      <w:r w:rsidRPr="000A41EA">
        <w:t xml:space="preserve">, C. J., &amp; </w:t>
      </w:r>
      <w:proofErr w:type="spellStart"/>
      <w:r w:rsidRPr="000A41EA">
        <w:t>Ekwere</w:t>
      </w:r>
      <w:proofErr w:type="spellEnd"/>
      <w:r w:rsidRPr="000A41EA">
        <w:t xml:space="preserve">, I. O. (2025). Atmospheric deposition of soot and heavy metals from gas flaring into surface waters of </w:t>
      </w:r>
      <w:proofErr w:type="spellStart"/>
      <w:r w:rsidRPr="000A41EA">
        <w:t>Ebocha</w:t>
      </w:r>
      <w:proofErr w:type="spellEnd"/>
      <w:r w:rsidRPr="000A41EA">
        <w:t xml:space="preserve">, Rivers State, Nigeria. Asian Journal of Environment &amp; Ecology, 24(11), 137–147. </w:t>
      </w:r>
      <w:hyperlink r:id="rId7" w:history="1">
        <w:r w:rsidRPr="007468C6">
          <w:rPr>
            <w:rStyle w:val="Hyperlink"/>
          </w:rPr>
          <w:t>https://doi.org/10.9734/ajee/2025/v24i11822</w:t>
        </w:r>
      </w:hyperlink>
      <w:r>
        <w:t xml:space="preserve"> </w:t>
      </w:r>
    </w:p>
    <w:p w14:paraId="03F6911D" w14:textId="32DBEC13" w:rsidR="00AD7519" w:rsidRPr="003600CA" w:rsidRDefault="00B139E7" w:rsidP="003600CA">
      <w:pPr>
        <w:spacing w:after="0" w:line="240" w:lineRule="auto"/>
        <w:jc w:val="both"/>
        <w:rPr>
          <w:rFonts w:ascii="Times New Roman" w:eastAsia="Times New Roman" w:hAnsi="Times New Roman" w:cs="Times New Roman"/>
          <w:sz w:val="24"/>
          <w:szCs w:val="24"/>
          <w:lang w:eastAsia="en-GB"/>
        </w:rPr>
      </w:pPr>
      <w:bookmarkStart w:id="1" w:name="_Hlk216411041"/>
      <w:proofErr w:type="spellStart"/>
      <w:r w:rsidRPr="003600CA">
        <w:rPr>
          <w:rFonts w:ascii="Times New Roman" w:eastAsia="Times New Roman" w:hAnsi="Times New Roman" w:cs="Times New Roman"/>
          <w:sz w:val="24"/>
          <w:szCs w:val="24"/>
          <w:lang w:eastAsia="en-GB"/>
        </w:rPr>
        <w:t>Anarado</w:t>
      </w:r>
      <w:proofErr w:type="spellEnd"/>
      <w:r w:rsidRPr="003600CA">
        <w:rPr>
          <w:rFonts w:ascii="Times New Roman" w:eastAsia="Times New Roman" w:hAnsi="Times New Roman" w:cs="Times New Roman"/>
          <w:sz w:val="24"/>
          <w:szCs w:val="24"/>
          <w:lang w:eastAsia="en-GB"/>
        </w:rPr>
        <w:t xml:space="preserve">, C. J. O., </w:t>
      </w: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&amp; </w:t>
      </w:r>
      <w:proofErr w:type="spellStart"/>
      <w:r w:rsidRPr="003600CA">
        <w:rPr>
          <w:rFonts w:ascii="Times New Roman" w:eastAsia="Times New Roman" w:hAnsi="Times New Roman" w:cs="Times New Roman"/>
          <w:sz w:val="24"/>
          <w:szCs w:val="24"/>
          <w:lang w:eastAsia="en-GB"/>
        </w:rPr>
        <w:t>Anarado</w:t>
      </w:r>
      <w:proofErr w:type="spellEnd"/>
      <w:r w:rsidRPr="003600CA">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8" w:history="1">
        <w:r w:rsidRPr="003600CA">
          <w:rPr>
            <w:rStyle w:val="Hyperlink"/>
            <w:rFonts w:ascii="Times New Roman" w:eastAsia="Times New Roman" w:hAnsi="Times New Roman" w:cs="Times New Roman"/>
            <w:sz w:val="24"/>
            <w:szCs w:val="24"/>
            <w:lang w:eastAsia="en-GB"/>
          </w:rPr>
          <w:t>https://doi.org/10.9734/AJEE/2023/v21i4469</w:t>
        </w:r>
      </w:hyperlink>
      <w:r w:rsidRPr="003600CA">
        <w:rPr>
          <w:rFonts w:ascii="Times New Roman" w:eastAsia="Times New Roman" w:hAnsi="Times New Roman" w:cs="Times New Roman"/>
          <w:sz w:val="24"/>
          <w:szCs w:val="24"/>
          <w:lang w:eastAsia="en-GB"/>
        </w:rPr>
        <w:t xml:space="preserve"> s</w:t>
      </w:r>
    </w:p>
    <w:p w14:paraId="2529B471" w14:textId="74E63CAF" w:rsidR="00AD7519" w:rsidRPr="00AF7428" w:rsidRDefault="00B139E7" w:rsidP="003600CA">
      <w:pPr>
        <w:pStyle w:val="NormalWeb"/>
        <w:rPr>
          <w:color w:val="0563C1" w:themeColor="hyperlink"/>
          <w:u w:val="single"/>
        </w:rPr>
      </w:pPr>
      <w:proofErr w:type="spellStart"/>
      <w:r w:rsidRPr="00B139E7">
        <w:t>Asemota</w:t>
      </w:r>
      <w:proofErr w:type="spellEnd"/>
      <w:r w:rsidRPr="00B139E7">
        <w:t xml:space="preserve">, P. O., </w:t>
      </w:r>
      <w:proofErr w:type="spellStart"/>
      <w:r w:rsidRPr="00B139E7">
        <w:t>Olotu</w:t>
      </w:r>
      <w:proofErr w:type="spellEnd"/>
      <w:r w:rsidRPr="00B139E7">
        <w:t xml:space="preserve">, O. N., Akpan, N. A., </w:t>
      </w:r>
      <w:proofErr w:type="spellStart"/>
      <w:r w:rsidRPr="00B139E7">
        <w:t>Okpoji</w:t>
      </w:r>
      <w:proofErr w:type="spellEnd"/>
      <w:r w:rsidRPr="00B139E7">
        <w:t xml:space="preserve">, A. U., </w:t>
      </w:r>
      <w:proofErr w:type="spellStart"/>
      <w:r w:rsidRPr="00B139E7">
        <w:t>Etesin</w:t>
      </w:r>
      <w:proofErr w:type="spellEnd"/>
      <w:r w:rsidRPr="00B139E7">
        <w:t xml:space="preserve">, M. U., &amp; </w:t>
      </w:r>
      <w:proofErr w:type="spellStart"/>
      <w:r w:rsidRPr="00B139E7">
        <w:t>Etukudo</w:t>
      </w:r>
      <w:proofErr w:type="spellEnd"/>
      <w:r w:rsidRPr="00B139E7">
        <w:t xml:space="preserve">, E. W. (2025). Environmental engineering evaluation of slow sand filters for treating contaminated water in </w:t>
      </w:r>
      <w:proofErr w:type="spellStart"/>
      <w:r w:rsidRPr="00B139E7">
        <w:t>Borokiri</w:t>
      </w:r>
      <w:proofErr w:type="spellEnd"/>
      <w:r w:rsidRPr="00B139E7">
        <w:t xml:space="preserve"> Area, Port Harcourt, Rivers State, Nigeria. Journal of Environment, Climate, and Ecology, 2(2), 184–191. </w:t>
      </w:r>
      <w:hyperlink r:id="rId9" w:history="1">
        <w:r w:rsidRPr="007468C6">
          <w:rPr>
            <w:rStyle w:val="Hyperlink"/>
          </w:rPr>
          <w:t>https://doi.org/10.69739/jece.v2i2.1307</w:t>
        </w:r>
      </w:hyperlink>
      <w:r>
        <w:t xml:space="preserve"> </w:t>
      </w:r>
    </w:p>
    <w:p w14:paraId="4BFC21A6" w14:textId="77777777" w:rsidR="00AD7519" w:rsidRPr="00AF7428" w:rsidRDefault="00AD7519" w:rsidP="003600CA">
      <w:pPr>
        <w:pStyle w:val="NormalWeb"/>
        <w:spacing w:line="276" w:lineRule="auto"/>
        <w:jc w:val="both"/>
        <w:rPr>
          <w:rStyle w:val="Hyperlink"/>
        </w:rPr>
      </w:pPr>
      <w:proofErr w:type="spellStart"/>
      <w:r w:rsidRPr="00AF7428">
        <w:t>Ekesiobi</w:t>
      </w:r>
      <w:proofErr w:type="spellEnd"/>
      <w:r w:rsidRPr="00AF7428">
        <w:t xml:space="preserve">, S. U., Ekpe, J. E., </w:t>
      </w:r>
      <w:proofErr w:type="spellStart"/>
      <w:r w:rsidRPr="00AF7428">
        <w:t>Okpoji</w:t>
      </w:r>
      <w:proofErr w:type="spellEnd"/>
      <w:r w:rsidRPr="00AF7428">
        <w:t xml:space="preserve">, A. U., Hassan, D. H., </w:t>
      </w:r>
      <w:proofErr w:type="spellStart"/>
      <w:r w:rsidRPr="00AF7428">
        <w:t>Ekwere</w:t>
      </w:r>
      <w:proofErr w:type="spellEnd"/>
      <w:r w:rsidRPr="00AF7428">
        <w:t xml:space="preserve">, I. O., </w:t>
      </w:r>
      <w:proofErr w:type="spellStart"/>
      <w:r w:rsidRPr="00AF7428">
        <w:t>Awortu</w:t>
      </w:r>
      <w:proofErr w:type="spellEnd"/>
      <w:r w:rsidRPr="00AF7428">
        <w:t xml:space="preserve">, R. C., </w:t>
      </w:r>
      <w:proofErr w:type="spellStart"/>
      <w:r w:rsidRPr="00AF7428">
        <w:t>Etesin</w:t>
      </w:r>
      <w:proofErr w:type="spellEnd"/>
      <w:r w:rsidRPr="00AF7428">
        <w:t xml:space="preserve">, M. U., </w:t>
      </w:r>
      <w:proofErr w:type="spellStart"/>
      <w:r w:rsidRPr="00AF7428">
        <w:t>Nwofia</w:t>
      </w:r>
      <w:proofErr w:type="spellEnd"/>
      <w:r w:rsidRPr="00AF7428">
        <w:t xml:space="preserve">, U., Okeke, C. F., &amp; Nwankwo, A. O. (2025). </w:t>
      </w:r>
      <w:proofErr w:type="spellStart"/>
      <w:r w:rsidRPr="00AF7428">
        <w:t>Hydrochemical</w:t>
      </w:r>
      <w:proofErr w:type="spellEnd"/>
      <w:r w:rsidRPr="00AF7428">
        <w:t xml:space="preserve"> characterisation and health-risk assessment of drinking water sources in Brass Island, Bayelsa State, Nigeria. </w:t>
      </w:r>
      <w:r w:rsidRPr="00AF7428">
        <w:rPr>
          <w:rStyle w:val="Emphasis"/>
        </w:rPr>
        <w:t>Asian Journal of Chemical Sciences, 15</w:t>
      </w:r>
      <w:r w:rsidRPr="00AF7428">
        <w:t xml:space="preserve">(6), 64–76. </w:t>
      </w:r>
      <w:hyperlink r:id="rId10" w:tgtFrame="_new" w:history="1">
        <w:r w:rsidRPr="00AF7428">
          <w:rPr>
            <w:rStyle w:val="Hyperlink"/>
          </w:rPr>
          <w:t>https://doi.org/10.9734/ajocs/2025/v15i6406</w:t>
        </w:r>
      </w:hyperlink>
    </w:p>
    <w:p w14:paraId="22A3CBE7" w14:textId="77777777" w:rsidR="00AD7519" w:rsidRPr="003600CA" w:rsidRDefault="00AD7519"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600CA">
        <w:rPr>
          <w:rFonts w:ascii="Times New Roman" w:eastAsia="Times New Roman" w:hAnsi="Times New Roman" w:cs="Times New Roman"/>
          <w:sz w:val="24"/>
          <w:szCs w:val="24"/>
          <w:lang w:eastAsia="en-GB"/>
        </w:rPr>
        <w:t xml:space="preserve">Ekpe, J. E., </w:t>
      </w: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w:t>
      </w:r>
      <w:proofErr w:type="spellStart"/>
      <w:r w:rsidRPr="003600CA">
        <w:rPr>
          <w:rFonts w:ascii="Times New Roman" w:eastAsia="Times New Roman" w:hAnsi="Times New Roman" w:cs="Times New Roman"/>
          <w:sz w:val="24"/>
          <w:szCs w:val="24"/>
          <w:lang w:eastAsia="en-GB"/>
        </w:rPr>
        <w:t>Ekwere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Anarada</w:t>
      </w:r>
      <w:proofErr w:type="spellEnd"/>
      <w:r w:rsidRPr="003600CA">
        <w:rPr>
          <w:rFonts w:ascii="Times New Roman" w:eastAsia="Times New Roman" w:hAnsi="Times New Roman" w:cs="Times New Roman"/>
          <w:sz w:val="24"/>
          <w:szCs w:val="24"/>
          <w:lang w:eastAsia="en-GB"/>
        </w:rPr>
        <w:t xml:space="preserve">, C. J., </w:t>
      </w:r>
      <w:proofErr w:type="spellStart"/>
      <w:r w:rsidRPr="003600CA">
        <w:rPr>
          <w:rFonts w:ascii="Times New Roman" w:eastAsia="Times New Roman" w:hAnsi="Times New Roman" w:cs="Times New Roman"/>
          <w:sz w:val="24"/>
          <w:szCs w:val="24"/>
          <w:lang w:eastAsia="en-GB"/>
        </w:rPr>
        <w:t>Ewuola</w:t>
      </w:r>
      <w:proofErr w:type="spellEnd"/>
      <w:r w:rsidRPr="003600CA">
        <w:rPr>
          <w:rFonts w:ascii="Times New Roman" w:eastAsia="Times New Roman" w:hAnsi="Times New Roman" w:cs="Times New Roman"/>
          <w:sz w:val="24"/>
          <w:szCs w:val="24"/>
          <w:lang w:eastAsia="en-GB"/>
        </w:rPr>
        <w:t xml:space="preserve">, A. A., Ufuoma, V. O., </w:t>
      </w:r>
      <w:proofErr w:type="spellStart"/>
      <w:r w:rsidRPr="003600CA">
        <w:rPr>
          <w:rFonts w:ascii="Times New Roman" w:eastAsia="Times New Roman" w:hAnsi="Times New Roman" w:cs="Times New Roman"/>
          <w:sz w:val="24"/>
          <w:szCs w:val="24"/>
          <w:lang w:eastAsia="en-GB"/>
        </w:rPr>
        <w:t>Okpanachi</w:t>
      </w:r>
      <w:proofErr w:type="spellEnd"/>
      <w:r w:rsidRPr="003600CA">
        <w:rPr>
          <w:rFonts w:ascii="Times New Roman" w:eastAsia="Times New Roman" w:hAnsi="Times New Roman" w:cs="Times New Roman"/>
          <w:sz w:val="24"/>
          <w:szCs w:val="24"/>
          <w:lang w:eastAsia="en-GB"/>
        </w:rPr>
        <w:t xml:space="preserve">, C. B., Okonkwo, C. O., &amp; </w:t>
      </w:r>
      <w:proofErr w:type="spellStart"/>
      <w:r w:rsidRPr="003600CA">
        <w:rPr>
          <w:rFonts w:ascii="Times New Roman" w:eastAsia="Times New Roman" w:hAnsi="Times New Roman" w:cs="Times New Roman"/>
          <w:sz w:val="24"/>
          <w:szCs w:val="24"/>
          <w:lang w:eastAsia="en-GB"/>
        </w:rPr>
        <w:t>Obunezi</w:t>
      </w:r>
      <w:proofErr w:type="spellEnd"/>
      <w:r w:rsidRPr="003600CA">
        <w:rPr>
          <w:rFonts w:ascii="Times New Roman" w:eastAsia="Times New Roman" w:hAnsi="Times New Roman" w:cs="Times New Roman"/>
          <w:sz w:val="24"/>
          <w:szCs w:val="24"/>
          <w:lang w:eastAsia="en-GB"/>
        </w:rPr>
        <w:t xml:space="preserve">, O. A. (2025). Physico-chemical transport of pesticides and nutrients in irrigation water and their fate in </w:t>
      </w:r>
      <w:proofErr w:type="spellStart"/>
      <w:r w:rsidRPr="003600CA">
        <w:rPr>
          <w:rFonts w:ascii="Times New Roman" w:eastAsia="Times New Roman" w:hAnsi="Times New Roman" w:cs="Times New Roman"/>
          <w:sz w:val="24"/>
          <w:szCs w:val="24"/>
          <w:lang w:eastAsia="en-GB"/>
        </w:rPr>
        <w:t>agro</w:t>
      </w:r>
      <w:proofErr w:type="spellEnd"/>
      <w:r w:rsidRPr="003600CA">
        <w:rPr>
          <w:rFonts w:ascii="Times New Roman" w:eastAsia="Times New Roman" w:hAnsi="Times New Roman" w:cs="Times New Roman"/>
          <w:sz w:val="24"/>
          <w:szCs w:val="24"/>
          <w:lang w:eastAsia="en-GB"/>
        </w:rPr>
        <w:t xml:space="preserve">-ecosystems of Rivers State, Nigeria. </w:t>
      </w:r>
      <w:proofErr w:type="spellStart"/>
      <w:r w:rsidRPr="003600CA">
        <w:rPr>
          <w:rFonts w:ascii="Times New Roman" w:eastAsia="Times New Roman" w:hAnsi="Times New Roman" w:cs="Times New Roman"/>
          <w:i/>
          <w:iCs/>
          <w:sz w:val="24"/>
          <w:szCs w:val="24"/>
          <w:lang w:eastAsia="en-GB"/>
        </w:rPr>
        <w:t>Palgo</w:t>
      </w:r>
      <w:proofErr w:type="spellEnd"/>
      <w:r w:rsidRPr="003600CA">
        <w:rPr>
          <w:rFonts w:ascii="Times New Roman" w:eastAsia="Times New Roman" w:hAnsi="Times New Roman" w:cs="Times New Roman"/>
          <w:i/>
          <w:iCs/>
          <w:sz w:val="24"/>
          <w:szCs w:val="24"/>
          <w:lang w:eastAsia="en-GB"/>
        </w:rPr>
        <w:t xml:space="preserve"> Journal of Agriculture, 9</w:t>
      </w:r>
      <w:r w:rsidRPr="003600CA">
        <w:rPr>
          <w:rFonts w:ascii="Times New Roman" w:eastAsia="Times New Roman" w:hAnsi="Times New Roman" w:cs="Times New Roman"/>
          <w:sz w:val="24"/>
          <w:szCs w:val="24"/>
          <w:lang w:eastAsia="en-GB"/>
        </w:rPr>
        <w:t xml:space="preserve">(2), 30–37. </w:t>
      </w:r>
      <w:r w:rsidRPr="003600CA">
        <w:rPr>
          <w:rFonts w:ascii="Times New Roman" w:hAnsi="Times New Roman" w:cs="Times New Roman"/>
          <w:sz w:val="24"/>
          <w:szCs w:val="24"/>
        </w:rPr>
        <w:br/>
      </w:r>
      <w:hyperlink r:id="rId11" w:history="1">
        <w:r w:rsidRPr="003600CA">
          <w:rPr>
            <w:rStyle w:val="Hyperlink"/>
            <w:rFonts w:ascii="Times New Roman" w:hAnsi="Times New Roman" w:cs="Times New Roman"/>
            <w:sz w:val="24"/>
            <w:szCs w:val="24"/>
            <w:shd w:val="clear" w:color="auto" w:fill="FFFFFF"/>
          </w:rPr>
          <w:t>https://doi.org/10.5281/zenodo.17148360</w:t>
        </w:r>
      </w:hyperlink>
    </w:p>
    <w:bookmarkEnd w:id="1"/>
    <w:p w14:paraId="00D2144B" w14:textId="134F86E7" w:rsidR="00AD7519" w:rsidRPr="003600CA" w:rsidRDefault="00AB59A6"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hAnsi="Times New Roman" w:cs="Times New Roman"/>
          <w:sz w:val="24"/>
          <w:szCs w:val="24"/>
        </w:rPr>
        <w:t>Ekwere</w:t>
      </w:r>
      <w:proofErr w:type="spellEnd"/>
      <w:r w:rsidRPr="003600CA">
        <w:rPr>
          <w:rFonts w:ascii="Times New Roman" w:hAnsi="Times New Roman" w:cs="Times New Roman"/>
          <w:sz w:val="24"/>
          <w:szCs w:val="24"/>
        </w:rPr>
        <w:t xml:space="preserve">, I. O., </w:t>
      </w:r>
      <w:proofErr w:type="spellStart"/>
      <w:r w:rsidRPr="003600CA">
        <w:rPr>
          <w:rFonts w:ascii="Times New Roman" w:hAnsi="Times New Roman" w:cs="Times New Roman"/>
          <w:sz w:val="24"/>
          <w:szCs w:val="24"/>
        </w:rPr>
        <w:t>Okpoji</w:t>
      </w:r>
      <w:proofErr w:type="spellEnd"/>
      <w:r w:rsidRPr="003600CA">
        <w:rPr>
          <w:rFonts w:ascii="Times New Roman" w:hAnsi="Times New Roman" w:cs="Times New Roman"/>
          <w:sz w:val="24"/>
          <w:szCs w:val="24"/>
        </w:rPr>
        <w:t xml:space="preserve">, A. U., </w:t>
      </w:r>
      <w:proofErr w:type="spellStart"/>
      <w:r w:rsidRPr="003600CA">
        <w:rPr>
          <w:rFonts w:ascii="Times New Roman" w:hAnsi="Times New Roman" w:cs="Times New Roman"/>
          <w:sz w:val="24"/>
          <w:szCs w:val="24"/>
        </w:rPr>
        <w:t>Igwegbe</w:t>
      </w:r>
      <w:proofErr w:type="spellEnd"/>
      <w:r w:rsidRPr="003600CA">
        <w:rPr>
          <w:rFonts w:ascii="Times New Roman" w:hAnsi="Times New Roman" w:cs="Times New Roman"/>
          <w:sz w:val="24"/>
          <w:szCs w:val="24"/>
        </w:rPr>
        <w:t xml:space="preserve">, K. C., Okonkwo, C. O., </w:t>
      </w:r>
      <w:proofErr w:type="spellStart"/>
      <w:r w:rsidRPr="003600CA">
        <w:rPr>
          <w:rFonts w:ascii="Times New Roman" w:hAnsi="Times New Roman" w:cs="Times New Roman"/>
          <w:sz w:val="24"/>
          <w:szCs w:val="24"/>
        </w:rPr>
        <w:t>Yekeen</w:t>
      </w:r>
      <w:proofErr w:type="spellEnd"/>
      <w:r w:rsidRPr="003600CA">
        <w:rPr>
          <w:rFonts w:ascii="Times New Roman" w:hAnsi="Times New Roman" w:cs="Times New Roman"/>
          <w:sz w:val="24"/>
          <w:szCs w:val="24"/>
        </w:rPr>
        <w:t xml:space="preserve">, A. A., </w:t>
      </w:r>
      <w:proofErr w:type="spellStart"/>
      <w:r w:rsidRPr="003600CA">
        <w:rPr>
          <w:rFonts w:ascii="Times New Roman" w:hAnsi="Times New Roman" w:cs="Times New Roman"/>
          <w:sz w:val="24"/>
          <w:szCs w:val="24"/>
        </w:rPr>
        <w:t>Obunezi</w:t>
      </w:r>
      <w:proofErr w:type="spellEnd"/>
      <w:r w:rsidRPr="003600CA">
        <w:rPr>
          <w:rFonts w:ascii="Times New Roman" w:hAnsi="Times New Roman" w:cs="Times New Roman"/>
          <w:sz w:val="24"/>
          <w:szCs w:val="24"/>
        </w:rPr>
        <w:t xml:space="preserve">, O. C., </w:t>
      </w:r>
      <w:proofErr w:type="spellStart"/>
      <w:r w:rsidRPr="003600CA">
        <w:rPr>
          <w:rFonts w:ascii="Times New Roman" w:hAnsi="Times New Roman" w:cs="Times New Roman"/>
          <w:sz w:val="24"/>
          <w:szCs w:val="24"/>
        </w:rPr>
        <w:t>Okpanachi</w:t>
      </w:r>
      <w:proofErr w:type="spellEnd"/>
      <w:r w:rsidRPr="003600CA">
        <w:rPr>
          <w:rFonts w:ascii="Times New Roman" w:hAnsi="Times New Roman" w:cs="Times New Roman"/>
          <w:sz w:val="24"/>
          <w:szCs w:val="24"/>
        </w:rPr>
        <w:t xml:space="preserve">, C. B., </w:t>
      </w:r>
      <w:proofErr w:type="spellStart"/>
      <w:r w:rsidRPr="003600CA">
        <w:rPr>
          <w:rFonts w:ascii="Times New Roman" w:hAnsi="Times New Roman" w:cs="Times New Roman"/>
          <w:sz w:val="24"/>
          <w:szCs w:val="24"/>
        </w:rPr>
        <w:t>Garuba</w:t>
      </w:r>
      <w:proofErr w:type="spellEnd"/>
      <w:r w:rsidRPr="003600CA">
        <w:rPr>
          <w:rFonts w:ascii="Times New Roman" w:hAnsi="Times New Roman" w:cs="Times New Roman"/>
          <w:sz w:val="24"/>
          <w:szCs w:val="24"/>
        </w:rPr>
        <w:t xml:space="preserve">, M. H., </w:t>
      </w:r>
      <w:proofErr w:type="spellStart"/>
      <w:r w:rsidRPr="003600CA">
        <w:rPr>
          <w:rFonts w:ascii="Times New Roman" w:hAnsi="Times New Roman" w:cs="Times New Roman"/>
          <w:sz w:val="24"/>
          <w:szCs w:val="24"/>
        </w:rPr>
        <w:t>Ogini</w:t>
      </w:r>
      <w:proofErr w:type="spellEnd"/>
      <w:r w:rsidRPr="003600CA">
        <w:rPr>
          <w:rFonts w:ascii="Times New Roman" w:hAnsi="Times New Roman" w:cs="Times New Roman"/>
          <w:sz w:val="24"/>
          <w:szCs w:val="24"/>
        </w:rPr>
        <w:t xml:space="preserve">, O. R., &amp; </w:t>
      </w:r>
      <w:proofErr w:type="spellStart"/>
      <w:r w:rsidRPr="003600CA">
        <w:rPr>
          <w:rFonts w:ascii="Times New Roman" w:hAnsi="Times New Roman" w:cs="Times New Roman"/>
          <w:sz w:val="24"/>
          <w:szCs w:val="24"/>
        </w:rPr>
        <w:t>Odibo</w:t>
      </w:r>
      <w:proofErr w:type="spellEnd"/>
      <w:r w:rsidRPr="003600CA">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3600CA">
        <w:rPr>
          <w:rFonts w:ascii="Times New Roman" w:hAnsi="Times New Roman" w:cs="Times New Roman"/>
          <w:sz w:val="24"/>
          <w:szCs w:val="24"/>
        </w:rPr>
        <w:t>niloticus</w:t>
      </w:r>
      <w:proofErr w:type="spellEnd"/>
      <w:r w:rsidRPr="003600CA">
        <w:rPr>
          <w:rFonts w:ascii="Times New Roman" w:hAnsi="Times New Roman" w:cs="Times New Roman"/>
          <w:sz w:val="24"/>
          <w:szCs w:val="24"/>
        </w:rPr>
        <w:t xml:space="preserve">). Journal of Environment, Climate, and Ecology, 2(2), 90-97. </w:t>
      </w:r>
      <w:hyperlink r:id="rId12" w:history="1">
        <w:r w:rsidRPr="003600CA">
          <w:rPr>
            <w:rStyle w:val="Hyperlink"/>
            <w:rFonts w:ascii="Times New Roman" w:hAnsi="Times New Roman" w:cs="Times New Roman"/>
            <w:sz w:val="24"/>
            <w:szCs w:val="24"/>
          </w:rPr>
          <w:t>https://doi.org/10.69739/jece.v2i2.952</w:t>
        </w:r>
      </w:hyperlink>
      <w:r w:rsidRPr="003600CA">
        <w:rPr>
          <w:rFonts w:ascii="Times New Roman" w:hAnsi="Times New Roman" w:cs="Times New Roman"/>
          <w:sz w:val="24"/>
          <w:szCs w:val="24"/>
        </w:rPr>
        <w:t xml:space="preserve"> </w:t>
      </w:r>
    </w:p>
    <w:p w14:paraId="16613DA4" w14:textId="6E43B1A7" w:rsidR="00AD7519" w:rsidRPr="003600CA" w:rsidRDefault="007D0EEF"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hAnsi="Times New Roman" w:cs="Times New Roman"/>
          <w:sz w:val="24"/>
          <w:szCs w:val="24"/>
        </w:rPr>
        <w:t>Ekwere</w:t>
      </w:r>
      <w:proofErr w:type="spellEnd"/>
      <w:r w:rsidRPr="003600CA">
        <w:rPr>
          <w:rFonts w:ascii="Times New Roman" w:hAnsi="Times New Roman" w:cs="Times New Roman"/>
          <w:sz w:val="24"/>
          <w:szCs w:val="24"/>
        </w:rPr>
        <w:t xml:space="preserve">, I. O., </w:t>
      </w:r>
      <w:proofErr w:type="spellStart"/>
      <w:r w:rsidRPr="003600CA">
        <w:rPr>
          <w:rFonts w:ascii="Times New Roman" w:hAnsi="Times New Roman" w:cs="Times New Roman"/>
          <w:sz w:val="24"/>
          <w:szCs w:val="24"/>
        </w:rPr>
        <w:t>Okpoji</w:t>
      </w:r>
      <w:proofErr w:type="spellEnd"/>
      <w:r w:rsidRPr="003600CA">
        <w:rPr>
          <w:rFonts w:ascii="Times New Roman" w:hAnsi="Times New Roman" w:cs="Times New Roman"/>
          <w:sz w:val="24"/>
          <w:szCs w:val="24"/>
        </w:rPr>
        <w:t xml:space="preserve">, A. U., </w:t>
      </w:r>
      <w:proofErr w:type="spellStart"/>
      <w:r w:rsidRPr="003600CA">
        <w:rPr>
          <w:rFonts w:ascii="Times New Roman" w:hAnsi="Times New Roman" w:cs="Times New Roman"/>
          <w:sz w:val="24"/>
          <w:szCs w:val="24"/>
        </w:rPr>
        <w:t>Ufuoma</w:t>
      </w:r>
      <w:proofErr w:type="spellEnd"/>
      <w:r w:rsidRPr="003600CA">
        <w:rPr>
          <w:rFonts w:ascii="Times New Roman" w:hAnsi="Times New Roman" w:cs="Times New Roman"/>
          <w:sz w:val="24"/>
          <w:szCs w:val="24"/>
        </w:rPr>
        <w:t xml:space="preserve">, V. O., Akinola, A. E., Raymond, C. A., Clement, R. O., </w:t>
      </w:r>
      <w:proofErr w:type="spellStart"/>
      <w:r w:rsidRPr="003600CA">
        <w:rPr>
          <w:rFonts w:ascii="Times New Roman" w:hAnsi="Times New Roman" w:cs="Times New Roman"/>
          <w:sz w:val="24"/>
          <w:szCs w:val="24"/>
        </w:rPr>
        <w:t>Alaekwe</w:t>
      </w:r>
      <w:proofErr w:type="spellEnd"/>
      <w:r w:rsidRPr="003600CA">
        <w:rPr>
          <w:rFonts w:ascii="Times New Roman" w:hAnsi="Times New Roman" w:cs="Times New Roman"/>
          <w:sz w:val="24"/>
          <w:szCs w:val="24"/>
        </w:rPr>
        <w:t xml:space="preserve">, I. O., </w:t>
      </w:r>
      <w:proofErr w:type="spellStart"/>
      <w:r w:rsidRPr="003600CA">
        <w:rPr>
          <w:rFonts w:ascii="Times New Roman" w:hAnsi="Times New Roman" w:cs="Times New Roman"/>
          <w:sz w:val="24"/>
          <w:szCs w:val="24"/>
        </w:rPr>
        <w:t>Etesin</w:t>
      </w:r>
      <w:proofErr w:type="spellEnd"/>
      <w:r w:rsidRPr="003600CA">
        <w:rPr>
          <w:rFonts w:ascii="Times New Roman" w:hAnsi="Times New Roman" w:cs="Times New Roman"/>
          <w:sz w:val="24"/>
          <w:szCs w:val="24"/>
        </w:rPr>
        <w:t xml:space="preserve">, M. O., &amp; </w:t>
      </w:r>
      <w:proofErr w:type="spellStart"/>
      <w:r w:rsidRPr="003600CA">
        <w:rPr>
          <w:rFonts w:ascii="Times New Roman" w:hAnsi="Times New Roman" w:cs="Times New Roman"/>
          <w:sz w:val="24"/>
          <w:szCs w:val="24"/>
        </w:rPr>
        <w:t>Edodi</w:t>
      </w:r>
      <w:proofErr w:type="spellEnd"/>
      <w:r w:rsidRPr="003600CA">
        <w:rPr>
          <w:rFonts w:ascii="Times New Roman" w:hAnsi="Times New Roman" w:cs="Times New Roman"/>
          <w:sz w:val="24"/>
          <w:szCs w:val="24"/>
        </w:rPr>
        <w:t xml:space="preserve">, I. O. (2025). Nutritional evaluation of Nile tilapia (Oreochromis </w:t>
      </w:r>
      <w:proofErr w:type="spellStart"/>
      <w:r w:rsidRPr="003600CA">
        <w:rPr>
          <w:rFonts w:ascii="Times New Roman" w:hAnsi="Times New Roman" w:cs="Times New Roman"/>
          <w:sz w:val="24"/>
          <w:szCs w:val="24"/>
        </w:rPr>
        <w:t>niloticus</w:t>
      </w:r>
      <w:proofErr w:type="spellEnd"/>
      <w:r w:rsidRPr="003600CA">
        <w:rPr>
          <w:rFonts w:ascii="Times New Roman" w:hAnsi="Times New Roman" w:cs="Times New Roman"/>
          <w:sz w:val="24"/>
          <w:szCs w:val="24"/>
        </w:rPr>
        <w:t xml:space="preserve">) processed by different drying methods in </w:t>
      </w:r>
      <w:proofErr w:type="spellStart"/>
      <w:r w:rsidRPr="003600CA">
        <w:rPr>
          <w:rFonts w:ascii="Times New Roman" w:hAnsi="Times New Roman" w:cs="Times New Roman"/>
          <w:sz w:val="24"/>
          <w:szCs w:val="24"/>
        </w:rPr>
        <w:t>Akwa</w:t>
      </w:r>
      <w:proofErr w:type="spellEnd"/>
      <w:r w:rsidRPr="003600CA">
        <w:rPr>
          <w:rFonts w:ascii="Times New Roman" w:hAnsi="Times New Roman" w:cs="Times New Roman"/>
          <w:sz w:val="24"/>
          <w:szCs w:val="24"/>
        </w:rPr>
        <w:t xml:space="preserve"> Ibom State, Nigeria. Journal of Sustainable Research and Development, 1(2), 11–17. </w:t>
      </w:r>
      <w:hyperlink r:id="rId13" w:history="1">
        <w:r w:rsidRPr="003600CA">
          <w:rPr>
            <w:rStyle w:val="Hyperlink"/>
            <w:rFonts w:ascii="Times New Roman" w:hAnsi="Times New Roman" w:cs="Times New Roman"/>
            <w:sz w:val="24"/>
            <w:szCs w:val="24"/>
          </w:rPr>
          <w:t>https://doi.org/10.69739/jsrd.v1i2.1033</w:t>
        </w:r>
      </w:hyperlink>
      <w:r w:rsidRPr="003600CA">
        <w:rPr>
          <w:rFonts w:ascii="Times New Roman" w:hAnsi="Times New Roman" w:cs="Times New Roman"/>
          <w:sz w:val="24"/>
          <w:szCs w:val="24"/>
        </w:rPr>
        <w:t xml:space="preserve"> </w:t>
      </w:r>
    </w:p>
    <w:p w14:paraId="2B867F7E" w14:textId="32F8CA55" w:rsidR="00AD7519" w:rsidRPr="00AF7428" w:rsidRDefault="00AD335B" w:rsidP="003600CA">
      <w:pPr>
        <w:pStyle w:val="NormalWeb"/>
        <w:spacing w:line="276" w:lineRule="auto"/>
        <w:jc w:val="both"/>
      </w:pPr>
      <w:proofErr w:type="spellStart"/>
      <w:r w:rsidRPr="00AD335B">
        <w:rPr>
          <w:lang w:val="en-US" w:eastAsia="zh-CN" w:bidi="ar"/>
        </w:rPr>
        <w:t>Etesin</w:t>
      </w:r>
      <w:proofErr w:type="spellEnd"/>
      <w:r w:rsidRPr="00AD335B">
        <w:rPr>
          <w:lang w:val="en-US" w:eastAsia="zh-CN" w:bidi="ar"/>
        </w:rPr>
        <w:t xml:space="preserve">, M. U., </w:t>
      </w:r>
      <w:proofErr w:type="spellStart"/>
      <w:r w:rsidRPr="00AD335B">
        <w:rPr>
          <w:lang w:val="en-US" w:eastAsia="zh-CN" w:bidi="ar"/>
        </w:rPr>
        <w:t>Ezeabsili</w:t>
      </w:r>
      <w:proofErr w:type="spellEnd"/>
      <w:r w:rsidRPr="00AD335B">
        <w:rPr>
          <w:lang w:val="en-US" w:eastAsia="zh-CN" w:bidi="ar"/>
        </w:rPr>
        <w:t xml:space="preserve">, P. I., </w:t>
      </w:r>
      <w:proofErr w:type="spellStart"/>
      <w:r w:rsidRPr="00AD335B">
        <w:rPr>
          <w:lang w:val="en-US" w:eastAsia="zh-CN" w:bidi="ar"/>
        </w:rPr>
        <w:t>Agu</w:t>
      </w:r>
      <w:proofErr w:type="spellEnd"/>
      <w:r w:rsidRPr="00AD335B">
        <w:rPr>
          <w:lang w:val="en-US" w:eastAsia="zh-CN" w:bidi="ar"/>
        </w:rPr>
        <w:t xml:space="preserve">, M. O., Okeke, C. F., </w:t>
      </w:r>
      <w:proofErr w:type="spellStart"/>
      <w:r w:rsidRPr="00AD335B">
        <w:rPr>
          <w:lang w:val="en-US" w:eastAsia="zh-CN" w:bidi="ar"/>
        </w:rPr>
        <w:t>Olotu</w:t>
      </w:r>
      <w:proofErr w:type="spellEnd"/>
      <w:r w:rsidRPr="00AD335B">
        <w:rPr>
          <w:lang w:val="en-US" w:eastAsia="zh-CN" w:bidi="ar"/>
        </w:rPr>
        <w:t xml:space="preserve">, O. N., </w:t>
      </w:r>
      <w:proofErr w:type="spellStart"/>
      <w:r w:rsidRPr="00AD335B">
        <w:rPr>
          <w:lang w:val="en-US" w:eastAsia="zh-CN" w:bidi="ar"/>
        </w:rPr>
        <w:t>Aligwo</w:t>
      </w:r>
      <w:proofErr w:type="spellEnd"/>
      <w:r w:rsidRPr="00AD335B">
        <w:rPr>
          <w:lang w:val="en-US" w:eastAsia="zh-CN" w:bidi="ar"/>
        </w:rPr>
        <w:t xml:space="preserve">, M. C., </w:t>
      </w:r>
      <w:proofErr w:type="spellStart"/>
      <w:r w:rsidRPr="00AD335B">
        <w:rPr>
          <w:lang w:val="en-US" w:eastAsia="zh-CN" w:bidi="ar"/>
        </w:rPr>
        <w:t>Eze</w:t>
      </w:r>
      <w:proofErr w:type="spellEnd"/>
      <w:r w:rsidRPr="00AD335B">
        <w:rPr>
          <w:lang w:val="en-US" w:eastAsia="zh-CN" w:bidi="ar"/>
        </w:rPr>
        <w:t xml:space="preserve">, V. C., Nwankwo, A. O., </w:t>
      </w:r>
      <w:proofErr w:type="spellStart"/>
      <w:r w:rsidRPr="00AD335B">
        <w:rPr>
          <w:lang w:val="en-US" w:eastAsia="zh-CN" w:bidi="ar"/>
        </w:rPr>
        <w:t>Okpoji</w:t>
      </w:r>
      <w:proofErr w:type="spellEnd"/>
      <w:r w:rsidRPr="00AD335B">
        <w:rPr>
          <w:lang w:val="en-US" w:eastAsia="zh-CN" w:bidi="ar"/>
        </w:rPr>
        <w:t xml:space="preserve">, A. U., &amp; </w:t>
      </w:r>
      <w:proofErr w:type="spellStart"/>
      <w:r w:rsidRPr="00AD335B">
        <w:rPr>
          <w:lang w:val="en-US" w:eastAsia="zh-CN" w:bidi="ar"/>
        </w:rPr>
        <w:t>Ekong</w:t>
      </w:r>
      <w:proofErr w:type="spellEnd"/>
      <w:r w:rsidRPr="00AD335B">
        <w:rPr>
          <w:lang w:val="en-US" w:eastAsia="zh-CN" w:bidi="ar"/>
        </w:rPr>
        <w:t xml:space="preserve">, I. U. (2025). Determination of polychlorinated biphenyls in soils and industrial effluents and health risks assessment in </w:t>
      </w:r>
      <w:proofErr w:type="spellStart"/>
      <w:r w:rsidRPr="00AD335B">
        <w:rPr>
          <w:lang w:val="en-US" w:eastAsia="zh-CN" w:bidi="ar"/>
        </w:rPr>
        <w:t>Uyo</w:t>
      </w:r>
      <w:proofErr w:type="spellEnd"/>
      <w:r w:rsidRPr="00AD335B">
        <w:rPr>
          <w:lang w:val="en-US" w:eastAsia="zh-CN" w:bidi="ar"/>
        </w:rPr>
        <w:t xml:space="preserve">, </w:t>
      </w:r>
      <w:proofErr w:type="spellStart"/>
      <w:r w:rsidRPr="00AD335B">
        <w:rPr>
          <w:lang w:val="en-US" w:eastAsia="zh-CN" w:bidi="ar"/>
        </w:rPr>
        <w:t>Akwa</w:t>
      </w:r>
      <w:proofErr w:type="spellEnd"/>
      <w:r w:rsidRPr="00AD335B">
        <w:rPr>
          <w:lang w:val="en-US" w:eastAsia="zh-CN" w:bidi="ar"/>
        </w:rPr>
        <w:t xml:space="preserve"> Ibom State, </w:t>
      </w:r>
      <w:r w:rsidRPr="00AD335B">
        <w:rPr>
          <w:lang w:val="en-US" w:eastAsia="zh-CN" w:bidi="ar"/>
        </w:rPr>
        <w:lastRenderedPageBreak/>
        <w:t xml:space="preserve">Nigeria. Journal of Medical Science, Biology, and Chemistry, 2(2), 285–292. </w:t>
      </w:r>
      <w:hyperlink r:id="rId14" w:history="1">
        <w:r w:rsidRPr="007468C6">
          <w:rPr>
            <w:rStyle w:val="Hyperlink"/>
            <w:lang w:val="en-US" w:eastAsia="zh-CN" w:bidi="ar"/>
          </w:rPr>
          <w:t>https://doi.org/10.69739/jmsbc.v2i2.1258</w:t>
        </w:r>
      </w:hyperlink>
      <w:r>
        <w:rPr>
          <w:lang w:val="en-US" w:eastAsia="zh-CN" w:bidi="ar"/>
        </w:rPr>
        <w:t xml:space="preserve"> </w:t>
      </w:r>
    </w:p>
    <w:p w14:paraId="61D5CB9E" w14:textId="1F0155EE" w:rsidR="00AD7519" w:rsidRPr="00AF7428" w:rsidRDefault="00471B33" w:rsidP="003600CA">
      <w:pPr>
        <w:pStyle w:val="NormalWeb"/>
        <w:rPr>
          <w:rStyle w:val="Hyperlink"/>
        </w:rPr>
      </w:pPr>
      <w:proofErr w:type="spellStart"/>
      <w:r w:rsidRPr="00471B33">
        <w:t>Isueken</w:t>
      </w:r>
      <w:proofErr w:type="spellEnd"/>
      <w:r w:rsidRPr="00471B33">
        <w:t xml:space="preserve">, C. O., </w:t>
      </w:r>
      <w:proofErr w:type="spellStart"/>
      <w:r w:rsidRPr="00471B33">
        <w:t>Asemota</w:t>
      </w:r>
      <w:proofErr w:type="spellEnd"/>
      <w:r w:rsidRPr="00471B33">
        <w:t xml:space="preserve">, P. O., Isaac, S. C., </w:t>
      </w:r>
      <w:proofErr w:type="spellStart"/>
      <w:r w:rsidRPr="00471B33">
        <w:t>Okpoji</w:t>
      </w:r>
      <w:proofErr w:type="spellEnd"/>
      <w:r w:rsidRPr="00471B33">
        <w:t xml:space="preserve">, A. U., Nwankwo, A. O., Akpan, N. A., </w:t>
      </w:r>
      <w:proofErr w:type="spellStart"/>
      <w:r w:rsidRPr="00471B33">
        <w:t>Ekwere</w:t>
      </w:r>
      <w:proofErr w:type="spellEnd"/>
      <w:r w:rsidRPr="00471B33">
        <w:t xml:space="preserve">, I. O., </w:t>
      </w:r>
      <w:proofErr w:type="spellStart"/>
      <w:r w:rsidRPr="00471B33">
        <w:t>Etesin</w:t>
      </w:r>
      <w:proofErr w:type="spellEnd"/>
      <w:r w:rsidRPr="00471B33">
        <w:t xml:space="preserve">, M. U., &amp; </w:t>
      </w:r>
      <w:proofErr w:type="spellStart"/>
      <w:r w:rsidRPr="00471B33">
        <w:t>Alieze</w:t>
      </w:r>
      <w:proofErr w:type="spellEnd"/>
      <w:r w:rsidRPr="00471B33">
        <w:t xml:space="preserve">, A. B. (2025). Assessment of petroleum hydrocarbon fractions and heavy metal contamination in surface water of </w:t>
      </w:r>
      <w:proofErr w:type="spellStart"/>
      <w:r w:rsidRPr="00471B33">
        <w:t>Ogboinbiri</w:t>
      </w:r>
      <w:proofErr w:type="spellEnd"/>
      <w:r w:rsidRPr="00471B33">
        <w:t xml:space="preserve"> Creek, Southern Ijaw, Bayelsa State, Nigeria. Scientific Journal of Engineering and Technology, 2(2), 172–179. </w:t>
      </w:r>
      <w:hyperlink r:id="rId15" w:history="1">
        <w:r w:rsidRPr="007468C6">
          <w:rPr>
            <w:rStyle w:val="Hyperlink"/>
          </w:rPr>
          <w:t>https://doi.org/10.69739/sjet.v2i2.1308</w:t>
        </w:r>
      </w:hyperlink>
      <w:r>
        <w:t xml:space="preserve"> </w:t>
      </w:r>
    </w:p>
    <w:p w14:paraId="61F14F7D" w14:textId="07432732" w:rsidR="00AD7519" w:rsidRPr="00AF7428" w:rsidRDefault="00EA316C" w:rsidP="003600CA">
      <w:pPr>
        <w:pStyle w:val="NormalWeb"/>
        <w:jc w:val="both"/>
      </w:pPr>
      <w:r w:rsidRPr="00EA316C">
        <w:t xml:space="preserve">John, E. E., </w:t>
      </w:r>
      <w:proofErr w:type="spellStart"/>
      <w:r w:rsidRPr="00EA316C">
        <w:t>Emah</w:t>
      </w:r>
      <w:proofErr w:type="spellEnd"/>
      <w:r w:rsidRPr="00EA316C">
        <w:t xml:space="preserve">, O. A., </w:t>
      </w:r>
      <w:proofErr w:type="spellStart"/>
      <w:r w:rsidRPr="00EA316C">
        <w:t>Ifiok</w:t>
      </w:r>
      <w:proofErr w:type="spellEnd"/>
      <w:r w:rsidRPr="00EA316C">
        <w:t xml:space="preserve">, O. E., </w:t>
      </w:r>
      <w:proofErr w:type="spellStart"/>
      <w:r w:rsidRPr="00EA316C">
        <w:t>Okpoji</w:t>
      </w:r>
      <w:proofErr w:type="spellEnd"/>
      <w:r w:rsidRPr="00EA316C">
        <w:t xml:space="preserve">, A. U., </w:t>
      </w:r>
      <w:proofErr w:type="spellStart"/>
      <w:r w:rsidRPr="00EA316C">
        <w:t>Iyam</w:t>
      </w:r>
      <w:proofErr w:type="spellEnd"/>
      <w:r w:rsidRPr="00EA316C">
        <w:t xml:space="preserve">, O. E., Henderson, O. O., Akinola, A. E., Gloria, N. A., &amp; Charles, N. O. (2025). Health Risk Implications of Polycyclic Aromatic Hydrocarbons in Smoked and Dried Fish Consumed in Nigeria. Journal of Medical Science, Biology, and Chemistry, 2(2), 192–199. </w:t>
      </w:r>
      <w:hyperlink r:id="rId16" w:history="1">
        <w:r w:rsidRPr="007468C6">
          <w:rPr>
            <w:rStyle w:val="Hyperlink"/>
          </w:rPr>
          <w:t>https://doi.org/10.69739/jmsbc.v2i2.1045</w:t>
        </w:r>
      </w:hyperlink>
      <w:r>
        <w:t xml:space="preserve"> </w:t>
      </w:r>
    </w:p>
    <w:p w14:paraId="018363E7" w14:textId="76668DA1" w:rsidR="00AD7519" w:rsidRPr="00AF7428" w:rsidRDefault="000A4E18" w:rsidP="003600CA">
      <w:pPr>
        <w:pStyle w:val="NormalWeb"/>
        <w:spacing w:line="276" w:lineRule="auto"/>
        <w:jc w:val="both"/>
        <w:rPr>
          <w:lang w:val="en-US"/>
        </w:rPr>
      </w:pPr>
      <w:proofErr w:type="spellStart"/>
      <w:r w:rsidRPr="000A4E18">
        <w:t>Ogbaji</w:t>
      </w:r>
      <w:proofErr w:type="spellEnd"/>
      <w:r w:rsidRPr="000A4E18">
        <w:t xml:space="preserve">, H. O., Akpan, N. A., </w:t>
      </w:r>
      <w:proofErr w:type="spellStart"/>
      <w:r w:rsidRPr="000A4E18">
        <w:t>Ijioma</w:t>
      </w:r>
      <w:proofErr w:type="spellEnd"/>
      <w:r w:rsidRPr="000A4E18">
        <w:t xml:space="preserve">, C. C., </w:t>
      </w:r>
      <w:proofErr w:type="spellStart"/>
      <w:r w:rsidRPr="000A4E18">
        <w:t>Okpoji</w:t>
      </w:r>
      <w:proofErr w:type="spellEnd"/>
      <w:r w:rsidRPr="000A4E18">
        <w:t xml:space="preserve">, A. U., </w:t>
      </w:r>
      <w:proofErr w:type="spellStart"/>
      <w:r w:rsidRPr="000A4E18">
        <w:t>Eze</w:t>
      </w:r>
      <w:proofErr w:type="spellEnd"/>
      <w:r w:rsidRPr="000A4E18">
        <w:t xml:space="preserve">, V. C., Obi, J. N., Martins, N. P., &amp; </w:t>
      </w:r>
      <w:proofErr w:type="spellStart"/>
      <w:r w:rsidRPr="000A4E18">
        <w:t>Etesin</w:t>
      </w:r>
      <w:proofErr w:type="spellEnd"/>
      <w:r w:rsidRPr="000A4E18">
        <w:t xml:space="preserve">, M. U. (2025). Seasonal variation in hydrocarbon contamination of sediments and biota in Bonny Estuary, Rivers State, Nigeria. Asian Journal of Geographical Research, 8(4), 330–338. </w:t>
      </w:r>
      <w:hyperlink r:id="rId17" w:history="1">
        <w:r w:rsidRPr="007468C6">
          <w:rPr>
            <w:rStyle w:val="Hyperlink"/>
          </w:rPr>
          <w:t>https://doi.org/10.9734/ajgr/2025/v8i4341</w:t>
        </w:r>
      </w:hyperlink>
      <w:r>
        <w:t xml:space="preserve"> </w:t>
      </w:r>
    </w:p>
    <w:p w14:paraId="289C4134" w14:textId="368837CE" w:rsidR="00AD7519" w:rsidRPr="00AF7428" w:rsidRDefault="00CD4FDA" w:rsidP="003600CA">
      <w:pPr>
        <w:pStyle w:val="NormalWeb"/>
      </w:pPr>
      <w:proofErr w:type="spellStart"/>
      <w:r w:rsidRPr="00CD4FDA">
        <w:t>Ohaturuonye</w:t>
      </w:r>
      <w:proofErr w:type="spellEnd"/>
      <w:r w:rsidRPr="00CD4FDA">
        <w:t xml:space="preserve">, S. O., </w:t>
      </w:r>
      <w:proofErr w:type="spellStart"/>
      <w:r w:rsidRPr="00CD4FDA">
        <w:t>Okpoji</w:t>
      </w:r>
      <w:proofErr w:type="spellEnd"/>
      <w:r w:rsidRPr="00CD4FDA">
        <w:t xml:space="preserve">, A. U., Akpan, N. A., Njoku, C. A., Isaac, S. C., </w:t>
      </w:r>
      <w:proofErr w:type="spellStart"/>
      <w:r w:rsidRPr="00CD4FDA">
        <w:t>Etesin</w:t>
      </w:r>
      <w:proofErr w:type="spellEnd"/>
      <w:r w:rsidRPr="00CD4FDA">
        <w:t xml:space="preserve">, M. U., &amp; </w:t>
      </w:r>
      <w:proofErr w:type="spellStart"/>
      <w:r w:rsidRPr="00CD4FDA">
        <w:t>Ekwere</w:t>
      </w:r>
      <w:proofErr w:type="spellEnd"/>
      <w:r w:rsidRPr="00CD4FDA">
        <w:t xml:space="preserve">, I. O. (2025). Biomarker responses in fish and crustaceans exposed to heavy metals and petroleum hydrocarbons in the Qua </w:t>
      </w:r>
      <w:proofErr w:type="spellStart"/>
      <w:r w:rsidRPr="00CD4FDA">
        <w:t>Iboe</w:t>
      </w:r>
      <w:proofErr w:type="spellEnd"/>
      <w:r w:rsidRPr="00CD4FDA">
        <w:t xml:space="preserve"> Estuary, Niger Delta. Asian Journal of Research in Zoology, 8(4), 234–244. </w:t>
      </w:r>
      <w:hyperlink r:id="rId18" w:history="1">
        <w:r w:rsidRPr="007468C6">
          <w:rPr>
            <w:rStyle w:val="Hyperlink"/>
          </w:rPr>
          <w:t>https://doi.org/10.9734/ajriz/2025/v8i4233</w:t>
        </w:r>
      </w:hyperlink>
      <w:r>
        <w:t xml:space="preserve"> </w:t>
      </w:r>
    </w:p>
    <w:p w14:paraId="0D7E28C8" w14:textId="2873BE32" w:rsidR="00AD7519" w:rsidRPr="00AF7428" w:rsidRDefault="00D071D3" w:rsidP="003600CA">
      <w:pPr>
        <w:pStyle w:val="NormalWeb"/>
        <w:spacing w:line="276" w:lineRule="auto"/>
        <w:jc w:val="both"/>
      </w:pPr>
      <w:r w:rsidRPr="00D071D3">
        <w:t xml:space="preserve">Okagbare, U. V., </w:t>
      </w:r>
      <w:proofErr w:type="spellStart"/>
      <w:r w:rsidRPr="00D071D3">
        <w:t>Umueni</w:t>
      </w:r>
      <w:proofErr w:type="spellEnd"/>
      <w:r w:rsidRPr="00D071D3">
        <w:t xml:space="preserve">, U. E., Ekpe, J. E., </w:t>
      </w:r>
      <w:proofErr w:type="spellStart"/>
      <w:r w:rsidRPr="00D071D3">
        <w:t>Etukudo</w:t>
      </w:r>
      <w:proofErr w:type="spellEnd"/>
      <w:r w:rsidRPr="00D071D3">
        <w:t xml:space="preserve">, N. J., </w:t>
      </w:r>
      <w:proofErr w:type="spellStart"/>
      <w:r w:rsidRPr="00D071D3">
        <w:t>Okpoji</w:t>
      </w:r>
      <w:proofErr w:type="spellEnd"/>
      <w:r w:rsidRPr="00D071D3">
        <w:t xml:space="preserve">, A. U., Okoye, P. I., </w:t>
      </w:r>
      <w:proofErr w:type="spellStart"/>
      <w:r w:rsidRPr="00D071D3">
        <w:t>Ekwere</w:t>
      </w:r>
      <w:proofErr w:type="spellEnd"/>
      <w:r w:rsidRPr="00D071D3">
        <w:t xml:space="preserve">, I. O., </w:t>
      </w:r>
      <w:proofErr w:type="spellStart"/>
      <w:r w:rsidRPr="00D071D3">
        <w:t>Etesin</w:t>
      </w:r>
      <w:proofErr w:type="spellEnd"/>
      <w:r w:rsidRPr="00D071D3">
        <w:t xml:space="preserve">, M. U., </w:t>
      </w:r>
      <w:proofErr w:type="spellStart"/>
      <w:r w:rsidRPr="00D071D3">
        <w:t>Okpanachi</w:t>
      </w:r>
      <w:proofErr w:type="spellEnd"/>
      <w:r w:rsidRPr="00D071D3">
        <w:t xml:space="preserve">, C. B., &amp; Okafor, C. A. (2025). Geophysical and </w:t>
      </w:r>
      <w:proofErr w:type="spellStart"/>
      <w:r w:rsidRPr="00D071D3">
        <w:t>Hydrochemical</w:t>
      </w:r>
      <w:proofErr w:type="spellEnd"/>
      <w:r w:rsidRPr="00D071D3">
        <w:t xml:space="preserve"> Assessment of Groundwater Vulnerability to Oil Pollution in </w:t>
      </w:r>
      <w:proofErr w:type="spellStart"/>
      <w:r w:rsidRPr="00D071D3">
        <w:t>Yenagoa</w:t>
      </w:r>
      <w:proofErr w:type="spellEnd"/>
      <w:r w:rsidRPr="00D071D3">
        <w:t xml:space="preserve">, Bayelsa State, Nigeria. Journal of Environment, Climate, and Ecology, 2(2), 138–146. </w:t>
      </w:r>
      <w:hyperlink r:id="rId19" w:history="1">
        <w:r w:rsidRPr="007468C6">
          <w:rPr>
            <w:rStyle w:val="Hyperlink"/>
          </w:rPr>
          <w:t>https://doi.org/10.69739/jece.v2i2.1078</w:t>
        </w:r>
      </w:hyperlink>
      <w:r>
        <w:t xml:space="preserve"> </w:t>
      </w:r>
    </w:p>
    <w:p w14:paraId="3BEF4B2C" w14:textId="0EA84143" w:rsidR="00AD7519" w:rsidRPr="00AF7428" w:rsidRDefault="001F1B80" w:rsidP="003600CA">
      <w:pPr>
        <w:pStyle w:val="NormalWeb"/>
        <w:rPr>
          <w:rStyle w:val="Hyperlink"/>
        </w:rPr>
      </w:pPr>
      <w:proofErr w:type="spellStart"/>
      <w:r w:rsidRPr="001F1B80">
        <w:t>Okpoji</w:t>
      </w:r>
      <w:proofErr w:type="spellEnd"/>
      <w:r w:rsidRPr="001F1B80">
        <w:t xml:space="preserve">, A. U., Akpan, N. A., </w:t>
      </w:r>
      <w:proofErr w:type="spellStart"/>
      <w:r w:rsidRPr="001F1B80">
        <w:t>Eze</w:t>
      </w:r>
      <w:proofErr w:type="spellEnd"/>
      <w:r w:rsidRPr="001F1B80">
        <w:t xml:space="preserve">, V. C., </w:t>
      </w:r>
      <w:proofErr w:type="spellStart"/>
      <w:r w:rsidRPr="001F1B80">
        <w:t>Ijioma</w:t>
      </w:r>
      <w:proofErr w:type="spellEnd"/>
      <w:r w:rsidRPr="001F1B80">
        <w:t xml:space="preserve">, C. C., Hassan, D. H., Kareem, M. M., Obi, A. I., </w:t>
      </w:r>
      <w:proofErr w:type="spellStart"/>
      <w:r w:rsidRPr="001F1B80">
        <w:t>Aningo</w:t>
      </w:r>
      <w:proofErr w:type="spellEnd"/>
      <w:r w:rsidRPr="001F1B80">
        <w:t xml:space="preserve">, G. N., Okoye, P. I., </w:t>
      </w:r>
      <w:proofErr w:type="spellStart"/>
      <w:r w:rsidRPr="001F1B80">
        <w:t>Ogbonnaya</w:t>
      </w:r>
      <w:proofErr w:type="spellEnd"/>
      <w:r w:rsidRPr="001F1B80">
        <w:t xml:space="preserve">, C. N., </w:t>
      </w:r>
      <w:proofErr w:type="spellStart"/>
      <w:r w:rsidRPr="001F1B80">
        <w:t>Ekwere</w:t>
      </w:r>
      <w:proofErr w:type="spellEnd"/>
      <w:r w:rsidRPr="001F1B80">
        <w:t xml:space="preserve">, I. O., Okeke, C. F., &amp; </w:t>
      </w:r>
      <w:proofErr w:type="spellStart"/>
      <w:r w:rsidRPr="001F1B80">
        <w:t>Aligwo</w:t>
      </w:r>
      <w:proofErr w:type="spellEnd"/>
      <w:r w:rsidRPr="001F1B80">
        <w:t xml:space="preserve">, M. C. (2025). Toxicity and bioaccumulation of heavy metals and polycyclic aromatic hydrocarbons in estuarine fish from the </w:t>
      </w:r>
      <w:proofErr w:type="spellStart"/>
      <w:r w:rsidRPr="001F1B80">
        <w:t>Andoni</w:t>
      </w:r>
      <w:proofErr w:type="spellEnd"/>
      <w:r w:rsidRPr="001F1B80">
        <w:t xml:space="preserve"> Estuary, Niger Delta, Nigeria. Journal of Applied Physical Science International, 17(2), 10–22. </w:t>
      </w:r>
      <w:hyperlink r:id="rId20" w:history="1">
        <w:r w:rsidRPr="007468C6">
          <w:rPr>
            <w:rStyle w:val="Hyperlink"/>
          </w:rPr>
          <w:t>https://doi.org/10.56557/japsi/2025/v17i210026</w:t>
        </w:r>
      </w:hyperlink>
      <w:r>
        <w:t xml:space="preserve"> </w:t>
      </w:r>
    </w:p>
    <w:p w14:paraId="6623B641" w14:textId="57A1641B" w:rsidR="00AD7519" w:rsidRPr="003600CA" w:rsidRDefault="002B5800"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w:t>
      </w:r>
      <w:proofErr w:type="spellStart"/>
      <w:r w:rsidRPr="003600CA">
        <w:rPr>
          <w:rFonts w:ascii="Times New Roman" w:eastAsia="Times New Roman" w:hAnsi="Times New Roman" w:cs="Times New Roman"/>
          <w:sz w:val="24"/>
          <w:szCs w:val="24"/>
          <w:lang w:eastAsia="en-GB"/>
        </w:rPr>
        <w:t>Anarado</w:t>
      </w:r>
      <w:proofErr w:type="spellEnd"/>
      <w:r w:rsidRPr="003600CA">
        <w:rPr>
          <w:rFonts w:ascii="Times New Roman" w:eastAsia="Times New Roman" w:hAnsi="Times New Roman" w:cs="Times New Roman"/>
          <w:sz w:val="24"/>
          <w:szCs w:val="24"/>
          <w:lang w:eastAsia="en-GB"/>
        </w:rPr>
        <w:t xml:space="preserve">, C. O., </w:t>
      </w:r>
      <w:proofErr w:type="spellStart"/>
      <w:r w:rsidRPr="003600CA">
        <w:rPr>
          <w:rFonts w:ascii="Times New Roman" w:eastAsia="Times New Roman" w:hAnsi="Times New Roman" w:cs="Times New Roman"/>
          <w:sz w:val="24"/>
          <w:szCs w:val="24"/>
          <w:lang w:eastAsia="en-GB"/>
        </w:rPr>
        <w:t>Mmuta</w:t>
      </w:r>
      <w:proofErr w:type="spellEnd"/>
      <w:r w:rsidRPr="003600CA">
        <w:rPr>
          <w:rFonts w:ascii="Times New Roman" w:eastAsia="Times New Roman" w:hAnsi="Times New Roman" w:cs="Times New Roman"/>
          <w:sz w:val="24"/>
          <w:szCs w:val="24"/>
          <w:lang w:eastAsia="en-GB"/>
        </w:rPr>
        <w:t xml:space="preserve">, E. C., </w:t>
      </w:r>
      <w:proofErr w:type="spellStart"/>
      <w:r w:rsidRPr="003600CA">
        <w:rPr>
          <w:rFonts w:ascii="Times New Roman" w:eastAsia="Times New Roman" w:hAnsi="Times New Roman" w:cs="Times New Roman"/>
          <w:sz w:val="24"/>
          <w:szCs w:val="24"/>
          <w:lang w:eastAsia="en-GB"/>
        </w:rPr>
        <w:t>Ekwere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Alaekwe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Odibo</w:t>
      </w:r>
      <w:proofErr w:type="spellEnd"/>
      <w:r w:rsidRPr="003600CA">
        <w:rPr>
          <w:rFonts w:ascii="Times New Roman" w:eastAsia="Times New Roman" w:hAnsi="Times New Roman" w:cs="Times New Roman"/>
          <w:sz w:val="24"/>
          <w:szCs w:val="24"/>
          <w:lang w:eastAsia="en-GB"/>
        </w:rPr>
        <w:t xml:space="preserve">, U. E., </w:t>
      </w:r>
      <w:proofErr w:type="spellStart"/>
      <w:r w:rsidRPr="003600CA">
        <w:rPr>
          <w:rFonts w:ascii="Times New Roman" w:eastAsia="Times New Roman" w:hAnsi="Times New Roman" w:cs="Times New Roman"/>
          <w:sz w:val="24"/>
          <w:szCs w:val="24"/>
          <w:lang w:eastAsia="en-GB"/>
        </w:rPr>
        <w:t>Igwegbe</w:t>
      </w:r>
      <w:proofErr w:type="spellEnd"/>
      <w:r w:rsidRPr="003600CA">
        <w:rPr>
          <w:rFonts w:ascii="Times New Roman" w:eastAsia="Times New Roman" w:hAnsi="Times New Roman" w:cs="Times New Roman"/>
          <w:sz w:val="24"/>
          <w:szCs w:val="24"/>
          <w:lang w:eastAsia="en-GB"/>
        </w:rPr>
        <w:t xml:space="preserve">, K. C., </w:t>
      </w:r>
      <w:proofErr w:type="spellStart"/>
      <w:r w:rsidRPr="003600CA">
        <w:rPr>
          <w:rFonts w:ascii="Times New Roman" w:eastAsia="Times New Roman" w:hAnsi="Times New Roman" w:cs="Times New Roman"/>
          <w:sz w:val="24"/>
          <w:szCs w:val="24"/>
          <w:lang w:eastAsia="en-GB"/>
        </w:rPr>
        <w:t>Eboh-Ajoku</w:t>
      </w:r>
      <w:proofErr w:type="spellEnd"/>
      <w:r w:rsidRPr="003600CA">
        <w:rPr>
          <w:rFonts w:ascii="Times New Roman" w:eastAsia="Times New Roman" w:hAnsi="Times New Roman" w:cs="Times New Roman"/>
          <w:sz w:val="24"/>
          <w:szCs w:val="24"/>
          <w:lang w:eastAsia="en-GB"/>
        </w:rPr>
        <w:t xml:space="preserve">, I. O., &amp; </w:t>
      </w:r>
      <w:proofErr w:type="spellStart"/>
      <w:r w:rsidRPr="003600CA">
        <w:rPr>
          <w:rFonts w:ascii="Times New Roman" w:eastAsia="Times New Roman" w:hAnsi="Times New Roman" w:cs="Times New Roman"/>
          <w:sz w:val="24"/>
          <w:szCs w:val="24"/>
          <w:lang w:eastAsia="en-GB"/>
        </w:rPr>
        <w:t>Obunezi</w:t>
      </w:r>
      <w:proofErr w:type="spellEnd"/>
      <w:r w:rsidRPr="003600CA">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21" w:history="1">
        <w:r w:rsidRPr="003600CA">
          <w:rPr>
            <w:rStyle w:val="Hyperlink"/>
            <w:rFonts w:ascii="Times New Roman" w:eastAsia="Times New Roman" w:hAnsi="Times New Roman" w:cs="Times New Roman"/>
            <w:sz w:val="24"/>
            <w:szCs w:val="24"/>
            <w:lang w:eastAsia="en-GB"/>
          </w:rPr>
          <w:t>https://doi.org/10.69739/jlsph.v1i1.879</w:t>
        </w:r>
      </w:hyperlink>
      <w:r w:rsidRPr="003600CA">
        <w:rPr>
          <w:rFonts w:ascii="Times New Roman" w:eastAsia="Times New Roman" w:hAnsi="Times New Roman" w:cs="Times New Roman"/>
          <w:sz w:val="24"/>
          <w:szCs w:val="24"/>
          <w:lang w:eastAsia="en-GB"/>
        </w:rPr>
        <w:t xml:space="preserve"> </w:t>
      </w:r>
    </w:p>
    <w:p w14:paraId="0313C6EA" w14:textId="3E6B6E26" w:rsidR="00AD7519" w:rsidRPr="003600CA" w:rsidRDefault="00F12130"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Chinyere, U. E., </w:t>
      </w:r>
      <w:proofErr w:type="spellStart"/>
      <w:r w:rsidRPr="003600CA">
        <w:rPr>
          <w:rFonts w:ascii="Times New Roman" w:eastAsia="Times New Roman" w:hAnsi="Times New Roman" w:cs="Times New Roman"/>
          <w:sz w:val="24"/>
          <w:szCs w:val="24"/>
          <w:lang w:eastAsia="en-GB"/>
        </w:rPr>
        <w:t>Nwokoye</w:t>
      </w:r>
      <w:proofErr w:type="spellEnd"/>
      <w:r w:rsidRPr="003600CA">
        <w:rPr>
          <w:rFonts w:ascii="Times New Roman" w:eastAsia="Times New Roman" w:hAnsi="Times New Roman" w:cs="Times New Roman"/>
          <w:sz w:val="24"/>
          <w:szCs w:val="24"/>
          <w:lang w:eastAsia="en-GB"/>
        </w:rPr>
        <w:t xml:space="preserve">, J. N., </w:t>
      </w:r>
      <w:proofErr w:type="spellStart"/>
      <w:r w:rsidRPr="003600CA">
        <w:rPr>
          <w:rFonts w:ascii="Times New Roman" w:eastAsia="Times New Roman" w:hAnsi="Times New Roman" w:cs="Times New Roman"/>
          <w:sz w:val="24"/>
          <w:szCs w:val="24"/>
          <w:lang w:eastAsia="en-GB"/>
        </w:rPr>
        <w:t>Ezekwuemen</w:t>
      </w:r>
      <w:proofErr w:type="spellEnd"/>
      <w:r w:rsidRPr="003600CA">
        <w:rPr>
          <w:rFonts w:ascii="Times New Roman" w:eastAsia="Times New Roman" w:hAnsi="Times New Roman" w:cs="Times New Roman"/>
          <w:sz w:val="24"/>
          <w:szCs w:val="24"/>
          <w:lang w:eastAsia="en-GB"/>
        </w:rPr>
        <w:t xml:space="preserve">, O. I., </w:t>
      </w:r>
      <w:proofErr w:type="spellStart"/>
      <w:r w:rsidRPr="003600CA">
        <w:rPr>
          <w:rFonts w:ascii="Times New Roman" w:eastAsia="Times New Roman" w:hAnsi="Times New Roman" w:cs="Times New Roman"/>
          <w:sz w:val="24"/>
          <w:szCs w:val="24"/>
          <w:lang w:eastAsia="en-GB"/>
        </w:rPr>
        <w:t>Alaekwe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Odidika</w:t>
      </w:r>
      <w:proofErr w:type="spellEnd"/>
      <w:r w:rsidRPr="003600CA">
        <w:rPr>
          <w:rFonts w:ascii="Times New Roman" w:eastAsia="Times New Roman" w:hAnsi="Times New Roman" w:cs="Times New Roman"/>
          <w:sz w:val="24"/>
          <w:szCs w:val="24"/>
          <w:lang w:eastAsia="en-GB"/>
        </w:rPr>
        <w:t xml:space="preserve">, C. C., </w:t>
      </w:r>
      <w:proofErr w:type="spellStart"/>
      <w:r w:rsidRPr="003600CA">
        <w:rPr>
          <w:rFonts w:ascii="Times New Roman" w:eastAsia="Times New Roman" w:hAnsi="Times New Roman" w:cs="Times New Roman"/>
          <w:sz w:val="24"/>
          <w:szCs w:val="24"/>
          <w:lang w:eastAsia="en-GB"/>
        </w:rPr>
        <w:t>Owughara</w:t>
      </w:r>
      <w:proofErr w:type="spellEnd"/>
      <w:r w:rsidRPr="003600CA">
        <w:rPr>
          <w:rFonts w:ascii="Times New Roman" w:eastAsia="Times New Roman" w:hAnsi="Times New Roman" w:cs="Times New Roman"/>
          <w:sz w:val="24"/>
          <w:szCs w:val="24"/>
          <w:lang w:eastAsia="en-GB"/>
        </w:rPr>
        <w:t xml:space="preserve">, C. N., </w:t>
      </w:r>
      <w:proofErr w:type="spellStart"/>
      <w:r w:rsidRPr="003600CA">
        <w:rPr>
          <w:rFonts w:ascii="Times New Roman" w:eastAsia="Times New Roman" w:hAnsi="Times New Roman" w:cs="Times New Roman"/>
          <w:sz w:val="24"/>
          <w:szCs w:val="24"/>
          <w:lang w:eastAsia="en-GB"/>
        </w:rPr>
        <w:t>Enyi</w:t>
      </w:r>
      <w:proofErr w:type="spellEnd"/>
      <w:r w:rsidRPr="003600CA">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3600CA">
        <w:rPr>
          <w:rFonts w:ascii="Times New Roman" w:eastAsia="Times New Roman" w:hAnsi="Times New Roman" w:cs="Times New Roman"/>
          <w:sz w:val="24"/>
          <w:szCs w:val="24"/>
          <w:lang w:eastAsia="en-GB"/>
        </w:rPr>
        <w:t>Andoni</w:t>
      </w:r>
      <w:proofErr w:type="spellEnd"/>
      <w:r w:rsidRPr="003600CA">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2" w:history="1">
        <w:r w:rsidRPr="003600CA">
          <w:rPr>
            <w:rStyle w:val="Hyperlink"/>
            <w:rFonts w:ascii="Times New Roman" w:eastAsia="Times New Roman" w:hAnsi="Times New Roman" w:cs="Times New Roman"/>
            <w:sz w:val="24"/>
            <w:szCs w:val="24"/>
            <w:lang w:eastAsia="en-GB"/>
          </w:rPr>
          <w:t>https://doi.org/10.5281/zenodo.16904018</w:t>
        </w:r>
      </w:hyperlink>
      <w:r w:rsidRPr="003600CA">
        <w:rPr>
          <w:rFonts w:ascii="Times New Roman" w:eastAsia="Times New Roman" w:hAnsi="Times New Roman" w:cs="Times New Roman"/>
          <w:sz w:val="24"/>
          <w:szCs w:val="24"/>
          <w:lang w:eastAsia="en-GB"/>
        </w:rPr>
        <w:t xml:space="preserve"> </w:t>
      </w:r>
    </w:p>
    <w:p w14:paraId="28C2B6AE" w14:textId="609723B4" w:rsidR="00AD7519" w:rsidRPr="003600CA" w:rsidRDefault="00E2311D"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eastAsia="Times New Roman" w:hAnsi="Times New Roman" w:cs="Times New Roman"/>
          <w:sz w:val="24"/>
          <w:szCs w:val="24"/>
          <w:lang w:eastAsia="en-GB"/>
        </w:rPr>
        <w:lastRenderedPageBreak/>
        <w:t>Okpoji</w:t>
      </w:r>
      <w:proofErr w:type="spellEnd"/>
      <w:r w:rsidRPr="003600CA">
        <w:rPr>
          <w:rFonts w:ascii="Times New Roman" w:eastAsia="Times New Roman" w:hAnsi="Times New Roman" w:cs="Times New Roman"/>
          <w:sz w:val="24"/>
          <w:szCs w:val="24"/>
          <w:lang w:eastAsia="en-GB"/>
        </w:rPr>
        <w:t xml:space="preserve">, A. U., </w:t>
      </w:r>
      <w:proofErr w:type="spellStart"/>
      <w:r w:rsidRPr="003600CA">
        <w:rPr>
          <w:rFonts w:ascii="Times New Roman" w:eastAsia="Times New Roman" w:hAnsi="Times New Roman" w:cs="Times New Roman"/>
          <w:sz w:val="24"/>
          <w:szCs w:val="24"/>
          <w:lang w:eastAsia="en-GB"/>
        </w:rPr>
        <w:t>Eboh-Ajoku</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Mmuta</w:t>
      </w:r>
      <w:proofErr w:type="spellEnd"/>
      <w:r w:rsidRPr="003600CA">
        <w:rPr>
          <w:rFonts w:ascii="Times New Roman" w:eastAsia="Times New Roman" w:hAnsi="Times New Roman" w:cs="Times New Roman"/>
          <w:sz w:val="24"/>
          <w:szCs w:val="24"/>
          <w:lang w:eastAsia="en-GB"/>
        </w:rPr>
        <w:t xml:space="preserve">, E. C., </w:t>
      </w:r>
      <w:proofErr w:type="spellStart"/>
      <w:r w:rsidRPr="003600CA">
        <w:rPr>
          <w:rFonts w:ascii="Times New Roman" w:eastAsia="Times New Roman" w:hAnsi="Times New Roman" w:cs="Times New Roman"/>
          <w:sz w:val="24"/>
          <w:szCs w:val="24"/>
          <w:lang w:eastAsia="en-GB"/>
        </w:rPr>
        <w:t>Ndubuisi</w:t>
      </w:r>
      <w:proofErr w:type="spellEnd"/>
      <w:r w:rsidRPr="003600CA">
        <w:rPr>
          <w:rFonts w:ascii="Times New Roman" w:eastAsia="Times New Roman" w:hAnsi="Times New Roman" w:cs="Times New Roman"/>
          <w:sz w:val="24"/>
          <w:szCs w:val="24"/>
          <w:lang w:eastAsia="en-GB"/>
        </w:rPr>
        <w:t xml:space="preserve">, J. O., </w:t>
      </w:r>
      <w:proofErr w:type="spellStart"/>
      <w:r w:rsidRPr="003600CA">
        <w:rPr>
          <w:rFonts w:ascii="Times New Roman" w:eastAsia="Times New Roman" w:hAnsi="Times New Roman" w:cs="Times New Roman"/>
          <w:sz w:val="24"/>
          <w:szCs w:val="24"/>
          <w:lang w:eastAsia="en-GB"/>
        </w:rPr>
        <w:t>Alaekwe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Odibo</w:t>
      </w:r>
      <w:proofErr w:type="spellEnd"/>
      <w:r w:rsidRPr="003600CA">
        <w:rPr>
          <w:rFonts w:ascii="Times New Roman" w:eastAsia="Times New Roman" w:hAnsi="Times New Roman" w:cs="Times New Roman"/>
          <w:sz w:val="24"/>
          <w:szCs w:val="24"/>
          <w:lang w:eastAsia="en-GB"/>
        </w:rPr>
        <w:t xml:space="preserve">, U. E., </w:t>
      </w:r>
      <w:proofErr w:type="spellStart"/>
      <w:r w:rsidRPr="003600CA">
        <w:rPr>
          <w:rFonts w:ascii="Times New Roman" w:eastAsia="Times New Roman" w:hAnsi="Times New Roman" w:cs="Times New Roman"/>
          <w:sz w:val="24"/>
          <w:szCs w:val="24"/>
          <w:lang w:eastAsia="en-GB"/>
        </w:rPr>
        <w:t>Nwoka</w:t>
      </w:r>
      <w:proofErr w:type="spellEnd"/>
      <w:r w:rsidRPr="003600CA">
        <w:rPr>
          <w:rFonts w:ascii="Times New Roman" w:eastAsia="Times New Roman" w:hAnsi="Times New Roman" w:cs="Times New Roman"/>
          <w:sz w:val="24"/>
          <w:szCs w:val="24"/>
          <w:lang w:eastAsia="en-GB"/>
        </w:rPr>
        <w:t xml:space="preserve">, N. G., Okafor, C. A., &amp; </w:t>
      </w:r>
      <w:proofErr w:type="spellStart"/>
      <w:r w:rsidRPr="003600CA">
        <w:rPr>
          <w:rFonts w:ascii="Times New Roman" w:eastAsia="Times New Roman" w:hAnsi="Times New Roman" w:cs="Times New Roman"/>
          <w:sz w:val="24"/>
          <w:szCs w:val="24"/>
          <w:lang w:eastAsia="en-GB"/>
        </w:rPr>
        <w:t>Obunezi</w:t>
      </w:r>
      <w:proofErr w:type="spellEnd"/>
      <w:r w:rsidRPr="003600CA">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3" w:history="1">
        <w:r w:rsidRPr="003600CA">
          <w:rPr>
            <w:rStyle w:val="Hyperlink"/>
            <w:rFonts w:ascii="Times New Roman" w:eastAsia="Times New Roman" w:hAnsi="Times New Roman" w:cs="Times New Roman"/>
            <w:sz w:val="24"/>
            <w:szCs w:val="24"/>
            <w:lang w:eastAsia="en-GB"/>
          </w:rPr>
          <w:t>https://doi.org/10.5281/zenodo.16921896</w:t>
        </w:r>
      </w:hyperlink>
      <w:r w:rsidRPr="003600CA">
        <w:rPr>
          <w:rFonts w:ascii="Times New Roman" w:eastAsia="Times New Roman" w:hAnsi="Times New Roman" w:cs="Times New Roman"/>
          <w:sz w:val="24"/>
          <w:szCs w:val="24"/>
          <w:lang w:eastAsia="en-GB"/>
        </w:rPr>
        <w:t xml:space="preserve"> </w:t>
      </w:r>
    </w:p>
    <w:p w14:paraId="50E7097A" w14:textId="431E7E9F" w:rsidR="00AD7519" w:rsidRPr="003600CA" w:rsidRDefault="00A9273E"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w:t>
      </w:r>
      <w:proofErr w:type="spellStart"/>
      <w:r w:rsidRPr="003600CA">
        <w:rPr>
          <w:rFonts w:ascii="Times New Roman" w:eastAsia="Times New Roman" w:hAnsi="Times New Roman" w:cs="Times New Roman"/>
          <w:sz w:val="24"/>
          <w:szCs w:val="24"/>
          <w:lang w:eastAsia="en-GB"/>
        </w:rPr>
        <w:t>Ekwere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Igwegbe</w:t>
      </w:r>
      <w:proofErr w:type="spellEnd"/>
      <w:r w:rsidRPr="003600CA">
        <w:rPr>
          <w:rFonts w:ascii="Times New Roman" w:eastAsia="Times New Roman" w:hAnsi="Times New Roman" w:cs="Times New Roman"/>
          <w:sz w:val="24"/>
          <w:szCs w:val="24"/>
          <w:lang w:eastAsia="en-GB"/>
        </w:rPr>
        <w:t xml:space="preserve">, K. C., </w:t>
      </w:r>
      <w:proofErr w:type="spellStart"/>
      <w:r w:rsidRPr="003600CA">
        <w:rPr>
          <w:rFonts w:ascii="Times New Roman" w:eastAsia="Times New Roman" w:hAnsi="Times New Roman" w:cs="Times New Roman"/>
          <w:sz w:val="24"/>
          <w:szCs w:val="24"/>
          <w:lang w:eastAsia="en-GB"/>
        </w:rPr>
        <w:t>Anarado</w:t>
      </w:r>
      <w:proofErr w:type="spellEnd"/>
      <w:r w:rsidRPr="003600CA">
        <w:rPr>
          <w:rFonts w:ascii="Times New Roman" w:eastAsia="Times New Roman" w:hAnsi="Times New Roman" w:cs="Times New Roman"/>
          <w:sz w:val="24"/>
          <w:szCs w:val="24"/>
          <w:lang w:eastAsia="en-GB"/>
        </w:rPr>
        <w:t xml:space="preserve">, C. J. O., Ogbonna, C., </w:t>
      </w:r>
      <w:proofErr w:type="spellStart"/>
      <w:r w:rsidRPr="003600CA">
        <w:rPr>
          <w:rFonts w:ascii="Times New Roman" w:eastAsia="Times New Roman" w:hAnsi="Times New Roman" w:cs="Times New Roman"/>
          <w:sz w:val="24"/>
          <w:szCs w:val="24"/>
          <w:lang w:eastAsia="en-GB"/>
        </w:rPr>
        <w:t>Ewuola</w:t>
      </w:r>
      <w:proofErr w:type="spellEnd"/>
      <w:r w:rsidRPr="003600CA">
        <w:rPr>
          <w:rFonts w:ascii="Times New Roman" w:eastAsia="Times New Roman" w:hAnsi="Times New Roman" w:cs="Times New Roman"/>
          <w:sz w:val="24"/>
          <w:szCs w:val="24"/>
          <w:lang w:eastAsia="en-GB"/>
        </w:rPr>
        <w:t xml:space="preserve">, A. A., </w:t>
      </w:r>
      <w:proofErr w:type="spellStart"/>
      <w:r w:rsidRPr="003600CA">
        <w:rPr>
          <w:rFonts w:ascii="Times New Roman" w:eastAsia="Times New Roman" w:hAnsi="Times New Roman" w:cs="Times New Roman"/>
          <w:sz w:val="24"/>
          <w:szCs w:val="24"/>
          <w:lang w:eastAsia="en-GB"/>
        </w:rPr>
        <w:t>Odibo</w:t>
      </w:r>
      <w:proofErr w:type="spellEnd"/>
      <w:r w:rsidRPr="003600CA">
        <w:rPr>
          <w:rFonts w:ascii="Times New Roman" w:eastAsia="Times New Roman" w:hAnsi="Times New Roman" w:cs="Times New Roman"/>
          <w:sz w:val="24"/>
          <w:szCs w:val="24"/>
          <w:lang w:eastAsia="en-GB"/>
        </w:rPr>
        <w:t xml:space="preserve">, U. E., &amp; </w:t>
      </w:r>
      <w:proofErr w:type="spellStart"/>
      <w:r w:rsidRPr="003600CA">
        <w:rPr>
          <w:rFonts w:ascii="Times New Roman" w:eastAsia="Times New Roman" w:hAnsi="Times New Roman" w:cs="Times New Roman"/>
          <w:sz w:val="24"/>
          <w:szCs w:val="24"/>
          <w:lang w:eastAsia="en-GB"/>
        </w:rPr>
        <w:t>Garuba</w:t>
      </w:r>
      <w:proofErr w:type="spellEnd"/>
      <w:r w:rsidRPr="003600CA">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4" w:history="1">
        <w:r w:rsidRPr="003600CA">
          <w:rPr>
            <w:rStyle w:val="Hyperlink"/>
            <w:rFonts w:ascii="Times New Roman" w:eastAsia="Times New Roman" w:hAnsi="Times New Roman" w:cs="Times New Roman"/>
            <w:sz w:val="24"/>
            <w:szCs w:val="24"/>
            <w:lang w:eastAsia="en-GB"/>
          </w:rPr>
          <w:t>https://doi.org/10.69739/jlsph.v1i1.962</w:t>
        </w:r>
      </w:hyperlink>
      <w:r w:rsidRPr="003600CA">
        <w:rPr>
          <w:rFonts w:ascii="Times New Roman" w:eastAsia="Times New Roman" w:hAnsi="Times New Roman" w:cs="Times New Roman"/>
          <w:sz w:val="24"/>
          <w:szCs w:val="24"/>
          <w:lang w:eastAsia="en-GB"/>
        </w:rPr>
        <w:t xml:space="preserve"> </w:t>
      </w:r>
    </w:p>
    <w:p w14:paraId="4A637D1D" w14:textId="39DB879C" w:rsidR="00AD7519" w:rsidRPr="003600CA" w:rsidRDefault="0079329F"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w:t>
      </w:r>
      <w:proofErr w:type="spellStart"/>
      <w:r w:rsidRPr="003600CA">
        <w:rPr>
          <w:rFonts w:ascii="Times New Roman" w:eastAsia="Times New Roman" w:hAnsi="Times New Roman" w:cs="Times New Roman"/>
          <w:sz w:val="24"/>
          <w:szCs w:val="24"/>
          <w:lang w:eastAsia="en-GB"/>
        </w:rPr>
        <w:t>Ekwere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Igwegbe</w:t>
      </w:r>
      <w:proofErr w:type="spellEnd"/>
      <w:r w:rsidRPr="003600CA">
        <w:rPr>
          <w:rFonts w:ascii="Times New Roman" w:eastAsia="Times New Roman" w:hAnsi="Times New Roman" w:cs="Times New Roman"/>
          <w:sz w:val="24"/>
          <w:szCs w:val="24"/>
          <w:lang w:eastAsia="en-GB"/>
        </w:rPr>
        <w:t xml:space="preserve">, K. C., </w:t>
      </w:r>
      <w:proofErr w:type="spellStart"/>
      <w:r w:rsidRPr="003600CA">
        <w:rPr>
          <w:rFonts w:ascii="Times New Roman" w:eastAsia="Times New Roman" w:hAnsi="Times New Roman" w:cs="Times New Roman"/>
          <w:sz w:val="24"/>
          <w:szCs w:val="24"/>
          <w:lang w:eastAsia="en-GB"/>
        </w:rPr>
        <w:t>Etesin</w:t>
      </w:r>
      <w:proofErr w:type="spellEnd"/>
      <w:r w:rsidRPr="003600CA">
        <w:rPr>
          <w:rFonts w:ascii="Times New Roman" w:eastAsia="Times New Roman" w:hAnsi="Times New Roman" w:cs="Times New Roman"/>
          <w:sz w:val="24"/>
          <w:szCs w:val="24"/>
          <w:lang w:eastAsia="en-GB"/>
        </w:rPr>
        <w:t xml:space="preserve">, U. M., </w:t>
      </w:r>
      <w:proofErr w:type="spellStart"/>
      <w:r w:rsidRPr="003600CA">
        <w:rPr>
          <w:rFonts w:ascii="Times New Roman" w:eastAsia="Times New Roman" w:hAnsi="Times New Roman" w:cs="Times New Roman"/>
          <w:sz w:val="24"/>
          <w:szCs w:val="24"/>
          <w:lang w:eastAsia="en-GB"/>
        </w:rPr>
        <w:t>Ugwuanyi</w:t>
      </w:r>
      <w:proofErr w:type="spellEnd"/>
      <w:r w:rsidRPr="003600CA">
        <w:rPr>
          <w:rFonts w:ascii="Times New Roman" w:eastAsia="Times New Roman" w:hAnsi="Times New Roman" w:cs="Times New Roman"/>
          <w:sz w:val="24"/>
          <w:szCs w:val="24"/>
          <w:lang w:eastAsia="en-GB"/>
        </w:rPr>
        <w:t xml:space="preserve">, G. C., </w:t>
      </w:r>
      <w:proofErr w:type="spellStart"/>
      <w:r w:rsidRPr="003600CA">
        <w:rPr>
          <w:rFonts w:ascii="Times New Roman" w:eastAsia="Times New Roman" w:hAnsi="Times New Roman" w:cs="Times New Roman"/>
          <w:sz w:val="24"/>
          <w:szCs w:val="24"/>
          <w:lang w:eastAsia="en-GB"/>
        </w:rPr>
        <w:t>Okpanachi</w:t>
      </w:r>
      <w:proofErr w:type="spellEnd"/>
      <w:r w:rsidRPr="003600CA">
        <w:rPr>
          <w:rFonts w:ascii="Times New Roman" w:eastAsia="Times New Roman" w:hAnsi="Times New Roman" w:cs="Times New Roman"/>
          <w:sz w:val="24"/>
          <w:szCs w:val="24"/>
          <w:lang w:eastAsia="en-GB"/>
        </w:rPr>
        <w:t xml:space="preserve">, C. B., </w:t>
      </w:r>
      <w:proofErr w:type="spellStart"/>
      <w:r w:rsidRPr="003600CA">
        <w:rPr>
          <w:rFonts w:ascii="Times New Roman" w:eastAsia="Times New Roman" w:hAnsi="Times New Roman" w:cs="Times New Roman"/>
          <w:sz w:val="24"/>
          <w:szCs w:val="24"/>
          <w:lang w:eastAsia="en-GB"/>
        </w:rPr>
        <w:t>Ewuola</w:t>
      </w:r>
      <w:proofErr w:type="spellEnd"/>
      <w:r w:rsidRPr="003600CA">
        <w:rPr>
          <w:rFonts w:ascii="Times New Roman" w:eastAsia="Times New Roman" w:hAnsi="Times New Roman" w:cs="Times New Roman"/>
          <w:sz w:val="24"/>
          <w:szCs w:val="24"/>
          <w:lang w:eastAsia="en-GB"/>
        </w:rPr>
        <w:t xml:space="preserve">, A. A., </w:t>
      </w:r>
      <w:proofErr w:type="spellStart"/>
      <w:r w:rsidRPr="003600CA">
        <w:rPr>
          <w:rFonts w:ascii="Times New Roman" w:eastAsia="Times New Roman" w:hAnsi="Times New Roman" w:cs="Times New Roman"/>
          <w:sz w:val="24"/>
          <w:szCs w:val="24"/>
          <w:lang w:eastAsia="en-GB"/>
        </w:rPr>
        <w:t>Mojisola</w:t>
      </w:r>
      <w:proofErr w:type="spellEnd"/>
      <w:r w:rsidRPr="003600CA">
        <w:rPr>
          <w:rFonts w:ascii="Times New Roman" w:eastAsia="Times New Roman" w:hAnsi="Times New Roman" w:cs="Times New Roman"/>
          <w:sz w:val="24"/>
          <w:szCs w:val="24"/>
          <w:lang w:eastAsia="en-GB"/>
        </w:rPr>
        <w:t xml:space="preserve">, K. M., &amp; </w:t>
      </w:r>
      <w:proofErr w:type="spellStart"/>
      <w:r w:rsidRPr="003600CA">
        <w:rPr>
          <w:rFonts w:ascii="Times New Roman" w:eastAsia="Times New Roman" w:hAnsi="Times New Roman" w:cs="Times New Roman"/>
          <w:sz w:val="24"/>
          <w:szCs w:val="24"/>
          <w:lang w:eastAsia="en-GB"/>
        </w:rPr>
        <w:t>Ezekwueme</w:t>
      </w:r>
      <w:proofErr w:type="spellEnd"/>
      <w:r w:rsidRPr="003600CA">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3600CA">
        <w:rPr>
          <w:rFonts w:ascii="Times New Roman" w:eastAsia="Times New Roman" w:hAnsi="Times New Roman" w:cs="Times New Roman"/>
          <w:sz w:val="24"/>
          <w:szCs w:val="24"/>
          <w:lang w:eastAsia="en-GB"/>
        </w:rPr>
        <w:t>TiO</w:t>
      </w:r>
      <w:proofErr w:type="spellEnd"/>
      <w:r w:rsidRPr="003600CA">
        <w:rPr>
          <w:rFonts w:ascii="Times New Roman" w:eastAsia="Times New Roman" w:hAnsi="Times New Roman" w:cs="Times New Roman"/>
          <w:sz w:val="24"/>
          <w:szCs w:val="24"/>
          <w:lang w:eastAsia="en-GB"/>
        </w:rPr>
        <w:t xml:space="preserve">₂ nanomaterials. Journal of Environment, Climate, and Ecology, 2(2), 56–62. </w:t>
      </w:r>
      <w:hyperlink r:id="rId25" w:history="1">
        <w:r w:rsidRPr="003600CA">
          <w:rPr>
            <w:rStyle w:val="Hyperlink"/>
            <w:rFonts w:ascii="Times New Roman" w:eastAsia="Times New Roman" w:hAnsi="Times New Roman" w:cs="Times New Roman"/>
            <w:sz w:val="24"/>
            <w:szCs w:val="24"/>
            <w:lang w:eastAsia="en-GB"/>
          </w:rPr>
          <w:t>https://doi.org/10.69739/jece.v2i2.961</w:t>
        </w:r>
      </w:hyperlink>
      <w:r w:rsidRPr="003600CA">
        <w:rPr>
          <w:rFonts w:ascii="Times New Roman" w:eastAsia="Times New Roman" w:hAnsi="Times New Roman" w:cs="Times New Roman"/>
          <w:sz w:val="24"/>
          <w:szCs w:val="24"/>
          <w:lang w:eastAsia="en-GB"/>
        </w:rPr>
        <w:t xml:space="preserve"> </w:t>
      </w:r>
    </w:p>
    <w:p w14:paraId="65C39BAC" w14:textId="6EE7A285" w:rsidR="00AD7519" w:rsidRPr="003600CA" w:rsidRDefault="00D83480"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w:t>
      </w:r>
      <w:proofErr w:type="spellStart"/>
      <w:r w:rsidRPr="003600CA">
        <w:rPr>
          <w:rFonts w:ascii="Times New Roman" w:eastAsia="Times New Roman" w:hAnsi="Times New Roman" w:cs="Times New Roman"/>
          <w:sz w:val="24"/>
          <w:szCs w:val="24"/>
          <w:lang w:eastAsia="en-GB"/>
        </w:rPr>
        <w:t>Emem</w:t>
      </w:r>
      <w:proofErr w:type="spellEnd"/>
      <w:r w:rsidRPr="003600CA">
        <w:rPr>
          <w:rFonts w:ascii="Times New Roman" w:eastAsia="Times New Roman" w:hAnsi="Times New Roman" w:cs="Times New Roman"/>
          <w:sz w:val="24"/>
          <w:szCs w:val="24"/>
          <w:lang w:eastAsia="en-GB"/>
        </w:rPr>
        <w:t xml:space="preserve">, J. A., </w:t>
      </w:r>
      <w:proofErr w:type="spellStart"/>
      <w:r w:rsidRPr="003600CA">
        <w:rPr>
          <w:rFonts w:ascii="Times New Roman" w:eastAsia="Times New Roman" w:hAnsi="Times New Roman" w:cs="Times New Roman"/>
          <w:sz w:val="24"/>
          <w:szCs w:val="24"/>
          <w:lang w:eastAsia="en-GB"/>
        </w:rPr>
        <w:t>Ekwere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Odibo</w:t>
      </w:r>
      <w:proofErr w:type="spellEnd"/>
      <w:r w:rsidRPr="003600CA">
        <w:rPr>
          <w:rFonts w:ascii="Times New Roman" w:eastAsia="Times New Roman" w:hAnsi="Times New Roman" w:cs="Times New Roman"/>
          <w:sz w:val="24"/>
          <w:szCs w:val="24"/>
          <w:lang w:eastAsia="en-GB"/>
        </w:rPr>
        <w:t xml:space="preserve">, U. E., </w:t>
      </w:r>
      <w:proofErr w:type="spellStart"/>
      <w:r w:rsidRPr="003600CA">
        <w:rPr>
          <w:rFonts w:ascii="Times New Roman" w:eastAsia="Times New Roman" w:hAnsi="Times New Roman" w:cs="Times New Roman"/>
          <w:sz w:val="24"/>
          <w:szCs w:val="24"/>
          <w:lang w:eastAsia="en-GB"/>
        </w:rPr>
        <w:t>Alaekwe</w:t>
      </w:r>
      <w:proofErr w:type="spellEnd"/>
      <w:r w:rsidRPr="003600CA">
        <w:rPr>
          <w:rFonts w:ascii="Times New Roman" w:eastAsia="Times New Roman" w:hAnsi="Times New Roman" w:cs="Times New Roman"/>
          <w:sz w:val="24"/>
          <w:szCs w:val="24"/>
          <w:lang w:eastAsia="en-GB"/>
        </w:rPr>
        <w:t xml:space="preserve">, I. O., Warder, A. B., &amp; </w:t>
      </w:r>
      <w:proofErr w:type="spellStart"/>
      <w:r w:rsidRPr="003600CA">
        <w:rPr>
          <w:rFonts w:ascii="Times New Roman" w:eastAsia="Times New Roman" w:hAnsi="Times New Roman" w:cs="Times New Roman"/>
          <w:sz w:val="24"/>
          <w:szCs w:val="24"/>
          <w:lang w:eastAsia="en-GB"/>
        </w:rPr>
        <w:t>Eboj-Ajoku</w:t>
      </w:r>
      <w:proofErr w:type="spellEnd"/>
      <w:r w:rsidRPr="003600CA">
        <w:rPr>
          <w:rFonts w:ascii="Times New Roman" w:eastAsia="Times New Roman" w:hAnsi="Times New Roman" w:cs="Times New Roman"/>
          <w:sz w:val="24"/>
          <w:szCs w:val="24"/>
          <w:lang w:eastAsia="en-GB"/>
        </w:rPr>
        <w:t xml:space="preserve">, O. I. (2025). Bioaccumulation of nickel, lead, and cadmium in tissues of Callinectes </w:t>
      </w:r>
      <w:proofErr w:type="spellStart"/>
      <w:r w:rsidRPr="003600CA">
        <w:rPr>
          <w:rFonts w:ascii="Times New Roman" w:eastAsia="Times New Roman" w:hAnsi="Times New Roman" w:cs="Times New Roman"/>
          <w:sz w:val="24"/>
          <w:szCs w:val="24"/>
          <w:lang w:eastAsia="en-GB"/>
        </w:rPr>
        <w:t>sapidus</w:t>
      </w:r>
      <w:proofErr w:type="spellEnd"/>
      <w:r w:rsidRPr="003600CA">
        <w:rPr>
          <w:rFonts w:ascii="Times New Roman" w:eastAsia="Times New Roman" w:hAnsi="Times New Roman" w:cs="Times New Roman"/>
          <w:sz w:val="24"/>
          <w:szCs w:val="24"/>
          <w:lang w:eastAsia="en-GB"/>
        </w:rPr>
        <w:t xml:space="preserve"> from the </w:t>
      </w:r>
      <w:proofErr w:type="spellStart"/>
      <w:r w:rsidRPr="003600CA">
        <w:rPr>
          <w:rFonts w:ascii="Times New Roman" w:eastAsia="Times New Roman" w:hAnsi="Times New Roman" w:cs="Times New Roman"/>
          <w:sz w:val="24"/>
          <w:szCs w:val="24"/>
          <w:lang w:eastAsia="en-GB"/>
        </w:rPr>
        <w:t>Iko</w:t>
      </w:r>
      <w:proofErr w:type="spellEnd"/>
      <w:r w:rsidRPr="003600CA">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26" w:history="1">
        <w:r w:rsidRPr="003600CA">
          <w:rPr>
            <w:rStyle w:val="Hyperlink"/>
            <w:rFonts w:ascii="Times New Roman" w:eastAsia="Times New Roman" w:hAnsi="Times New Roman" w:cs="Times New Roman"/>
            <w:sz w:val="24"/>
            <w:szCs w:val="24"/>
            <w:lang w:eastAsia="en-GB"/>
          </w:rPr>
          <w:t>https://doi.org/10.69739/jece.v2i2.844</w:t>
        </w:r>
      </w:hyperlink>
      <w:r w:rsidRPr="003600CA">
        <w:rPr>
          <w:rFonts w:ascii="Times New Roman" w:eastAsia="Times New Roman" w:hAnsi="Times New Roman" w:cs="Times New Roman"/>
          <w:sz w:val="24"/>
          <w:szCs w:val="24"/>
          <w:lang w:eastAsia="en-GB"/>
        </w:rPr>
        <w:t xml:space="preserve"> </w:t>
      </w:r>
      <w:r w:rsidR="00BA2F40" w:rsidRPr="003600CA">
        <w:rPr>
          <w:rFonts w:ascii="Times New Roman" w:eastAsia="Times New Roman" w:hAnsi="Times New Roman" w:cs="Times New Roman"/>
          <w:sz w:val="24"/>
          <w:szCs w:val="24"/>
          <w:lang w:eastAsia="en-GB"/>
        </w:rPr>
        <w:tab/>
      </w:r>
    </w:p>
    <w:p w14:paraId="1C380308" w14:textId="689DF574" w:rsidR="00AD7519" w:rsidRPr="00AF7428" w:rsidRDefault="00BA2F40" w:rsidP="003600CA">
      <w:pPr>
        <w:pStyle w:val="NormalWeb"/>
        <w:spacing w:line="276" w:lineRule="auto"/>
        <w:jc w:val="both"/>
      </w:pPr>
      <w:proofErr w:type="spellStart"/>
      <w:r w:rsidRPr="00BA2F40">
        <w:t>Okpoji</w:t>
      </w:r>
      <w:proofErr w:type="spellEnd"/>
      <w:r w:rsidRPr="00BA2F40">
        <w:t xml:space="preserve">, A. U., </w:t>
      </w:r>
      <w:proofErr w:type="spellStart"/>
      <w:r w:rsidRPr="00BA2F40">
        <w:t>Etesin</w:t>
      </w:r>
      <w:proofErr w:type="spellEnd"/>
      <w:r w:rsidRPr="00BA2F40">
        <w:t xml:space="preserve">, M. U., </w:t>
      </w:r>
      <w:proofErr w:type="spellStart"/>
      <w:r w:rsidRPr="00BA2F40">
        <w:t>Ekwere</w:t>
      </w:r>
      <w:proofErr w:type="spellEnd"/>
      <w:r w:rsidRPr="00BA2F40">
        <w:t xml:space="preserve">, I. O., Martins, N. P., </w:t>
      </w:r>
      <w:proofErr w:type="spellStart"/>
      <w:r w:rsidRPr="00BA2F40">
        <w:t>Okpanachi</w:t>
      </w:r>
      <w:proofErr w:type="spellEnd"/>
      <w:r w:rsidRPr="00BA2F40">
        <w:t xml:space="preserve">, C. B., </w:t>
      </w:r>
      <w:proofErr w:type="spellStart"/>
      <w:r w:rsidRPr="00BA2F40">
        <w:t>Adisa</w:t>
      </w:r>
      <w:proofErr w:type="spellEnd"/>
      <w:r w:rsidRPr="00BA2F40">
        <w:t xml:space="preserve">, O. J., &amp; Okonkwo, C. C. (2025). Geochemical speciation and ecological risk of heavy metals in estuarine sediments of the Qua </w:t>
      </w:r>
      <w:proofErr w:type="spellStart"/>
      <w:r w:rsidRPr="00BA2F40">
        <w:t>Iboe</w:t>
      </w:r>
      <w:proofErr w:type="spellEnd"/>
      <w:r w:rsidRPr="00BA2F40">
        <w:t xml:space="preserve"> River, Nigeria. Asian Journal of Chemical Sciences, 15(6), 20–31. </w:t>
      </w:r>
      <w:hyperlink r:id="rId27" w:history="1">
        <w:r w:rsidRPr="007468C6">
          <w:rPr>
            <w:rStyle w:val="Hyperlink"/>
          </w:rPr>
          <w:t>https://doi.org/10.9734/ajocs/2025/v15i6402</w:t>
        </w:r>
      </w:hyperlink>
      <w:r>
        <w:t xml:space="preserve"> </w:t>
      </w:r>
    </w:p>
    <w:p w14:paraId="2BD912D0" w14:textId="70E68BED" w:rsidR="00AD7519" w:rsidRPr="003600CA" w:rsidRDefault="00E67FA6"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w:t>
      </w:r>
      <w:proofErr w:type="spellStart"/>
      <w:r w:rsidRPr="003600CA">
        <w:rPr>
          <w:rFonts w:ascii="Times New Roman" w:eastAsia="Times New Roman" w:hAnsi="Times New Roman" w:cs="Times New Roman"/>
          <w:sz w:val="24"/>
          <w:szCs w:val="24"/>
          <w:lang w:eastAsia="en-GB"/>
        </w:rPr>
        <w:t>Ndubuisi</w:t>
      </w:r>
      <w:proofErr w:type="spellEnd"/>
      <w:r w:rsidRPr="003600CA">
        <w:rPr>
          <w:rFonts w:ascii="Times New Roman" w:eastAsia="Times New Roman" w:hAnsi="Times New Roman" w:cs="Times New Roman"/>
          <w:sz w:val="24"/>
          <w:szCs w:val="24"/>
          <w:lang w:eastAsia="en-GB"/>
        </w:rPr>
        <w:t xml:space="preserve">, J. O., </w:t>
      </w:r>
      <w:proofErr w:type="spellStart"/>
      <w:r w:rsidRPr="003600CA">
        <w:rPr>
          <w:rFonts w:ascii="Times New Roman" w:eastAsia="Times New Roman" w:hAnsi="Times New Roman" w:cs="Times New Roman"/>
          <w:sz w:val="24"/>
          <w:szCs w:val="24"/>
          <w:lang w:eastAsia="en-GB"/>
        </w:rPr>
        <w:t>Eboh-Ajoku</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Emem</w:t>
      </w:r>
      <w:proofErr w:type="spellEnd"/>
      <w:r w:rsidRPr="003600CA">
        <w:rPr>
          <w:rFonts w:ascii="Times New Roman" w:eastAsia="Times New Roman" w:hAnsi="Times New Roman" w:cs="Times New Roman"/>
          <w:sz w:val="24"/>
          <w:szCs w:val="24"/>
          <w:lang w:eastAsia="en-GB"/>
        </w:rPr>
        <w:t xml:space="preserve">, J. A., </w:t>
      </w:r>
      <w:proofErr w:type="spellStart"/>
      <w:r w:rsidRPr="003600CA">
        <w:rPr>
          <w:rFonts w:ascii="Times New Roman" w:eastAsia="Times New Roman" w:hAnsi="Times New Roman" w:cs="Times New Roman"/>
          <w:sz w:val="24"/>
          <w:szCs w:val="24"/>
          <w:lang w:eastAsia="en-GB"/>
        </w:rPr>
        <w:t>Ekwere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Alaekwe</w:t>
      </w:r>
      <w:proofErr w:type="spellEnd"/>
      <w:r w:rsidRPr="003600CA">
        <w:rPr>
          <w:rFonts w:ascii="Times New Roman" w:eastAsia="Times New Roman" w:hAnsi="Times New Roman" w:cs="Times New Roman"/>
          <w:sz w:val="24"/>
          <w:szCs w:val="24"/>
          <w:lang w:eastAsia="en-GB"/>
        </w:rPr>
        <w:t xml:space="preserve">, I. O., </w:t>
      </w:r>
      <w:proofErr w:type="spellStart"/>
      <w:r w:rsidRPr="003600CA">
        <w:rPr>
          <w:rFonts w:ascii="Times New Roman" w:eastAsia="Times New Roman" w:hAnsi="Times New Roman" w:cs="Times New Roman"/>
          <w:sz w:val="24"/>
          <w:szCs w:val="24"/>
          <w:lang w:eastAsia="en-GB"/>
        </w:rPr>
        <w:t>Odibo</w:t>
      </w:r>
      <w:proofErr w:type="spellEnd"/>
      <w:r w:rsidRPr="003600CA">
        <w:rPr>
          <w:rFonts w:ascii="Times New Roman" w:eastAsia="Times New Roman" w:hAnsi="Times New Roman" w:cs="Times New Roman"/>
          <w:sz w:val="24"/>
          <w:szCs w:val="24"/>
          <w:lang w:eastAsia="en-GB"/>
        </w:rPr>
        <w:t xml:space="preserve">, U. E., </w:t>
      </w:r>
      <w:proofErr w:type="spellStart"/>
      <w:r w:rsidRPr="003600CA">
        <w:rPr>
          <w:rFonts w:ascii="Times New Roman" w:eastAsia="Times New Roman" w:hAnsi="Times New Roman" w:cs="Times New Roman"/>
          <w:sz w:val="24"/>
          <w:szCs w:val="24"/>
          <w:lang w:eastAsia="en-GB"/>
        </w:rPr>
        <w:t>Igwegbe</w:t>
      </w:r>
      <w:proofErr w:type="spellEnd"/>
      <w:r w:rsidRPr="003600CA">
        <w:rPr>
          <w:rFonts w:ascii="Times New Roman" w:eastAsia="Times New Roman" w:hAnsi="Times New Roman" w:cs="Times New Roman"/>
          <w:sz w:val="24"/>
          <w:szCs w:val="24"/>
          <w:lang w:eastAsia="en-GB"/>
        </w:rPr>
        <w:t xml:space="preserve">, K. C., </w:t>
      </w:r>
      <w:proofErr w:type="spellStart"/>
      <w:r w:rsidRPr="003600CA">
        <w:rPr>
          <w:rFonts w:ascii="Times New Roman" w:eastAsia="Times New Roman" w:hAnsi="Times New Roman" w:cs="Times New Roman"/>
          <w:sz w:val="24"/>
          <w:szCs w:val="24"/>
          <w:lang w:eastAsia="en-GB"/>
        </w:rPr>
        <w:t>Onoja</w:t>
      </w:r>
      <w:proofErr w:type="spellEnd"/>
      <w:r w:rsidRPr="003600CA">
        <w:rPr>
          <w:rFonts w:ascii="Times New Roman" w:eastAsia="Times New Roman" w:hAnsi="Times New Roman" w:cs="Times New Roman"/>
          <w:sz w:val="24"/>
          <w:szCs w:val="24"/>
          <w:lang w:eastAsia="en-GB"/>
        </w:rPr>
        <w:t xml:space="preserve">, C. R., Warder, A. B., &amp; </w:t>
      </w:r>
      <w:proofErr w:type="spellStart"/>
      <w:r w:rsidRPr="003600CA">
        <w:rPr>
          <w:rFonts w:ascii="Times New Roman" w:eastAsia="Times New Roman" w:hAnsi="Times New Roman" w:cs="Times New Roman"/>
          <w:sz w:val="24"/>
          <w:szCs w:val="24"/>
          <w:lang w:eastAsia="en-GB"/>
        </w:rPr>
        <w:t>InyangAbia</w:t>
      </w:r>
      <w:proofErr w:type="spellEnd"/>
      <w:r w:rsidRPr="003600CA">
        <w:rPr>
          <w:rFonts w:ascii="Times New Roman" w:eastAsia="Times New Roman" w:hAnsi="Times New Roman" w:cs="Times New Roman"/>
          <w:sz w:val="24"/>
          <w:szCs w:val="24"/>
          <w:lang w:eastAsia="en-GB"/>
        </w:rPr>
        <w:t xml:space="preserve">, A. J. (2025). Trematode Infections and Histopathological Effects in </w:t>
      </w:r>
      <w:proofErr w:type="spellStart"/>
      <w:r w:rsidRPr="003600CA">
        <w:rPr>
          <w:rFonts w:ascii="Times New Roman" w:eastAsia="Times New Roman" w:hAnsi="Times New Roman" w:cs="Times New Roman"/>
          <w:sz w:val="24"/>
          <w:szCs w:val="24"/>
          <w:lang w:eastAsia="en-GB"/>
        </w:rPr>
        <w:t>Chrysichthys</w:t>
      </w:r>
      <w:proofErr w:type="spellEnd"/>
      <w:r w:rsidRPr="003600CA">
        <w:rPr>
          <w:rFonts w:ascii="Times New Roman" w:eastAsia="Times New Roman" w:hAnsi="Times New Roman" w:cs="Times New Roman"/>
          <w:sz w:val="24"/>
          <w:szCs w:val="24"/>
          <w:lang w:eastAsia="en-GB"/>
        </w:rPr>
        <w:t xml:space="preserve"> </w:t>
      </w:r>
      <w:proofErr w:type="spellStart"/>
      <w:r w:rsidRPr="003600CA">
        <w:rPr>
          <w:rFonts w:ascii="Times New Roman" w:eastAsia="Times New Roman" w:hAnsi="Times New Roman" w:cs="Times New Roman"/>
          <w:sz w:val="24"/>
          <w:szCs w:val="24"/>
          <w:lang w:eastAsia="en-GB"/>
        </w:rPr>
        <w:t>nigrodigitatus</w:t>
      </w:r>
      <w:proofErr w:type="spellEnd"/>
      <w:r w:rsidRPr="003600CA">
        <w:rPr>
          <w:rFonts w:ascii="Times New Roman" w:eastAsia="Times New Roman" w:hAnsi="Times New Roman" w:cs="Times New Roman"/>
          <w:sz w:val="24"/>
          <w:szCs w:val="24"/>
          <w:lang w:eastAsia="en-GB"/>
        </w:rPr>
        <w:t xml:space="preserve"> from the Polluted </w:t>
      </w:r>
      <w:proofErr w:type="spellStart"/>
      <w:r w:rsidRPr="003600CA">
        <w:rPr>
          <w:rFonts w:ascii="Times New Roman" w:eastAsia="Times New Roman" w:hAnsi="Times New Roman" w:cs="Times New Roman"/>
          <w:sz w:val="24"/>
          <w:szCs w:val="24"/>
          <w:lang w:eastAsia="en-GB"/>
        </w:rPr>
        <w:t>Andoni</w:t>
      </w:r>
      <w:proofErr w:type="spellEnd"/>
      <w:r w:rsidRPr="003600CA">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28" w:history="1">
        <w:r w:rsidRPr="003600CA">
          <w:rPr>
            <w:rStyle w:val="Hyperlink"/>
            <w:rFonts w:ascii="Times New Roman" w:eastAsia="Times New Roman" w:hAnsi="Times New Roman" w:cs="Times New Roman"/>
            <w:sz w:val="24"/>
            <w:szCs w:val="24"/>
            <w:lang w:eastAsia="en-GB"/>
          </w:rPr>
          <w:t>https://doi.org/10.69739/jaaas.v2i2.882</w:t>
        </w:r>
      </w:hyperlink>
      <w:r w:rsidRPr="003600CA">
        <w:rPr>
          <w:rFonts w:ascii="Times New Roman" w:eastAsia="Times New Roman" w:hAnsi="Times New Roman" w:cs="Times New Roman"/>
          <w:sz w:val="24"/>
          <w:szCs w:val="24"/>
          <w:lang w:eastAsia="en-GB"/>
        </w:rPr>
        <w:t xml:space="preserve"> </w:t>
      </w:r>
    </w:p>
    <w:p w14:paraId="41B38549" w14:textId="51279936" w:rsidR="00AD7519" w:rsidRPr="003600CA" w:rsidRDefault="007E2CD9"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eastAsia="Times New Roman" w:hAnsi="Times New Roman" w:cs="Times New Roman"/>
          <w:sz w:val="24"/>
          <w:szCs w:val="24"/>
          <w:lang w:eastAsia="en-GB"/>
        </w:rPr>
        <w:t>Okpoji</w:t>
      </w:r>
      <w:proofErr w:type="spellEnd"/>
      <w:r w:rsidRPr="003600CA">
        <w:rPr>
          <w:rFonts w:ascii="Times New Roman" w:eastAsia="Times New Roman" w:hAnsi="Times New Roman" w:cs="Times New Roman"/>
          <w:sz w:val="24"/>
          <w:szCs w:val="24"/>
          <w:lang w:eastAsia="en-GB"/>
        </w:rPr>
        <w:t xml:space="preserve">, A. U., </w:t>
      </w:r>
      <w:proofErr w:type="spellStart"/>
      <w:r w:rsidRPr="003600CA">
        <w:rPr>
          <w:rFonts w:ascii="Times New Roman" w:eastAsia="Times New Roman" w:hAnsi="Times New Roman" w:cs="Times New Roman"/>
          <w:sz w:val="24"/>
          <w:szCs w:val="24"/>
          <w:lang w:eastAsia="en-GB"/>
        </w:rPr>
        <w:t>Nwoka</w:t>
      </w:r>
      <w:proofErr w:type="spellEnd"/>
      <w:r w:rsidRPr="003600CA">
        <w:rPr>
          <w:rFonts w:ascii="Times New Roman" w:eastAsia="Times New Roman" w:hAnsi="Times New Roman" w:cs="Times New Roman"/>
          <w:sz w:val="24"/>
          <w:szCs w:val="24"/>
          <w:lang w:eastAsia="en-GB"/>
        </w:rPr>
        <w:t xml:space="preserve">, N. G., </w:t>
      </w:r>
      <w:proofErr w:type="spellStart"/>
      <w:r w:rsidRPr="003600CA">
        <w:rPr>
          <w:rFonts w:ascii="Times New Roman" w:eastAsia="Times New Roman" w:hAnsi="Times New Roman" w:cs="Times New Roman"/>
          <w:sz w:val="24"/>
          <w:szCs w:val="24"/>
          <w:lang w:eastAsia="en-GB"/>
        </w:rPr>
        <w:t>Odibo</w:t>
      </w:r>
      <w:proofErr w:type="spellEnd"/>
      <w:r w:rsidRPr="003600CA">
        <w:rPr>
          <w:rFonts w:ascii="Times New Roman" w:eastAsia="Times New Roman" w:hAnsi="Times New Roman" w:cs="Times New Roman"/>
          <w:sz w:val="24"/>
          <w:szCs w:val="24"/>
          <w:lang w:eastAsia="en-GB"/>
        </w:rPr>
        <w:t xml:space="preserve">, U. E., </w:t>
      </w:r>
      <w:proofErr w:type="spellStart"/>
      <w:r w:rsidRPr="003600CA">
        <w:rPr>
          <w:rFonts w:ascii="Times New Roman" w:eastAsia="Times New Roman" w:hAnsi="Times New Roman" w:cs="Times New Roman"/>
          <w:sz w:val="24"/>
          <w:szCs w:val="24"/>
          <w:lang w:eastAsia="en-GB"/>
        </w:rPr>
        <w:t>Alaekwe</w:t>
      </w:r>
      <w:proofErr w:type="spellEnd"/>
      <w:r w:rsidRPr="003600CA">
        <w:rPr>
          <w:rFonts w:ascii="Times New Roman" w:eastAsia="Times New Roman" w:hAnsi="Times New Roman" w:cs="Times New Roman"/>
          <w:sz w:val="24"/>
          <w:szCs w:val="24"/>
          <w:lang w:eastAsia="en-GB"/>
        </w:rPr>
        <w:t xml:space="preserve">, I. O., Okafor, C. A., </w:t>
      </w:r>
      <w:proofErr w:type="spellStart"/>
      <w:r w:rsidRPr="003600CA">
        <w:rPr>
          <w:rFonts w:ascii="Times New Roman" w:eastAsia="Times New Roman" w:hAnsi="Times New Roman" w:cs="Times New Roman"/>
          <w:sz w:val="24"/>
          <w:szCs w:val="24"/>
          <w:lang w:eastAsia="en-GB"/>
        </w:rPr>
        <w:t>Ogwu</w:t>
      </w:r>
      <w:proofErr w:type="spellEnd"/>
      <w:r w:rsidRPr="003600CA">
        <w:rPr>
          <w:rFonts w:ascii="Times New Roman" w:eastAsia="Times New Roman" w:hAnsi="Times New Roman" w:cs="Times New Roman"/>
          <w:sz w:val="24"/>
          <w:szCs w:val="24"/>
          <w:lang w:eastAsia="en-GB"/>
        </w:rPr>
        <w:t xml:space="preserve">, N. G., &amp; </w:t>
      </w:r>
      <w:proofErr w:type="spellStart"/>
      <w:r w:rsidRPr="003600CA">
        <w:rPr>
          <w:rFonts w:ascii="Times New Roman" w:eastAsia="Times New Roman" w:hAnsi="Times New Roman" w:cs="Times New Roman"/>
          <w:sz w:val="24"/>
          <w:szCs w:val="24"/>
          <w:lang w:eastAsia="en-GB"/>
        </w:rPr>
        <w:t>Akatakpo</w:t>
      </w:r>
      <w:proofErr w:type="spellEnd"/>
      <w:r w:rsidRPr="003600CA">
        <w:rPr>
          <w:rFonts w:ascii="Times New Roman" w:eastAsia="Times New Roman" w:hAnsi="Times New Roman" w:cs="Times New Roman"/>
          <w:sz w:val="24"/>
          <w:szCs w:val="24"/>
          <w:lang w:eastAsia="en-GB"/>
        </w:rPr>
        <w:t xml:space="preserve">, C. U. (2025). Seasonal variation in </w:t>
      </w:r>
      <w:proofErr w:type="spellStart"/>
      <w:r w:rsidRPr="003600CA">
        <w:rPr>
          <w:rFonts w:ascii="Times New Roman" w:eastAsia="Times New Roman" w:hAnsi="Times New Roman" w:cs="Times New Roman"/>
          <w:sz w:val="24"/>
          <w:szCs w:val="24"/>
          <w:lang w:eastAsia="en-GB"/>
        </w:rPr>
        <w:t>hydrochemical</w:t>
      </w:r>
      <w:proofErr w:type="spellEnd"/>
      <w:r w:rsidRPr="003600CA">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3600CA">
        <w:rPr>
          <w:rFonts w:ascii="Times New Roman" w:eastAsia="Times New Roman" w:hAnsi="Times New Roman" w:cs="Times New Roman"/>
          <w:sz w:val="24"/>
          <w:szCs w:val="24"/>
          <w:lang w:eastAsia="en-GB"/>
        </w:rPr>
        <w:t>Andoni-Isiokwan</w:t>
      </w:r>
      <w:proofErr w:type="spellEnd"/>
      <w:r w:rsidRPr="003600CA">
        <w:rPr>
          <w:rFonts w:ascii="Times New Roman" w:eastAsia="Times New Roman" w:hAnsi="Times New Roman" w:cs="Times New Roman"/>
          <w:sz w:val="24"/>
          <w:szCs w:val="24"/>
          <w:lang w:eastAsia="en-GB"/>
        </w:rPr>
        <w:t xml:space="preserve"> District, Niger Delta, Nigeria. International Journal of Modern Science and Research Technology, 3(8), 44–51. </w:t>
      </w:r>
      <w:hyperlink r:id="rId29" w:history="1">
        <w:r w:rsidRPr="003600CA">
          <w:rPr>
            <w:rStyle w:val="Hyperlink"/>
            <w:rFonts w:ascii="Times New Roman" w:eastAsia="Times New Roman" w:hAnsi="Times New Roman" w:cs="Times New Roman"/>
            <w:sz w:val="24"/>
            <w:szCs w:val="24"/>
            <w:lang w:eastAsia="en-GB"/>
          </w:rPr>
          <w:t>http://www.ijmsrt.com</w:t>
        </w:r>
      </w:hyperlink>
      <w:r w:rsidRPr="003600CA">
        <w:rPr>
          <w:rFonts w:ascii="Times New Roman" w:eastAsia="Times New Roman" w:hAnsi="Times New Roman" w:cs="Times New Roman"/>
          <w:sz w:val="24"/>
          <w:szCs w:val="24"/>
          <w:lang w:eastAsia="en-GB"/>
        </w:rPr>
        <w:t xml:space="preserve"> </w:t>
      </w:r>
    </w:p>
    <w:p w14:paraId="1F0D258D" w14:textId="77777777" w:rsidR="00AD7519" w:rsidRPr="00AF7428" w:rsidRDefault="00AD7519" w:rsidP="003600CA">
      <w:pPr>
        <w:pStyle w:val="NormalWeb"/>
        <w:spacing w:line="276" w:lineRule="auto"/>
        <w:jc w:val="both"/>
      </w:pPr>
      <w:proofErr w:type="spellStart"/>
      <w:r w:rsidRPr="00AF7428">
        <w:t>Okpoji</w:t>
      </w:r>
      <w:proofErr w:type="spellEnd"/>
      <w:r w:rsidRPr="00AF7428">
        <w:t xml:space="preserve">, A. U., </w:t>
      </w:r>
      <w:proofErr w:type="spellStart"/>
      <w:r w:rsidRPr="00AF7428">
        <w:t>Ogbaji</w:t>
      </w:r>
      <w:proofErr w:type="spellEnd"/>
      <w:r w:rsidRPr="00AF7428">
        <w:t xml:space="preserve">, H. O., Hassan, D. H., Orji-Azuka, L. N., Rasheed, H. O., Ohaturuonye, S. O., Ejeka, J. C., </w:t>
      </w:r>
      <w:proofErr w:type="spellStart"/>
      <w:r w:rsidRPr="00AF7428">
        <w:t>Okpanachi</w:t>
      </w:r>
      <w:proofErr w:type="spellEnd"/>
      <w:r w:rsidRPr="00AF7428">
        <w:t xml:space="preserve">, C. B., &amp; </w:t>
      </w:r>
      <w:proofErr w:type="spellStart"/>
      <w:r w:rsidRPr="00AF7428">
        <w:t>Ekwere</w:t>
      </w:r>
      <w:proofErr w:type="spellEnd"/>
      <w:r w:rsidRPr="00AF7428">
        <w:t xml:space="preserve">, I. O. (2025). Physico-chemical transport of volatile organic compounds (VOCs) from gas flaring into surface waters of </w:t>
      </w:r>
      <w:proofErr w:type="spellStart"/>
      <w:r w:rsidRPr="00AF7428">
        <w:t>Ogoniland</w:t>
      </w:r>
      <w:proofErr w:type="spellEnd"/>
      <w:r w:rsidRPr="00AF7428">
        <w:t xml:space="preserve">, Rivers State, Nigeria. </w:t>
      </w:r>
      <w:r w:rsidRPr="00AF7428">
        <w:rPr>
          <w:rStyle w:val="Emphasis"/>
        </w:rPr>
        <w:t>Asian Journal of Physical and Chemical Sciences, 13</w:t>
      </w:r>
      <w:r w:rsidRPr="00AF7428">
        <w:t xml:space="preserve">(4), 151–159. </w:t>
      </w:r>
      <w:hyperlink r:id="rId30" w:tgtFrame="_new" w:history="1">
        <w:r w:rsidRPr="00AF7428">
          <w:rPr>
            <w:rStyle w:val="Hyperlink"/>
          </w:rPr>
          <w:t>https://doi.org/10.9734/ajopacs/2025/v13i4271</w:t>
        </w:r>
      </w:hyperlink>
    </w:p>
    <w:p w14:paraId="56665881" w14:textId="620B2968" w:rsidR="00AD7519" w:rsidRPr="00AF7428" w:rsidRDefault="0047781A" w:rsidP="003600CA">
      <w:pPr>
        <w:pStyle w:val="NormalWeb"/>
      </w:pPr>
      <w:proofErr w:type="spellStart"/>
      <w:r w:rsidRPr="0047781A">
        <w:t>Okpoji</w:t>
      </w:r>
      <w:proofErr w:type="spellEnd"/>
      <w:r w:rsidRPr="0047781A">
        <w:t>, A. U., Orji-</w:t>
      </w:r>
      <w:proofErr w:type="spellStart"/>
      <w:r w:rsidRPr="0047781A">
        <w:t>Azuka</w:t>
      </w:r>
      <w:proofErr w:type="spellEnd"/>
      <w:r w:rsidRPr="0047781A">
        <w:t xml:space="preserve">, L. N., </w:t>
      </w:r>
      <w:proofErr w:type="spellStart"/>
      <w:r w:rsidRPr="0047781A">
        <w:t>Igwegbe</w:t>
      </w:r>
      <w:proofErr w:type="spellEnd"/>
      <w:r w:rsidRPr="0047781A">
        <w:t xml:space="preserve">, K. C., </w:t>
      </w:r>
      <w:proofErr w:type="spellStart"/>
      <w:r w:rsidRPr="0047781A">
        <w:t>Ekwere</w:t>
      </w:r>
      <w:proofErr w:type="spellEnd"/>
      <w:r w:rsidRPr="0047781A">
        <w:t xml:space="preserve">, I. O., </w:t>
      </w:r>
      <w:proofErr w:type="spellStart"/>
      <w:r w:rsidRPr="0047781A">
        <w:t>Ewuola</w:t>
      </w:r>
      <w:proofErr w:type="spellEnd"/>
      <w:r w:rsidRPr="0047781A">
        <w:t xml:space="preserve">, A. A., </w:t>
      </w:r>
      <w:proofErr w:type="spellStart"/>
      <w:r w:rsidRPr="0047781A">
        <w:t>Garuba</w:t>
      </w:r>
      <w:proofErr w:type="spellEnd"/>
      <w:r w:rsidRPr="0047781A">
        <w:t xml:space="preserve">, M. H., &amp; </w:t>
      </w:r>
      <w:proofErr w:type="spellStart"/>
      <w:r w:rsidRPr="0047781A">
        <w:t>Etukudo</w:t>
      </w:r>
      <w:proofErr w:type="spellEnd"/>
      <w:r w:rsidRPr="0047781A">
        <w:t xml:space="preserve">, E. W. (2025). Water quality and ecotoxicological impacts of surfactants and </w:t>
      </w:r>
      <w:r w:rsidRPr="0047781A">
        <w:lastRenderedPageBreak/>
        <w:t xml:space="preserve">heavy metals in urban rivers of Benin City, Niger Delta, Nigeria. Asian Journal of Geological Research, 8(3), 697–707. </w:t>
      </w:r>
      <w:hyperlink r:id="rId31" w:history="1">
        <w:r w:rsidRPr="007468C6">
          <w:rPr>
            <w:rStyle w:val="Hyperlink"/>
          </w:rPr>
          <w:t>https://doi.org/10.9734/ajoger/2025/v8i3223</w:t>
        </w:r>
      </w:hyperlink>
      <w:r>
        <w:t xml:space="preserve"> </w:t>
      </w:r>
    </w:p>
    <w:p w14:paraId="2F5E353D" w14:textId="231AB781" w:rsidR="00AD7519" w:rsidRPr="00AF7428" w:rsidRDefault="00C51FA4" w:rsidP="003600CA">
      <w:pPr>
        <w:pStyle w:val="NormalWeb"/>
        <w:rPr>
          <w:color w:val="0563C1" w:themeColor="hyperlink"/>
          <w:u w:val="single"/>
        </w:rPr>
      </w:pPr>
      <w:proofErr w:type="spellStart"/>
      <w:r w:rsidRPr="00C51FA4">
        <w:t>Olotu</w:t>
      </w:r>
      <w:proofErr w:type="spellEnd"/>
      <w:r w:rsidRPr="00C51FA4">
        <w:t xml:space="preserve">, O. N., Okagbare, U. V., </w:t>
      </w:r>
      <w:proofErr w:type="spellStart"/>
      <w:r w:rsidRPr="00C51FA4">
        <w:t>Okpoji</w:t>
      </w:r>
      <w:proofErr w:type="spellEnd"/>
      <w:r w:rsidRPr="00C51FA4">
        <w:t>, A. U., Orji-</w:t>
      </w:r>
      <w:proofErr w:type="spellStart"/>
      <w:r w:rsidRPr="00C51FA4">
        <w:t>Azuka</w:t>
      </w:r>
      <w:proofErr w:type="spellEnd"/>
      <w:r w:rsidRPr="00C51FA4">
        <w:t xml:space="preserve">, L. N., </w:t>
      </w:r>
      <w:proofErr w:type="spellStart"/>
      <w:r w:rsidRPr="00C51FA4">
        <w:t>Etesin</w:t>
      </w:r>
      <w:proofErr w:type="spellEnd"/>
      <w:r w:rsidRPr="00C51FA4">
        <w:t xml:space="preserve">, M. U., &amp; </w:t>
      </w:r>
      <w:proofErr w:type="spellStart"/>
      <w:r w:rsidRPr="00C51FA4">
        <w:t>Ekwere</w:t>
      </w:r>
      <w:proofErr w:type="spellEnd"/>
      <w:r w:rsidRPr="00C51FA4">
        <w:t xml:space="preserve">, I. O. (2025). </w:t>
      </w:r>
      <w:proofErr w:type="spellStart"/>
      <w:r w:rsidRPr="00C51FA4">
        <w:t>Spatio</w:t>
      </w:r>
      <w:proofErr w:type="spellEnd"/>
      <w:r w:rsidRPr="00C51FA4">
        <w:t xml:space="preserve">-seasonal assessment of water and sediment quality of the </w:t>
      </w:r>
      <w:proofErr w:type="spellStart"/>
      <w:r w:rsidRPr="00C51FA4">
        <w:t>Imiringi</w:t>
      </w:r>
      <w:proofErr w:type="spellEnd"/>
      <w:r w:rsidRPr="00C51FA4">
        <w:t xml:space="preserve"> River and implications for fisheries and aquatic resources in the Niger Delta. Journal of Agriculture, Aquaculture, and Animal Science, 2(2), 174–184. </w:t>
      </w:r>
      <w:hyperlink r:id="rId32" w:history="1">
        <w:r w:rsidRPr="007468C6">
          <w:rPr>
            <w:rStyle w:val="Hyperlink"/>
          </w:rPr>
          <w:t>https://doi.org/10.69739/jaaas.v2i2.1309</w:t>
        </w:r>
      </w:hyperlink>
      <w:r>
        <w:t xml:space="preserve"> </w:t>
      </w:r>
    </w:p>
    <w:p w14:paraId="4C2D3FF9" w14:textId="3A07999B" w:rsidR="00AD7519" w:rsidRPr="003600CA" w:rsidRDefault="002D1AEB" w:rsidP="003600C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600CA">
        <w:rPr>
          <w:rFonts w:ascii="Times New Roman" w:hAnsi="Times New Roman" w:cs="Times New Roman"/>
          <w:sz w:val="24"/>
          <w:szCs w:val="24"/>
        </w:rPr>
        <w:t>Onoja</w:t>
      </w:r>
      <w:proofErr w:type="spellEnd"/>
      <w:r w:rsidRPr="003600CA">
        <w:rPr>
          <w:rFonts w:ascii="Times New Roman" w:hAnsi="Times New Roman" w:cs="Times New Roman"/>
          <w:sz w:val="24"/>
          <w:szCs w:val="24"/>
        </w:rPr>
        <w:t xml:space="preserve">, C. R., </w:t>
      </w:r>
      <w:proofErr w:type="spellStart"/>
      <w:r w:rsidRPr="003600CA">
        <w:rPr>
          <w:rFonts w:ascii="Times New Roman" w:hAnsi="Times New Roman" w:cs="Times New Roman"/>
          <w:sz w:val="24"/>
          <w:szCs w:val="24"/>
        </w:rPr>
        <w:t>Ogbaji</w:t>
      </w:r>
      <w:proofErr w:type="spellEnd"/>
      <w:r w:rsidRPr="003600CA">
        <w:rPr>
          <w:rFonts w:ascii="Times New Roman" w:hAnsi="Times New Roman" w:cs="Times New Roman"/>
          <w:sz w:val="24"/>
          <w:szCs w:val="24"/>
        </w:rPr>
        <w:t xml:space="preserve">, H. O., </w:t>
      </w:r>
      <w:proofErr w:type="spellStart"/>
      <w:r w:rsidRPr="003600CA">
        <w:rPr>
          <w:rFonts w:ascii="Times New Roman" w:hAnsi="Times New Roman" w:cs="Times New Roman"/>
          <w:sz w:val="24"/>
          <w:szCs w:val="24"/>
        </w:rPr>
        <w:t>Edodi</w:t>
      </w:r>
      <w:proofErr w:type="spellEnd"/>
      <w:r w:rsidRPr="003600CA">
        <w:rPr>
          <w:rFonts w:ascii="Times New Roman" w:hAnsi="Times New Roman" w:cs="Times New Roman"/>
          <w:sz w:val="24"/>
          <w:szCs w:val="24"/>
        </w:rPr>
        <w:t xml:space="preserve">, I. O., </w:t>
      </w:r>
      <w:proofErr w:type="spellStart"/>
      <w:r w:rsidRPr="003600CA">
        <w:rPr>
          <w:rFonts w:ascii="Times New Roman" w:hAnsi="Times New Roman" w:cs="Times New Roman"/>
          <w:sz w:val="24"/>
          <w:szCs w:val="24"/>
        </w:rPr>
        <w:t>Mmuta</w:t>
      </w:r>
      <w:proofErr w:type="spellEnd"/>
      <w:r w:rsidRPr="003600CA">
        <w:rPr>
          <w:rFonts w:ascii="Times New Roman" w:hAnsi="Times New Roman" w:cs="Times New Roman"/>
          <w:sz w:val="24"/>
          <w:szCs w:val="24"/>
        </w:rPr>
        <w:t xml:space="preserve">, E. C., </w:t>
      </w:r>
      <w:proofErr w:type="spellStart"/>
      <w:r w:rsidRPr="003600CA">
        <w:rPr>
          <w:rFonts w:ascii="Times New Roman" w:hAnsi="Times New Roman" w:cs="Times New Roman"/>
          <w:sz w:val="24"/>
          <w:szCs w:val="24"/>
        </w:rPr>
        <w:t>Igwegbe</w:t>
      </w:r>
      <w:proofErr w:type="spellEnd"/>
      <w:r w:rsidRPr="003600CA">
        <w:rPr>
          <w:rFonts w:ascii="Times New Roman" w:hAnsi="Times New Roman" w:cs="Times New Roman"/>
          <w:sz w:val="24"/>
          <w:szCs w:val="24"/>
        </w:rPr>
        <w:t xml:space="preserve">, K. C., </w:t>
      </w:r>
      <w:proofErr w:type="spellStart"/>
      <w:r w:rsidRPr="003600CA">
        <w:rPr>
          <w:rFonts w:ascii="Times New Roman" w:hAnsi="Times New Roman" w:cs="Times New Roman"/>
          <w:sz w:val="24"/>
          <w:szCs w:val="24"/>
        </w:rPr>
        <w:t>Ogini</w:t>
      </w:r>
      <w:proofErr w:type="spellEnd"/>
      <w:r w:rsidRPr="003600CA">
        <w:rPr>
          <w:rFonts w:ascii="Times New Roman" w:hAnsi="Times New Roman" w:cs="Times New Roman"/>
          <w:sz w:val="24"/>
          <w:szCs w:val="24"/>
        </w:rPr>
        <w:t xml:space="preserve">, O. R., </w:t>
      </w:r>
      <w:proofErr w:type="spellStart"/>
      <w:r w:rsidRPr="003600CA">
        <w:rPr>
          <w:rFonts w:ascii="Times New Roman" w:hAnsi="Times New Roman" w:cs="Times New Roman"/>
          <w:sz w:val="24"/>
          <w:szCs w:val="24"/>
        </w:rPr>
        <w:t>Odibo</w:t>
      </w:r>
      <w:proofErr w:type="spellEnd"/>
      <w:r w:rsidRPr="003600CA">
        <w:rPr>
          <w:rFonts w:ascii="Times New Roman" w:hAnsi="Times New Roman" w:cs="Times New Roman"/>
          <w:sz w:val="24"/>
          <w:szCs w:val="24"/>
        </w:rPr>
        <w:t xml:space="preserve">, U. E., </w:t>
      </w:r>
      <w:proofErr w:type="spellStart"/>
      <w:r w:rsidRPr="003600CA">
        <w:rPr>
          <w:rFonts w:ascii="Times New Roman" w:hAnsi="Times New Roman" w:cs="Times New Roman"/>
          <w:sz w:val="24"/>
          <w:szCs w:val="24"/>
        </w:rPr>
        <w:t>Ewuola</w:t>
      </w:r>
      <w:proofErr w:type="spellEnd"/>
      <w:r w:rsidRPr="003600CA">
        <w:rPr>
          <w:rFonts w:ascii="Times New Roman" w:hAnsi="Times New Roman" w:cs="Times New Roman"/>
          <w:sz w:val="24"/>
          <w:szCs w:val="24"/>
        </w:rPr>
        <w:t xml:space="preserve">, A. A., Mahmoud, A. B., &amp; </w:t>
      </w:r>
      <w:proofErr w:type="spellStart"/>
      <w:r w:rsidRPr="003600CA">
        <w:rPr>
          <w:rFonts w:ascii="Times New Roman" w:hAnsi="Times New Roman" w:cs="Times New Roman"/>
          <w:sz w:val="24"/>
          <w:szCs w:val="24"/>
        </w:rPr>
        <w:t>Okpoji</w:t>
      </w:r>
      <w:proofErr w:type="spellEnd"/>
      <w:r w:rsidRPr="003600CA">
        <w:rPr>
          <w:rFonts w:ascii="Times New Roman" w:hAnsi="Times New Roman" w:cs="Times New Roman"/>
          <w:sz w:val="24"/>
          <w:szCs w:val="24"/>
        </w:rPr>
        <w:t>, A. U. (2025). Heavy Metal Contamination and Health Risk Assessment of Smoked-Dried Fish Sold in Eke-</w:t>
      </w:r>
      <w:proofErr w:type="spellStart"/>
      <w:r w:rsidRPr="003600CA">
        <w:rPr>
          <w:rFonts w:ascii="Times New Roman" w:hAnsi="Times New Roman" w:cs="Times New Roman"/>
          <w:sz w:val="24"/>
          <w:szCs w:val="24"/>
        </w:rPr>
        <w:t>Awka</w:t>
      </w:r>
      <w:proofErr w:type="spellEnd"/>
      <w:r w:rsidRPr="003600CA">
        <w:rPr>
          <w:rFonts w:ascii="Times New Roman" w:hAnsi="Times New Roman" w:cs="Times New Roman"/>
          <w:sz w:val="24"/>
          <w:szCs w:val="24"/>
        </w:rPr>
        <w:t xml:space="preserve"> Market, Anambra State, Nigeria. Journal of Sustainable Research and Development, 1(2), 18-25. </w:t>
      </w:r>
      <w:hyperlink r:id="rId33" w:history="1">
        <w:r w:rsidRPr="003600CA">
          <w:rPr>
            <w:rStyle w:val="Hyperlink"/>
            <w:rFonts w:ascii="Times New Roman" w:hAnsi="Times New Roman" w:cs="Times New Roman"/>
            <w:sz w:val="24"/>
            <w:szCs w:val="24"/>
          </w:rPr>
          <w:t>https://doi.org/10.69739/jsrd.v1i2.1044</w:t>
        </w:r>
      </w:hyperlink>
      <w:r w:rsidRPr="003600CA">
        <w:rPr>
          <w:rFonts w:ascii="Times New Roman" w:hAnsi="Times New Roman" w:cs="Times New Roman"/>
          <w:sz w:val="24"/>
          <w:szCs w:val="24"/>
        </w:rPr>
        <w:t xml:space="preserve"> </w:t>
      </w:r>
    </w:p>
    <w:p w14:paraId="7EFC12FD" w14:textId="15578A3C" w:rsidR="00AD7519" w:rsidRPr="00AF7428" w:rsidRDefault="00125AD8" w:rsidP="003600CA">
      <w:pPr>
        <w:pStyle w:val="NormalWeb"/>
        <w:spacing w:line="276" w:lineRule="auto"/>
        <w:jc w:val="both"/>
        <w:rPr>
          <w:rStyle w:val="Hyperlink"/>
        </w:rPr>
      </w:pPr>
      <w:proofErr w:type="spellStart"/>
      <w:r w:rsidRPr="00125AD8">
        <w:t>Osuafor</w:t>
      </w:r>
      <w:proofErr w:type="spellEnd"/>
      <w:r w:rsidRPr="00125AD8">
        <w:t xml:space="preserve">, O. O., Okeke, C. F., </w:t>
      </w:r>
      <w:proofErr w:type="spellStart"/>
      <w:r w:rsidRPr="00125AD8">
        <w:t>Agu</w:t>
      </w:r>
      <w:proofErr w:type="spellEnd"/>
      <w:r w:rsidRPr="00125AD8">
        <w:t xml:space="preserve">, M. O., </w:t>
      </w:r>
      <w:proofErr w:type="spellStart"/>
      <w:r w:rsidRPr="00125AD8">
        <w:t>Isueken</w:t>
      </w:r>
      <w:proofErr w:type="spellEnd"/>
      <w:r w:rsidRPr="00125AD8">
        <w:t xml:space="preserve">, C. O., </w:t>
      </w:r>
      <w:proofErr w:type="spellStart"/>
      <w:r w:rsidRPr="00125AD8">
        <w:t>Aligwo</w:t>
      </w:r>
      <w:proofErr w:type="spellEnd"/>
      <w:r w:rsidRPr="00125AD8">
        <w:t xml:space="preserve">, M. C., </w:t>
      </w:r>
      <w:proofErr w:type="spellStart"/>
      <w:r w:rsidRPr="00125AD8">
        <w:t>Ohaturuonye</w:t>
      </w:r>
      <w:proofErr w:type="spellEnd"/>
      <w:r w:rsidRPr="00125AD8">
        <w:t xml:space="preserve">, S. O., </w:t>
      </w:r>
      <w:proofErr w:type="spellStart"/>
      <w:r w:rsidRPr="00125AD8">
        <w:t>Okpoji</w:t>
      </w:r>
      <w:proofErr w:type="spellEnd"/>
      <w:r w:rsidRPr="00125AD8">
        <w:t xml:space="preserve">, A. U., </w:t>
      </w:r>
      <w:proofErr w:type="spellStart"/>
      <w:r w:rsidRPr="00125AD8">
        <w:t>Etesin</w:t>
      </w:r>
      <w:proofErr w:type="spellEnd"/>
      <w:r w:rsidRPr="00125AD8">
        <w:t xml:space="preserve">, M. U., &amp; </w:t>
      </w:r>
      <w:proofErr w:type="spellStart"/>
      <w:r w:rsidRPr="00125AD8">
        <w:t>Ekwere</w:t>
      </w:r>
      <w:proofErr w:type="spellEnd"/>
      <w:r w:rsidRPr="00125AD8">
        <w:t xml:space="preserve">, I. O. (2025). Hydrogeochemical characterisation and water quality assessment of streams impacted by agricultural runoff in </w:t>
      </w:r>
      <w:proofErr w:type="spellStart"/>
      <w:r w:rsidRPr="00125AD8">
        <w:t>Uyo</w:t>
      </w:r>
      <w:proofErr w:type="spellEnd"/>
      <w:r w:rsidRPr="00125AD8">
        <w:t xml:space="preserve">, </w:t>
      </w:r>
      <w:proofErr w:type="spellStart"/>
      <w:r w:rsidRPr="00125AD8">
        <w:t>Akwa</w:t>
      </w:r>
      <w:proofErr w:type="spellEnd"/>
      <w:r w:rsidRPr="00125AD8">
        <w:t xml:space="preserve"> Ibom State, Nigeria. Asian Journal of Agricultural and Horticultural Research, 12(4), 182–192. </w:t>
      </w:r>
      <w:hyperlink r:id="rId34" w:history="1">
        <w:r w:rsidRPr="007468C6">
          <w:rPr>
            <w:rStyle w:val="Hyperlink"/>
          </w:rPr>
          <w:t>https://doi.org/10.9734/ajahr/2025/v12i4427</w:t>
        </w:r>
      </w:hyperlink>
      <w:r>
        <w:t xml:space="preserve"> </w:t>
      </w:r>
    </w:p>
    <w:p w14:paraId="27716474" w14:textId="37B5A6BF" w:rsidR="00AD7519" w:rsidRPr="00AF7428" w:rsidRDefault="00D15745" w:rsidP="003600CA">
      <w:pPr>
        <w:pStyle w:val="NormalWeb"/>
        <w:spacing w:line="276" w:lineRule="auto"/>
        <w:jc w:val="both"/>
      </w:pPr>
      <w:proofErr w:type="spellStart"/>
      <w:r w:rsidRPr="00D15745">
        <w:t>Umueni</w:t>
      </w:r>
      <w:proofErr w:type="spellEnd"/>
      <w:r w:rsidRPr="00D15745">
        <w:t xml:space="preserve">, U. E., </w:t>
      </w:r>
      <w:proofErr w:type="spellStart"/>
      <w:r w:rsidRPr="00D15745">
        <w:t>Etukudo</w:t>
      </w:r>
      <w:proofErr w:type="spellEnd"/>
      <w:r w:rsidRPr="00D15745">
        <w:t xml:space="preserve">, N. J., Okoye, P. I., </w:t>
      </w:r>
      <w:proofErr w:type="spellStart"/>
      <w:r w:rsidRPr="00D15745">
        <w:t>Okpoji</w:t>
      </w:r>
      <w:proofErr w:type="spellEnd"/>
      <w:r w:rsidRPr="00D15745">
        <w:t xml:space="preserve">, A. U., </w:t>
      </w:r>
      <w:proofErr w:type="spellStart"/>
      <w:r w:rsidRPr="00D15745">
        <w:t>Eze</w:t>
      </w:r>
      <w:proofErr w:type="spellEnd"/>
      <w:r w:rsidRPr="00D15745">
        <w:t xml:space="preserve">, V. C., </w:t>
      </w:r>
      <w:proofErr w:type="spellStart"/>
      <w:r w:rsidRPr="00D15745">
        <w:t>Aningo</w:t>
      </w:r>
      <w:proofErr w:type="spellEnd"/>
      <w:r w:rsidRPr="00D15745">
        <w:t xml:space="preserve">, G. N., </w:t>
      </w:r>
      <w:proofErr w:type="spellStart"/>
      <w:r w:rsidRPr="00D15745">
        <w:t>Ekwere</w:t>
      </w:r>
      <w:proofErr w:type="spellEnd"/>
      <w:r w:rsidRPr="00D15745">
        <w:t xml:space="preserve">, I. O., &amp; </w:t>
      </w:r>
      <w:proofErr w:type="spellStart"/>
      <w:r w:rsidRPr="00D15745">
        <w:t>Garuba</w:t>
      </w:r>
      <w:proofErr w:type="spellEnd"/>
      <w:r w:rsidRPr="00D15745">
        <w:t xml:space="preserve">, M. H. (2025). Geochemical and ecological risk assessment of petroleum hydrocarbons in sediments of </w:t>
      </w:r>
      <w:proofErr w:type="spellStart"/>
      <w:r w:rsidRPr="00D15745">
        <w:t>Forcados</w:t>
      </w:r>
      <w:proofErr w:type="spellEnd"/>
      <w:r w:rsidRPr="00D15745">
        <w:t xml:space="preserve"> River, Delta State. Asian Journal of Geographical Research, 8(4), 287–298. </w:t>
      </w:r>
      <w:hyperlink r:id="rId35" w:history="1">
        <w:r w:rsidRPr="007468C6">
          <w:rPr>
            <w:rStyle w:val="Hyperlink"/>
          </w:rPr>
          <w:t>https://doi.org/10.9734/ajgr/2025/v8i4337</w:t>
        </w:r>
      </w:hyperlink>
      <w:r>
        <w:t xml:space="preserve"> </w:t>
      </w:r>
    </w:p>
    <w:p w14:paraId="63A50058" w14:textId="77777777" w:rsidR="00F72B21" w:rsidRPr="00AD7519" w:rsidRDefault="00F72B21" w:rsidP="00AD7519">
      <w:pPr>
        <w:jc w:val="both"/>
        <w:rPr>
          <w:rFonts w:ascii="Times New Roman" w:hAnsi="Times New Roman" w:cs="Times New Roman"/>
          <w:sz w:val="24"/>
          <w:szCs w:val="24"/>
        </w:rPr>
      </w:pPr>
    </w:p>
    <w:sectPr w:rsidR="00F72B21" w:rsidRPr="00AD7519">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F5D3E" w14:textId="77777777" w:rsidR="0094304E" w:rsidRDefault="0094304E" w:rsidP="00791B2A">
      <w:pPr>
        <w:spacing w:after="0" w:line="240" w:lineRule="auto"/>
      </w:pPr>
      <w:r>
        <w:separator/>
      </w:r>
    </w:p>
  </w:endnote>
  <w:endnote w:type="continuationSeparator" w:id="0">
    <w:p w14:paraId="14DBEC29" w14:textId="77777777" w:rsidR="0094304E" w:rsidRDefault="0094304E" w:rsidP="0079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C3BE" w14:textId="77777777" w:rsidR="00791B2A" w:rsidRDefault="00791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DD6C" w14:textId="77777777" w:rsidR="00791B2A" w:rsidRDefault="00791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1B9C" w14:textId="77777777" w:rsidR="00791B2A" w:rsidRDefault="0079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25AB" w14:textId="77777777" w:rsidR="0094304E" w:rsidRDefault="0094304E" w:rsidP="00791B2A">
      <w:pPr>
        <w:spacing w:after="0" w:line="240" w:lineRule="auto"/>
      </w:pPr>
      <w:r>
        <w:separator/>
      </w:r>
    </w:p>
  </w:footnote>
  <w:footnote w:type="continuationSeparator" w:id="0">
    <w:p w14:paraId="7A001FF7" w14:textId="77777777" w:rsidR="0094304E" w:rsidRDefault="0094304E" w:rsidP="00791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5E21" w14:textId="67F63687" w:rsidR="00791B2A" w:rsidRDefault="00791B2A">
    <w:pPr>
      <w:pStyle w:val="Header"/>
    </w:pPr>
    <w:r>
      <w:rPr>
        <w:noProof/>
      </w:rPr>
      <w:pict w14:anchorId="15689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DA1E" w14:textId="3BD22F2A" w:rsidR="00791B2A" w:rsidRDefault="00791B2A">
    <w:pPr>
      <w:pStyle w:val="Header"/>
    </w:pPr>
    <w:r>
      <w:rPr>
        <w:noProof/>
      </w:rPr>
      <w:pict w14:anchorId="0115C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D600" w14:textId="654BCF3F" w:rsidR="00791B2A" w:rsidRDefault="00791B2A">
    <w:pPr>
      <w:pStyle w:val="Header"/>
    </w:pPr>
    <w:r>
      <w:rPr>
        <w:noProof/>
      </w:rPr>
      <w:pict w14:anchorId="244E2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620B"/>
    <w:multiLevelType w:val="hybridMultilevel"/>
    <w:tmpl w:val="29F87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21"/>
    <w:rsid w:val="000538B8"/>
    <w:rsid w:val="000A41EA"/>
    <w:rsid w:val="000A4E18"/>
    <w:rsid w:val="00125AD8"/>
    <w:rsid w:val="001D10BB"/>
    <w:rsid w:val="001F1B80"/>
    <w:rsid w:val="002B5800"/>
    <w:rsid w:val="002D1AEB"/>
    <w:rsid w:val="003600CA"/>
    <w:rsid w:val="00471B33"/>
    <w:rsid w:val="0047781A"/>
    <w:rsid w:val="00734CEA"/>
    <w:rsid w:val="00791B2A"/>
    <w:rsid w:val="0079329F"/>
    <w:rsid w:val="007D0EEF"/>
    <w:rsid w:val="007E2CD9"/>
    <w:rsid w:val="008C0B7C"/>
    <w:rsid w:val="0094304E"/>
    <w:rsid w:val="00A9273E"/>
    <w:rsid w:val="00AB59A6"/>
    <w:rsid w:val="00AC5CB1"/>
    <w:rsid w:val="00AD335B"/>
    <w:rsid w:val="00AD7519"/>
    <w:rsid w:val="00B139E7"/>
    <w:rsid w:val="00B20E8E"/>
    <w:rsid w:val="00BA2F40"/>
    <w:rsid w:val="00C51FA4"/>
    <w:rsid w:val="00CD4FDA"/>
    <w:rsid w:val="00D071D3"/>
    <w:rsid w:val="00D15745"/>
    <w:rsid w:val="00D83480"/>
    <w:rsid w:val="00E2311D"/>
    <w:rsid w:val="00E67FA6"/>
    <w:rsid w:val="00EA316C"/>
    <w:rsid w:val="00F12130"/>
    <w:rsid w:val="00F72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3FF6D7"/>
  <w15:chartTrackingRefBased/>
  <w15:docId w15:val="{FB4E615A-7398-4044-99AE-C743F025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5C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72B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B2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72B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72B21"/>
    <w:rPr>
      <w:b/>
      <w:bCs/>
    </w:rPr>
  </w:style>
  <w:style w:type="character" w:customStyle="1" w:styleId="Heading2Char">
    <w:name w:val="Heading 2 Char"/>
    <w:basedOn w:val="DefaultParagraphFont"/>
    <w:link w:val="Heading2"/>
    <w:uiPriority w:val="9"/>
    <w:semiHidden/>
    <w:rsid w:val="00AC5CB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D7519"/>
    <w:rPr>
      <w:i/>
      <w:iCs/>
    </w:rPr>
  </w:style>
  <w:style w:type="character" w:styleId="Hyperlink">
    <w:name w:val="Hyperlink"/>
    <w:basedOn w:val="DefaultParagraphFont"/>
    <w:uiPriority w:val="99"/>
    <w:unhideWhenUsed/>
    <w:rsid w:val="00AD7519"/>
    <w:rPr>
      <w:color w:val="0563C1" w:themeColor="hyperlink"/>
      <w:u w:val="single"/>
    </w:rPr>
  </w:style>
  <w:style w:type="character" w:styleId="UnresolvedMention">
    <w:name w:val="Unresolved Mention"/>
    <w:basedOn w:val="DefaultParagraphFont"/>
    <w:uiPriority w:val="99"/>
    <w:semiHidden/>
    <w:unhideWhenUsed/>
    <w:rsid w:val="008C0B7C"/>
    <w:rPr>
      <w:color w:val="605E5C"/>
      <w:shd w:val="clear" w:color="auto" w:fill="E1DFDD"/>
    </w:rPr>
  </w:style>
  <w:style w:type="paragraph" w:styleId="ListParagraph">
    <w:name w:val="List Paragraph"/>
    <w:basedOn w:val="Normal"/>
    <w:uiPriority w:val="34"/>
    <w:qFormat/>
    <w:rsid w:val="000A41EA"/>
    <w:pPr>
      <w:ind w:left="720"/>
      <w:contextualSpacing/>
    </w:pPr>
  </w:style>
  <w:style w:type="paragraph" w:styleId="Header">
    <w:name w:val="header"/>
    <w:basedOn w:val="Normal"/>
    <w:link w:val="HeaderChar"/>
    <w:uiPriority w:val="99"/>
    <w:unhideWhenUsed/>
    <w:rsid w:val="00791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B2A"/>
  </w:style>
  <w:style w:type="paragraph" w:styleId="Footer">
    <w:name w:val="footer"/>
    <w:basedOn w:val="Normal"/>
    <w:link w:val="FooterChar"/>
    <w:uiPriority w:val="99"/>
    <w:unhideWhenUsed/>
    <w:rsid w:val="00791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20377">
      <w:bodyDiv w:val="1"/>
      <w:marLeft w:val="0"/>
      <w:marRight w:val="0"/>
      <w:marTop w:val="0"/>
      <w:marBottom w:val="0"/>
      <w:divBdr>
        <w:top w:val="none" w:sz="0" w:space="0" w:color="auto"/>
        <w:left w:val="none" w:sz="0" w:space="0" w:color="auto"/>
        <w:bottom w:val="none" w:sz="0" w:space="0" w:color="auto"/>
        <w:right w:val="none" w:sz="0" w:space="0" w:color="auto"/>
      </w:divBdr>
      <w:divsChild>
        <w:div w:id="2128156407">
          <w:marLeft w:val="0"/>
          <w:marRight w:val="0"/>
          <w:marTop w:val="0"/>
          <w:marBottom w:val="0"/>
          <w:divBdr>
            <w:top w:val="none" w:sz="0" w:space="0" w:color="auto"/>
            <w:left w:val="none" w:sz="0" w:space="0" w:color="auto"/>
            <w:bottom w:val="none" w:sz="0" w:space="0" w:color="auto"/>
            <w:right w:val="none" w:sz="0" w:space="0" w:color="auto"/>
          </w:divBdr>
          <w:divsChild>
            <w:div w:id="128016384">
              <w:marLeft w:val="0"/>
              <w:marRight w:val="0"/>
              <w:marTop w:val="0"/>
              <w:marBottom w:val="0"/>
              <w:divBdr>
                <w:top w:val="none" w:sz="0" w:space="0" w:color="auto"/>
                <w:left w:val="none" w:sz="0" w:space="0" w:color="auto"/>
                <w:bottom w:val="none" w:sz="0" w:space="0" w:color="auto"/>
                <w:right w:val="none" w:sz="0" w:space="0" w:color="auto"/>
              </w:divBdr>
              <w:divsChild>
                <w:div w:id="1531644031">
                  <w:marLeft w:val="0"/>
                  <w:marRight w:val="0"/>
                  <w:marTop w:val="0"/>
                  <w:marBottom w:val="0"/>
                  <w:divBdr>
                    <w:top w:val="none" w:sz="0" w:space="0" w:color="auto"/>
                    <w:left w:val="none" w:sz="0" w:space="0" w:color="auto"/>
                    <w:bottom w:val="none" w:sz="0" w:space="0" w:color="auto"/>
                    <w:right w:val="none" w:sz="0" w:space="0" w:color="auto"/>
                  </w:divBdr>
                  <w:divsChild>
                    <w:div w:id="1346133154">
                      <w:marLeft w:val="0"/>
                      <w:marRight w:val="0"/>
                      <w:marTop w:val="0"/>
                      <w:marBottom w:val="0"/>
                      <w:divBdr>
                        <w:top w:val="none" w:sz="0" w:space="0" w:color="auto"/>
                        <w:left w:val="none" w:sz="0" w:space="0" w:color="auto"/>
                        <w:bottom w:val="none" w:sz="0" w:space="0" w:color="auto"/>
                        <w:right w:val="none" w:sz="0" w:space="0" w:color="auto"/>
                      </w:divBdr>
                      <w:divsChild>
                        <w:div w:id="1511219869">
                          <w:marLeft w:val="0"/>
                          <w:marRight w:val="0"/>
                          <w:marTop w:val="0"/>
                          <w:marBottom w:val="0"/>
                          <w:divBdr>
                            <w:top w:val="none" w:sz="0" w:space="0" w:color="auto"/>
                            <w:left w:val="none" w:sz="0" w:space="0" w:color="auto"/>
                            <w:bottom w:val="none" w:sz="0" w:space="0" w:color="auto"/>
                            <w:right w:val="none" w:sz="0" w:space="0" w:color="auto"/>
                          </w:divBdr>
                          <w:divsChild>
                            <w:div w:id="1976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652750">
          <w:marLeft w:val="0"/>
          <w:marRight w:val="0"/>
          <w:marTop w:val="0"/>
          <w:marBottom w:val="0"/>
          <w:divBdr>
            <w:top w:val="none" w:sz="0" w:space="0" w:color="auto"/>
            <w:left w:val="none" w:sz="0" w:space="0" w:color="auto"/>
            <w:bottom w:val="none" w:sz="0" w:space="0" w:color="auto"/>
            <w:right w:val="none" w:sz="0" w:space="0" w:color="auto"/>
          </w:divBdr>
          <w:divsChild>
            <w:div w:id="510410782">
              <w:marLeft w:val="0"/>
              <w:marRight w:val="0"/>
              <w:marTop w:val="0"/>
              <w:marBottom w:val="0"/>
              <w:divBdr>
                <w:top w:val="none" w:sz="0" w:space="0" w:color="auto"/>
                <w:left w:val="none" w:sz="0" w:space="0" w:color="auto"/>
                <w:bottom w:val="none" w:sz="0" w:space="0" w:color="auto"/>
                <w:right w:val="none" w:sz="0" w:space="0" w:color="auto"/>
              </w:divBdr>
              <w:divsChild>
                <w:div w:id="1390182276">
                  <w:marLeft w:val="0"/>
                  <w:marRight w:val="0"/>
                  <w:marTop w:val="0"/>
                  <w:marBottom w:val="0"/>
                  <w:divBdr>
                    <w:top w:val="none" w:sz="0" w:space="0" w:color="auto"/>
                    <w:left w:val="none" w:sz="0" w:space="0" w:color="auto"/>
                    <w:bottom w:val="none" w:sz="0" w:space="0" w:color="auto"/>
                    <w:right w:val="none" w:sz="0" w:space="0" w:color="auto"/>
                  </w:divBdr>
                  <w:divsChild>
                    <w:div w:id="12080052">
                      <w:marLeft w:val="0"/>
                      <w:marRight w:val="0"/>
                      <w:marTop w:val="0"/>
                      <w:marBottom w:val="0"/>
                      <w:divBdr>
                        <w:top w:val="none" w:sz="0" w:space="0" w:color="auto"/>
                        <w:left w:val="none" w:sz="0" w:space="0" w:color="auto"/>
                        <w:bottom w:val="none" w:sz="0" w:space="0" w:color="auto"/>
                        <w:right w:val="none" w:sz="0" w:space="0" w:color="auto"/>
                      </w:divBdr>
                      <w:divsChild>
                        <w:div w:id="1675066377">
                          <w:marLeft w:val="0"/>
                          <w:marRight w:val="0"/>
                          <w:marTop w:val="0"/>
                          <w:marBottom w:val="0"/>
                          <w:divBdr>
                            <w:top w:val="none" w:sz="0" w:space="0" w:color="auto"/>
                            <w:left w:val="none" w:sz="0" w:space="0" w:color="auto"/>
                            <w:bottom w:val="none" w:sz="0" w:space="0" w:color="auto"/>
                            <w:right w:val="none" w:sz="0" w:space="0" w:color="auto"/>
                          </w:divBdr>
                          <w:divsChild>
                            <w:div w:id="418067235">
                              <w:marLeft w:val="0"/>
                              <w:marRight w:val="0"/>
                              <w:marTop w:val="0"/>
                              <w:marBottom w:val="0"/>
                              <w:divBdr>
                                <w:top w:val="none" w:sz="0" w:space="0" w:color="auto"/>
                                <w:left w:val="none" w:sz="0" w:space="0" w:color="auto"/>
                                <w:bottom w:val="none" w:sz="0" w:space="0" w:color="auto"/>
                                <w:right w:val="none" w:sz="0" w:space="0" w:color="auto"/>
                              </w:divBdr>
                              <w:divsChild>
                                <w:div w:id="3137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53539">
          <w:marLeft w:val="0"/>
          <w:marRight w:val="0"/>
          <w:marTop w:val="0"/>
          <w:marBottom w:val="0"/>
          <w:divBdr>
            <w:top w:val="none" w:sz="0" w:space="0" w:color="auto"/>
            <w:left w:val="none" w:sz="0" w:space="0" w:color="auto"/>
            <w:bottom w:val="none" w:sz="0" w:space="0" w:color="auto"/>
            <w:right w:val="none" w:sz="0" w:space="0" w:color="auto"/>
          </w:divBdr>
          <w:divsChild>
            <w:div w:id="179513688">
              <w:marLeft w:val="0"/>
              <w:marRight w:val="0"/>
              <w:marTop w:val="0"/>
              <w:marBottom w:val="0"/>
              <w:divBdr>
                <w:top w:val="none" w:sz="0" w:space="0" w:color="auto"/>
                <w:left w:val="none" w:sz="0" w:space="0" w:color="auto"/>
                <w:bottom w:val="none" w:sz="0" w:space="0" w:color="auto"/>
                <w:right w:val="none" w:sz="0" w:space="0" w:color="auto"/>
              </w:divBdr>
              <w:divsChild>
                <w:div w:id="934437181">
                  <w:marLeft w:val="0"/>
                  <w:marRight w:val="0"/>
                  <w:marTop w:val="0"/>
                  <w:marBottom w:val="0"/>
                  <w:divBdr>
                    <w:top w:val="none" w:sz="0" w:space="0" w:color="auto"/>
                    <w:left w:val="none" w:sz="0" w:space="0" w:color="auto"/>
                    <w:bottom w:val="none" w:sz="0" w:space="0" w:color="auto"/>
                    <w:right w:val="none" w:sz="0" w:space="0" w:color="auto"/>
                  </w:divBdr>
                  <w:divsChild>
                    <w:div w:id="481891434">
                      <w:marLeft w:val="0"/>
                      <w:marRight w:val="0"/>
                      <w:marTop w:val="0"/>
                      <w:marBottom w:val="0"/>
                      <w:divBdr>
                        <w:top w:val="none" w:sz="0" w:space="0" w:color="auto"/>
                        <w:left w:val="none" w:sz="0" w:space="0" w:color="auto"/>
                        <w:bottom w:val="none" w:sz="0" w:space="0" w:color="auto"/>
                        <w:right w:val="none" w:sz="0" w:space="0" w:color="auto"/>
                      </w:divBdr>
                      <w:divsChild>
                        <w:div w:id="1955208168">
                          <w:marLeft w:val="0"/>
                          <w:marRight w:val="0"/>
                          <w:marTop w:val="0"/>
                          <w:marBottom w:val="0"/>
                          <w:divBdr>
                            <w:top w:val="none" w:sz="0" w:space="0" w:color="auto"/>
                            <w:left w:val="none" w:sz="0" w:space="0" w:color="auto"/>
                            <w:bottom w:val="none" w:sz="0" w:space="0" w:color="auto"/>
                            <w:right w:val="none" w:sz="0" w:space="0" w:color="auto"/>
                          </w:divBdr>
                          <w:divsChild>
                            <w:div w:id="907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961194">
      <w:bodyDiv w:val="1"/>
      <w:marLeft w:val="0"/>
      <w:marRight w:val="0"/>
      <w:marTop w:val="0"/>
      <w:marBottom w:val="0"/>
      <w:divBdr>
        <w:top w:val="none" w:sz="0" w:space="0" w:color="auto"/>
        <w:left w:val="none" w:sz="0" w:space="0" w:color="auto"/>
        <w:bottom w:val="none" w:sz="0" w:space="0" w:color="auto"/>
        <w:right w:val="none" w:sz="0" w:space="0" w:color="auto"/>
      </w:divBdr>
    </w:div>
    <w:div w:id="418066205">
      <w:bodyDiv w:val="1"/>
      <w:marLeft w:val="0"/>
      <w:marRight w:val="0"/>
      <w:marTop w:val="0"/>
      <w:marBottom w:val="0"/>
      <w:divBdr>
        <w:top w:val="none" w:sz="0" w:space="0" w:color="auto"/>
        <w:left w:val="none" w:sz="0" w:space="0" w:color="auto"/>
        <w:bottom w:val="none" w:sz="0" w:space="0" w:color="auto"/>
        <w:right w:val="none" w:sz="0" w:space="0" w:color="auto"/>
      </w:divBdr>
    </w:div>
    <w:div w:id="797258881">
      <w:bodyDiv w:val="1"/>
      <w:marLeft w:val="0"/>
      <w:marRight w:val="0"/>
      <w:marTop w:val="0"/>
      <w:marBottom w:val="0"/>
      <w:divBdr>
        <w:top w:val="none" w:sz="0" w:space="0" w:color="auto"/>
        <w:left w:val="none" w:sz="0" w:space="0" w:color="auto"/>
        <w:bottom w:val="none" w:sz="0" w:space="0" w:color="auto"/>
        <w:right w:val="none" w:sz="0" w:space="0" w:color="auto"/>
      </w:divBdr>
      <w:divsChild>
        <w:div w:id="1546091366">
          <w:marLeft w:val="0"/>
          <w:marRight w:val="0"/>
          <w:marTop w:val="0"/>
          <w:marBottom w:val="0"/>
          <w:divBdr>
            <w:top w:val="none" w:sz="0" w:space="0" w:color="auto"/>
            <w:left w:val="none" w:sz="0" w:space="0" w:color="auto"/>
            <w:bottom w:val="none" w:sz="0" w:space="0" w:color="auto"/>
            <w:right w:val="none" w:sz="0" w:space="0" w:color="auto"/>
          </w:divBdr>
          <w:divsChild>
            <w:div w:id="3917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7571">
      <w:bodyDiv w:val="1"/>
      <w:marLeft w:val="0"/>
      <w:marRight w:val="0"/>
      <w:marTop w:val="0"/>
      <w:marBottom w:val="0"/>
      <w:divBdr>
        <w:top w:val="none" w:sz="0" w:space="0" w:color="auto"/>
        <w:left w:val="none" w:sz="0" w:space="0" w:color="auto"/>
        <w:bottom w:val="none" w:sz="0" w:space="0" w:color="auto"/>
        <w:right w:val="none" w:sz="0" w:space="0" w:color="auto"/>
      </w:divBdr>
      <w:divsChild>
        <w:div w:id="1453203629">
          <w:marLeft w:val="0"/>
          <w:marRight w:val="0"/>
          <w:marTop w:val="0"/>
          <w:marBottom w:val="0"/>
          <w:divBdr>
            <w:top w:val="none" w:sz="0" w:space="0" w:color="auto"/>
            <w:left w:val="none" w:sz="0" w:space="0" w:color="auto"/>
            <w:bottom w:val="none" w:sz="0" w:space="0" w:color="auto"/>
            <w:right w:val="none" w:sz="0" w:space="0" w:color="auto"/>
          </w:divBdr>
          <w:divsChild>
            <w:div w:id="319576659">
              <w:marLeft w:val="0"/>
              <w:marRight w:val="0"/>
              <w:marTop w:val="0"/>
              <w:marBottom w:val="0"/>
              <w:divBdr>
                <w:top w:val="none" w:sz="0" w:space="0" w:color="auto"/>
                <w:left w:val="none" w:sz="0" w:space="0" w:color="auto"/>
                <w:bottom w:val="none" w:sz="0" w:space="0" w:color="auto"/>
                <w:right w:val="none" w:sz="0" w:space="0" w:color="auto"/>
              </w:divBdr>
              <w:divsChild>
                <w:div w:id="871193200">
                  <w:marLeft w:val="0"/>
                  <w:marRight w:val="0"/>
                  <w:marTop w:val="0"/>
                  <w:marBottom w:val="0"/>
                  <w:divBdr>
                    <w:top w:val="none" w:sz="0" w:space="0" w:color="auto"/>
                    <w:left w:val="none" w:sz="0" w:space="0" w:color="auto"/>
                    <w:bottom w:val="none" w:sz="0" w:space="0" w:color="auto"/>
                    <w:right w:val="none" w:sz="0" w:space="0" w:color="auto"/>
                  </w:divBdr>
                  <w:divsChild>
                    <w:div w:id="839320614">
                      <w:marLeft w:val="0"/>
                      <w:marRight w:val="0"/>
                      <w:marTop w:val="0"/>
                      <w:marBottom w:val="0"/>
                      <w:divBdr>
                        <w:top w:val="none" w:sz="0" w:space="0" w:color="auto"/>
                        <w:left w:val="none" w:sz="0" w:space="0" w:color="auto"/>
                        <w:bottom w:val="none" w:sz="0" w:space="0" w:color="auto"/>
                        <w:right w:val="none" w:sz="0" w:space="0" w:color="auto"/>
                      </w:divBdr>
                      <w:divsChild>
                        <w:div w:id="377245816">
                          <w:marLeft w:val="0"/>
                          <w:marRight w:val="0"/>
                          <w:marTop w:val="0"/>
                          <w:marBottom w:val="0"/>
                          <w:divBdr>
                            <w:top w:val="none" w:sz="0" w:space="0" w:color="auto"/>
                            <w:left w:val="none" w:sz="0" w:space="0" w:color="auto"/>
                            <w:bottom w:val="none" w:sz="0" w:space="0" w:color="auto"/>
                            <w:right w:val="none" w:sz="0" w:space="0" w:color="auto"/>
                          </w:divBdr>
                          <w:divsChild>
                            <w:div w:id="5944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56876">
      <w:bodyDiv w:val="1"/>
      <w:marLeft w:val="0"/>
      <w:marRight w:val="0"/>
      <w:marTop w:val="0"/>
      <w:marBottom w:val="0"/>
      <w:divBdr>
        <w:top w:val="none" w:sz="0" w:space="0" w:color="auto"/>
        <w:left w:val="none" w:sz="0" w:space="0" w:color="auto"/>
        <w:bottom w:val="none" w:sz="0" w:space="0" w:color="auto"/>
        <w:right w:val="none" w:sz="0" w:space="0" w:color="auto"/>
      </w:divBdr>
      <w:divsChild>
        <w:div w:id="1209103064">
          <w:marLeft w:val="0"/>
          <w:marRight w:val="0"/>
          <w:marTop w:val="0"/>
          <w:marBottom w:val="0"/>
          <w:divBdr>
            <w:top w:val="none" w:sz="0" w:space="0" w:color="auto"/>
            <w:left w:val="none" w:sz="0" w:space="0" w:color="auto"/>
            <w:bottom w:val="none" w:sz="0" w:space="0" w:color="auto"/>
            <w:right w:val="none" w:sz="0" w:space="0" w:color="auto"/>
          </w:divBdr>
          <w:divsChild>
            <w:div w:id="1187906092">
              <w:marLeft w:val="0"/>
              <w:marRight w:val="0"/>
              <w:marTop w:val="0"/>
              <w:marBottom w:val="0"/>
              <w:divBdr>
                <w:top w:val="none" w:sz="0" w:space="0" w:color="auto"/>
                <w:left w:val="none" w:sz="0" w:space="0" w:color="auto"/>
                <w:bottom w:val="none" w:sz="0" w:space="0" w:color="auto"/>
                <w:right w:val="none" w:sz="0" w:space="0" w:color="auto"/>
              </w:divBdr>
            </w:div>
          </w:divsChild>
        </w:div>
        <w:div w:id="1132476034">
          <w:marLeft w:val="0"/>
          <w:marRight w:val="0"/>
          <w:marTop w:val="0"/>
          <w:marBottom w:val="0"/>
          <w:divBdr>
            <w:top w:val="none" w:sz="0" w:space="0" w:color="auto"/>
            <w:left w:val="none" w:sz="0" w:space="0" w:color="auto"/>
            <w:bottom w:val="none" w:sz="0" w:space="0" w:color="auto"/>
            <w:right w:val="none" w:sz="0" w:space="0" w:color="auto"/>
          </w:divBdr>
          <w:divsChild>
            <w:div w:id="1172527389">
              <w:marLeft w:val="0"/>
              <w:marRight w:val="0"/>
              <w:marTop w:val="0"/>
              <w:marBottom w:val="0"/>
              <w:divBdr>
                <w:top w:val="none" w:sz="0" w:space="0" w:color="auto"/>
                <w:left w:val="none" w:sz="0" w:space="0" w:color="auto"/>
                <w:bottom w:val="none" w:sz="0" w:space="0" w:color="auto"/>
                <w:right w:val="none" w:sz="0" w:space="0" w:color="auto"/>
              </w:divBdr>
            </w:div>
          </w:divsChild>
        </w:div>
        <w:div w:id="1501121744">
          <w:marLeft w:val="0"/>
          <w:marRight w:val="0"/>
          <w:marTop w:val="0"/>
          <w:marBottom w:val="0"/>
          <w:divBdr>
            <w:top w:val="none" w:sz="0" w:space="0" w:color="auto"/>
            <w:left w:val="none" w:sz="0" w:space="0" w:color="auto"/>
            <w:bottom w:val="none" w:sz="0" w:space="0" w:color="auto"/>
            <w:right w:val="none" w:sz="0" w:space="0" w:color="auto"/>
          </w:divBdr>
          <w:divsChild>
            <w:div w:id="69038841">
              <w:marLeft w:val="0"/>
              <w:marRight w:val="0"/>
              <w:marTop w:val="0"/>
              <w:marBottom w:val="0"/>
              <w:divBdr>
                <w:top w:val="none" w:sz="0" w:space="0" w:color="auto"/>
                <w:left w:val="none" w:sz="0" w:space="0" w:color="auto"/>
                <w:bottom w:val="none" w:sz="0" w:space="0" w:color="auto"/>
                <w:right w:val="none" w:sz="0" w:space="0" w:color="auto"/>
              </w:divBdr>
            </w:div>
          </w:divsChild>
        </w:div>
        <w:div w:id="1024750577">
          <w:marLeft w:val="0"/>
          <w:marRight w:val="0"/>
          <w:marTop w:val="0"/>
          <w:marBottom w:val="0"/>
          <w:divBdr>
            <w:top w:val="none" w:sz="0" w:space="0" w:color="auto"/>
            <w:left w:val="none" w:sz="0" w:space="0" w:color="auto"/>
            <w:bottom w:val="none" w:sz="0" w:space="0" w:color="auto"/>
            <w:right w:val="none" w:sz="0" w:space="0" w:color="auto"/>
          </w:divBdr>
          <w:divsChild>
            <w:div w:id="800657230">
              <w:marLeft w:val="0"/>
              <w:marRight w:val="0"/>
              <w:marTop w:val="0"/>
              <w:marBottom w:val="0"/>
              <w:divBdr>
                <w:top w:val="none" w:sz="0" w:space="0" w:color="auto"/>
                <w:left w:val="none" w:sz="0" w:space="0" w:color="auto"/>
                <w:bottom w:val="none" w:sz="0" w:space="0" w:color="auto"/>
                <w:right w:val="none" w:sz="0" w:space="0" w:color="auto"/>
              </w:divBdr>
            </w:div>
          </w:divsChild>
        </w:div>
        <w:div w:id="1457483494">
          <w:marLeft w:val="0"/>
          <w:marRight w:val="0"/>
          <w:marTop w:val="0"/>
          <w:marBottom w:val="0"/>
          <w:divBdr>
            <w:top w:val="none" w:sz="0" w:space="0" w:color="auto"/>
            <w:left w:val="none" w:sz="0" w:space="0" w:color="auto"/>
            <w:bottom w:val="none" w:sz="0" w:space="0" w:color="auto"/>
            <w:right w:val="none" w:sz="0" w:space="0" w:color="auto"/>
          </w:divBdr>
          <w:divsChild>
            <w:div w:id="1065908208">
              <w:marLeft w:val="0"/>
              <w:marRight w:val="0"/>
              <w:marTop w:val="0"/>
              <w:marBottom w:val="0"/>
              <w:divBdr>
                <w:top w:val="none" w:sz="0" w:space="0" w:color="auto"/>
                <w:left w:val="none" w:sz="0" w:space="0" w:color="auto"/>
                <w:bottom w:val="none" w:sz="0" w:space="0" w:color="auto"/>
                <w:right w:val="none" w:sz="0" w:space="0" w:color="auto"/>
              </w:divBdr>
            </w:div>
          </w:divsChild>
        </w:div>
        <w:div w:id="1452244625">
          <w:marLeft w:val="0"/>
          <w:marRight w:val="0"/>
          <w:marTop w:val="0"/>
          <w:marBottom w:val="0"/>
          <w:divBdr>
            <w:top w:val="none" w:sz="0" w:space="0" w:color="auto"/>
            <w:left w:val="none" w:sz="0" w:space="0" w:color="auto"/>
            <w:bottom w:val="none" w:sz="0" w:space="0" w:color="auto"/>
            <w:right w:val="none" w:sz="0" w:space="0" w:color="auto"/>
          </w:divBdr>
          <w:divsChild>
            <w:div w:id="4926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309">
      <w:bodyDiv w:val="1"/>
      <w:marLeft w:val="0"/>
      <w:marRight w:val="0"/>
      <w:marTop w:val="0"/>
      <w:marBottom w:val="0"/>
      <w:divBdr>
        <w:top w:val="none" w:sz="0" w:space="0" w:color="auto"/>
        <w:left w:val="none" w:sz="0" w:space="0" w:color="auto"/>
        <w:bottom w:val="none" w:sz="0" w:space="0" w:color="auto"/>
        <w:right w:val="none" w:sz="0" w:space="0" w:color="auto"/>
      </w:divBdr>
      <w:divsChild>
        <w:div w:id="1515995923">
          <w:marLeft w:val="0"/>
          <w:marRight w:val="0"/>
          <w:marTop w:val="0"/>
          <w:marBottom w:val="0"/>
          <w:divBdr>
            <w:top w:val="none" w:sz="0" w:space="0" w:color="auto"/>
            <w:left w:val="none" w:sz="0" w:space="0" w:color="auto"/>
            <w:bottom w:val="none" w:sz="0" w:space="0" w:color="auto"/>
            <w:right w:val="none" w:sz="0" w:space="0" w:color="auto"/>
          </w:divBdr>
          <w:divsChild>
            <w:div w:id="10008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srd.v1i2.1033" TargetMode="External"/><Relationship Id="rId18" Type="http://schemas.openxmlformats.org/officeDocument/2006/relationships/hyperlink" Target="https://doi.org/10.9734/ajriz/2025/v8i4233" TargetMode="External"/><Relationship Id="rId26" Type="http://schemas.openxmlformats.org/officeDocument/2006/relationships/hyperlink" Target="https://doi.org/10.69739/jece.v2i2.844" TargetMode="External"/><Relationship Id="rId39" Type="http://schemas.openxmlformats.org/officeDocument/2006/relationships/footer" Target="footer2.xml"/><Relationship Id="rId21" Type="http://schemas.openxmlformats.org/officeDocument/2006/relationships/hyperlink" Target="https://doi.org/10.69739/jlsph.v1i1.879" TargetMode="External"/><Relationship Id="rId34" Type="http://schemas.openxmlformats.org/officeDocument/2006/relationships/hyperlink" Target="https://doi.org/10.9734/ajahr/2025/v12i4427" TargetMode="External"/><Relationship Id="rId42" Type="http://schemas.openxmlformats.org/officeDocument/2006/relationships/fontTable" Target="fontTable.xml"/><Relationship Id="rId7" Type="http://schemas.openxmlformats.org/officeDocument/2006/relationships/hyperlink" Target="https://doi.org/10.9734/ajee/2025/v24i11822" TargetMode="External"/><Relationship Id="rId2" Type="http://schemas.openxmlformats.org/officeDocument/2006/relationships/styles" Target="styles.xml"/><Relationship Id="rId16" Type="http://schemas.openxmlformats.org/officeDocument/2006/relationships/hyperlink" Target="https://doi.org/10.69739/jmsbc.v2i2.1045" TargetMode="External"/><Relationship Id="rId20" Type="http://schemas.openxmlformats.org/officeDocument/2006/relationships/hyperlink" Target="https://doi.org/10.56557/japsi/2025/v17i210026" TargetMode="External"/><Relationship Id="rId29" Type="http://schemas.openxmlformats.org/officeDocument/2006/relationships/hyperlink" Target="http://www.ijmsrt.com"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7148360" TargetMode="External"/><Relationship Id="rId24" Type="http://schemas.openxmlformats.org/officeDocument/2006/relationships/hyperlink" Target="https://doi.org/10.69739/jlsph.v1i1.962" TargetMode="External"/><Relationship Id="rId32" Type="http://schemas.openxmlformats.org/officeDocument/2006/relationships/hyperlink" Target="https://doi.org/10.69739/jaaas.v2i2.130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69739/sjet.v2i2.1308" TargetMode="External"/><Relationship Id="rId23" Type="http://schemas.openxmlformats.org/officeDocument/2006/relationships/hyperlink" Target="https://doi.org/10.5281/zenodo.16921896" TargetMode="External"/><Relationship Id="rId28" Type="http://schemas.openxmlformats.org/officeDocument/2006/relationships/hyperlink" Target="https://doi.org/10.69739/jaaas.v2i2.882" TargetMode="External"/><Relationship Id="rId36" Type="http://schemas.openxmlformats.org/officeDocument/2006/relationships/header" Target="header1.xml"/><Relationship Id="rId10" Type="http://schemas.openxmlformats.org/officeDocument/2006/relationships/hyperlink" Target="https://doi.org/10.9734/ajocs/2025/v15i6406" TargetMode="External"/><Relationship Id="rId19" Type="http://schemas.openxmlformats.org/officeDocument/2006/relationships/hyperlink" Target="https://doi.org/10.69739/jece.v2i2.1078" TargetMode="External"/><Relationship Id="rId31" Type="http://schemas.openxmlformats.org/officeDocument/2006/relationships/hyperlink" Target="https://doi.org/10.9734/ajoger/2025/v8i3223" TargetMode="External"/><Relationship Id="rId4" Type="http://schemas.openxmlformats.org/officeDocument/2006/relationships/webSettings" Target="webSettings.xml"/><Relationship Id="rId9" Type="http://schemas.openxmlformats.org/officeDocument/2006/relationships/hyperlink" Target="https://doi.org/10.69739/jece.v2i2.1307" TargetMode="External"/><Relationship Id="rId14" Type="http://schemas.openxmlformats.org/officeDocument/2006/relationships/hyperlink" Target="https://doi.org/10.69739/jmsbc.v2i2.1258" TargetMode="External"/><Relationship Id="rId22" Type="http://schemas.openxmlformats.org/officeDocument/2006/relationships/hyperlink" Target="https://doi.org/10.5281/zenodo.16904018" TargetMode="External"/><Relationship Id="rId27" Type="http://schemas.openxmlformats.org/officeDocument/2006/relationships/hyperlink" Target="https://doi.org/10.9734/ajocs/2025/v15i6402" TargetMode="External"/><Relationship Id="rId30" Type="http://schemas.openxmlformats.org/officeDocument/2006/relationships/hyperlink" Target="https://doi.org/10.9734/ajopacs/2025/v13i4271" TargetMode="External"/><Relationship Id="rId35" Type="http://schemas.openxmlformats.org/officeDocument/2006/relationships/hyperlink" Target="https://doi.org/10.9734/ajgr/2025/v8i4337" TargetMode="External"/><Relationship Id="rId43" Type="http://schemas.openxmlformats.org/officeDocument/2006/relationships/theme" Target="theme/theme1.xml"/><Relationship Id="rId8" Type="http://schemas.openxmlformats.org/officeDocument/2006/relationships/hyperlink" Target="https://doi.org/10.9734/AJEE/2023/v21i4469" TargetMode="External"/><Relationship Id="rId3" Type="http://schemas.openxmlformats.org/officeDocument/2006/relationships/settings" Target="settings.xml"/><Relationship Id="rId12" Type="http://schemas.openxmlformats.org/officeDocument/2006/relationships/hyperlink" Target="https://doi.org/10.69739/jece.v2i2.952" TargetMode="External"/><Relationship Id="rId17" Type="http://schemas.openxmlformats.org/officeDocument/2006/relationships/hyperlink" Target="https://doi.org/10.9734/ajgr/2025/v8i4341" TargetMode="External"/><Relationship Id="rId25" Type="http://schemas.openxmlformats.org/officeDocument/2006/relationships/hyperlink" Target="https://doi.org/10.69739/jece.v2i2.961" TargetMode="External"/><Relationship Id="rId33" Type="http://schemas.openxmlformats.org/officeDocument/2006/relationships/hyperlink" Target="https://doi.org/10.69739/jsrd.v1i2.104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5354</Words>
  <Characters>30523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30</cp:revision>
  <dcterms:created xsi:type="dcterms:W3CDTF">2026-01-04T12:54:00Z</dcterms:created>
  <dcterms:modified xsi:type="dcterms:W3CDTF">2026-01-05T10:47:00Z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9e1d085b-6781-4de1-a7ef-0cf7a6a08e7e</vt:lpwstr>
  </property>
</Properties>
</file>