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2B5866" w:rsidRPr="002B5866" w:rsidRDefault="002B5866" w:rsidP="002B5866">
      <w:pPr>
        <w:pStyle w:val="Title"/>
        <w:spacing w:line="276" w:lineRule="auto"/>
        <w:jc w:val="both"/>
        <w:rPr>
          <w:rFonts w:ascii="Arial" w:eastAsia="Arial" w:hAnsi="Arial" w:cs="Arial"/>
          <w:szCs w:val="24"/>
        </w:rPr>
      </w:pPr>
      <w:r w:rsidRPr="002B5866">
        <w:rPr>
          <w:rFonts w:ascii="Arial" w:eastAsia="Arial" w:hAnsi="Arial" w:cs="Arial"/>
          <w:szCs w:val="24"/>
        </w:rPr>
        <w:t>Beyond Bees: Emerging Roles of Non-Honeybee Pollinators in Agriculture</w:t>
      </w:r>
    </w:p>
    <w:p w:rsidR="002C57D2" w:rsidRPr="00FB3A86" w:rsidRDefault="002C57D2" w:rsidP="00441B6F">
      <w:pPr>
        <w:pStyle w:val="Affiliation"/>
        <w:spacing w:after="0" w:line="240" w:lineRule="auto"/>
        <w:jc w:val="both"/>
        <w:rPr>
          <w:rFonts w:ascii="Arial" w:hAnsi="Arial" w:cs="Arial"/>
        </w:rPr>
      </w:pPr>
    </w:p>
    <w:p w:rsidR="00B01FCD" w:rsidRPr="00FB3A86" w:rsidRDefault="00EF6831" w:rsidP="00441B6F">
      <w:pPr>
        <w:pStyle w:val="Copyright"/>
        <w:spacing w:after="0" w:line="240" w:lineRule="auto"/>
        <w:jc w:val="both"/>
        <w:rPr>
          <w:rFonts w:ascii="Arial" w:hAnsi="Arial" w:cs="Arial"/>
        </w:rPr>
        <w:sectPr w:rsidR="00B01FCD" w:rsidRPr="00FB3A86" w:rsidSect="000B6577">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D94C48" w:rsidRPr="00FB3A86" w:rsidRDefault="00D94C48" w:rsidP="00441B6F">
      <w:pPr>
        <w:pStyle w:val="AbstHead"/>
        <w:spacing w:after="0"/>
        <w:jc w:val="both"/>
        <w:rPr>
          <w:rFonts w:ascii="Arial" w:hAnsi="Arial" w:cs="Arial"/>
        </w:rPr>
      </w:pPr>
    </w:p>
    <w:tbl>
      <w:tblPr>
        <w:tblW w:w="8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633"/>
      </w:tblGrid>
      <w:tr w:rsidR="00296529" w:rsidRPr="001E44FE" w:rsidTr="00111EA1">
        <w:trPr>
          <w:trHeight w:val="4050"/>
        </w:trPr>
        <w:tc>
          <w:tcPr>
            <w:tcW w:w="8633" w:type="dxa"/>
            <w:shd w:val="clear" w:color="auto" w:fill="F2F2F2"/>
          </w:tcPr>
          <w:p w:rsidR="00505F06" w:rsidRPr="00111EA1" w:rsidRDefault="00111EA1" w:rsidP="00111EA1">
            <w:pPr>
              <w:spacing w:after="300"/>
              <w:jc w:val="both"/>
              <w:rPr>
                <w:rFonts w:ascii="Arial" w:hAnsi="Arial" w:cs="Arial"/>
                <w:szCs w:val="24"/>
              </w:rPr>
            </w:pPr>
            <w:r w:rsidRPr="00111EA1">
              <w:rPr>
                <w:rFonts w:ascii="Arial" w:eastAsia="Arial" w:hAnsi="Arial" w:cs="Arial"/>
                <w:szCs w:val="24"/>
              </w:rPr>
              <w:t>Global agriculture has long depended on the managed European honeybee (</w:t>
            </w:r>
            <w:r w:rsidRPr="00111EA1">
              <w:rPr>
                <w:rFonts w:ascii="Arial" w:eastAsia="Arial" w:hAnsi="Arial" w:cs="Arial"/>
                <w:i/>
                <w:szCs w:val="24"/>
              </w:rPr>
              <w:t>Apis mellifera</w:t>
            </w:r>
            <w:r w:rsidRPr="00111EA1">
              <w:rPr>
                <w:rFonts w:ascii="Arial" w:eastAsia="Arial" w:hAnsi="Arial" w:cs="Arial"/>
                <w:szCs w:val="24"/>
              </w:rPr>
              <w:t>) for crop pollination, an ecosystem service valued at over €150 billion annually. However, increasing reports of honeybee population declines, coupled with the inherent risks of relying on a single pollinator species, have catalyzed a paradigm shift in pollination ecology. This review synthesizes recent peer-reviewed literature to illuminate the critical and often underestimated, roles of non-honeybee pollinators in sustaining agricultural productivity. We explore the diverse taxa contributing to crop pollination, including wild bees, hoverflies, moths, butterflies, beetles, birds and bats. Evidence demonstrates that these alternative pollinators are not merely supplementary but are often more efficient on a per-visit basis and can significantly enhance crop yield and quality, even in the presence of abundant honeybees. Furthermore, a high diversity of pollinators provides functional redundancy and resilience to agroecosystems against environmental change. We examine the economic implications of this biodiversity, the synergistic interactions between different pollinator groups and the urgent need for conservation strategies that extend beyond the hive. By integrating ecological knowledge with agricultural practice, policies can be developed to protect this natural capital, ensuring the stability of food production systems. This review underscores that the future of agricultural sustainability lies in recognizing and conserving the full spectrum of pollinating animals.</w:t>
            </w:r>
          </w:p>
        </w:tc>
      </w:tr>
    </w:tbl>
    <w:p w:rsidR="00636EB2" w:rsidRDefault="00636EB2" w:rsidP="00441B6F">
      <w:pPr>
        <w:pStyle w:val="Body"/>
        <w:spacing w:after="0"/>
        <w:rPr>
          <w:rFonts w:ascii="Arial" w:hAnsi="Arial" w:cs="Arial"/>
          <w:i/>
        </w:rPr>
      </w:pPr>
    </w:p>
    <w:p w:rsidR="0024282C" w:rsidRPr="00832F88" w:rsidRDefault="00A24E7E" w:rsidP="00832F88">
      <w:pPr>
        <w:spacing w:after="300"/>
        <w:jc w:val="both"/>
        <w:rPr>
          <w:rFonts w:ascii="Arial" w:hAnsi="Arial" w:cs="Arial"/>
          <w:i/>
          <w:iCs/>
          <w:szCs w:val="24"/>
        </w:rPr>
      </w:pPr>
      <w:r>
        <w:rPr>
          <w:rFonts w:ascii="Arial" w:hAnsi="Arial" w:cs="Arial"/>
          <w:i/>
        </w:rPr>
        <w:t xml:space="preserve">Keywords: </w:t>
      </w:r>
      <w:r w:rsidR="007E56C8" w:rsidRPr="007E56C8">
        <w:rPr>
          <w:rFonts w:ascii="Arial" w:eastAsia="Arial" w:hAnsi="Arial" w:cs="Arial"/>
          <w:i/>
          <w:iCs/>
          <w:szCs w:val="24"/>
        </w:rPr>
        <w:t>Pollination, biodiversity, wild pollinators, agricultural sustainability, hoverflies, moths, ecosystem resilience</w:t>
      </w:r>
      <w:r w:rsidR="007E56C8">
        <w:rPr>
          <w:rFonts w:ascii="Arial" w:eastAsia="Arial" w:hAnsi="Arial" w:cs="Arial"/>
          <w:i/>
          <w:iCs/>
          <w:szCs w:val="24"/>
        </w:rPr>
        <w:t xml:space="preserve"> and </w:t>
      </w:r>
      <w:r w:rsidR="007E56C8" w:rsidRPr="007E56C8">
        <w:rPr>
          <w:rFonts w:ascii="Arial" w:eastAsia="Arial" w:hAnsi="Arial" w:cs="Arial"/>
          <w:i/>
          <w:iCs/>
          <w:szCs w:val="24"/>
        </w:rPr>
        <w:t>conservation policy</w:t>
      </w:r>
      <w:r w:rsidR="007E56C8">
        <w:rPr>
          <w:rFonts w:ascii="Arial" w:eastAsia="Arial" w:hAnsi="Arial" w:cs="Arial"/>
          <w:i/>
          <w:iCs/>
          <w:szCs w:val="24"/>
        </w:rPr>
        <w:t>.</w:t>
      </w:r>
    </w:p>
    <w:p w:rsidR="00505F06" w:rsidRPr="00A24E7E" w:rsidRDefault="00505F06" w:rsidP="00441B6F">
      <w:pPr>
        <w:pStyle w:val="Body"/>
        <w:spacing w:after="0"/>
        <w:rPr>
          <w:rFonts w:ascii="Arial" w:hAnsi="Arial" w:cs="Arial"/>
          <w:i/>
        </w:rPr>
      </w:pPr>
    </w:p>
    <w:p w:rsidR="00790ADA" w:rsidRPr="00FB3A86"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832F88" w:rsidRPr="00832F88" w:rsidRDefault="00832F88" w:rsidP="00832F88">
      <w:pPr>
        <w:spacing w:after="300"/>
        <w:jc w:val="both"/>
        <w:rPr>
          <w:rFonts w:ascii="Arial" w:hAnsi="Arial" w:cs="Arial"/>
          <w:szCs w:val="24"/>
        </w:rPr>
      </w:pPr>
      <w:r w:rsidRPr="00832F88">
        <w:rPr>
          <w:rFonts w:ascii="Arial" w:eastAsia="Arial" w:hAnsi="Arial" w:cs="Arial"/>
          <w:szCs w:val="24"/>
        </w:rPr>
        <w:t xml:space="preserve">Animal-mediated pollination is a fundamental ecosystem service, underpinning the reproduction of over 85% of flowering plants and contributing to the yield of approximately 75% of globally important food crops (Sadafale </w:t>
      </w:r>
      <w:r w:rsidRPr="00832F88">
        <w:rPr>
          <w:rFonts w:ascii="Arial" w:eastAsia="Arial" w:hAnsi="Arial" w:cs="Arial"/>
          <w:i/>
          <w:szCs w:val="24"/>
        </w:rPr>
        <w:t>et al</w:t>
      </w:r>
      <w:r w:rsidRPr="00832F88">
        <w:rPr>
          <w:rFonts w:ascii="Arial" w:eastAsia="Arial" w:hAnsi="Arial" w:cs="Arial"/>
          <w:szCs w:val="24"/>
        </w:rPr>
        <w:t xml:space="preserve">., 2025; Klein, 2007). The economic significance of this service is immense, with estimates placing its value to global agricultural production at €153 billion annually (Gallai </w:t>
      </w:r>
      <w:r w:rsidRPr="00832F88">
        <w:rPr>
          <w:rFonts w:ascii="Arial" w:eastAsia="Arial" w:hAnsi="Arial" w:cs="Arial"/>
          <w:i/>
          <w:szCs w:val="24"/>
        </w:rPr>
        <w:t>et al</w:t>
      </w:r>
      <w:r w:rsidRPr="00832F88">
        <w:rPr>
          <w:rFonts w:ascii="Arial" w:eastAsia="Arial" w:hAnsi="Arial" w:cs="Arial"/>
          <w:szCs w:val="24"/>
        </w:rPr>
        <w:t xml:space="preserve">., 2009). Historically, the focus of agricultural pollination management has been overwhelmingly centered on a single, domesticated species: the European honeybee, </w:t>
      </w:r>
      <w:r w:rsidRPr="00832F88">
        <w:rPr>
          <w:rFonts w:ascii="Arial" w:eastAsia="Arial" w:hAnsi="Arial" w:cs="Arial"/>
          <w:i/>
          <w:szCs w:val="24"/>
        </w:rPr>
        <w:t>Apis mellifera</w:t>
      </w:r>
      <w:r w:rsidRPr="00832F88">
        <w:rPr>
          <w:rFonts w:ascii="Arial" w:eastAsia="Arial" w:hAnsi="Arial" w:cs="Arial"/>
          <w:szCs w:val="24"/>
        </w:rPr>
        <w:t>. Its manageability, large colony size and generalist foraging behavior have made it the workhorse of industrial agriculture, transported across landscapes to pollinate vast monocultures (</w:t>
      </w:r>
      <w:r w:rsidRPr="00832F88">
        <w:rPr>
          <w:rFonts w:ascii="Arial" w:hAnsi="Arial" w:cs="Arial"/>
          <w:szCs w:val="40"/>
        </w:rPr>
        <w:t>Adit</w:t>
      </w:r>
      <w:r w:rsidRPr="00832F88">
        <w:rPr>
          <w:rFonts w:ascii="Arial" w:eastAsia="Arial" w:hAnsi="Arial" w:cs="Arial"/>
          <w:szCs w:val="24"/>
        </w:rPr>
        <w:t xml:space="preserve"> </w:t>
      </w:r>
      <w:r w:rsidRPr="00832F88">
        <w:rPr>
          <w:rFonts w:ascii="Arial" w:eastAsia="Arial" w:hAnsi="Arial" w:cs="Arial"/>
          <w:i/>
          <w:szCs w:val="24"/>
        </w:rPr>
        <w:t>et al</w:t>
      </w:r>
      <w:r w:rsidRPr="00832F88">
        <w:rPr>
          <w:rFonts w:ascii="Arial" w:eastAsia="Arial" w:hAnsi="Arial" w:cs="Arial"/>
          <w:szCs w:val="24"/>
        </w:rPr>
        <w:t>., 2024).</w:t>
      </w:r>
    </w:p>
    <w:p w:rsidR="00832F88" w:rsidRPr="00832F88" w:rsidRDefault="00832F88" w:rsidP="00832F88">
      <w:pPr>
        <w:spacing w:after="300"/>
        <w:jc w:val="both"/>
        <w:rPr>
          <w:rFonts w:ascii="Arial" w:hAnsi="Arial" w:cs="Arial"/>
          <w:szCs w:val="24"/>
        </w:rPr>
      </w:pPr>
      <w:r w:rsidRPr="00832F88">
        <w:rPr>
          <w:rFonts w:ascii="Arial" w:eastAsia="Arial" w:hAnsi="Arial" w:cs="Arial"/>
          <w:szCs w:val="24"/>
        </w:rPr>
        <w:t>However, this profound reliance on a single species creates a precarious situation. Over the past two decades, reports of honeybee colony losses and declining populations have become widespread, driven by a confluence of stressors including pesticides, pathogens, habitat loss and climate change (</w:t>
      </w:r>
      <w:r w:rsidRPr="00832F88">
        <w:rPr>
          <w:rFonts w:ascii="Arial" w:hAnsi="Arial" w:cs="Arial"/>
          <w:szCs w:val="40"/>
        </w:rPr>
        <w:t>Maqbool</w:t>
      </w:r>
      <w:r w:rsidRPr="00832F88">
        <w:rPr>
          <w:rFonts w:ascii="Arial" w:eastAsia="Arial" w:hAnsi="Arial" w:cs="Arial"/>
          <w:szCs w:val="24"/>
        </w:rPr>
        <w:t xml:space="preserve"> </w:t>
      </w:r>
      <w:r w:rsidRPr="00832F88">
        <w:rPr>
          <w:rFonts w:ascii="Arial" w:eastAsia="Arial" w:hAnsi="Arial" w:cs="Arial"/>
          <w:i/>
          <w:szCs w:val="24"/>
        </w:rPr>
        <w:t>et al</w:t>
      </w:r>
      <w:r w:rsidRPr="00832F88">
        <w:rPr>
          <w:rFonts w:ascii="Arial" w:eastAsia="Arial" w:hAnsi="Arial" w:cs="Arial"/>
          <w:szCs w:val="24"/>
        </w:rPr>
        <w:t>., 2025). This has raised alarms about an "impending pollination crisis" that threatens not only agricultural productivity but also global food security (Buchmann and Nabhan, 1996). The vulnerability of a system dependent on a single pollinator highlights the urgent need to look beyond the honeybee and re-evaluate the contributions of the vast, diverse assemblage of wild, non-honeybee pollinators.</w:t>
      </w:r>
    </w:p>
    <w:p w:rsidR="00832F88" w:rsidRDefault="00832F88" w:rsidP="00832F88">
      <w:pPr>
        <w:spacing w:after="300"/>
        <w:jc w:val="both"/>
        <w:rPr>
          <w:rFonts w:ascii="Arial" w:eastAsia="Arial" w:hAnsi="Arial" w:cs="Arial"/>
          <w:szCs w:val="24"/>
        </w:rPr>
      </w:pPr>
      <w:r w:rsidRPr="00832F88">
        <w:rPr>
          <w:rFonts w:ascii="Arial" w:eastAsia="Arial" w:hAnsi="Arial" w:cs="Arial"/>
          <w:szCs w:val="24"/>
        </w:rPr>
        <w:lastRenderedPageBreak/>
        <w:t>This review aims to synthesize the growing body of research that reveals the emerging and essential roles of these alternative pollinators in agriculture. We move beyond the hive to explore the diverse taxa from wild bees and flies to moths, beetles and even vertebrates that contribute to crop production. We will examine their economic value, comparative pollination effectiveness, and the ecological synergies that arise from pollinator diversity. Finally, we will discuss the critical conservation strategies and policy shifts required to protect these vital ecosystem service providers and build more resilient, sustainable agricultural systems for the future.</w:t>
      </w:r>
    </w:p>
    <w:p w:rsidR="00EB04EC" w:rsidRPr="00EB04EC" w:rsidRDefault="00EB04EC" w:rsidP="00EB04EC">
      <w:pPr>
        <w:pStyle w:val="Heading1"/>
        <w:spacing w:before="300" w:after="300"/>
        <w:jc w:val="both"/>
        <w:rPr>
          <w:rFonts w:cs="Arial"/>
          <w:sz w:val="22"/>
          <w:szCs w:val="24"/>
        </w:rPr>
      </w:pPr>
      <w:r w:rsidRPr="00EB04EC">
        <w:rPr>
          <w:rFonts w:eastAsia="Arial" w:cs="Arial"/>
          <w:sz w:val="22"/>
          <w:szCs w:val="24"/>
        </w:rPr>
        <w:t>2. THE ECONOMIC IMPERATIVE FOR DIVERSE POLLINATORS</w:t>
      </w:r>
    </w:p>
    <w:p w:rsidR="00EB04EC" w:rsidRPr="0008084A" w:rsidRDefault="00EB04EC" w:rsidP="00EB04EC">
      <w:pPr>
        <w:spacing w:after="300"/>
        <w:jc w:val="both"/>
        <w:rPr>
          <w:rFonts w:ascii="Arial" w:hAnsi="Arial" w:cs="Arial"/>
        </w:rPr>
      </w:pPr>
      <w:r w:rsidRPr="0008084A">
        <w:rPr>
          <w:rFonts w:ascii="Arial" w:eastAsia="Arial" w:hAnsi="Arial" w:cs="Arial"/>
        </w:rPr>
        <w:t>The economic valuation of pollination services has traditionally focused on the contributions of managed honeybees. However, recent analyses reveal that wild pollinators provide a substantial, and often unmonetized, subsidy to agriculture. Studies have shown that wild insects provide sufficient pollination for many crops and their services can be valued in the billions of dollars annually (Hein, 2009). For instance, a hypothetical collapse of wild pollinators in Europe is projected to reduce crop output by an average of 25-32%, leading to significant price increases and disruptions to global food trade (</w:t>
      </w:r>
      <w:r w:rsidRPr="0008084A">
        <w:rPr>
          <w:rFonts w:ascii="Arial" w:hAnsi="Arial" w:cs="Arial"/>
        </w:rPr>
        <w:t xml:space="preserve">Feuerbacher </w:t>
      </w:r>
      <w:r w:rsidRPr="0008084A">
        <w:rPr>
          <w:rFonts w:ascii="Arial" w:hAnsi="Arial" w:cs="Arial"/>
          <w:i/>
          <w:iCs/>
        </w:rPr>
        <w:t>et al</w:t>
      </w:r>
      <w:r w:rsidRPr="0008084A">
        <w:rPr>
          <w:rFonts w:ascii="Arial" w:hAnsi="Arial" w:cs="Arial"/>
        </w:rPr>
        <w:t>.,</w:t>
      </w:r>
      <w:r w:rsidRPr="0008084A">
        <w:rPr>
          <w:rFonts w:ascii="Arial" w:eastAsia="Arial" w:hAnsi="Arial" w:cs="Arial"/>
        </w:rPr>
        <w:t xml:space="preserve"> 2025). This underscores the profound economic vulnerability of agricultural systems that neglect the conservation of wild pollinator communities.</w:t>
      </w:r>
    </w:p>
    <w:p w:rsidR="00EB04EC" w:rsidRPr="0008084A" w:rsidRDefault="00EB04EC" w:rsidP="00EB04EC">
      <w:pPr>
        <w:spacing w:after="300"/>
        <w:jc w:val="both"/>
        <w:rPr>
          <w:rFonts w:ascii="Arial" w:hAnsi="Arial" w:cs="Arial"/>
        </w:rPr>
      </w:pPr>
      <w:r w:rsidRPr="0008084A">
        <w:rPr>
          <w:rFonts w:ascii="Arial" w:eastAsia="Arial" w:hAnsi="Arial" w:cs="Arial"/>
        </w:rPr>
        <w:t xml:space="preserve">Investing in pollinator diversity is not merely a buffer against honeybee decline; it is a direct investment in agricultural productivity. Research across various cropping systems demonstrates that a greater diversity of pollinators often leads to higher yields. This is attributed to mechanisms such as complementary pollination, where different species forage at different times of day, under different weather conditions, or on different parts of the flower, ensuring more complete fertilization (Klatt </w:t>
      </w:r>
      <w:r w:rsidRPr="0008084A">
        <w:rPr>
          <w:rFonts w:ascii="Arial" w:eastAsia="Arial" w:hAnsi="Arial" w:cs="Arial"/>
          <w:i/>
        </w:rPr>
        <w:t>et al</w:t>
      </w:r>
      <w:r w:rsidRPr="0008084A">
        <w:rPr>
          <w:rFonts w:ascii="Arial" w:eastAsia="Arial" w:hAnsi="Arial" w:cs="Arial"/>
        </w:rPr>
        <w:t xml:space="preserve">., 2014). Furthermore, interactions between honeybees and wild pollinators can enhance overall pollination efficiency. For example, the presence of wild bees can alter honeybee foraging behavior, causing them to move more frequently between plant rows and increasing cross-pollination rates (Greenleaf and Kremen, 2006). The economic case for conserving a broad suite of pollinators is therefore clear: diversity enhances both the stability and the output of agricultural production (Lautenbach </w:t>
      </w:r>
      <w:r w:rsidRPr="0008084A">
        <w:rPr>
          <w:rFonts w:ascii="Arial" w:eastAsia="Arial" w:hAnsi="Arial" w:cs="Arial"/>
          <w:i/>
        </w:rPr>
        <w:t>et al</w:t>
      </w:r>
      <w:r w:rsidRPr="0008084A">
        <w:rPr>
          <w:rFonts w:ascii="Arial" w:eastAsia="Arial" w:hAnsi="Arial" w:cs="Arial"/>
        </w:rPr>
        <w:t>., 2012).</w:t>
      </w:r>
    </w:p>
    <w:p w:rsidR="00EB04EC" w:rsidRPr="00832F88" w:rsidRDefault="00B66A39" w:rsidP="00832F88">
      <w:pPr>
        <w:spacing w:after="300"/>
        <w:jc w:val="both"/>
        <w:rPr>
          <w:rFonts w:ascii="Arial" w:hAnsi="Arial" w:cs="Arial"/>
          <w:szCs w:val="24"/>
        </w:rPr>
      </w:pPr>
      <w:r>
        <w:rPr>
          <w:noProof/>
        </w:rPr>
        <w:drawing>
          <wp:inline distT="0" distB="0" distL="0" distR="0" wp14:anchorId="3FE211AD" wp14:editId="5ECCE79F">
            <wp:extent cx="5211255" cy="2444750"/>
            <wp:effectExtent l="0" t="0" r="0" b="0"/>
            <wp:docPr id="40963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806"/>
                    <a:stretch>
                      <a:fillRect/>
                    </a:stretch>
                  </pic:blipFill>
                  <pic:spPr bwMode="auto">
                    <a:xfrm>
                      <a:off x="0" y="0"/>
                      <a:ext cx="5214305" cy="2446181"/>
                    </a:xfrm>
                    <a:prstGeom prst="rect">
                      <a:avLst/>
                    </a:prstGeom>
                    <a:noFill/>
                    <a:ln>
                      <a:noFill/>
                    </a:ln>
                    <a:extLst>
                      <a:ext uri="{53640926-AAD7-44D8-BBD7-CCE9431645EC}">
                        <a14:shadowObscured xmlns:a14="http://schemas.microsoft.com/office/drawing/2010/main"/>
                      </a:ext>
                    </a:extLst>
                  </pic:spPr>
                </pic:pic>
              </a:graphicData>
            </a:graphic>
          </wp:inline>
        </w:drawing>
      </w:r>
    </w:p>
    <w:p w:rsidR="00790ADA" w:rsidRPr="00FB3A86" w:rsidRDefault="00B66A39" w:rsidP="00441B6F">
      <w:pPr>
        <w:pStyle w:val="Body"/>
        <w:spacing w:after="0"/>
        <w:rPr>
          <w:rFonts w:ascii="Arial" w:hAnsi="Arial" w:cs="Arial"/>
        </w:rPr>
      </w:pPr>
      <w:r>
        <w:rPr>
          <w:noProof/>
        </w:rPr>
        <w:lastRenderedPageBreak/>
        <w:drawing>
          <wp:inline distT="0" distB="0" distL="0" distR="0" wp14:anchorId="44532F3F" wp14:editId="46486897">
            <wp:extent cx="5212080" cy="2427849"/>
            <wp:effectExtent l="0" t="0" r="0" b="0"/>
            <wp:docPr id="10243687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539"/>
                    <a:stretch>
                      <a:fillRect/>
                    </a:stretch>
                  </pic:blipFill>
                  <pic:spPr bwMode="auto">
                    <a:xfrm>
                      <a:off x="0" y="0"/>
                      <a:ext cx="5212080" cy="2427849"/>
                    </a:xfrm>
                    <a:prstGeom prst="rect">
                      <a:avLst/>
                    </a:prstGeom>
                    <a:noFill/>
                    <a:ln>
                      <a:noFill/>
                    </a:ln>
                    <a:extLst>
                      <a:ext uri="{53640926-AAD7-44D8-BBD7-CCE9431645EC}">
                        <a14:shadowObscured xmlns:a14="http://schemas.microsoft.com/office/drawing/2010/main"/>
                      </a:ext>
                    </a:extLst>
                  </pic:spPr>
                </pic:pic>
              </a:graphicData>
            </a:graphic>
          </wp:inline>
        </w:drawing>
      </w:r>
    </w:p>
    <w:p w:rsidR="00B66A39" w:rsidRDefault="00B66A39" w:rsidP="00441B6F">
      <w:pPr>
        <w:pStyle w:val="AbstHead"/>
        <w:spacing w:after="0"/>
        <w:jc w:val="both"/>
        <w:rPr>
          <w:rFonts w:ascii="Arial" w:hAnsi="Arial" w:cs="Arial"/>
        </w:rPr>
      </w:pPr>
    </w:p>
    <w:p w:rsidR="00B66A39" w:rsidRPr="00B66A39" w:rsidRDefault="00B66A39" w:rsidP="00B66A39">
      <w:pPr>
        <w:spacing w:after="300"/>
        <w:jc w:val="center"/>
        <w:rPr>
          <w:rFonts w:ascii="Arial" w:hAnsi="Arial" w:cs="Arial"/>
          <w:szCs w:val="24"/>
        </w:rPr>
      </w:pPr>
      <w:r w:rsidRPr="00B66A39">
        <w:rPr>
          <w:rFonts w:ascii="Arial" w:eastAsia="Source Han Sans SC" w:hAnsi="Arial" w:cs="Arial"/>
          <w:b/>
          <w:szCs w:val="24"/>
        </w:rPr>
        <w:t xml:space="preserve">Fig. 1. The Spectrum of Non-Honeybee Pollinators in Agroecosystems. </w:t>
      </w:r>
      <w:r w:rsidRPr="00B66A39">
        <w:rPr>
          <w:rFonts w:ascii="Arial" w:eastAsia="Arial" w:hAnsi="Arial" w:cs="Arial"/>
          <w:b/>
          <w:szCs w:val="24"/>
        </w:rPr>
        <w:t>This conceptual figure illustrates the diverse groups of non-honeybee pollinators contributing to agricultural productivity. Their services extend beyond simple pollen transfer to include enhanced yield stability, functional redundancy and resilience against environmental change, forming a critical component of natural capital.</w:t>
      </w:r>
    </w:p>
    <w:p w:rsidR="002C209F" w:rsidRPr="002C209F" w:rsidRDefault="002C209F" w:rsidP="002C209F">
      <w:pPr>
        <w:pStyle w:val="Heading1"/>
        <w:spacing w:before="300" w:after="300"/>
        <w:jc w:val="both"/>
        <w:rPr>
          <w:rFonts w:cs="Arial"/>
          <w:sz w:val="22"/>
          <w:szCs w:val="22"/>
        </w:rPr>
      </w:pPr>
      <w:r w:rsidRPr="002C209F">
        <w:rPr>
          <w:rFonts w:eastAsia="Arial" w:cs="Arial"/>
          <w:sz w:val="22"/>
          <w:szCs w:val="22"/>
        </w:rPr>
        <w:t>3. KEY NON-HONEYBEE POLLINATOR GROUPS IN AGRICULTURE</w:t>
      </w:r>
    </w:p>
    <w:p w:rsidR="002C209F" w:rsidRPr="005664F5" w:rsidRDefault="002C209F" w:rsidP="002C209F">
      <w:pPr>
        <w:spacing w:after="300"/>
        <w:jc w:val="both"/>
        <w:rPr>
          <w:rFonts w:ascii="Arial" w:hAnsi="Arial" w:cs="Arial"/>
          <w:szCs w:val="24"/>
        </w:rPr>
      </w:pPr>
      <w:r w:rsidRPr="005664F5">
        <w:rPr>
          <w:rFonts w:ascii="Arial" w:eastAsia="Arial" w:hAnsi="Arial" w:cs="Arial"/>
          <w:szCs w:val="24"/>
        </w:rPr>
        <w:t>While honeybees are important generalists, a wide array of other insects and vertebrates act as crucial and sometimes superior, specialists or co-pollinators for many crops. Understanding the roles of these diverse groups is the first step toward their effective conservation and management.</w:t>
      </w:r>
    </w:p>
    <w:p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3.1 Wild Bees (Non-Apis)</w:t>
      </w:r>
    </w:p>
    <w:p w:rsidR="002C209F" w:rsidRPr="005664F5" w:rsidRDefault="002C209F" w:rsidP="002C209F">
      <w:pPr>
        <w:spacing w:after="300"/>
        <w:jc w:val="both"/>
        <w:rPr>
          <w:rFonts w:ascii="Arial" w:hAnsi="Arial" w:cs="Arial"/>
          <w:szCs w:val="24"/>
        </w:rPr>
      </w:pPr>
      <w:r w:rsidRPr="005664F5">
        <w:rPr>
          <w:rFonts w:ascii="Arial" w:eastAsia="Arial" w:hAnsi="Arial" w:cs="Arial"/>
          <w:szCs w:val="24"/>
        </w:rPr>
        <w:t>Beyond the honeybee, the world is home to over 20,000 species of wild bees, including bumblebees (</w:t>
      </w:r>
      <w:r w:rsidRPr="005664F5">
        <w:rPr>
          <w:rFonts w:ascii="Arial" w:eastAsia="Arial" w:hAnsi="Arial" w:cs="Arial"/>
          <w:i/>
          <w:szCs w:val="24"/>
        </w:rPr>
        <w:t>Bombus spp.</w:t>
      </w:r>
      <w:r w:rsidRPr="005664F5">
        <w:rPr>
          <w:rFonts w:ascii="Arial" w:eastAsia="Arial" w:hAnsi="Arial" w:cs="Arial"/>
          <w:szCs w:val="24"/>
        </w:rPr>
        <w:t>), mason bees (</w:t>
      </w:r>
      <w:r w:rsidRPr="005664F5">
        <w:rPr>
          <w:rFonts w:ascii="Arial" w:eastAsia="Arial" w:hAnsi="Arial" w:cs="Arial"/>
          <w:i/>
          <w:szCs w:val="24"/>
        </w:rPr>
        <w:t>Osmia spp.</w:t>
      </w:r>
      <w:r w:rsidRPr="005664F5">
        <w:rPr>
          <w:rFonts w:ascii="Arial" w:eastAsia="Arial" w:hAnsi="Arial" w:cs="Arial"/>
          <w:szCs w:val="24"/>
        </w:rPr>
        <w:t xml:space="preserve">) and solitary bees. Many of these species are highly effective pollinators. For example, bumblebees are essential for crops requiring "buzz pollination," such as tomatoes and blueberries, a </w:t>
      </w:r>
      <w:r w:rsidR="00AA1A0B" w:rsidRPr="005664F5">
        <w:rPr>
          <w:rFonts w:ascii="Arial" w:eastAsia="Arial" w:hAnsi="Arial" w:cs="Arial"/>
          <w:szCs w:val="24"/>
        </w:rPr>
        <w:t>technique honeybee</w:t>
      </w:r>
      <w:r w:rsidRPr="005664F5">
        <w:rPr>
          <w:rFonts w:ascii="Arial" w:eastAsia="Arial" w:hAnsi="Arial" w:cs="Arial"/>
          <w:szCs w:val="24"/>
        </w:rPr>
        <w:t xml:space="preserve"> cannot perform (</w:t>
      </w:r>
      <w:r w:rsidR="005664F5" w:rsidRPr="005664F5">
        <w:rPr>
          <w:rFonts w:ascii="Arial" w:hAnsi="Arial" w:cs="Arial"/>
          <w:szCs w:val="40"/>
        </w:rPr>
        <w:t>Devi</w:t>
      </w:r>
      <w:r w:rsidR="005664F5" w:rsidRPr="005664F5">
        <w:rPr>
          <w:rFonts w:ascii="Arial" w:eastAsia="Arial" w:hAnsi="Arial" w:cs="Arial"/>
          <w:szCs w:val="24"/>
        </w:rPr>
        <w:t xml:space="preserve"> and</w:t>
      </w:r>
      <w:r w:rsidRPr="005664F5">
        <w:rPr>
          <w:rFonts w:ascii="Arial" w:eastAsia="Arial" w:hAnsi="Arial" w:cs="Arial"/>
          <w:szCs w:val="24"/>
        </w:rPr>
        <w:t xml:space="preserve"> Bhatia, 2024). Studies have shown that wild bees can provide full pollination services for some crops and their presence often correlates with increased fruit set and yield (Kremen </w:t>
      </w:r>
      <w:r w:rsidRPr="005664F5">
        <w:rPr>
          <w:rFonts w:ascii="Arial" w:eastAsia="Arial" w:hAnsi="Arial" w:cs="Arial"/>
          <w:i/>
          <w:szCs w:val="24"/>
        </w:rPr>
        <w:t>et al</w:t>
      </w:r>
      <w:r w:rsidRPr="005664F5">
        <w:rPr>
          <w:rFonts w:ascii="Arial" w:eastAsia="Arial" w:hAnsi="Arial" w:cs="Arial"/>
          <w:szCs w:val="24"/>
        </w:rPr>
        <w:t xml:space="preserve">., 2002). A meta-analysis found that non-honeybee pollinators were, on average, more effective than honeybees in single-visit pollination events (Rader </w:t>
      </w:r>
      <w:r w:rsidRPr="005664F5">
        <w:rPr>
          <w:rFonts w:ascii="Arial" w:eastAsia="Arial" w:hAnsi="Arial" w:cs="Arial"/>
          <w:i/>
          <w:szCs w:val="24"/>
        </w:rPr>
        <w:t>et al</w:t>
      </w:r>
      <w:r w:rsidRPr="005664F5">
        <w:rPr>
          <w:rFonts w:ascii="Arial" w:eastAsia="Arial" w:hAnsi="Arial" w:cs="Arial"/>
          <w:szCs w:val="24"/>
        </w:rPr>
        <w:t xml:space="preserve">., 2016). The conservation of semi-natural habitats adjacent to farms is a key strategy for supporting these vital pollinators (Garibaldi </w:t>
      </w:r>
      <w:r w:rsidRPr="005664F5">
        <w:rPr>
          <w:rFonts w:ascii="Arial" w:eastAsia="Arial" w:hAnsi="Arial" w:cs="Arial"/>
          <w:i/>
          <w:szCs w:val="24"/>
        </w:rPr>
        <w:t>et al</w:t>
      </w:r>
      <w:r w:rsidRPr="005664F5">
        <w:rPr>
          <w:rFonts w:ascii="Arial" w:eastAsia="Arial" w:hAnsi="Arial" w:cs="Arial"/>
          <w:szCs w:val="24"/>
        </w:rPr>
        <w:t>., 2011).</w:t>
      </w:r>
    </w:p>
    <w:p w:rsidR="002C209F" w:rsidRPr="005664F5" w:rsidRDefault="002C209F" w:rsidP="002C209F">
      <w:pPr>
        <w:pStyle w:val="Heading2"/>
        <w:spacing w:before="225" w:after="300"/>
        <w:jc w:val="both"/>
        <w:rPr>
          <w:rFonts w:ascii="Arial" w:hAnsi="Arial" w:cs="Arial"/>
          <w:b/>
          <w:color w:val="auto"/>
          <w:sz w:val="22"/>
          <w:szCs w:val="22"/>
        </w:rPr>
      </w:pPr>
      <w:r w:rsidRPr="005664F5">
        <w:rPr>
          <w:rFonts w:ascii="Arial" w:eastAsia="Arial" w:hAnsi="Arial" w:cs="Arial"/>
          <w:b/>
          <w:color w:val="auto"/>
          <w:sz w:val="22"/>
          <w:szCs w:val="22"/>
        </w:rPr>
        <w:t>3.2 Flies (Diptera), including Hoverflies</w:t>
      </w:r>
    </w:p>
    <w:p w:rsidR="002C209F" w:rsidRPr="005664F5" w:rsidRDefault="002C209F" w:rsidP="002C209F">
      <w:pPr>
        <w:spacing w:after="300"/>
        <w:jc w:val="both"/>
        <w:rPr>
          <w:rFonts w:ascii="Arial" w:hAnsi="Arial" w:cs="Arial"/>
          <w:szCs w:val="24"/>
        </w:rPr>
      </w:pPr>
      <w:r w:rsidRPr="005664F5">
        <w:rPr>
          <w:rFonts w:ascii="Arial" w:eastAsia="Arial" w:hAnsi="Arial" w:cs="Arial"/>
          <w:szCs w:val="24"/>
        </w:rPr>
        <w:t>Flies, particularly hoverflies (Syrphidae), are the second most important group of pollinators after bees. They are frequent visitors to a wide range of crops, including oilseed rape, strawberries and carrots (</w:t>
      </w:r>
      <w:r w:rsidRPr="005664F5">
        <w:rPr>
          <w:rFonts w:ascii="Arial" w:hAnsi="Arial" w:cs="Arial"/>
          <w:szCs w:val="40"/>
        </w:rPr>
        <w:t>Doyle</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2020; </w:t>
      </w:r>
      <w:r w:rsidRPr="005664F5">
        <w:rPr>
          <w:rFonts w:ascii="Arial" w:hAnsi="Arial" w:cs="Arial"/>
          <w:szCs w:val="40"/>
        </w:rPr>
        <w:t>Devi</w:t>
      </w:r>
      <w:r w:rsidRPr="005664F5">
        <w:rPr>
          <w:rFonts w:ascii="Arial" w:eastAsia="Arial" w:hAnsi="Arial" w:cs="Arial"/>
          <w:szCs w:val="24"/>
        </w:rPr>
        <w:t xml:space="preserve"> and Bhatia, 2024). In some systems, such as greenhouse-grown horticultural crops, hoverflies can provide levels of pollination comparable to bees, with the added benefit that their larvae are voracious predators of pests like aphids, thus providing a dual ecosystem service (</w:t>
      </w:r>
      <w:r w:rsidRPr="005664F5">
        <w:rPr>
          <w:rFonts w:ascii="Arial" w:hAnsi="Arial" w:cs="Arial"/>
          <w:szCs w:val="40"/>
        </w:rPr>
        <w:t>Li</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2023). Their importance is particularly pronounced in high-latitude or high-altitude environments where bee activity may be limited. Despite their significance, the population dynamics and conservation </w:t>
      </w:r>
      <w:r w:rsidR="00AA1A0B" w:rsidRPr="005664F5">
        <w:rPr>
          <w:rFonts w:ascii="Arial" w:eastAsia="Arial" w:hAnsi="Arial" w:cs="Arial"/>
          <w:szCs w:val="24"/>
        </w:rPr>
        <w:t>need</w:t>
      </w:r>
      <w:r w:rsidRPr="005664F5">
        <w:rPr>
          <w:rFonts w:ascii="Arial" w:eastAsia="Arial" w:hAnsi="Arial" w:cs="Arial"/>
          <w:szCs w:val="24"/>
        </w:rPr>
        <w:t xml:space="preserve"> of many fly pollinators remain poorly understood (</w:t>
      </w:r>
      <w:r w:rsidRPr="005664F5">
        <w:rPr>
          <w:rFonts w:ascii="Arial" w:hAnsi="Arial" w:cs="Arial"/>
          <w:szCs w:val="40"/>
        </w:rPr>
        <w:t>Doyle</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2020).</w:t>
      </w:r>
    </w:p>
    <w:p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3.3 Moths and Butterflies (Lepidoptera)</w:t>
      </w:r>
    </w:p>
    <w:p w:rsidR="002C209F" w:rsidRPr="005664F5" w:rsidRDefault="002C209F" w:rsidP="002C209F">
      <w:pPr>
        <w:spacing w:after="300"/>
        <w:jc w:val="both"/>
        <w:rPr>
          <w:rFonts w:ascii="Arial" w:hAnsi="Arial" w:cs="Arial"/>
          <w:szCs w:val="24"/>
        </w:rPr>
      </w:pPr>
      <w:r w:rsidRPr="005664F5">
        <w:rPr>
          <w:rFonts w:ascii="Arial" w:eastAsia="Arial" w:hAnsi="Arial" w:cs="Arial"/>
          <w:szCs w:val="24"/>
        </w:rPr>
        <w:t>The role of diurnal butterflies and, increasingly, nocturnal moths as crop pollinators is gaining recognition. While often considered less efficient than bees on a per-visit basis, their high mobility can facilitate long-distance pollen transfer, which is important for maintaining genetic diversity in plant populations. Recent research has highlighted the significant contribution of nocturnal moths to the pollination of various plants, including crops like apple and oilseed rape (</w:t>
      </w:r>
      <w:r w:rsidRPr="005664F5">
        <w:rPr>
          <w:rFonts w:ascii="Arial" w:hAnsi="Arial" w:cs="Arial"/>
          <w:szCs w:val="40"/>
        </w:rPr>
        <w:t>Hahn and Brühl, 2016</w:t>
      </w:r>
      <w:r w:rsidRPr="005664F5">
        <w:rPr>
          <w:rFonts w:ascii="Arial" w:eastAsia="Arial" w:hAnsi="Arial" w:cs="Arial"/>
          <w:szCs w:val="24"/>
        </w:rPr>
        <w:t xml:space="preserve">; Walton </w:t>
      </w:r>
      <w:r w:rsidRPr="005664F5">
        <w:rPr>
          <w:rFonts w:ascii="Arial" w:eastAsia="Arial" w:hAnsi="Arial" w:cs="Arial"/>
          <w:i/>
          <w:szCs w:val="24"/>
        </w:rPr>
        <w:t>et al</w:t>
      </w:r>
      <w:r w:rsidRPr="005664F5">
        <w:rPr>
          <w:rFonts w:ascii="Arial" w:eastAsia="Arial" w:hAnsi="Arial" w:cs="Arial"/>
          <w:szCs w:val="24"/>
        </w:rPr>
        <w:t>., 2020). A global review identified 81 animal families acting as nocturnal crop pollinators, with moths from the Sphingidae and Noctuidae families being among the most frequently cited (</w:t>
      </w:r>
      <w:r w:rsidRPr="005664F5">
        <w:rPr>
          <w:rFonts w:ascii="Arial" w:hAnsi="Arial" w:cs="Arial"/>
          <w:szCs w:val="40"/>
        </w:rPr>
        <w:t>Buxton</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xml:space="preserve">., 2022). This </w:t>
      </w:r>
      <w:r w:rsidRPr="005664F5">
        <w:rPr>
          <w:rFonts w:ascii="Arial" w:eastAsia="Arial" w:hAnsi="Arial" w:cs="Arial"/>
          <w:szCs w:val="24"/>
        </w:rPr>
        <w:lastRenderedPageBreak/>
        <w:t>nocturnal pollination "shift" provides resilience to pollination systems and may be crucial for plants whose flowers are open at night.</w:t>
      </w:r>
    </w:p>
    <w:p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3.4 Beetles (Coleoptera)</w:t>
      </w:r>
    </w:p>
    <w:p w:rsidR="002C209F" w:rsidRPr="005664F5" w:rsidRDefault="002C209F" w:rsidP="002C209F">
      <w:pPr>
        <w:jc w:val="both"/>
        <w:rPr>
          <w:rFonts w:ascii="Arial" w:hAnsi="Arial" w:cs="Arial"/>
          <w:sz w:val="16"/>
        </w:rPr>
      </w:pPr>
      <w:r w:rsidRPr="005664F5">
        <w:rPr>
          <w:rFonts w:ascii="Arial" w:eastAsia="Arial" w:hAnsi="Arial" w:cs="Arial"/>
          <w:szCs w:val="24"/>
        </w:rPr>
        <w:t xml:space="preserve">Beetle pollination (cantharophily) is an ancient plant-pollinator interaction and beetles remain important pollinators for certain crops, particularly in tropical regions. They are key pollinators for species in the Annonaceae family (e.g., atemoya) and some palms (Bernhardt, 2000; </w:t>
      </w:r>
      <w:r w:rsidRPr="005664F5">
        <w:rPr>
          <w:rFonts w:ascii="Arial" w:hAnsi="Arial" w:cs="Arial"/>
          <w:szCs w:val="40"/>
        </w:rPr>
        <w:t>Ferreira</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2024). While often described as "mess and soil" pollinators due to their consumption of floral parts, their contribution to the yield of specific high-value crops is indispensable. For example, rain forests adjacent to atemoya plantations in Australia harbor beetle species that are essential for crop pollination, highlighting the link between natural ecosystems and agricultural production (</w:t>
      </w:r>
      <w:r w:rsidRPr="005664F5">
        <w:rPr>
          <w:rFonts w:ascii="Arial" w:hAnsi="Arial" w:cs="Arial"/>
          <w:szCs w:val="40"/>
        </w:rPr>
        <w:t>Blanche and Cunningham</w:t>
      </w:r>
      <w:r w:rsidRPr="005664F5">
        <w:rPr>
          <w:rFonts w:ascii="Arial" w:eastAsia="Arial" w:hAnsi="Arial" w:cs="Arial"/>
          <w:szCs w:val="24"/>
        </w:rPr>
        <w:t>, 2005).</w:t>
      </w:r>
    </w:p>
    <w:p w:rsidR="002C209F" w:rsidRPr="005664F5" w:rsidRDefault="002C209F" w:rsidP="002C209F">
      <w:pPr>
        <w:pStyle w:val="Heading2"/>
        <w:spacing w:before="225" w:after="300"/>
        <w:jc w:val="both"/>
        <w:rPr>
          <w:rFonts w:ascii="Arial" w:hAnsi="Arial" w:cs="Arial"/>
          <w:b/>
          <w:color w:val="auto"/>
          <w:sz w:val="22"/>
          <w:szCs w:val="24"/>
        </w:rPr>
      </w:pPr>
      <w:r w:rsidRPr="005664F5">
        <w:rPr>
          <w:rFonts w:ascii="Arial" w:eastAsia="Arial" w:hAnsi="Arial" w:cs="Arial"/>
          <w:b/>
          <w:color w:val="auto"/>
          <w:sz w:val="22"/>
          <w:szCs w:val="24"/>
        </w:rPr>
        <w:t>3.5 Vertebrate Pollinators: Birds and Bats</w:t>
      </w:r>
    </w:p>
    <w:p w:rsidR="002C209F" w:rsidRDefault="002C209F" w:rsidP="002C209F">
      <w:pPr>
        <w:spacing w:after="300"/>
        <w:jc w:val="both"/>
        <w:rPr>
          <w:rFonts w:ascii="Arial" w:eastAsia="Arial" w:hAnsi="Arial" w:cs="Arial"/>
          <w:szCs w:val="24"/>
        </w:rPr>
      </w:pPr>
      <w:r w:rsidRPr="005664F5">
        <w:rPr>
          <w:rFonts w:ascii="Arial" w:eastAsia="Arial" w:hAnsi="Arial" w:cs="Arial"/>
          <w:szCs w:val="24"/>
        </w:rPr>
        <w:t xml:space="preserve">Though less ubiquitous than insect pollinators in temperate agriculture, birds and bats provide critical pollination services for over 500 cultivated plant species globally, many of which are of high economic value (Kunz </w:t>
      </w:r>
      <w:r w:rsidRPr="005664F5">
        <w:rPr>
          <w:rFonts w:ascii="Arial" w:eastAsia="Arial" w:hAnsi="Arial" w:cs="Arial"/>
          <w:i/>
          <w:szCs w:val="24"/>
        </w:rPr>
        <w:t>et al</w:t>
      </w:r>
      <w:r w:rsidRPr="005664F5">
        <w:rPr>
          <w:rFonts w:ascii="Arial" w:eastAsia="Arial" w:hAnsi="Arial" w:cs="Arial"/>
          <w:szCs w:val="24"/>
        </w:rPr>
        <w:t>., 2011). Nectar-feeding bats, for instance, are the primary pollinators for agave, the plant from which tequila is produced and for pitaya (dragon fruit) in Mexico. The economic value of bat pollination for a single cactus fruit crop in Mexico has been shown to be substantial, with benefits distributed along the entire production chain (</w:t>
      </w:r>
      <w:r w:rsidRPr="005664F5">
        <w:rPr>
          <w:rFonts w:ascii="Arial" w:hAnsi="Arial" w:cs="Arial"/>
          <w:szCs w:val="40"/>
        </w:rPr>
        <w:t>Tremlett</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2021). Similarly, birds such as hummingbirds and sunbirds are important pollinators for various fruits and ornamental plants (Sekercioglu, 2006). The decline of these vertebrate pollinators, many of which are threatened, poses a significant risk to the specialized cropping systems that depend on them (</w:t>
      </w:r>
      <w:r w:rsidRPr="005664F5">
        <w:rPr>
          <w:rFonts w:ascii="Arial" w:hAnsi="Arial" w:cs="Arial"/>
          <w:szCs w:val="40"/>
        </w:rPr>
        <w:t>Regan</w:t>
      </w:r>
      <w:r w:rsidRPr="005664F5">
        <w:rPr>
          <w:rFonts w:ascii="Arial" w:eastAsia="Arial" w:hAnsi="Arial" w:cs="Arial"/>
          <w:szCs w:val="24"/>
        </w:rPr>
        <w:t xml:space="preserve"> </w:t>
      </w:r>
      <w:r w:rsidRPr="005664F5">
        <w:rPr>
          <w:rFonts w:ascii="Arial" w:eastAsia="Arial" w:hAnsi="Arial" w:cs="Arial"/>
          <w:i/>
          <w:szCs w:val="24"/>
        </w:rPr>
        <w:t>et al</w:t>
      </w:r>
      <w:r w:rsidRPr="005664F5">
        <w:rPr>
          <w:rFonts w:ascii="Arial" w:eastAsia="Arial" w:hAnsi="Arial" w:cs="Arial"/>
          <w:szCs w:val="24"/>
        </w:rPr>
        <w:t>., 2015).</w:t>
      </w:r>
    </w:p>
    <w:p w:rsidR="00AA1A0B" w:rsidRPr="00AA1A0B" w:rsidRDefault="00AA1A0B" w:rsidP="00AA1A0B">
      <w:pPr>
        <w:spacing w:after="300"/>
        <w:jc w:val="both"/>
        <w:rPr>
          <w:rFonts w:ascii="Arial" w:hAnsi="Arial" w:cs="Arial"/>
          <w:sz w:val="22"/>
          <w:szCs w:val="24"/>
        </w:rPr>
      </w:pPr>
      <w:r w:rsidRPr="00AA1A0B">
        <w:rPr>
          <w:rFonts w:ascii="Arial" w:eastAsia="Source Han Sans SC" w:hAnsi="Arial" w:cs="Arial"/>
          <w:b/>
          <w:sz w:val="22"/>
          <w:szCs w:val="24"/>
        </w:rPr>
        <w:t>Table 1. Overview of Key Non-Honeybee Pollinator Groups in Agriculture.</w:t>
      </w:r>
    </w:p>
    <w:tbl>
      <w:tblPr>
        <w:tblStyle w:val="TableGrid"/>
        <w:tblW w:w="5000" w:type="pct"/>
        <w:jc w:val="center"/>
        <w:tblLook w:val="04A0" w:firstRow="1" w:lastRow="0" w:firstColumn="1" w:lastColumn="0" w:noHBand="0" w:noVBand="1"/>
      </w:tblPr>
      <w:tblGrid>
        <w:gridCol w:w="2120"/>
        <w:gridCol w:w="2363"/>
        <w:gridCol w:w="2045"/>
        <w:gridCol w:w="2278"/>
        <w:gridCol w:w="2210"/>
      </w:tblGrid>
      <w:tr w:rsidR="00AA1A0B" w:rsidRPr="00077DF8" w:rsidTr="00694A40">
        <w:trPr>
          <w:jc w:val="center"/>
        </w:trPr>
        <w:tc>
          <w:tcPr>
            <w:tcW w:w="962" w:type="pct"/>
            <w:shd w:val="clear" w:color="auto" w:fill="F2F2F2"/>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Pollinator Group</w:t>
            </w:r>
          </w:p>
        </w:tc>
        <w:tc>
          <w:tcPr>
            <w:tcW w:w="1072" w:type="pct"/>
            <w:shd w:val="clear" w:color="auto" w:fill="F2F2F2"/>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Key Taxa</w:t>
            </w:r>
          </w:p>
        </w:tc>
        <w:tc>
          <w:tcPr>
            <w:tcW w:w="928" w:type="pct"/>
            <w:shd w:val="clear" w:color="auto" w:fill="F2F2F2"/>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Examples of Pollinated Crops</w:t>
            </w:r>
          </w:p>
        </w:tc>
        <w:tc>
          <w:tcPr>
            <w:tcW w:w="1034" w:type="pct"/>
            <w:shd w:val="clear" w:color="auto" w:fill="F2F2F2"/>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Key Pollination Characteristics</w:t>
            </w:r>
          </w:p>
        </w:tc>
        <w:tc>
          <w:tcPr>
            <w:tcW w:w="1003" w:type="pct"/>
            <w:shd w:val="clear" w:color="auto" w:fill="F2F2F2"/>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Conservation Concerns</w:t>
            </w:r>
          </w:p>
        </w:tc>
      </w:tr>
      <w:tr w:rsidR="00AA1A0B" w:rsidRPr="00077DF8" w:rsidTr="00694A40">
        <w:trPr>
          <w:jc w:val="center"/>
        </w:trPr>
        <w:tc>
          <w:tcPr>
            <w:tcW w:w="96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Wild Bees</w:t>
            </w:r>
          </w:p>
        </w:tc>
        <w:tc>
          <w:tcPr>
            <w:tcW w:w="107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Bumblebees, Mason bees, Solitary bees</w:t>
            </w:r>
          </w:p>
        </w:tc>
        <w:tc>
          <w:tcPr>
            <w:tcW w:w="928"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Tomato, Blueberry, Alfalfa, Apple, Sunflower</w:t>
            </w:r>
          </w:p>
        </w:tc>
        <w:tc>
          <w:tcPr>
            <w:tcW w:w="1034"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Highly efficient; capable of buzz pollination; diverse foraging strategies.</w:t>
            </w:r>
          </w:p>
        </w:tc>
        <w:tc>
          <w:tcPr>
            <w:tcW w:w="1003"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Habitat loss, pesticide exposure, climate change, pathogens.</w:t>
            </w:r>
          </w:p>
        </w:tc>
      </w:tr>
      <w:tr w:rsidR="00AA1A0B" w:rsidRPr="00077DF8" w:rsidTr="00694A40">
        <w:trPr>
          <w:jc w:val="center"/>
        </w:trPr>
        <w:tc>
          <w:tcPr>
            <w:tcW w:w="96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Flies</w:t>
            </w:r>
          </w:p>
        </w:tc>
        <w:tc>
          <w:tcPr>
            <w:tcW w:w="107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Hoverflies (Syrphidae), Bee flies (Bombyliidae)</w:t>
            </w:r>
          </w:p>
        </w:tc>
        <w:tc>
          <w:tcPr>
            <w:tcW w:w="928"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Strawberry, Carrot, Oilseed rape, Onion, Mango</w:t>
            </w:r>
          </w:p>
        </w:tc>
        <w:tc>
          <w:tcPr>
            <w:tcW w:w="1034"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Active in cool/cloudy conditions; larvae provide pest control; generalist foragers.</w:t>
            </w:r>
          </w:p>
        </w:tc>
        <w:tc>
          <w:tcPr>
            <w:tcW w:w="1003"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Loss of larval habitat, agricultural intensification, knowledge gaps.</w:t>
            </w:r>
          </w:p>
        </w:tc>
      </w:tr>
      <w:tr w:rsidR="00AA1A0B" w:rsidRPr="00077DF8" w:rsidTr="00694A40">
        <w:trPr>
          <w:jc w:val="center"/>
        </w:trPr>
        <w:tc>
          <w:tcPr>
            <w:tcW w:w="96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Lepidoptera</w:t>
            </w:r>
          </w:p>
        </w:tc>
        <w:tc>
          <w:tcPr>
            <w:tcW w:w="107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Moths (Noctuidae, Sphingidae), Butterflies</w:t>
            </w:r>
          </w:p>
        </w:tc>
        <w:tc>
          <w:tcPr>
            <w:tcW w:w="928"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Apple, Red clover, Papaya, various vegetables</w:t>
            </w:r>
          </w:p>
        </w:tc>
        <w:tc>
          <w:tcPr>
            <w:tcW w:w="1034"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Facilitate long-distance pollen flow; crucial for nocturnal pollination.</w:t>
            </w:r>
          </w:p>
        </w:tc>
        <w:tc>
          <w:tcPr>
            <w:tcW w:w="1003"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Pesticides (especially for larvae), light pollution (for moths), habitat fragmentation.</w:t>
            </w:r>
          </w:p>
        </w:tc>
      </w:tr>
      <w:tr w:rsidR="00AA1A0B" w:rsidRPr="00077DF8" w:rsidTr="00694A40">
        <w:trPr>
          <w:jc w:val="center"/>
        </w:trPr>
        <w:tc>
          <w:tcPr>
            <w:tcW w:w="96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Beetles</w:t>
            </w:r>
          </w:p>
        </w:tc>
        <w:tc>
          <w:tcPr>
            <w:tcW w:w="107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Scarab beetles, Nitidulidae</w:t>
            </w:r>
          </w:p>
        </w:tc>
        <w:tc>
          <w:tcPr>
            <w:tcW w:w="928"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Atemoya, Palms (e.g., Açaí), Magnolia</w:t>
            </w:r>
          </w:p>
        </w:tc>
        <w:tc>
          <w:tcPr>
            <w:tcW w:w="1034"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Ancient interaction; effective for specific, robust flower structures.</w:t>
            </w:r>
          </w:p>
        </w:tc>
        <w:tc>
          <w:tcPr>
            <w:tcW w:w="1003"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Habitat loss (e.g., deforestation), pesticide use.</w:t>
            </w:r>
          </w:p>
        </w:tc>
      </w:tr>
      <w:tr w:rsidR="00AA1A0B" w:rsidRPr="00077DF8" w:rsidTr="00694A40">
        <w:trPr>
          <w:jc w:val="center"/>
        </w:trPr>
        <w:tc>
          <w:tcPr>
            <w:tcW w:w="96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b/>
                <w:sz w:val="20"/>
                <w:szCs w:val="24"/>
              </w:rPr>
              <w:t>Vertebrates</w:t>
            </w:r>
          </w:p>
        </w:tc>
        <w:tc>
          <w:tcPr>
            <w:tcW w:w="1072"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Bats (Phyllostomidae), Birds (Hummingbirds, Sunbirds)</w:t>
            </w:r>
          </w:p>
        </w:tc>
        <w:tc>
          <w:tcPr>
            <w:tcW w:w="928"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Agave, Pitaya (Dragon fruit), Banana, Durian</w:t>
            </w:r>
          </w:p>
        </w:tc>
        <w:tc>
          <w:tcPr>
            <w:tcW w:w="1034"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Long-distance pollen dispersal; crucial for large, specialized flowers.</w:t>
            </w:r>
          </w:p>
        </w:tc>
        <w:tc>
          <w:tcPr>
            <w:tcW w:w="1003" w:type="pct"/>
          </w:tcPr>
          <w:p w:rsidR="00AA1A0B" w:rsidRPr="00AA1A0B" w:rsidRDefault="00AA1A0B" w:rsidP="00694A40">
            <w:pPr>
              <w:spacing w:after="300" w:line="276" w:lineRule="auto"/>
              <w:jc w:val="both"/>
              <w:rPr>
                <w:rFonts w:ascii="Arial" w:hAnsi="Arial" w:cs="Arial"/>
                <w:sz w:val="20"/>
                <w:szCs w:val="24"/>
              </w:rPr>
            </w:pPr>
            <w:r w:rsidRPr="00AA1A0B">
              <w:rPr>
                <w:rFonts w:ascii="Arial" w:eastAsia="Source Han Sans SC" w:hAnsi="Arial" w:cs="Arial"/>
                <w:sz w:val="20"/>
                <w:szCs w:val="24"/>
              </w:rPr>
              <w:t>Habitat destruction, persecution, disturbance of roosts/nests.</w:t>
            </w:r>
          </w:p>
        </w:tc>
      </w:tr>
    </w:tbl>
    <w:p w:rsidR="00B66A39" w:rsidRDefault="00B66A39" w:rsidP="00441B6F">
      <w:pPr>
        <w:pStyle w:val="AbstHead"/>
        <w:spacing w:after="0"/>
        <w:jc w:val="both"/>
        <w:rPr>
          <w:rFonts w:ascii="Arial" w:hAnsi="Arial" w:cs="Arial"/>
        </w:rPr>
      </w:pPr>
    </w:p>
    <w:p w:rsidR="00DE7FCA" w:rsidRPr="00DE7FCA" w:rsidRDefault="00DE7FCA" w:rsidP="00DE7FCA">
      <w:pPr>
        <w:pStyle w:val="Heading1"/>
        <w:spacing w:before="300" w:after="300"/>
        <w:jc w:val="both"/>
        <w:rPr>
          <w:rFonts w:cs="Arial"/>
          <w:sz w:val="22"/>
          <w:szCs w:val="24"/>
        </w:rPr>
      </w:pPr>
      <w:r w:rsidRPr="00DE7FCA">
        <w:rPr>
          <w:rFonts w:eastAsia="Arial" w:cs="Arial"/>
          <w:sz w:val="22"/>
          <w:szCs w:val="24"/>
        </w:rPr>
        <w:t>4. COMPARATIVE EFFECTIVENESS AND SYNERGIES</w:t>
      </w:r>
    </w:p>
    <w:p w:rsidR="00DE7FCA" w:rsidRPr="00DE7FCA" w:rsidRDefault="00DE7FCA" w:rsidP="00DE7FCA">
      <w:pPr>
        <w:spacing w:after="300"/>
        <w:jc w:val="both"/>
        <w:rPr>
          <w:rFonts w:ascii="Arial" w:hAnsi="Arial" w:cs="Arial"/>
          <w:szCs w:val="24"/>
        </w:rPr>
      </w:pPr>
      <w:r w:rsidRPr="00DE7FCA">
        <w:rPr>
          <w:rFonts w:ascii="Arial" w:eastAsia="Arial" w:hAnsi="Arial" w:cs="Arial"/>
          <w:szCs w:val="24"/>
        </w:rPr>
        <w:t xml:space="preserve">A central question in pollination ecology is how the effectiveness of non-honeybee pollinators compares to that of the managed honeybee. A growing body of evidence suggests that, for many crops, wild pollinators are more efficient on a per-visit basis. A landmark meta-analysis covering 41 crop systems worldwide found that wild insects pollinated crops more effectively and that fruit set increased with wild-insect visitation regardless of honeybee abundance (Garibaldi </w:t>
      </w:r>
      <w:r w:rsidRPr="00DE7FCA">
        <w:rPr>
          <w:rFonts w:ascii="Arial" w:eastAsia="Arial" w:hAnsi="Arial" w:cs="Arial"/>
          <w:i/>
          <w:szCs w:val="24"/>
        </w:rPr>
        <w:t>et al</w:t>
      </w:r>
      <w:r w:rsidRPr="00DE7FCA">
        <w:rPr>
          <w:rFonts w:ascii="Arial" w:eastAsia="Arial" w:hAnsi="Arial" w:cs="Arial"/>
          <w:szCs w:val="24"/>
        </w:rPr>
        <w:t>., 2013). This indicates that honeybees supplement rather than replace the services of wild pollinators.</w:t>
      </w:r>
    </w:p>
    <w:p w:rsidR="00DE7FCA" w:rsidRPr="00DE7FCA" w:rsidRDefault="00DE7FCA" w:rsidP="00DE7FCA">
      <w:pPr>
        <w:spacing w:after="300"/>
        <w:jc w:val="both"/>
        <w:rPr>
          <w:rFonts w:ascii="Arial" w:hAnsi="Arial" w:cs="Arial"/>
          <w:szCs w:val="24"/>
        </w:rPr>
      </w:pPr>
      <w:r w:rsidRPr="00DE7FCA">
        <w:rPr>
          <w:rFonts w:ascii="Arial" w:eastAsia="Arial" w:hAnsi="Arial" w:cs="Arial"/>
          <w:szCs w:val="24"/>
        </w:rPr>
        <w:t>The greatest benefits, however, often arise from the synergistic interactions within a diverse pollinator community. This concept, known as "complementarity," describes how different species contribute to pollination in unique ways. For example:</w:t>
      </w:r>
    </w:p>
    <w:p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Temporal Complementarity:</w:t>
      </w:r>
      <w:r w:rsidRPr="00A42252">
        <w:rPr>
          <w:rFonts w:ascii="Arial" w:hAnsi="Arial" w:cs="Arial"/>
          <w:sz w:val="20"/>
          <w:szCs w:val="24"/>
        </w:rPr>
        <w:t xml:space="preserve"> </w:t>
      </w:r>
      <w:r w:rsidRPr="00A42252">
        <w:rPr>
          <w:rFonts w:ascii="Arial" w:eastAsia="Source Han Sans SC" w:hAnsi="Arial" w:cs="Arial"/>
          <w:sz w:val="20"/>
          <w:szCs w:val="24"/>
        </w:rPr>
        <w:t xml:space="preserve"> Some species, like hoverflies, are active in cooler, cloudier weather when bees are not, extending the daily window for pollination (</w:t>
      </w:r>
      <w:r w:rsidRPr="00A42252">
        <w:rPr>
          <w:rFonts w:ascii="Arial" w:hAnsi="Arial" w:cs="Arial"/>
          <w:sz w:val="20"/>
          <w:szCs w:val="40"/>
        </w:rPr>
        <w:t>Doyle</w:t>
      </w:r>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2020). Nocturnal moths provide pollination services when diurnal species are inactive (</w:t>
      </w:r>
      <w:r w:rsidRPr="00A42252">
        <w:rPr>
          <w:rFonts w:ascii="Arial" w:hAnsi="Arial" w:cs="Arial"/>
          <w:sz w:val="20"/>
          <w:szCs w:val="40"/>
        </w:rPr>
        <w:t>Buxton</w:t>
      </w:r>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2022).</w:t>
      </w:r>
    </w:p>
    <w:p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Behavioral Complementarity:</w:t>
      </w:r>
      <w:r w:rsidRPr="00A42252">
        <w:rPr>
          <w:rFonts w:ascii="Arial" w:hAnsi="Arial" w:cs="Arial"/>
          <w:sz w:val="20"/>
          <w:szCs w:val="24"/>
        </w:rPr>
        <w:t xml:space="preserve"> </w:t>
      </w:r>
      <w:r w:rsidRPr="00A42252">
        <w:rPr>
          <w:rFonts w:ascii="Arial" w:eastAsia="Source Han Sans SC" w:hAnsi="Arial" w:cs="Arial"/>
          <w:sz w:val="20"/>
          <w:szCs w:val="24"/>
        </w:rPr>
        <w:t xml:space="preserve"> The presence of wild bees can induce behavioral changes in honeybees, leading them to move more between different plants and thereby increasing cross-pollination, a phenomenon that improves both yield and quality in crops like almonds and sunflowers (Greenleaf and Kremen, 2006).</w:t>
      </w:r>
    </w:p>
    <w:p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Functional Complementarity:</w:t>
      </w:r>
      <w:r w:rsidRPr="00A42252">
        <w:rPr>
          <w:rFonts w:ascii="Arial" w:hAnsi="Arial" w:cs="Arial"/>
          <w:sz w:val="20"/>
          <w:szCs w:val="24"/>
        </w:rPr>
        <w:t xml:space="preserve"> </w:t>
      </w:r>
      <w:r w:rsidRPr="00A42252">
        <w:rPr>
          <w:rFonts w:ascii="Arial" w:eastAsia="Source Han Sans SC" w:hAnsi="Arial" w:cs="Arial"/>
          <w:sz w:val="20"/>
          <w:szCs w:val="24"/>
        </w:rPr>
        <w:t xml:space="preserve"> Different pollinators may prefer different parts of a plant or flower. In crops with both male and female flowers, a diverse community is more likely to ensure pollen is transferred effectively between them.</w:t>
      </w:r>
    </w:p>
    <w:p w:rsidR="00DE7FCA" w:rsidRPr="00A42252" w:rsidRDefault="00DE7FCA" w:rsidP="00DE7FCA">
      <w:pPr>
        <w:spacing w:after="300"/>
        <w:jc w:val="both"/>
        <w:rPr>
          <w:rFonts w:ascii="Arial" w:hAnsi="Arial" w:cs="Arial"/>
          <w:szCs w:val="24"/>
        </w:rPr>
      </w:pPr>
      <w:r w:rsidRPr="00A42252">
        <w:rPr>
          <w:rFonts w:ascii="Arial" w:eastAsia="Arial" w:hAnsi="Arial" w:cs="Arial"/>
          <w:szCs w:val="24"/>
        </w:rPr>
        <w:t xml:space="preserve">This functional diversity creates a more stable and resilient pollination service. An agroecosystem that relies on a wide range of pollinators is less susceptible to the decline of any single species, whether due to disease, climate events, or other stressors. Therefore, managing for pollinator diversity is a key strategy for risk mitigation in agriculture (Klatt </w:t>
      </w:r>
      <w:r w:rsidRPr="00A42252">
        <w:rPr>
          <w:rFonts w:ascii="Arial" w:eastAsia="Arial" w:hAnsi="Arial" w:cs="Arial"/>
          <w:i/>
          <w:szCs w:val="24"/>
        </w:rPr>
        <w:t>et al</w:t>
      </w:r>
      <w:r w:rsidRPr="00A42252">
        <w:rPr>
          <w:rFonts w:ascii="Arial" w:eastAsia="Arial" w:hAnsi="Arial" w:cs="Arial"/>
          <w:szCs w:val="24"/>
        </w:rPr>
        <w:t>., 2014).</w:t>
      </w:r>
    </w:p>
    <w:p w:rsidR="00DE7FCA" w:rsidRPr="00A42252" w:rsidRDefault="00DE7FCA" w:rsidP="00DE7FCA">
      <w:pPr>
        <w:pStyle w:val="Heading1"/>
        <w:spacing w:before="300" w:after="300"/>
        <w:jc w:val="both"/>
        <w:rPr>
          <w:rFonts w:cs="Arial"/>
          <w:sz w:val="22"/>
          <w:szCs w:val="24"/>
        </w:rPr>
      </w:pPr>
      <w:r w:rsidRPr="00A42252">
        <w:rPr>
          <w:rFonts w:eastAsia="Arial" w:cs="Arial"/>
          <w:sz w:val="22"/>
          <w:szCs w:val="24"/>
        </w:rPr>
        <w:t>5. CONSERVATION STRATEGIES AND POLICY IMPLICATIONS</w:t>
      </w:r>
    </w:p>
    <w:p w:rsidR="00DE7FCA" w:rsidRPr="00A42252" w:rsidRDefault="00DE7FCA" w:rsidP="00DE7FCA">
      <w:pPr>
        <w:spacing w:after="300"/>
        <w:jc w:val="both"/>
        <w:rPr>
          <w:rFonts w:ascii="Arial" w:hAnsi="Arial" w:cs="Arial"/>
          <w:szCs w:val="24"/>
        </w:rPr>
      </w:pPr>
      <w:r w:rsidRPr="00A42252">
        <w:rPr>
          <w:rFonts w:ascii="Arial" w:eastAsia="Arial" w:hAnsi="Arial" w:cs="Arial"/>
          <w:szCs w:val="24"/>
        </w:rPr>
        <w:t>The recognition of the importance of non-honeybee pollinators necessitates a shift in conservation focus from managing a single species to managing entire landscapes for pollinator health. Effective conservation requires a multi-faceted approach that integrates scientific knowledge into actionable policies and farming practices (Stout and Dicks, 2022).</w:t>
      </w:r>
    </w:p>
    <w:p w:rsidR="00DE7FCA" w:rsidRPr="00A42252" w:rsidRDefault="00DE7FCA" w:rsidP="00DE7FCA">
      <w:pPr>
        <w:pStyle w:val="Heading2"/>
        <w:spacing w:before="225" w:after="300"/>
        <w:jc w:val="both"/>
        <w:rPr>
          <w:rFonts w:ascii="Arial" w:hAnsi="Arial" w:cs="Arial"/>
          <w:b/>
          <w:color w:val="auto"/>
          <w:sz w:val="20"/>
          <w:szCs w:val="24"/>
        </w:rPr>
      </w:pPr>
      <w:r w:rsidRPr="00A42252">
        <w:rPr>
          <w:rFonts w:ascii="Arial" w:eastAsia="Arial" w:hAnsi="Arial" w:cs="Arial"/>
          <w:b/>
          <w:color w:val="auto"/>
          <w:sz w:val="20"/>
          <w:szCs w:val="24"/>
        </w:rPr>
        <w:t>5.1 On-Farm Habitat Management</w:t>
      </w:r>
    </w:p>
    <w:p w:rsidR="00DE7FCA" w:rsidRPr="00A42252" w:rsidRDefault="00DE7FCA" w:rsidP="00DE7FCA">
      <w:pPr>
        <w:spacing w:after="300"/>
        <w:jc w:val="both"/>
        <w:rPr>
          <w:rFonts w:ascii="Arial" w:hAnsi="Arial" w:cs="Arial"/>
          <w:szCs w:val="24"/>
        </w:rPr>
      </w:pPr>
      <w:r w:rsidRPr="00A42252">
        <w:rPr>
          <w:rFonts w:ascii="Arial" w:eastAsia="Arial" w:hAnsi="Arial" w:cs="Arial"/>
          <w:szCs w:val="24"/>
        </w:rPr>
        <w:t>A primary strategy for conserving wild pollinators is the creation and maintenance of on-farm habitats that provide essential resources: forage (pollen and nectar), nesting sites and refuge from pesticides. Key practices include:</w:t>
      </w:r>
    </w:p>
    <w:p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Planting Flower Strips and Hedgerows:</w:t>
      </w:r>
      <w:r w:rsidRPr="00A42252">
        <w:rPr>
          <w:rFonts w:ascii="Arial" w:hAnsi="Arial" w:cs="Arial"/>
          <w:sz w:val="20"/>
          <w:szCs w:val="24"/>
        </w:rPr>
        <w:t xml:space="preserve"> </w:t>
      </w:r>
      <w:r w:rsidRPr="00A42252">
        <w:rPr>
          <w:rFonts w:ascii="Arial" w:eastAsia="Source Han Sans SC" w:hAnsi="Arial" w:cs="Arial"/>
          <w:sz w:val="20"/>
          <w:szCs w:val="24"/>
        </w:rPr>
        <w:t xml:space="preserve"> Establishing strips of native wildflowers within or around crop fields provides a continuous source of food for diverse pollinators throughout the growing season. These habitats have been shown to increase the abundance and diversity of bees, hoverflies and butterflies in agricultural landscapes (</w:t>
      </w:r>
      <w:proofErr w:type="spellStart"/>
      <w:r w:rsidRPr="00A42252">
        <w:rPr>
          <w:rFonts w:ascii="Arial" w:hAnsi="Arial" w:cs="Arial"/>
          <w:sz w:val="20"/>
          <w:szCs w:val="40"/>
        </w:rPr>
        <w:t>Buhk</w:t>
      </w:r>
      <w:proofErr w:type="spellEnd"/>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2018).</w:t>
      </w:r>
    </w:p>
    <w:p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Maintaining Semi-Natural Habitats:</w:t>
      </w:r>
      <w:r w:rsidRPr="00A42252">
        <w:rPr>
          <w:rFonts w:ascii="Arial" w:hAnsi="Arial" w:cs="Arial"/>
          <w:sz w:val="20"/>
          <w:szCs w:val="24"/>
        </w:rPr>
        <w:t xml:space="preserve"> </w:t>
      </w:r>
      <w:r w:rsidRPr="00A42252">
        <w:rPr>
          <w:rFonts w:ascii="Arial" w:eastAsia="Source Han Sans SC" w:hAnsi="Arial" w:cs="Arial"/>
          <w:sz w:val="20"/>
          <w:szCs w:val="24"/>
        </w:rPr>
        <w:t xml:space="preserve"> Protecting and restoring areas of forest, grassland, and wetlands adjacent to farmland is crucial, as many pollinators rely on these areas for nesting and overwintering. The proximity of such habitats is strongly correlated with higher pollinator diversity and improved crop yields (Garibaldi </w:t>
      </w:r>
      <w:r w:rsidRPr="00A42252">
        <w:rPr>
          <w:rFonts w:ascii="Arial" w:eastAsia="Source Han Sans SC" w:hAnsi="Arial" w:cs="Arial"/>
          <w:i/>
          <w:sz w:val="20"/>
          <w:szCs w:val="24"/>
        </w:rPr>
        <w:t>et al</w:t>
      </w:r>
      <w:r w:rsidRPr="00A42252">
        <w:rPr>
          <w:rFonts w:ascii="Arial" w:eastAsia="Source Han Sans SC" w:hAnsi="Arial" w:cs="Arial"/>
          <w:sz w:val="20"/>
          <w:szCs w:val="24"/>
        </w:rPr>
        <w:t xml:space="preserve">., 2011; </w:t>
      </w:r>
      <w:r w:rsidRPr="00A42252">
        <w:rPr>
          <w:rFonts w:ascii="Arial" w:hAnsi="Arial" w:cs="Arial"/>
          <w:sz w:val="20"/>
          <w:szCs w:val="40"/>
        </w:rPr>
        <w:t>Adit</w:t>
      </w:r>
      <w:r w:rsidRPr="00A42252">
        <w:rPr>
          <w:rFonts w:ascii="Arial" w:eastAsia="Source Han Sans SC" w:hAnsi="Arial" w:cs="Arial"/>
          <w:sz w:val="20"/>
          <w:szCs w:val="24"/>
        </w:rPr>
        <w:t xml:space="preserve"> </w:t>
      </w:r>
      <w:r w:rsidRPr="00A42252">
        <w:rPr>
          <w:rFonts w:ascii="Arial" w:eastAsia="Source Han Sans SC" w:hAnsi="Arial" w:cs="Arial"/>
          <w:i/>
          <w:sz w:val="20"/>
          <w:szCs w:val="24"/>
        </w:rPr>
        <w:t>et al</w:t>
      </w:r>
      <w:r w:rsidRPr="00A42252">
        <w:rPr>
          <w:rFonts w:ascii="Arial" w:eastAsia="Source Han Sans SC" w:hAnsi="Arial" w:cs="Arial"/>
          <w:sz w:val="20"/>
          <w:szCs w:val="24"/>
        </w:rPr>
        <w:t>., 2024).</w:t>
      </w:r>
    </w:p>
    <w:p w:rsidR="00DE7FCA" w:rsidRPr="00A42252" w:rsidRDefault="00DE7FCA" w:rsidP="00DE7FCA">
      <w:pPr>
        <w:pStyle w:val="ListBullet"/>
        <w:spacing w:after="300"/>
        <w:jc w:val="both"/>
        <w:rPr>
          <w:rFonts w:ascii="Arial" w:hAnsi="Arial" w:cs="Arial"/>
          <w:sz w:val="20"/>
          <w:szCs w:val="24"/>
        </w:rPr>
      </w:pPr>
      <w:r w:rsidRPr="00A42252">
        <w:rPr>
          <w:rFonts w:ascii="Arial" w:eastAsia="Arial" w:hAnsi="Arial" w:cs="Arial"/>
          <w:b/>
          <w:sz w:val="20"/>
          <w:szCs w:val="24"/>
        </w:rPr>
        <w:t>Adopting Pollinator-Friendly Farming Practices:</w:t>
      </w:r>
      <w:r w:rsidRPr="00A42252">
        <w:rPr>
          <w:rFonts w:ascii="Arial" w:hAnsi="Arial" w:cs="Arial"/>
          <w:sz w:val="20"/>
          <w:szCs w:val="24"/>
        </w:rPr>
        <w:t xml:space="preserve"> </w:t>
      </w:r>
      <w:r w:rsidRPr="00A42252">
        <w:rPr>
          <w:rFonts w:ascii="Arial" w:eastAsia="Source Han Sans SC" w:hAnsi="Arial" w:cs="Arial"/>
          <w:sz w:val="20"/>
          <w:szCs w:val="24"/>
        </w:rPr>
        <w:t xml:space="preserve"> Practices such as reduced tillage (which protects ground-nesting bees), integrated pest management (IPM) to minimize pesticide use, and crop diversification can significantly benefit pollinator populations.</w:t>
      </w:r>
    </w:p>
    <w:p w:rsidR="00DE7FCA" w:rsidRPr="00A42252" w:rsidRDefault="00DE7FCA" w:rsidP="00DE7FCA">
      <w:pPr>
        <w:pStyle w:val="Heading2"/>
        <w:spacing w:before="225" w:after="300"/>
        <w:jc w:val="both"/>
        <w:rPr>
          <w:rFonts w:ascii="Arial" w:hAnsi="Arial" w:cs="Arial"/>
          <w:b/>
          <w:color w:val="auto"/>
          <w:sz w:val="20"/>
          <w:szCs w:val="24"/>
        </w:rPr>
      </w:pPr>
      <w:r w:rsidRPr="00A42252">
        <w:rPr>
          <w:rFonts w:ascii="Arial" w:eastAsia="Arial" w:hAnsi="Arial" w:cs="Arial"/>
          <w:b/>
          <w:color w:val="auto"/>
          <w:sz w:val="20"/>
          <w:szCs w:val="24"/>
        </w:rPr>
        <w:lastRenderedPageBreak/>
        <w:t>5.2 Policy and Economic Incentives</w:t>
      </w:r>
    </w:p>
    <w:p w:rsidR="00DE7FCA" w:rsidRPr="00A42252" w:rsidRDefault="00DE7FCA" w:rsidP="00DE7FCA">
      <w:pPr>
        <w:spacing w:after="300"/>
        <w:jc w:val="both"/>
        <w:rPr>
          <w:rFonts w:ascii="Arial" w:hAnsi="Arial" w:cs="Arial"/>
          <w:szCs w:val="24"/>
        </w:rPr>
      </w:pPr>
      <w:r w:rsidRPr="00A42252">
        <w:rPr>
          <w:rFonts w:ascii="Arial" w:eastAsia="Arial" w:hAnsi="Arial" w:cs="Arial"/>
          <w:szCs w:val="24"/>
        </w:rPr>
        <w:t>Effective conservation cannot rely on voluntary action alone; it must be supported by robust public policies. Many countries and regions, including the European Union, have begun to implement national pollinator strategies. However, their effectiveness often depends on successful implementation and adequate funding (Stout and Dicks, 2022). The most effective policies are those that integrate scientific evidence with the socio-economic realities of farmers (</w:t>
      </w:r>
      <w:r w:rsidRPr="00A42252">
        <w:rPr>
          <w:rFonts w:ascii="Arial" w:hAnsi="Arial" w:cs="Arial"/>
          <w:szCs w:val="40"/>
        </w:rPr>
        <w:t>Medrano-Sánchez</w:t>
      </w:r>
      <w:r w:rsidRPr="00A42252">
        <w:rPr>
          <w:rFonts w:ascii="Arial" w:eastAsia="Arial" w:hAnsi="Arial" w:cs="Arial"/>
          <w:szCs w:val="24"/>
        </w:rPr>
        <w:t xml:space="preserve"> and Cuenca, 2025).</w:t>
      </w:r>
    </w:p>
    <w:p w:rsidR="00DE7FCA" w:rsidRPr="00A42252" w:rsidRDefault="00DE7FCA" w:rsidP="00DE7FCA">
      <w:pPr>
        <w:spacing w:after="300"/>
        <w:jc w:val="both"/>
        <w:rPr>
          <w:rFonts w:ascii="Arial" w:hAnsi="Arial" w:cs="Arial"/>
          <w:szCs w:val="24"/>
        </w:rPr>
      </w:pPr>
      <w:r w:rsidRPr="00A42252">
        <w:rPr>
          <w:rFonts w:ascii="Arial" w:eastAsia="Arial" w:hAnsi="Arial" w:cs="Arial"/>
          <w:szCs w:val="24"/>
        </w:rPr>
        <w:t xml:space="preserve">Agri-environment schemes (AES), which provide financial incentives to farmers for adopting environmentally friendly practices, are a key policy tool. Schemes that specifically target the creation of pollinator habitats have proven effective, but their design must be carefully considered to ensure they deliver real ecological benefits (Scheper </w:t>
      </w:r>
      <w:r w:rsidRPr="00A42252">
        <w:rPr>
          <w:rFonts w:ascii="Arial" w:eastAsia="Arial" w:hAnsi="Arial" w:cs="Arial"/>
          <w:i/>
          <w:szCs w:val="24"/>
        </w:rPr>
        <w:t>et al</w:t>
      </w:r>
      <w:r w:rsidRPr="00A42252">
        <w:rPr>
          <w:rFonts w:ascii="Arial" w:eastAsia="Arial" w:hAnsi="Arial" w:cs="Arial"/>
          <w:szCs w:val="24"/>
        </w:rPr>
        <w:t>., 2013). For example, paying farmers based on the ecological outcomes (e.g., measured pollinator abundance) rather than simply the action (e.g., planting a flower strip) could lead to more effective conservation. Furthermore, policies must address the drivers of pollinator decline, such as regulating the use of harmful pesticides and integrating pollinator protection into land-use planning (Stout and Dicks, 2022).</w:t>
      </w:r>
    </w:p>
    <w:p w:rsidR="00DE7FCA" w:rsidRPr="00A42252" w:rsidRDefault="00DE7FCA" w:rsidP="00DE7FCA">
      <w:pPr>
        <w:pStyle w:val="Heading2"/>
        <w:spacing w:before="225" w:after="300"/>
        <w:jc w:val="both"/>
        <w:rPr>
          <w:rFonts w:ascii="Arial" w:hAnsi="Arial" w:cs="Arial"/>
          <w:b/>
          <w:color w:val="auto"/>
          <w:sz w:val="20"/>
          <w:szCs w:val="24"/>
        </w:rPr>
      </w:pPr>
      <w:r w:rsidRPr="00A42252">
        <w:rPr>
          <w:rFonts w:ascii="Arial" w:eastAsia="Arial" w:hAnsi="Arial" w:cs="Arial"/>
          <w:b/>
          <w:color w:val="auto"/>
          <w:sz w:val="20"/>
          <w:szCs w:val="24"/>
        </w:rPr>
        <w:t>5.3 Bridging the Knowledge-to-Policy Gap</w:t>
      </w:r>
    </w:p>
    <w:p w:rsidR="00DE7FCA" w:rsidRPr="00A42252" w:rsidRDefault="00DE7FCA" w:rsidP="00DE7FCA">
      <w:pPr>
        <w:spacing w:after="300"/>
        <w:jc w:val="both"/>
        <w:rPr>
          <w:rFonts w:ascii="Arial" w:hAnsi="Arial" w:cs="Arial"/>
          <w:szCs w:val="24"/>
        </w:rPr>
      </w:pPr>
      <w:r w:rsidRPr="00A42252">
        <w:rPr>
          <w:rFonts w:ascii="Arial" w:eastAsia="Arial" w:hAnsi="Arial" w:cs="Arial"/>
          <w:szCs w:val="24"/>
        </w:rPr>
        <w:t>A significant challenge remains in translating scientific knowledge about pollinator conservation into effective policy and practice. This requires better communication and collaboration between scientists, policymakers, farmers and the public. Long-term monitoring programs are essential to track pollinator populations, evaluate the effectiveness of conservation interventions and adapt strategies over time (Stout and Dicks, 2022). The U.S. Geological Survey's Pollinator Science Strategy for 2025–2035 is an example of a forward-looking plan to generate the data needed to inform management and policy decisions (</w:t>
      </w:r>
      <w:r w:rsidRPr="00A42252">
        <w:rPr>
          <w:rFonts w:ascii="Arial" w:hAnsi="Arial" w:cs="Arial"/>
          <w:szCs w:val="40"/>
        </w:rPr>
        <w:t xml:space="preserve">Otto </w:t>
      </w:r>
      <w:r w:rsidRPr="00A42252">
        <w:rPr>
          <w:rFonts w:ascii="Arial" w:hAnsi="Arial" w:cs="Arial"/>
          <w:i/>
          <w:iCs/>
          <w:szCs w:val="40"/>
        </w:rPr>
        <w:t>et al</w:t>
      </w:r>
      <w:r w:rsidRPr="00A42252">
        <w:rPr>
          <w:rFonts w:ascii="Arial" w:hAnsi="Arial" w:cs="Arial"/>
          <w:szCs w:val="40"/>
        </w:rPr>
        <w:t>.</w:t>
      </w:r>
      <w:r w:rsidRPr="00A42252">
        <w:rPr>
          <w:rFonts w:ascii="Arial" w:eastAsia="Arial" w:hAnsi="Arial" w:cs="Arial"/>
          <w:szCs w:val="24"/>
        </w:rPr>
        <w:t>, 2025). Ultimately, successful pollinator conservation will depend on a shared understanding that protecting these species is not just an environmental issue, but a cornerstone of agricultural sustainability and economic stability.</w:t>
      </w:r>
    </w:p>
    <w:p w:rsidR="00DE7FCA" w:rsidRPr="00A42252" w:rsidRDefault="00DE7FCA" w:rsidP="00DE7FCA">
      <w:pPr>
        <w:pStyle w:val="Heading1"/>
        <w:spacing w:before="300" w:after="300"/>
        <w:jc w:val="both"/>
        <w:rPr>
          <w:rFonts w:cs="Arial"/>
          <w:sz w:val="22"/>
          <w:szCs w:val="24"/>
        </w:rPr>
      </w:pPr>
      <w:r w:rsidRPr="00A42252">
        <w:rPr>
          <w:rFonts w:eastAsia="Arial" w:cs="Arial"/>
          <w:sz w:val="22"/>
          <w:szCs w:val="24"/>
        </w:rPr>
        <w:t>6. CONCLUSION</w:t>
      </w:r>
    </w:p>
    <w:p w:rsidR="008626C8" w:rsidRPr="00D915D1" w:rsidRDefault="00DE7FCA" w:rsidP="009958DC">
      <w:pPr>
        <w:spacing w:after="300"/>
        <w:jc w:val="both"/>
        <w:rPr>
          <w:rFonts w:ascii="Arial" w:eastAsia="Arial" w:hAnsi="Arial" w:cs="Arial"/>
          <w:szCs w:val="24"/>
        </w:rPr>
      </w:pPr>
      <w:r w:rsidRPr="00A42252">
        <w:rPr>
          <w:rFonts w:ascii="Arial" w:eastAsia="Arial" w:hAnsi="Arial" w:cs="Arial"/>
          <w:szCs w:val="24"/>
        </w:rPr>
        <w:t>The paradigm of agricultural pollination is expanding far beyond its traditional focus on the managed honeybee. The evidence synthesized in this review clearly demonstrates that a diverse assemblage of non-honeybee pollinators including wild bees, flies, lepidopterans, beetles, and vertebrates plays a fundamental and economically significant role in global food production. These pollinators are not merely a backup for honeybees; they provide unique and complementary services, enhance pollination efficiency through synergistic interactions and confer critical resilience to agroecosystems in the face of environmental change.</w:t>
      </w:r>
      <w:r w:rsidR="006718C0">
        <w:rPr>
          <w:rFonts w:ascii="Arial" w:hAnsi="Arial" w:cs="Arial"/>
          <w:szCs w:val="24"/>
        </w:rPr>
        <w:t xml:space="preserve"> </w:t>
      </w:r>
      <w:r w:rsidRPr="00A42252">
        <w:rPr>
          <w:rFonts w:ascii="Arial" w:eastAsia="Arial" w:hAnsi="Arial" w:cs="Arial"/>
          <w:szCs w:val="24"/>
        </w:rPr>
        <w:t>The continued decline of these wild species, driven by habitat loss, pesticide use and climate change, poses a direct threat to agricultural sustainability. Addressing this challenge requires a decisive shift in both practice and policy. Conservation efforts must move from a species-centric to a landscape-level approach, focusing on restoring the habitat mosaics that support diverse pollinator communities. This includes implementing on-farm strategies like flower strips and protecting semi-natural habitats, supported by well-designed agri-environment schemes and robust regulations.</w:t>
      </w:r>
      <w:r w:rsidR="006718C0">
        <w:rPr>
          <w:rFonts w:ascii="Arial" w:hAnsi="Arial" w:cs="Arial"/>
          <w:szCs w:val="24"/>
        </w:rPr>
        <w:t xml:space="preserve"> </w:t>
      </w:r>
      <w:r w:rsidRPr="00A42252">
        <w:rPr>
          <w:rFonts w:ascii="Arial" w:eastAsia="Arial" w:hAnsi="Arial" w:cs="Arial"/>
          <w:szCs w:val="24"/>
        </w:rPr>
        <w:t>Future research should continue to fill knowledge gaps, particularly concerning the population dynamics of understudied groups like moths and flies and to refine the economic valuation of their services. However, the existing evidence is more than sufficient to justify immediate and concerted action. By recognizing, valuing and protecting the full spectrum of pollinators, we can build more resilient, productive and sustainable agricultural systems capable of meeting the food security challenges of the twenty-first century. The future of our food supply may depend less on managing hives and more on cultivating biodiversity.</w:t>
      </w:r>
    </w:p>
    <w:p w:rsidR="00077435" w:rsidRPr="00444D85" w:rsidRDefault="00077435" w:rsidP="00077435">
      <w:pPr>
        <w:spacing w:line="276" w:lineRule="auto"/>
        <w:rPr>
          <w:rFonts w:ascii="Arial" w:hAnsi="Arial" w:cs="Arial"/>
          <w:b/>
          <w:sz w:val="22"/>
        </w:rPr>
      </w:pPr>
      <w:bookmarkStart w:id="0" w:name="_GoBack"/>
      <w:bookmarkEnd w:id="0"/>
      <w:r w:rsidRPr="00444D85">
        <w:rPr>
          <w:rFonts w:ascii="Arial" w:hAnsi="Arial" w:cs="Arial"/>
          <w:b/>
          <w:sz w:val="22"/>
        </w:rPr>
        <w:t>DATA AVAILABILITY STATEMENT</w:t>
      </w:r>
    </w:p>
    <w:p w:rsidR="00077435" w:rsidRPr="00444D85" w:rsidRDefault="00077435" w:rsidP="00077435">
      <w:pPr>
        <w:spacing w:before="100" w:beforeAutospacing="1" w:after="100" w:afterAutospacing="1"/>
        <w:rPr>
          <w:rFonts w:ascii="Arial" w:hAnsi="Arial" w:cs="Arial"/>
          <w:lang w:val="en-IN" w:eastAsia="en-IN"/>
        </w:rPr>
      </w:pPr>
      <w:r w:rsidRPr="00444D85">
        <w:rPr>
          <w:rFonts w:ascii="Arial" w:hAnsi="Arial" w:cs="Arial"/>
          <w:lang w:val="en-IN" w:eastAsia="en-IN"/>
        </w:rPr>
        <w:t>No primary datasets were generated or analysed in the preparation of this review paper. All information presented is derived from previously published literature, properly cited and publicly accessible through academic databases, journals, or other standard sources.</w:t>
      </w:r>
    </w:p>
    <w:p w:rsidR="00077435" w:rsidRPr="00444D85" w:rsidRDefault="00077435" w:rsidP="00077435">
      <w:pPr>
        <w:spacing w:line="276" w:lineRule="auto"/>
        <w:rPr>
          <w:rFonts w:ascii="Arial" w:hAnsi="Arial" w:cs="Arial"/>
          <w:b/>
          <w:sz w:val="22"/>
        </w:rPr>
      </w:pPr>
      <w:r w:rsidRPr="00444D85">
        <w:rPr>
          <w:rFonts w:ascii="Arial" w:hAnsi="Arial" w:cs="Arial"/>
          <w:b/>
          <w:sz w:val="22"/>
        </w:rPr>
        <w:t>ETHICAL APPROVAL STATEMENT</w:t>
      </w:r>
    </w:p>
    <w:p w:rsidR="00077435" w:rsidRDefault="00077435" w:rsidP="00077435">
      <w:pPr>
        <w:rPr>
          <w:rFonts w:ascii="Arial" w:hAnsi="Arial" w:cs="Arial"/>
        </w:rPr>
      </w:pPr>
      <w:r w:rsidRPr="00444D85">
        <w:rPr>
          <w:rFonts w:ascii="Arial" w:hAnsi="Arial" w:cs="Arial"/>
        </w:rPr>
        <w:t>This study did not involve human participants or animals.</w:t>
      </w:r>
    </w:p>
    <w:p w:rsidR="00EF0138" w:rsidRPr="00444D85" w:rsidRDefault="00EF0138" w:rsidP="00077435">
      <w:pPr>
        <w:rPr>
          <w:rFonts w:ascii="Arial" w:hAnsi="Arial" w:cs="Arial"/>
        </w:rPr>
      </w:pPr>
    </w:p>
    <w:p w:rsidR="00077435" w:rsidRPr="00EF0138" w:rsidRDefault="00077435" w:rsidP="00077435">
      <w:pPr>
        <w:spacing w:line="276" w:lineRule="auto"/>
        <w:rPr>
          <w:rFonts w:ascii="Arial" w:hAnsi="Arial" w:cs="Arial"/>
          <w:b/>
          <w:sz w:val="22"/>
        </w:rPr>
      </w:pPr>
      <w:r w:rsidRPr="00EF0138">
        <w:rPr>
          <w:rFonts w:ascii="Arial" w:hAnsi="Arial" w:cs="Arial"/>
          <w:b/>
          <w:sz w:val="22"/>
        </w:rPr>
        <w:t>INFORMED CONSENT STATEMENT</w:t>
      </w:r>
    </w:p>
    <w:p w:rsidR="00077435" w:rsidRPr="00EF0138" w:rsidRDefault="00077435" w:rsidP="00077435">
      <w:pPr>
        <w:spacing w:line="276" w:lineRule="auto"/>
        <w:rPr>
          <w:rFonts w:ascii="Arial" w:hAnsi="Arial" w:cs="Arial"/>
          <w:b/>
        </w:rPr>
      </w:pPr>
      <w:r w:rsidRPr="00EF0138">
        <w:rPr>
          <w:rFonts w:ascii="Arial" w:hAnsi="Arial" w:cs="Arial"/>
          <w:lang w:val="en-IN" w:eastAsia="en-IN"/>
        </w:rPr>
        <w:lastRenderedPageBreak/>
        <w:t>This review paper does not involve human participants, personal data, or animal subjects; therefore, informed consent was not required. All information discussed is drawn from published literature, appropriately cited and available in the public domain.</w:t>
      </w: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FE339A" w:rsidRDefault="00FE339A" w:rsidP="00441B6F">
      <w:pPr>
        <w:pStyle w:val="ReferHead"/>
        <w:spacing w:after="0"/>
        <w:jc w:val="both"/>
        <w:rPr>
          <w:rFonts w:ascii="Arial" w:hAnsi="Arial" w:cs="Arial"/>
        </w:rPr>
      </w:pPr>
    </w:p>
    <w:p w:rsidR="00FE339A" w:rsidRPr="00FE339A" w:rsidRDefault="00FE339A" w:rsidP="00FE339A">
      <w:pPr>
        <w:ind w:left="720" w:hanging="720"/>
        <w:jc w:val="both"/>
        <w:rPr>
          <w:rFonts w:ascii="Arial" w:hAnsi="Arial" w:cs="Arial"/>
          <w:szCs w:val="40"/>
        </w:rPr>
      </w:pPr>
      <w:r w:rsidRPr="00FE339A">
        <w:rPr>
          <w:rFonts w:ascii="Arial" w:hAnsi="Arial" w:cs="Arial"/>
          <w:szCs w:val="40"/>
        </w:rPr>
        <w:t>Adit, A., Singh, V. K., Tandon, R., and Shivanna, K. R. (2024). Pollination research in India: Current status, future vision and conservation implications. </w:t>
      </w:r>
      <w:r w:rsidRPr="00FE339A">
        <w:rPr>
          <w:rFonts w:ascii="Arial" w:hAnsi="Arial" w:cs="Arial"/>
          <w:i/>
          <w:iCs/>
          <w:szCs w:val="40"/>
        </w:rPr>
        <w:t>Integrative Conservation</w:t>
      </w:r>
      <w:r w:rsidRPr="00FE339A">
        <w:rPr>
          <w:rFonts w:ascii="Arial" w:hAnsi="Arial" w:cs="Arial"/>
          <w:szCs w:val="40"/>
        </w:rPr>
        <w:t>, </w:t>
      </w:r>
      <w:r w:rsidRPr="00FE339A">
        <w:rPr>
          <w:rFonts w:ascii="Arial" w:hAnsi="Arial" w:cs="Arial"/>
          <w:i/>
          <w:iCs/>
          <w:szCs w:val="40"/>
        </w:rPr>
        <w:t>3</w:t>
      </w:r>
      <w:r w:rsidRPr="00FE339A">
        <w:rPr>
          <w:rFonts w:ascii="Arial" w:hAnsi="Arial" w:cs="Arial"/>
          <w:szCs w:val="40"/>
        </w:rPr>
        <w:t>(4), 330-341.</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Bernhardt, P. (2000). Convergent evolution and adaptive radiation of beetle-pollinated angiosperms. </w:t>
      </w:r>
      <w:r w:rsidRPr="00FE339A">
        <w:rPr>
          <w:rFonts w:ascii="Arial" w:eastAsia="Arial" w:hAnsi="Arial" w:cs="Arial"/>
          <w:i/>
          <w:szCs w:val="40"/>
        </w:rPr>
        <w:t>Plant Systematics and Evolution, 222</w:t>
      </w:r>
      <w:r w:rsidRPr="00FE339A">
        <w:rPr>
          <w:rFonts w:ascii="Arial" w:hAnsi="Arial" w:cs="Arial"/>
          <w:szCs w:val="40"/>
        </w:rPr>
        <w:t>(1-4), 293-320.</w:t>
      </w:r>
    </w:p>
    <w:p w:rsidR="00FE339A" w:rsidRPr="00FE339A" w:rsidRDefault="00FE339A" w:rsidP="00FE339A">
      <w:pPr>
        <w:rPr>
          <w:rFonts w:ascii="Arial" w:hAnsi="Arial" w:cs="Arial"/>
          <w:sz w:val="16"/>
        </w:rPr>
      </w:pPr>
      <w:r w:rsidRPr="00FE339A">
        <w:rPr>
          <w:rFonts w:ascii="Arial" w:hAnsi="Arial" w:cs="Arial"/>
          <w:szCs w:val="40"/>
        </w:rPr>
        <w:t>Blanche, R., and Cunningham, S. A. (2005). Rain forest provides pollinating beetles for atemoya crops. </w:t>
      </w:r>
      <w:r w:rsidRPr="00FE339A">
        <w:rPr>
          <w:rFonts w:ascii="Arial" w:hAnsi="Arial" w:cs="Arial"/>
          <w:i/>
          <w:iCs/>
          <w:szCs w:val="40"/>
        </w:rPr>
        <w:t>Journal of Economic Entomology</w:t>
      </w:r>
      <w:r w:rsidRPr="00FE339A">
        <w:rPr>
          <w:rFonts w:ascii="Arial" w:hAnsi="Arial" w:cs="Arial"/>
          <w:szCs w:val="40"/>
        </w:rPr>
        <w:t>, </w:t>
      </w:r>
      <w:r w:rsidRPr="00FE339A">
        <w:rPr>
          <w:rFonts w:ascii="Arial" w:hAnsi="Arial" w:cs="Arial"/>
          <w:i/>
          <w:iCs/>
          <w:szCs w:val="40"/>
        </w:rPr>
        <w:t>98</w:t>
      </w:r>
      <w:r w:rsidRPr="00FE339A">
        <w:rPr>
          <w:rFonts w:ascii="Arial" w:hAnsi="Arial" w:cs="Arial"/>
          <w:szCs w:val="40"/>
        </w:rPr>
        <w:t>(4), 1193-1201.</w:t>
      </w:r>
    </w:p>
    <w:p w:rsidR="00FE339A" w:rsidRPr="00FE339A" w:rsidRDefault="00FE339A" w:rsidP="00FE339A">
      <w:pPr>
        <w:ind w:left="720" w:hanging="720"/>
        <w:jc w:val="both"/>
        <w:rPr>
          <w:rFonts w:ascii="Arial" w:hAnsi="Arial" w:cs="Arial"/>
          <w:szCs w:val="40"/>
          <w:lang w:val="de-DE"/>
        </w:rPr>
      </w:pPr>
      <w:r w:rsidRPr="00FE339A">
        <w:rPr>
          <w:rFonts w:ascii="Arial" w:hAnsi="Arial" w:cs="Arial"/>
          <w:szCs w:val="40"/>
          <w:lang w:val="de-DE"/>
        </w:rPr>
        <w:t xml:space="preserve">Buchmann, S. L., and Nabhan, G. P. (1996). </w:t>
      </w:r>
      <w:r w:rsidRPr="00FE339A">
        <w:rPr>
          <w:rFonts w:ascii="Arial" w:hAnsi="Arial" w:cs="Arial"/>
          <w:szCs w:val="40"/>
        </w:rPr>
        <w:t>The Forgotten Pollinators Island Press. </w:t>
      </w:r>
      <w:r w:rsidRPr="00FE339A">
        <w:rPr>
          <w:rFonts w:ascii="Arial" w:hAnsi="Arial" w:cs="Arial"/>
          <w:i/>
          <w:iCs/>
          <w:szCs w:val="40"/>
          <w:lang w:val="de-DE"/>
        </w:rPr>
        <w:t>Washington, DC</w:t>
      </w:r>
      <w:r w:rsidRPr="00FE339A">
        <w:rPr>
          <w:rFonts w:ascii="Arial" w:hAnsi="Arial" w:cs="Arial"/>
          <w:szCs w:val="40"/>
          <w:lang w:val="de-DE"/>
        </w:rPr>
        <w:t>.</w:t>
      </w:r>
    </w:p>
    <w:p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Buhk, C., Oppermann, R., Schanowski, A., Bleil, R., Lüdemann, J., and Maus, C. (2018). </w:t>
      </w:r>
      <w:r w:rsidRPr="00FE339A">
        <w:rPr>
          <w:rFonts w:ascii="Arial" w:hAnsi="Arial" w:cs="Arial"/>
          <w:szCs w:val="40"/>
        </w:rPr>
        <w:t xml:space="preserve">Flower strip networks offer promising </w:t>
      </w:r>
      <w:r w:rsidR="00466E17" w:rsidRPr="00FE339A">
        <w:rPr>
          <w:rFonts w:ascii="Arial" w:hAnsi="Arial" w:cs="Arial"/>
          <w:szCs w:val="40"/>
        </w:rPr>
        <w:t>long-term</w:t>
      </w:r>
      <w:r w:rsidRPr="00FE339A">
        <w:rPr>
          <w:rFonts w:ascii="Arial" w:hAnsi="Arial" w:cs="Arial"/>
          <w:szCs w:val="40"/>
        </w:rPr>
        <w:t xml:space="preserve"> effects on pollinator species richness in intensively cultivated agricultural areas. </w:t>
      </w:r>
      <w:r w:rsidRPr="00FE339A">
        <w:rPr>
          <w:rFonts w:ascii="Arial" w:hAnsi="Arial" w:cs="Arial"/>
          <w:i/>
          <w:iCs/>
          <w:szCs w:val="40"/>
        </w:rPr>
        <w:t>BMC ecology</w:t>
      </w:r>
      <w:r w:rsidRPr="00FE339A">
        <w:rPr>
          <w:rFonts w:ascii="Arial" w:hAnsi="Arial" w:cs="Arial"/>
          <w:szCs w:val="40"/>
        </w:rPr>
        <w:t>, </w:t>
      </w:r>
      <w:r w:rsidRPr="00FE339A">
        <w:rPr>
          <w:rFonts w:ascii="Arial" w:hAnsi="Arial" w:cs="Arial"/>
          <w:i/>
          <w:iCs/>
          <w:szCs w:val="40"/>
        </w:rPr>
        <w:t>18</w:t>
      </w:r>
      <w:r w:rsidRPr="00FE339A">
        <w:rPr>
          <w:rFonts w:ascii="Arial" w:hAnsi="Arial" w:cs="Arial"/>
          <w:szCs w:val="40"/>
        </w:rPr>
        <w:t>(1), 55.</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Buxton, M. N., Gaskett, A. C., Lord, J. M., and </w:t>
      </w:r>
      <w:proofErr w:type="spellStart"/>
      <w:r w:rsidRPr="00FE339A">
        <w:rPr>
          <w:rFonts w:ascii="Arial" w:hAnsi="Arial" w:cs="Arial"/>
          <w:szCs w:val="40"/>
        </w:rPr>
        <w:t>Pattemore</w:t>
      </w:r>
      <w:proofErr w:type="spellEnd"/>
      <w:r w:rsidRPr="00FE339A">
        <w:rPr>
          <w:rFonts w:ascii="Arial" w:hAnsi="Arial" w:cs="Arial"/>
          <w:szCs w:val="40"/>
        </w:rPr>
        <w:t>, D. E. (2022). A global review demonstrating the importance of nocturnal pollinators for crop plants. </w:t>
      </w:r>
      <w:r w:rsidRPr="00FE339A">
        <w:rPr>
          <w:rFonts w:ascii="Arial" w:hAnsi="Arial" w:cs="Arial"/>
          <w:i/>
          <w:iCs/>
          <w:szCs w:val="40"/>
        </w:rPr>
        <w:t>Journal of Applied Ecology</w:t>
      </w:r>
      <w:r w:rsidRPr="00FE339A">
        <w:rPr>
          <w:rFonts w:ascii="Arial" w:hAnsi="Arial" w:cs="Arial"/>
          <w:szCs w:val="40"/>
        </w:rPr>
        <w:t>, </w:t>
      </w:r>
      <w:r w:rsidRPr="00FE339A">
        <w:rPr>
          <w:rFonts w:ascii="Arial" w:hAnsi="Arial" w:cs="Arial"/>
          <w:i/>
          <w:iCs/>
          <w:szCs w:val="40"/>
        </w:rPr>
        <w:t>59</w:t>
      </w:r>
      <w:r w:rsidRPr="00FE339A">
        <w:rPr>
          <w:rFonts w:ascii="Arial" w:hAnsi="Arial" w:cs="Arial"/>
          <w:szCs w:val="40"/>
        </w:rPr>
        <w:t>(12), 2890-2901.</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Devi, D., Rani, P., and Bhatia, S. (2024). Insect Pollinators and their use in crop production. </w:t>
      </w:r>
      <w:r w:rsidRPr="00FE339A">
        <w:rPr>
          <w:rFonts w:ascii="Arial" w:hAnsi="Arial" w:cs="Arial"/>
          <w:i/>
          <w:iCs/>
          <w:szCs w:val="40"/>
        </w:rPr>
        <w:t>Imminent Farm</w:t>
      </w:r>
      <w:r w:rsidRPr="00FE339A">
        <w:rPr>
          <w:rFonts w:ascii="Arial" w:hAnsi="Arial" w:cs="Arial"/>
          <w:szCs w:val="40"/>
        </w:rPr>
        <w:t>, 134-154.</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Doyle, T., Hawkes, W. L., Massy, R., Powney, G. D., Menz, M. H., and Wotton, K. R. (2020). Pollination by hoverflies in the Anthropocene. </w:t>
      </w:r>
      <w:r w:rsidRPr="00FE339A">
        <w:rPr>
          <w:rFonts w:ascii="Arial" w:hAnsi="Arial" w:cs="Arial"/>
          <w:i/>
          <w:iCs/>
          <w:szCs w:val="40"/>
        </w:rPr>
        <w:t>Proceedings of the Royal Society B</w:t>
      </w:r>
      <w:r w:rsidRPr="00FE339A">
        <w:rPr>
          <w:rFonts w:ascii="Arial" w:hAnsi="Arial" w:cs="Arial"/>
          <w:szCs w:val="40"/>
        </w:rPr>
        <w:t>, </w:t>
      </w:r>
      <w:r w:rsidRPr="00FE339A">
        <w:rPr>
          <w:rFonts w:ascii="Arial" w:hAnsi="Arial" w:cs="Arial"/>
          <w:i/>
          <w:iCs/>
          <w:szCs w:val="40"/>
        </w:rPr>
        <w:t>287</w:t>
      </w:r>
      <w:r w:rsidRPr="00FE339A">
        <w:rPr>
          <w:rFonts w:ascii="Arial" w:hAnsi="Arial" w:cs="Arial"/>
          <w:szCs w:val="40"/>
        </w:rPr>
        <w:t>(1927), 20200508.</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Ferreira, J. C., Sabino, W. D. O., and Giannini, T. C. (2024). Valuation of agricultural production and pollination services in palm trees (Arecaceae) in the Amazon forest. </w:t>
      </w:r>
      <w:r w:rsidRPr="00FE339A">
        <w:rPr>
          <w:rFonts w:ascii="Arial" w:hAnsi="Arial" w:cs="Arial"/>
          <w:i/>
          <w:iCs/>
          <w:szCs w:val="40"/>
        </w:rPr>
        <w:t>Arthropod-Plant Interactions</w:t>
      </w:r>
      <w:r w:rsidRPr="00FE339A">
        <w:rPr>
          <w:rFonts w:ascii="Arial" w:hAnsi="Arial" w:cs="Arial"/>
          <w:szCs w:val="40"/>
        </w:rPr>
        <w:t>, </w:t>
      </w:r>
      <w:r w:rsidRPr="00FE339A">
        <w:rPr>
          <w:rFonts w:ascii="Arial" w:hAnsi="Arial" w:cs="Arial"/>
          <w:i/>
          <w:iCs/>
          <w:szCs w:val="40"/>
        </w:rPr>
        <w:t>18</w:t>
      </w:r>
      <w:r w:rsidRPr="00FE339A">
        <w:rPr>
          <w:rFonts w:ascii="Arial" w:hAnsi="Arial" w:cs="Arial"/>
          <w:szCs w:val="40"/>
        </w:rPr>
        <w:t>(3), 425-437.</w:t>
      </w:r>
    </w:p>
    <w:p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Feuerbacher, A., Kempen, M., Steidle, J. L., and Wieck, C. (2025). </w:t>
      </w:r>
      <w:r w:rsidRPr="00FE339A">
        <w:rPr>
          <w:rFonts w:ascii="Arial" w:hAnsi="Arial" w:cs="Arial"/>
          <w:szCs w:val="40"/>
        </w:rPr>
        <w:t>The economic, agricultural, and food security repercussions of a wild pollinator collapse in Europe. </w:t>
      </w:r>
      <w:r w:rsidRPr="00FE339A">
        <w:rPr>
          <w:rFonts w:ascii="Arial" w:hAnsi="Arial" w:cs="Arial"/>
          <w:i/>
          <w:iCs/>
          <w:szCs w:val="40"/>
        </w:rPr>
        <w:t>Nature Communications</w:t>
      </w:r>
      <w:r w:rsidRPr="00FE339A">
        <w:rPr>
          <w:rFonts w:ascii="Arial" w:hAnsi="Arial" w:cs="Arial"/>
          <w:szCs w:val="40"/>
        </w:rPr>
        <w:t>, </w:t>
      </w:r>
      <w:r w:rsidRPr="00FE339A">
        <w:rPr>
          <w:rFonts w:ascii="Arial" w:hAnsi="Arial" w:cs="Arial"/>
          <w:i/>
          <w:iCs/>
          <w:szCs w:val="40"/>
        </w:rPr>
        <w:t>16</w:t>
      </w:r>
      <w:r w:rsidRPr="00FE339A">
        <w:rPr>
          <w:rFonts w:ascii="Arial" w:hAnsi="Arial" w:cs="Arial"/>
          <w:szCs w:val="40"/>
        </w:rPr>
        <w:t>(1), 9892.</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Gallai, N., Salles, J. M., </w:t>
      </w:r>
      <w:proofErr w:type="spellStart"/>
      <w:r w:rsidRPr="00FE339A">
        <w:rPr>
          <w:rFonts w:ascii="Arial" w:hAnsi="Arial" w:cs="Arial"/>
          <w:szCs w:val="40"/>
        </w:rPr>
        <w:t>Settele</w:t>
      </w:r>
      <w:proofErr w:type="spellEnd"/>
      <w:r w:rsidRPr="00FE339A">
        <w:rPr>
          <w:rFonts w:ascii="Arial" w:hAnsi="Arial" w:cs="Arial"/>
          <w:szCs w:val="40"/>
        </w:rPr>
        <w:t xml:space="preserve">, J., and </w:t>
      </w:r>
      <w:proofErr w:type="spellStart"/>
      <w:r w:rsidRPr="00FE339A">
        <w:rPr>
          <w:rFonts w:ascii="Arial" w:hAnsi="Arial" w:cs="Arial"/>
          <w:szCs w:val="40"/>
        </w:rPr>
        <w:t>Vaissière</w:t>
      </w:r>
      <w:proofErr w:type="spellEnd"/>
      <w:r w:rsidRPr="00FE339A">
        <w:rPr>
          <w:rFonts w:ascii="Arial" w:hAnsi="Arial" w:cs="Arial"/>
          <w:szCs w:val="40"/>
        </w:rPr>
        <w:t xml:space="preserve">, B. E. (2009). Economic valuation of the vulnerability of world agriculture confronted with pollinator decline. </w:t>
      </w:r>
      <w:r w:rsidRPr="00FE339A">
        <w:rPr>
          <w:rFonts w:ascii="Arial" w:eastAsia="Arial" w:hAnsi="Arial" w:cs="Arial"/>
          <w:i/>
          <w:szCs w:val="40"/>
        </w:rPr>
        <w:t>Ecological Economics, 68</w:t>
      </w:r>
      <w:r w:rsidRPr="00FE339A">
        <w:rPr>
          <w:rFonts w:ascii="Arial" w:hAnsi="Arial" w:cs="Arial"/>
          <w:szCs w:val="40"/>
        </w:rPr>
        <w:t>(3), 810-821.</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Garibaldi, L. A., Steffan</w:t>
      </w:r>
      <w:r w:rsidRPr="00FE339A">
        <w:rPr>
          <w:rFonts w:ascii="Cambria Math" w:hAnsi="Cambria Math" w:cs="Cambria Math"/>
          <w:szCs w:val="40"/>
        </w:rPr>
        <w:t>‐</w:t>
      </w:r>
      <w:r w:rsidRPr="00FE339A">
        <w:rPr>
          <w:rFonts w:ascii="Arial" w:hAnsi="Arial" w:cs="Arial"/>
          <w:szCs w:val="40"/>
        </w:rPr>
        <w:t>Dewenter, I., Kremen, C., Morales, J. M., Bommarco, R., Cunningham, S. A., ... and Klein, A. M. (2011). Stability of pollination services decreases with isolation from natural areas despite honey bee visits. </w:t>
      </w:r>
      <w:r w:rsidRPr="00FE339A">
        <w:rPr>
          <w:rFonts w:ascii="Arial" w:hAnsi="Arial" w:cs="Arial"/>
          <w:i/>
          <w:iCs/>
          <w:szCs w:val="40"/>
        </w:rPr>
        <w:t>Ecology letters</w:t>
      </w:r>
      <w:r w:rsidRPr="00FE339A">
        <w:rPr>
          <w:rFonts w:ascii="Arial" w:hAnsi="Arial" w:cs="Arial"/>
          <w:szCs w:val="40"/>
        </w:rPr>
        <w:t>, </w:t>
      </w:r>
      <w:r w:rsidRPr="00FE339A">
        <w:rPr>
          <w:rFonts w:ascii="Arial" w:hAnsi="Arial" w:cs="Arial"/>
          <w:i/>
          <w:iCs/>
          <w:szCs w:val="40"/>
        </w:rPr>
        <w:t>14</w:t>
      </w:r>
      <w:r w:rsidRPr="00FE339A">
        <w:rPr>
          <w:rFonts w:ascii="Arial" w:hAnsi="Arial" w:cs="Arial"/>
          <w:szCs w:val="40"/>
        </w:rPr>
        <w:t>(10), 1062-1072.</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Garibaldi, L. A., Steffan-Dewenter, I., Winfree, R., Aizen, M. A., Bommarco, R., Cunningham, S. A., ... and Klein, A. M. (2013). Wild pollinators enhance fruit set of crops regardless of honey bee abundance. </w:t>
      </w:r>
      <w:r w:rsidRPr="00FE339A">
        <w:rPr>
          <w:rFonts w:ascii="Arial" w:hAnsi="Arial" w:cs="Arial"/>
          <w:i/>
          <w:iCs/>
          <w:szCs w:val="40"/>
        </w:rPr>
        <w:t>science</w:t>
      </w:r>
      <w:r w:rsidRPr="00FE339A">
        <w:rPr>
          <w:rFonts w:ascii="Arial" w:hAnsi="Arial" w:cs="Arial"/>
          <w:szCs w:val="40"/>
        </w:rPr>
        <w:t>, </w:t>
      </w:r>
      <w:r w:rsidRPr="00FE339A">
        <w:rPr>
          <w:rFonts w:ascii="Arial" w:hAnsi="Arial" w:cs="Arial"/>
          <w:i/>
          <w:iCs/>
          <w:szCs w:val="40"/>
        </w:rPr>
        <w:t>339</w:t>
      </w:r>
      <w:r w:rsidRPr="00FE339A">
        <w:rPr>
          <w:rFonts w:ascii="Arial" w:hAnsi="Arial" w:cs="Arial"/>
          <w:szCs w:val="40"/>
        </w:rPr>
        <w:t>(6127), 1608-1611.</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Greenleaf, S. S., and Kremen, C. (2006). Wild bees enhance honey bees’ pollination of hybrid sunflower. </w:t>
      </w:r>
      <w:r w:rsidRPr="00FE339A">
        <w:rPr>
          <w:rFonts w:ascii="Arial" w:eastAsia="Arial" w:hAnsi="Arial" w:cs="Arial"/>
          <w:i/>
          <w:szCs w:val="40"/>
        </w:rPr>
        <w:t>Proceedings of the National Academy of Sciences, 103</w:t>
      </w:r>
      <w:r w:rsidRPr="00FE339A">
        <w:rPr>
          <w:rFonts w:ascii="Arial" w:hAnsi="Arial" w:cs="Arial"/>
          <w:szCs w:val="40"/>
        </w:rPr>
        <w:t>(37), 13890-13895.</w:t>
      </w:r>
    </w:p>
    <w:p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Hahn, M., and Brühl, C. A. (2016). </w:t>
      </w:r>
      <w:r w:rsidRPr="00FE339A">
        <w:rPr>
          <w:rFonts w:ascii="Arial" w:hAnsi="Arial" w:cs="Arial"/>
          <w:szCs w:val="40"/>
        </w:rPr>
        <w:t>The secret pollinators: an overview of moth pollination with a focus on Europe and North America. </w:t>
      </w:r>
      <w:r w:rsidRPr="00FE339A">
        <w:rPr>
          <w:rFonts w:ascii="Arial" w:hAnsi="Arial" w:cs="Arial"/>
          <w:i/>
          <w:iCs/>
          <w:szCs w:val="40"/>
        </w:rPr>
        <w:t>Arthropod-Plant Interactions</w:t>
      </w:r>
      <w:r w:rsidRPr="00FE339A">
        <w:rPr>
          <w:rFonts w:ascii="Arial" w:hAnsi="Arial" w:cs="Arial"/>
          <w:szCs w:val="40"/>
        </w:rPr>
        <w:t>, </w:t>
      </w:r>
      <w:r w:rsidRPr="00FE339A">
        <w:rPr>
          <w:rFonts w:ascii="Arial" w:hAnsi="Arial" w:cs="Arial"/>
          <w:i/>
          <w:iCs/>
          <w:szCs w:val="40"/>
        </w:rPr>
        <w:t>10</w:t>
      </w:r>
      <w:r w:rsidRPr="00FE339A">
        <w:rPr>
          <w:rFonts w:ascii="Arial" w:hAnsi="Arial" w:cs="Arial"/>
          <w:szCs w:val="40"/>
        </w:rPr>
        <w:t>(1), 21-28.</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Hein, L. (2009). The economic value of the pollination service, a review across scales. </w:t>
      </w:r>
      <w:r w:rsidRPr="00FE339A">
        <w:rPr>
          <w:rFonts w:ascii="Arial" w:hAnsi="Arial" w:cs="Arial"/>
          <w:i/>
          <w:iCs/>
          <w:szCs w:val="40"/>
        </w:rPr>
        <w:t>Open Ecology Journal</w:t>
      </w:r>
      <w:r w:rsidRPr="00FE339A">
        <w:rPr>
          <w:rFonts w:ascii="Arial" w:hAnsi="Arial" w:cs="Arial"/>
          <w:szCs w:val="40"/>
        </w:rPr>
        <w:t>, </w:t>
      </w:r>
      <w:r w:rsidRPr="00FE339A">
        <w:rPr>
          <w:rFonts w:ascii="Arial" w:hAnsi="Arial" w:cs="Arial"/>
          <w:i/>
          <w:iCs/>
          <w:szCs w:val="40"/>
        </w:rPr>
        <w:t>2</w:t>
      </w:r>
      <w:r w:rsidRPr="00FE339A">
        <w:rPr>
          <w:rFonts w:ascii="Arial" w:hAnsi="Arial" w:cs="Arial"/>
          <w:szCs w:val="40"/>
        </w:rPr>
        <w:t>(1), 74-82.</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Klatt, B. K., Holzschuh, A., Westphal, C., Clough, Y., Smit, I., Pawelzik, E., and Tscharntke, T. (2014). Bee pollination improves crop quality, shelf life and commercial value. </w:t>
      </w:r>
      <w:r w:rsidRPr="00FE339A">
        <w:rPr>
          <w:rFonts w:ascii="Arial" w:hAnsi="Arial" w:cs="Arial"/>
          <w:i/>
          <w:iCs/>
          <w:szCs w:val="40"/>
        </w:rPr>
        <w:t>Proceedings of the Royal Society B: Biological Sciences</w:t>
      </w:r>
      <w:r w:rsidRPr="00FE339A">
        <w:rPr>
          <w:rFonts w:ascii="Arial" w:hAnsi="Arial" w:cs="Arial"/>
          <w:szCs w:val="40"/>
        </w:rPr>
        <w:t>, </w:t>
      </w:r>
      <w:r w:rsidRPr="00FE339A">
        <w:rPr>
          <w:rFonts w:ascii="Arial" w:hAnsi="Arial" w:cs="Arial"/>
          <w:i/>
          <w:iCs/>
          <w:szCs w:val="40"/>
        </w:rPr>
        <w:t>281</w:t>
      </w:r>
      <w:r w:rsidRPr="00FE339A">
        <w:rPr>
          <w:rFonts w:ascii="Arial" w:hAnsi="Arial" w:cs="Arial"/>
          <w:szCs w:val="40"/>
        </w:rPr>
        <w:t>(1775), 20132440.</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Klein, A. M., (2007). Importance of pollinators in changing landscapes for world crops. </w:t>
      </w:r>
      <w:r w:rsidRPr="00FE339A">
        <w:rPr>
          <w:rFonts w:ascii="Arial" w:eastAsia="Arial" w:hAnsi="Arial" w:cs="Arial"/>
          <w:i/>
          <w:szCs w:val="40"/>
        </w:rPr>
        <w:t>Proceedings of the Royal Society B: Biological Sciences, 274</w:t>
      </w:r>
      <w:r w:rsidRPr="00FE339A">
        <w:rPr>
          <w:rFonts w:ascii="Arial" w:hAnsi="Arial" w:cs="Arial"/>
          <w:szCs w:val="40"/>
        </w:rPr>
        <w:t>(1608), 303-313.</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Kremen, C., Williams, N. M., and Thorp, R. W. (2002). Crop pollination from native bees at risk from agricultural intensification. </w:t>
      </w:r>
      <w:r w:rsidRPr="00FE339A">
        <w:rPr>
          <w:rFonts w:ascii="Arial" w:eastAsia="Arial" w:hAnsi="Arial" w:cs="Arial"/>
          <w:i/>
          <w:szCs w:val="40"/>
        </w:rPr>
        <w:t>Proceedings of the National Academy of Sciences, 99</w:t>
      </w:r>
      <w:r w:rsidRPr="00FE339A">
        <w:rPr>
          <w:rFonts w:ascii="Arial" w:hAnsi="Arial" w:cs="Arial"/>
          <w:szCs w:val="40"/>
        </w:rPr>
        <w:t>(26), 16812-16816.</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Kunz, T. H., de Torrez, E. B., Bauer, D., Lobova, T., and Fleming, T. H. (2011). Ecosystem services provided by bats. </w:t>
      </w:r>
      <w:r w:rsidRPr="00FE339A">
        <w:rPr>
          <w:rFonts w:ascii="Arial" w:eastAsia="Arial" w:hAnsi="Arial" w:cs="Arial"/>
          <w:i/>
          <w:szCs w:val="40"/>
        </w:rPr>
        <w:t>Annals of the New York Academy of Sciences, 1223</w:t>
      </w:r>
      <w:r w:rsidRPr="00FE339A">
        <w:rPr>
          <w:rFonts w:ascii="Arial" w:hAnsi="Arial" w:cs="Arial"/>
          <w:szCs w:val="40"/>
        </w:rPr>
        <w:t>(1), 1-38.</w:t>
      </w:r>
    </w:p>
    <w:p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Lautenbach, S., Seppelt, R., Liebscher, J., and Dormann, C. F. (2012). </w:t>
      </w:r>
      <w:r w:rsidRPr="00FE339A">
        <w:rPr>
          <w:rFonts w:ascii="Arial" w:hAnsi="Arial" w:cs="Arial"/>
          <w:szCs w:val="40"/>
        </w:rPr>
        <w:t>Spatial and temporal trends of global pollination benefit. </w:t>
      </w:r>
      <w:r w:rsidRPr="00FE339A">
        <w:rPr>
          <w:rFonts w:ascii="Arial" w:hAnsi="Arial" w:cs="Arial"/>
          <w:i/>
          <w:iCs/>
          <w:szCs w:val="40"/>
        </w:rPr>
        <w:t>PLoS one</w:t>
      </w:r>
      <w:r w:rsidRPr="00FE339A">
        <w:rPr>
          <w:rFonts w:ascii="Arial" w:hAnsi="Arial" w:cs="Arial"/>
          <w:szCs w:val="40"/>
        </w:rPr>
        <w:t>, </w:t>
      </w:r>
      <w:r w:rsidRPr="00FE339A">
        <w:rPr>
          <w:rFonts w:ascii="Arial" w:hAnsi="Arial" w:cs="Arial"/>
          <w:i/>
          <w:iCs/>
          <w:szCs w:val="40"/>
        </w:rPr>
        <w:t>7</w:t>
      </w:r>
      <w:r w:rsidRPr="00FE339A">
        <w:rPr>
          <w:rFonts w:ascii="Arial" w:hAnsi="Arial" w:cs="Arial"/>
          <w:szCs w:val="40"/>
        </w:rPr>
        <w:t>(4), e35954.</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Li, H., </w:t>
      </w:r>
      <w:proofErr w:type="spellStart"/>
      <w:r w:rsidRPr="00FE339A">
        <w:rPr>
          <w:rFonts w:ascii="Arial" w:hAnsi="Arial" w:cs="Arial"/>
          <w:szCs w:val="40"/>
        </w:rPr>
        <w:t>Wyckhuys</w:t>
      </w:r>
      <w:proofErr w:type="spellEnd"/>
      <w:r w:rsidRPr="00FE339A">
        <w:rPr>
          <w:rFonts w:ascii="Arial" w:hAnsi="Arial" w:cs="Arial"/>
          <w:szCs w:val="40"/>
        </w:rPr>
        <w:t>, K. A., and Wu, K. (2023). Hoverflies provide pollination and biological pest control in greenhouse-grown horticultural crops. </w:t>
      </w:r>
      <w:r w:rsidRPr="00FE339A">
        <w:rPr>
          <w:rFonts w:ascii="Arial" w:hAnsi="Arial" w:cs="Arial"/>
          <w:i/>
          <w:iCs/>
          <w:szCs w:val="40"/>
        </w:rPr>
        <w:t>Frontiers in Plant Science</w:t>
      </w:r>
      <w:r w:rsidRPr="00FE339A">
        <w:rPr>
          <w:rFonts w:ascii="Arial" w:hAnsi="Arial" w:cs="Arial"/>
          <w:szCs w:val="40"/>
        </w:rPr>
        <w:t>, </w:t>
      </w:r>
      <w:r w:rsidRPr="00FE339A">
        <w:rPr>
          <w:rFonts w:ascii="Arial" w:hAnsi="Arial" w:cs="Arial"/>
          <w:i/>
          <w:iCs/>
          <w:szCs w:val="40"/>
        </w:rPr>
        <w:t>14</w:t>
      </w:r>
      <w:r w:rsidRPr="00FE339A">
        <w:rPr>
          <w:rFonts w:ascii="Arial" w:hAnsi="Arial" w:cs="Arial"/>
          <w:szCs w:val="40"/>
        </w:rPr>
        <w:t>, 1118388.</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Maqbool, F., Ali, M., Salman, M., Ghani, M. U., Hassan, A., Achakzai, W. M., ... and Humayun, M. (2025). Decline of Honeybee Populations and Its Consequences for Wildlife and Ecosystem Stability. </w:t>
      </w:r>
      <w:r w:rsidRPr="00FE339A">
        <w:rPr>
          <w:rFonts w:ascii="Arial" w:hAnsi="Arial" w:cs="Arial"/>
          <w:i/>
          <w:iCs/>
          <w:szCs w:val="40"/>
        </w:rPr>
        <w:t>Planta Animalia</w:t>
      </w:r>
      <w:r w:rsidRPr="00FE339A">
        <w:rPr>
          <w:rFonts w:ascii="Arial" w:hAnsi="Arial" w:cs="Arial"/>
          <w:szCs w:val="40"/>
        </w:rPr>
        <w:t>, </w:t>
      </w:r>
      <w:r w:rsidRPr="00FE339A">
        <w:rPr>
          <w:rFonts w:ascii="Arial" w:hAnsi="Arial" w:cs="Arial"/>
          <w:i/>
          <w:iCs/>
          <w:szCs w:val="40"/>
        </w:rPr>
        <w:t>4</w:t>
      </w:r>
      <w:r w:rsidRPr="00FE339A">
        <w:rPr>
          <w:rFonts w:ascii="Arial" w:hAnsi="Arial" w:cs="Arial"/>
          <w:szCs w:val="40"/>
        </w:rPr>
        <w:t>(5), 505-515.</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Medrano-Sánchez, E. J., and Cuenca-Silva, L. S. (2025). Public policies and pollinator conservation: Implications for agricultural sustainability. </w:t>
      </w:r>
      <w:r w:rsidRPr="00FE339A">
        <w:rPr>
          <w:rFonts w:ascii="Arial" w:hAnsi="Arial" w:cs="Arial"/>
          <w:i/>
          <w:iCs/>
          <w:szCs w:val="40"/>
        </w:rPr>
        <w:t>Trees, Forests and People</w:t>
      </w:r>
      <w:r w:rsidRPr="00FE339A">
        <w:rPr>
          <w:rFonts w:ascii="Arial" w:hAnsi="Arial" w:cs="Arial"/>
          <w:szCs w:val="40"/>
        </w:rPr>
        <w:t>, 100921.</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Otto, C. R., Graves, T. A., Robertson-Thompson, D., Pearse, I., Thogmartin, W. E., Murphy, C., ... and Grundel, R. (2025). US Geological Survey Pollinator Science Strategy, 2025–35 A Review and Look Forward. </w:t>
      </w:r>
      <w:r w:rsidRPr="00FE339A">
        <w:rPr>
          <w:rFonts w:ascii="Arial" w:hAnsi="Arial" w:cs="Arial"/>
          <w:i/>
          <w:iCs/>
          <w:szCs w:val="40"/>
        </w:rPr>
        <w:t>Circular</w:t>
      </w:r>
      <w:r w:rsidRPr="00FE339A">
        <w:rPr>
          <w:rFonts w:ascii="Arial" w:hAnsi="Arial" w:cs="Arial"/>
          <w:szCs w:val="40"/>
        </w:rPr>
        <w:t>, (1556).</w:t>
      </w:r>
    </w:p>
    <w:p w:rsidR="00FE339A" w:rsidRPr="00FE339A" w:rsidRDefault="00FE339A" w:rsidP="00FE339A">
      <w:pPr>
        <w:ind w:left="720" w:hanging="720"/>
        <w:jc w:val="both"/>
        <w:rPr>
          <w:rFonts w:ascii="Arial" w:hAnsi="Arial" w:cs="Arial"/>
          <w:szCs w:val="40"/>
        </w:rPr>
      </w:pPr>
      <w:r w:rsidRPr="00FE339A">
        <w:rPr>
          <w:rFonts w:ascii="Arial" w:hAnsi="Arial" w:cs="Arial"/>
          <w:szCs w:val="40"/>
        </w:rPr>
        <w:lastRenderedPageBreak/>
        <w:t>Rader, R., Bartomeus, I., Garibaldi, L. A., Garratt, M. P., Howlett, B. G., Winfree, R., ... and Woyciechowski, M. (2016). Non-bee insects are important contributors to global crop pollination. </w:t>
      </w:r>
      <w:r w:rsidRPr="00FE339A">
        <w:rPr>
          <w:rFonts w:ascii="Arial" w:hAnsi="Arial" w:cs="Arial"/>
          <w:i/>
          <w:iCs/>
          <w:szCs w:val="40"/>
        </w:rPr>
        <w:t>Proceedings of the National Academy of Sciences</w:t>
      </w:r>
      <w:r w:rsidRPr="00FE339A">
        <w:rPr>
          <w:rFonts w:ascii="Arial" w:hAnsi="Arial" w:cs="Arial"/>
          <w:szCs w:val="40"/>
        </w:rPr>
        <w:t>, </w:t>
      </w:r>
      <w:r w:rsidRPr="00FE339A">
        <w:rPr>
          <w:rFonts w:ascii="Arial" w:hAnsi="Arial" w:cs="Arial"/>
          <w:i/>
          <w:iCs/>
          <w:szCs w:val="40"/>
        </w:rPr>
        <w:t>113</w:t>
      </w:r>
      <w:r w:rsidRPr="00FE339A">
        <w:rPr>
          <w:rFonts w:ascii="Arial" w:hAnsi="Arial" w:cs="Arial"/>
          <w:szCs w:val="40"/>
        </w:rPr>
        <w:t>(1), 146-151.</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Regan, E. C., Santini, L., Ingwall</w:t>
      </w:r>
      <w:r w:rsidRPr="00FE339A">
        <w:rPr>
          <w:rFonts w:ascii="Cambria Math" w:hAnsi="Cambria Math" w:cs="Cambria Math"/>
          <w:szCs w:val="40"/>
        </w:rPr>
        <w:t>‐</w:t>
      </w:r>
      <w:r w:rsidRPr="00FE339A">
        <w:rPr>
          <w:rFonts w:ascii="Arial" w:hAnsi="Arial" w:cs="Arial"/>
          <w:szCs w:val="40"/>
        </w:rPr>
        <w:t>King, L., Hoffmann, M., Rondinini, C., Symes, A., ... and Butchart, S. H. (2015). Global trends in the status of bird and mammal pollinators. </w:t>
      </w:r>
      <w:r w:rsidRPr="00FE339A">
        <w:rPr>
          <w:rFonts w:ascii="Arial" w:hAnsi="Arial" w:cs="Arial"/>
          <w:i/>
          <w:iCs/>
          <w:szCs w:val="40"/>
        </w:rPr>
        <w:t>Conservation letters</w:t>
      </w:r>
      <w:r w:rsidRPr="00FE339A">
        <w:rPr>
          <w:rFonts w:ascii="Arial" w:hAnsi="Arial" w:cs="Arial"/>
          <w:szCs w:val="40"/>
        </w:rPr>
        <w:t>, </w:t>
      </w:r>
      <w:r w:rsidRPr="00FE339A">
        <w:rPr>
          <w:rFonts w:ascii="Arial" w:hAnsi="Arial" w:cs="Arial"/>
          <w:i/>
          <w:iCs/>
          <w:szCs w:val="40"/>
        </w:rPr>
        <w:t>8</w:t>
      </w:r>
      <w:r w:rsidRPr="00FE339A">
        <w:rPr>
          <w:rFonts w:ascii="Arial" w:hAnsi="Arial" w:cs="Arial"/>
          <w:szCs w:val="40"/>
        </w:rPr>
        <w:t>(6), 397-403.</w:t>
      </w:r>
    </w:p>
    <w:p w:rsidR="00FE339A" w:rsidRPr="00FE339A" w:rsidRDefault="00FE339A" w:rsidP="00FE339A">
      <w:pPr>
        <w:ind w:left="720" w:hanging="720"/>
        <w:jc w:val="both"/>
        <w:rPr>
          <w:rFonts w:ascii="Arial" w:hAnsi="Arial" w:cs="Arial"/>
          <w:szCs w:val="40"/>
          <w:lang w:val="de-DE"/>
        </w:rPr>
      </w:pPr>
      <w:r w:rsidRPr="00FE339A">
        <w:rPr>
          <w:rFonts w:ascii="Arial" w:hAnsi="Arial" w:cs="Arial"/>
          <w:szCs w:val="40"/>
        </w:rPr>
        <w:t>Sadafale, G. V. R., Vishnupandi, M., Sami, A., Sudalaiyandi, Y., Subal, B. K., Ashish Kamal, P., and Shukla, A. (2025). Global Decline of Pollinators: Drivers, Consequences and Mitigation Strategies. </w:t>
      </w:r>
      <w:r w:rsidRPr="00FE339A">
        <w:rPr>
          <w:rFonts w:ascii="Arial" w:hAnsi="Arial" w:cs="Arial"/>
          <w:i/>
          <w:iCs/>
          <w:szCs w:val="40"/>
        </w:rPr>
        <w:t xml:space="preserve">J. Biol. </w:t>
      </w:r>
      <w:r w:rsidRPr="00FE339A">
        <w:rPr>
          <w:rFonts w:ascii="Arial" w:hAnsi="Arial" w:cs="Arial"/>
          <w:i/>
          <w:iCs/>
          <w:szCs w:val="40"/>
          <w:lang w:val="de-DE"/>
        </w:rPr>
        <w:t>Nature</w:t>
      </w:r>
      <w:r w:rsidRPr="00FE339A">
        <w:rPr>
          <w:rFonts w:ascii="Arial" w:hAnsi="Arial" w:cs="Arial"/>
          <w:szCs w:val="40"/>
          <w:lang w:val="de-DE"/>
        </w:rPr>
        <w:t>, </w:t>
      </w:r>
      <w:r w:rsidRPr="00FE339A">
        <w:rPr>
          <w:rFonts w:ascii="Arial" w:hAnsi="Arial" w:cs="Arial"/>
          <w:i/>
          <w:iCs/>
          <w:szCs w:val="40"/>
          <w:lang w:val="de-DE"/>
        </w:rPr>
        <w:t>17</w:t>
      </w:r>
      <w:r w:rsidRPr="00FE339A">
        <w:rPr>
          <w:rFonts w:ascii="Arial" w:hAnsi="Arial" w:cs="Arial"/>
          <w:szCs w:val="40"/>
          <w:lang w:val="de-DE"/>
        </w:rPr>
        <w:t>(2), 356-379.</w:t>
      </w:r>
    </w:p>
    <w:p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Scheper, J., Holzschuh, A., Kuussaari, M., Potts, S. G., Rundlöf, M., Smith, H. G., and Kleijn, D. (2013). </w:t>
      </w:r>
      <w:r w:rsidRPr="00FE339A">
        <w:rPr>
          <w:rFonts w:ascii="Arial" w:hAnsi="Arial" w:cs="Arial"/>
          <w:szCs w:val="40"/>
        </w:rPr>
        <w:t>Environmental factors driving the effectiveness of European agri</w:t>
      </w:r>
      <w:r w:rsidRPr="00FE339A">
        <w:rPr>
          <w:rFonts w:ascii="Cambria Math" w:hAnsi="Cambria Math" w:cs="Cambria Math"/>
          <w:szCs w:val="40"/>
        </w:rPr>
        <w:t>‐</w:t>
      </w:r>
      <w:r w:rsidRPr="00FE339A">
        <w:rPr>
          <w:rFonts w:ascii="Arial" w:hAnsi="Arial" w:cs="Arial"/>
          <w:szCs w:val="40"/>
        </w:rPr>
        <w:t>environmental measures in mitigating pollinator loss–a meta</w:t>
      </w:r>
      <w:r w:rsidRPr="00FE339A">
        <w:rPr>
          <w:rFonts w:ascii="Cambria Math" w:hAnsi="Cambria Math" w:cs="Cambria Math"/>
          <w:szCs w:val="40"/>
        </w:rPr>
        <w:t>‐</w:t>
      </w:r>
      <w:r w:rsidRPr="00FE339A">
        <w:rPr>
          <w:rFonts w:ascii="Arial" w:hAnsi="Arial" w:cs="Arial"/>
          <w:szCs w:val="40"/>
        </w:rPr>
        <w:t>analysis. </w:t>
      </w:r>
      <w:r w:rsidRPr="00FE339A">
        <w:rPr>
          <w:rFonts w:ascii="Arial" w:hAnsi="Arial" w:cs="Arial"/>
          <w:i/>
          <w:iCs/>
          <w:szCs w:val="40"/>
        </w:rPr>
        <w:t>Ecology letters</w:t>
      </w:r>
      <w:r w:rsidRPr="00FE339A">
        <w:rPr>
          <w:rFonts w:ascii="Arial" w:hAnsi="Arial" w:cs="Arial"/>
          <w:szCs w:val="40"/>
        </w:rPr>
        <w:t>, </w:t>
      </w:r>
      <w:r w:rsidRPr="00FE339A">
        <w:rPr>
          <w:rFonts w:ascii="Arial" w:hAnsi="Arial" w:cs="Arial"/>
          <w:i/>
          <w:iCs/>
          <w:szCs w:val="40"/>
        </w:rPr>
        <w:t>16</w:t>
      </w:r>
      <w:r w:rsidRPr="00FE339A">
        <w:rPr>
          <w:rFonts w:ascii="Arial" w:hAnsi="Arial" w:cs="Arial"/>
          <w:szCs w:val="40"/>
        </w:rPr>
        <w:t>(7), 912-920.</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 xml:space="preserve">Sekercioglu, C. H. (2006). Increasing awareness of avian ecological function. </w:t>
      </w:r>
      <w:r w:rsidRPr="00FE339A">
        <w:rPr>
          <w:rFonts w:ascii="Arial" w:eastAsia="Arial" w:hAnsi="Arial" w:cs="Arial"/>
          <w:i/>
          <w:szCs w:val="40"/>
        </w:rPr>
        <w:t>Trends in Ecology and Evolution, 21</w:t>
      </w:r>
      <w:r w:rsidRPr="00FE339A">
        <w:rPr>
          <w:rFonts w:ascii="Arial" w:hAnsi="Arial" w:cs="Arial"/>
          <w:szCs w:val="40"/>
        </w:rPr>
        <w:t>(8), 464-471.</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Stout, J. C., and Dicks, L. V. (2022). From science to society: implementing effective strategies to improve wild pollinator health. </w:t>
      </w:r>
      <w:r w:rsidRPr="00FE339A">
        <w:rPr>
          <w:rFonts w:ascii="Arial" w:hAnsi="Arial" w:cs="Arial"/>
          <w:i/>
          <w:iCs/>
          <w:szCs w:val="40"/>
        </w:rPr>
        <w:t>Philosophical Transactions of the Royal Society B</w:t>
      </w:r>
      <w:r w:rsidRPr="00FE339A">
        <w:rPr>
          <w:rFonts w:ascii="Arial" w:hAnsi="Arial" w:cs="Arial"/>
          <w:szCs w:val="40"/>
        </w:rPr>
        <w:t>, </w:t>
      </w:r>
      <w:r w:rsidRPr="00FE339A">
        <w:rPr>
          <w:rFonts w:ascii="Arial" w:hAnsi="Arial" w:cs="Arial"/>
          <w:i/>
          <w:iCs/>
          <w:szCs w:val="40"/>
        </w:rPr>
        <w:t>377</w:t>
      </w:r>
      <w:r w:rsidRPr="00FE339A">
        <w:rPr>
          <w:rFonts w:ascii="Arial" w:hAnsi="Arial" w:cs="Arial"/>
          <w:szCs w:val="40"/>
        </w:rPr>
        <w:t>(1853), 20210165.</w:t>
      </w:r>
    </w:p>
    <w:p w:rsidR="00FE339A" w:rsidRPr="00FE339A" w:rsidRDefault="00FE339A" w:rsidP="00FE339A">
      <w:pPr>
        <w:ind w:left="720" w:hanging="720"/>
        <w:jc w:val="both"/>
        <w:rPr>
          <w:rFonts w:ascii="Arial" w:hAnsi="Arial" w:cs="Arial"/>
          <w:szCs w:val="40"/>
        </w:rPr>
      </w:pPr>
      <w:r w:rsidRPr="00FE339A">
        <w:rPr>
          <w:rFonts w:ascii="Arial" w:hAnsi="Arial" w:cs="Arial"/>
          <w:szCs w:val="40"/>
          <w:lang w:val="de-DE"/>
        </w:rPr>
        <w:t xml:space="preserve">Tremlett, C. J., Peh, K. S. H., Zamora-Gutierrez, V., and Schaafsma, M. (2021). </w:t>
      </w:r>
      <w:r w:rsidRPr="00FE339A">
        <w:rPr>
          <w:rFonts w:ascii="Arial" w:hAnsi="Arial" w:cs="Arial"/>
          <w:szCs w:val="40"/>
        </w:rPr>
        <w:t>Value and benefit distribution of pollination services provided by bats in the production of cactus fruits in central Mexico. </w:t>
      </w:r>
      <w:r w:rsidRPr="00FE339A">
        <w:rPr>
          <w:rFonts w:ascii="Arial" w:hAnsi="Arial" w:cs="Arial"/>
          <w:i/>
          <w:iCs/>
          <w:szCs w:val="40"/>
        </w:rPr>
        <w:t>Ecosystem Services</w:t>
      </w:r>
      <w:r w:rsidRPr="00FE339A">
        <w:rPr>
          <w:rFonts w:ascii="Arial" w:hAnsi="Arial" w:cs="Arial"/>
          <w:szCs w:val="40"/>
        </w:rPr>
        <w:t>, </w:t>
      </w:r>
      <w:r w:rsidRPr="00FE339A">
        <w:rPr>
          <w:rFonts w:ascii="Arial" w:hAnsi="Arial" w:cs="Arial"/>
          <w:i/>
          <w:iCs/>
          <w:szCs w:val="40"/>
        </w:rPr>
        <w:t>47</w:t>
      </w:r>
      <w:r w:rsidRPr="00FE339A">
        <w:rPr>
          <w:rFonts w:ascii="Arial" w:hAnsi="Arial" w:cs="Arial"/>
          <w:szCs w:val="40"/>
        </w:rPr>
        <w:t>, 101197.</w:t>
      </w:r>
    </w:p>
    <w:p w:rsidR="00FE339A" w:rsidRPr="00FE339A" w:rsidRDefault="00FE339A" w:rsidP="00FE339A">
      <w:pPr>
        <w:ind w:left="720" w:hanging="720"/>
        <w:jc w:val="both"/>
        <w:rPr>
          <w:rFonts w:ascii="Arial" w:hAnsi="Arial" w:cs="Arial"/>
          <w:szCs w:val="40"/>
        </w:rPr>
      </w:pPr>
      <w:r w:rsidRPr="00FE339A">
        <w:rPr>
          <w:rFonts w:ascii="Arial" w:hAnsi="Arial" w:cs="Arial"/>
          <w:szCs w:val="40"/>
        </w:rPr>
        <w:t>Walton, R. E., Sayer, C. D., Bennion, H., and Axmacher, J. C. (2020). Nocturnal pollinators strongly contribute to pollen transport of wild flowers in an agricultural landscape. </w:t>
      </w:r>
      <w:r w:rsidRPr="00FE339A">
        <w:rPr>
          <w:rFonts w:ascii="Arial" w:hAnsi="Arial" w:cs="Arial"/>
          <w:i/>
          <w:iCs/>
          <w:szCs w:val="40"/>
        </w:rPr>
        <w:t>Biology letters</w:t>
      </w:r>
      <w:r w:rsidRPr="00FE339A">
        <w:rPr>
          <w:rFonts w:ascii="Arial" w:hAnsi="Arial" w:cs="Arial"/>
          <w:szCs w:val="40"/>
        </w:rPr>
        <w:t>, </w:t>
      </w:r>
      <w:r w:rsidRPr="00FE339A">
        <w:rPr>
          <w:rFonts w:ascii="Arial" w:hAnsi="Arial" w:cs="Arial"/>
          <w:i/>
          <w:iCs/>
          <w:szCs w:val="40"/>
        </w:rPr>
        <w:t>16</w:t>
      </w:r>
      <w:r w:rsidRPr="00FE339A">
        <w:rPr>
          <w:rFonts w:ascii="Arial" w:hAnsi="Arial" w:cs="Arial"/>
          <w:szCs w:val="40"/>
        </w:rPr>
        <w:t>(5), 20190877.</w:t>
      </w:r>
    </w:p>
    <w:p w:rsidR="00FE339A" w:rsidRPr="00FE339A" w:rsidRDefault="00FE339A" w:rsidP="00441B6F">
      <w:pPr>
        <w:pStyle w:val="ReferHead"/>
        <w:spacing w:after="0"/>
        <w:jc w:val="both"/>
        <w:rPr>
          <w:rFonts w:ascii="Arial" w:hAnsi="Arial" w:cs="Arial"/>
          <w:sz w:val="18"/>
        </w:rPr>
      </w:pPr>
    </w:p>
    <w:p w:rsidR="00B01FCD" w:rsidRPr="00FB3A86" w:rsidRDefault="00B01FCD" w:rsidP="00441B6F">
      <w:pPr>
        <w:pStyle w:val="Reference"/>
        <w:numPr>
          <w:ilvl w:val="0"/>
          <w:numId w:val="0"/>
        </w:numPr>
        <w:spacing w:line="240" w:lineRule="auto"/>
        <w:rPr>
          <w:rFonts w:ascii="Arial" w:hAnsi="Arial" w:cs="Arial"/>
        </w:rPr>
      </w:pPr>
    </w:p>
    <w:p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rsidR="00B01FCD" w:rsidRPr="00FB3A86" w:rsidRDefault="00B01FCD" w:rsidP="00441B6F">
      <w:pPr>
        <w:pStyle w:val="Body"/>
        <w:spacing w:after="0"/>
        <w:rPr>
          <w:rFonts w:ascii="Arial" w:hAnsi="Arial" w:cs="Arial"/>
          <w:sz w:val="24"/>
        </w:rPr>
      </w:pPr>
      <w:r w:rsidRPr="00FB3A86">
        <w:rPr>
          <w:rFonts w:ascii="Arial" w:hAnsi="Arial" w:cs="Arial"/>
        </w:rPr>
        <w:t>Here is the Definitions section.  This is an optional section.</w:t>
      </w:r>
      <w:r w:rsidRPr="00FB3A86">
        <w:rPr>
          <w:rFonts w:ascii="Arial" w:hAnsi="Arial" w:cs="Arial"/>
          <w:sz w:val="24"/>
        </w:rPr>
        <w:t xml:space="preserve"> </w:t>
      </w:r>
    </w:p>
    <w:p w:rsidR="00B01FCD" w:rsidRDefault="00B01FCD" w:rsidP="00441B6F">
      <w:pPr>
        <w:pStyle w:val="Body"/>
        <w:spacing w:after="0"/>
        <w:rPr>
          <w:rFonts w:ascii="Arial" w:hAnsi="Arial" w:cs="Arial"/>
        </w:rPr>
      </w:pPr>
      <w:r w:rsidRPr="00FB3A86">
        <w:rPr>
          <w:rFonts w:ascii="Arial" w:hAnsi="Arial" w:cs="Arial"/>
          <w:b/>
        </w:rPr>
        <w:t>Term</w:t>
      </w:r>
      <w:r w:rsidRPr="00FB3A86">
        <w:rPr>
          <w:rFonts w:ascii="Arial" w:hAnsi="Arial" w:cs="Arial"/>
        </w:rPr>
        <w:t>: Definition for the term</w:t>
      </w:r>
    </w:p>
    <w:p w:rsidR="00790ADA" w:rsidRPr="00FB3A86" w:rsidRDefault="00790ADA" w:rsidP="00441B6F">
      <w:pPr>
        <w:pStyle w:val="Body"/>
        <w:spacing w:after="0"/>
        <w:rPr>
          <w:rFonts w:ascii="Arial" w:hAnsi="Arial" w:cs="Arial"/>
        </w:rPr>
      </w:pPr>
    </w:p>
    <w:p w:rsidR="00B01FCD" w:rsidRPr="00FB3A86" w:rsidRDefault="00B01FCD" w:rsidP="00441B6F">
      <w:pPr>
        <w:pStyle w:val="Appendix"/>
        <w:spacing w:after="0"/>
        <w:jc w:val="both"/>
        <w:rPr>
          <w:rFonts w:ascii="Arial" w:hAnsi="Arial" w:cs="Arial"/>
          <w:b w:val="0"/>
        </w:rPr>
      </w:pPr>
    </w:p>
    <w:sectPr w:rsidR="00B01FCD" w:rsidRPr="00FB3A86" w:rsidSect="000B6577">
      <w:footerReference w:type="default" r:id="rId1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831" w:rsidRDefault="00EF6831" w:rsidP="00C37E61">
      <w:r>
        <w:separator/>
      </w:r>
    </w:p>
  </w:endnote>
  <w:endnote w:type="continuationSeparator" w:id="0">
    <w:p w:rsidR="00EF6831" w:rsidRDefault="00EF683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Source Han Sans SC">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C9A" w:rsidRPr="000B6577" w:rsidRDefault="00754C9A" w:rsidP="000B65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831" w:rsidRDefault="00EF6831" w:rsidP="00C37E61">
      <w:r>
        <w:separator/>
      </w:r>
    </w:p>
  </w:footnote>
  <w:footnote w:type="continuationSeparator" w:id="0">
    <w:p w:rsidR="00EF6831" w:rsidRDefault="00EF683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296529" w:rsidP="00296529">
    <w:pPr>
      <w:ind w:left="2160"/>
      <w:jc w:val="center"/>
      <w:rPr>
        <w:rFonts w:ascii="Times New Roman" w:eastAsia="Calibri" w:hAnsi="Times New Roman"/>
        <w:i/>
        <w:sz w:val="18"/>
        <w:szCs w:val="22"/>
      </w:rPr>
    </w:pP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250A1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77435"/>
    <w:rsid w:val="0008084A"/>
    <w:rsid w:val="000A3031"/>
    <w:rsid w:val="000A47FA"/>
    <w:rsid w:val="000A65D3"/>
    <w:rsid w:val="000B1E33"/>
    <w:rsid w:val="000B5C57"/>
    <w:rsid w:val="000B6577"/>
    <w:rsid w:val="000C088F"/>
    <w:rsid w:val="000D689F"/>
    <w:rsid w:val="000E7B7B"/>
    <w:rsid w:val="000E7D62"/>
    <w:rsid w:val="00103357"/>
    <w:rsid w:val="00107024"/>
    <w:rsid w:val="00111EA1"/>
    <w:rsid w:val="001227F2"/>
    <w:rsid w:val="00123C9F"/>
    <w:rsid w:val="00126190"/>
    <w:rsid w:val="00130F17"/>
    <w:rsid w:val="001320BF"/>
    <w:rsid w:val="0014076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72FBC"/>
    <w:rsid w:val="00282105"/>
    <w:rsid w:val="00283105"/>
    <w:rsid w:val="00284C4C"/>
    <w:rsid w:val="00287E68"/>
    <w:rsid w:val="00293EB5"/>
    <w:rsid w:val="00296529"/>
    <w:rsid w:val="002B27FB"/>
    <w:rsid w:val="002B5866"/>
    <w:rsid w:val="002B685A"/>
    <w:rsid w:val="002C209F"/>
    <w:rsid w:val="002C57D2"/>
    <w:rsid w:val="002E0D56"/>
    <w:rsid w:val="00315186"/>
    <w:rsid w:val="0033343E"/>
    <w:rsid w:val="003512C2"/>
    <w:rsid w:val="003620E6"/>
    <w:rsid w:val="00371FB6"/>
    <w:rsid w:val="003763C1"/>
    <w:rsid w:val="00376BBE"/>
    <w:rsid w:val="0039224F"/>
    <w:rsid w:val="003A43A4"/>
    <w:rsid w:val="003A7E18"/>
    <w:rsid w:val="003B6701"/>
    <w:rsid w:val="003C4C86"/>
    <w:rsid w:val="003C6258"/>
    <w:rsid w:val="003E2904"/>
    <w:rsid w:val="00401927"/>
    <w:rsid w:val="0041027F"/>
    <w:rsid w:val="00412475"/>
    <w:rsid w:val="00423789"/>
    <w:rsid w:val="00440F43"/>
    <w:rsid w:val="00441B6F"/>
    <w:rsid w:val="00444D85"/>
    <w:rsid w:val="00446221"/>
    <w:rsid w:val="00450E62"/>
    <w:rsid w:val="004539DB"/>
    <w:rsid w:val="00466E17"/>
    <w:rsid w:val="00471A80"/>
    <w:rsid w:val="004D305E"/>
    <w:rsid w:val="004D4277"/>
    <w:rsid w:val="00502516"/>
    <w:rsid w:val="00505F06"/>
    <w:rsid w:val="00506828"/>
    <w:rsid w:val="0053056E"/>
    <w:rsid w:val="00554FDA"/>
    <w:rsid w:val="005664F5"/>
    <w:rsid w:val="005C784C"/>
    <w:rsid w:val="005D17F6"/>
    <w:rsid w:val="005E5539"/>
    <w:rsid w:val="00602BF5"/>
    <w:rsid w:val="00617FDD"/>
    <w:rsid w:val="00633614"/>
    <w:rsid w:val="00633F68"/>
    <w:rsid w:val="00636EB2"/>
    <w:rsid w:val="006375B8"/>
    <w:rsid w:val="0066510A"/>
    <w:rsid w:val="006718C0"/>
    <w:rsid w:val="00673F9F"/>
    <w:rsid w:val="006763A7"/>
    <w:rsid w:val="00676E97"/>
    <w:rsid w:val="00686953"/>
    <w:rsid w:val="00687DEA"/>
    <w:rsid w:val="00687E67"/>
    <w:rsid w:val="006967F7"/>
    <w:rsid w:val="006A250C"/>
    <w:rsid w:val="006B21D3"/>
    <w:rsid w:val="006B57D0"/>
    <w:rsid w:val="006D30FF"/>
    <w:rsid w:val="006D6940"/>
    <w:rsid w:val="006F11EC"/>
    <w:rsid w:val="0070082C"/>
    <w:rsid w:val="007118B4"/>
    <w:rsid w:val="007369E6"/>
    <w:rsid w:val="00746E59"/>
    <w:rsid w:val="00754C9A"/>
    <w:rsid w:val="0075599A"/>
    <w:rsid w:val="00761D52"/>
    <w:rsid w:val="0077749E"/>
    <w:rsid w:val="00790ADA"/>
    <w:rsid w:val="007B6470"/>
    <w:rsid w:val="007D2288"/>
    <w:rsid w:val="007E088F"/>
    <w:rsid w:val="007E56C8"/>
    <w:rsid w:val="007F7B32"/>
    <w:rsid w:val="00804BC2"/>
    <w:rsid w:val="00805AC9"/>
    <w:rsid w:val="0081431A"/>
    <w:rsid w:val="0083216F"/>
    <w:rsid w:val="00832F88"/>
    <w:rsid w:val="00860000"/>
    <w:rsid w:val="008626C8"/>
    <w:rsid w:val="00863BD3"/>
    <w:rsid w:val="008641ED"/>
    <w:rsid w:val="00866D66"/>
    <w:rsid w:val="008671C6"/>
    <w:rsid w:val="00875803"/>
    <w:rsid w:val="008B090B"/>
    <w:rsid w:val="008B459E"/>
    <w:rsid w:val="008E13AE"/>
    <w:rsid w:val="008E1506"/>
    <w:rsid w:val="008E710C"/>
    <w:rsid w:val="008F69D6"/>
    <w:rsid w:val="00902823"/>
    <w:rsid w:val="00915CA6"/>
    <w:rsid w:val="00927834"/>
    <w:rsid w:val="009500A6"/>
    <w:rsid w:val="00957C18"/>
    <w:rsid w:val="009659BA"/>
    <w:rsid w:val="00983040"/>
    <w:rsid w:val="009958DC"/>
    <w:rsid w:val="009B3FB9"/>
    <w:rsid w:val="009C2465"/>
    <w:rsid w:val="009D35A0"/>
    <w:rsid w:val="009D7EB7"/>
    <w:rsid w:val="009E048A"/>
    <w:rsid w:val="009E08E9"/>
    <w:rsid w:val="009E3DB9"/>
    <w:rsid w:val="009E6E35"/>
    <w:rsid w:val="009F0EDA"/>
    <w:rsid w:val="00A03B96"/>
    <w:rsid w:val="00A05B19"/>
    <w:rsid w:val="00A10842"/>
    <w:rsid w:val="00A1134E"/>
    <w:rsid w:val="00A24E7E"/>
    <w:rsid w:val="00A258C3"/>
    <w:rsid w:val="00A347C0"/>
    <w:rsid w:val="00A42252"/>
    <w:rsid w:val="00A51431"/>
    <w:rsid w:val="00A539AD"/>
    <w:rsid w:val="00A94063"/>
    <w:rsid w:val="00AA1A0B"/>
    <w:rsid w:val="00AA6219"/>
    <w:rsid w:val="00AA74E0"/>
    <w:rsid w:val="00AB703F"/>
    <w:rsid w:val="00AC6BB8"/>
    <w:rsid w:val="00AE008F"/>
    <w:rsid w:val="00B01FCD"/>
    <w:rsid w:val="00B1776C"/>
    <w:rsid w:val="00B52583"/>
    <w:rsid w:val="00B52896"/>
    <w:rsid w:val="00B52C63"/>
    <w:rsid w:val="00B66A39"/>
    <w:rsid w:val="00B713ED"/>
    <w:rsid w:val="00B95236"/>
    <w:rsid w:val="00B96BD9"/>
    <w:rsid w:val="00BA1B01"/>
    <w:rsid w:val="00BA2641"/>
    <w:rsid w:val="00BB37AA"/>
    <w:rsid w:val="00BC53A0"/>
    <w:rsid w:val="00BE62AD"/>
    <w:rsid w:val="00BF121F"/>
    <w:rsid w:val="00BF1F80"/>
    <w:rsid w:val="00C166EF"/>
    <w:rsid w:val="00C16C53"/>
    <w:rsid w:val="00C17EB0"/>
    <w:rsid w:val="00C20A94"/>
    <w:rsid w:val="00C27F5F"/>
    <w:rsid w:val="00C30A0F"/>
    <w:rsid w:val="00C37E61"/>
    <w:rsid w:val="00C50AF0"/>
    <w:rsid w:val="00C70F1B"/>
    <w:rsid w:val="00C71A47"/>
    <w:rsid w:val="00C7464C"/>
    <w:rsid w:val="00C85588"/>
    <w:rsid w:val="00CB7C86"/>
    <w:rsid w:val="00CD6755"/>
    <w:rsid w:val="00CD6856"/>
    <w:rsid w:val="00CE0089"/>
    <w:rsid w:val="00CE793C"/>
    <w:rsid w:val="00CF193C"/>
    <w:rsid w:val="00D100A8"/>
    <w:rsid w:val="00D173F1"/>
    <w:rsid w:val="00D409E9"/>
    <w:rsid w:val="00D74CB0"/>
    <w:rsid w:val="00D8295D"/>
    <w:rsid w:val="00D836BB"/>
    <w:rsid w:val="00D915D1"/>
    <w:rsid w:val="00D91EAB"/>
    <w:rsid w:val="00D94C48"/>
    <w:rsid w:val="00DC2A65"/>
    <w:rsid w:val="00DE15F0"/>
    <w:rsid w:val="00DE5663"/>
    <w:rsid w:val="00DE78AA"/>
    <w:rsid w:val="00DE7FCA"/>
    <w:rsid w:val="00E053D0"/>
    <w:rsid w:val="00E15994"/>
    <w:rsid w:val="00E3114E"/>
    <w:rsid w:val="00E31A70"/>
    <w:rsid w:val="00E35B02"/>
    <w:rsid w:val="00E415F2"/>
    <w:rsid w:val="00E66496"/>
    <w:rsid w:val="00E66B35"/>
    <w:rsid w:val="00E66E10"/>
    <w:rsid w:val="00E769F6"/>
    <w:rsid w:val="00E8407C"/>
    <w:rsid w:val="00E84F3C"/>
    <w:rsid w:val="00EA012C"/>
    <w:rsid w:val="00EB04EC"/>
    <w:rsid w:val="00EC6A55"/>
    <w:rsid w:val="00ED0288"/>
    <w:rsid w:val="00EE52CB"/>
    <w:rsid w:val="00EF0138"/>
    <w:rsid w:val="00EF581D"/>
    <w:rsid w:val="00EF6831"/>
    <w:rsid w:val="00EF7FD8"/>
    <w:rsid w:val="00F06F59"/>
    <w:rsid w:val="00F17988"/>
    <w:rsid w:val="00F469F0"/>
    <w:rsid w:val="00F53273"/>
    <w:rsid w:val="00F55C71"/>
    <w:rsid w:val="00F755E4"/>
    <w:rsid w:val="00F77D02"/>
    <w:rsid w:val="00FB3A86"/>
    <w:rsid w:val="00FD36C8"/>
    <w:rsid w:val="00FE3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26"/>
      </o:rules>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2C209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8B090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uiPriority w:val="10"/>
    <w:rsid w:val="002B5866"/>
    <w:rPr>
      <w:rFonts w:ascii="Helvetica" w:hAnsi="Helvetica"/>
      <w:b/>
      <w:kern w:val="28"/>
      <w:sz w:val="36"/>
    </w:rPr>
  </w:style>
  <w:style w:type="character" w:customStyle="1" w:styleId="Heading2Char">
    <w:name w:val="Heading 2 Char"/>
    <w:basedOn w:val="DefaultParagraphFont"/>
    <w:link w:val="Heading2"/>
    <w:semiHidden/>
    <w:rsid w:val="002C209F"/>
    <w:rPr>
      <w:rFonts w:asciiTheme="majorHAnsi" w:eastAsiaTheme="majorEastAsia" w:hAnsiTheme="majorHAnsi" w:cstheme="majorBidi"/>
      <w:color w:val="365F91" w:themeColor="accent1" w:themeShade="BF"/>
      <w:sz w:val="26"/>
      <w:szCs w:val="26"/>
    </w:rPr>
  </w:style>
  <w:style w:type="paragraph" w:styleId="ListBullet">
    <w:name w:val="List Bullet"/>
    <w:basedOn w:val="Normal"/>
    <w:uiPriority w:val="99"/>
    <w:unhideWhenUsed/>
    <w:rsid w:val="00DE7FCA"/>
    <w:pPr>
      <w:numPr>
        <w:numId w:val="31"/>
      </w:numPr>
      <w:spacing w:after="200" w:line="276" w:lineRule="auto"/>
      <w:contextualSpacing/>
    </w:pPr>
    <w:rPr>
      <w:rFonts w:ascii="Source Han Sans SC" w:eastAsiaTheme="minorEastAsia" w:hAnsi="Source Han Sans SC" w:cstheme="minorBidi"/>
      <w:sz w:val="14"/>
      <w:szCs w:val="22"/>
    </w:rPr>
  </w:style>
  <w:style w:type="paragraph" w:styleId="NormalWeb">
    <w:name w:val="Normal (Web)"/>
    <w:basedOn w:val="Normal"/>
    <w:uiPriority w:val="99"/>
    <w:unhideWhenUsed/>
    <w:rsid w:val="00077435"/>
    <w:pPr>
      <w:spacing w:before="100" w:beforeAutospacing="1" w:after="100" w:afterAutospacing="1"/>
    </w:pPr>
    <w:rPr>
      <w:rFonts w:ascii="Times New Roman" w:hAnsi="Times New Roman"/>
      <w:sz w:val="24"/>
      <w:szCs w:val="24"/>
      <w:lang w:val="en-IN" w:eastAsia="en-IN"/>
    </w:rPr>
  </w:style>
  <w:style w:type="character" w:customStyle="1" w:styleId="Heading3Char">
    <w:name w:val="Heading 3 Char"/>
    <w:basedOn w:val="DefaultParagraphFont"/>
    <w:link w:val="Heading3"/>
    <w:semiHidden/>
    <w:rsid w:val="008B090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8CCC4-BD26-4B35-B4FD-79BFC75DC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54</TotalTime>
  <Pages>8</Pages>
  <Words>4098</Words>
  <Characters>23365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27409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53</cp:revision>
  <cp:lastPrinted>1999-07-06T11:00:00Z</cp:lastPrinted>
  <dcterms:created xsi:type="dcterms:W3CDTF">2014-10-25T14:34:00Z</dcterms:created>
  <dcterms:modified xsi:type="dcterms:W3CDTF">2026-01-13T06:29:00Z</dcterms:modified>
</cp:coreProperties>
</file>