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395" w14:textId="6B3A9B81" w:rsidR="005335B0" w:rsidRDefault="005335B0" w:rsidP="005335B0">
      <w:pPr>
        <w:ind w:left="360"/>
        <w:jc w:val="center"/>
        <w:rPr>
          <w:rFonts w:ascii="Times New Roman" w:hAnsi="Times New Roman" w:cs="Times New Roman"/>
          <w:b/>
          <w:bCs/>
          <w:sz w:val="28"/>
          <w:szCs w:val="32"/>
        </w:rPr>
      </w:pPr>
      <w:r w:rsidRPr="005335B0">
        <w:rPr>
          <w:rFonts w:ascii="Times New Roman" w:hAnsi="Times New Roman" w:cs="Times New Roman"/>
          <w:b/>
          <w:bCs/>
          <w:sz w:val="28"/>
          <w:szCs w:val="32"/>
        </w:rPr>
        <w:t xml:space="preserve">"Smart </w:t>
      </w:r>
      <w:proofErr w:type="spellStart"/>
      <w:r w:rsidRPr="005335B0">
        <w:rPr>
          <w:rFonts w:ascii="Times New Roman" w:hAnsi="Times New Roman" w:cs="Times New Roman"/>
          <w:b/>
          <w:bCs/>
          <w:sz w:val="28"/>
          <w:szCs w:val="32"/>
        </w:rPr>
        <w:t>Aquasomes</w:t>
      </w:r>
      <w:proofErr w:type="spellEnd"/>
      <w:r w:rsidRPr="005335B0">
        <w:rPr>
          <w:rFonts w:ascii="Times New Roman" w:hAnsi="Times New Roman" w:cs="Times New Roman"/>
          <w:b/>
          <w:bCs/>
          <w:sz w:val="28"/>
          <w:szCs w:val="32"/>
        </w:rPr>
        <w:t>: Engineering Carbohydrate-Coated Nanoparticles for Stimuli-Responsive, Targeted, and Combination Therapies"</w:t>
      </w:r>
    </w:p>
    <w:p w14:paraId="426C9A2D" w14:textId="292334E3" w:rsidR="00695F21" w:rsidRDefault="00695F21" w:rsidP="005335B0">
      <w:pPr>
        <w:ind w:left="360"/>
        <w:jc w:val="center"/>
        <w:rPr>
          <w:rFonts w:ascii="Times New Roman" w:hAnsi="Times New Roman" w:cs="Times New Roman"/>
          <w:b/>
          <w:bCs/>
          <w:sz w:val="28"/>
          <w:szCs w:val="32"/>
        </w:rPr>
      </w:pPr>
    </w:p>
    <w:p w14:paraId="46B0C201" w14:textId="77777777" w:rsidR="00A46FDE" w:rsidRDefault="00A46FDE" w:rsidP="005335B0">
      <w:pPr>
        <w:ind w:left="360"/>
        <w:jc w:val="center"/>
        <w:rPr>
          <w:rFonts w:ascii="Times New Roman" w:hAnsi="Times New Roman" w:cs="Times New Roman"/>
          <w:b/>
          <w:bCs/>
          <w:sz w:val="28"/>
          <w:szCs w:val="32"/>
        </w:rPr>
      </w:pPr>
      <w:bookmarkStart w:id="0" w:name="_GoBack"/>
      <w:bookmarkEnd w:id="0"/>
    </w:p>
    <w:p w14:paraId="50A829E2" w14:textId="77777777" w:rsidR="005335B0" w:rsidRDefault="005335B0" w:rsidP="005335B0">
      <w:pPr>
        <w:jc w:val="both"/>
        <w:rPr>
          <w:rFonts w:ascii="Times New Roman" w:hAnsi="Times New Roman" w:cs="Times New Roman"/>
          <w:b/>
          <w:bCs/>
        </w:rPr>
      </w:pPr>
    </w:p>
    <w:p w14:paraId="17E60F13" w14:textId="3CF2FB86"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Abstract</w:t>
      </w:r>
    </w:p>
    <w:p w14:paraId="6FDD0B84"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emerging as a promising nanostructured platform for targeted drug delivery and controlled release, offering significant advantages over conventional delivery systems. Characterized by a unique core-shell architecture,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consist of a solid inorganic core, typically ceramic or metallic, enveloped by a biocompatible carbohydrate coating. This design stabilizes sensitive therapeutic agents such as proteins, peptides, and nucleic acids, protecting them from enzymatic degradation and enhancing their bioavailability. The carbohydrate shell also facilitates biocompatibility and enables functionalization for active targeting, improving specificity and reducing systemic toxicity.</w:t>
      </w:r>
    </w:p>
    <w:p w14:paraId="0E0FA8F6"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Recent advances have expanded the applications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across various biomedical fields, including anticancer and antimicrobial drug delivery, vaccine development, enzyme immobilization, biosensing, and </w:t>
      </w:r>
      <w:proofErr w:type="spellStart"/>
      <w:r w:rsidRPr="005335B0">
        <w:rPr>
          <w:rFonts w:ascii="Times New Roman" w:hAnsi="Times New Roman" w:cs="Times New Roman"/>
        </w:rPr>
        <w:t>theranostics</w:t>
      </w:r>
      <w:proofErr w:type="spellEnd"/>
      <w:r w:rsidRPr="005335B0">
        <w:rPr>
          <w:rFonts w:ascii="Times New Roman" w:hAnsi="Times New Roman" w:cs="Times New Roman"/>
        </w:rPr>
        <w:t>. Their ability to respond to physiological stimuli such as pH and temperature allows for precise control over drug release kinetics, enhancing therapeutic efficacy while minimizing side effects. Integration with other nanotechnologies, such as liposomes and dendrimers, has further broadened their multifunctionality and potential for combination therapies.</w:t>
      </w:r>
    </w:p>
    <w:p w14:paraId="09D1AF53"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Despite these advantages, challenges remain in scaling up production, ensuring reproducibility, and addressing safety and regulatory concerns. Future research focusing on biodegradable materials, personalized medicine, and artificial intelligence-driven design optimization is expected to overcome these barriers and accelerate clinical translation.</w:t>
      </w:r>
    </w:p>
    <w:p w14:paraId="44E91DAB" w14:textId="7E5FF43A"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This review provides a comprehensive overview of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structure, synthesis, mechanisms of controlled release, biomedical applications, and recent innovations, highlighting their potential to revolutionize nanomedicine and personalized therapy.</w:t>
      </w:r>
    </w:p>
    <w:p w14:paraId="3E23F4A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Keywords</w:t>
      </w:r>
    </w:p>
    <w:p w14:paraId="046D61BF"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Nanoparticles; Drug Delivery; Controlled Release; Targeted Therapy; Carbohydrate Coating; Nanomedicine; Vaccine Delivery; </w:t>
      </w:r>
      <w:proofErr w:type="spellStart"/>
      <w:r w:rsidRPr="005335B0">
        <w:rPr>
          <w:rFonts w:ascii="Times New Roman" w:hAnsi="Times New Roman" w:cs="Times New Roman"/>
        </w:rPr>
        <w:t>Theranostics</w:t>
      </w:r>
      <w:proofErr w:type="spellEnd"/>
      <w:r w:rsidRPr="005335B0">
        <w:rPr>
          <w:rFonts w:ascii="Times New Roman" w:hAnsi="Times New Roman" w:cs="Times New Roman"/>
        </w:rPr>
        <w:t>; Stimuli-Responsive Nanocarriers</w:t>
      </w:r>
    </w:p>
    <w:p w14:paraId="5129AE75" w14:textId="77777777" w:rsidR="005335B0" w:rsidRDefault="005335B0" w:rsidP="007C7729">
      <w:pPr>
        <w:jc w:val="both"/>
        <w:rPr>
          <w:rFonts w:ascii="Times New Roman" w:hAnsi="Times New Roman" w:cs="Times New Roman"/>
          <w:b/>
          <w:bCs/>
        </w:rPr>
      </w:pPr>
    </w:p>
    <w:p w14:paraId="4994517E" w14:textId="77777777" w:rsidR="005335B0" w:rsidRDefault="005335B0" w:rsidP="007C7729">
      <w:pPr>
        <w:jc w:val="both"/>
        <w:rPr>
          <w:rFonts w:ascii="Times New Roman" w:hAnsi="Times New Roman" w:cs="Times New Roman"/>
          <w:b/>
          <w:bCs/>
        </w:rPr>
      </w:pPr>
    </w:p>
    <w:p w14:paraId="7663BC67" w14:textId="77777777" w:rsidR="006D3116" w:rsidRDefault="006D3116" w:rsidP="007C7729">
      <w:pPr>
        <w:jc w:val="both"/>
        <w:rPr>
          <w:rFonts w:ascii="Times New Roman" w:hAnsi="Times New Roman" w:cs="Times New Roman"/>
          <w:b/>
          <w:bCs/>
        </w:rPr>
      </w:pPr>
    </w:p>
    <w:p w14:paraId="4596DD50" w14:textId="77777777" w:rsidR="006D3116" w:rsidRDefault="006D3116" w:rsidP="007C7729">
      <w:pPr>
        <w:jc w:val="both"/>
        <w:rPr>
          <w:rFonts w:ascii="Times New Roman" w:hAnsi="Times New Roman" w:cs="Times New Roman"/>
          <w:b/>
          <w:bCs/>
        </w:rPr>
      </w:pPr>
    </w:p>
    <w:p w14:paraId="03841D2D" w14:textId="77777777" w:rsidR="006D3116" w:rsidRDefault="006D3116" w:rsidP="007C7729">
      <w:pPr>
        <w:jc w:val="both"/>
        <w:rPr>
          <w:rFonts w:ascii="Times New Roman" w:hAnsi="Times New Roman" w:cs="Times New Roman"/>
          <w:b/>
          <w:bCs/>
        </w:rPr>
      </w:pPr>
    </w:p>
    <w:p w14:paraId="68CEE22B" w14:textId="0E78ED84" w:rsidR="007C7729" w:rsidRPr="007C7729" w:rsidRDefault="006D3116" w:rsidP="007C7729">
      <w:pPr>
        <w:jc w:val="both"/>
        <w:rPr>
          <w:rFonts w:ascii="Times New Roman" w:hAnsi="Times New Roman" w:cs="Times New Roman"/>
          <w:b/>
          <w:bCs/>
        </w:rPr>
      </w:pPr>
      <w:r>
        <w:rPr>
          <w:rFonts w:ascii="Times New Roman" w:hAnsi="Times New Roman" w:cs="Times New Roman"/>
          <w:b/>
          <w:bCs/>
        </w:rPr>
        <w:t>1.</w:t>
      </w:r>
      <w:r w:rsidR="007C7729" w:rsidRPr="007C7729">
        <w:rPr>
          <w:rFonts w:ascii="Times New Roman" w:hAnsi="Times New Roman" w:cs="Times New Roman"/>
          <w:b/>
          <w:bCs/>
        </w:rPr>
        <w:t>Introduction</w:t>
      </w:r>
    </w:p>
    <w:p w14:paraId="63C77A07" w14:textId="4E1FF24B"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Nanotechnology has revolutionized the field of drug delivery by enabling the design of nanoscale carriers that improve the therapeutic efficacy and safety of drugs. Among various nanocarriers,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have emerged as a promising platform due to their unique core-shell architecture and ability to stabilize bioactive molecules.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are self-assembled, spherical nanoparticles typically composed of a solid core</w:t>
      </w:r>
      <w:r w:rsidR="006D3116">
        <w:rPr>
          <w:rFonts w:ascii="Times New Roman" w:hAnsi="Times New Roman" w:cs="Times New Roman"/>
        </w:rPr>
        <w:t xml:space="preserve"> </w:t>
      </w:r>
      <w:r w:rsidRPr="007C7729">
        <w:rPr>
          <w:rFonts w:ascii="Times New Roman" w:hAnsi="Times New Roman" w:cs="Times New Roman"/>
        </w:rPr>
        <w:t>often ceramic or metallic</w:t>
      </w:r>
      <w:r w:rsidR="006D3116">
        <w:rPr>
          <w:rFonts w:ascii="Times New Roman" w:hAnsi="Times New Roman" w:cs="Times New Roman"/>
        </w:rPr>
        <w:t xml:space="preserve"> </w:t>
      </w:r>
      <w:r w:rsidRPr="007C7729">
        <w:rPr>
          <w:rFonts w:ascii="Times New Roman" w:hAnsi="Times New Roman" w:cs="Times New Roman"/>
        </w:rPr>
        <w:t>coated with a carbohydrate layer that facilitates the attachment and protection of proteins, peptides, and drugs [01]. This distinctive structure not only enhances the stability of sensitive therapeutic agents but also allows for controlled release and targeted delivery, addressing key challenges in modern medicine.</w:t>
      </w:r>
    </w:p>
    <w:p w14:paraId="76A13E00"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concept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was first introduced in the late 20</w:t>
      </w:r>
      <w:r w:rsidRPr="007C7729">
        <w:rPr>
          <w:rFonts w:ascii="Times New Roman" w:hAnsi="Times New Roman" w:cs="Times New Roman"/>
          <w:vertAlign w:val="superscript"/>
        </w:rPr>
        <w:t>th</w:t>
      </w:r>
      <w:r w:rsidRPr="007C7729">
        <w:rPr>
          <w:rFonts w:ascii="Times New Roman" w:hAnsi="Times New Roman" w:cs="Times New Roman"/>
        </w:rPr>
        <w:t xml:space="preserve"> century as a means to improve the delivery and efficacy of protein-based drugs, which are often prone to degradation in physiological environments [02]. Since then, extensive research has expanded their applications to include vaccine delivery, enzyme immobilization, and diagnostic tools. The carbohydrate coating on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plays a critical role in mimicking biological surfaces, thereby improving biocompatibility and reducing immunogenicity [03]. Moreover, the ability to modify the surface chemistry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enables active targeting to specific tissues or cells, enhancing therapeutic outcomes while minimizing side effects.</w:t>
      </w:r>
    </w:p>
    <w:p w14:paraId="22D46F93"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Controlled release and targeted therapy are pivotal in achieving optimal drug concentrations at the site of action over extended periods, reducing dosing frequency and improving patient compliance.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offer a versatile platform to meet these demands by protecting the drug payload and releasing it in response to specific physiological triggers [04]. This review aims to provide a comprehensive overview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focusing on their structure, preparation methods, mechanisms of controlled release, and applications in targeted therapy. Additionally, recent advances and future perspectives in </w:t>
      </w:r>
      <w:proofErr w:type="spellStart"/>
      <w:r w:rsidRPr="007C7729">
        <w:rPr>
          <w:rFonts w:ascii="Times New Roman" w:hAnsi="Times New Roman" w:cs="Times New Roman"/>
        </w:rPr>
        <w:t>aquasome</w:t>
      </w:r>
      <w:proofErr w:type="spellEnd"/>
      <w:r w:rsidRPr="007C7729">
        <w:rPr>
          <w:rFonts w:ascii="Times New Roman" w:hAnsi="Times New Roman" w:cs="Times New Roman"/>
        </w:rPr>
        <w:t xml:space="preserve"> research will be discussed to highlight their potential in advancing nanomedicine.</w:t>
      </w:r>
    </w:p>
    <w:p w14:paraId="108FE56A"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 xml:space="preserve">2. Structure and Composition of </w:t>
      </w:r>
      <w:proofErr w:type="spellStart"/>
      <w:r w:rsidRPr="007C7729">
        <w:rPr>
          <w:rFonts w:ascii="Times New Roman" w:hAnsi="Times New Roman" w:cs="Times New Roman"/>
          <w:b/>
          <w:bCs/>
        </w:rPr>
        <w:t>Aquasomes</w:t>
      </w:r>
      <w:proofErr w:type="spellEnd"/>
    </w:p>
    <w:p w14:paraId="7B60DB49" w14:textId="77777777" w:rsidR="007C7729" w:rsidRPr="007C7729" w:rsidRDefault="007C7729" w:rsidP="007C7729">
      <w:pPr>
        <w:jc w:val="both"/>
        <w:rPr>
          <w:rFonts w:ascii="Times New Roman" w:hAnsi="Times New Roman" w:cs="Times New Roman"/>
        </w:rPr>
      </w:pP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are characterized by their distinctive core-shell nanostructure, which plays a crucial role in their function as drug delivery vehicles. The core typically consists of inorganic materials such as ceramic compounds (e.g., calcium phosphate, silica) or metals (e.g., gold, iron oxide), chosen for their biocompatibility, stability, and ability to provide a rigid scaffold [5]. This solid core imparts mechanical strength and controls the overall size and shape of the nanoparticle, which generally ranges from 60 to 300 nanometers in diameter.</w:t>
      </w:r>
    </w:p>
    <w:p w14:paraId="4DC9802C"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lastRenderedPageBreak/>
        <w:t xml:space="preserve">Surrounding the core is a carefully engineered carbohydrate coating, often composed of molecules like </w:t>
      </w:r>
      <w:proofErr w:type="spellStart"/>
      <w:r w:rsidRPr="007C7729">
        <w:rPr>
          <w:rFonts w:ascii="Times New Roman" w:hAnsi="Times New Roman" w:cs="Times New Roman"/>
        </w:rPr>
        <w:t>trehalose</w:t>
      </w:r>
      <w:proofErr w:type="spellEnd"/>
      <w:r w:rsidRPr="007C7729">
        <w:rPr>
          <w:rFonts w:ascii="Times New Roman" w:hAnsi="Times New Roman" w:cs="Times New Roman"/>
        </w:rPr>
        <w:t>, glucose, or mannose derivatives. This carbohydrate layer serves multiple purposes: it stabilizes the therapeutic agents by preventing denaturation, enhances biocompatibility by mimicking natural cell surfaces, and facilitates specific interactions with biological receptors for targeted delivery [6]. The carbohydrate shell also protects the payload from enzymatic degradation and harsh physiological conditions, thereby improving the bioavailability of sensitive proteins and peptides.</w:t>
      </w:r>
    </w:p>
    <w:p w14:paraId="4646ED2E"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self-assembly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occurs through non-covalent interactions such as hydrogen bonding and van der Waals forces between the core and the carbohydrate molecules. This process results in a uniform and stable nanostructure capable of efficiently loading and releasing drugs in a controlled manner [7]. The physicochemical properties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including particle size, surface charge (zeta potential), and hydrophilicity, can be tailored by modifying the core material or the carbohydrate coating, allowing for optimization based on the intended therapeutic application [8].</w:t>
      </w:r>
    </w:p>
    <w:p w14:paraId="2A05C558"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Understanding the structure-function relationship in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is essential for designing effective drug delivery systems. For instance, the choice of core material influences not only the mechanical stability but also the interaction with external stimuli such as pH or temperature, which can be exploited for triggered drug release [9]. Similarly, the carbohydrate coating can be functionalized with ligands or antibodies to achieve active targeting, enhancing the specificity and efficacy of the therapeutic agent [10].</w:t>
      </w:r>
    </w:p>
    <w:p w14:paraId="318A442C"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Core Materials and Their Properties</w:t>
      </w:r>
    </w:p>
    <w:p w14:paraId="2066090E"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core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serves as the foundational scaffold that determines the nanoparticle’s size, shape, and mechanical stability. Commonly used core materials include ceramics such as calcium phosphate and silica, as well as metals like gold and iron oxide. Ceramic cores are favored for their biocompatibility, chemical inertness, and ability to mimic the mineral components of bone, making them suitable for biomedical applications [5]. Metallic cores, on the other hand, offer unique optical and magnetic properties that can be exploited for imaging and targeted therapy [11]. The choice of core material directly influences the physicochemical behavior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including their stability under physiological conditions and responsiveness to external stimuli.</w:t>
      </w:r>
    </w:p>
    <w:p w14:paraId="057612FD"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Carbohydrate Coating: Types, Functions, and Significance</w:t>
      </w:r>
    </w:p>
    <w:p w14:paraId="1DC33088"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Encasing the core is a carbohydrate-based shell, which is critical for the functional performance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Common carbohydrates used include </w:t>
      </w:r>
      <w:proofErr w:type="spellStart"/>
      <w:r w:rsidRPr="007C7729">
        <w:rPr>
          <w:rFonts w:ascii="Times New Roman" w:hAnsi="Times New Roman" w:cs="Times New Roman"/>
        </w:rPr>
        <w:t>trehalose</w:t>
      </w:r>
      <w:proofErr w:type="spellEnd"/>
      <w:r w:rsidRPr="007C7729">
        <w:rPr>
          <w:rFonts w:ascii="Times New Roman" w:hAnsi="Times New Roman" w:cs="Times New Roman"/>
        </w:rPr>
        <w:t xml:space="preserve">, glucose, mannose, and other polysaccharides that provide a hydrophilic surface [6]. This coating stabilizes the therapeutic molecules by forming a protective layer that prevents denaturation and enzymatic degradation. Additionally, the carbohydrate shell enhances biocompatibility by mimicking the glycosylated surfaces of cells, reducing immunogenicity and improving circulation time in vivo [12]. The </w:t>
      </w:r>
      <w:r w:rsidRPr="007C7729">
        <w:rPr>
          <w:rFonts w:ascii="Times New Roman" w:hAnsi="Times New Roman" w:cs="Times New Roman"/>
        </w:rPr>
        <w:lastRenderedPageBreak/>
        <w:t>carbohydrate layer also facilitates specific interactions with cell surface receptors, enabling targeted delivery to particular tissues or cell types.</w:t>
      </w:r>
    </w:p>
    <w:p w14:paraId="642982DB"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Self-Assembly Process and Resulting Nanostructure</w:t>
      </w:r>
    </w:p>
    <w:p w14:paraId="278E0744" w14:textId="77777777" w:rsidR="007C7729" w:rsidRPr="007C7729" w:rsidRDefault="007C7729" w:rsidP="007C7729">
      <w:pPr>
        <w:jc w:val="both"/>
        <w:rPr>
          <w:rFonts w:ascii="Times New Roman" w:hAnsi="Times New Roman" w:cs="Times New Roman"/>
        </w:rPr>
      </w:pP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are formed through a self-assembly process driven primarily by non-covalent interactions such as hydrogen bonding, electrostatic forces, and van der Waals interactions between the core and carbohydrate molecules [7]. This process results in a uniform, spherical nanostructure with a well-defined core-shell architecture. The self-assembly is typically carried out under controlled conditions of pH, temperature, and ionic strength to ensure reproducibility and stability of the nanoparticles. The resulting nanostructure provides a high surface area for drug loading and allows for the incorporation of various therapeutic agents without compromising their biological activity.</w:t>
      </w:r>
    </w:p>
    <w:p w14:paraId="0EB99146"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Physicochemical Characteristics</w:t>
      </w:r>
    </w:p>
    <w:p w14:paraId="71DD7ECA" w14:textId="77777777" w:rsidR="00DD3651" w:rsidRDefault="007C7729" w:rsidP="00DD3651">
      <w:pPr>
        <w:jc w:val="both"/>
        <w:rPr>
          <w:rFonts w:ascii="Times New Roman" w:eastAsia="Times New Roman" w:hAnsi="Times New Roman" w:cs="Times New Roman"/>
          <w:kern w:val="0"/>
          <w:szCs w:val="24"/>
          <w:lang w:bidi="ar-SA"/>
          <w14:ligatures w14:val="none"/>
        </w:rPr>
      </w:pPr>
      <w:r w:rsidRPr="007C7729">
        <w:rPr>
          <w:rFonts w:ascii="Times New Roman" w:hAnsi="Times New Roman" w:cs="Times New Roman"/>
        </w:rPr>
        <w:t xml:space="preserve">The physicochemical properties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including particle size, surface charge (zeta potential), and stability, are crucial determinants of their biological performance. Typically,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range from 60 to 300 nm in diameter, a size range that facilitates efficient cellular uptake and avoids rapid clearance by the reticuloendothelial system [8]. The surface charge, influenced by the carbohydrate coating, affects the interaction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with biological membranes and proteins; a slightly negative or neutral zeta potential is often preferred to minimize nonspecific interactions and toxicity [13]. Stability studies have shown that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maintain their structural integrity under physiological conditions, which is essential for controlled drug release and targeted delivery [14].</w:t>
      </w:r>
      <w:r w:rsidR="00DD3651" w:rsidRPr="00DD3651">
        <w:rPr>
          <w:rFonts w:ascii="Times New Roman" w:eastAsia="Times New Roman" w:hAnsi="Times New Roman" w:cs="Times New Roman"/>
          <w:kern w:val="0"/>
          <w:szCs w:val="24"/>
          <w:lang w:bidi="ar-SA"/>
          <w14:ligatures w14:val="none"/>
        </w:rPr>
        <w:t xml:space="preserve"> </w:t>
      </w:r>
    </w:p>
    <w:p w14:paraId="1E749002" w14:textId="610AAEB7" w:rsidR="00DD3651" w:rsidRPr="00DD3651" w:rsidRDefault="00DD3651" w:rsidP="00DD3651">
      <w:pPr>
        <w:jc w:val="both"/>
        <w:rPr>
          <w:rFonts w:cs="Times New Roman"/>
        </w:rPr>
      </w:pPr>
      <w:r w:rsidRPr="00DD3651">
        <w:rPr>
          <w:rFonts w:cs="Times New Roman"/>
          <w:noProof/>
        </w:rPr>
        <w:lastRenderedPageBreak/>
        <w:drawing>
          <wp:inline distT="0" distB="0" distL="0" distR="0" wp14:anchorId="3B32946B" wp14:editId="78FB316A">
            <wp:extent cx="5608320" cy="4351020"/>
            <wp:effectExtent l="0" t="0" r="0" b="0"/>
            <wp:docPr id="2074813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4351020"/>
                    </a:xfrm>
                    <a:prstGeom prst="rect">
                      <a:avLst/>
                    </a:prstGeom>
                    <a:noFill/>
                    <a:ln>
                      <a:noFill/>
                    </a:ln>
                  </pic:spPr>
                </pic:pic>
              </a:graphicData>
            </a:graphic>
          </wp:inline>
        </w:drawing>
      </w:r>
    </w:p>
    <w:p w14:paraId="0006EE8B" w14:textId="1C255524" w:rsidR="007C7729" w:rsidRPr="007C7729" w:rsidRDefault="001B657A" w:rsidP="001B657A">
      <w:pPr>
        <w:jc w:val="center"/>
        <w:rPr>
          <w:rFonts w:ascii="Times New Roman" w:hAnsi="Times New Roman" w:cs="Times New Roman"/>
        </w:rPr>
      </w:pPr>
      <w:r>
        <w:rPr>
          <w:rFonts w:ascii="Times New Roman" w:hAnsi="Times New Roman" w:cs="Times New Roman"/>
        </w:rPr>
        <w:t xml:space="preserve">Fig No 01 – Structure and Composition of </w:t>
      </w:r>
      <w:proofErr w:type="spellStart"/>
      <w:r>
        <w:rPr>
          <w:rFonts w:ascii="Times New Roman" w:hAnsi="Times New Roman" w:cs="Times New Roman"/>
        </w:rPr>
        <w:t>Aquasomes</w:t>
      </w:r>
      <w:proofErr w:type="spellEnd"/>
    </w:p>
    <w:p w14:paraId="71E1F5FD"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3. Preparation and Characterization Techniques</w:t>
      </w:r>
    </w:p>
    <w:p w14:paraId="04A6D709"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Preparation Methods</w:t>
      </w:r>
    </w:p>
    <w:p w14:paraId="0F942BF2"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The synthesis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involves a multi-step process designed to create a stable core-shell nanostructure capable of efficient drug loading and delivery. The core is typically prepared first using methods such as sol-gel processing, precipitation, or hydrothermal synthesis, depending on the material chosen. For ceramic cores like calcium phosphate or silica, the sol-gel method is widely used due to its ability to produce uniform particles with controlled size and porosity [15]. Metallic cores, such as gold or iron oxide nanoparticles, are often synthesized via chemical reduction or thermal decomposition techniques, which allow precise control over particle morphology and surface properties [16].</w:t>
      </w:r>
    </w:p>
    <w:p w14:paraId="426694D1"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Once the core particles are synthesized, they are coated with a carbohydrate layer through adsorption or covalent attachment. The carbohydrate coating is usually applied by incubating the core particles in a solution containing the desired sugar molecules under controlled pH and temperature conditions to promote self-assembly [17]. This step is critical for ensuring the stability of the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and their ability to protect and carry therapeutic agents.</w:t>
      </w:r>
    </w:p>
    <w:p w14:paraId="7467EEB7"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lastRenderedPageBreak/>
        <w:t>Surface Modification and Functionalization</w:t>
      </w:r>
    </w:p>
    <w:p w14:paraId="523DC5AF"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To enhance targeting capabilities and improve biocompatibility, the surface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can be further modified with ligands, antibodies, or polyethylene glycol (PEG) chains. Functionalization techniques include carbodiimide chemistry for covalent attachment of targeting moieties or physical adsorption for simpler surface modifications [18]. These modifications enable active targeting of specific cells or tissues, improving therapeutic efficacy and reducing off-target effects.</w:t>
      </w:r>
    </w:p>
    <w:p w14:paraId="26D5B74C"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Characterization Techniques</w:t>
      </w:r>
    </w:p>
    <w:p w14:paraId="6FE5A796"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Comprehensive characterization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is essential to confirm their size, morphology, surface chemistry, and drug loading efficiency. Common techniques include:</w:t>
      </w:r>
    </w:p>
    <w:p w14:paraId="585B228C"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Scanning Electron Microscopy (SEM)</w:t>
      </w:r>
      <w:r w:rsidRPr="007C7729">
        <w:rPr>
          <w:rFonts w:ascii="Times New Roman" w:hAnsi="Times New Roman" w:cs="Times New Roman"/>
        </w:rPr>
        <w:t> and </w:t>
      </w:r>
      <w:r w:rsidRPr="007C7729">
        <w:rPr>
          <w:rFonts w:ascii="Times New Roman" w:hAnsi="Times New Roman" w:cs="Times New Roman"/>
          <w:b/>
          <w:bCs/>
        </w:rPr>
        <w:t>Transmission Electron Microscopy (TEM)</w:t>
      </w:r>
      <w:r w:rsidRPr="007C7729">
        <w:rPr>
          <w:rFonts w:ascii="Times New Roman" w:hAnsi="Times New Roman" w:cs="Times New Roman"/>
        </w:rPr>
        <w:t>: These provide detailed images of the nanoparticle morphology and core-shell structure, confirming uniformity and size distribution [19].</w:t>
      </w:r>
    </w:p>
    <w:p w14:paraId="3B4934D8"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Dynamic Light Scattering (DLS)</w:t>
      </w:r>
      <w:r w:rsidRPr="007C7729">
        <w:rPr>
          <w:rFonts w:ascii="Times New Roman" w:hAnsi="Times New Roman" w:cs="Times New Roman"/>
        </w:rPr>
        <w:t>: Used to measure the hydrodynamic diameter and polydispersity index, providing information on particle size distribution in suspension [20].</w:t>
      </w:r>
    </w:p>
    <w:p w14:paraId="027D1019"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Zeta Potential Analysis</w:t>
      </w:r>
      <w:r w:rsidRPr="007C7729">
        <w:rPr>
          <w:rFonts w:ascii="Times New Roman" w:hAnsi="Times New Roman" w:cs="Times New Roman"/>
        </w:rPr>
        <w:t xml:space="preserve">: Determines the surface charge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which influences stability and interaction with biological membranes [21].</w:t>
      </w:r>
    </w:p>
    <w:p w14:paraId="12DF4974"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Fourier Transform Infrared Spectroscopy (FTIR)</w:t>
      </w:r>
      <w:r w:rsidRPr="007C7729">
        <w:rPr>
          <w:rFonts w:ascii="Times New Roman" w:hAnsi="Times New Roman" w:cs="Times New Roman"/>
        </w:rPr>
        <w:t>: Confirms the presence of carbohydrate coatings and functional groups on the nanoparticle surface [22].</w:t>
      </w:r>
    </w:p>
    <w:p w14:paraId="1B11ADBA" w14:textId="77777777" w:rsidR="007C7729" w:rsidRP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Thermogravimetric Analysis (TGA)</w:t>
      </w:r>
      <w:r w:rsidRPr="007C7729">
        <w:rPr>
          <w:rFonts w:ascii="Times New Roman" w:hAnsi="Times New Roman" w:cs="Times New Roman"/>
        </w:rPr>
        <w:t>: Assesses the amount of carbohydrate coating and thermal stability of the nanoparticles [23].</w:t>
      </w:r>
    </w:p>
    <w:p w14:paraId="10428719" w14:textId="77777777" w:rsidR="007C7729" w:rsidRDefault="007C7729" w:rsidP="007C7729">
      <w:pPr>
        <w:numPr>
          <w:ilvl w:val="0"/>
          <w:numId w:val="4"/>
        </w:numPr>
        <w:jc w:val="both"/>
        <w:rPr>
          <w:rFonts w:ascii="Times New Roman" w:hAnsi="Times New Roman" w:cs="Times New Roman"/>
        </w:rPr>
      </w:pPr>
      <w:r w:rsidRPr="007C7729">
        <w:rPr>
          <w:rFonts w:ascii="Times New Roman" w:hAnsi="Times New Roman" w:cs="Times New Roman"/>
          <w:b/>
          <w:bCs/>
        </w:rPr>
        <w:t>Drug Loading and Release Studies</w:t>
      </w:r>
      <w:r w:rsidRPr="007C7729">
        <w:rPr>
          <w:rFonts w:ascii="Times New Roman" w:hAnsi="Times New Roman" w:cs="Times New Roman"/>
        </w:rPr>
        <w:t xml:space="preserve">: Quantify the amount of drug loaded onto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and evaluate release profiles under various physiological conditions, often using UV-Vis spectroscopy or high-performance liquid chromatography (HPLC) [24].</w:t>
      </w:r>
    </w:p>
    <w:p w14:paraId="2BA77E42" w14:textId="748C6EDF" w:rsidR="00DD3651" w:rsidRPr="00DD3651" w:rsidRDefault="00DD3651" w:rsidP="00DD3651">
      <w:pPr>
        <w:spacing w:before="100" w:beforeAutospacing="1" w:after="100" w:afterAutospacing="1" w:line="240" w:lineRule="auto"/>
        <w:rPr>
          <w:rFonts w:ascii="Times New Roman" w:eastAsia="Times New Roman" w:hAnsi="Times New Roman" w:cs="Times New Roman"/>
          <w:kern w:val="0"/>
          <w:szCs w:val="24"/>
          <w:lang w:bidi="ar-SA"/>
          <w14:ligatures w14:val="none"/>
        </w:rPr>
      </w:pPr>
      <w:r w:rsidRPr="00DD3651">
        <w:rPr>
          <w:noProof/>
          <w:lang w:bidi="ar-SA"/>
        </w:rPr>
        <w:lastRenderedPageBreak/>
        <w:drawing>
          <wp:inline distT="0" distB="0" distL="0" distR="0" wp14:anchorId="50A6D789" wp14:editId="4A2ED0EB">
            <wp:extent cx="6271260" cy="4876800"/>
            <wp:effectExtent l="19050" t="19050" r="15240" b="19050"/>
            <wp:docPr id="581486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260" cy="48768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79AA9BB1" w14:textId="60AF0CC2" w:rsidR="00DD3651" w:rsidRPr="007C7729" w:rsidRDefault="001B657A" w:rsidP="001B657A">
      <w:pPr>
        <w:ind w:left="720"/>
        <w:jc w:val="center"/>
        <w:rPr>
          <w:rFonts w:ascii="Times New Roman" w:hAnsi="Times New Roman" w:cs="Times New Roman"/>
        </w:rPr>
      </w:pPr>
      <w:r>
        <w:rPr>
          <w:rFonts w:ascii="Times New Roman" w:hAnsi="Times New Roman" w:cs="Times New Roman"/>
        </w:rPr>
        <w:t>Fig No 02 – Preparation and Characterization Techniques</w:t>
      </w:r>
    </w:p>
    <w:p w14:paraId="63458B58" w14:textId="77777777" w:rsidR="007C7729" w:rsidRPr="007C7729" w:rsidRDefault="007C7729" w:rsidP="007C7729">
      <w:pPr>
        <w:jc w:val="both"/>
        <w:rPr>
          <w:rFonts w:ascii="Times New Roman" w:hAnsi="Times New Roman" w:cs="Times New Roman"/>
          <w:b/>
          <w:bCs/>
        </w:rPr>
      </w:pPr>
      <w:r w:rsidRPr="007C7729">
        <w:rPr>
          <w:rFonts w:ascii="Times New Roman" w:hAnsi="Times New Roman" w:cs="Times New Roman"/>
          <w:b/>
          <w:bCs/>
        </w:rPr>
        <w:t>Factors Affecting Preparation and Stability</w:t>
      </w:r>
    </w:p>
    <w:p w14:paraId="7DFF90D2" w14:textId="77777777" w:rsidR="007C7729" w:rsidRPr="007C7729" w:rsidRDefault="007C7729" w:rsidP="007C7729">
      <w:pPr>
        <w:jc w:val="both"/>
        <w:rPr>
          <w:rFonts w:ascii="Times New Roman" w:hAnsi="Times New Roman" w:cs="Times New Roman"/>
        </w:rPr>
      </w:pPr>
      <w:r w:rsidRPr="007C7729">
        <w:rPr>
          <w:rFonts w:ascii="Times New Roman" w:hAnsi="Times New Roman" w:cs="Times New Roman"/>
        </w:rPr>
        <w:t xml:space="preserve">Several parameters influence the quality and performance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xml:space="preserve">, including pH, temperature, ionic strength during synthesis, and the ratio of core to carbohydrate coating. Optimizing these factors is crucial to achieving nanoparticles with desired size, stability, and drug loading capacity [25]. Additionally, storage conditions such as temperature and medium composition affect the long-term stability of </w:t>
      </w:r>
      <w:proofErr w:type="spellStart"/>
      <w:r w:rsidRPr="007C7729">
        <w:rPr>
          <w:rFonts w:ascii="Times New Roman" w:hAnsi="Times New Roman" w:cs="Times New Roman"/>
        </w:rPr>
        <w:t>aquasomes</w:t>
      </w:r>
      <w:proofErr w:type="spellEnd"/>
      <w:r w:rsidRPr="007C7729">
        <w:rPr>
          <w:rFonts w:ascii="Times New Roman" w:hAnsi="Times New Roman" w:cs="Times New Roman"/>
        </w:rPr>
        <w:t>, which is vital for their practical application.</w:t>
      </w:r>
    </w:p>
    <w:tbl>
      <w:tblPr>
        <w:tblStyle w:val="TableGrid"/>
        <w:tblW w:w="10009" w:type="dxa"/>
        <w:tblLook w:val="04A0" w:firstRow="1" w:lastRow="0" w:firstColumn="1" w:lastColumn="0" w:noHBand="0" w:noVBand="1"/>
      </w:tblPr>
      <w:tblGrid>
        <w:gridCol w:w="1563"/>
        <w:gridCol w:w="2662"/>
        <w:gridCol w:w="1890"/>
        <w:gridCol w:w="2563"/>
        <w:gridCol w:w="1331"/>
      </w:tblGrid>
      <w:tr w:rsidR="005335B0" w:rsidRPr="005335B0" w14:paraId="2740F39C" w14:textId="77777777" w:rsidTr="005335B0">
        <w:tc>
          <w:tcPr>
            <w:tcW w:w="0" w:type="auto"/>
            <w:noWrap/>
            <w:hideMark/>
          </w:tcPr>
          <w:p w14:paraId="3947FE70"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Technique</w:t>
            </w:r>
          </w:p>
        </w:tc>
        <w:tc>
          <w:tcPr>
            <w:tcW w:w="2662" w:type="dxa"/>
            <w:noWrap/>
            <w:hideMark/>
          </w:tcPr>
          <w:p w14:paraId="19F8D4D3"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Method/Principle</w:t>
            </w:r>
          </w:p>
        </w:tc>
        <w:tc>
          <w:tcPr>
            <w:tcW w:w="1890" w:type="dxa"/>
            <w:noWrap/>
            <w:hideMark/>
          </w:tcPr>
          <w:p w14:paraId="7A0956B9"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Purpose</w:t>
            </w:r>
          </w:p>
        </w:tc>
        <w:tc>
          <w:tcPr>
            <w:tcW w:w="2563" w:type="dxa"/>
            <w:noWrap/>
            <w:hideMark/>
          </w:tcPr>
          <w:p w14:paraId="535100A0"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Typical Outcomes/Information Obtained</w:t>
            </w:r>
          </w:p>
        </w:tc>
        <w:tc>
          <w:tcPr>
            <w:tcW w:w="1331" w:type="dxa"/>
            <w:noWrap/>
            <w:hideMark/>
          </w:tcPr>
          <w:p w14:paraId="6591D90F" w14:textId="77777777" w:rsidR="005335B0" w:rsidRPr="005335B0" w:rsidRDefault="005335B0" w:rsidP="005335B0">
            <w:pPr>
              <w:spacing w:after="160" w:line="278" w:lineRule="auto"/>
              <w:jc w:val="both"/>
              <w:rPr>
                <w:rFonts w:ascii="Times New Roman" w:hAnsi="Times New Roman" w:cs="Times New Roman"/>
                <w:b/>
                <w:bCs/>
              </w:rPr>
            </w:pPr>
            <w:r w:rsidRPr="005335B0">
              <w:rPr>
                <w:rFonts w:ascii="Times New Roman" w:hAnsi="Times New Roman" w:cs="Times New Roman"/>
                <w:b/>
                <w:bCs/>
              </w:rPr>
              <w:t>References</w:t>
            </w:r>
          </w:p>
        </w:tc>
      </w:tr>
      <w:tr w:rsidR="005335B0" w:rsidRPr="005335B0" w14:paraId="138424F0" w14:textId="77777777" w:rsidTr="005335B0">
        <w:tc>
          <w:tcPr>
            <w:tcW w:w="0" w:type="auto"/>
            <w:hideMark/>
          </w:tcPr>
          <w:p w14:paraId="60A9BEBA"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lastRenderedPageBreak/>
              <w:t>Sol-gel method</w:t>
            </w:r>
          </w:p>
        </w:tc>
        <w:tc>
          <w:tcPr>
            <w:tcW w:w="2662" w:type="dxa"/>
            <w:hideMark/>
          </w:tcPr>
          <w:p w14:paraId="6B06DF1A"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Hydrolysis and condensation of metal alkoxides to form ceramic nanoparticles</w:t>
            </w:r>
          </w:p>
        </w:tc>
        <w:tc>
          <w:tcPr>
            <w:tcW w:w="1890" w:type="dxa"/>
            <w:hideMark/>
          </w:tcPr>
          <w:p w14:paraId="01A9DA1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Synthesis of uniform ceramic cores (e.g., silica)</w:t>
            </w:r>
          </w:p>
        </w:tc>
        <w:tc>
          <w:tcPr>
            <w:tcW w:w="2563" w:type="dxa"/>
            <w:hideMark/>
          </w:tcPr>
          <w:p w14:paraId="6C215323"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Controlled particle size, porosity, and morphology</w:t>
            </w:r>
          </w:p>
        </w:tc>
        <w:tc>
          <w:tcPr>
            <w:tcW w:w="1331" w:type="dxa"/>
            <w:hideMark/>
          </w:tcPr>
          <w:p w14:paraId="557F664B"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r w:rsidR="005335B0" w:rsidRPr="005335B0" w14:paraId="24ADDADE" w14:textId="77777777" w:rsidTr="005335B0">
        <w:tc>
          <w:tcPr>
            <w:tcW w:w="0" w:type="auto"/>
            <w:hideMark/>
          </w:tcPr>
          <w:p w14:paraId="4F89CEEC"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Chemical reduction</w:t>
            </w:r>
          </w:p>
        </w:tc>
        <w:tc>
          <w:tcPr>
            <w:tcW w:w="2662" w:type="dxa"/>
            <w:hideMark/>
          </w:tcPr>
          <w:p w14:paraId="74D4155D"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Reduction of metal salts to form metallic nanoparticles (e.g., gold, iron oxide)</w:t>
            </w:r>
          </w:p>
        </w:tc>
        <w:tc>
          <w:tcPr>
            <w:tcW w:w="1890" w:type="dxa"/>
            <w:hideMark/>
          </w:tcPr>
          <w:p w14:paraId="074484A1"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Synthesis of metallic cores</w:t>
            </w:r>
          </w:p>
        </w:tc>
        <w:tc>
          <w:tcPr>
            <w:tcW w:w="2563" w:type="dxa"/>
            <w:hideMark/>
          </w:tcPr>
          <w:p w14:paraId="6AA0C111"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Particle size control, shape, and surface properties</w:t>
            </w:r>
          </w:p>
        </w:tc>
        <w:tc>
          <w:tcPr>
            <w:tcW w:w="1331" w:type="dxa"/>
            <w:hideMark/>
          </w:tcPr>
          <w:p w14:paraId="341BAC4D"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[16]</w:t>
            </w:r>
          </w:p>
        </w:tc>
      </w:tr>
      <w:tr w:rsidR="005335B0" w:rsidRPr="005335B0" w14:paraId="525D595D" w14:textId="77777777" w:rsidTr="005335B0">
        <w:tc>
          <w:tcPr>
            <w:tcW w:w="0" w:type="auto"/>
            <w:hideMark/>
          </w:tcPr>
          <w:p w14:paraId="3CB248C5"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Precipitation</w:t>
            </w:r>
          </w:p>
        </w:tc>
        <w:tc>
          <w:tcPr>
            <w:tcW w:w="2662" w:type="dxa"/>
            <w:hideMark/>
          </w:tcPr>
          <w:p w14:paraId="1E9E8A6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Formation of insoluble particles by mixing reactants under controlled conditions</w:t>
            </w:r>
          </w:p>
        </w:tc>
        <w:tc>
          <w:tcPr>
            <w:tcW w:w="1890" w:type="dxa"/>
            <w:hideMark/>
          </w:tcPr>
          <w:p w14:paraId="43306D4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Ceramic core synthesis</w:t>
            </w:r>
          </w:p>
        </w:tc>
        <w:tc>
          <w:tcPr>
            <w:tcW w:w="2563" w:type="dxa"/>
            <w:hideMark/>
          </w:tcPr>
          <w:p w14:paraId="33DD3128"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Particle size and crystallinity control</w:t>
            </w:r>
          </w:p>
        </w:tc>
        <w:tc>
          <w:tcPr>
            <w:tcW w:w="1331" w:type="dxa"/>
            <w:hideMark/>
          </w:tcPr>
          <w:p w14:paraId="47B3A8B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r w:rsidR="005335B0" w:rsidRPr="005335B0" w14:paraId="43F674E3" w14:textId="77777777" w:rsidTr="005335B0">
        <w:tc>
          <w:tcPr>
            <w:tcW w:w="0" w:type="auto"/>
            <w:hideMark/>
          </w:tcPr>
          <w:p w14:paraId="623A248B"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Hydrothermal synthesis</w:t>
            </w:r>
          </w:p>
        </w:tc>
        <w:tc>
          <w:tcPr>
            <w:tcW w:w="2662" w:type="dxa"/>
            <w:hideMark/>
          </w:tcPr>
          <w:p w14:paraId="6B98C794"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High-temperature, high-pressure aqueous synthesis</w:t>
            </w:r>
          </w:p>
        </w:tc>
        <w:tc>
          <w:tcPr>
            <w:tcW w:w="1890" w:type="dxa"/>
            <w:hideMark/>
          </w:tcPr>
          <w:p w14:paraId="5F2D65DC"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Produces crystalline nanoparticles</w:t>
            </w:r>
          </w:p>
        </w:tc>
        <w:tc>
          <w:tcPr>
            <w:tcW w:w="2563" w:type="dxa"/>
            <w:hideMark/>
          </w:tcPr>
          <w:p w14:paraId="6BA994BE"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High purity and crystallinity</w:t>
            </w:r>
          </w:p>
        </w:tc>
        <w:tc>
          <w:tcPr>
            <w:tcW w:w="1331" w:type="dxa"/>
            <w:hideMark/>
          </w:tcPr>
          <w:p w14:paraId="63BC2579" w14:textId="77777777" w:rsidR="005335B0" w:rsidRPr="005335B0" w:rsidRDefault="005335B0" w:rsidP="005335B0">
            <w:pPr>
              <w:spacing w:after="160" w:line="278" w:lineRule="auto"/>
              <w:jc w:val="both"/>
              <w:rPr>
                <w:rFonts w:ascii="Times New Roman" w:hAnsi="Times New Roman" w:cs="Times New Roman"/>
              </w:rPr>
            </w:pPr>
            <w:r w:rsidRPr="005335B0">
              <w:rPr>
                <w:rFonts w:ascii="Times New Roman" w:hAnsi="Times New Roman" w:cs="Times New Roman"/>
              </w:rPr>
              <w:t>[15]</w:t>
            </w:r>
          </w:p>
        </w:tc>
      </w:tr>
    </w:tbl>
    <w:p w14:paraId="61871355" w14:textId="3B3CE31C" w:rsidR="003D548A" w:rsidRDefault="00DD3651" w:rsidP="00DD3651">
      <w:pPr>
        <w:jc w:val="center"/>
        <w:rPr>
          <w:rFonts w:ascii="Times New Roman" w:hAnsi="Times New Roman" w:cs="Times New Roman"/>
        </w:rPr>
      </w:pPr>
      <w:r w:rsidRPr="00DD3651">
        <w:rPr>
          <w:rFonts w:ascii="Times New Roman" w:hAnsi="Times New Roman" w:cs="Times New Roman"/>
        </w:rPr>
        <w:t xml:space="preserve">Table 1. Core–Shell Architecture and Surface Characteristics of </w:t>
      </w:r>
      <w:proofErr w:type="spellStart"/>
      <w:r w:rsidRPr="00DD3651">
        <w:rPr>
          <w:rFonts w:ascii="Times New Roman" w:hAnsi="Times New Roman" w:cs="Times New Roman"/>
        </w:rPr>
        <w:t>Aquasomes</w:t>
      </w:r>
      <w:proofErr w:type="spellEnd"/>
    </w:p>
    <w:p w14:paraId="3623A851"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Methods of Synthesis</w:t>
      </w:r>
    </w:p>
    <w:p w14:paraId="10FCF635"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synthesis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involves the fabrication of a stable core followed by the application of a carbohydrate coating. The core materials, typically ceramic or metallic nanoparticles, are synthesized using various established methods. The sol-gel method is widely employed for ceramic cores such as silica or calcium phosphate. This technique involves the hydrolysis and condensation of metal alkoxides under controlled conditions, resulting in uniform nanoparticles with tunable size and porosity [15]. Another common approach is precipitation, where insoluble particles form by mixing reactants under specific pH and temperature conditions, allowing control over particle crystallinity and morphology [15]. For metallic cores like gold or iron oxide, chemical reduction methods are used, where metal salts are reduced by agents such as sodium borohydride to produce nanoparticles with controlled size and shape [16]. Additionally, hydrothermal synthesis utilizes high temperature and pressure in aqueous media to yield highly crystalline and pure nanoparticles, suitable for biomedical applications [15].</w:t>
      </w:r>
    </w:p>
    <w:p w14:paraId="537E18D5"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Surface Modification and Functionalization Strategies</w:t>
      </w:r>
    </w:p>
    <w:p w14:paraId="278B8B75"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Following core synthesis, the nanoparticles are coated with a carbohydrate layer to form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This coating is typically achieved through adsorption, where carbohydrate molecules physically adsorb onto the nanoparticle surface, forming a protective and stabilizing shell [17]. For enhanced stability and functionality, covalent attachment methods chemically bond carbohydrates or other ligands to the nanoparticle surface, ensuring durable coatings that resist desorption [18]. To improve targeting capabilities, surface functionalization with ligands such as antibodies, </w:t>
      </w:r>
      <w:r w:rsidRPr="005335B0">
        <w:rPr>
          <w:rFonts w:ascii="Times New Roman" w:hAnsi="Times New Roman" w:cs="Times New Roman"/>
        </w:rPr>
        <w:lastRenderedPageBreak/>
        <w:t>peptides, or aptamers is performed via covalent conjugation, enabling active targeting of specific cells or tissues [18]. Additionally, PEGylation, the attachment of polyethylene glycol chains, is commonly used to increase nanoparticle circulation time and reduce immunogenicity by providing a hydrophilic steric barrier [18].</w:t>
      </w:r>
    </w:p>
    <w:p w14:paraId="2F71C672"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Analytical Techniques for Characterization</w:t>
      </w:r>
    </w:p>
    <w:p w14:paraId="3AD6CD12"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Comprehensive characterization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is essential to confirm their structural and functional properties. Scanning Electron Microscopy (SEM) provides high-resolution images of the nanoparticle surface morphology and size distribution, revealing shape and aggregation state [19]. Transmission Electron Microscopy (TEM) offers detailed visualization of the internal core-shell architecture, confirming the presence and uniformity of the carbohydrate coating [19]. Dynamic Light Scattering (DLS) measures the hydrodynamic diameter and polydispersity index of nanoparticles in suspension, providing information on size distribution and colloidal stability [20]. The zeta potential analysis assesses the surface charge, which influences nanoparticle stability and interactions with biological membranes [21]. Fourier Transform Infrared Spectroscopy (FTIR) is used to identify characteristic functional groups and confirm the presence of carbohydrate coatings by detecting specific vibrational modes [22]. These techniques collectively ensure that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meet the desired physicochemical criteria for biomedical applications.</w:t>
      </w:r>
    </w:p>
    <w:p w14:paraId="5D85F438"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Factors Influencing Particle Size, Morphology, and Drug Loading</w:t>
      </w:r>
    </w:p>
    <w:p w14:paraId="76F6E986"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Several factors during synthesis and post-synthesis processing influence the size, shape, and drug loading capacity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The pH, temperature, and ionic strength of the reaction medium critically affect nucleation and growth rates of the core nanoparticles, thereby controlling particle size and morphology [25]. The ratio of core material to carbohydrate coating determines the thickness and uniformity of the shell, which in turn impacts the stability and drug encapsulation efficiency [25]. Surface functionalization with targeting ligands or polymers can alter surface charge and hydrophilicity, affecting drug binding and release kinetics [18]. Finally, storage conditions such as temperature and medium composition influence the long-term stability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preserving their structural integrity and therapeutic payload [25]. Optimizing these parameters is essential to develop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with reproducible properties and effective drug delivery performance.</w:t>
      </w:r>
    </w:p>
    <w:p w14:paraId="0A3AA78F" w14:textId="3FC0AA01"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4. Mechanism of Controlled Release and Targeted Delivery</w:t>
      </w:r>
    </w:p>
    <w:p w14:paraId="073AC66F"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Interaction of </w:t>
      </w:r>
      <w:proofErr w:type="spellStart"/>
      <w:r w:rsidRPr="005335B0">
        <w:rPr>
          <w:rFonts w:ascii="Times New Roman" w:hAnsi="Times New Roman" w:cs="Times New Roman"/>
          <w:b/>
          <w:bCs/>
        </w:rPr>
        <w:t>Aquasomes</w:t>
      </w:r>
      <w:proofErr w:type="spellEnd"/>
      <w:r w:rsidRPr="005335B0">
        <w:rPr>
          <w:rFonts w:ascii="Times New Roman" w:hAnsi="Times New Roman" w:cs="Times New Roman"/>
          <w:b/>
          <w:bCs/>
        </w:rPr>
        <w:t xml:space="preserve"> with Biological Systems</w:t>
      </w:r>
    </w:p>
    <w:p w14:paraId="74DB4D9D"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interact with biological systems primarily through their unique surface properties, which are largely governed by the carbohydrate coating. This hydrophilic shell mimics natural glycosylated cell surfaces, facilitating biocompatibility and reducing recognition by the immune system, thereby prolonging circulation time in vivo [26]. The carbohydrate layer also mediates interactions with cell surface receptors, enabling cellular uptake via endocytosis or receptor-</w:t>
      </w:r>
      <w:r w:rsidRPr="005335B0">
        <w:rPr>
          <w:rFonts w:ascii="Times New Roman" w:hAnsi="Times New Roman" w:cs="Times New Roman"/>
        </w:rPr>
        <w:lastRenderedPageBreak/>
        <w:t xml:space="preserve">mediated pathways. Once administered,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navigate the complex biological environment, avoiding rapid clearance by the reticuloendothelial system (RES) and minimizing nonspecific protein adsorption (opsonization), which is critical for effective drug delivery [27]. The size and surface charge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further influence their biodistribution and cellular internalization, with nanoparticles in the 50–200 nm range showing optimal uptake by target cells [28].</w:t>
      </w:r>
    </w:p>
    <w:p w14:paraId="1C3D7035"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Drug/Protein Loading and Stabilization on </w:t>
      </w:r>
      <w:proofErr w:type="spellStart"/>
      <w:r w:rsidRPr="005335B0">
        <w:rPr>
          <w:rFonts w:ascii="Times New Roman" w:hAnsi="Times New Roman" w:cs="Times New Roman"/>
          <w:b/>
          <w:bCs/>
        </w:rPr>
        <w:t>Aquasomes</w:t>
      </w:r>
      <w:proofErr w:type="spellEnd"/>
    </w:p>
    <w:p w14:paraId="7C065194"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One of the key advantages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is their ability to load and stabilize sensitive therapeutic agents such as proteins, peptides, and nucleic acids. The carbohydrate coating provides a protective microenvironment that shields these biomolecules from enzymatic degradation and denaturation, preserving their biological activity [29]. Drugs or proteins are typically adsorbed onto the carbohydrate shell via hydrogen bonding, electrostatic interactions, or hydrophobic forces, depending on the nature of the therapeutic agent and the coating material [30]. This non-covalent loading approach allows for high drug encapsulation efficiency while maintaining the structural integrity of the payload. Additionally, the porous nature of the carbohydrate layer facilitates controlled diffusion of the drug, enabling sustained release over time [31].</w:t>
      </w:r>
    </w:p>
    <w:p w14:paraId="1974A10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Release Kinetics and Stimuli-Responsive Behavior</w:t>
      </w:r>
    </w:p>
    <w:p w14:paraId="2A52C34B"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Controlled release from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is governed by the physicochemical interactions between the drug and the carbohydrate coating, as well as environmental stimuli. The release kinetics often follow a biphasic pattern, with an initial burst release of surface-bound drug followed by a sustained release phase as the drug diffuses through the carbohydrate matrix [32]. Importantly,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engineered to respond to specific physiological triggers such as pH, temperature, or enzymatic activity. For example, in acidic tumor microenvironments or intracellular lysosomes, pH-sensitive carbohydrate coatings can undergo conformational changes or degradation, accelerating drug release at the target site [33]. Similarly, temperature-sensitive coatings can release drugs upon mild hyperthermia, providing spatial and temporal control over therapy [34]. This stimuli-responsive behavior enhances therapeutic efficacy while minimizing systemic side effects.</w:t>
      </w:r>
    </w:p>
    <w:p w14:paraId="441AD2B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Targeting Strategies: Passive vs. Active Targeting</w:t>
      </w:r>
    </w:p>
    <w:p w14:paraId="541362DE"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employ both passive and active targeting strategies to enhance drug delivery specificity. Passive targeting exploits the enhanced permeability and retention (EPR) effect, where nanoparticles preferentially accumulate in tumor tissues due to leaky vasculature and poor lymphatic drainage [35]. The size and surface properties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optimized to maximize this effect, allowing for increased drug concentration at the disease site without the need for specific ligands.</w:t>
      </w:r>
    </w:p>
    <w:p w14:paraId="06C4C00F" w14:textId="77777777" w:rsidR="005335B0" w:rsidRDefault="005335B0" w:rsidP="005335B0">
      <w:pPr>
        <w:jc w:val="both"/>
        <w:rPr>
          <w:rFonts w:ascii="Times New Roman" w:hAnsi="Times New Roman" w:cs="Times New Roman"/>
        </w:rPr>
      </w:pPr>
      <w:r w:rsidRPr="005335B0">
        <w:rPr>
          <w:rFonts w:ascii="Times New Roman" w:hAnsi="Times New Roman" w:cs="Times New Roman"/>
        </w:rPr>
        <w:t xml:space="preserve">In contrast, active targeting involves functionalizing the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surface with ligands such as antibodies, peptides, or small molecules that specifically bind to receptors overexpressed on target </w:t>
      </w:r>
      <w:r w:rsidRPr="005335B0">
        <w:rPr>
          <w:rFonts w:ascii="Times New Roman" w:hAnsi="Times New Roman" w:cs="Times New Roman"/>
        </w:rPr>
        <w:lastRenderedPageBreak/>
        <w:t xml:space="preserve">cells [36]. This ligand-receptor interaction facilitates receptor-mediated endocytosis, improving cellular uptake and therapeutic outcomes. For instance, mannose-coated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target macrophages by binding to mannose receptors, making them useful in vaccine delivery and immunotherapy [37]. The combination of passive and active targeting strategies enables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to achieve high specificity and efficacy in delivering therapeutic agents.</w:t>
      </w:r>
    </w:p>
    <w:tbl>
      <w:tblPr>
        <w:tblStyle w:val="TableGrid"/>
        <w:tblW w:w="0" w:type="auto"/>
        <w:tblLayout w:type="fixed"/>
        <w:tblLook w:val="04A0" w:firstRow="1" w:lastRow="0" w:firstColumn="1" w:lastColumn="0" w:noHBand="0" w:noVBand="1"/>
      </w:tblPr>
      <w:tblGrid>
        <w:gridCol w:w="1907"/>
        <w:gridCol w:w="2858"/>
        <w:gridCol w:w="3690"/>
        <w:gridCol w:w="895"/>
      </w:tblGrid>
      <w:tr w:rsidR="00D00CEA" w:rsidRPr="00D00CEA" w14:paraId="7266F8F2" w14:textId="77777777" w:rsidTr="00D00CEA">
        <w:tc>
          <w:tcPr>
            <w:tcW w:w="1907" w:type="dxa"/>
            <w:hideMark/>
          </w:tcPr>
          <w:p w14:paraId="6AFFCB06"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Aspect</w:t>
            </w:r>
          </w:p>
        </w:tc>
        <w:tc>
          <w:tcPr>
            <w:tcW w:w="2858" w:type="dxa"/>
            <w:hideMark/>
          </w:tcPr>
          <w:p w14:paraId="721C8EAD"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Description</w:t>
            </w:r>
          </w:p>
        </w:tc>
        <w:tc>
          <w:tcPr>
            <w:tcW w:w="3690" w:type="dxa"/>
            <w:hideMark/>
          </w:tcPr>
          <w:p w14:paraId="4C9A7975"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Key Features / Outcomes</w:t>
            </w:r>
          </w:p>
        </w:tc>
        <w:tc>
          <w:tcPr>
            <w:tcW w:w="895" w:type="dxa"/>
            <w:hideMark/>
          </w:tcPr>
          <w:p w14:paraId="5D326C06"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References</w:t>
            </w:r>
          </w:p>
        </w:tc>
      </w:tr>
      <w:tr w:rsidR="00D00CEA" w:rsidRPr="00D00CEA" w14:paraId="515EF490" w14:textId="77777777" w:rsidTr="00D00CEA">
        <w:tc>
          <w:tcPr>
            <w:tcW w:w="1907" w:type="dxa"/>
            <w:hideMark/>
          </w:tcPr>
          <w:p w14:paraId="736942C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 xml:space="preserve">Interaction of </w:t>
            </w:r>
            <w:proofErr w:type="spellStart"/>
            <w:r w:rsidRPr="00D00CEA">
              <w:rPr>
                <w:rFonts w:ascii="Times New Roman" w:hAnsi="Times New Roman" w:cs="Times New Roman"/>
                <w:b/>
                <w:bCs/>
              </w:rPr>
              <w:t>Aquasomes</w:t>
            </w:r>
            <w:proofErr w:type="spellEnd"/>
            <w:r w:rsidRPr="00D00CEA">
              <w:rPr>
                <w:rFonts w:ascii="Times New Roman" w:hAnsi="Times New Roman" w:cs="Times New Roman"/>
                <w:b/>
                <w:bCs/>
              </w:rPr>
              <w:t xml:space="preserve"> with Biological Systems</w:t>
            </w:r>
          </w:p>
        </w:tc>
        <w:tc>
          <w:tcPr>
            <w:tcW w:w="2858" w:type="dxa"/>
            <w:hideMark/>
          </w:tcPr>
          <w:p w14:paraId="2834285C" w14:textId="77777777" w:rsidR="00D00CEA" w:rsidRPr="00D00CEA" w:rsidRDefault="00D00CEA" w:rsidP="00D00CEA">
            <w:pPr>
              <w:spacing w:after="160" w:line="278" w:lineRule="auto"/>
              <w:jc w:val="both"/>
              <w:rPr>
                <w:rFonts w:ascii="Times New Roman" w:hAnsi="Times New Roman" w:cs="Times New Roman"/>
              </w:rPr>
            </w:pP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interact with biological systems through a hydrophilic carbohydrate coating that mimics natural glycosylated cell surfaces.</w:t>
            </w:r>
          </w:p>
        </w:tc>
        <w:tc>
          <w:tcPr>
            <w:tcW w:w="3690" w:type="dxa"/>
            <w:hideMark/>
          </w:tcPr>
          <w:p w14:paraId="73FD175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Enhanced biocompatibility, reduced immune recognition, prolonged circulation time, reduced opsonization, avoidance of RES clearance; optimal uptake at 50–200 nm particle size.</w:t>
            </w:r>
          </w:p>
        </w:tc>
        <w:tc>
          <w:tcPr>
            <w:tcW w:w="895" w:type="dxa"/>
            <w:hideMark/>
          </w:tcPr>
          <w:p w14:paraId="4F74DD6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[26–28]</w:t>
            </w:r>
          </w:p>
        </w:tc>
      </w:tr>
      <w:tr w:rsidR="00D00CEA" w:rsidRPr="00D00CEA" w14:paraId="5C44B95B" w14:textId="77777777" w:rsidTr="00D00CEA">
        <w:tc>
          <w:tcPr>
            <w:tcW w:w="1907" w:type="dxa"/>
            <w:hideMark/>
          </w:tcPr>
          <w:p w14:paraId="42D915F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Drug/Protein Loading and Stabilization</w:t>
            </w:r>
          </w:p>
        </w:tc>
        <w:tc>
          <w:tcPr>
            <w:tcW w:w="2858" w:type="dxa"/>
            <w:hideMark/>
          </w:tcPr>
          <w:p w14:paraId="1D2CCD3F"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Therapeutic agents are adsorbed onto the carbohydrate shell via non-covalent interactions.</w:t>
            </w:r>
          </w:p>
        </w:tc>
        <w:tc>
          <w:tcPr>
            <w:tcW w:w="3690" w:type="dxa"/>
            <w:hideMark/>
          </w:tcPr>
          <w:p w14:paraId="5ACAB0E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Protection of proteins, peptides, and nucleic acids from degradation; preservation of biological activity; high encapsulation efficiency; sustained drug diffusion.</w:t>
            </w:r>
          </w:p>
        </w:tc>
        <w:tc>
          <w:tcPr>
            <w:tcW w:w="895" w:type="dxa"/>
            <w:hideMark/>
          </w:tcPr>
          <w:p w14:paraId="2CF208B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[29–31]</w:t>
            </w:r>
          </w:p>
        </w:tc>
      </w:tr>
      <w:tr w:rsidR="00D00CEA" w:rsidRPr="00D00CEA" w14:paraId="6D9A15F6" w14:textId="77777777" w:rsidTr="00D00CEA">
        <w:tc>
          <w:tcPr>
            <w:tcW w:w="1907" w:type="dxa"/>
            <w:hideMark/>
          </w:tcPr>
          <w:p w14:paraId="5387BB5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Release Kinetics</w:t>
            </w:r>
          </w:p>
        </w:tc>
        <w:tc>
          <w:tcPr>
            <w:tcW w:w="2858" w:type="dxa"/>
            <w:hideMark/>
          </w:tcPr>
          <w:p w14:paraId="192AC5EF"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Drug release is governed by interactions between the drug and carbohydrate coating.</w:t>
            </w:r>
          </w:p>
        </w:tc>
        <w:tc>
          <w:tcPr>
            <w:tcW w:w="3690" w:type="dxa"/>
            <w:hideMark/>
          </w:tcPr>
          <w:p w14:paraId="18F826B0"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Biphasic release pattern: initial burst release followed by sustained release through carbohydrate matrix diffusion.</w:t>
            </w:r>
          </w:p>
        </w:tc>
        <w:tc>
          <w:tcPr>
            <w:tcW w:w="895" w:type="dxa"/>
            <w:hideMark/>
          </w:tcPr>
          <w:p w14:paraId="02F0DEA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[32]</w:t>
            </w:r>
          </w:p>
        </w:tc>
      </w:tr>
      <w:tr w:rsidR="00D00CEA" w:rsidRPr="00D00CEA" w14:paraId="6E61E455" w14:textId="77777777" w:rsidTr="00D00CEA">
        <w:tc>
          <w:tcPr>
            <w:tcW w:w="1907" w:type="dxa"/>
            <w:hideMark/>
          </w:tcPr>
          <w:p w14:paraId="4B497D2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Stimuli-Responsive Behavior</w:t>
            </w:r>
          </w:p>
        </w:tc>
        <w:tc>
          <w:tcPr>
            <w:tcW w:w="2858" w:type="dxa"/>
            <w:hideMark/>
          </w:tcPr>
          <w:p w14:paraId="5D52F23F" w14:textId="77777777" w:rsidR="00D00CEA" w:rsidRPr="00D00CEA" w:rsidRDefault="00D00CEA" w:rsidP="00D00CEA">
            <w:pPr>
              <w:spacing w:after="160" w:line="278" w:lineRule="auto"/>
              <w:jc w:val="both"/>
              <w:rPr>
                <w:rFonts w:ascii="Times New Roman" w:hAnsi="Times New Roman" w:cs="Times New Roman"/>
              </w:rPr>
            </w:pP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can be engineered to respond to physiological triggers such as pH, temperature, or enzymes.</w:t>
            </w:r>
          </w:p>
        </w:tc>
        <w:tc>
          <w:tcPr>
            <w:tcW w:w="3690" w:type="dxa"/>
            <w:hideMark/>
          </w:tcPr>
          <w:p w14:paraId="522433C0"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Target-site-specific drug release; accelerated release in acidic tumor environments or lysosomes; controlled release under hyperthermia conditions; reduced systemic toxicity.</w:t>
            </w:r>
          </w:p>
        </w:tc>
        <w:tc>
          <w:tcPr>
            <w:tcW w:w="895" w:type="dxa"/>
            <w:hideMark/>
          </w:tcPr>
          <w:p w14:paraId="51E236EC"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[33–34]</w:t>
            </w:r>
          </w:p>
        </w:tc>
      </w:tr>
      <w:tr w:rsidR="00D00CEA" w:rsidRPr="00D00CEA" w14:paraId="1DAE6EDE" w14:textId="77777777" w:rsidTr="00D00CEA">
        <w:tc>
          <w:tcPr>
            <w:tcW w:w="1907" w:type="dxa"/>
            <w:hideMark/>
          </w:tcPr>
          <w:p w14:paraId="3C81809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Passive Targeting</w:t>
            </w:r>
          </w:p>
        </w:tc>
        <w:tc>
          <w:tcPr>
            <w:tcW w:w="2858" w:type="dxa"/>
            <w:hideMark/>
          </w:tcPr>
          <w:p w14:paraId="4F2F40D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Relies on the enhanced permeability and retention (EPR) effect in tumor tissues.</w:t>
            </w:r>
          </w:p>
        </w:tc>
        <w:tc>
          <w:tcPr>
            <w:tcW w:w="3690" w:type="dxa"/>
            <w:hideMark/>
          </w:tcPr>
          <w:p w14:paraId="62D6D749"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Preferential accumulation in tumors due to leaky vasculature and poor lymphatic drainage; no need for targeting ligands.</w:t>
            </w:r>
          </w:p>
        </w:tc>
        <w:tc>
          <w:tcPr>
            <w:tcW w:w="895" w:type="dxa"/>
            <w:hideMark/>
          </w:tcPr>
          <w:p w14:paraId="670DF64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[35]</w:t>
            </w:r>
          </w:p>
        </w:tc>
      </w:tr>
      <w:tr w:rsidR="00D00CEA" w:rsidRPr="00D00CEA" w14:paraId="27A9B102" w14:textId="77777777" w:rsidTr="00D00CEA">
        <w:tc>
          <w:tcPr>
            <w:tcW w:w="1907" w:type="dxa"/>
            <w:hideMark/>
          </w:tcPr>
          <w:p w14:paraId="47E0096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Active Targeting</w:t>
            </w:r>
          </w:p>
        </w:tc>
        <w:tc>
          <w:tcPr>
            <w:tcW w:w="2858" w:type="dxa"/>
            <w:hideMark/>
          </w:tcPr>
          <w:p w14:paraId="78D5643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Surface functionalization with ligands such as antibodies, peptides, or sugars.</w:t>
            </w:r>
          </w:p>
        </w:tc>
        <w:tc>
          <w:tcPr>
            <w:tcW w:w="3690" w:type="dxa"/>
            <w:hideMark/>
          </w:tcPr>
          <w:p w14:paraId="2D72B43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Receptor-mediated endocytosis; enhanced cellular uptake; increased specificity; example: mannose-</w:t>
            </w:r>
            <w:r w:rsidRPr="00D00CEA">
              <w:rPr>
                <w:rFonts w:ascii="Times New Roman" w:hAnsi="Times New Roman" w:cs="Times New Roman"/>
              </w:rPr>
              <w:lastRenderedPageBreak/>
              <w:t xml:space="preserve">coated </w:t>
            </w:r>
            <w:proofErr w:type="spellStart"/>
            <w:r w:rsidRPr="00D00CEA">
              <w:rPr>
                <w:rFonts w:ascii="Times New Roman" w:hAnsi="Times New Roman" w:cs="Times New Roman"/>
              </w:rPr>
              <w:t>aquasomes</w:t>
            </w:r>
            <w:proofErr w:type="spellEnd"/>
            <w:r w:rsidRPr="00D00CEA">
              <w:rPr>
                <w:rFonts w:ascii="Times New Roman" w:hAnsi="Times New Roman" w:cs="Times New Roman"/>
              </w:rPr>
              <w:t xml:space="preserve"> targeting macrophages.</w:t>
            </w:r>
          </w:p>
        </w:tc>
        <w:tc>
          <w:tcPr>
            <w:tcW w:w="895" w:type="dxa"/>
            <w:hideMark/>
          </w:tcPr>
          <w:p w14:paraId="2477EC1C"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lastRenderedPageBreak/>
              <w:t>[36–37]</w:t>
            </w:r>
          </w:p>
        </w:tc>
      </w:tr>
    </w:tbl>
    <w:p w14:paraId="0BC95666" w14:textId="645B5BCA" w:rsidR="00D00CEA" w:rsidRPr="005335B0" w:rsidRDefault="00D00CEA" w:rsidP="00D00CEA">
      <w:pPr>
        <w:jc w:val="center"/>
        <w:rPr>
          <w:rFonts w:ascii="Times New Roman" w:hAnsi="Times New Roman" w:cs="Times New Roman"/>
        </w:rPr>
      </w:pPr>
      <w:r w:rsidRPr="00D00CEA">
        <w:rPr>
          <w:rFonts w:ascii="Times New Roman" w:hAnsi="Times New Roman" w:cs="Times New Roman"/>
        </w:rPr>
        <w:t xml:space="preserve">Table 2. Interaction, Drug Loading, Release Kinetics, and Targeting Strategies of </w:t>
      </w:r>
      <w:proofErr w:type="spellStart"/>
      <w:r w:rsidRPr="00D00CEA">
        <w:rPr>
          <w:rFonts w:ascii="Times New Roman" w:hAnsi="Times New Roman" w:cs="Times New Roman"/>
        </w:rPr>
        <w:t>Aquasomes</w:t>
      </w:r>
      <w:proofErr w:type="spellEnd"/>
    </w:p>
    <w:p w14:paraId="390371F7" w14:textId="7C928DB5"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5. Biomedical Applications</w:t>
      </w:r>
    </w:p>
    <w:p w14:paraId="5437D3A4"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Drug Delivery: Anticancer, Antimicrobial, and Other Therapeutic Agents</w:t>
      </w:r>
    </w:p>
    <w:p w14:paraId="7CBF1C48"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demonstrated significant potential as nanocarriers for a wide range of therapeutic agents, including anticancer drugs, antimicrobials, and other pharmaceuticals. Their unique core-shell structure allows for the stable loading and controlled release of drugs, improving bioavailability and reducing systemic toxicity [38]. In cancer therapy,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facilitate targeted delivery of chemotherapeutic agents directly to tumor cells, minimizing damage to healthy tissues and overcoming multidrug resistance mechanisms [39]. Similarly, antimicrobial drugs loaded onto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exhibit enhanced stability and sustained release, which can improve treatment efficacy against resistant bacterial strains [40]. Beyond these,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been explored for delivering anti-inflammatory, antiviral, and gene therapy agents, showcasing their versatility in addressing diverse medical conditions [41].</w:t>
      </w:r>
    </w:p>
    <w:p w14:paraId="4AACF0F7"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Vaccine Delivery and Immunogenicity Enhancement</w:t>
      </w:r>
    </w:p>
    <w:p w14:paraId="67A5027A"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carbohydrate coating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plays a pivotal role in vaccine delivery by mimicking pathogen-associated molecular patterns (PAMPs), which can enhance immune recognition and response [42].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effectively present antigens in their native conformation, protecting them from degradation and facilitating uptake by antigen-presenting cells (APCs) [43]. This results in improved immunogenicity and prolonged immune stimulation, making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promising candidates for subunit and peptide-based vaccines. Additionally, their ability to co-deliver adjuvants alongside antigens further potentiates vaccine efficacy [44]. Studies have demonstrated successful applications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vaccines against infectious diseases and cancer immunotherapy [45].</w:t>
      </w:r>
    </w:p>
    <w:p w14:paraId="405CFED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Enzyme Immobilization and Biosensor Applications</w:t>
      </w:r>
    </w:p>
    <w:p w14:paraId="4AA9C6B0"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provide an excellent platform for enzyme immobilization due to their stable and biocompatible carbohydrate surface, which preserves enzyme activity and facilitates repeated use [46]. Immobilized enzymes on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exhibit enhanced stability against environmental factors such as pH and temperature, making them suitable for industrial and biomedical applications [47]. In biosensor development,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serve as carriers for enzymes or antibodies, improving sensitivity and specificity by maintaining the biological activity of the sensing elements [48]. This has led to advancements in diagnostic devices for detecting glucose, pathogens, and biomarkers with high accuracy and rapid response times [49].</w:t>
      </w:r>
    </w:p>
    <w:p w14:paraId="6E383171" w14:textId="5D4AEFD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Diagnostic and </w:t>
      </w:r>
      <w:r w:rsidR="006D3116" w:rsidRPr="005335B0">
        <w:rPr>
          <w:rFonts w:ascii="Times New Roman" w:hAnsi="Times New Roman" w:cs="Times New Roman"/>
          <w:b/>
          <w:bCs/>
        </w:rPr>
        <w:t>Theragnostic</w:t>
      </w:r>
      <w:r w:rsidRPr="005335B0">
        <w:rPr>
          <w:rFonts w:ascii="Times New Roman" w:hAnsi="Times New Roman" w:cs="Times New Roman"/>
          <w:b/>
          <w:bCs/>
        </w:rPr>
        <w:t xml:space="preserve"> Uses</w:t>
      </w:r>
    </w:p>
    <w:p w14:paraId="7CCD9E47" w14:textId="14B95102" w:rsidR="005335B0" w:rsidRDefault="005335B0" w:rsidP="005335B0">
      <w:pPr>
        <w:jc w:val="both"/>
        <w:rPr>
          <w:rFonts w:ascii="Times New Roman" w:hAnsi="Times New Roman" w:cs="Times New Roman"/>
        </w:rPr>
      </w:pPr>
      <w:r w:rsidRPr="005335B0">
        <w:rPr>
          <w:rFonts w:ascii="Times New Roman" w:hAnsi="Times New Roman" w:cs="Times New Roman"/>
        </w:rPr>
        <w:lastRenderedPageBreak/>
        <w:t xml:space="preserve">The multifunctional nature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enables their use in diagnostic imaging and </w:t>
      </w:r>
      <w:r w:rsidR="006D3116" w:rsidRPr="005335B0">
        <w:rPr>
          <w:rFonts w:ascii="Times New Roman" w:hAnsi="Times New Roman" w:cs="Times New Roman"/>
        </w:rPr>
        <w:t>theragnostic</w:t>
      </w:r>
      <w:r w:rsidRPr="005335B0">
        <w:rPr>
          <w:rFonts w:ascii="Times New Roman" w:hAnsi="Times New Roman" w:cs="Times New Roman"/>
        </w:rPr>
        <w:t xml:space="preserve">, where therapy and diagnosis are combined in a single platform. Metallic or magnetic cores within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serve as contrast agents for imaging modalities such as magnetic resonance imaging (MRI), computed tomography (CT), and photoacoustic imaging [50]. Functionalization with targeting ligands allows for precise localization of diseased tissues, enhancing diagnostic accuracy [51</w:t>
      </w:r>
      <w:r w:rsidR="006029C3">
        <w:rPr>
          <w:rFonts w:ascii="Times New Roman" w:hAnsi="Times New Roman" w:cs="Times New Roman"/>
        </w:rPr>
        <w:t>,79</w:t>
      </w:r>
      <w:r w:rsidRPr="005335B0">
        <w:rPr>
          <w:rFonts w:ascii="Times New Roman" w:hAnsi="Times New Roman" w:cs="Times New Roman"/>
        </w:rPr>
        <w:t xml:space="preserve">]. Furthermore, </w:t>
      </w:r>
      <w:r w:rsidR="006D3116" w:rsidRPr="005335B0">
        <w:rPr>
          <w:rFonts w:ascii="Times New Roman" w:hAnsi="Times New Roman" w:cs="Times New Roman"/>
        </w:rPr>
        <w:t>theragnostic</w:t>
      </w:r>
      <w:r w:rsidRPr="005335B0">
        <w:rPr>
          <w:rFonts w:ascii="Times New Roman" w:hAnsi="Times New Roman" w:cs="Times New Roman"/>
        </w:rPr>
        <w:t xml:space="preser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deliver therapeutic agents while simultaneously monitoring treatment response, enabling personalized medicine approaches [52]. This dual functionality holds promise for improving disease management and patient outcomes.</w:t>
      </w:r>
    </w:p>
    <w:tbl>
      <w:tblPr>
        <w:tblStyle w:val="TableGrid"/>
        <w:tblW w:w="9625" w:type="dxa"/>
        <w:tblLayout w:type="fixed"/>
        <w:tblLook w:val="04A0" w:firstRow="1" w:lastRow="0" w:firstColumn="1" w:lastColumn="0" w:noHBand="0" w:noVBand="1"/>
      </w:tblPr>
      <w:tblGrid>
        <w:gridCol w:w="2303"/>
        <w:gridCol w:w="2253"/>
        <w:gridCol w:w="3809"/>
        <w:gridCol w:w="1260"/>
      </w:tblGrid>
      <w:tr w:rsidR="00D00CEA" w:rsidRPr="00D00CEA" w14:paraId="29251182" w14:textId="77777777" w:rsidTr="00D00CEA">
        <w:tc>
          <w:tcPr>
            <w:tcW w:w="2303" w:type="dxa"/>
            <w:hideMark/>
          </w:tcPr>
          <w:p w14:paraId="4AB7ECD2"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Application Area</w:t>
            </w:r>
          </w:p>
        </w:tc>
        <w:tc>
          <w:tcPr>
            <w:tcW w:w="2253" w:type="dxa"/>
            <w:hideMark/>
          </w:tcPr>
          <w:p w14:paraId="0D0504FE"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 xml:space="preserve">Role of </w:t>
            </w:r>
            <w:proofErr w:type="spellStart"/>
            <w:r w:rsidRPr="00D00CEA">
              <w:rPr>
                <w:rFonts w:ascii="Times New Roman" w:hAnsi="Times New Roman" w:cs="Times New Roman"/>
                <w:b/>
                <w:bCs/>
              </w:rPr>
              <w:t>Aquasomes</w:t>
            </w:r>
            <w:proofErr w:type="spellEnd"/>
          </w:p>
        </w:tc>
        <w:tc>
          <w:tcPr>
            <w:tcW w:w="3809" w:type="dxa"/>
            <w:hideMark/>
          </w:tcPr>
          <w:p w14:paraId="149D2971"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Key Advantages / Outcomes</w:t>
            </w:r>
          </w:p>
        </w:tc>
        <w:tc>
          <w:tcPr>
            <w:tcW w:w="1260" w:type="dxa"/>
            <w:hideMark/>
          </w:tcPr>
          <w:p w14:paraId="6C4B8B1F" w14:textId="77777777" w:rsidR="00D00CEA" w:rsidRPr="00D00CEA" w:rsidRDefault="00D00CEA" w:rsidP="00D00CEA">
            <w:pPr>
              <w:spacing w:after="160" w:line="278" w:lineRule="auto"/>
              <w:jc w:val="both"/>
              <w:rPr>
                <w:rFonts w:ascii="Times New Roman" w:hAnsi="Times New Roman" w:cs="Times New Roman"/>
                <w:b/>
                <w:bCs/>
              </w:rPr>
            </w:pPr>
            <w:r w:rsidRPr="00D00CEA">
              <w:rPr>
                <w:rFonts w:ascii="Times New Roman" w:hAnsi="Times New Roman" w:cs="Times New Roman"/>
                <w:b/>
                <w:bCs/>
              </w:rPr>
              <w:t>References</w:t>
            </w:r>
          </w:p>
        </w:tc>
      </w:tr>
      <w:tr w:rsidR="00D00CEA" w:rsidRPr="00D00CEA" w14:paraId="3B99AA95" w14:textId="77777777" w:rsidTr="00D00CEA">
        <w:tc>
          <w:tcPr>
            <w:tcW w:w="2303" w:type="dxa"/>
            <w:hideMark/>
          </w:tcPr>
          <w:p w14:paraId="0E1D7BC6"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Drug Delivery (Anticancer, Antimicrobial, and Other Therapeutics)</w:t>
            </w:r>
          </w:p>
        </w:tc>
        <w:tc>
          <w:tcPr>
            <w:tcW w:w="2253" w:type="dxa"/>
            <w:hideMark/>
          </w:tcPr>
          <w:p w14:paraId="1C2222B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Act as nanocarriers for anticancer, antimicrobial, anti-inflammatory, antiviral, and gene therapy agents.</w:t>
            </w:r>
          </w:p>
        </w:tc>
        <w:tc>
          <w:tcPr>
            <w:tcW w:w="3809" w:type="dxa"/>
            <w:hideMark/>
          </w:tcPr>
          <w:p w14:paraId="649A7A6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Improved drug stability and bioavailability; controlled and sustained release; reduced systemic toxicity; targeted tumor delivery; enhanced efficacy against resistant microbes.</w:t>
            </w:r>
          </w:p>
        </w:tc>
        <w:tc>
          <w:tcPr>
            <w:tcW w:w="1260" w:type="dxa"/>
            <w:hideMark/>
          </w:tcPr>
          <w:p w14:paraId="1556BCE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[38–41]</w:t>
            </w:r>
          </w:p>
        </w:tc>
      </w:tr>
      <w:tr w:rsidR="00D00CEA" w:rsidRPr="00D00CEA" w14:paraId="401CD70B" w14:textId="77777777" w:rsidTr="00D00CEA">
        <w:tc>
          <w:tcPr>
            <w:tcW w:w="2303" w:type="dxa"/>
            <w:hideMark/>
          </w:tcPr>
          <w:p w14:paraId="1131E69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Vaccine Delivery and Immunogenicity Enhancement</w:t>
            </w:r>
          </w:p>
        </w:tc>
        <w:tc>
          <w:tcPr>
            <w:tcW w:w="2253" w:type="dxa"/>
            <w:hideMark/>
          </w:tcPr>
          <w:p w14:paraId="42687EEE"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Serve as antigen carriers and immune response enhancers through carbohydrate-coated surfaces.</w:t>
            </w:r>
          </w:p>
        </w:tc>
        <w:tc>
          <w:tcPr>
            <w:tcW w:w="3809" w:type="dxa"/>
            <w:hideMark/>
          </w:tcPr>
          <w:p w14:paraId="3DDA5A43"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Preservation of antigen conformation; enhanced uptake by antigen-presenting cells; prolonged immune stimulation; co-delivery of antigens and adjuvants; improved vaccine efficacy.</w:t>
            </w:r>
          </w:p>
        </w:tc>
        <w:tc>
          <w:tcPr>
            <w:tcW w:w="1260" w:type="dxa"/>
            <w:hideMark/>
          </w:tcPr>
          <w:p w14:paraId="7CC5821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[42–45]</w:t>
            </w:r>
          </w:p>
        </w:tc>
      </w:tr>
      <w:tr w:rsidR="00D00CEA" w:rsidRPr="00D00CEA" w14:paraId="46929815" w14:textId="77777777" w:rsidTr="00D00CEA">
        <w:tc>
          <w:tcPr>
            <w:tcW w:w="2303" w:type="dxa"/>
            <w:hideMark/>
          </w:tcPr>
          <w:p w14:paraId="2D729272"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Enzyme Immobilization</w:t>
            </w:r>
          </w:p>
        </w:tc>
        <w:tc>
          <w:tcPr>
            <w:tcW w:w="2253" w:type="dxa"/>
            <w:hideMark/>
          </w:tcPr>
          <w:p w14:paraId="1F68E3E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Provide a stable and biocompatible surface for enzyme attachment.</w:t>
            </w:r>
          </w:p>
        </w:tc>
        <w:tc>
          <w:tcPr>
            <w:tcW w:w="3809" w:type="dxa"/>
            <w:hideMark/>
          </w:tcPr>
          <w:p w14:paraId="15FBC92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Preservation of enzymatic activity; enhanced stability against pH and temperature variations; reusability; suitability for biomedical and industrial applications.</w:t>
            </w:r>
          </w:p>
        </w:tc>
        <w:tc>
          <w:tcPr>
            <w:tcW w:w="1260" w:type="dxa"/>
            <w:hideMark/>
          </w:tcPr>
          <w:p w14:paraId="77605B11"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[46–47]</w:t>
            </w:r>
          </w:p>
        </w:tc>
      </w:tr>
      <w:tr w:rsidR="00D00CEA" w:rsidRPr="00D00CEA" w14:paraId="30E42D81" w14:textId="77777777" w:rsidTr="00D00CEA">
        <w:tc>
          <w:tcPr>
            <w:tcW w:w="2303" w:type="dxa"/>
            <w:hideMark/>
          </w:tcPr>
          <w:p w14:paraId="00E12FAE"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Biosensor Applications</w:t>
            </w:r>
          </w:p>
        </w:tc>
        <w:tc>
          <w:tcPr>
            <w:tcW w:w="2253" w:type="dxa"/>
            <w:hideMark/>
          </w:tcPr>
          <w:p w14:paraId="59EED5B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Function as carriers for enzymes or antibodies in diagnostic devices.</w:t>
            </w:r>
          </w:p>
        </w:tc>
        <w:tc>
          <w:tcPr>
            <w:tcW w:w="3809" w:type="dxa"/>
            <w:hideMark/>
          </w:tcPr>
          <w:p w14:paraId="3A89AD7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Increased sensitivity and specificity; maintenance of biological activity; rapid and accurate detection of glucose, pathogens, and biomarkers.</w:t>
            </w:r>
          </w:p>
        </w:tc>
        <w:tc>
          <w:tcPr>
            <w:tcW w:w="1260" w:type="dxa"/>
            <w:hideMark/>
          </w:tcPr>
          <w:p w14:paraId="4ED08752"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[48–49]</w:t>
            </w:r>
          </w:p>
        </w:tc>
      </w:tr>
      <w:tr w:rsidR="00D00CEA" w:rsidRPr="00D00CEA" w14:paraId="07497076" w14:textId="77777777" w:rsidTr="00D00CEA">
        <w:tc>
          <w:tcPr>
            <w:tcW w:w="2303" w:type="dxa"/>
            <w:hideMark/>
          </w:tcPr>
          <w:p w14:paraId="3CB28A1A"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t>Diagnostic Applications</w:t>
            </w:r>
          </w:p>
        </w:tc>
        <w:tc>
          <w:tcPr>
            <w:tcW w:w="2253" w:type="dxa"/>
            <w:hideMark/>
          </w:tcPr>
          <w:p w14:paraId="2868D1ED"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Utilize metallic or magnetic cores as imaging contrast agents.</w:t>
            </w:r>
          </w:p>
        </w:tc>
        <w:tc>
          <w:tcPr>
            <w:tcW w:w="3809" w:type="dxa"/>
            <w:hideMark/>
          </w:tcPr>
          <w:p w14:paraId="584A39B4"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Enhanced imaging in MRI, CT, and photoacoustic modalities; improved localization of diseased tissues through targeting ligands.</w:t>
            </w:r>
          </w:p>
        </w:tc>
        <w:tc>
          <w:tcPr>
            <w:tcW w:w="1260" w:type="dxa"/>
            <w:hideMark/>
          </w:tcPr>
          <w:p w14:paraId="3294889B"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[50–51,79]</w:t>
            </w:r>
          </w:p>
        </w:tc>
      </w:tr>
      <w:tr w:rsidR="00D00CEA" w:rsidRPr="00D00CEA" w14:paraId="7D1306DA" w14:textId="77777777" w:rsidTr="00D00CEA">
        <w:tc>
          <w:tcPr>
            <w:tcW w:w="2303" w:type="dxa"/>
            <w:hideMark/>
          </w:tcPr>
          <w:p w14:paraId="276C23A7"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b/>
                <w:bCs/>
              </w:rPr>
              <w:lastRenderedPageBreak/>
              <w:t>Theragnostic Applications</w:t>
            </w:r>
          </w:p>
        </w:tc>
        <w:tc>
          <w:tcPr>
            <w:tcW w:w="2253" w:type="dxa"/>
            <w:hideMark/>
          </w:tcPr>
          <w:p w14:paraId="7AA08DC3"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Combine diagnostic imaging and therapeutic delivery in a single platform.</w:t>
            </w:r>
          </w:p>
        </w:tc>
        <w:tc>
          <w:tcPr>
            <w:tcW w:w="3809" w:type="dxa"/>
            <w:hideMark/>
          </w:tcPr>
          <w:p w14:paraId="7C6B78B5"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Simultaneous disease diagnosis and therapy; real-time monitoring of treatment response; support for personalized medicine.</w:t>
            </w:r>
          </w:p>
        </w:tc>
        <w:tc>
          <w:tcPr>
            <w:tcW w:w="1260" w:type="dxa"/>
            <w:hideMark/>
          </w:tcPr>
          <w:p w14:paraId="4202B628" w14:textId="77777777" w:rsidR="00D00CEA" w:rsidRPr="00D00CEA" w:rsidRDefault="00D00CEA" w:rsidP="00D00CEA">
            <w:pPr>
              <w:spacing w:after="160" w:line="278" w:lineRule="auto"/>
              <w:jc w:val="both"/>
              <w:rPr>
                <w:rFonts w:ascii="Times New Roman" w:hAnsi="Times New Roman" w:cs="Times New Roman"/>
              </w:rPr>
            </w:pPr>
            <w:r w:rsidRPr="00D00CEA">
              <w:rPr>
                <w:rFonts w:ascii="Times New Roman" w:hAnsi="Times New Roman" w:cs="Times New Roman"/>
              </w:rPr>
              <w:t>[52]</w:t>
            </w:r>
          </w:p>
        </w:tc>
      </w:tr>
    </w:tbl>
    <w:p w14:paraId="459D3B20" w14:textId="14F09963" w:rsidR="00D00CEA" w:rsidRPr="005335B0" w:rsidRDefault="00D00CEA" w:rsidP="00D00CEA">
      <w:pPr>
        <w:jc w:val="center"/>
        <w:rPr>
          <w:rFonts w:ascii="Times New Roman" w:hAnsi="Times New Roman" w:cs="Times New Roman"/>
        </w:rPr>
      </w:pPr>
      <w:r w:rsidRPr="00D00CEA">
        <w:rPr>
          <w:rFonts w:ascii="Times New Roman" w:hAnsi="Times New Roman" w:cs="Times New Roman"/>
        </w:rPr>
        <w:t xml:space="preserve">Table 3. Clinical and Biomedical Applications of </w:t>
      </w:r>
      <w:proofErr w:type="spellStart"/>
      <w:r w:rsidRPr="00D00CEA">
        <w:rPr>
          <w:rFonts w:ascii="Times New Roman" w:hAnsi="Times New Roman" w:cs="Times New Roman"/>
        </w:rPr>
        <w:t>Aquasome</w:t>
      </w:r>
      <w:proofErr w:type="spellEnd"/>
      <w:r w:rsidRPr="00D00CEA">
        <w:rPr>
          <w:rFonts w:ascii="Times New Roman" w:hAnsi="Times New Roman" w:cs="Times New Roman"/>
        </w:rPr>
        <w:t>-Based Nanocarriers</w:t>
      </w:r>
    </w:p>
    <w:p w14:paraId="08DF91B6" w14:textId="50F0B0AC"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6. Advantages and Challenges</w:t>
      </w:r>
    </w:p>
    <w:p w14:paraId="03E5B3C9"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Benefits Over Conventional Drug Delivery Systems</w:t>
      </w:r>
    </w:p>
    <w:p w14:paraId="1E2ED022" w14:textId="4B815879"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offer several distinct advantages compared to traditional drug delivery platforms. Their unique core-shell nanostructure, with a biocompatible carbohydrate coating, enhances the stability of sensitive therapeutic agents such as proteins and peptides, protecting them from enzymatic degradation and denaturation [53</w:t>
      </w:r>
      <w:r w:rsidR="006029C3">
        <w:rPr>
          <w:rFonts w:ascii="Times New Roman" w:hAnsi="Times New Roman" w:cs="Times New Roman"/>
        </w:rPr>
        <w:t>,80</w:t>
      </w:r>
      <w:r w:rsidRPr="005335B0">
        <w:rPr>
          <w:rFonts w:ascii="Times New Roman" w:hAnsi="Times New Roman" w:cs="Times New Roman"/>
        </w:rPr>
        <w:t>]. This structural design also facilitates controlled and sustained drug release, improving therapeutic efficacy and reducing dosing frequency [54]. Furthermore, the carbohydrate shell mimics natural cell surfaces, which improves biocompatibility and reduces immunogenicity, leading to better tolerance in vivo [55</w:t>
      </w:r>
      <w:r w:rsidR="006029C3">
        <w:rPr>
          <w:rFonts w:ascii="Times New Roman" w:hAnsi="Times New Roman" w:cs="Times New Roman"/>
        </w:rPr>
        <w:t>,82</w:t>
      </w:r>
      <w:r w:rsidRPr="005335B0">
        <w:rPr>
          <w:rFonts w:ascii="Times New Roman" w:hAnsi="Times New Roman" w:cs="Times New Roman"/>
        </w:rPr>
        <w:t xml:space="preser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functionalized for active targeting, enabling precise delivery to specific tissues or cells, thereby minimizing off-target effects and systemic toxicity [56</w:t>
      </w:r>
      <w:r w:rsidR="006029C3">
        <w:rPr>
          <w:rFonts w:ascii="Times New Roman" w:hAnsi="Times New Roman" w:cs="Times New Roman"/>
        </w:rPr>
        <w:t>,81</w:t>
      </w:r>
      <w:r w:rsidRPr="005335B0">
        <w:rPr>
          <w:rFonts w:ascii="Times New Roman" w:hAnsi="Times New Roman" w:cs="Times New Roman"/>
        </w:rPr>
        <w:t xml:space="preserve">]. These features collectively make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 versatile and effective platform for a wide range of biomedical applications.</w:t>
      </w:r>
    </w:p>
    <w:p w14:paraId="04F35EFA"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Limitations and Challenges</w:t>
      </w:r>
    </w:p>
    <w:p w14:paraId="078F6042"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their promising attributes,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face several limitations and challenges that must be addressed for successful clinical translation. One major challenge is scalability; producing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with consistent quality and reproducibility on an industrial scale remains difficult due to the complexity of their multi-step synthesis and coating processes [57]. Batch-to-batch variability can affect particle size, drug loading efficiency, and surface properties, impacting therapeutic performance [58]. Additionally, potential toxicity concerns arise from the core materials or surface modifications, necessitating thorough biocompatibility and safety evaluations [59]. Stability during storage and in physiological environments is another concern, as aggregation or premature drug release can compromise efficacy [60].</w:t>
      </w:r>
    </w:p>
    <w:p w14:paraId="226C89B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Regulatory and Clinical Translation Hurdles</w:t>
      </w:r>
    </w:p>
    <w:p w14:paraId="38ECCF42" w14:textId="526C2D3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path from laboratory research to clinical application involves stringent regulatory requirements.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being complex nanostructures, pose challenges in terms of characterization, quality control, and standardization [61]. Regulatory agencies require comprehensive data on pharmacokinetics, biodistribution, toxicity, and immunogenicity, which can be resource-intensive to obtain [62</w:t>
      </w:r>
      <w:r w:rsidR="006029C3">
        <w:rPr>
          <w:rFonts w:ascii="Times New Roman" w:hAnsi="Times New Roman" w:cs="Times New Roman"/>
        </w:rPr>
        <w:t>,77</w:t>
      </w:r>
      <w:r w:rsidRPr="005335B0">
        <w:rPr>
          <w:rFonts w:ascii="Times New Roman" w:hAnsi="Times New Roman" w:cs="Times New Roman"/>
        </w:rPr>
        <w:t xml:space="preserve">]. Moreover, the lack of standardized protocols for nanomedicine evaluation complicates the approval process. Addressing these hurdles requires collaborative efforts between researchers, industry, and regulatory bodies to develop guidelines tailored for nanocarrier systems like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[63</w:t>
      </w:r>
      <w:r w:rsidR="006029C3">
        <w:rPr>
          <w:rFonts w:ascii="Times New Roman" w:hAnsi="Times New Roman" w:cs="Times New Roman"/>
        </w:rPr>
        <w:t>,78</w:t>
      </w:r>
      <w:r w:rsidRPr="005335B0">
        <w:rPr>
          <w:rFonts w:ascii="Times New Roman" w:hAnsi="Times New Roman" w:cs="Times New Roman"/>
        </w:rPr>
        <w:t xml:space="preserve">]. Successful clinical translation will depend </w:t>
      </w:r>
      <w:r w:rsidRPr="005335B0">
        <w:rPr>
          <w:rFonts w:ascii="Times New Roman" w:hAnsi="Times New Roman" w:cs="Times New Roman"/>
        </w:rPr>
        <w:lastRenderedPageBreak/>
        <w:t>on demonstrating consistent manufacturing, safety, and clear therapeutic benefits over existing treatments.</w:t>
      </w:r>
    </w:p>
    <w:p w14:paraId="739262CE" w14:textId="416721DC"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7. Recent Advances and Future Perspectives</w:t>
      </w:r>
    </w:p>
    <w:p w14:paraId="51E5761E"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 xml:space="preserve">Innovations in </w:t>
      </w:r>
      <w:proofErr w:type="spellStart"/>
      <w:r w:rsidRPr="005335B0">
        <w:rPr>
          <w:rFonts w:ascii="Times New Roman" w:hAnsi="Times New Roman" w:cs="Times New Roman"/>
          <w:b/>
          <w:bCs/>
        </w:rPr>
        <w:t>Aquasome</w:t>
      </w:r>
      <w:proofErr w:type="spellEnd"/>
      <w:r w:rsidRPr="005335B0">
        <w:rPr>
          <w:rFonts w:ascii="Times New Roman" w:hAnsi="Times New Roman" w:cs="Times New Roman"/>
          <w:b/>
          <w:bCs/>
        </w:rPr>
        <w:t xml:space="preserve"> Design and Multifunctionality</w:t>
      </w:r>
    </w:p>
    <w:p w14:paraId="6AF12B59" w14:textId="65F10C14"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Recent years have witnessed significant innovations in the design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enhancing their multifunctionality and therapeutic potential. Advances include the development of stimuli-responsive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that release drugs in response to specific triggers such as pH, temperature, or enzymatic activity, enabling precise spatiotemporal control over drug delivery [64]. Researchers have also engineered multifunctional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capable of simultaneous drug delivery, imaging, and diagnostic functions, thereby advancing the field of </w:t>
      </w:r>
      <w:r w:rsidR="006D3116" w:rsidRPr="005335B0">
        <w:rPr>
          <w:rFonts w:ascii="Times New Roman" w:hAnsi="Times New Roman" w:cs="Times New Roman"/>
        </w:rPr>
        <w:t>theragnostic</w:t>
      </w:r>
      <w:r w:rsidRPr="005335B0">
        <w:rPr>
          <w:rFonts w:ascii="Times New Roman" w:hAnsi="Times New Roman" w:cs="Times New Roman"/>
        </w:rPr>
        <w:t xml:space="preserve"> [65]. Surface modifications with novel ligands and polymers have improved targeting specificity and circulation time, while efforts to optimize carbohydrate coatings have enhanced stability and payload capacity [66].</w:t>
      </w:r>
    </w:p>
    <w:p w14:paraId="4118D5FD"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Integration with Other Nanotechnologies</w:t>
      </w:r>
    </w:p>
    <w:p w14:paraId="70D63109" w14:textId="05247F1E"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To overcome limitations inherent to single nanocarrier systems,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are increasingly being integrated with other nanotechnologies such as liposomes, dendrimers, and polymeric nanoparticles. Hybrid systems combine the advantages of each component, such as the biocompatibility and drug encapsulation efficiency of liposomes with the structural stability and targeting capabilities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[67</w:t>
      </w:r>
      <w:r w:rsidR="006029C3">
        <w:rPr>
          <w:rFonts w:ascii="Times New Roman" w:hAnsi="Times New Roman" w:cs="Times New Roman"/>
        </w:rPr>
        <w:t>,75</w:t>
      </w:r>
      <w:r w:rsidRPr="005335B0">
        <w:rPr>
          <w:rFonts w:ascii="Times New Roman" w:hAnsi="Times New Roman" w:cs="Times New Roman"/>
        </w:rPr>
        <w:t xml:space="preserve">]. For example, dendrimer-coated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have shown improved drug loading and controlled release profiles, while liposome-</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hybrids facilitate co-delivery of hydrophilic and hydrophobic drugs [68]. These integrative approaches expand the versatility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and open new avenues for complex therapeutic regimens.</w:t>
      </w:r>
    </w:p>
    <w:p w14:paraId="6424163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Potential for Personalized Medicine and Combination Therapies</w:t>
      </w:r>
    </w:p>
    <w:p w14:paraId="5774FDD7" w14:textId="04279005"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hold great promise for personalized medicine by enabling tailored drug delivery based on individual patient profiles. Their modular design allows for customization of core materials, surface coatings, and targeting ligands to suit specific disease types and patient needs [69]. Moreover,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can be engineered to co-deliver multiple therapeutic agents, facilitating combination therapies that target different pathways simultaneously, which is particularly valuable in cancer and infectious disease treatment [70</w:t>
      </w:r>
      <w:r w:rsidR="006029C3">
        <w:rPr>
          <w:rFonts w:ascii="Times New Roman" w:hAnsi="Times New Roman" w:cs="Times New Roman"/>
        </w:rPr>
        <w:t>,76</w:t>
      </w:r>
      <w:r w:rsidRPr="005335B0">
        <w:rPr>
          <w:rFonts w:ascii="Times New Roman" w:hAnsi="Times New Roman" w:cs="Times New Roman"/>
        </w:rPr>
        <w:t>]. This capability enhances therapeutic efficacy while potentially reducing drug resistance and side effects.</w:t>
      </w:r>
    </w:p>
    <w:p w14:paraId="3E3B1458"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Emerging Trends and Research Gaps</w:t>
      </w:r>
    </w:p>
    <w:p w14:paraId="7B885BBE" w14:textId="2D519BFA"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progress, several research gaps remain in </w:t>
      </w:r>
      <w:proofErr w:type="spellStart"/>
      <w:r w:rsidRPr="005335B0">
        <w:rPr>
          <w:rFonts w:ascii="Times New Roman" w:hAnsi="Times New Roman" w:cs="Times New Roman"/>
        </w:rPr>
        <w:t>aquasome</w:t>
      </w:r>
      <w:proofErr w:type="spellEnd"/>
      <w:r w:rsidRPr="005335B0">
        <w:rPr>
          <w:rFonts w:ascii="Times New Roman" w:hAnsi="Times New Roman" w:cs="Times New Roman"/>
        </w:rPr>
        <w:t xml:space="preserve"> technology. There is a need for deeper understanding of in vivo behavior, long-term toxicity, and immunogenicity to ensure safety and efficacy [71</w:t>
      </w:r>
      <w:r w:rsidR="006029C3">
        <w:rPr>
          <w:rFonts w:ascii="Times New Roman" w:hAnsi="Times New Roman" w:cs="Times New Roman"/>
        </w:rPr>
        <w:t>,74</w:t>
      </w:r>
      <w:r w:rsidRPr="005335B0">
        <w:rPr>
          <w:rFonts w:ascii="Times New Roman" w:hAnsi="Times New Roman" w:cs="Times New Roman"/>
        </w:rPr>
        <w:t xml:space="preserve">]. Standardized protocols for large-scale production and quality control are lacking, hindering clinical translation [72]. Emerging trends focus on developing biodegradable and stimuli-responsive materials, improving targeting precision, and integrating artificial intelligence </w:t>
      </w:r>
      <w:r w:rsidRPr="005335B0">
        <w:rPr>
          <w:rFonts w:ascii="Times New Roman" w:hAnsi="Times New Roman" w:cs="Times New Roman"/>
        </w:rPr>
        <w:lastRenderedPageBreak/>
        <w:t xml:space="preserve">for design optimization [73]. Addressing these challenges will be critical for realizing the full potential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clinical settings.</w:t>
      </w:r>
    </w:p>
    <w:p w14:paraId="1374D306" w14:textId="77777777" w:rsidR="005335B0" w:rsidRPr="005335B0" w:rsidRDefault="005335B0" w:rsidP="005335B0">
      <w:pPr>
        <w:jc w:val="both"/>
        <w:rPr>
          <w:rFonts w:ascii="Times New Roman" w:hAnsi="Times New Roman" w:cs="Times New Roman"/>
          <w:b/>
          <w:bCs/>
        </w:rPr>
      </w:pPr>
      <w:r w:rsidRPr="005335B0">
        <w:rPr>
          <w:rFonts w:ascii="Times New Roman" w:hAnsi="Times New Roman" w:cs="Times New Roman"/>
          <w:b/>
          <w:bCs/>
        </w:rPr>
        <w:t>Conclusion</w:t>
      </w:r>
    </w:p>
    <w:p w14:paraId="03D040E2" w14:textId="77777777" w:rsidR="005335B0" w:rsidRPr="005335B0" w:rsidRDefault="005335B0" w:rsidP="005335B0">
      <w:pPr>
        <w:jc w:val="both"/>
        <w:rPr>
          <w:rFonts w:ascii="Times New Roman" w:hAnsi="Times New Roman" w:cs="Times New Roman"/>
        </w:rPr>
      </w:pP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represent a versatile and innovative nanostructured platform that has significantly advanced the field of targeted drug delivery and controlled release. Their unique core-shell architecture, featuring a biocompatible carbohydrate coating, enables the stabilization and protection of sensitive therapeutic agents such as proteins, peptides, and nucleic acids. This design facilitates enhanced bioavailability, reduced systemic toxicity, and improved therapeutic efficacy across a broad spectrum of biomedical applications, including anticancer therapy, vaccine delivery, enzyme immobilization, and diagnostic imaging.</w:t>
      </w:r>
    </w:p>
    <w:p w14:paraId="6755DE50"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The integration of stimuli-responsive features and multifunctionality further elevates the potential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allowing for precise spatiotemporal control of drug release and the combination of therapeutic and diagnostic capabilities within a single platform. Moreover, the ability to functionalize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for active targeting enhances specificity, minimizing off-target effects and improving patient outcomes.</w:t>
      </w:r>
    </w:p>
    <w:p w14:paraId="643E9673"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Despite these promising attributes, challenges related to large-scale production, reproducibility, long-term safety, and regulatory approval remain significant barriers to clinical translation. Addressing these issues through standardized manufacturing protocols, comprehensive toxicity studies, and collaborative regulatory frameworks will be essential for the successful adoption of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in clinical practice.</w:t>
      </w:r>
    </w:p>
    <w:p w14:paraId="501EAF7D" w14:textId="77777777" w:rsidR="005335B0" w:rsidRPr="005335B0" w:rsidRDefault="005335B0" w:rsidP="005335B0">
      <w:pPr>
        <w:jc w:val="both"/>
        <w:rPr>
          <w:rFonts w:ascii="Times New Roman" w:hAnsi="Times New Roman" w:cs="Times New Roman"/>
        </w:rPr>
      </w:pPr>
      <w:r w:rsidRPr="005335B0">
        <w:rPr>
          <w:rFonts w:ascii="Times New Roman" w:hAnsi="Times New Roman" w:cs="Times New Roman"/>
        </w:rPr>
        <w:t xml:space="preserve">Looking forward, continued research focusing on the development of biodegradable materials, integration with other nanotechnologies, and personalized medicine approaches will be critical. The incorporation of artificial intelligence and machine learning for design optimization also holds great promise in accelerating innovation. Overall, </w:t>
      </w:r>
      <w:proofErr w:type="spellStart"/>
      <w:r w:rsidRPr="005335B0">
        <w:rPr>
          <w:rFonts w:ascii="Times New Roman" w:hAnsi="Times New Roman" w:cs="Times New Roman"/>
        </w:rPr>
        <w:t>aquasomes</w:t>
      </w:r>
      <w:proofErr w:type="spellEnd"/>
      <w:r w:rsidRPr="005335B0">
        <w:rPr>
          <w:rFonts w:ascii="Times New Roman" w:hAnsi="Times New Roman" w:cs="Times New Roman"/>
        </w:rPr>
        <w:t xml:space="preserve"> stand poised to make a substantial impact in nanomedicine, offering new avenues for effective and personalized therapeutic interventions.</w:t>
      </w:r>
    </w:p>
    <w:p w14:paraId="4CC69577" w14:textId="77777777" w:rsidR="007C7729" w:rsidRDefault="007C7729" w:rsidP="007C7729">
      <w:pPr>
        <w:jc w:val="both"/>
        <w:rPr>
          <w:rFonts w:ascii="Times New Roman" w:hAnsi="Times New Roman" w:cs="Times New Roman"/>
        </w:rPr>
      </w:pPr>
    </w:p>
    <w:p w14:paraId="13FDFE7D" w14:textId="77777777" w:rsidR="007C7729" w:rsidRDefault="007C7729" w:rsidP="007C7729">
      <w:pPr>
        <w:jc w:val="both"/>
        <w:rPr>
          <w:rFonts w:ascii="Times New Roman" w:hAnsi="Times New Roman" w:cs="Times New Roman"/>
        </w:rPr>
      </w:pPr>
    </w:p>
    <w:p w14:paraId="588FBDC2" w14:textId="77777777" w:rsidR="007C7729" w:rsidRDefault="007C7729" w:rsidP="007C7729">
      <w:pPr>
        <w:jc w:val="both"/>
        <w:rPr>
          <w:rFonts w:ascii="Times New Roman" w:hAnsi="Times New Roman" w:cs="Times New Roman"/>
        </w:rPr>
      </w:pPr>
    </w:p>
    <w:tbl>
      <w:tblPr>
        <w:tblStyle w:val="TableGridLight"/>
        <w:tblW w:w="6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95"/>
        <w:gridCol w:w="4221"/>
      </w:tblGrid>
      <w:tr w:rsidR="00B06150" w:rsidRPr="00B06150" w14:paraId="3078CD47" w14:textId="77777777" w:rsidTr="00B06150">
        <w:tc>
          <w:tcPr>
            <w:tcW w:w="1795" w:type="dxa"/>
            <w:shd w:val="clear" w:color="auto" w:fill="FFFFFF" w:themeFill="background1"/>
            <w:noWrap/>
            <w:hideMark/>
          </w:tcPr>
          <w:p w14:paraId="591392CA" w14:textId="77777777" w:rsidR="00B06150" w:rsidRPr="00B06150" w:rsidRDefault="00B06150" w:rsidP="00B06150">
            <w:pPr>
              <w:spacing w:after="160" w:line="278" w:lineRule="auto"/>
              <w:jc w:val="both"/>
              <w:rPr>
                <w:rFonts w:ascii="Times New Roman" w:hAnsi="Times New Roman" w:cs="Times New Roman"/>
                <w:b/>
                <w:bCs/>
              </w:rPr>
            </w:pPr>
            <w:r w:rsidRPr="00B06150">
              <w:rPr>
                <w:rFonts w:ascii="Times New Roman" w:hAnsi="Times New Roman" w:cs="Times New Roman"/>
                <w:b/>
                <w:bCs/>
              </w:rPr>
              <w:t>Abbreviation</w:t>
            </w:r>
          </w:p>
        </w:tc>
        <w:tc>
          <w:tcPr>
            <w:tcW w:w="4221" w:type="dxa"/>
            <w:shd w:val="clear" w:color="auto" w:fill="FFFFFF" w:themeFill="background1"/>
            <w:noWrap/>
            <w:hideMark/>
          </w:tcPr>
          <w:p w14:paraId="5EF32254" w14:textId="77777777" w:rsidR="00B06150" w:rsidRPr="00B06150" w:rsidRDefault="00B06150" w:rsidP="00B06150">
            <w:pPr>
              <w:spacing w:after="160" w:line="278" w:lineRule="auto"/>
              <w:jc w:val="both"/>
              <w:rPr>
                <w:rFonts w:ascii="Times New Roman" w:hAnsi="Times New Roman" w:cs="Times New Roman"/>
                <w:b/>
                <w:bCs/>
              </w:rPr>
            </w:pPr>
            <w:r w:rsidRPr="00B06150">
              <w:rPr>
                <w:rFonts w:ascii="Times New Roman" w:hAnsi="Times New Roman" w:cs="Times New Roman"/>
                <w:b/>
                <w:bCs/>
              </w:rPr>
              <w:t>Full Form</w:t>
            </w:r>
          </w:p>
        </w:tc>
      </w:tr>
      <w:tr w:rsidR="00B06150" w:rsidRPr="00B06150" w14:paraId="34417F49" w14:textId="77777777" w:rsidTr="00B06150">
        <w:tc>
          <w:tcPr>
            <w:tcW w:w="1795" w:type="dxa"/>
            <w:shd w:val="clear" w:color="auto" w:fill="FFFFFF" w:themeFill="background1"/>
            <w:hideMark/>
          </w:tcPr>
          <w:p w14:paraId="2567F1B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RES</w:t>
            </w:r>
          </w:p>
        </w:tc>
        <w:tc>
          <w:tcPr>
            <w:tcW w:w="4221" w:type="dxa"/>
            <w:shd w:val="clear" w:color="auto" w:fill="FFFFFF" w:themeFill="background1"/>
            <w:hideMark/>
          </w:tcPr>
          <w:p w14:paraId="1FAFBF1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Reticuloendothelial System</w:t>
            </w:r>
          </w:p>
        </w:tc>
      </w:tr>
      <w:tr w:rsidR="00B06150" w:rsidRPr="00B06150" w14:paraId="71790127" w14:textId="77777777" w:rsidTr="00B06150">
        <w:tc>
          <w:tcPr>
            <w:tcW w:w="1795" w:type="dxa"/>
            <w:shd w:val="clear" w:color="auto" w:fill="FFFFFF" w:themeFill="background1"/>
            <w:hideMark/>
          </w:tcPr>
          <w:p w14:paraId="4FBCEF6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SEM</w:t>
            </w:r>
          </w:p>
        </w:tc>
        <w:tc>
          <w:tcPr>
            <w:tcW w:w="4221" w:type="dxa"/>
            <w:shd w:val="clear" w:color="auto" w:fill="FFFFFF" w:themeFill="background1"/>
            <w:hideMark/>
          </w:tcPr>
          <w:p w14:paraId="1E38509B"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Scanning Electron Microscopy</w:t>
            </w:r>
          </w:p>
        </w:tc>
      </w:tr>
      <w:tr w:rsidR="00B06150" w:rsidRPr="00B06150" w14:paraId="40E73185" w14:textId="77777777" w:rsidTr="00B06150">
        <w:tc>
          <w:tcPr>
            <w:tcW w:w="1795" w:type="dxa"/>
            <w:shd w:val="clear" w:color="auto" w:fill="FFFFFF" w:themeFill="background1"/>
            <w:hideMark/>
          </w:tcPr>
          <w:p w14:paraId="4A2E33DF"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TEM</w:t>
            </w:r>
          </w:p>
        </w:tc>
        <w:tc>
          <w:tcPr>
            <w:tcW w:w="4221" w:type="dxa"/>
            <w:shd w:val="clear" w:color="auto" w:fill="FFFFFF" w:themeFill="background1"/>
            <w:hideMark/>
          </w:tcPr>
          <w:p w14:paraId="6988D1D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Transmission Electron Microscopy</w:t>
            </w:r>
          </w:p>
        </w:tc>
      </w:tr>
      <w:tr w:rsidR="00B06150" w:rsidRPr="00B06150" w14:paraId="3D8ABF32" w14:textId="77777777" w:rsidTr="00B06150">
        <w:tc>
          <w:tcPr>
            <w:tcW w:w="1795" w:type="dxa"/>
            <w:shd w:val="clear" w:color="auto" w:fill="FFFFFF" w:themeFill="background1"/>
            <w:hideMark/>
          </w:tcPr>
          <w:p w14:paraId="0063A44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lastRenderedPageBreak/>
              <w:t>DLS</w:t>
            </w:r>
          </w:p>
        </w:tc>
        <w:tc>
          <w:tcPr>
            <w:tcW w:w="4221" w:type="dxa"/>
            <w:shd w:val="clear" w:color="auto" w:fill="FFFFFF" w:themeFill="background1"/>
            <w:hideMark/>
          </w:tcPr>
          <w:p w14:paraId="09A29715"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Dynamic Light Scattering</w:t>
            </w:r>
          </w:p>
        </w:tc>
      </w:tr>
      <w:tr w:rsidR="00B06150" w:rsidRPr="00B06150" w14:paraId="2BFCBFF5" w14:textId="77777777" w:rsidTr="00B06150">
        <w:tc>
          <w:tcPr>
            <w:tcW w:w="1795" w:type="dxa"/>
            <w:shd w:val="clear" w:color="auto" w:fill="FFFFFF" w:themeFill="background1"/>
            <w:hideMark/>
          </w:tcPr>
          <w:p w14:paraId="0ED5BCB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FTIR</w:t>
            </w:r>
          </w:p>
        </w:tc>
        <w:tc>
          <w:tcPr>
            <w:tcW w:w="4221" w:type="dxa"/>
            <w:shd w:val="clear" w:color="auto" w:fill="FFFFFF" w:themeFill="background1"/>
            <w:hideMark/>
          </w:tcPr>
          <w:p w14:paraId="38B5A80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Fourier Transform Infrared Spectroscopy</w:t>
            </w:r>
          </w:p>
        </w:tc>
      </w:tr>
      <w:tr w:rsidR="00B06150" w:rsidRPr="00B06150" w14:paraId="1FE3BAA7" w14:textId="77777777" w:rsidTr="00B06150">
        <w:tc>
          <w:tcPr>
            <w:tcW w:w="1795" w:type="dxa"/>
            <w:shd w:val="clear" w:color="auto" w:fill="FFFFFF" w:themeFill="background1"/>
            <w:hideMark/>
          </w:tcPr>
          <w:p w14:paraId="1A5CED8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PEG</w:t>
            </w:r>
          </w:p>
        </w:tc>
        <w:tc>
          <w:tcPr>
            <w:tcW w:w="4221" w:type="dxa"/>
            <w:shd w:val="clear" w:color="auto" w:fill="FFFFFF" w:themeFill="background1"/>
            <w:hideMark/>
          </w:tcPr>
          <w:p w14:paraId="7A120200"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Polyethylene Glycol</w:t>
            </w:r>
          </w:p>
        </w:tc>
      </w:tr>
      <w:tr w:rsidR="00B06150" w:rsidRPr="00B06150" w14:paraId="4A04C9B9" w14:textId="77777777" w:rsidTr="00B06150">
        <w:tc>
          <w:tcPr>
            <w:tcW w:w="1795" w:type="dxa"/>
            <w:shd w:val="clear" w:color="auto" w:fill="FFFFFF" w:themeFill="background1"/>
            <w:hideMark/>
          </w:tcPr>
          <w:p w14:paraId="7E7C6DD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PAMPs</w:t>
            </w:r>
          </w:p>
        </w:tc>
        <w:tc>
          <w:tcPr>
            <w:tcW w:w="4221" w:type="dxa"/>
            <w:shd w:val="clear" w:color="auto" w:fill="FFFFFF" w:themeFill="background1"/>
            <w:hideMark/>
          </w:tcPr>
          <w:p w14:paraId="068F7EE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Pathogen-Associated Molecular Patterns</w:t>
            </w:r>
          </w:p>
        </w:tc>
      </w:tr>
      <w:tr w:rsidR="00B06150" w:rsidRPr="00B06150" w14:paraId="28413B29" w14:textId="77777777" w:rsidTr="00B06150">
        <w:tc>
          <w:tcPr>
            <w:tcW w:w="1795" w:type="dxa"/>
            <w:shd w:val="clear" w:color="auto" w:fill="FFFFFF" w:themeFill="background1"/>
            <w:hideMark/>
          </w:tcPr>
          <w:p w14:paraId="34BB9B9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APCs</w:t>
            </w:r>
          </w:p>
        </w:tc>
        <w:tc>
          <w:tcPr>
            <w:tcW w:w="4221" w:type="dxa"/>
            <w:shd w:val="clear" w:color="auto" w:fill="FFFFFF" w:themeFill="background1"/>
            <w:hideMark/>
          </w:tcPr>
          <w:p w14:paraId="1C4BEFF5"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Antigen-Presenting Cells</w:t>
            </w:r>
          </w:p>
        </w:tc>
      </w:tr>
      <w:tr w:rsidR="00B06150" w:rsidRPr="00B06150" w14:paraId="219ED0B8" w14:textId="77777777" w:rsidTr="00B06150">
        <w:tc>
          <w:tcPr>
            <w:tcW w:w="1795" w:type="dxa"/>
            <w:shd w:val="clear" w:color="auto" w:fill="FFFFFF" w:themeFill="background1"/>
            <w:hideMark/>
          </w:tcPr>
          <w:p w14:paraId="69874D5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EPR</w:t>
            </w:r>
          </w:p>
        </w:tc>
        <w:tc>
          <w:tcPr>
            <w:tcW w:w="4221" w:type="dxa"/>
            <w:shd w:val="clear" w:color="auto" w:fill="FFFFFF" w:themeFill="background1"/>
            <w:hideMark/>
          </w:tcPr>
          <w:p w14:paraId="06AFCED7"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Enhanced Permeability and Retention</w:t>
            </w:r>
          </w:p>
        </w:tc>
      </w:tr>
      <w:tr w:rsidR="00B06150" w:rsidRPr="00B06150" w14:paraId="2989B479" w14:textId="77777777" w:rsidTr="00B06150">
        <w:tc>
          <w:tcPr>
            <w:tcW w:w="1795" w:type="dxa"/>
            <w:shd w:val="clear" w:color="auto" w:fill="FFFFFF" w:themeFill="background1"/>
            <w:hideMark/>
          </w:tcPr>
          <w:p w14:paraId="64B9E8A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MRI</w:t>
            </w:r>
          </w:p>
        </w:tc>
        <w:tc>
          <w:tcPr>
            <w:tcW w:w="4221" w:type="dxa"/>
            <w:shd w:val="clear" w:color="auto" w:fill="FFFFFF" w:themeFill="background1"/>
            <w:hideMark/>
          </w:tcPr>
          <w:p w14:paraId="4B2019C7"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Magnetic Resonance Imaging</w:t>
            </w:r>
          </w:p>
        </w:tc>
      </w:tr>
      <w:tr w:rsidR="00B06150" w:rsidRPr="00B06150" w14:paraId="5E659EFF" w14:textId="77777777" w:rsidTr="00B06150">
        <w:tc>
          <w:tcPr>
            <w:tcW w:w="1795" w:type="dxa"/>
            <w:shd w:val="clear" w:color="auto" w:fill="FFFFFF" w:themeFill="background1"/>
            <w:hideMark/>
          </w:tcPr>
          <w:p w14:paraId="22DD3CE2"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CT</w:t>
            </w:r>
          </w:p>
        </w:tc>
        <w:tc>
          <w:tcPr>
            <w:tcW w:w="4221" w:type="dxa"/>
            <w:shd w:val="clear" w:color="auto" w:fill="FFFFFF" w:themeFill="background1"/>
            <w:hideMark/>
          </w:tcPr>
          <w:p w14:paraId="1C75630D"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Computed Tomography</w:t>
            </w:r>
          </w:p>
        </w:tc>
      </w:tr>
      <w:tr w:rsidR="00B06150" w:rsidRPr="00B06150" w14:paraId="5529AA89" w14:textId="77777777" w:rsidTr="00B06150">
        <w:tc>
          <w:tcPr>
            <w:tcW w:w="1795" w:type="dxa"/>
            <w:shd w:val="clear" w:color="auto" w:fill="FFFFFF" w:themeFill="background1"/>
            <w:hideMark/>
          </w:tcPr>
          <w:p w14:paraId="7B917C18"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b/>
                <w:bCs/>
              </w:rPr>
              <w:t>AI</w:t>
            </w:r>
          </w:p>
        </w:tc>
        <w:tc>
          <w:tcPr>
            <w:tcW w:w="4221" w:type="dxa"/>
            <w:shd w:val="clear" w:color="auto" w:fill="FFFFFF" w:themeFill="background1"/>
            <w:hideMark/>
          </w:tcPr>
          <w:p w14:paraId="17528E4C" w14:textId="77777777" w:rsidR="00B06150" w:rsidRPr="00B06150" w:rsidRDefault="00B06150" w:rsidP="00B06150">
            <w:pPr>
              <w:spacing w:after="160" w:line="278" w:lineRule="auto"/>
              <w:jc w:val="both"/>
              <w:rPr>
                <w:rFonts w:ascii="Times New Roman" w:hAnsi="Times New Roman" w:cs="Times New Roman"/>
              </w:rPr>
            </w:pPr>
            <w:r w:rsidRPr="00B06150">
              <w:rPr>
                <w:rFonts w:ascii="Times New Roman" w:hAnsi="Times New Roman" w:cs="Times New Roman"/>
              </w:rPr>
              <w:t>Artificial Intelligence</w:t>
            </w:r>
          </w:p>
        </w:tc>
      </w:tr>
    </w:tbl>
    <w:p w14:paraId="5CBA565B" w14:textId="77777777" w:rsidR="007C7729" w:rsidRDefault="007C7729" w:rsidP="007C7729">
      <w:pPr>
        <w:jc w:val="both"/>
        <w:rPr>
          <w:rFonts w:ascii="Times New Roman" w:hAnsi="Times New Roman" w:cs="Times New Roman"/>
        </w:rPr>
      </w:pPr>
    </w:p>
    <w:p w14:paraId="34D9500C" w14:textId="2DCCD71C" w:rsidR="00F2041E" w:rsidRDefault="007A0498" w:rsidP="007A0498">
      <w:pPr>
        <w:jc w:val="both"/>
        <w:rPr>
          <w:rFonts w:ascii="Times New Roman" w:hAnsi="Times New Roman" w:cs="Times New Roman"/>
        </w:rPr>
      </w:pPr>
      <w:r>
        <w:rPr>
          <w:rFonts w:ascii="Times New Roman" w:hAnsi="Times New Roman" w:cs="Times New Roman"/>
        </w:rPr>
        <w:t>References</w:t>
      </w:r>
      <w:r w:rsidR="007C7729">
        <w:rPr>
          <w:rFonts w:ascii="Times New Roman" w:hAnsi="Times New Roman" w:cs="Times New Roman"/>
        </w:rPr>
        <w:t xml:space="preserve"> – </w:t>
      </w:r>
    </w:p>
    <w:p w14:paraId="798ECED0" w14:textId="312AABD6"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Gregoriadis</w:t>
      </w:r>
      <w:proofErr w:type="spellEnd"/>
      <w:r w:rsidRPr="00F2041E">
        <w:rPr>
          <w:rFonts w:ascii="Times New Roman" w:hAnsi="Times New Roman" w:cs="Times New Roman"/>
        </w:rPr>
        <w:t xml:space="preserve"> G, et al. Drug-carrier potential of liposomes in cancer chemotherapy. The Lancet. 1974;303(7870):1313–1316.</w:t>
      </w:r>
      <w:r w:rsidRPr="00F2041E">
        <w:rPr>
          <w:rFonts w:ascii="Times New Roman" w:hAnsi="Times New Roman" w:cs="Times New Roman"/>
        </w:rPr>
        <w:br/>
        <w:t>doi:10.1016/S0140-6736(74)91866-8</w:t>
      </w:r>
    </w:p>
    <w:p w14:paraId="76A0FC71" w14:textId="410DE17B"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Govender T, Stolnik S, Garnett MC, Illum L, Davis SS. </w:t>
      </w:r>
      <w:r w:rsidRPr="00F2041E">
        <w:rPr>
          <w:rFonts w:ascii="Times New Roman" w:hAnsi="Times New Roman" w:cs="Times New Roman"/>
        </w:rPr>
        <w:t>PLGA nanoparticles prepared by nanoprecipitation: drug loading and release studies of a water-soluble drug. Journal of Controlled Release. 1999;57(2):171–185.</w:t>
      </w:r>
      <w:r w:rsidRPr="00F2041E">
        <w:rPr>
          <w:rFonts w:ascii="Times New Roman" w:hAnsi="Times New Roman" w:cs="Times New Roman"/>
        </w:rPr>
        <w:br/>
        <w:t>doi:10.1016/S0168-3659(98)00116-3</w:t>
      </w:r>
    </w:p>
    <w:p w14:paraId="1901770F" w14:textId="2AB0281F"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Ofokansi</w:t>
      </w:r>
      <w:proofErr w:type="spellEnd"/>
      <w:r w:rsidRPr="00F2041E">
        <w:rPr>
          <w:rFonts w:ascii="Times New Roman" w:hAnsi="Times New Roman" w:cs="Times New Roman"/>
        </w:rPr>
        <w:t xml:space="preserve"> K, Winter G, Fricker G, </w:t>
      </w:r>
      <w:proofErr w:type="spellStart"/>
      <w:r w:rsidRPr="00F2041E">
        <w:rPr>
          <w:rFonts w:ascii="Times New Roman" w:hAnsi="Times New Roman" w:cs="Times New Roman"/>
        </w:rPr>
        <w:t>Coester</w:t>
      </w:r>
      <w:proofErr w:type="spellEnd"/>
      <w:r w:rsidRPr="00F2041E">
        <w:rPr>
          <w:rFonts w:ascii="Times New Roman" w:hAnsi="Times New Roman" w:cs="Times New Roman"/>
        </w:rPr>
        <w:t xml:space="preserve"> C. Matrix-loaded biodegradable gelatin nanoparticles as new approach to improve drug loading and delivery. European Journal of Pharmaceutics and Biopharmaceutics. 2010;76(1):1–9.</w:t>
      </w:r>
      <w:r w:rsidRPr="00F2041E">
        <w:rPr>
          <w:rFonts w:ascii="Times New Roman" w:hAnsi="Times New Roman" w:cs="Times New Roman"/>
        </w:rPr>
        <w:br/>
      </w:r>
      <w:proofErr w:type="gramStart"/>
      <w:r w:rsidRPr="00F2041E">
        <w:rPr>
          <w:rFonts w:ascii="Times New Roman" w:hAnsi="Times New Roman" w:cs="Times New Roman"/>
        </w:rPr>
        <w:t>doi:10.1016/j.ejpb</w:t>
      </w:r>
      <w:proofErr w:type="gramEnd"/>
      <w:r w:rsidRPr="00F2041E">
        <w:rPr>
          <w:rFonts w:ascii="Times New Roman" w:hAnsi="Times New Roman" w:cs="Times New Roman"/>
        </w:rPr>
        <w:t>.2010.05.003</w:t>
      </w:r>
    </w:p>
    <w:p w14:paraId="6841459A" w14:textId="673614A3"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Choi C, </w:t>
      </w:r>
      <w:proofErr w:type="spellStart"/>
      <w:r w:rsidRPr="00F2041E">
        <w:rPr>
          <w:rFonts w:ascii="Times New Roman" w:hAnsi="Times New Roman" w:cs="Times New Roman"/>
        </w:rPr>
        <w:t>Chae</w:t>
      </w:r>
      <w:proofErr w:type="spellEnd"/>
      <w:r w:rsidRPr="00F2041E">
        <w:rPr>
          <w:rFonts w:ascii="Times New Roman" w:hAnsi="Times New Roman" w:cs="Times New Roman"/>
        </w:rPr>
        <w:t xml:space="preserve"> SY, Nah JW. Thermosensitive poly(N-isopropylacrylamide)-b-poly(ε-caprolactone) nanoparticles for efficient drug delivery system. Polymer. 2006;47(13):4571–4580.</w:t>
      </w:r>
      <w:r w:rsidRPr="00F2041E">
        <w:rPr>
          <w:rFonts w:ascii="Times New Roman" w:hAnsi="Times New Roman" w:cs="Times New Roman"/>
        </w:rPr>
        <w:br/>
      </w:r>
      <w:proofErr w:type="gramStart"/>
      <w:r w:rsidRPr="00F2041E">
        <w:rPr>
          <w:rFonts w:ascii="Times New Roman" w:hAnsi="Times New Roman" w:cs="Times New Roman"/>
        </w:rPr>
        <w:t>doi:10.1016/j.polymer</w:t>
      </w:r>
      <w:proofErr w:type="gramEnd"/>
      <w:r w:rsidRPr="00F2041E">
        <w:rPr>
          <w:rFonts w:ascii="Times New Roman" w:hAnsi="Times New Roman" w:cs="Times New Roman"/>
        </w:rPr>
        <w:t>.2006.04.035</w:t>
      </w:r>
    </w:p>
    <w:p w14:paraId="2B1805E7" w14:textId="77CDEA84"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Scholes PD, Coombes AGA, Illum L, Davis SS, Vert M, Davies MC. The preparation of sub-200 nm poly(lactide-co-</w:t>
      </w:r>
      <w:proofErr w:type="spellStart"/>
      <w:r w:rsidRPr="00F2041E">
        <w:rPr>
          <w:rFonts w:ascii="Times New Roman" w:hAnsi="Times New Roman" w:cs="Times New Roman"/>
        </w:rPr>
        <w:t>glycolide</w:t>
      </w:r>
      <w:proofErr w:type="spellEnd"/>
      <w:r w:rsidRPr="00F2041E">
        <w:rPr>
          <w:rFonts w:ascii="Times New Roman" w:hAnsi="Times New Roman" w:cs="Times New Roman"/>
        </w:rPr>
        <w:t>) microspheres for site-specific drug delivery. Journal of Controlled Release. 1993;25(1):145–153.</w:t>
      </w:r>
      <w:r w:rsidRPr="00F2041E">
        <w:rPr>
          <w:rFonts w:ascii="Times New Roman" w:hAnsi="Times New Roman" w:cs="Times New Roman"/>
        </w:rPr>
        <w:br/>
        <w:t>doi:10.1016/0168-3659(93)90061-H</w:t>
      </w:r>
    </w:p>
    <w:p w14:paraId="53A74A68" w14:textId="26C7CC43"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Patri AK, Kukowska-Latallo JF, Baker JR. </w:t>
      </w:r>
      <w:r w:rsidRPr="00F2041E">
        <w:rPr>
          <w:rFonts w:ascii="Times New Roman" w:hAnsi="Times New Roman" w:cs="Times New Roman"/>
        </w:rPr>
        <w:t>Targeted drug delivery with dendrimers: comparison of the release kinetics of covalently conjugated drug and non-covalent drug inclusion complex. Advanced Drug Delivery Reviews. 2005;57(15):2203–2214.</w:t>
      </w:r>
      <w:r w:rsidRPr="00F2041E">
        <w:rPr>
          <w:rFonts w:ascii="Times New Roman" w:hAnsi="Times New Roman" w:cs="Times New Roman"/>
        </w:rPr>
        <w:br/>
      </w:r>
      <w:proofErr w:type="gramStart"/>
      <w:r w:rsidRPr="00F2041E">
        <w:rPr>
          <w:rFonts w:ascii="Times New Roman" w:hAnsi="Times New Roman" w:cs="Times New Roman"/>
        </w:rPr>
        <w:t>doi:10.1016/j.addr</w:t>
      </w:r>
      <w:proofErr w:type="gramEnd"/>
      <w:r w:rsidRPr="00F2041E">
        <w:rPr>
          <w:rFonts w:ascii="Times New Roman" w:hAnsi="Times New Roman" w:cs="Times New Roman"/>
        </w:rPr>
        <w:t>.2005.09.014</w:t>
      </w:r>
    </w:p>
    <w:p w14:paraId="53DE494D" w14:textId="7A3A2402"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lastRenderedPageBreak/>
        <w:t xml:space="preserve">Rothenfluh DA, Bermudez H, O’Neil CP, Hubbell JA. </w:t>
      </w:r>
      <w:proofErr w:type="spellStart"/>
      <w:r w:rsidRPr="00F2041E">
        <w:rPr>
          <w:rFonts w:ascii="Times New Roman" w:hAnsi="Times New Roman" w:cs="Times New Roman"/>
        </w:rPr>
        <w:t>Biofunctional</w:t>
      </w:r>
      <w:proofErr w:type="spellEnd"/>
      <w:r w:rsidRPr="00F2041E">
        <w:rPr>
          <w:rFonts w:ascii="Times New Roman" w:hAnsi="Times New Roman" w:cs="Times New Roman"/>
        </w:rPr>
        <w:t xml:space="preserve"> polymer nanoparticles for intra-articular targeting and retention in cartilage. Nature Materials. 2008;7(3):248–254.</w:t>
      </w:r>
      <w:r w:rsidRPr="00F2041E">
        <w:rPr>
          <w:rFonts w:ascii="Times New Roman" w:hAnsi="Times New Roman" w:cs="Times New Roman"/>
        </w:rPr>
        <w:br/>
        <w:t>doi:10.1038/nmat2116</w:t>
      </w:r>
    </w:p>
    <w:p w14:paraId="11AF00CB" w14:textId="207B2335"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Devarakonda</w:t>
      </w:r>
      <w:proofErr w:type="spellEnd"/>
      <w:r w:rsidRPr="00F2041E">
        <w:rPr>
          <w:rFonts w:ascii="Times New Roman" w:hAnsi="Times New Roman" w:cs="Times New Roman"/>
        </w:rPr>
        <w:t xml:space="preserve"> B, Hill RA, Liebenberg W, Brits M, De Villiers MM. Comparison of the aqueous solubilization of practically insoluble </w:t>
      </w:r>
      <w:proofErr w:type="spellStart"/>
      <w:r w:rsidRPr="00F2041E">
        <w:rPr>
          <w:rFonts w:ascii="Times New Roman" w:hAnsi="Times New Roman" w:cs="Times New Roman"/>
        </w:rPr>
        <w:t>niclosamide</w:t>
      </w:r>
      <w:proofErr w:type="spellEnd"/>
      <w:r w:rsidRPr="00F2041E">
        <w:rPr>
          <w:rFonts w:ascii="Times New Roman" w:hAnsi="Times New Roman" w:cs="Times New Roman"/>
        </w:rPr>
        <w:t xml:space="preserve"> by </w:t>
      </w:r>
      <w:proofErr w:type="spellStart"/>
      <w:r w:rsidRPr="00F2041E">
        <w:rPr>
          <w:rFonts w:ascii="Times New Roman" w:hAnsi="Times New Roman" w:cs="Times New Roman"/>
        </w:rPr>
        <w:t>polyamidoamine</w:t>
      </w:r>
      <w:proofErr w:type="spellEnd"/>
      <w:r w:rsidRPr="00F2041E">
        <w:rPr>
          <w:rFonts w:ascii="Times New Roman" w:hAnsi="Times New Roman" w:cs="Times New Roman"/>
        </w:rPr>
        <w:t xml:space="preserve"> dendrimers and cyclodextrins. International Journal of Pharmaceutics. 2005;304(1–2):193–209.</w:t>
      </w:r>
      <w:r w:rsidRPr="00F2041E">
        <w:rPr>
          <w:rFonts w:ascii="Times New Roman" w:hAnsi="Times New Roman" w:cs="Times New Roman"/>
        </w:rPr>
        <w:br/>
      </w:r>
      <w:proofErr w:type="gramStart"/>
      <w:r w:rsidRPr="00F2041E">
        <w:rPr>
          <w:rFonts w:ascii="Times New Roman" w:hAnsi="Times New Roman" w:cs="Times New Roman"/>
        </w:rPr>
        <w:t>doi:10.1016/j.ijpharm</w:t>
      </w:r>
      <w:proofErr w:type="gramEnd"/>
      <w:r w:rsidRPr="00F2041E">
        <w:rPr>
          <w:rFonts w:ascii="Times New Roman" w:hAnsi="Times New Roman" w:cs="Times New Roman"/>
        </w:rPr>
        <w:t>.2005.07.020</w:t>
      </w:r>
    </w:p>
    <w:p w14:paraId="01BE1BDB" w14:textId="2FC143FC"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Merisko-Liversidge</w:t>
      </w:r>
      <w:proofErr w:type="spellEnd"/>
      <w:r w:rsidRPr="00F2041E">
        <w:rPr>
          <w:rFonts w:ascii="Times New Roman" w:hAnsi="Times New Roman" w:cs="Times New Roman"/>
        </w:rPr>
        <w:t xml:space="preserve"> E, </w:t>
      </w:r>
      <w:proofErr w:type="spellStart"/>
      <w:r w:rsidRPr="00F2041E">
        <w:rPr>
          <w:rFonts w:ascii="Times New Roman" w:hAnsi="Times New Roman" w:cs="Times New Roman"/>
        </w:rPr>
        <w:t>Liversidge</w:t>
      </w:r>
      <w:proofErr w:type="spellEnd"/>
      <w:r w:rsidRPr="00F2041E">
        <w:rPr>
          <w:rFonts w:ascii="Times New Roman" w:hAnsi="Times New Roman" w:cs="Times New Roman"/>
        </w:rPr>
        <w:t xml:space="preserve"> GG, Cooper ER. Nanosizing: a formulation approach for poorly water-soluble compounds. European Journal of Pharmaceutical Sciences. 2003;18(2):113–120.</w:t>
      </w:r>
      <w:r w:rsidRPr="00F2041E">
        <w:rPr>
          <w:rFonts w:ascii="Times New Roman" w:hAnsi="Times New Roman" w:cs="Times New Roman"/>
        </w:rPr>
        <w:br/>
        <w:t>doi:10.1016/S0928-0987(02)00251-8</w:t>
      </w:r>
    </w:p>
    <w:p w14:paraId="753F4532" w14:textId="6D4386CA"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Luo Z, Jiang J. pH-sensitive drug loading/releasing in amphiphilic copolymer PAE-PEG. Journal of Controlled Release. 2012;162(1):185–193.</w:t>
      </w:r>
      <w:r w:rsidRPr="00F2041E">
        <w:rPr>
          <w:rFonts w:ascii="Times New Roman" w:hAnsi="Times New Roman" w:cs="Times New Roman"/>
        </w:rPr>
        <w:br/>
      </w:r>
      <w:proofErr w:type="gramStart"/>
      <w:r w:rsidRPr="00F2041E">
        <w:rPr>
          <w:rFonts w:ascii="Times New Roman" w:hAnsi="Times New Roman" w:cs="Times New Roman"/>
        </w:rPr>
        <w:t>doi:10.1016/j.jconrel</w:t>
      </w:r>
      <w:proofErr w:type="gramEnd"/>
      <w:r w:rsidRPr="00F2041E">
        <w:rPr>
          <w:rFonts w:ascii="Times New Roman" w:hAnsi="Times New Roman" w:cs="Times New Roman"/>
        </w:rPr>
        <w:t>.2012.06.017</w:t>
      </w:r>
    </w:p>
    <w:p w14:paraId="174E888E" w14:textId="7D664D17"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Gelman A, </w:t>
      </w:r>
      <w:proofErr w:type="spellStart"/>
      <w:r w:rsidRPr="00F2041E">
        <w:rPr>
          <w:rFonts w:ascii="Times New Roman" w:hAnsi="Times New Roman" w:cs="Times New Roman"/>
        </w:rPr>
        <w:t>Sponsler</w:t>
      </w:r>
      <w:proofErr w:type="spellEnd"/>
      <w:r w:rsidRPr="00F2041E">
        <w:rPr>
          <w:rFonts w:ascii="Times New Roman" w:hAnsi="Times New Roman" w:cs="Times New Roman"/>
        </w:rPr>
        <w:t xml:space="preserve"> E, </w:t>
      </w:r>
      <w:proofErr w:type="spellStart"/>
      <w:r w:rsidRPr="00F2041E">
        <w:rPr>
          <w:rFonts w:ascii="Times New Roman" w:hAnsi="Times New Roman" w:cs="Times New Roman"/>
        </w:rPr>
        <w:t>Hnatyszyn</w:t>
      </w:r>
      <w:proofErr w:type="spellEnd"/>
      <w:r w:rsidRPr="00F2041E">
        <w:rPr>
          <w:rFonts w:ascii="Times New Roman" w:hAnsi="Times New Roman" w:cs="Times New Roman"/>
        </w:rPr>
        <w:t xml:space="preserve"> HJ. Surface-modified nanocrystalline ceramics for drug delivery applications. Biomaterials. 1994;15(15):1201–1207.</w:t>
      </w:r>
      <w:r w:rsidRPr="00F2041E">
        <w:rPr>
          <w:rFonts w:ascii="Times New Roman" w:hAnsi="Times New Roman" w:cs="Times New Roman"/>
        </w:rPr>
        <w:br/>
        <w:t>doi:10.1016/0142-9612(94)90162-7</w:t>
      </w:r>
    </w:p>
    <w:p w14:paraId="3AD95DAB" w14:textId="0227C0AE"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Banerjee S, Sen KK.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 a novel nanoparticulate drug carrier. Journal of Drug Delivery Science and Technology. </w:t>
      </w:r>
      <w:proofErr w:type="gramStart"/>
      <w:r w:rsidRPr="00F2041E">
        <w:rPr>
          <w:rFonts w:ascii="Times New Roman" w:hAnsi="Times New Roman" w:cs="Times New Roman"/>
        </w:rPr>
        <w:t>2018;43:446</w:t>
      </w:r>
      <w:proofErr w:type="gramEnd"/>
      <w:r w:rsidRPr="00F2041E">
        <w:rPr>
          <w:rFonts w:ascii="Times New Roman" w:hAnsi="Times New Roman" w:cs="Times New Roman"/>
        </w:rPr>
        <w:t>–452.</w:t>
      </w:r>
      <w:r w:rsidRPr="00F2041E">
        <w:rPr>
          <w:rFonts w:ascii="Times New Roman" w:hAnsi="Times New Roman" w:cs="Times New Roman"/>
        </w:rPr>
        <w:br/>
        <w:t>doi:10.1016/j.jddst.2017.10.016</w:t>
      </w:r>
    </w:p>
    <w:p w14:paraId="3FEB37CC" w14:textId="7D6859CB"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Dunitz</w:t>
      </w:r>
      <w:proofErr w:type="spellEnd"/>
      <w:r w:rsidRPr="00F2041E">
        <w:rPr>
          <w:rFonts w:ascii="Times New Roman" w:hAnsi="Times New Roman" w:cs="Times New Roman"/>
        </w:rPr>
        <w:t xml:space="preserve"> JD. The entropic cost of bound water in crystals and biomolecules. Science. 1994;264(5159):670.</w:t>
      </w:r>
      <w:r w:rsidRPr="00F2041E">
        <w:rPr>
          <w:rFonts w:ascii="Times New Roman" w:hAnsi="Times New Roman" w:cs="Times New Roman"/>
        </w:rPr>
        <w:br/>
        <w:t>doi:10.1126/science.264.5159.670</w:t>
      </w:r>
    </w:p>
    <w:p w14:paraId="3DC85C4F" w14:textId="45CE1A7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Bovey FA. Reactions of solid polymers. In: </w:t>
      </w:r>
      <w:proofErr w:type="spellStart"/>
      <w:r w:rsidRPr="00F2041E">
        <w:rPr>
          <w:rFonts w:ascii="Times New Roman" w:hAnsi="Times New Roman" w:cs="Times New Roman"/>
        </w:rPr>
        <w:t>Hannay</w:t>
      </w:r>
      <w:proofErr w:type="spellEnd"/>
      <w:r w:rsidRPr="00F2041E">
        <w:rPr>
          <w:rFonts w:ascii="Times New Roman" w:hAnsi="Times New Roman" w:cs="Times New Roman"/>
        </w:rPr>
        <w:t xml:space="preserve"> NB, editor. Treatise on Solid State Chemistry: Volume 4 – Reactivity of Solids. Boston: Springer; 1976. p. 661–714.</w:t>
      </w:r>
      <w:r w:rsidRPr="00F2041E">
        <w:rPr>
          <w:rFonts w:ascii="Times New Roman" w:hAnsi="Times New Roman" w:cs="Times New Roman"/>
        </w:rPr>
        <w:br/>
        <w:t>doi:10.1007/978-1-4684-2997-4_11</w:t>
      </w:r>
    </w:p>
    <w:p w14:paraId="4A8A1C50" w14:textId="12DCEB28"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Crowe JH, Crowe LM, Jackson SA. Preservation of structural and functional activity in lyophilized sarcoplasmic reticulum. Archives of Biochemistry and Biophysics. 1983;220(2):477–484.</w:t>
      </w:r>
      <w:r w:rsidRPr="00F2041E">
        <w:rPr>
          <w:rFonts w:ascii="Times New Roman" w:hAnsi="Times New Roman" w:cs="Times New Roman"/>
        </w:rPr>
        <w:br/>
        <w:t>doi:10.1016/0003-9861(83)90389-1</w:t>
      </w:r>
    </w:p>
    <w:p w14:paraId="2F6D0C32" w14:textId="488EB4B7"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Kikuchi M, et al. Self-organization mechanism in a bone-like hydroxyapatite/collagen nanocomposite. Biomaterials. 2001;22(13):1705–1711.</w:t>
      </w:r>
      <w:r w:rsidRPr="00F2041E">
        <w:rPr>
          <w:rFonts w:ascii="Times New Roman" w:hAnsi="Times New Roman" w:cs="Times New Roman"/>
        </w:rPr>
        <w:br/>
        <w:t>doi:10.1016/S0142-9612(00)00395-5</w:t>
      </w:r>
    </w:p>
    <w:p w14:paraId="0579998F" w14:textId="4AFE9629"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Chen M, et al. Preparation of gelatin-coated hydroxyapatite nanorods. Applied Surface Science. 2008;254(9):2730–2735.</w:t>
      </w:r>
      <w:r w:rsidRPr="00F2041E">
        <w:rPr>
          <w:rFonts w:ascii="Times New Roman" w:hAnsi="Times New Roman" w:cs="Times New Roman"/>
        </w:rPr>
        <w:br/>
      </w:r>
      <w:proofErr w:type="gramStart"/>
      <w:r w:rsidRPr="00F2041E">
        <w:rPr>
          <w:rFonts w:ascii="Times New Roman" w:hAnsi="Times New Roman" w:cs="Times New Roman"/>
        </w:rPr>
        <w:t>doi:10.1016/j.apsusc</w:t>
      </w:r>
      <w:proofErr w:type="gramEnd"/>
      <w:r w:rsidRPr="00F2041E">
        <w:rPr>
          <w:rFonts w:ascii="Times New Roman" w:hAnsi="Times New Roman" w:cs="Times New Roman"/>
        </w:rPr>
        <w:t>.2007.09.050</w:t>
      </w:r>
    </w:p>
    <w:p w14:paraId="2504A9B0" w14:textId="2824D45E"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Beherei HH, El-Bassyouni GT, Mohamed KR. </w:t>
      </w:r>
      <w:r w:rsidRPr="00F2041E">
        <w:rPr>
          <w:rFonts w:ascii="Times New Roman" w:hAnsi="Times New Roman" w:cs="Times New Roman"/>
        </w:rPr>
        <w:t xml:space="preserve">Modulation and bioactivity of new apatite-based </w:t>
      </w:r>
      <w:proofErr w:type="spellStart"/>
      <w:r w:rsidRPr="00F2041E">
        <w:rPr>
          <w:rFonts w:ascii="Times New Roman" w:hAnsi="Times New Roman" w:cs="Times New Roman"/>
        </w:rPr>
        <w:t>biocomposites</w:t>
      </w:r>
      <w:proofErr w:type="spellEnd"/>
      <w:r w:rsidRPr="00F2041E">
        <w:rPr>
          <w:rFonts w:ascii="Times New Roman" w:hAnsi="Times New Roman" w:cs="Times New Roman"/>
        </w:rPr>
        <w:t>. Ceramics International. 2008;34(8):2091–2097.</w:t>
      </w:r>
      <w:r w:rsidRPr="00F2041E">
        <w:rPr>
          <w:rFonts w:ascii="Times New Roman" w:hAnsi="Times New Roman" w:cs="Times New Roman"/>
        </w:rPr>
        <w:br/>
      </w:r>
      <w:proofErr w:type="gramStart"/>
      <w:r w:rsidRPr="00F2041E">
        <w:rPr>
          <w:rFonts w:ascii="Times New Roman" w:hAnsi="Times New Roman" w:cs="Times New Roman"/>
        </w:rPr>
        <w:t>doi:10.1016/j.ceramint</w:t>
      </w:r>
      <w:proofErr w:type="gramEnd"/>
      <w:r w:rsidRPr="00F2041E">
        <w:rPr>
          <w:rFonts w:ascii="Times New Roman" w:hAnsi="Times New Roman" w:cs="Times New Roman"/>
        </w:rPr>
        <w:t>.2007.08.004</w:t>
      </w:r>
    </w:p>
    <w:p w14:paraId="3EEE9B41" w14:textId="6CEF815F"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lastRenderedPageBreak/>
        <w:t>Mohamed KR, Mostafa AA. Preparation and bioactivity evaluation of hydroxyapatite-</w:t>
      </w:r>
      <w:proofErr w:type="spellStart"/>
      <w:r w:rsidRPr="00F2041E">
        <w:rPr>
          <w:rFonts w:ascii="Times New Roman" w:hAnsi="Times New Roman" w:cs="Times New Roman"/>
        </w:rPr>
        <w:t>titania</w:t>
      </w:r>
      <w:proofErr w:type="spellEnd"/>
      <w:r w:rsidRPr="00F2041E">
        <w:rPr>
          <w:rFonts w:ascii="Times New Roman" w:hAnsi="Times New Roman" w:cs="Times New Roman"/>
        </w:rPr>
        <w:t>/chitosan-gelatin composites. Materials Science and Engineering C. 2008;28(7):1087–1099.</w:t>
      </w:r>
      <w:r w:rsidRPr="00F2041E">
        <w:rPr>
          <w:rFonts w:ascii="Times New Roman" w:hAnsi="Times New Roman" w:cs="Times New Roman"/>
        </w:rPr>
        <w:br/>
      </w:r>
      <w:proofErr w:type="gramStart"/>
      <w:r w:rsidRPr="00F2041E">
        <w:rPr>
          <w:rFonts w:ascii="Times New Roman" w:hAnsi="Times New Roman" w:cs="Times New Roman"/>
        </w:rPr>
        <w:t>doi:10.1016/j.msec</w:t>
      </w:r>
      <w:proofErr w:type="gramEnd"/>
      <w:r w:rsidRPr="00F2041E">
        <w:rPr>
          <w:rFonts w:ascii="Times New Roman" w:hAnsi="Times New Roman" w:cs="Times New Roman"/>
        </w:rPr>
        <w:t>.2007.10.018</w:t>
      </w:r>
    </w:p>
    <w:p w14:paraId="62C6F00B" w14:textId="7CA0CB4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lang w:val="nb-NO"/>
        </w:rPr>
        <w:t xml:space="preserve">El-Kady AM, Mohamed KR, El-Bassyouni GT. </w:t>
      </w:r>
      <w:r w:rsidRPr="00F2041E">
        <w:rPr>
          <w:rFonts w:ascii="Times New Roman" w:hAnsi="Times New Roman" w:cs="Times New Roman"/>
        </w:rPr>
        <w:t xml:space="preserve">Calcium pyrophosphate/polymeric </w:t>
      </w:r>
      <w:proofErr w:type="spellStart"/>
      <w:r w:rsidRPr="00F2041E">
        <w:rPr>
          <w:rFonts w:ascii="Times New Roman" w:hAnsi="Times New Roman" w:cs="Times New Roman"/>
        </w:rPr>
        <w:t>biocomposites</w:t>
      </w:r>
      <w:proofErr w:type="spellEnd"/>
      <w:r w:rsidRPr="00F2041E">
        <w:rPr>
          <w:rFonts w:ascii="Times New Roman" w:hAnsi="Times New Roman" w:cs="Times New Roman"/>
        </w:rPr>
        <w:t>. Ceramics International. 2009;35(7):2933–2942.</w:t>
      </w:r>
      <w:r w:rsidRPr="00F2041E">
        <w:rPr>
          <w:rFonts w:ascii="Times New Roman" w:hAnsi="Times New Roman" w:cs="Times New Roman"/>
        </w:rPr>
        <w:br/>
      </w:r>
      <w:proofErr w:type="gramStart"/>
      <w:r w:rsidRPr="00F2041E">
        <w:rPr>
          <w:rFonts w:ascii="Times New Roman" w:hAnsi="Times New Roman" w:cs="Times New Roman"/>
        </w:rPr>
        <w:t>doi:10.1016/j.ceramint</w:t>
      </w:r>
      <w:proofErr w:type="gramEnd"/>
      <w:r w:rsidRPr="00F2041E">
        <w:rPr>
          <w:rFonts w:ascii="Times New Roman" w:hAnsi="Times New Roman" w:cs="Times New Roman"/>
        </w:rPr>
        <w:t>.2009.04.011</w:t>
      </w:r>
    </w:p>
    <w:p w14:paraId="04F3B143" w14:textId="49D86784"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Lai C, et al. Formation of calcium phosphate nanoparticles in reverse microemulsions. Materials Letters. 2005;59(2):210–214.</w:t>
      </w:r>
      <w:r w:rsidRPr="00F2041E">
        <w:rPr>
          <w:rFonts w:ascii="Times New Roman" w:hAnsi="Times New Roman" w:cs="Times New Roman"/>
        </w:rPr>
        <w:br/>
      </w:r>
      <w:proofErr w:type="gramStart"/>
      <w:r w:rsidRPr="00F2041E">
        <w:rPr>
          <w:rFonts w:ascii="Times New Roman" w:hAnsi="Times New Roman" w:cs="Times New Roman"/>
        </w:rPr>
        <w:t>doi:10.1016/j.matlet</w:t>
      </w:r>
      <w:proofErr w:type="gramEnd"/>
      <w:r w:rsidRPr="00F2041E">
        <w:rPr>
          <w:rFonts w:ascii="Times New Roman" w:hAnsi="Times New Roman" w:cs="Times New Roman"/>
        </w:rPr>
        <w:t>.2004.09.042</w:t>
      </w:r>
    </w:p>
    <w:p w14:paraId="13E413F6" w14:textId="3F4235D8"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Peetsch</w:t>
      </w:r>
      <w:proofErr w:type="spellEnd"/>
      <w:r w:rsidRPr="00F2041E">
        <w:rPr>
          <w:rFonts w:ascii="Times New Roman" w:hAnsi="Times New Roman" w:cs="Times New Roman"/>
        </w:rPr>
        <w:t xml:space="preserve"> A, et al. Silver-doped calcium phosphate nanoparticles. Colloids and Surfaces B: </w:t>
      </w:r>
      <w:proofErr w:type="spellStart"/>
      <w:r w:rsidRPr="00F2041E">
        <w:rPr>
          <w:rFonts w:ascii="Times New Roman" w:hAnsi="Times New Roman" w:cs="Times New Roman"/>
        </w:rPr>
        <w:t>Biointerfaces</w:t>
      </w:r>
      <w:proofErr w:type="spellEnd"/>
      <w:r w:rsidRPr="00F2041E">
        <w:rPr>
          <w:rFonts w:ascii="Times New Roman" w:hAnsi="Times New Roman" w:cs="Times New Roman"/>
        </w:rPr>
        <w:t xml:space="preserve">. </w:t>
      </w:r>
      <w:proofErr w:type="gramStart"/>
      <w:r w:rsidRPr="00F2041E">
        <w:rPr>
          <w:rFonts w:ascii="Times New Roman" w:hAnsi="Times New Roman" w:cs="Times New Roman"/>
        </w:rPr>
        <w:t>2013;102:724</w:t>
      </w:r>
      <w:proofErr w:type="gramEnd"/>
      <w:r w:rsidRPr="00F2041E">
        <w:rPr>
          <w:rFonts w:ascii="Times New Roman" w:hAnsi="Times New Roman" w:cs="Times New Roman"/>
        </w:rPr>
        <w:t>–729.</w:t>
      </w:r>
      <w:r w:rsidRPr="00F2041E">
        <w:rPr>
          <w:rFonts w:ascii="Times New Roman" w:hAnsi="Times New Roman" w:cs="Times New Roman"/>
        </w:rPr>
        <w:br/>
        <w:t>doi:10.1016/j.colsurfb.2012.09.020</w:t>
      </w:r>
    </w:p>
    <w:p w14:paraId="2FDE75D2" w14:textId="2435B75F"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Ramay</w:t>
      </w:r>
      <w:proofErr w:type="spellEnd"/>
      <w:r w:rsidRPr="00F2041E">
        <w:rPr>
          <w:rFonts w:ascii="Times New Roman" w:hAnsi="Times New Roman" w:cs="Times New Roman"/>
        </w:rPr>
        <w:t xml:space="preserve"> HR, Zhang M. Preparation of porous hydroxyapatite scaffolds. Biomaterials. 2003;24(19):3293–3302.</w:t>
      </w:r>
      <w:r w:rsidRPr="00F2041E">
        <w:rPr>
          <w:rFonts w:ascii="Times New Roman" w:hAnsi="Times New Roman" w:cs="Times New Roman"/>
        </w:rPr>
        <w:br/>
        <w:t>doi:10.1016/S0142-9612(03)00271-6</w:t>
      </w:r>
    </w:p>
    <w:p w14:paraId="045ACEA3" w14:textId="534AFA51"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Yoshikawa H, </w:t>
      </w:r>
      <w:proofErr w:type="spellStart"/>
      <w:r w:rsidRPr="00F2041E">
        <w:rPr>
          <w:rFonts w:ascii="Times New Roman" w:hAnsi="Times New Roman" w:cs="Times New Roman"/>
        </w:rPr>
        <w:t>Myoui</w:t>
      </w:r>
      <w:proofErr w:type="spellEnd"/>
      <w:r w:rsidRPr="00F2041E">
        <w:rPr>
          <w:rFonts w:ascii="Times New Roman" w:hAnsi="Times New Roman" w:cs="Times New Roman"/>
        </w:rPr>
        <w:t xml:space="preserve"> A. Bone tissue engineering with porous hydroxyapatite ceramics. Journal of Artificial Organs. 2005;8(3):131–136.</w:t>
      </w:r>
      <w:r w:rsidRPr="00F2041E">
        <w:rPr>
          <w:rFonts w:ascii="Times New Roman" w:hAnsi="Times New Roman" w:cs="Times New Roman"/>
        </w:rPr>
        <w:br/>
        <w:t>doi:10.1007/s10047-005-0292-1</w:t>
      </w:r>
    </w:p>
    <w:p w14:paraId="2AB5F26C" w14:textId="7D5EDC0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Zhou H, Lee J. Nanoscale hydroxyapatite particles for bone tissue engineering. Acta </w:t>
      </w:r>
      <w:proofErr w:type="spellStart"/>
      <w:r w:rsidRPr="00F2041E">
        <w:rPr>
          <w:rFonts w:ascii="Times New Roman" w:hAnsi="Times New Roman" w:cs="Times New Roman"/>
        </w:rPr>
        <w:t>Biomaterialia</w:t>
      </w:r>
      <w:proofErr w:type="spellEnd"/>
      <w:r w:rsidRPr="00F2041E">
        <w:rPr>
          <w:rFonts w:ascii="Times New Roman" w:hAnsi="Times New Roman" w:cs="Times New Roman"/>
        </w:rPr>
        <w:t>. 2011;7(7):2769–2781.</w:t>
      </w:r>
      <w:r w:rsidRPr="00F2041E">
        <w:rPr>
          <w:rFonts w:ascii="Times New Roman" w:hAnsi="Times New Roman" w:cs="Times New Roman"/>
        </w:rPr>
        <w:br/>
      </w:r>
      <w:proofErr w:type="gramStart"/>
      <w:r w:rsidRPr="00F2041E">
        <w:rPr>
          <w:rFonts w:ascii="Times New Roman" w:hAnsi="Times New Roman" w:cs="Times New Roman"/>
        </w:rPr>
        <w:t>doi:10.1016/j.actbio</w:t>
      </w:r>
      <w:proofErr w:type="gramEnd"/>
      <w:r w:rsidRPr="00F2041E">
        <w:rPr>
          <w:rFonts w:ascii="Times New Roman" w:hAnsi="Times New Roman" w:cs="Times New Roman"/>
        </w:rPr>
        <w:t>.2011.03.019</w:t>
      </w:r>
    </w:p>
    <w:p w14:paraId="2121DD59" w14:textId="5689BF2D"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Patel S,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 a novel approach in drug carrier system. 2018. </w:t>
      </w:r>
      <w:r w:rsidRPr="00F2041E">
        <w:rPr>
          <w:rFonts w:ascii="Times New Roman" w:hAnsi="Times New Roman" w:cs="Times New Roman"/>
          <w:i/>
          <w:iCs/>
        </w:rPr>
        <w:t>(Review article; DOI not assigned)</w:t>
      </w:r>
    </w:p>
    <w:p w14:paraId="385A7980" w14:textId="11B74C2A"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Baumann H, </w:t>
      </w:r>
      <w:proofErr w:type="spellStart"/>
      <w:r w:rsidRPr="00F2041E">
        <w:rPr>
          <w:rFonts w:ascii="Times New Roman" w:hAnsi="Times New Roman" w:cs="Times New Roman"/>
        </w:rPr>
        <w:t>Gauldie</w:t>
      </w:r>
      <w:proofErr w:type="spellEnd"/>
      <w:r w:rsidRPr="00F2041E">
        <w:rPr>
          <w:rFonts w:ascii="Times New Roman" w:hAnsi="Times New Roman" w:cs="Times New Roman"/>
        </w:rPr>
        <w:t xml:space="preserve"> J. The acute phase response. Immunology Today. 1994;15(2):74–80.</w:t>
      </w:r>
      <w:r w:rsidRPr="00F2041E">
        <w:rPr>
          <w:rFonts w:ascii="Times New Roman" w:hAnsi="Times New Roman" w:cs="Times New Roman"/>
        </w:rPr>
        <w:br/>
        <w:t>doi:10.1016/0167-5699(94)90137-6</w:t>
      </w:r>
    </w:p>
    <w:p w14:paraId="01F3F82C" w14:textId="53A5E09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w:t>
      </w: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et al. A nondenaturing solid-phase pharmaceutical carrier. Journal of Applied Biomaterials. 1990;1(4):289–294.</w:t>
      </w:r>
      <w:r w:rsidRPr="00F2041E">
        <w:rPr>
          <w:rFonts w:ascii="Times New Roman" w:hAnsi="Times New Roman" w:cs="Times New Roman"/>
        </w:rPr>
        <w:br/>
        <w:t>doi:10.1002/jab.770010405</w:t>
      </w:r>
    </w:p>
    <w:p w14:paraId="07846D34" w14:textId="4ED099DC"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Goyal AK,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—A nanoparticulate approach for the delivery of antigen. Drug Development and Industrial Pharmacy. 2008;34(12):1297–1305.</w:t>
      </w:r>
      <w:r w:rsidRPr="00F2041E">
        <w:rPr>
          <w:rFonts w:ascii="Times New Roman" w:hAnsi="Times New Roman" w:cs="Times New Roman"/>
        </w:rPr>
        <w:br/>
        <w:t>doi:10.1080/03639040802063233</w:t>
      </w:r>
    </w:p>
    <w:p w14:paraId="7E5E26BA" w14:textId="51B4ECB9"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Kossovsky</w:t>
      </w:r>
      <w:proofErr w:type="spellEnd"/>
      <w:r w:rsidRPr="00F2041E">
        <w:rPr>
          <w:rFonts w:ascii="Times New Roman" w:hAnsi="Times New Roman" w:cs="Times New Roman"/>
        </w:rPr>
        <w:t xml:space="preserve"> N, Gelman A, </w:t>
      </w:r>
      <w:proofErr w:type="spellStart"/>
      <w:r w:rsidRPr="00F2041E">
        <w:rPr>
          <w:rFonts w:ascii="Times New Roman" w:hAnsi="Times New Roman" w:cs="Times New Roman"/>
        </w:rPr>
        <w:t>Sponsler</w:t>
      </w:r>
      <w:proofErr w:type="spellEnd"/>
      <w:r w:rsidRPr="00F2041E">
        <w:rPr>
          <w:rFonts w:ascii="Times New Roman" w:hAnsi="Times New Roman" w:cs="Times New Roman"/>
        </w:rPr>
        <w:t xml:space="preserve"> E. Cross-linking encapsulated hemoglobin. Artificial Cells, Blood Substitutes, and Immobilization Biotechnology. 1994;22(3):479–485.</w:t>
      </w:r>
      <w:r w:rsidRPr="00F2041E">
        <w:rPr>
          <w:rFonts w:ascii="Times New Roman" w:hAnsi="Times New Roman" w:cs="Times New Roman"/>
        </w:rPr>
        <w:br/>
        <w:t>doi:10.3109/10731199409117293</w:t>
      </w:r>
    </w:p>
    <w:p w14:paraId="7D009F4C" w14:textId="5C565357"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Cherian AK, Rana AC, Jain SK. Self-assembled carbohydrate-stabilized ceramic nanoparticles. Drug Development and Industrial Pharmacy. 2000;26(4):459–463.</w:t>
      </w:r>
      <w:r w:rsidRPr="00F2041E">
        <w:rPr>
          <w:rFonts w:ascii="Times New Roman" w:hAnsi="Times New Roman" w:cs="Times New Roman"/>
        </w:rPr>
        <w:br/>
        <w:t>doi:10.1081/DDC-100101269</w:t>
      </w:r>
    </w:p>
    <w:p w14:paraId="1BEC33B4" w14:textId="005450A5"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lastRenderedPageBreak/>
        <w:t>Rawat M, et al. Alginate gel-encapsulated, chitosan-coated ceramic nanocores. Drug Development and Industrial Pharmacy. 2008;34(2):181–188.</w:t>
      </w:r>
      <w:r w:rsidRPr="00F2041E">
        <w:rPr>
          <w:rFonts w:ascii="Times New Roman" w:hAnsi="Times New Roman" w:cs="Times New Roman"/>
        </w:rPr>
        <w:br/>
        <w:t>doi:10.1080/03639040701471948</w:t>
      </w:r>
    </w:p>
    <w:p w14:paraId="4F883511" w14:textId="51045411" w:rsidR="00F2041E" w:rsidRPr="00F2041E" w:rsidRDefault="00F2041E" w:rsidP="00F2041E">
      <w:pPr>
        <w:pStyle w:val="ListParagraph"/>
        <w:numPr>
          <w:ilvl w:val="0"/>
          <w:numId w:val="12"/>
        </w:numPr>
        <w:jc w:val="both"/>
        <w:rPr>
          <w:rFonts w:ascii="Times New Roman" w:hAnsi="Times New Roman" w:cs="Times New Roman"/>
        </w:rPr>
      </w:pPr>
      <w:proofErr w:type="spellStart"/>
      <w:r w:rsidRPr="00F2041E">
        <w:rPr>
          <w:rFonts w:ascii="Times New Roman" w:hAnsi="Times New Roman" w:cs="Times New Roman"/>
        </w:rPr>
        <w:t>Khopade</w:t>
      </w:r>
      <w:proofErr w:type="spellEnd"/>
      <w:r w:rsidRPr="00F2041E">
        <w:rPr>
          <w:rFonts w:ascii="Times New Roman" w:hAnsi="Times New Roman" w:cs="Times New Roman"/>
        </w:rPr>
        <w:t xml:space="preserve"> AJ, </w:t>
      </w:r>
      <w:proofErr w:type="spellStart"/>
      <w:r w:rsidRPr="00F2041E">
        <w:rPr>
          <w:rFonts w:ascii="Times New Roman" w:hAnsi="Times New Roman" w:cs="Times New Roman"/>
        </w:rPr>
        <w:t>Khopade</w:t>
      </w:r>
      <w:proofErr w:type="spellEnd"/>
      <w:r w:rsidRPr="00F2041E">
        <w:rPr>
          <w:rFonts w:ascii="Times New Roman" w:hAnsi="Times New Roman" w:cs="Times New Roman"/>
        </w:rPr>
        <w:t xml:space="preserve"> S, Jain NK. Development of hemoglobin </w:t>
      </w:r>
      <w:proofErr w:type="spellStart"/>
      <w:r w:rsidRPr="00F2041E">
        <w:rPr>
          <w:rFonts w:ascii="Times New Roman" w:hAnsi="Times New Roman" w:cs="Times New Roman"/>
        </w:rPr>
        <w:t>aquasomes</w:t>
      </w:r>
      <w:proofErr w:type="spellEnd"/>
      <w:r w:rsidRPr="00F2041E">
        <w:rPr>
          <w:rFonts w:ascii="Times New Roman" w:hAnsi="Times New Roman" w:cs="Times New Roman"/>
        </w:rPr>
        <w:t>. International Journal of Pharmaceutics. 2002;241(1):145–154.</w:t>
      </w:r>
      <w:r w:rsidRPr="00F2041E">
        <w:rPr>
          <w:rFonts w:ascii="Times New Roman" w:hAnsi="Times New Roman" w:cs="Times New Roman"/>
        </w:rPr>
        <w:br/>
        <w:t>doi:10.1016/S0378-5173(02)00233-3</w:t>
      </w:r>
    </w:p>
    <w:p w14:paraId="37689B40" w14:textId="33BDC455"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Patil S, et al. Surface-modified mesoporous ceramics as delivery vehicle for </w:t>
      </w:r>
      <w:proofErr w:type="spellStart"/>
      <w:r w:rsidRPr="00F2041E">
        <w:rPr>
          <w:rFonts w:ascii="Times New Roman" w:hAnsi="Times New Roman" w:cs="Times New Roman"/>
        </w:rPr>
        <w:t>haemoglobin</w:t>
      </w:r>
      <w:proofErr w:type="spellEnd"/>
      <w:r w:rsidRPr="00F2041E">
        <w:rPr>
          <w:rFonts w:ascii="Times New Roman" w:hAnsi="Times New Roman" w:cs="Times New Roman"/>
        </w:rPr>
        <w:t>. Drug Delivery. 2004;11(3):193–199.</w:t>
      </w:r>
      <w:r w:rsidRPr="00F2041E">
        <w:rPr>
          <w:rFonts w:ascii="Times New Roman" w:hAnsi="Times New Roman" w:cs="Times New Roman"/>
        </w:rPr>
        <w:br/>
        <w:t>doi:10.1080/10717540490433812</w:t>
      </w:r>
    </w:p>
    <w:p w14:paraId="4318CA6E" w14:textId="020312B6" w:rsidR="00F2041E" w:rsidRPr="00F2041E" w:rsidRDefault="00F2041E" w:rsidP="00F2041E">
      <w:pPr>
        <w:pStyle w:val="ListParagraph"/>
        <w:numPr>
          <w:ilvl w:val="0"/>
          <w:numId w:val="12"/>
        </w:numPr>
        <w:jc w:val="both"/>
        <w:rPr>
          <w:rFonts w:ascii="Times New Roman" w:hAnsi="Times New Roman" w:cs="Times New Roman"/>
        </w:rPr>
      </w:pPr>
      <w:r w:rsidRPr="00F2041E">
        <w:rPr>
          <w:rFonts w:ascii="Times New Roman" w:hAnsi="Times New Roman" w:cs="Times New Roman"/>
        </w:rPr>
        <w:t xml:space="preserve"> Goyal AK, et al. </w:t>
      </w:r>
      <w:proofErr w:type="spellStart"/>
      <w:r w:rsidRPr="00F2041E">
        <w:rPr>
          <w:rFonts w:ascii="Times New Roman" w:hAnsi="Times New Roman" w:cs="Times New Roman"/>
        </w:rPr>
        <w:t>Aquasomes</w:t>
      </w:r>
      <w:proofErr w:type="spellEnd"/>
      <w:r w:rsidRPr="00F2041E">
        <w:rPr>
          <w:rFonts w:ascii="Times New Roman" w:hAnsi="Times New Roman" w:cs="Times New Roman"/>
        </w:rPr>
        <w:t xml:space="preserve">—A nanoparticulate approach for the delivery of antigen. Drug Development and Industrial Pharmacy. </w:t>
      </w:r>
      <w:proofErr w:type="gramStart"/>
      <w:r w:rsidRPr="00F2041E">
        <w:rPr>
          <w:rFonts w:ascii="Times New Roman" w:hAnsi="Times New Roman" w:cs="Times New Roman"/>
        </w:rPr>
        <w:t>2008;34:1297</w:t>
      </w:r>
      <w:proofErr w:type="gramEnd"/>
      <w:r w:rsidRPr="00F2041E">
        <w:rPr>
          <w:rFonts w:ascii="Times New Roman" w:hAnsi="Times New Roman" w:cs="Times New Roman"/>
        </w:rPr>
        <w:t>–1305.</w:t>
      </w:r>
      <w:r w:rsidRPr="00F2041E">
        <w:rPr>
          <w:rFonts w:ascii="Times New Roman" w:hAnsi="Times New Roman" w:cs="Times New Roman"/>
        </w:rPr>
        <w:br/>
        <w:t>doi:10.1080/03639040802063233</w:t>
      </w:r>
    </w:p>
    <w:p w14:paraId="443FE6A5" w14:textId="07AF7D3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Chandra D, Yadav KK, Singh VK, Patel A, </w:t>
      </w:r>
      <w:proofErr w:type="spellStart"/>
      <w:r w:rsidRPr="00F2041E">
        <w:rPr>
          <w:rFonts w:ascii="Times New Roman" w:eastAsia="Times New Roman" w:hAnsi="Times New Roman" w:cs="Times New Roman"/>
          <w:kern w:val="0"/>
          <w:szCs w:val="24"/>
          <w:lang w:bidi="ar-SA"/>
          <w14:ligatures w14:val="none"/>
        </w:rPr>
        <w:t>Chaurasia</w:t>
      </w:r>
      <w:proofErr w:type="spellEnd"/>
      <w:r w:rsidRPr="00F2041E">
        <w:rPr>
          <w:rFonts w:ascii="Times New Roman" w:eastAsia="Times New Roman" w:hAnsi="Times New Roman" w:cs="Times New Roman"/>
          <w:kern w:val="0"/>
          <w:szCs w:val="24"/>
          <w:lang w:bidi="ar-SA"/>
          <w14:ligatures w14:val="none"/>
        </w:rPr>
        <w:t xml:space="preserve"> S. An overview: the novel carrier for vesicular drug delivery system. World Journal of Pharmaceutical Research. 2014;3(6):1299–1322.</w:t>
      </w:r>
    </w:p>
    <w:p w14:paraId="62801A70" w14:textId="4804245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Pandey S, </w:t>
      </w:r>
      <w:proofErr w:type="spellStart"/>
      <w:r w:rsidRPr="00F2041E">
        <w:rPr>
          <w:rFonts w:ascii="Times New Roman" w:eastAsia="Times New Roman" w:hAnsi="Times New Roman" w:cs="Times New Roman"/>
          <w:kern w:val="0"/>
          <w:szCs w:val="24"/>
          <w:lang w:bidi="ar-SA"/>
          <w14:ligatures w14:val="none"/>
        </w:rPr>
        <w:t>Badola</w:t>
      </w:r>
      <w:proofErr w:type="spellEnd"/>
      <w:r w:rsidRPr="00F2041E">
        <w:rPr>
          <w:rFonts w:ascii="Times New Roman" w:eastAsia="Times New Roman" w:hAnsi="Times New Roman" w:cs="Times New Roman"/>
          <w:kern w:val="0"/>
          <w:szCs w:val="24"/>
          <w:lang w:bidi="ar-SA"/>
          <w14:ligatures w14:val="none"/>
        </w:rPr>
        <w:t xml:space="preserve"> A, Bhatt GK, </w:t>
      </w:r>
      <w:proofErr w:type="spellStart"/>
      <w:r w:rsidRPr="00F2041E">
        <w:rPr>
          <w:rFonts w:ascii="Times New Roman" w:eastAsia="Times New Roman" w:hAnsi="Times New Roman" w:cs="Times New Roman"/>
          <w:kern w:val="0"/>
          <w:szCs w:val="24"/>
          <w:lang w:bidi="ar-SA"/>
          <w14:ligatures w14:val="none"/>
        </w:rPr>
        <w:t>Kothiyal</w:t>
      </w:r>
      <w:proofErr w:type="spellEnd"/>
      <w:r w:rsidRPr="00F2041E">
        <w:rPr>
          <w:rFonts w:ascii="Times New Roman" w:eastAsia="Times New Roman" w:hAnsi="Times New Roman" w:cs="Times New Roman"/>
          <w:kern w:val="0"/>
          <w:szCs w:val="24"/>
          <w:lang w:bidi="ar-SA"/>
          <w14:ligatures w14:val="none"/>
        </w:rPr>
        <w:t xml:space="preserve"> P. An overview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International Journal of Pharmaceutical and Chemical Sciences. 2013;2(3):1282–1287.</w:t>
      </w:r>
    </w:p>
    <w:p w14:paraId="67831400" w14:textId="75F5498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Jagdale</w:t>
      </w:r>
      <w:proofErr w:type="spellEnd"/>
      <w:r w:rsidRPr="00F2041E">
        <w:rPr>
          <w:rFonts w:ascii="Times New Roman" w:eastAsia="Times New Roman" w:hAnsi="Times New Roman" w:cs="Times New Roman"/>
          <w:kern w:val="0"/>
          <w:szCs w:val="24"/>
          <w:lang w:bidi="ar-SA"/>
          <w14:ligatures w14:val="none"/>
        </w:rPr>
        <w:t xml:space="preserve"> S, </w:t>
      </w:r>
      <w:proofErr w:type="spellStart"/>
      <w:r w:rsidRPr="00F2041E">
        <w:rPr>
          <w:rFonts w:ascii="Times New Roman" w:eastAsia="Times New Roman" w:hAnsi="Times New Roman" w:cs="Times New Roman"/>
          <w:kern w:val="0"/>
          <w:szCs w:val="24"/>
          <w:lang w:bidi="ar-SA"/>
          <w14:ligatures w14:val="none"/>
        </w:rPr>
        <w:t>Karekar</w:t>
      </w:r>
      <w:proofErr w:type="spellEnd"/>
      <w:r w:rsidRPr="00F2041E">
        <w:rPr>
          <w:rFonts w:ascii="Times New Roman" w:eastAsia="Times New Roman" w:hAnsi="Times New Roman" w:cs="Times New Roman"/>
          <w:kern w:val="0"/>
          <w:szCs w:val="24"/>
          <w:lang w:bidi="ar-SA"/>
          <w14:ligatures w14:val="none"/>
        </w:rPr>
        <w:t xml:space="preserve"> S. Bird’s eye view on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xml:space="preserve">: formulation and application. Journal of Drug Delivery Science and Technology. </w:t>
      </w:r>
      <w:proofErr w:type="gramStart"/>
      <w:r w:rsidRPr="00F2041E">
        <w:rPr>
          <w:rFonts w:ascii="Times New Roman" w:eastAsia="Times New Roman" w:hAnsi="Times New Roman" w:cs="Times New Roman"/>
          <w:kern w:val="0"/>
          <w:szCs w:val="24"/>
          <w:lang w:bidi="ar-SA"/>
          <w14:ligatures w14:val="none"/>
        </w:rPr>
        <w:t>2020;58:101749</w:t>
      </w:r>
      <w:proofErr w:type="gramEnd"/>
      <w:r w:rsidRPr="00F2041E">
        <w:rPr>
          <w:rFonts w:ascii="Times New Roman" w:eastAsia="Times New Roman" w:hAnsi="Times New Roman" w:cs="Times New Roman"/>
          <w:kern w:val="0"/>
          <w:szCs w:val="24"/>
          <w:lang w:bidi="ar-SA"/>
          <w14:ligatures w14:val="none"/>
        </w:rPr>
        <w:t>.</w:t>
      </w:r>
      <w:r w:rsidRPr="00F2041E">
        <w:rPr>
          <w:rFonts w:ascii="Times New Roman" w:eastAsia="Times New Roman" w:hAnsi="Times New Roman" w:cs="Times New Roman"/>
          <w:kern w:val="0"/>
          <w:szCs w:val="24"/>
          <w:lang w:bidi="ar-SA"/>
          <w14:ligatures w14:val="none"/>
        </w:rPr>
        <w:br/>
        <w:t>doi:10.1016/j.jddst.2020.101749</w:t>
      </w:r>
    </w:p>
    <w:p w14:paraId="2AA3319F" w14:textId="61B287E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Gulati M, Singh SK, Kaur P, Yadav AK, </w:t>
      </w:r>
      <w:proofErr w:type="spellStart"/>
      <w:r w:rsidRPr="00F2041E">
        <w:rPr>
          <w:rFonts w:ascii="Times New Roman" w:eastAsia="Times New Roman" w:hAnsi="Times New Roman" w:cs="Times New Roman"/>
          <w:kern w:val="0"/>
          <w:szCs w:val="24"/>
          <w:lang w:bidi="ar-SA"/>
          <w14:ligatures w14:val="none"/>
        </w:rPr>
        <w:t>Pondman</w:t>
      </w:r>
      <w:proofErr w:type="spellEnd"/>
      <w:r w:rsidRPr="00F2041E">
        <w:rPr>
          <w:rFonts w:ascii="Times New Roman" w:eastAsia="Times New Roman" w:hAnsi="Times New Roman" w:cs="Times New Roman"/>
          <w:kern w:val="0"/>
          <w:szCs w:val="24"/>
          <w:lang w:bidi="ar-SA"/>
          <w14:ligatures w14:val="none"/>
        </w:rPr>
        <w:t xml:space="preserve"> KM, Kishore U.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the journey so far and the road ahead. In: Nanoengineering of Biomaterials. McGraw Hill; 2014. p. 105–111.</w:t>
      </w:r>
    </w:p>
    <w:p w14:paraId="51B370A2" w14:textId="4BF4E98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Swain S, Beg S, </w:t>
      </w:r>
      <w:proofErr w:type="spellStart"/>
      <w:r w:rsidRPr="00F2041E">
        <w:rPr>
          <w:rFonts w:ascii="Times New Roman" w:eastAsia="Times New Roman" w:hAnsi="Times New Roman" w:cs="Times New Roman"/>
          <w:kern w:val="0"/>
          <w:szCs w:val="24"/>
          <w:lang w:bidi="ar-SA"/>
          <w14:ligatures w14:val="none"/>
        </w:rPr>
        <w:t>Babu</w:t>
      </w:r>
      <w:proofErr w:type="spellEnd"/>
      <w:r w:rsidRPr="00F2041E">
        <w:rPr>
          <w:rFonts w:ascii="Times New Roman" w:eastAsia="Times New Roman" w:hAnsi="Times New Roman" w:cs="Times New Roman"/>
          <w:kern w:val="0"/>
          <w:szCs w:val="24"/>
          <w:lang w:bidi="ar-SA"/>
          <w14:ligatures w14:val="none"/>
        </w:rPr>
        <w:t xml:space="preserve"> SM. Lipospheres as a novel carrier for lipid-based drug delivery: current and future directions. Recent Patents on Drug Delivery &amp; Formulation. 2016;10(1):59–71.</w:t>
      </w:r>
      <w:r w:rsidRPr="00F2041E">
        <w:rPr>
          <w:rFonts w:ascii="Times New Roman" w:eastAsia="Times New Roman" w:hAnsi="Times New Roman" w:cs="Times New Roman"/>
          <w:kern w:val="0"/>
          <w:szCs w:val="24"/>
          <w:lang w:bidi="ar-SA"/>
          <w14:ligatures w14:val="none"/>
        </w:rPr>
        <w:br/>
        <w:t>doi:10.2174/1872211309666151228122107</w:t>
      </w:r>
    </w:p>
    <w:p w14:paraId="6BF4E8D1" w14:textId="7F5E2D9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Kumar J, Kumar VV, </w:t>
      </w:r>
      <w:proofErr w:type="spellStart"/>
      <w:r w:rsidRPr="00F2041E">
        <w:rPr>
          <w:rFonts w:ascii="Times New Roman" w:eastAsia="Times New Roman" w:hAnsi="Times New Roman" w:cs="Times New Roman"/>
          <w:kern w:val="0"/>
          <w:szCs w:val="24"/>
          <w:lang w:bidi="ar-SA"/>
          <w14:ligatures w14:val="none"/>
        </w:rPr>
        <w:t>Mounica</w:t>
      </w:r>
      <w:proofErr w:type="spellEnd"/>
      <w:r w:rsidRPr="00F2041E">
        <w:rPr>
          <w:rFonts w:ascii="Times New Roman" w:eastAsia="Times New Roman" w:hAnsi="Times New Roman" w:cs="Times New Roman"/>
          <w:kern w:val="0"/>
          <w:szCs w:val="24"/>
          <w:lang w:bidi="ar-SA"/>
          <w14:ligatures w14:val="none"/>
        </w:rPr>
        <w:t xml:space="preserve"> R, </w:t>
      </w:r>
      <w:proofErr w:type="spellStart"/>
      <w:r w:rsidRPr="00F2041E">
        <w:rPr>
          <w:rFonts w:ascii="Times New Roman" w:eastAsia="Times New Roman" w:hAnsi="Times New Roman" w:cs="Times New Roman"/>
          <w:kern w:val="0"/>
          <w:szCs w:val="24"/>
          <w:lang w:bidi="ar-SA"/>
          <w14:ligatures w14:val="none"/>
        </w:rPr>
        <w:t>Bolla</w:t>
      </w:r>
      <w:proofErr w:type="spellEnd"/>
      <w:r w:rsidRPr="00F2041E">
        <w:rPr>
          <w:rFonts w:ascii="Times New Roman" w:eastAsia="Times New Roman" w:hAnsi="Times New Roman" w:cs="Times New Roman"/>
          <w:kern w:val="0"/>
          <w:szCs w:val="24"/>
          <w:lang w:bidi="ar-SA"/>
          <w14:ligatures w14:val="none"/>
        </w:rPr>
        <w:t xml:space="preserve"> SP, Pavani 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—the best carriers for protein and peptide delivery. Asian Journal of Pharmaceutical Research and Development. 2013;1(4):16–23.</w:t>
      </w:r>
    </w:p>
    <w:p w14:paraId="2D947E55" w14:textId="4AF4CDA2"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Parashar A. Literature review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drug carrier system. Indian Journal of Medical Research and Pharmaceutical Sciences. 2017;4(11):27–30.</w:t>
      </w:r>
    </w:p>
    <w:p w14:paraId="34BF45A4" w14:textId="7ECDC0A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Jain S, Jain NK. Liposomes as drug carriers. In: Jain NK, editor. Controlled and Novel Drug Delivery. 1st ed. New Delhi: CBS Publishers &amp; Distributors; 1997. p. 304–352.</w:t>
      </w:r>
    </w:p>
    <w:p w14:paraId="28DF785A" w14:textId="0288F20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Wani</w:t>
      </w:r>
      <w:proofErr w:type="spellEnd"/>
      <w:r w:rsidRPr="00F2041E">
        <w:rPr>
          <w:rFonts w:ascii="Times New Roman" w:eastAsia="Times New Roman" w:hAnsi="Times New Roman" w:cs="Times New Roman"/>
          <w:kern w:val="0"/>
          <w:szCs w:val="24"/>
          <w:lang w:bidi="ar-SA"/>
          <w14:ligatures w14:val="none"/>
        </w:rPr>
        <w:t xml:space="preserve"> SU, </w:t>
      </w:r>
      <w:proofErr w:type="spellStart"/>
      <w:r w:rsidRPr="00F2041E">
        <w:rPr>
          <w:rFonts w:ascii="Times New Roman" w:eastAsia="Times New Roman" w:hAnsi="Times New Roman" w:cs="Times New Roman"/>
          <w:kern w:val="0"/>
          <w:szCs w:val="24"/>
          <w:lang w:bidi="ar-SA"/>
          <w14:ligatures w14:val="none"/>
        </w:rPr>
        <w:t>Yerawar</w:t>
      </w:r>
      <w:proofErr w:type="spellEnd"/>
      <w:r w:rsidRPr="00F2041E">
        <w:rPr>
          <w:rFonts w:ascii="Times New Roman" w:eastAsia="Times New Roman" w:hAnsi="Times New Roman" w:cs="Times New Roman"/>
          <w:kern w:val="0"/>
          <w:szCs w:val="24"/>
          <w:lang w:bidi="ar-SA"/>
          <w14:ligatures w14:val="none"/>
        </w:rPr>
        <w:t xml:space="preserve"> AN.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novel nanocarrier for drug delivery. International Journal of Pharmaceutical Technology. 2010;2(4):446–457.</w:t>
      </w:r>
    </w:p>
    <w:p w14:paraId="2018CB05" w14:textId="411A05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Sharma S, Gupta A, Niranjan H, Goyal M.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xml:space="preserve">: a novel drug delivery approach using nanocrystalline biomaterial. Current Research in Pharmaceutical Sciences. </w:t>
      </w:r>
      <w:proofErr w:type="gramStart"/>
      <w:r w:rsidRPr="00F2041E">
        <w:rPr>
          <w:rFonts w:ascii="Times New Roman" w:eastAsia="Times New Roman" w:hAnsi="Times New Roman" w:cs="Times New Roman"/>
          <w:kern w:val="0"/>
          <w:szCs w:val="24"/>
          <w:lang w:bidi="ar-SA"/>
          <w14:ligatures w14:val="none"/>
        </w:rPr>
        <w:t>2012;1:16</w:t>
      </w:r>
      <w:proofErr w:type="gramEnd"/>
      <w:r w:rsidRPr="00F2041E">
        <w:rPr>
          <w:rFonts w:ascii="Times New Roman" w:eastAsia="Times New Roman" w:hAnsi="Times New Roman" w:cs="Times New Roman"/>
          <w:kern w:val="0"/>
          <w:szCs w:val="24"/>
          <w:lang w:bidi="ar-SA"/>
          <w14:ligatures w14:val="none"/>
        </w:rPr>
        <w:t>–21.</w:t>
      </w:r>
    </w:p>
    <w:p w14:paraId="72314CBD" w14:textId="0D29AEC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Shruti R, </w:t>
      </w:r>
      <w:proofErr w:type="spellStart"/>
      <w:r w:rsidRPr="00F2041E">
        <w:rPr>
          <w:rFonts w:ascii="Times New Roman" w:eastAsia="Times New Roman" w:hAnsi="Times New Roman" w:cs="Times New Roman"/>
          <w:kern w:val="0"/>
          <w:szCs w:val="24"/>
          <w:lang w:bidi="ar-SA"/>
          <w14:ligatures w14:val="none"/>
        </w:rPr>
        <w:t>Alpana</w:t>
      </w:r>
      <w:proofErr w:type="spellEnd"/>
      <w:r w:rsidRPr="00F2041E">
        <w:rPr>
          <w:rFonts w:ascii="Times New Roman" w:eastAsia="Times New Roman" w:hAnsi="Times New Roman" w:cs="Times New Roman"/>
          <w:kern w:val="0"/>
          <w:szCs w:val="24"/>
          <w:lang w:bidi="ar-SA"/>
          <w14:ligatures w14:val="none"/>
        </w:rPr>
        <w:t xml:space="preserve"> R, Shraddha P. Distinct nanoparticles for drug delivery. Advanced Research in Pharmaceuticals. 2018;8(4):1073–1081.</w:t>
      </w:r>
    </w:p>
    <w:p w14:paraId="6859EB44" w14:textId="62DBA25C"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Jeong</w:t>
      </w:r>
      <w:proofErr w:type="spellEnd"/>
      <w:r w:rsidRPr="00F2041E">
        <w:rPr>
          <w:rFonts w:ascii="Times New Roman" w:eastAsia="Times New Roman" w:hAnsi="Times New Roman" w:cs="Times New Roman"/>
          <w:kern w:val="0"/>
          <w:szCs w:val="24"/>
          <w:lang w:bidi="ar-SA"/>
          <w14:ligatures w14:val="none"/>
        </w:rPr>
        <w:t xml:space="preserve"> Y, Nah JW, Kwang H, Na K, Kim I, Cho C, Kim S. Self-assembling nanospheres of hydrophobized pullulans in water. Drug Development and Industrial Pharmacy. 1999;25(8):917–927.</w:t>
      </w:r>
      <w:r w:rsidRPr="00F2041E">
        <w:rPr>
          <w:rFonts w:ascii="Times New Roman" w:eastAsia="Times New Roman" w:hAnsi="Times New Roman" w:cs="Times New Roman"/>
          <w:kern w:val="0"/>
          <w:szCs w:val="24"/>
          <w:lang w:bidi="ar-SA"/>
          <w14:ligatures w14:val="none"/>
        </w:rPr>
        <w:br/>
        <w:t>doi:10.1081/DDC-100102241</w:t>
      </w:r>
    </w:p>
    <w:p w14:paraId="5CA36C3D" w14:textId="225E3A93"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Chakraborty A, </w:t>
      </w:r>
      <w:proofErr w:type="spellStart"/>
      <w:r w:rsidRPr="00F2041E">
        <w:rPr>
          <w:rFonts w:ascii="Times New Roman" w:eastAsia="Times New Roman" w:hAnsi="Times New Roman" w:cs="Times New Roman"/>
          <w:kern w:val="0"/>
          <w:szCs w:val="24"/>
          <w:lang w:bidi="ar-SA"/>
          <w14:ligatures w14:val="none"/>
        </w:rPr>
        <w:t>Lahkar</w:t>
      </w:r>
      <w:proofErr w:type="spellEnd"/>
      <w:r w:rsidRPr="00F2041E">
        <w:rPr>
          <w:rFonts w:ascii="Times New Roman" w:eastAsia="Times New Roman" w:hAnsi="Times New Roman" w:cs="Times New Roman"/>
          <w:kern w:val="0"/>
          <w:szCs w:val="24"/>
          <w:lang w:bidi="ar-SA"/>
          <w14:ligatures w14:val="none"/>
        </w:rPr>
        <w:t xml:space="preserve"> S, Dey BK, </w:t>
      </w:r>
      <w:proofErr w:type="spellStart"/>
      <w:r w:rsidRPr="00F2041E">
        <w:rPr>
          <w:rFonts w:ascii="Times New Roman" w:eastAsia="Times New Roman" w:hAnsi="Times New Roman" w:cs="Times New Roman"/>
          <w:kern w:val="0"/>
          <w:szCs w:val="24"/>
          <w:lang w:bidi="ar-SA"/>
          <w14:ligatures w14:val="none"/>
        </w:rPr>
        <w:t>Alam</w:t>
      </w:r>
      <w:proofErr w:type="spellEnd"/>
      <w:r w:rsidRPr="00F2041E">
        <w:rPr>
          <w:rFonts w:ascii="Times New Roman" w:eastAsia="Times New Roman" w:hAnsi="Times New Roman" w:cs="Times New Roman"/>
          <w:kern w:val="0"/>
          <w:szCs w:val="24"/>
          <w:lang w:bidi="ar-SA"/>
          <w14:ligatures w14:val="none"/>
        </w:rPr>
        <w:t xml:space="preserve"> F.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—brief overview. International Journal of Pharmaceutical Sciences and Research. 2014;5(6):1222–1230.</w:t>
      </w:r>
    </w:p>
    <w:p w14:paraId="047C4684" w14:textId="708882F7"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lastRenderedPageBreak/>
        <w:t>Rewar</w:t>
      </w:r>
      <w:proofErr w:type="spellEnd"/>
      <w:r w:rsidRPr="00F2041E">
        <w:rPr>
          <w:rFonts w:ascii="Times New Roman" w:eastAsia="Times New Roman" w:hAnsi="Times New Roman" w:cs="Times New Roman"/>
          <w:kern w:val="0"/>
          <w:szCs w:val="24"/>
          <w:lang w:bidi="ar-SA"/>
          <w14:ligatures w14:val="none"/>
        </w:rPr>
        <w:t xml:space="preserve"> S. A vital role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on controlled and novel drug delivery. International Journal of Current Research in Chemistry and Pharmaceutical Sciences. 2015;2(5):6–11.</w:t>
      </w:r>
    </w:p>
    <w:p w14:paraId="2EA9EE13" w14:textId="02A6F975"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Gholap AD, </w:t>
      </w:r>
      <w:proofErr w:type="spellStart"/>
      <w:r w:rsidRPr="00F2041E">
        <w:rPr>
          <w:rFonts w:ascii="Times New Roman" w:eastAsia="Times New Roman" w:hAnsi="Times New Roman" w:cs="Times New Roman"/>
          <w:kern w:val="0"/>
          <w:szCs w:val="24"/>
          <w:lang w:bidi="ar-SA"/>
          <w14:ligatures w14:val="none"/>
        </w:rPr>
        <w:t>Bordue</w:t>
      </w:r>
      <w:proofErr w:type="spellEnd"/>
      <w:r w:rsidRPr="00F2041E">
        <w:rPr>
          <w:rFonts w:ascii="Times New Roman" w:eastAsia="Times New Roman" w:hAnsi="Times New Roman" w:cs="Times New Roman"/>
          <w:kern w:val="0"/>
          <w:szCs w:val="24"/>
          <w:lang w:bidi="ar-SA"/>
          <w14:ligatures w14:val="none"/>
        </w:rPr>
        <w:t xml:space="preserve"> SS, Mahajan AM.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potential drug delivery carrier. </w:t>
      </w:r>
      <w:proofErr w:type="spellStart"/>
      <w:r w:rsidRPr="00F2041E">
        <w:rPr>
          <w:rFonts w:ascii="Times New Roman" w:eastAsia="Times New Roman" w:hAnsi="Times New Roman" w:cs="Times New Roman"/>
          <w:kern w:val="0"/>
          <w:szCs w:val="24"/>
          <w:lang w:bidi="ar-SA"/>
          <w14:ligatures w14:val="none"/>
        </w:rPr>
        <w:t>Pharmacologyonline</w:t>
      </w:r>
      <w:proofErr w:type="spellEnd"/>
      <w:r w:rsidRPr="00F2041E">
        <w:rPr>
          <w:rFonts w:ascii="Times New Roman" w:eastAsia="Times New Roman" w:hAnsi="Times New Roman" w:cs="Times New Roman"/>
          <w:kern w:val="0"/>
          <w:szCs w:val="24"/>
          <w:lang w:bidi="ar-SA"/>
          <w14:ligatures w14:val="none"/>
        </w:rPr>
        <w:t xml:space="preserve">. </w:t>
      </w:r>
      <w:proofErr w:type="gramStart"/>
      <w:r w:rsidRPr="00F2041E">
        <w:rPr>
          <w:rFonts w:ascii="Times New Roman" w:eastAsia="Times New Roman" w:hAnsi="Times New Roman" w:cs="Times New Roman"/>
          <w:kern w:val="0"/>
          <w:szCs w:val="24"/>
          <w:lang w:bidi="ar-SA"/>
          <w14:ligatures w14:val="none"/>
        </w:rPr>
        <w:t>2011;3:230</w:t>
      </w:r>
      <w:proofErr w:type="gramEnd"/>
      <w:r w:rsidRPr="00F2041E">
        <w:rPr>
          <w:rFonts w:ascii="Times New Roman" w:eastAsia="Times New Roman" w:hAnsi="Times New Roman" w:cs="Times New Roman"/>
          <w:kern w:val="0"/>
          <w:szCs w:val="24"/>
          <w:lang w:bidi="ar-SA"/>
          <w14:ligatures w14:val="none"/>
        </w:rPr>
        <w:t>–237.</w:t>
      </w:r>
    </w:p>
    <w:p w14:paraId="481F2A9D" w14:textId="7A43F83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Kajbafvala</w:t>
      </w:r>
      <w:proofErr w:type="spellEnd"/>
      <w:r w:rsidRPr="00F2041E">
        <w:rPr>
          <w:rFonts w:ascii="Times New Roman" w:eastAsia="Times New Roman" w:hAnsi="Times New Roman" w:cs="Times New Roman"/>
          <w:kern w:val="0"/>
          <w:szCs w:val="24"/>
          <w:lang w:bidi="ar-SA"/>
          <w14:ligatures w14:val="none"/>
        </w:rPr>
        <w:t xml:space="preserve"> A, </w:t>
      </w:r>
      <w:proofErr w:type="spellStart"/>
      <w:r w:rsidRPr="00F2041E">
        <w:rPr>
          <w:rFonts w:ascii="Times New Roman" w:eastAsia="Times New Roman" w:hAnsi="Times New Roman" w:cs="Times New Roman"/>
          <w:kern w:val="0"/>
          <w:szCs w:val="24"/>
          <w:lang w:bidi="ar-SA"/>
          <w14:ligatures w14:val="none"/>
        </w:rPr>
        <w:t>Bahmanpour</w:t>
      </w:r>
      <w:proofErr w:type="spellEnd"/>
      <w:r w:rsidRPr="00F2041E">
        <w:rPr>
          <w:rFonts w:ascii="Times New Roman" w:eastAsia="Times New Roman" w:hAnsi="Times New Roman" w:cs="Times New Roman"/>
          <w:kern w:val="0"/>
          <w:szCs w:val="24"/>
          <w:lang w:bidi="ar-SA"/>
          <w14:ligatures w14:val="none"/>
        </w:rPr>
        <w:t xml:space="preserve"> H, </w:t>
      </w:r>
      <w:proofErr w:type="spellStart"/>
      <w:r w:rsidRPr="00F2041E">
        <w:rPr>
          <w:rFonts w:ascii="Times New Roman" w:eastAsia="Times New Roman" w:hAnsi="Times New Roman" w:cs="Times New Roman"/>
          <w:kern w:val="0"/>
          <w:szCs w:val="24"/>
          <w:lang w:bidi="ar-SA"/>
          <w14:ligatures w14:val="none"/>
        </w:rPr>
        <w:t>Maneshian</w:t>
      </w:r>
      <w:proofErr w:type="spellEnd"/>
      <w:r w:rsidRPr="00F2041E">
        <w:rPr>
          <w:rFonts w:ascii="Times New Roman" w:eastAsia="Times New Roman" w:hAnsi="Times New Roman" w:cs="Times New Roman"/>
          <w:kern w:val="0"/>
          <w:szCs w:val="24"/>
          <w:lang w:bidi="ar-SA"/>
          <w14:ligatures w14:val="none"/>
        </w:rPr>
        <w:t xml:space="preserve"> MH, Li M. Self-assembly techniques for nanofabrication. Journal of Nanomaterials. </w:t>
      </w:r>
      <w:proofErr w:type="gramStart"/>
      <w:r w:rsidRPr="00F2041E">
        <w:rPr>
          <w:rFonts w:ascii="Times New Roman" w:eastAsia="Times New Roman" w:hAnsi="Times New Roman" w:cs="Times New Roman"/>
          <w:kern w:val="0"/>
          <w:szCs w:val="24"/>
          <w:lang w:bidi="ar-SA"/>
          <w14:ligatures w14:val="none"/>
        </w:rPr>
        <w:t>2013;2013:1</w:t>
      </w:r>
      <w:proofErr w:type="gramEnd"/>
      <w:r w:rsidRPr="00F2041E">
        <w:rPr>
          <w:rFonts w:ascii="Times New Roman" w:eastAsia="Times New Roman" w:hAnsi="Times New Roman" w:cs="Times New Roman"/>
          <w:kern w:val="0"/>
          <w:szCs w:val="24"/>
          <w:lang w:bidi="ar-SA"/>
          <w14:ligatures w14:val="none"/>
        </w:rPr>
        <w:t>–3.</w:t>
      </w:r>
      <w:r w:rsidRPr="00F2041E">
        <w:rPr>
          <w:rFonts w:ascii="Times New Roman" w:eastAsia="Times New Roman" w:hAnsi="Times New Roman" w:cs="Times New Roman"/>
          <w:kern w:val="0"/>
          <w:szCs w:val="24"/>
          <w:lang w:bidi="ar-SA"/>
          <w14:ligatures w14:val="none"/>
        </w:rPr>
        <w:br/>
        <w:t>doi:10.1155/2013/780915</w:t>
      </w:r>
    </w:p>
    <w:p w14:paraId="6EB2AF76" w14:textId="07BA1252"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Mandal S, Mandal M. Current status and future prospects of new drug delivery system. Pharma Times. 2010;42(4):13–17.</w:t>
      </w:r>
    </w:p>
    <w:p w14:paraId="58022752" w14:textId="7D26A63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Hnatyszyn</w:t>
      </w:r>
      <w:proofErr w:type="spellEnd"/>
      <w:r w:rsidRPr="00F2041E">
        <w:rPr>
          <w:rFonts w:ascii="Times New Roman" w:eastAsia="Times New Roman" w:hAnsi="Times New Roman" w:cs="Times New Roman"/>
          <w:kern w:val="0"/>
          <w:szCs w:val="24"/>
          <w:lang w:bidi="ar-SA"/>
          <w14:ligatures w14:val="none"/>
        </w:rPr>
        <w:t xml:space="preserve"> HJ, </w:t>
      </w: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Gelman A, </w:t>
      </w:r>
      <w:proofErr w:type="spellStart"/>
      <w:r w:rsidRPr="00F2041E">
        <w:rPr>
          <w:rFonts w:ascii="Times New Roman" w:eastAsia="Times New Roman" w:hAnsi="Times New Roman" w:cs="Times New Roman"/>
          <w:kern w:val="0"/>
          <w:szCs w:val="24"/>
          <w:lang w:bidi="ar-SA"/>
          <w14:ligatures w14:val="none"/>
        </w:rPr>
        <w:t>Sponsler</w:t>
      </w:r>
      <w:proofErr w:type="spellEnd"/>
      <w:r w:rsidRPr="00F2041E">
        <w:rPr>
          <w:rFonts w:ascii="Times New Roman" w:eastAsia="Times New Roman" w:hAnsi="Times New Roman" w:cs="Times New Roman"/>
          <w:kern w:val="0"/>
          <w:szCs w:val="24"/>
          <w:lang w:bidi="ar-SA"/>
          <w14:ligatures w14:val="none"/>
        </w:rPr>
        <w:t xml:space="preserve"> E. Drug delivery systems for the future. Pharmaceutical Science and Technology Today. </w:t>
      </w:r>
      <w:proofErr w:type="gramStart"/>
      <w:r w:rsidRPr="00F2041E">
        <w:rPr>
          <w:rFonts w:ascii="Times New Roman" w:eastAsia="Times New Roman" w:hAnsi="Times New Roman" w:cs="Times New Roman"/>
          <w:kern w:val="0"/>
          <w:szCs w:val="24"/>
          <w:lang w:bidi="ar-SA"/>
          <w14:ligatures w14:val="none"/>
        </w:rPr>
        <w:t>1994;48:247</w:t>
      </w:r>
      <w:proofErr w:type="gramEnd"/>
      <w:r w:rsidRPr="00F2041E">
        <w:rPr>
          <w:rFonts w:ascii="Times New Roman" w:eastAsia="Times New Roman" w:hAnsi="Times New Roman" w:cs="Times New Roman"/>
          <w:kern w:val="0"/>
          <w:szCs w:val="24"/>
          <w:lang w:bidi="ar-SA"/>
          <w14:ligatures w14:val="none"/>
        </w:rPr>
        <w:t>–254.</w:t>
      </w:r>
    </w:p>
    <w:p w14:paraId="65AB4C87" w14:textId="046C884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Goyal AK, Khatri K, Mishra N, Mehta A, Vaidya B, Tiwari S. Development of self-assembled nanoceramic carrier constructs for vaccine delivery. Journal of Biomaterials Applications. 2009;24(1):65–84.</w:t>
      </w:r>
      <w:r w:rsidRPr="00F2041E">
        <w:rPr>
          <w:rFonts w:ascii="Times New Roman" w:eastAsia="Times New Roman" w:hAnsi="Times New Roman" w:cs="Times New Roman"/>
          <w:kern w:val="0"/>
          <w:szCs w:val="24"/>
          <w:lang w:bidi="ar-SA"/>
          <w14:ligatures w14:val="none"/>
        </w:rPr>
        <w:br/>
        <w:t>doi:10.1177/0885328208096791</w:t>
      </w:r>
    </w:p>
    <w:p w14:paraId="77A3CBC7" w14:textId="2AE58C4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Cherian AK, Rana AC, Jain SK. Self-assembled carbohydrate-stabilized ceramic nanoparticles for the parenteral delivery of insulin. Drug Development and Industrial Pharmacy. 2000;26(4):459–463.</w:t>
      </w:r>
      <w:r w:rsidRPr="00F2041E">
        <w:rPr>
          <w:rFonts w:ascii="Times New Roman" w:eastAsia="Times New Roman" w:hAnsi="Times New Roman" w:cs="Times New Roman"/>
          <w:kern w:val="0"/>
          <w:szCs w:val="24"/>
          <w:lang w:bidi="ar-SA"/>
          <w14:ligatures w14:val="none"/>
        </w:rPr>
        <w:br/>
        <w:t>doi:10.1081/DDC-100101269</w:t>
      </w:r>
    </w:p>
    <w:p w14:paraId="61CD9158" w14:textId="3D87BFD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Sahoo CK, Ramana DV, </w:t>
      </w:r>
      <w:proofErr w:type="spellStart"/>
      <w:r w:rsidRPr="00F2041E">
        <w:rPr>
          <w:rFonts w:ascii="Times New Roman" w:eastAsia="Times New Roman" w:hAnsi="Times New Roman" w:cs="Times New Roman"/>
          <w:kern w:val="0"/>
          <w:szCs w:val="24"/>
          <w:lang w:bidi="ar-SA"/>
          <w14:ligatures w14:val="none"/>
        </w:rPr>
        <w:t>Satyanarayan</w:t>
      </w:r>
      <w:proofErr w:type="spellEnd"/>
      <w:r w:rsidRPr="00F2041E">
        <w:rPr>
          <w:rFonts w:ascii="Times New Roman" w:eastAsia="Times New Roman" w:hAnsi="Times New Roman" w:cs="Times New Roman"/>
          <w:kern w:val="0"/>
          <w:szCs w:val="24"/>
          <w:lang w:bidi="ar-SA"/>
          <w14:ligatures w14:val="none"/>
        </w:rPr>
        <w:t xml:space="preserve"> K, Mohanty D. Drug delivery through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Journal of Pharmaceutical Advanced Research. 2018;1(3):156–162.</w:t>
      </w:r>
    </w:p>
    <w:p w14:paraId="264DC725" w14:textId="2DB3FF84"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Rege</w:t>
      </w:r>
      <w:proofErr w:type="spellEnd"/>
      <w:r w:rsidRPr="00F2041E">
        <w:rPr>
          <w:rFonts w:ascii="Times New Roman" w:eastAsia="Times New Roman" w:hAnsi="Times New Roman" w:cs="Times New Roman"/>
          <w:kern w:val="0"/>
          <w:szCs w:val="24"/>
          <w:lang w:bidi="ar-SA"/>
          <w14:ligatures w14:val="none"/>
        </w:rPr>
        <w:t xml:space="preserve"> K, Huang HC, </w:t>
      </w:r>
      <w:proofErr w:type="spellStart"/>
      <w:r w:rsidRPr="00F2041E">
        <w:rPr>
          <w:rFonts w:ascii="Times New Roman" w:eastAsia="Times New Roman" w:hAnsi="Times New Roman" w:cs="Times New Roman"/>
          <w:kern w:val="0"/>
          <w:szCs w:val="24"/>
          <w:lang w:bidi="ar-SA"/>
          <w14:ligatures w14:val="none"/>
        </w:rPr>
        <w:t>Barua</w:t>
      </w:r>
      <w:proofErr w:type="spellEnd"/>
      <w:r w:rsidRPr="00F2041E">
        <w:rPr>
          <w:rFonts w:ascii="Times New Roman" w:eastAsia="Times New Roman" w:hAnsi="Times New Roman" w:cs="Times New Roman"/>
          <w:kern w:val="0"/>
          <w:szCs w:val="24"/>
          <w:lang w:bidi="ar-SA"/>
          <w14:ligatures w14:val="none"/>
        </w:rPr>
        <w:t xml:space="preserve"> S, Sharma G, Dey SK. Inorganic nanoparticles for cancer imaging and therapy. Journal of Controlled Release. 2011;155(3):344–357.</w:t>
      </w:r>
      <w:r w:rsidRPr="00F2041E">
        <w:rPr>
          <w:rFonts w:ascii="Times New Roman" w:eastAsia="Times New Roman" w:hAnsi="Times New Roman" w:cs="Times New Roman"/>
          <w:kern w:val="0"/>
          <w:szCs w:val="24"/>
          <w:lang w:bidi="ar-SA"/>
          <w14:ligatures w14:val="none"/>
        </w:rPr>
        <w:br/>
      </w:r>
      <w:proofErr w:type="gramStart"/>
      <w:r w:rsidRPr="00F2041E">
        <w:rPr>
          <w:rFonts w:ascii="Times New Roman" w:eastAsia="Times New Roman" w:hAnsi="Times New Roman" w:cs="Times New Roman"/>
          <w:kern w:val="0"/>
          <w:szCs w:val="24"/>
          <w:lang w:bidi="ar-SA"/>
          <w14:ligatures w14:val="none"/>
        </w:rPr>
        <w:t>doi:10.1016/j.jconrel</w:t>
      </w:r>
      <w:proofErr w:type="gramEnd"/>
      <w:r w:rsidRPr="00F2041E">
        <w:rPr>
          <w:rFonts w:ascii="Times New Roman" w:eastAsia="Times New Roman" w:hAnsi="Times New Roman" w:cs="Times New Roman"/>
          <w:kern w:val="0"/>
          <w:szCs w:val="24"/>
          <w:lang w:bidi="ar-SA"/>
          <w14:ligatures w14:val="none"/>
        </w:rPr>
        <w:t>.2011.06.004</w:t>
      </w:r>
    </w:p>
    <w:p w14:paraId="10DD98AE" w14:textId="68DD936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Kaushik JK, Bhat R. Why is </w:t>
      </w:r>
      <w:proofErr w:type="spellStart"/>
      <w:r w:rsidRPr="00F2041E">
        <w:rPr>
          <w:rFonts w:ascii="Times New Roman" w:eastAsia="Times New Roman" w:hAnsi="Times New Roman" w:cs="Times New Roman"/>
          <w:kern w:val="0"/>
          <w:szCs w:val="24"/>
          <w:lang w:bidi="ar-SA"/>
          <w14:ligatures w14:val="none"/>
        </w:rPr>
        <w:t>trehalose</w:t>
      </w:r>
      <w:proofErr w:type="spellEnd"/>
      <w:r w:rsidRPr="00F2041E">
        <w:rPr>
          <w:rFonts w:ascii="Times New Roman" w:eastAsia="Times New Roman" w:hAnsi="Times New Roman" w:cs="Times New Roman"/>
          <w:kern w:val="0"/>
          <w:szCs w:val="24"/>
          <w:lang w:bidi="ar-SA"/>
          <w14:ligatures w14:val="none"/>
        </w:rPr>
        <w:t xml:space="preserve"> an exceptional protein stabilizer? Journal of Biological Chemistry. 2003;278(29):26458–26465.</w:t>
      </w:r>
      <w:r w:rsidRPr="00F2041E">
        <w:rPr>
          <w:rFonts w:ascii="Times New Roman" w:eastAsia="Times New Roman" w:hAnsi="Times New Roman" w:cs="Times New Roman"/>
          <w:kern w:val="0"/>
          <w:szCs w:val="24"/>
          <w:lang w:bidi="ar-SA"/>
          <w14:ligatures w14:val="none"/>
        </w:rPr>
        <w:br/>
        <w:t>doi:10.1074/jbc.M300815200</w:t>
      </w:r>
    </w:p>
    <w:p w14:paraId="20371491" w14:textId="48D611E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Virbhadra</w:t>
      </w:r>
      <w:proofErr w:type="spellEnd"/>
      <w:r w:rsidRPr="00F2041E">
        <w:rPr>
          <w:rFonts w:ascii="Times New Roman" w:eastAsia="Times New Roman" w:hAnsi="Times New Roman" w:cs="Times New Roman"/>
          <w:kern w:val="0"/>
          <w:szCs w:val="24"/>
          <w:lang w:bidi="ar-SA"/>
          <w14:ligatures w14:val="none"/>
        </w:rPr>
        <w:t xml:space="preserve"> V, </w:t>
      </w:r>
      <w:proofErr w:type="spellStart"/>
      <w:r w:rsidRPr="00F2041E">
        <w:rPr>
          <w:rFonts w:ascii="Times New Roman" w:eastAsia="Times New Roman" w:hAnsi="Times New Roman" w:cs="Times New Roman"/>
          <w:kern w:val="0"/>
          <w:szCs w:val="24"/>
          <w:lang w:bidi="ar-SA"/>
          <w14:ligatures w14:val="none"/>
        </w:rPr>
        <w:t>Jangme</w:t>
      </w:r>
      <w:proofErr w:type="spellEnd"/>
      <w:r w:rsidRPr="00F2041E">
        <w:rPr>
          <w:rFonts w:ascii="Times New Roman" w:eastAsia="Times New Roman" w:hAnsi="Times New Roman" w:cs="Times New Roman"/>
          <w:kern w:val="0"/>
          <w:szCs w:val="24"/>
          <w:lang w:bidi="ar-SA"/>
          <w14:ligatures w14:val="none"/>
        </w:rPr>
        <w:t xml:space="preserve"> CM, Patil SS, </w:t>
      </w:r>
      <w:proofErr w:type="spellStart"/>
      <w:r w:rsidRPr="00F2041E">
        <w:rPr>
          <w:rFonts w:ascii="Times New Roman" w:eastAsia="Times New Roman" w:hAnsi="Times New Roman" w:cs="Times New Roman"/>
          <w:kern w:val="0"/>
          <w:szCs w:val="24"/>
          <w:lang w:bidi="ar-SA"/>
          <w14:ligatures w14:val="none"/>
        </w:rPr>
        <w:t>Inde</w:t>
      </w:r>
      <w:proofErr w:type="spellEnd"/>
      <w:r w:rsidRPr="00F2041E">
        <w:rPr>
          <w:rFonts w:ascii="Times New Roman" w:eastAsia="Times New Roman" w:hAnsi="Times New Roman" w:cs="Times New Roman"/>
          <w:kern w:val="0"/>
          <w:szCs w:val="24"/>
          <w:lang w:bidi="ar-SA"/>
          <w14:ligatures w14:val="none"/>
        </w:rPr>
        <w:t xml:space="preserve"> GS, Chavan DV, </w:t>
      </w:r>
      <w:proofErr w:type="spellStart"/>
      <w:r w:rsidRPr="00F2041E">
        <w:rPr>
          <w:rFonts w:ascii="Times New Roman" w:eastAsia="Times New Roman" w:hAnsi="Times New Roman" w:cs="Times New Roman"/>
          <w:kern w:val="0"/>
          <w:szCs w:val="24"/>
          <w:lang w:bidi="ar-SA"/>
          <w14:ligatures w14:val="none"/>
        </w:rPr>
        <w:t>Yedale</w:t>
      </w:r>
      <w:proofErr w:type="spellEnd"/>
      <w:r w:rsidRPr="00F2041E">
        <w:rPr>
          <w:rFonts w:ascii="Times New Roman" w:eastAsia="Times New Roman" w:hAnsi="Times New Roman" w:cs="Times New Roman"/>
          <w:kern w:val="0"/>
          <w:szCs w:val="24"/>
          <w:lang w:bidi="ar-SA"/>
          <w14:ligatures w14:val="none"/>
        </w:rPr>
        <w:t xml:space="preserve"> AD. A review on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International Research Journal of Pharmacy and Applied Sciences. 2013;3(2):124–129.</w:t>
      </w:r>
    </w:p>
    <w:p w14:paraId="7C1CD1D8" w14:textId="6C22021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Narang N.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self-assembled systems for delivery of bioactive molecules. Asian Journal of Pharmaceutics. </w:t>
      </w:r>
      <w:proofErr w:type="gramStart"/>
      <w:r w:rsidRPr="00F2041E">
        <w:rPr>
          <w:rFonts w:ascii="Times New Roman" w:eastAsia="Times New Roman" w:hAnsi="Times New Roman" w:cs="Times New Roman"/>
          <w:kern w:val="0"/>
          <w:szCs w:val="24"/>
          <w:lang w:bidi="ar-SA"/>
          <w14:ligatures w14:val="none"/>
        </w:rPr>
        <w:t>2012;6:95</w:t>
      </w:r>
      <w:proofErr w:type="gramEnd"/>
      <w:r w:rsidRPr="00F2041E">
        <w:rPr>
          <w:rFonts w:ascii="Times New Roman" w:eastAsia="Times New Roman" w:hAnsi="Times New Roman" w:cs="Times New Roman"/>
          <w:kern w:val="0"/>
          <w:szCs w:val="24"/>
          <w:lang w:bidi="ar-SA"/>
          <w14:ligatures w14:val="none"/>
        </w:rPr>
        <w:t>–100.</w:t>
      </w:r>
      <w:r w:rsidRPr="00F2041E">
        <w:rPr>
          <w:rFonts w:ascii="Times New Roman" w:eastAsia="Times New Roman" w:hAnsi="Times New Roman" w:cs="Times New Roman"/>
          <w:kern w:val="0"/>
          <w:szCs w:val="24"/>
          <w:lang w:bidi="ar-SA"/>
          <w14:ligatures w14:val="none"/>
        </w:rPr>
        <w:br/>
        <w:t>doi:10.4103/0973-8398.104836</w:t>
      </w:r>
    </w:p>
    <w:p w14:paraId="78AB3D22" w14:textId="5F79293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Vengala</w:t>
      </w:r>
      <w:proofErr w:type="spellEnd"/>
      <w:r w:rsidRPr="00F2041E">
        <w:rPr>
          <w:rFonts w:ascii="Times New Roman" w:eastAsia="Times New Roman" w:hAnsi="Times New Roman" w:cs="Times New Roman"/>
          <w:kern w:val="0"/>
          <w:szCs w:val="24"/>
          <w:lang w:bidi="ar-SA"/>
          <w14:ligatures w14:val="none"/>
        </w:rPr>
        <w:t xml:space="preserve"> P, </w:t>
      </w:r>
      <w:proofErr w:type="spellStart"/>
      <w:r w:rsidRPr="00F2041E">
        <w:rPr>
          <w:rFonts w:ascii="Times New Roman" w:eastAsia="Times New Roman" w:hAnsi="Times New Roman" w:cs="Times New Roman"/>
          <w:kern w:val="0"/>
          <w:szCs w:val="24"/>
          <w:lang w:bidi="ar-SA"/>
          <w14:ligatures w14:val="none"/>
        </w:rPr>
        <w:t>Dintakurthi</w:t>
      </w:r>
      <w:proofErr w:type="spellEnd"/>
      <w:r w:rsidRPr="00F2041E">
        <w:rPr>
          <w:rFonts w:ascii="Times New Roman" w:eastAsia="Times New Roman" w:hAnsi="Times New Roman" w:cs="Times New Roman"/>
          <w:kern w:val="0"/>
          <w:szCs w:val="24"/>
          <w:lang w:bidi="ar-SA"/>
          <w14:ligatures w14:val="none"/>
        </w:rPr>
        <w:t xml:space="preserve"> S, Subrahmanyam CVS. Lactose-coated ceramic nanoparticles for oral drug delivery. Journal of Pharmaceutical Research. </w:t>
      </w:r>
      <w:proofErr w:type="gramStart"/>
      <w:r w:rsidRPr="00F2041E">
        <w:rPr>
          <w:rFonts w:ascii="Times New Roman" w:eastAsia="Times New Roman" w:hAnsi="Times New Roman" w:cs="Times New Roman"/>
          <w:kern w:val="0"/>
          <w:szCs w:val="24"/>
          <w:lang w:bidi="ar-SA"/>
          <w14:ligatures w14:val="none"/>
        </w:rPr>
        <w:t>2013;7:540</w:t>
      </w:r>
      <w:proofErr w:type="gramEnd"/>
      <w:r w:rsidRPr="00F2041E">
        <w:rPr>
          <w:rFonts w:ascii="Times New Roman" w:eastAsia="Times New Roman" w:hAnsi="Times New Roman" w:cs="Times New Roman"/>
          <w:kern w:val="0"/>
          <w:szCs w:val="24"/>
          <w:lang w:bidi="ar-SA"/>
          <w14:ligatures w14:val="none"/>
        </w:rPr>
        <w:t>–545.</w:t>
      </w:r>
      <w:r w:rsidRPr="00F2041E">
        <w:rPr>
          <w:rFonts w:ascii="Times New Roman" w:eastAsia="Times New Roman" w:hAnsi="Times New Roman" w:cs="Times New Roman"/>
          <w:kern w:val="0"/>
          <w:szCs w:val="24"/>
          <w:lang w:bidi="ar-SA"/>
          <w14:ligatures w14:val="none"/>
        </w:rPr>
        <w:br/>
        <w:t>doi:10.1016/j.jopr.2013.06.013</w:t>
      </w:r>
    </w:p>
    <w:p w14:paraId="5C553052" w14:textId="42F72B9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Khopade</w:t>
      </w:r>
      <w:proofErr w:type="spellEnd"/>
      <w:r w:rsidRPr="00F2041E">
        <w:rPr>
          <w:rFonts w:ascii="Times New Roman" w:eastAsia="Times New Roman" w:hAnsi="Times New Roman" w:cs="Times New Roman"/>
          <w:kern w:val="0"/>
          <w:szCs w:val="24"/>
          <w:lang w:bidi="ar-SA"/>
          <w14:ligatures w14:val="none"/>
        </w:rPr>
        <w:t xml:space="preserve"> AJ, </w:t>
      </w:r>
      <w:proofErr w:type="spellStart"/>
      <w:r w:rsidRPr="00F2041E">
        <w:rPr>
          <w:rFonts w:ascii="Times New Roman" w:eastAsia="Times New Roman" w:hAnsi="Times New Roman" w:cs="Times New Roman"/>
          <w:kern w:val="0"/>
          <w:szCs w:val="24"/>
          <w:lang w:bidi="ar-SA"/>
          <w14:ligatures w14:val="none"/>
        </w:rPr>
        <w:t>Khopade</w:t>
      </w:r>
      <w:proofErr w:type="spellEnd"/>
      <w:r w:rsidRPr="00F2041E">
        <w:rPr>
          <w:rFonts w:ascii="Times New Roman" w:eastAsia="Times New Roman" w:hAnsi="Times New Roman" w:cs="Times New Roman"/>
          <w:kern w:val="0"/>
          <w:szCs w:val="24"/>
          <w:lang w:bidi="ar-SA"/>
          <w14:ligatures w14:val="none"/>
        </w:rPr>
        <w:t xml:space="preserve"> S, Jain NK. Development of </w:t>
      </w:r>
      <w:proofErr w:type="spellStart"/>
      <w:r w:rsidRPr="00F2041E">
        <w:rPr>
          <w:rFonts w:ascii="Times New Roman" w:eastAsia="Times New Roman" w:hAnsi="Times New Roman" w:cs="Times New Roman"/>
          <w:kern w:val="0"/>
          <w:szCs w:val="24"/>
          <w:lang w:bidi="ar-SA"/>
          <w14:ligatures w14:val="none"/>
        </w:rPr>
        <w:t>haemoglobin</w:t>
      </w:r>
      <w:proofErr w:type="spellEnd"/>
      <w:r w:rsidRPr="00F2041E">
        <w:rPr>
          <w:rFonts w:ascii="Times New Roman" w:eastAsia="Times New Roman" w:hAnsi="Times New Roman" w:cs="Times New Roman"/>
          <w:kern w:val="0"/>
          <w:szCs w:val="24"/>
          <w:lang w:bidi="ar-SA"/>
          <w14:ligatures w14:val="none"/>
        </w:rPr>
        <w:t xml:space="preserve">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from spherical hydroxyapatite cores. International Journal of Pharmaceutics. 2002;241(1):145–154.</w:t>
      </w:r>
      <w:r w:rsidRPr="00F2041E">
        <w:rPr>
          <w:rFonts w:ascii="Times New Roman" w:eastAsia="Times New Roman" w:hAnsi="Times New Roman" w:cs="Times New Roman"/>
          <w:kern w:val="0"/>
          <w:szCs w:val="24"/>
          <w:lang w:bidi="ar-SA"/>
          <w14:ligatures w14:val="none"/>
        </w:rPr>
        <w:br/>
        <w:t>doi:10.1016/S0378-5173(02)00233-3</w:t>
      </w:r>
    </w:p>
    <w:p w14:paraId="4B2B9414" w14:textId="7623886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 </w:t>
      </w: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Gelman A, </w:t>
      </w:r>
      <w:proofErr w:type="spellStart"/>
      <w:r w:rsidRPr="00F2041E">
        <w:rPr>
          <w:rFonts w:ascii="Times New Roman" w:eastAsia="Times New Roman" w:hAnsi="Times New Roman" w:cs="Times New Roman"/>
          <w:kern w:val="0"/>
          <w:szCs w:val="24"/>
          <w:lang w:bidi="ar-SA"/>
          <w14:ligatures w14:val="none"/>
        </w:rPr>
        <w:t>Sponsler</w:t>
      </w:r>
      <w:proofErr w:type="spellEnd"/>
      <w:r w:rsidRPr="00F2041E">
        <w:rPr>
          <w:rFonts w:ascii="Times New Roman" w:eastAsia="Times New Roman" w:hAnsi="Times New Roman" w:cs="Times New Roman"/>
          <w:kern w:val="0"/>
          <w:szCs w:val="24"/>
          <w:lang w:bidi="ar-SA"/>
          <w14:ligatures w14:val="none"/>
        </w:rPr>
        <w:t xml:space="preserve"> E. Cross-linking encapsulated hemoglobin with solid-phase supports. Artificial Cells, Blood Substitutes, and Immobilization Biotechnology. 1994;22(3):479–485.</w:t>
      </w:r>
      <w:r w:rsidRPr="00F2041E">
        <w:rPr>
          <w:rFonts w:ascii="Times New Roman" w:eastAsia="Times New Roman" w:hAnsi="Times New Roman" w:cs="Times New Roman"/>
          <w:kern w:val="0"/>
          <w:szCs w:val="24"/>
          <w:lang w:bidi="ar-SA"/>
          <w14:ligatures w14:val="none"/>
        </w:rPr>
        <w:br/>
        <w:t>doi:10.3109/10731199409117293</w:t>
      </w:r>
    </w:p>
    <w:p w14:paraId="61DC9862" w14:textId="1B1B3080"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Mesariya</w:t>
      </w:r>
      <w:proofErr w:type="spellEnd"/>
      <w:r w:rsidRPr="00F2041E">
        <w:rPr>
          <w:rFonts w:ascii="Times New Roman" w:eastAsia="Times New Roman" w:hAnsi="Times New Roman" w:cs="Times New Roman"/>
          <w:kern w:val="0"/>
          <w:szCs w:val="24"/>
          <w:lang w:bidi="ar-SA"/>
          <w14:ligatures w14:val="none"/>
        </w:rPr>
        <w:t xml:space="preserve"> S, Joshi K, Jain H, Upadhyay UM.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—a self-assembled nanotechnology system. International Journal of Research in Pharmaceutical Sciences. 2011;2(3):492–496.</w:t>
      </w:r>
    </w:p>
    <w:p w14:paraId="66CECEA0" w14:textId="33733FD0"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lastRenderedPageBreak/>
        <w:t xml:space="preserve">Patel S, </w:t>
      </w:r>
      <w:proofErr w:type="spellStart"/>
      <w:r w:rsidRPr="00F2041E">
        <w:rPr>
          <w:rFonts w:ascii="Times New Roman" w:eastAsia="Times New Roman" w:hAnsi="Times New Roman" w:cs="Times New Roman"/>
          <w:kern w:val="0"/>
          <w:szCs w:val="24"/>
          <w:lang w:bidi="ar-SA"/>
          <w14:ligatures w14:val="none"/>
        </w:rPr>
        <w:t>Aundhia</w:t>
      </w:r>
      <w:proofErr w:type="spellEnd"/>
      <w:r w:rsidRPr="00F2041E">
        <w:rPr>
          <w:rFonts w:ascii="Times New Roman" w:eastAsia="Times New Roman" w:hAnsi="Times New Roman" w:cs="Times New Roman"/>
          <w:kern w:val="0"/>
          <w:szCs w:val="24"/>
          <w:lang w:bidi="ar-SA"/>
          <w14:ligatures w14:val="none"/>
        </w:rPr>
        <w:t xml:space="preserve"> C, Seth A, Shah N, Pandya K, Patel 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novel approach in drug carrier system. European Journal of Pharmaceutical and Medical Research. 2016;3(9):198–201.</w:t>
      </w:r>
    </w:p>
    <w:p w14:paraId="26D9C6F7" w14:textId="1C37B4DA"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Kutlehria</w:t>
      </w:r>
      <w:proofErr w:type="spellEnd"/>
      <w:r w:rsidRPr="00F2041E">
        <w:rPr>
          <w:rFonts w:ascii="Times New Roman" w:eastAsia="Times New Roman" w:hAnsi="Times New Roman" w:cs="Times New Roman"/>
          <w:kern w:val="0"/>
          <w:szCs w:val="24"/>
          <w:lang w:bidi="ar-SA"/>
          <w14:ligatures w14:val="none"/>
        </w:rPr>
        <w:t xml:space="preserve"> A, Kaushik P, Sharma S, Kaur A.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as a carrier system for oral delivery of bromelain. International Research Journal of Pharmacy. 2018;9(8):123–129.</w:t>
      </w:r>
      <w:r w:rsidRPr="00F2041E">
        <w:rPr>
          <w:rFonts w:ascii="Times New Roman" w:eastAsia="Times New Roman" w:hAnsi="Times New Roman" w:cs="Times New Roman"/>
          <w:kern w:val="0"/>
          <w:szCs w:val="24"/>
          <w:lang w:bidi="ar-SA"/>
          <w14:ligatures w14:val="none"/>
        </w:rPr>
        <w:br/>
        <w:t>doi:10.7897/2230-8407.098156</w:t>
      </w:r>
    </w:p>
    <w:p w14:paraId="0BB2A85B" w14:textId="1500096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Patel JK, Patel KN, Patel HK, Patel BA, Patel PA.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self-assembling </w:t>
      </w:r>
      <w:proofErr w:type="spellStart"/>
      <w:r w:rsidRPr="00F2041E">
        <w:rPr>
          <w:rFonts w:ascii="Times New Roman" w:eastAsia="Times New Roman" w:hAnsi="Times New Roman" w:cs="Times New Roman"/>
          <w:kern w:val="0"/>
          <w:szCs w:val="24"/>
          <w:lang w:bidi="ar-SA"/>
          <w14:ligatures w14:val="none"/>
        </w:rPr>
        <w:t>nanobiopharmaceutical</w:t>
      </w:r>
      <w:proofErr w:type="spellEnd"/>
      <w:r w:rsidRPr="00F2041E">
        <w:rPr>
          <w:rFonts w:ascii="Times New Roman" w:eastAsia="Times New Roman" w:hAnsi="Times New Roman" w:cs="Times New Roman"/>
          <w:kern w:val="0"/>
          <w:szCs w:val="24"/>
          <w:lang w:bidi="ar-SA"/>
          <w14:ligatures w14:val="none"/>
        </w:rPr>
        <w:t xml:space="preserve"> carrier system. International Journal of Pharmaceutical Research. 2012;1(1):11–21.</w:t>
      </w:r>
    </w:p>
    <w:p w14:paraId="5FF16E7E" w14:textId="3DF6094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Banerjee S, Sen KK.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 novel nanoparticulate drug carrier. Journal of Drug Delivery Science and Technology. </w:t>
      </w:r>
      <w:proofErr w:type="gramStart"/>
      <w:r w:rsidRPr="00F2041E">
        <w:rPr>
          <w:rFonts w:ascii="Times New Roman" w:eastAsia="Times New Roman" w:hAnsi="Times New Roman" w:cs="Times New Roman"/>
          <w:kern w:val="0"/>
          <w:szCs w:val="24"/>
          <w:lang w:bidi="ar-SA"/>
          <w14:ligatures w14:val="none"/>
        </w:rPr>
        <w:t>2018;43:446</w:t>
      </w:r>
      <w:proofErr w:type="gramEnd"/>
      <w:r w:rsidRPr="00F2041E">
        <w:rPr>
          <w:rFonts w:ascii="Times New Roman" w:eastAsia="Times New Roman" w:hAnsi="Times New Roman" w:cs="Times New Roman"/>
          <w:kern w:val="0"/>
          <w:szCs w:val="24"/>
          <w:lang w:bidi="ar-SA"/>
          <w14:ligatures w14:val="none"/>
        </w:rPr>
        <w:t>–452.</w:t>
      </w:r>
      <w:r w:rsidRPr="00F2041E">
        <w:rPr>
          <w:rFonts w:ascii="Times New Roman" w:eastAsia="Times New Roman" w:hAnsi="Times New Roman" w:cs="Times New Roman"/>
          <w:kern w:val="0"/>
          <w:szCs w:val="24"/>
          <w:lang w:bidi="ar-SA"/>
          <w14:ligatures w14:val="none"/>
        </w:rPr>
        <w:br/>
        <w:t>doi:10.1016/j.jddst.2017.10.016</w:t>
      </w:r>
    </w:p>
    <w:p w14:paraId="4C28C3E5" w14:textId="729C654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val="nb-NO" w:bidi="ar-SA"/>
          <w14:ligatures w14:val="none"/>
        </w:rPr>
        <w:t xml:space="preserve">Jain SS, Jagtap PS, Dand NM, Jadhav KR, Kadam VJ.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novel drug carrier. Journal of Applied Pharmacy. 2012;2(1):184–192.</w:t>
      </w:r>
    </w:p>
    <w:p w14:paraId="52F00627" w14:textId="1D646B1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Oviedo IR, Lopez RA, </w:t>
      </w:r>
      <w:proofErr w:type="spellStart"/>
      <w:r w:rsidRPr="00F2041E">
        <w:rPr>
          <w:rFonts w:ascii="Times New Roman" w:eastAsia="Times New Roman" w:hAnsi="Times New Roman" w:cs="Times New Roman"/>
          <w:kern w:val="0"/>
          <w:szCs w:val="24"/>
          <w:lang w:bidi="ar-SA"/>
          <w14:ligatures w14:val="none"/>
        </w:rPr>
        <w:t>Gasga</w:t>
      </w:r>
      <w:proofErr w:type="spellEnd"/>
      <w:r w:rsidRPr="00F2041E">
        <w:rPr>
          <w:rFonts w:ascii="Times New Roman" w:eastAsia="Times New Roman" w:hAnsi="Times New Roman" w:cs="Times New Roman"/>
          <w:kern w:val="0"/>
          <w:szCs w:val="24"/>
          <w:lang w:bidi="ar-SA"/>
          <w14:ligatures w14:val="none"/>
        </w:rPr>
        <w:t xml:space="preserve"> JR, </w:t>
      </w:r>
      <w:proofErr w:type="spellStart"/>
      <w:r w:rsidRPr="00F2041E">
        <w:rPr>
          <w:rFonts w:ascii="Times New Roman" w:eastAsia="Times New Roman" w:hAnsi="Times New Roman" w:cs="Times New Roman"/>
          <w:kern w:val="0"/>
          <w:szCs w:val="24"/>
          <w:lang w:bidi="ar-SA"/>
          <w14:ligatures w14:val="none"/>
        </w:rPr>
        <w:t>Barreda</w:t>
      </w:r>
      <w:proofErr w:type="spellEnd"/>
      <w:r w:rsidRPr="00F2041E">
        <w:rPr>
          <w:rFonts w:ascii="Times New Roman" w:eastAsia="Times New Roman" w:hAnsi="Times New Roman" w:cs="Times New Roman"/>
          <w:kern w:val="0"/>
          <w:szCs w:val="24"/>
          <w:lang w:bidi="ar-SA"/>
          <w14:ligatures w14:val="none"/>
        </w:rPr>
        <w:t xml:space="preserve"> CT. Elaboration and structural analysis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loaded with indomethacin. European Journal of Pharmaceutical Sciences. </w:t>
      </w:r>
      <w:proofErr w:type="gramStart"/>
      <w:r w:rsidRPr="00F2041E">
        <w:rPr>
          <w:rFonts w:ascii="Times New Roman" w:eastAsia="Times New Roman" w:hAnsi="Times New Roman" w:cs="Times New Roman"/>
          <w:kern w:val="0"/>
          <w:szCs w:val="24"/>
          <w:lang w:bidi="ar-SA"/>
          <w14:ligatures w14:val="none"/>
        </w:rPr>
        <w:t>2007;32:223</w:t>
      </w:r>
      <w:proofErr w:type="gramEnd"/>
      <w:r w:rsidRPr="00F2041E">
        <w:rPr>
          <w:rFonts w:ascii="Times New Roman" w:eastAsia="Times New Roman" w:hAnsi="Times New Roman" w:cs="Times New Roman"/>
          <w:kern w:val="0"/>
          <w:szCs w:val="24"/>
          <w:lang w:bidi="ar-SA"/>
          <w14:ligatures w14:val="none"/>
        </w:rPr>
        <w:t>–230.</w:t>
      </w:r>
      <w:r w:rsidRPr="00F2041E">
        <w:rPr>
          <w:rFonts w:ascii="Times New Roman" w:eastAsia="Times New Roman" w:hAnsi="Times New Roman" w:cs="Times New Roman"/>
          <w:kern w:val="0"/>
          <w:szCs w:val="24"/>
          <w:lang w:bidi="ar-SA"/>
          <w14:ligatures w14:val="none"/>
        </w:rPr>
        <w:br/>
        <w:t>doi:10.1016/j.ejps.2007.07.002</w:t>
      </w:r>
    </w:p>
    <w:p w14:paraId="5D28D777" w14:textId="6F82F0A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Nielsen SS. Phenol-</w:t>
      </w:r>
      <w:proofErr w:type="spellStart"/>
      <w:r w:rsidRPr="00F2041E">
        <w:rPr>
          <w:rFonts w:ascii="Times New Roman" w:eastAsia="Times New Roman" w:hAnsi="Times New Roman" w:cs="Times New Roman"/>
          <w:kern w:val="0"/>
          <w:szCs w:val="24"/>
          <w:lang w:bidi="ar-SA"/>
          <w14:ligatures w14:val="none"/>
        </w:rPr>
        <w:t>sulphuric</w:t>
      </w:r>
      <w:proofErr w:type="spellEnd"/>
      <w:r w:rsidRPr="00F2041E">
        <w:rPr>
          <w:rFonts w:ascii="Times New Roman" w:eastAsia="Times New Roman" w:hAnsi="Times New Roman" w:cs="Times New Roman"/>
          <w:kern w:val="0"/>
          <w:szCs w:val="24"/>
          <w:lang w:bidi="ar-SA"/>
          <w14:ligatures w14:val="none"/>
        </w:rPr>
        <w:t xml:space="preserve"> acid method for total carbohydrates. In: Food Analysis Laboratory Manual. Springer; 2009. p. 47–53.</w:t>
      </w:r>
      <w:r w:rsidRPr="00F2041E">
        <w:rPr>
          <w:rFonts w:ascii="Times New Roman" w:eastAsia="Times New Roman" w:hAnsi="Times New Roman" w:cs="Times New Roman"/>
          <w:kern w:val="0"/>
          <w:szCs w:val="24"/>
          <w:lang w:bidi="ar-SA"/>
          <w14:ligatures w14:val="none"/>
        </w:rPr>
        <w:br/>
        <w:t>doi:10.1007/978-1-4419-1463-7_6</w:t>
      </w:r>
    </w:p>
    <w:p w14:paraId="02DECD25" w14:textId="33FC44A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Vengala</w:t>
      </w:r>
      <w:proofErr w:type="spellEnd"/>
      <w:r w:rsidRPr="00F2041E">
        <w:rPr>
          <w:rFonts w:ascii="Times New Roman" w:eastAsia="Times New Roman" w:hAnsi="Times New Roman" w:cs="Times New Roman"/>
          <w:kern w:val="0"/>
          <w:szCs w:val="24"/>
          <w:lang w:bidi="ar-SA"/>
          <w14:ligatures w14:val="none"/>
        </w:rPr>
        <w:t xml:space="preserve"> P, Subrahmanyam CVS, </w:t>
      </w:r>
      <w:proofErr w:type="spellStart"/>
      <w:r w:rsidRPr="00F2041E">
        <w:rPr>
          <w:rFonts w:ascii="Times New Roman" w:eastAsia="Times New Roman" w:hAnsi="Times New Roman" w:cs="Times New Roman"/>
          <w:kern w:val="0"/>
          <w:szCs w:val="24"/>
          <w:lang w:bidi="ar-SA"/>
          <w14:ligatures w14:val="none"/>
        </w:rPr>
        <w:t>Gangaraju</w:t>
      </w:r>
      <w:proofErr w:type="spellEnd"/>
      <w:r w:rsidRPr="00F2041E">
        <w:rPr>
          <w:rFonts w:ascii="Times New Roman" w:eastAsia="Times New Roman" w:hAnsi="Times New Roman" w:cs="Times New Roman"/>
          <w:kern w:val="0"/>
          <w:szCs w:val="24"/>
          <w:lang w:bidi="ar-SA"/>
          <w14:ligatures w14:val="none"/>
        </w:rPr>
        <w:t xml:space="preserve"> M. In vitro and in vivo evaluation of piroxicam-loaded ceramic nanoparticles. International Journal of Pharmaceutical Sciences and Research. 2016;7(7):303–309.</w:t>
      </w:r>
    </w:p>
    <w:p w14:paraId="3870C0E9" w14:textId="6375231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Damera</w:t>
      </w:r>
      <w:proofErr w:type="spellEnd"/>
      <w:r w:rsidRPr="00F2041E">
        <w:rPr>
          <w:rFonts w:ascii="Times New Roman" w:eastAsia="Times New Roman" w:hAnsi="Times New Roman" w:cs="Times New Roman"/>
          <w:kern w:val="0"/>
          <w:szCs w:val="24"/>
          <w:lang w:bidi="ar-SA"/>
          <w14:ligatures w14:val="none"/>
        </w:rPr>
        <w:t xml:space="preserve"> DP, </w:t>
      </w:r>
      <w:proofErr w:type="spellStart"/>
      <w:r w:rsidRPr="00F2041E">
        <w:rPr>
          <w:rFonts w:ascii="Times New Roman" w:eastAsia="Times New Roman" w:hAnsi="Times New Roman" w:cs="Times New Roman"/>
          <w:kern w:val="0"/>
          <w:szCs w:val="24"/>
          <w:lang w:bidi="ar-SA"/>
          <w14:ligatures w14:val="none"/>
        </w:rPr>
        <w:t>Kaja</w:t>
      </w:r>
      <w:proofErr w:type="spellEnd"/>
      <w:r w:rsidRPr="00F2041E">
        <w:rPr>
          <w:rFonts w:ascii="Times New Roman" w:eastAsia="Times New Roman" w:hAnsi="Times New Roman" w:cs="Times New Roman"/>
          <w:kern w:val="0"/>
          <w:szCs w:val="24"/>
          <w:lang w:bidi="ar-SA"/>
          <w14:ligatures w14:val="none"/>
        </w:rPr>
        <w:t xml:space="preserve"> S, </w:t>
      </w:r>
      <w:proofErr w:type="spellStart"/>
      <w:r w:rsidRPr="00F2041E">
        <w:rPr>
          <w:rFonts w:ascii="Times New Roman" w:eastAsia="Times New Roman" w:hAnsi="Times New Roman" w:cs="Times New Roman"/>
          <w:kern w:val="0"/>
          <w:szCs w:val="24"/>
          <w:lang w:bidi="ar-SA"/>
          <w14:ligatures w14:val="none"/>
        </w:rPr>
        <w:t>Janardhanam</w:t>
      </w:r>
      <w:proofErr w:type="spellEnd"/>
      <w:r w:rsidRPr="00F2041E">
        <w:rPr>
          <w:rFonts w:ascii="Times New Roman" w:eastAsia="Times New Roman" w:hAnsi="Times New Roman" w:cs="Times New Roman"/>
          <w:kern w:val="0"/>
          <w:szCs w:val="24"/>
          <w:lang w:bidi="ar-SA"/>
          <w14:ligatures w14:val="none"/>
        </w:rPr>
        <w:t xml:space="preserve"> LS, </w:t>
      </w:r>
      <w:proofErr w:type="spellStart"/>
      <w:r w:rsidRPr="00F2041E">
        <w:rPr>
          <w:rFonts w:ascii="Times New Roman" w:eastAsia="Times New Roman" w:hAnsi="Times New Roman" w:cs="Times New Roman"/>
          <w:kern w:val="0"/>
          <w:szCs w:val="24"/>
          <w:lang w:bidi="ar-SA"/>
          <w14:ligatures w14:val="none"/>
        </w:rPr>
        <w:t>Alim</w:t>
      </w:r>
      <w:proofErr w:type="spellEnd"/>
      <w:r w:rsidRPr="00F2041E">
        <w:rPr>
          <w:rFonts w:ascii="Times New Roman" w:eastAsia="Times New Roman" w:hAnsi="Times New Roman" w:cs="Times New Roman"/>
          <w:kern w:val="0"/>
          <w:szCs w:val="24"/>
          <w:lang w:bidi="ar-SA"/>
          <w14:ligatures w14:val="none"/>
        </w:rPr>
        <w:t xml:space="preserve"> SK, </w:t>
      </w:r>
      <w:proofErr w:type="spellStart"/>
      <w:r w:rsidRPr="00F2041E">
        <w:rPr>
          <w:rFonts w:ascii="Times New Roman" w:eastAsia="Times New Roman" w:hAnsi="Times New Roman" w:cs="Times New Roman"/>
          <w:kern w:val="0"/>
          <w:szCs w:val="24"/>
          <w:lang w:bidi="ar-SA"/>
          <w14:ligatures w14:val="none"/>
        </w:rPr>
        <w:t>Venuganti</w:t>
      </w:r>
      <w:proofErr w:type="spellEnd"/>
      <w:r w:rsidRPr="00F2041E">
        <w:rPr>
          <w:rFonts w:ascii="Times New Roman" w:eastAsia="Times New Roman" w:hAnsi="Times New Roman" w:cs="Times New Roman"/>
          <w:kern w:val="0"/>
          <w:szCs w:val="24"/>
          <w:lang w:bidi="ar-SA"/>
          <w14:ligatures w14:val="none"/>
        </w:rPr>
        <w:t xml:space="preserve"> VV, Nag A. Synthesis and dual drug delivery application of BSA-loaded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Applied Biomaterials. </w:t>
      </w:r>
      <w:proofErr w:type="gramStart"/>
      <w:r w:rsidRPr="00F2041E">
        <w:rPr>
          <w:rFonts w:ascii="Times New Roman" w:eastAsia="Times New Roman" w:hAnsi="Times New Roman" w:cs="Times New Roman"/>
          <w:kern w:val="0"/>
          <w:szCs w:val="24"/>
          <w:lang w:bidi="ar-SA"/>
          <w14:ligatures w14:val="none"/>
        </w:rPr>
        <w:t>2019;2:4471</w:t>
      </w:r>
      <w:proofErr w:type="gramEnd"/>
      <w:r w:rsidRPr="00F2041E">
        <w:rPr>
          <w:rFonts w:ascii="Times New Roman" w:eastAsia="Times New Roman" w:hAnsi="Times New Roman" w:cs="Times New Roman"/>
          <w:kern w:val="0"/>
          <w:szCs w:val="24"/>
          <w:lang w:bidi="ar-SA"/>
          <w14:ligatures w14:val="none"/>
        </w:rPr>
        <w:t>–4484.</w:t>
      </w:r>
      <w:r w:rsidRPr="00F2041E">
        <w:rPr>
          <w:rFonts w:ascii="Times New Roman" w:eastAsia="Times New Roman" w:hAnsi="Times New Roman" w:cs="Times New Roman"/>
          <w:kern w:val="0"/>
          <w:szCs w:val="24"/>
          <w:lang w:bidi="ar-SA"/>
          <w14:ligatures w14:val="none"/>
        </w:rPr>
        <w:br/>
        <w:t>doi:10.1021/acsabm.9b00606</w:t>
      </w:r>
    </w:p>
    <w:p w14:paraId="58A57486" w14:textId="302C28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Chavda</w:t>
      </w:r>
      <w:proofErr w:type="spellEnd"/>
      <w:r w:rsidRPr="00F2041E">
        <w:rPr>
          <w:rFonts w:ascii="Times New Roman" w:eastAsia="Times New Roman" w:hAnsi="Times New Roman" w:cs="Times New Roman"/>
          <w:kern w:val="0"/>
          <w:szCs w:val="24"/>
          <w:lang w:bidi="ar-SA"/>
          <w14:ligatures w14:val="none"/>
        </w:rPr>
        <w:t xml:space="preserve"> V.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an attractive niche as peptide and protein carrier. Pharmaceutical Technology in Hospital Pharmacy. 2013;2(6):387–395.</w:t>
      </w:r>
    </w:p>
    <w:p w14:paraId="5E742D44" w14:textId="490064CB"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Gulati M, Singh S, Kishore U, Sachdeva RK, </w:t>
      </w:r>
      <w:proofErr w:type="spellStart"/>
      <w:r w:rsidRPr="00F2041E">
        <w:rPr>
          <w:rFonts w:ascii="Times New Roman" w:eastAsia="Times New Roman" w:hAnsi="Times New Roman" w:cs="Times New Roman"/>
          <w:kern w:val="0"/>
          <w:szCs w:val="24"/>
          <w:lang w:bidi="ar-SA"/>
          <w14:ligatures w14:val="none"/>
        </w:rPr>
        <w:t>Umashankar</w:t>
      </w:r>
      <w:proofErr w:type="spellEnd"/>
      <w:r w:rsidRPr="00F2041E">
        <w:rPr>
          <w:rFonts w:ascii="Times New Roman" w:eastAsia="Times New Roman" w:hAnsi="Times New Roman" w:cs="Times New Roman"/>
          <w:kern w:val="0"/>
          <w:szCs w:val="24"/>
          <w:lang w:bidi="ar-SA"/>
          <w14:ligatures w14:val="none"/>
        </w:rPr>
        <w:t xml:space="preserve"> MS. Potential applications of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for therapeutic delivery of proteins and peptides. Nanostructures for Drug Delivery. </w:t>
      </w:r>
      <w:proofErr w:type="gramStart"/>
      <w:r w:rsidRPr="00F2041E">
        <w:rPr>
          <w:rFonts w:ascii="Times New Roman" w:eastAsia="Times New Roman" w:hAnsi="Times New Roman" w:cs="Times New Roman"/>
          <w:kern w:val="0"/>
          <w:szCs w:val="24"/>
          <w:lang w:bidi="ar-SA"/>
          <w14:ligatures w14:val="none"/>
        </w:rPr>
        <w:t>2015;4:439</w:t>
      </w:r>
      <w:proofErr w:type="gramEnd"/>
      <w:r w:rsidRPr="00F2041E">
        <w:rPr>
          <w:rFonts w:ascii="Times New Roman" w:eastAsia="Times New Roman" w:hAnsi="Times New Roman" w:cs="Times New Roman"/>
          <w:kern w:val="0"/>
          <w:szCs w:val="24"/>
          <w:lang w:bidi="ar-SA"/>
          <w14:ligatures w14:val="none"/>
        </w:rPr>
        <w:t>–453.</w:t>
      </w:r>
      <w:r w:rsidRPr="00F2041E">
        <w:rPr>
          <w:rFonts w:ascii="Times New Roman" w:eastAsia="Times New Roman" w:hAnsi="Times New Roman" w:cs="Times New Roman"/>
          <w:kern w:val="0"/>
          <w:szCs w:val="24"/>
          <w:lang w:bidi="ar-SA"/>
          <w14:ligatures w14:val="none"/>
        </w:rPr>
        <w:br/>
        <w:t>doi:10.1016/B978-0-323-46144-3.00017-5</w:t>
      </w:r>
    </w:p>
    <w:p w14:paraId="29F97BD2" w14:textId="718F93A3"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Asfour</w:t>
      </w:r>
      <w:proofErr w:type="spellEnd"/>
      <w:r w:rsidRPr="00F2041E">
        <w:rPr>
          <w:rFonts w:ascii="Times New Roman" w:eastAsia="Times New Roman" w:hAnsi="Times New Roman" w:cs="Times New Roman"/>
          <w:kern w:val="0"/>
          <w:szCs w:val="24"/>
          <w:lang w:bidi="ar-SA"/>
          <w14:ligatures w14:val="none"/>
        </w:rPr>
        <w:t xml:space="preserve"> MH. Advanced trends in protein and peptide drug delivery. Drug Delivery and Translational Research. </w:t>
      </w:r>
      <w:proofErr w:type="gramStart"/>
      <w:r w:rsidRPr="00F2041E">
        <w:rPr>
          <w:rFonts w:ascii="Times New Roman" w:eastAsia="Times New Roman" w:hAnsi="Times New Roman" w:cs="Times New Roman"/>
          <w:kern w:val="0"/>
          <w:szCs w:val="24"/>
          <w:lang w:bidi="ar-SA"/>
          <w14:ligatures w14:val="none"/>
        </w:rPr>
        <w:t>2020;10:1</w:t>
      </w:r>
      <w:proofErr w:type="gramEnd"/>
      <w:r w:rsidRPr="00F2041E">
        <w:rPr>
          <w:rFonts w:ascii="Times New Roman" w:eastAsia="Times New Roman" w:hAnsi="Times New Roman" w:cs="Times New Roman"/>
          <w:kern w:val="0"/>
          <w:szCs w:val="24"/>
          <w:lang w:bidi="ar-SA"/>
          <w14:ligatures w14:val="none"/>
        </w:rPr>
        <w:t>–23.</w:t>
      </w:r>
      <w:r w:rsidRPr="00F2041E">
        <w:rPr>
          <w:rFonts w:ascii="Times New Roman" w:eastAsia="Times New Roman" w:hAnsi="Times New Roman" w:cs="Times New Roman"/>
          <w:kern w:val="0"/>
          <w:szCs w:val="24"/>
          <w:lang w:bidi="ar-SA"/>
          <w14:ligatures w14:val="none"/>
        </w:rPr>
        <w:br/>
        <w:t>doi:10.1007/s13346-020-00744-7</w:t>
      </w:r>
    </w:p>
    <w:p w14:paraId="630FF344" w14:textId="54E0009F"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Kossovsky</w:t>
      </w:r>
      <w:proofErr w:type="spellEnd"/>
      <w:r w:rsidRPr="00F2041E">
        <w:rPr>
          <w:rFonts w:ascii="Times New Roman" w:eastAsia="Times New Roman" w:hAnsi="Times New Roman" w:cs="Times New Roman"/>
          <w:kern w:val="0"/>
          <w:szCs w:val="24"/>
          <w:lang w:bidi="ar-SA"/>
          <w14:ligatures w14:val="none"/>
        </w:rPr>
        <w:t xml:space="preserve"> N, Gelman A, </w:t>
      </w:r>
      <w:proofErr w:type="spellStart"/>
      <w:r w:rsidRPr="00F2041E">
        <w:rPr>
          <w:rFonts w:ascii="Times New Roman" w:eastAsia="Times New Roman" w:hAnsi="Times New Roman" w:cs="Times New Roman"/>
          <w:kern w:val="0"/>
          <w:szCs w:val="24"/>
          <w:lang w:bidi="ar-SA"/>
          <w14:ligatures w14:val="none"/>
        </w:rPr>
        <w:t>Rajguru</w:t>
      </w:r>
      <w:proofErr w:type="spellEnd"/>
      <w:r w:rsidRPr="00F2041E">
        <w:rPr>
          <w:rFonts w:ascii="Times New Roman" w:eastAsia="Times New Roman" w:hAnsi="Times New Roman" w:cs="Times New Roman"/>
          <w:kern w:val="0"/>
          <w:szCs w:val="24"/>
          <w:lang w:bidi="ar-SA"/>
          <w14:ligatures w14:val="none"/>
        </w:rPr>
        <w:t xml:space="preserve"> S, Nguyen R, </w:t>
      </w:r>
      <w:proofErr w:type="spellStart"/>
      <w:r w:rsidRPr="00F2041E">
        <w:rPr>
          <w:rFonts w:ascii="Times New Roman" w:eastAsia="Times New Roman" w:hAnsi="Times New Roman" w:cs="Times New Roman"/>
          <w:kern w:val="0"/>
          <w:szCs w:val="24"/>
          <w:lang w:bidi="ar-SA"/>
          <w14:ligatures w14:val="none"/>
        </w:rPr>
        <w:t>Sponsler</w:t>
      </w:r>
      <w:proofErr w:type="spellEnd"/>
      <w:r w:rsidRPr="00F2041E">
        <w:rPr>
          <w:rFonts w:ascii="Times New Roman" w:eastAsia="Times New Roman" w:hAnsi="Times New Roman" w:cs="Times New Roman"/>
          <w:kern w:val="0"/>
          <w:szCs w:val="24"/>
          <w:lang w:bidi="ar-SA"/>
          <w14:ligatures w14:val="none"/>
        </w:rPr>
        <w:t xml:space="preserve"> E, </w:t>
      </w:r>
      <w:proofErr w:type="spellStart"/>
      <w:r w:rsidRPr="00F2041E">
        <w:rPr>
          <w:rFonts w:ascii="Times New Roman" w:eastAsia="Times New Roman" w:hAnsi="Times New Roman" w:cs="Times New Roman"/>
          <w:kern w:val="0"/>
          <w:szCs w:val="24"/>
          <w:lang w:bidi="ar-SA"/>
          <w14:ligatures w14:val="none"/>
        </w:rPr>
        <w:t>Hnatyszyn</w:t>
      </w:r>
      <w:proofErr w:type="spellEnd"/>
      <w:r w:rsidRPr="00F2041E">
        <w:rPr>
          <w:rFonts w:ascii="Times New Roman" w:eastAsia="Times New Roman" w:hAnsi="Times New Roman" w:cs="Times New Roman"/>
          <w:kern w:val="0"/>
          <w:szCs w:val="24"/>
          <w:lang w:bidi="ar-SA"/>
          <w14:ligatures w14:val="none"/>
        </w:rPr>
        <w:t xml:space="preserve"> HJ. Control of molecular polymorphisms by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Journal of Controlled Release. </w:t>
      </w:r>
      <w:proofErr w:type="gramStart"/>
      <w:r w:rsidRPr="00F2041E">
        <w:rPr>
          <w:rFonts w:ascii="Times New Roman" w:eastAsia="Times New Roman" w:hAnsi="Times New Roman" w:cs="Times New Roman"/>
          <w:kern w:val="0"/>
          <w:szCs w:val="24"/>
          <w:lang w:bidi="ar-SA"/>
          <w14:ligatures w14:val="none"/>
        </w:rPr>
        <w:t>1996;39:383</w:t>
      </w:r>
      <w:proofErr w:type="gramEnd"/>
      <w:r w:rsidRPr="00F2041E">
        <w:rPr>
          <w:rFonts w:ascii="Times New Roman" w:eastAsia="Times New Roman" w:hAnsi="Times New Roman" w:cs="Times New Roman"/>
          <w:kern w:val="0"/>
          <w:szCs w:val="24"/>
          <w:lang w:bidi="ar-SA"/>
          <w14:ligatures w14:val="none"/>
        </w:rPr>
        <w:t>–388.</w:t>
      </w:r>
      <w:r w:rsidRPr="00F2041E">
        <w:rPr>
          <w:rFonts w:ascii="Times New Roman" w:eastAsia="Times New Roman" w:hAnsi="Times New Roman" w:cs="Times New Roman"/>
          <w:kern w:val="0"/>
          <w:szCs w:val="24"/>
          <w:lang w:bidi="ar-SA"/>
          <w14:ligatures w14:val="none"/>
        </w:rPr>
        <w:br/>
        <w:t>doi:10.1016/0168-3659(95)00152-3</w:t>
      </w:r>
    </w:p>
    <w:p w14:paraId="75F45895" w14:textId="7FB80821"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val="nb-NO" w:bidi="ar-SA"/>
          <w14:ligatures w14:val="none"/>
        </w:rPr>
        <w:t xml:space="preserve">Prasanthi NL, Manikiran SS, Krishna SC, Rao NR.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role to deliver bioactive substances. Research Journal of Pharmaceutical Dosage Forms and Technology. 2010;2(6):356–360.</w:t>
      </w:r>
    </w:p>
    <w:p w14:paraId="39F74703" w14:textId="71089FC6"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Chaudhary JS, Prajapati SK, Gupta R.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a new approach for delivering therapeutics. Asian Journal of Pharmaceutics. 2018;12(2</w:t>
      </w:r>
      <w:proofErr w:type="gramStart"/>
      <w:r w:rsidRPr="00F2041E">
        <w:rPr>
          <w:rFonts w:ascii="Times New Roman" w:eastAsia="Times New Roman" w:hAnsi="Times New Roman" w:cs="Times New Roman"/>
          <w:kern w:val="0"/>
          <w:szCs w:val="24"/>
          <w:lang w:bidi="ar-SA"/>
          <w14:ligatures w14:val="none"/>
        </w:rPr>
        <w:t>):S</w:t>
      </w:r>
      <w:proofErr w:type="gramEnd"/>
      <w:r w:rsidRPr="00F2041E">
        <w:rPr>
          <w:rFonts w:ascii="Times New Roman" w:eastAsia="Times New Roman" w:hAnsi="Times New Roman" w:cs="Times New Roman"/>
          <w:kern w:val="0"/>
          <w:szCs w:val="24"/>
          <w:lang w:bidi="ar-SA"/>
          <w14:ligatures w14:val="none"/>
        </w:rPr>
        <w:t>419.</w:t>
      </w:r>
      <w:r w:rsidRPr="00F2041E">
        <w:rPr>
          <w:rFonts w:ascii="Times New Roman" w:eastAsia="Times New Roman" w:hAnsi="Times New Roman" w:cs="Times New Roman"/>
          <w:kern w:val="0"/>
          <w:szCs w:val="24"/>
          <w:lang w:bidi="ar-SA"/>
          <w14:ligatures w14:val="none"/>
        </w:rPr>
        <w:br/>
        <w:t>doi:10.22377/ajp.v12i02.2375</w:t>
      </w:r>
    </w:p>
    <w:p w14:paraId="5E6C13BB" w14:textId="45B73F49"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lastRenderedPageBreak/>
        <w:t>Rawat M, Singh D, Saraf S, Saraf S. Development and in vitro evaluation of alginate gel-encapsulated ceramic nanocores. Drug Development and Industrial Pharmacy. 2008;34(2):181–188.</w:t>
      </w:r>
      <w:r w:rsidRPr="00F2041E">
        <w:rPr>
          <w:rFonts w:ascii="Times New Roman" w:eastAsia="Times New Roman" w:hAnsi="Times New Roman" w:cs="Times New Roman"/>
          <w:kern w:val="0"/>
          <w:szCs w:val="24"/>
          <w:lang w:bidi="ar-SA"/>
          <w14:ligatures w14:val="none"/>
        </w:rPr>
        <w:br/>
        <w:t>doi:10.1080/03639040701471948</w:t>
      </w:r>
    </w:p>
    <w:p w14:paraId="733DDE5F" w14:textId="3C4FDACE"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r w:rsidRPr="00F2041E">
        <w:rPr>
          <w:rFonts w:ascii="Times New Roman" w:eastAsia="Times New Roman" w:hAnsi="Times New Roman" w:cs="Times New Roman"/>
          <w:kern w:val="0"/>
          <w:szCs w:val="24"/>
          <w:lang w:bidi="ar-SA"/>
          <w14:ligatures w14:val="none"/>
        </w:rPr>
        <w:t xml:space="preserve">Tiwari T, Khan S, Rao N, Joshi A, Dubey BK. Preparation and characterization of </w:t>
      </w:r>
      <w:proofErr w:type="spellStart"/>
      <w:r w:rsidRPr="00F2041E">
        <w:rPr>
          <w:rFonts w:ascii="Times New Roman" w:eastAsia="Times New Roman" w:hAnsi="Times New Roman" w:cs="Times New Roman"/>
          <w:kern w:val="0"/>
          <w:szCs w:val="24"/>
          <w:lang w:bidi="ar-SA"/>
          <w14:ligatures w14:val="none"/>
        </w:rPr>
        <w:t>aquasome</w:t>
      </w:r>
      <w:proofErr w:type="spellEnd"/>
      <w:r w:rsidRPr="00F2041E">
        <w:rPr>
          <w:rFonts w:ascii="Times New Roman" w:eastAsia="Times New Roman" w:hAnsi="Times New Roman" w:cs="Times New Roman"/>
          <w:kern w:val="0"/>
          <w:szCs w:val="24"/>
          <w:lang w:bidi="ar-SA"/>
          <w14:ligatures w14:val="none"/>
        </w:rPr>
        <w:t xml:space="preserve">-based formulations of dithranol. World Journal of Pharmaceutical Sciences. </w:t>
      </w:r>
      <w:proofErr w:type="gramStart"/>
      <w:r w:rsidRPr="00F2041E">
        <w:rPr>
          <w:rFonts w:ascii="Times New Roman" w:eastAsia="Times New Roman" w:hAnsi="Times New Roman" w:cs="Times New Roman"/>
          <w:kern w:val="0"/>
          <w:szCs w:val="24"/>
          <w:lang w:bidi="ar-SA"/>
          <w14:ligatures w14:val="none"/>
        </w:rPr>
        <w:t>2012;1:250</w:t>
      </w:r>
      <w:proofErr w:type="gramEnd"/>
      <w:r w:rsidRPr="00F2041E">
        <w:rPr>
          <w:rFonts w:ascii="Times New Roman" w:eastAsia="Times New Roman" w:hAnsi="Times New Roman" w:cs="Times New Roman"/>
          <w:kern w:val="0"/>
          <w:szCs w:val="24"/>
          <w:lang w:bidi="ar-SA"/>
          <w14:ligatures w14:val="none"/>
        </w:rPr>
        <w:t>–272.</w:t>
      </w:r>
    </w:p>
    <w:p w14:paraId="2788E2DE" w14:textId="64743958" w:rsidR="00F2041E" w:rsidRPr="00F2041E" w:rsidRDefault="00F2041E" w:rsidP="00F2041E">
      <w:pPr>
        <w:pStyle w:val="ListParagraph"/>
        <w:numPr>
          <w:ilvl w:val="0"/>
          <w:numId w:val="12"/>
        </w:numPr>
        <w:spacing w:before="100" w:beforeAutospacing="1" w:after="100" w:afterAutospacing="1" w:line="240" w:lineRule="auto"/>
        <w:jc w:val="both"/>
        <w:rPr>
          <w:rFonts w:ascii="Times New Roman" w:eastAsia="Times New Roman" w:hAnsi="Times New Roman" w:cs="Times New Roman"/>
          <w:kern w:val="0"/>
          <w:szCs w:val="24"/>
          <w:lang w:bidi="ar-SA"/>
          <w14:ligatures w14:val="none"/>
        </w:rPr>
      </w:pPr>
      <w:proofErr w:type="spellStart"/>
      <w:r w:rsidRPr="00F2041E">
        <w:rPr>
          <w:rFonts w:ascii="Times New Roman" w:eastAsia="Times New Roman" w:hAnsi="Times New Roman" w:cs="Times New Roman"/>
          <w:kern w:val="0"/>
          <w:szCs w:val="24"/>
          <w:lang w:bidi="ar-SA"/>
          <w14:ligatures w14:val="none"/>
        </w:rPr>
        <w:t>Nanjwade</w:t>
      </w:r>
      <w:proofErr w:type="spellEnd"/>
      <w:r w:rsidRPr="00F2041E">
        <w:rPr>
          <w:rFonts w:ascii="Times New Roman" w:eastAsia="Times New Roman" w:hAnsi="Times New Roman" w:cs="Times New Roman"/>
          <w:kern w:val="0"/>
          <w:szCs w:val="24"/>
          <w:lang w:bidi="ar-SA"/>
          <w14:ligatures w14:val="none"/>
        </w:rPr>
        <w:t xml:space="preserve"> BK, </w:t>
      </w:r>
      <w:proofErr w:type="spellStart"/>
      <w:r w:rsidRPr="00F2041E">
        <w:rPr>
          <w:rFonts w:ascii="Times New Roman" w:eastAsia="Times New Roman" w:hAnsi="Times New Roman" w:cs="Times New Roman"/>
          <w:kern w:val="0"/>
          <w:szCs w:val="24"/>
          <w:lang w:bidi="ar-SA"/>
          <w14:ligatures w14:val="none"/>
        </w:rPr>
        <w:t>Hiremath</w:t>
      </w:r>
      <w:proofErr w:type="spellEnd"/>
      <w:r w:rsidRPr="00F2041E">
        <w:rPr>
          <w:rFonts w:ascii="Times New Roman" w:eastAsia="Times New Roman" w:hAnsi="Times New Roman" w:cs="Times New Roman"/>
          <w:kern w:val="0"/>
          <w:szCs w:val="24"/>
          <w:lang w:bidi="ar-SA"/>
          <w14:ligatures w14:val="none"/>
        </w:rPr>
        <w:t xml:space="preserve"> GM, </w:t>
      </w:r>
      <w:proofErr w:type="spellStart"/>
      <w:r w:rsidRPr="00F2041E">
        <w:rPr>
          <w:rFonts w:ascii="Times New Roman" w:eastAsia="Times New Roman" w:hAnsi="Times New Roman" w:cs="Times New Roman"/>
          <w:kern w:val="0"/>
          <w:szCs w:val="24"/>
          <w:lang w:bidi="ar-SA"/>
          <w14:ligatures w14:val="none"/>
        </w:rPr>
        <w:t>Manvi</w:t>
      </w:r>
      <w:proofErr w:type="spellEnd"/>
      <w:r w:rsidRPr="00F2041E">
        <w:rPr>
          <w:rFonts w:ascii="Times New Roman" w:eastAsia="Times New Roman" w:hAnsi="Times New Roman" w:cs="Times New Roman"/>
          <w:kern w:val="0"/>
          <w:szCs w:val="24"/>
          <w:lang w:bidi="ar-SA"/>
          <w14:ligatures w14:val="none"/>
        </w:rPr>
        <w:t xml:space="preserve"> FV, </w:t>
      </w:r>
      <w:proofErr w:type="spellStart"/>
      <w:r w:rsidRPr="00F2041E">
        <w:rPr>
          <w:rFonts w:ascii="Times New Roman" w:eastAsia="Times New Roman" w:hAnsi="Times New Roman" w:cs="Times New Roman"/>
          <w:kern w:val="0"/>
          <w:szCs w:val="24"/>
          <w:lang w:bidi="ar-SA"/>
          <w14:ligatures w14:val="none"/>
        </w:rPr>
        <w:t>Srichana</w:t>
      </w:r>
      <w:proofErr w:type="spellEnd"/>
      <w:r w:rsidRPr="00F2041E">
        <w:rPr>
          <w:rFonts w:ascii="Times New Roman" w:eastAsia="Times New Roman" w:hAnsi="Times New Roman" w:cs="Times New Roman"/>
          <w:kern w:val="0"/>
          <w:szCs w:val="24"/>
          <w:lang w:bidi="ar-SA"/>
          <w14:ligatures w14:val="none"/>
        </w:rPr>
        <w:t xml:space="preserve"> T. Formulation and evaluation of etoposide-loaded </w:t>
      </w:r>
      <w:proofErr w:type="spellStart"/>
      <w:r w:rsidRPr="00F2041E">
        <w:rPr>
          <w:rFonts w:ascii="Times New Roman" w:eastAsia="Times New Roman" w:hAnsi="Times New Roman" w:cs="Times New Roman"/>
          <w:kern w:val="0"/>
          <w:szCs w:val="24"/>
          <w:lang w:bidi="ar-SA"/>
          <w14:ligatures w14:val="none"/>
        </w:rPr>
        <w:t>aquasomes</w:t>
      </w:r>
      <w:proofErr w:type="spellEnd"/>
      <w:r w:rsidRPr="00F2041E">
        <w:rPr>
          <w:rFonts w:ascii="Times New Roman" w:eastAsia="Times New Roman" w:hAnsi="Times New Roman" w:cs="Times New Roman"/>
          <w:kern w:val="0"/>
          <w:szCs w:val="24"/>
          <w:lang w:bidi="ar-SA"/>
          <w14:ligatures w14:val="none"/>
        </w:rPr>
        <w:t xml:space="preserve">. Journal of </w:t>
      </w:r>
      <w:proofErr w:type="spellStart"/>
      <w:r w:rsidRPr="00F2041E">
        <w:rPr>
          <w:rFonts w:ascii="Times New Roman" w:eastAsia="Times New Roman" w:hAnsi="Times New Roman" w:cs="Times New Roman"/>
          <w:kern w:val="0"/>
          <w:szCs w:val="24"/>
          <w:lang w:bidi="ar-SA"/>
          <w14:ligatures w14:val="none"/>
        </w:rPr>
        <w:t>Nanopharmaceutics</w:t>
      </w:r>
      <w:proofErr w:type="spellEnd"/>
      <w:r w:rsidRPr="00F2041E">
        <w:rPr>
          <w:rFonts w:ascii="Times New Roman" w:eastAsia="Times New Roman" w:hAnsi="Times New Roman" w:cs="Times New Roman"/>
          <w:kern w:val="0"/>
          <w:szCs w:val="24"/>
          <w:lang w:bidi="ar-SA"/>
          <w14:ligatures w14:val="none"/>
        </w:rPr>
        <w:t xml:space="preserve"> and Drug Delivery. </w:t>
      </w:r>
      <w:proofErr w:type="gramStart"/>
      <w:r w:rsidRPr="00F2041E">
        <w:rPr>
          <w:rFonts w:ascii="Times New Roman" w:eastAsia="Times New Roman" w:hAnsi="Times New Roman" w:cs="Times New Roman"/>
          <w:kern w:val="0"/>
          <w:szCs w:val="24"/>
          <w:lang w:bidi="ar-SA"/>
          <w14:ligatures w14:val="none"/>
        </w:rPr>
        <w:t>2013;1:92</w:t>
      </w:r>
      <w:proofErr w:type="gramEnd"/>
      <w:r w:rsidRPr="00F2041E">
        <w:rPr>
          <w:rFonts w:ascii="Times New Roman" w:eastAsia="Times New Roman" w:hAnsi="Times New Roman" w:cs="Times New Roman"/>
          <w:kern w:val="0"/>
          <w:szCs w:val="24"/>
          <w:lang w:bidi="ar-SA"/>
          <w14:ligatures w14:val="none"/>
        </w:rPr>
        <w:t>–101.</w:t>
      </w:r>
    </w:p>
    <w:p w14:paraId="36FA7F65" w14:textId="043D6F84" w:rsidR="00F2041E" w:rsidRPr="00F2041E" w:rsidRDefault="00F2041E" w:rsidP="00F2041E">
      <w:pPr>
        <w:ind w:left="360"/>
        <w:jc w:val="both"/>
        <w:rPr>
          <w:rFonts w:ascii="Times New Roman" w:hAnsi="Times New Roman" w:cs="Times New Roman"/>
        </w:rPr>
      </w:pPr>
    </w:p>
    <w:sectPr w:rsidR="00F2041E" w:rsidRPr="00F2041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E2960" w14:textId="77777777" w:rsidR="00152807" w:rsidRDefault="00152807" w:rsidP="001B657A">
      <w:pPr>
        <w:spacing w:after="0" w:line="240" w:lineRule="auto"/>
      </w:pPr>
      <w:r>
        <w:separator/>
      </w:r>
    </w:p>
  </w:endnote>
  <w:endnote w:type="continuationSeparator" w:id="0">
    <w:p w14:paraId="3E9EC1FE" w14:textId="77777777" w:rsidR="00152807" w:rsidRDefault="00152807" w:rsidP="001B6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613E" w14:textId="77777777" w:rsidR="00A46FDE" w:rsidRDefault="00A46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304A" w14:textId="77777777" w:rsidR="00A46FDE" w:rsidRDefault="00A46F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B1B3" w14:textId="77777777" w:rsidR="00A46FDE" w:rsidRDefault="00A46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D2082" w14:textId="77777777" w:rsidR="00152807" w:rsidRDefault="00152807" w:rsidP="001B657A">
      <w:pPr>
        <w:spacing w:after="0" w:line="240" w:lineRule="auto"/>
      </w:pPr>
      <w:r>
        <w:separator/>
      </w:r>
    </w:p>
  </w:footnote>
  <w:footnote w:type="continuationSeparator" w:id="0">
    <w:p w14:paraId="19F9DD3C" w14:textId="77777777" w:rsidR="00152807" w:rsidRDefault="00152807" w:rsidP="001B6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90A8E" w14:textId="4A2EA270" w:rsidR="00A46FDE" w:rsidRDefault="00A46FDE">
    <w:pPr>
      <w:pStyle w:val="Header"/>
    </w:pPr>
    <w:r>
      <w:rPr>
        <w:noProof/>
      </w:rPr>
      <w:pict w14:anchorId="190E0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F4E7" w14:textId="1470CAE9" w:rsidR="00A46FDE" w:rsidRDefault="00A46FDE">
    <w:pPr>
      <w:pStyle w:val="Header"/>
    </w:pPr>
    <w:r>
      <w:rPr>
        <w:noProof/>
      </w:rPr>
      <w:pict w14:anchorId="59225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A2CE" w14:textId="23295594" w:rsidR="00A46FDE" w:rsidRDefault="00A46FDE">
    <w:pPr>
      <w:pStyle w:val="Header"/>
    </w:pPr>
    <w:r>
      <w:rPr>
        <w:noProof/>
      </w:rPr>
      <w:pict w14:anchorId="4249C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731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510F9"/>
    <w:multiLevelType w:val="multilevel"/>
    <w:tmpl w:val="B098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E1BAC"/>
    <w:multiLevelType w:val="multilevel"/>
    <w:tmpl w:val="7FE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942D1"/>
    <w:multiLevelType w:val="multilevel"/>
    <w:tmpl w:val="33EA26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0F7EC7"/>
    <w:multiLevelType w:val="multilevel"/>
    <w:tmpl w:val="FE50EC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7112D"/>
    <w:multiLevelType w:val="multilevel"/>
    <w:tmpl w:val="4D123FE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D2626"/>
    <w:multiLevelType w:val="multilevel"/>
    <w:tmpl w:val="6E2AB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DC7A0A"/>
    <w:multiLevelType w:val="hybridMultilevel"/>
    <w:tmpl w:val="239EBC86"/>
    <w:lvl w:ilvl="0" w:tplc="AB9ABC80">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E3309B"/>
    <w:multiLevelType w:val="multilevel"/>
    <w:tmpl w:val="B0AEAB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E52A71"/>
    <w:multiLevelType w:val="multilevel"/>
    <w:tmpl w:val="D56E6F30"/>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1126B6"/>
    <w:multiLevelType w:val="multilevel"/>
    <w:tmpl w:val="9A84306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B35F33"/>
    <w:multiLevelType w:val="multilevel"/>
    <w:tmpl w:val="057010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106E2E"/>
    <w:multiLevelType w:val="multilevel"/>
    <w:tmpl w:val="2DF21A9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0"/>
  </w:num>
  <w:num w:numId="4">
    <w:abstractNumId w:val="1"/>
  </w:num>
  <w:num w:numId="5">
    <w:abstractNumId w:val="2"/>
  </w:num>
  <w:num w:numId="6">
    <w:abstractNumId w:val="7"/>
  </w:num>
  <w:num w:numId="7">
    <w:abstractNumId w:val="9"/>
  </w:num>
  <w:num w:numId="8">
    <w:abstractNumId w:val="4"/>
  </w:num>
  <w:num w:numId="9">
    <w:abstractNumId w:val="11"/>
  </w:num>
  <w:num w:numId="10">
    <w:abstractNumId w:val="8"/>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998"/>
    <w:rsid w:val="000B2842"/>
    <w:rsid w:val="0014783A"/>
    <w:rsid w:val="00152807"/>
    <w:rsid w:val="001612D9"/>
    <w:rsid w:val="001B657A"/>
    <w:rsid w:val="001F283E"/>
    <w:rsid w:val="00241F44"/>
    <w:rsid w:val="00327A66"/>
    <w:rsid w:val="003429E8"/>
    <w:rsid w:val="003834F5"/>
    <w:rsid w:val="003A1A3F"/>
    <w:rsid w:val="003C1E22"/>
    <w:rsid w:val="003D548A"/>
    <w:rsid w:val="0047455D"/>
    <w:rsid w:val="004C0ED8"/>
    <w:rsid w:val="005335B0"/>
    <w:rsid w:val="006029C3"/>
    <w:rsid w:val="00695F21"/>
    <w:rsid w:val="006D3116"/>
    <w:rsid w:val="007A0498"/>
    <w:rsid w:val="007C7729"/>
    <w:rsid w:val="00887E58"/>
    <w:rsid w:val="00A46FDE"/>
    <w:rsid w:val="00B06150"/>
    <w:rsid w:val="00BB6B7B"/>
    <w:rsid w:val="00CC0F1E"/>
    <w:rsid w:val="00D00CEA"/>
    <w:rsid w:val="00DD3651"/>
    <w:rsid w:val="00F2041E"/>
    <w:rsid w:val="00FD399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7BA4A1"/>
  <w15:chartTrackingRefBased/>
  <w15:docId w15:val="{10BB4044-4107-4072-A438-461C1E5B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998"/>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FD3998"/>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FD3998"/>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FD39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39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39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9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9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9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998"/>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FD3998"/>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FD3998"/>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FD39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39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39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9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9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998"/>
    <w:rPr>
      <w:rFonts w:eastAsiaTheme="majorEastAsia" w:cstheme="majorBidi"/>
      <w:color w:val="272727" w:themeColor="text1" w:themeTint="D8"/>
    </w:rPr>
  </w:style>
  <w:style w:type="paragraph" w:styleId="Title">
    <w:name w:val="Title"/>
    <w:basedOn w:val="Normal"/>
    <w:next w:val="Normal"/>
    <w:link w:val="TitleChar"/>
    <w:uiPriority w:val="10"/>
    <w:qFormat/>
    <w:rsid w:val="00FD3998"/>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D3998"/>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FD3998"/>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D3998"/>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D3998"/>
    <w:pPr>
      <w:spacing w:before="160"/>
      <w:jc w:val="center"/>
    </w:pPr>
    <w:rPr>
      <w:i/>
      <w:iCs/>
      <w:color w:val="404040" w:themeColor="text1" w:themeTint="BF"/>
    </w:rPr>
  </w:style>
  <w:style w:type="character" w:customStyle="1" w:styleId="QuoteChar">
    <w:name w:val="Quote Char"/>
    <w:basedOn w:val="DefaultParagraphFont"/>
    <w:link w:val="Quote"/>
    <w:uiPriority w:val="29"/>
    <w:rsid w:val="00FD3998"/>
    <w:rPr>
      <w:i/>
      <w:iCs/>
      <w:color w:val="404040" w:themeColor="text1" w:themeTint="BF"/>
    </w:rPr>
  </w:style>
  <w:style w:type="paragraph" w:styleId="ListParagraph">
    <w:name w:val="List Paragraph"/>
    <w:basedOn w:val="Normal"/>
    <w:uiPriority w:val="34"/>
    <w:qFormat/>
    <w:rsid w:val="00FD3998"/>
    <w:pPr>
      <w:ind w:left="720"/>
      <w:contextualSpacing/>
    </w:pPr>
  </w:style>
  <w:style w:type="character" w:styleId="IntenseEmphasis">
    <w:name w:val="Intense Emphasis"/>
    <w:basedOn w:val="DefaultParagraphFont"/>
    <w:uiPriority w:val="21"/>
    <w:qFormat/>
    <w:rsid w:val="00FD3998"/>
    <w:rPr>
      <w:i/>
      <w:iCs/>
      <w:color w:val="2F5496" w:themeColor="accent1" w:themeShade="BF"/>
    </w:rPr>
  </w:style>
  <w:style w:type="paragraph" w:styleId="IntenseQuote">
    <w:name w:val="Intense Quote"/>
    <w:basedOn w:val="Normal"/>
    <w:next w:val="Normal"/>
    <w:link w:val="IntenseQuoteChar"/>
    <w:uiPriority w:val="30"/>
    <w:qFormat/>
    <w:rsid w:val="00FD39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3998"/>
    <w:rPr>
      <w:i/>
      <w:iCs/>
      <w:color w:val="2F5496" w:themeColor="accent1" w:themeShade="BF"/>
    </w:rPr>
  </w:style>
  <w:style w:type="character" w:styleId="IntenseReference">
    <w:name w:val="Intense Reference"/>
    <w:basedOn w:val="DefaultParagraphFont"/>
    <w:uiPriority w:val="32"/>
    <w:qFormat/>
    <w:rsid w:val="00FD3998"/>
    <w:rPr>
      <w:b/>
      <w:bCs/>
      <w:smallCaps/>
      <w:color w:val="2F5496" w:themeColor="accent1" w:themeShade="BF"/>
      <w:spacing w:val="5"/>
    </w:rPr>
  </w:style>
  <w:style w:type="character" w:styleId="Emphasis">
    <w:name w:val="Emphasis"/>
    <w:basedOn w:val="DefaultParagraphFont"/>
    <w:uiPriority w:val="20"/>
    <w:qFormat/>
    <w:rsid w:val="007C7729"/>
    <w:rPr>
      <w:i/>
      <w:iCs/>
    </w:rPr>
  </w:style>
  <w:style w:type="table" w:styleId="TableGrid">
    <w:name w:val="Table Grid"/>
    <w:basedOn w:val="TableNormal"/>
    <w:uiPriority w:val="39"/>
    <w:rsid w:val="0053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61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D3651"/>
    <w:rPr>
      <w:rFonts w:ascii="Times New Roman" w:hAnsi="Times New Roman" w:cs="Angsana New"/>
    </w:rPr>
  </w:style>
  <w:style w:type="paragraph" w:styleId="Header">
    <w:name w:val="header"/>
    <w:basedOn w:val="Normal"/>
    <w:link w:val="HeaderChar"/>
    <w:uiPriority w:val="99"/>
    <w:unhideWhenUsed/>
    <w:rsid w:val="001B6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57A"/>
  </w:style>
  <w:style w:type="paragraph" w:styleId="Footer">
    <w:name w:val="footer"/>
    <w:basedOn w:val="Normal"/>
    <w:link w:val="FooterChar"/>
    <w:uiPriority w:val="99"/>
    <w:unhideWhenUsed/>
    <w:rsid w:val="001B6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57A"/>
  </w:style>
  <w:style w:type="character" w:styleId="Hyperlink">
    <w:name w:val="Hyperlink"/>
    <w:basedOn w:val="DefaultParagraphFont"/>
    <w:uiPriority w:val="99"/>
    <w:unhideWhenUsed/>
    <w:rsid w:val="001612D9"/>
    <w:rPr>
      <w:color w:val="0563C1" w:themeColor="hyperlink"/>
      <w:u w:val="single"/>
    </w:rPr>
  </w:style>
  <w:style w:type="character" w:styleId="UnresolvedMention">
    <w:name w:val="Unresolved Mention"/>
    <w:basedOn w:val="DefaultParagraphFont"/>
    <w:uiPriority w:val="99"/>
    <w:semiHidden/>
    <w:unhideWhenUsed/>
    <w:rsid w:val="001612D9"/>
    <w:rPr>
      <w:color w:val="605E5C"/>
      <w:shd w:val="clear" w:color="auto" w:fill="E1DFDD"/>
    </w:rPr>
  </w:style>
  <w:style w:type="character" w:styleId="Strong">
    <w:name w:val="Strong"/>
    <w:basedOn w:val="DefaultParagraphFont"/>
    <w:uiPriority w:val="22"/>
    <w:qFormat/>
    <w:rsid w:val="00F20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23</Pages>
  <Words>7854</Words>
  <Characters>44772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14</cp:revision>
  <dcterms:created xsi:type="dcterms:W3CDTF">2026-01-13T04:03:00Z</dcterms:created>
  <dcterms:modified xsi:type="dcterms:W3CDTF">2026-01-15T08:21:00Z</dcterms:modified>
</cp:coreProperties>
</file>