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AF8CA" w14:textId="48936E43" w:rsidR="003D548A" w:rsidRDefault="007D5277" w:rsidP="007D5277">
      <w:pPr>
        <w:jc w:val="center"/>
        <w:rPr>
          <w:rFonts w:ascii="Times New Roman" w:hAnsi="Times New Roman" w:cs="Times New Roman"/>
          <w:b/>
          <w:bCs/>
          <w:sz w:val="28"/>
          <w:szCs w:val="32"/>
        </w:rPr>
      </w:pPr>
      <w:r w:rsidRPr="007D5277">
        <w:rPr>
          <w:rFonts w:ascii="Times New Roman" w:hAnsi="Times New Roman" w:cs="Times New Roman"/>
          <w:b/>
          <w:bCs/>
          <w:sz w:val="28"/>
          <w:szCs w:val="32"/>
        </w:rPr>
        <w:t>Navigating the Future of Novel Drug Delivery Systems: Market Dynamics, Technological Innovations, and Translational Challenges</w:t>
      </w:r>
    </w:p>
    <w:p w14:paraId="7118A922" w14:textId="77777777" w:rsidR="00281F32" w:rsidRDefault="00281F32" w:rsidP="007D5277">
      <w:pPr>
        <w:jc w:val="center"/>
        <w:rPr>
          <w:rFonts w:ascii="Times New Roman" w:hAnsi="Times New Roman" w:cs="Times New Roman"/>
          <w:b/>
          <w:bCs/>
          <w:sz w:val="28"/>
          <w:szCs w:val="32"/>
        </w:rPr>
      </w:pPr>
    </w:p>
    <w:p w14:paraId="35B4A15F" w14:textId="77777777" w:rsidR="00281F32" w:rsidRDefault="00281F32" w:rsidP="007D5277">
      <w:pPr>
        <w:jc w:val="center"/>
        <w:rPr>
          <w:rFonts w:ascii="Times New Roman" w:hAnsi="Times New Roman" w:cs="Times New Roman"/>
          <w:b/>
          <w:bCs/>
          <w:sz w:val="28"/>
          <w:szCs w:val="32"/>
        </w:rPr>
      </w:pPr>
    </w:p>
    <w:p w14:paraId="4D3FDEA9" w14:textId="77777777" w:rsidR="007D5277" w:rsidRDefault="007D5277" w:rsidP="007D5277">
      <w:pPr>
        <w:jc w:val="center"/>
        <w:rPr>
          <w:rFonts w:ascii="Times New Roman" w:hAnsi="Times New Roman" w:cs="Times New Roman"/>
          <w:b/>
          <w:bCs/>
          <w:sz w:val="28"/>
          <w:szCs w:val="32"/>
        </w:rPr>
      </w:pPr>
      <w:bookmarkStart w:id="0" w:name="_GoBack"/>
      <w:bookmarkEnd w:id="0"/>
    </w:p>
    <w:p w14:paraId="0DDEE9EA" w14:textId="77777777" w:rsidR="000A27C0" w:rsidRPr="000A27C0" w:rsidRDefault="000A27C0" w:rsidP="000A27C0">
      <w:pPr>
        <w:jc w:val="both"/>
        <w:rPr>
          <w:rFonts w:ascii="Times New Roman" w:hAnsi="Times New Roman" w:cs="Times New Roman"/>
          <w:b/>
          <w:bCs/>
          <w:sz w:val="28"/>
          <w:szCs w:val="32"/>
        </w:rPr>
      </w:pPr>
      <w:r w:rsidRPr="000A27C0">
        <w:rPr>
          <w:rFonts w:ascii="Times New Roman" w:hAnsi="Times New Roman" w:cs="Times New Roman"/>
          <w:b/>
          <w:bCs/>
          <w:sz w:val="28"/>
          <w:szCs w:val="32"/>
        </w:rPr>
        <w:t>Abstract</w:t>
      </w:r>
    </w:p>
    <w:p w14:paraId="3BC05E5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 (NDDS) have emerged as pivotal technologies in modern therapeutics, addressing limitations of conventional drug administration such as poor bioavailability, non-specific targeting, and adverse side effects. The growing global market and rapid technological advancements underscore the need for a comprehensive understanding of NDDS development, market dynamics, and translational challenges.</w:t>
      </w:r>
    </w:p>
    <w:p w14:paraId="5DEF3EFD"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This review systematically analyzes recent progress in NDDS, focusing on key nanocarriers including liposomes, cubosomes, and solid lipid nanoparticles, alongside emerging multifunctional and stimuli-responsive systems. A thorough literature survey was conducted using databases such as PubMed, Scopus, and Web of Science, complemented by market reports and regulatory guidelines. Emphasis was placed on formulation techniques, material innovations, integration with personalized medicine, and the role of artificial intelligence in optimizing design and clinical translation.</w:t>
      </w:r>
    </w:p>
    <w:p w14:paraId="3E504986"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Results highlight significant advances in scalable manufacturing, green synthesis, and multifunctional hybrid platforms that enhance targeting and controlled release. However, challenges persist in regulatory approval, long-term safety evaluation, and market adoption, particularly due to complex manufacturing and intellectual property landscapes. The integration of digital health tools and real-time monitoring presents promising avenues to improve patient compliance and therapeutic outcomes.</w:t>
      </w:r>
    </w:p>
    <w:p w14:paraId="29217CD0"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In conclusion, NDDS represent a transformative shift toward precision medicine, but their successful clinical translation requires multidisciplinary collaboration, regulatory alignment, and sustainable manufacturing practices. Addressing current research gaps and leveraging emerging technologies will be critical to fully realize the therapeutic and commercial potential of NDDS, ultimately improving patient care worldwide.</w:t>
      </w:r>
    </w:p>
    <w:p w14:paraId="5DC8EA8C" w14:textId="746B1F7A" w:rsidR="00837BA3" w:rsidRDefault="00837BA3" w:rsidP="00837BA3">
      <w:pPr>
        <w:jc w:val="both"/>
        <w:rPr>
          <w:rFonts w:ascii="Times New Roman" w:hAnsi="Times New Roman" w:cs="Times New Roman"/>
          <w:szCs w:val="28"/>
        </w:rPr>
      </w:pPr>
      <w:r>
        <w:rPr>
          <w:rFonts w:ascii="Times New Roman" w:hAnsi="Times New Roman" w:cs="Times New Roman"/>
          <w:b/>
          <w:bCs/>
          <w:sz w:val="28"/>
          <w:szCs w:val="32"/>
        </w:rPr>
        <w:t>Keywords -</w:t>
      </w:r>
      <w:r w:rsidRPr="00837BA3">
        <w:rPr>
          <w:rFonts w:ascii="Times New Roman" w:hAnsi="Times New Roman" w:cs="Times New Roman"/>
          <w:sz w:val="28"/>
          <w:szCs w:val="32"/>
        </w:rPr>
        <w:t>Novel Drug Delivery Systems (NDDS),</w:t>
      </w:r>
      <w:r>
        <w:rPr>
          <w:rFonts w:ascii="Times New Roman" w:hAnsi="Times New Roman" w:cs="Times New Roman"/>
          <w:b/>
          <w:bCs/>
          <w:sz w:val="28"/>
          <w:szCs w:val="32"/>
        </w:rPr>
        <w:t xml:space="preserve"> </w:t>
      </w:r>
      <w:r w:rsidRPr="00837BA3">
        <w:rPr>
          <w:rFonts w:ascii="Times New Roman" w:hAnsi="Times New Roman" w:cs="Times New Roman"/>
          <w:szCs w:val="28"/>
        </w:rPr>
        <w:t>Nanocarriers</w:t>
      </w:r>
      <w:r>
        <w:rPr>
          <w:rFonts w:ascii="Times New Roman" w:hAnsi="Times New Roman" w:cs="Times New Roman"/>
          <w:b/>
          <w:bCs/>
          <w:sz w:val="28"/>
          <w:szCs w:val="32"/>
        </w:rPr>
        <w:t xml:space="preserve">, </w:t>
      </w:r>
      <w:r w:rsidRPr="00837BA3">
        <w:rPr>
          <w:rFonts w:ascii="Times New Roman" w:hAnsi="Times New Roman" w:cs="Times New Roman"/>
          <w:szCs w:val="28"/>
        </w:rPr>
        <w:t>Liposomes</w:t>
      </w:r>
      <w:r>
        <w:rPr>
          <w:rFonts w:ascii="Times New Roman" w:hAnsi="Times New Roman" w:cs="Times New Roman"/>
          <w:b/>
          <w:bCs/>
          <w:sz w:val="28"/>
          <w:szCs w:val="32"/>
        </w:rPr>
        <w:t xml:space="preserve">, </w:t>
      </w:r>
      <w:r w:rsidRPr="00837BA3">
        <w:rPr>
          <w:rFonts w:ascii="Times New Roman" w:hAnsi="Times New Roman" w:cs="Times New Roman"/>
          <w:szCs w:val="28"/>
        </w:rPr>
        <w:t>Cubosomes</w:t>
      </w:r>
      <w:r>
        <w:rPr>
          <w:rFonts w:ascii="Times New Roman" w:hAnsi="Times New Roman" w:cs="Times New Roman"/>
          <w:b/>
          <w:bCs/>
          <w:sz w:val="28"/>
          <w:szCs w:val="32"/>
        </w:rPr>
        <w:t xml:space="preserve">, </w:t>
      </w:r>
      <w:r w:rsidRPr="00837BA3">
        <w:rPr>
          <w:rFonts w:ascii="Times New Roman" w:hAnsi="Times New Roman" w:cs="Times New Roman"/>
          <w:szCs w:val="28"/>
        </w:rPr>
        <w:t>Solid Lipid Nanoparticles (SLNs)</w:t>
      </w:r>
      <w:r>
        <w:rPr>
          <w:rFonts w:ascii="Times New Roman" w:hAnsi="Times New Roman" w:cs="Times New Roman"/>
          <w:b/>
          <w:bCs/>
          <w:sz w:val="28"/>
          <w:szCs w:val="32"/>
        </w:rPr>
        <w:t xml:space="preserve">, </w:t>
      </w:r>
      <w:r w:rsidRPr="00837BA3">
        <w:rPr>
          <w:rFonts w:ascii="Times New Roman" w:hAnsi="Times New Roman" w:cs="Times New Roman"/>
          <w:szCs w:val="28"/>
        </w:rPr>
        <w:t>Stimuli-Responsive Drug Delivery</w:t>
      </w:r>
      <w:r>
        <w:rPr>
          <w:rFonts w:ascii="Times New Roman" w:hAnsi="Times New Roman" w:cs="Times New Roman"/>
          <w:b/>
          <w:bCs/>
          <w:sz w:val="28"/>
          <w:szCs w:val="32"/>
        </w:rPr>
        <w:t xml:space="preserve">, </w:t>
      </w:r>
      <w:r w:rsidRPr="00837BA3">
        <w:rPr>
          <w:rFonts w:ascii="Times New Roman" w:hAnsi="Times New Roman" w:cs="Times New Roman"/>
          <w:szCs w:val="28"/>
        </w:rPr>
        <w:t>Multifunctional Nanocarriers</w:t>
      </w:r>
      <w:r>
        <w:rPr>
          <w:rFonts w:ascii="Times New Roman" w:hAnsi="Times New Roman" w:cs="Times New Roman"/>
          <w:b/>
          <w:bCs/>
          <w:sz w:val="28"/>
          <w:szCs w:val="32"/>
        </w:rPr>
        <w:t xml:space="preserve">, </w:t>
      </w:r>
      <w:r w:rsidRPr="00837BA3">
        <w:rPr>
          <w:rFonts w:ascii="Times New Roman" w:hAnsi="Times New Roman" w:cs="Times New Roman"/>
          <w:szCs w:val="28"/>
        </w:rPr>
        <w:t>Targeted Drug Delivery</w:t>
      </w:r>
    </w:p>
    <w:p w14:paraId="19293C50" w14:textId="77777777" w:rsidR="00C92D93" w:rsidRDefault="00C92D93" w:rsidP="00837BA3">
      <w:pPr>
        <w:jc w:val="both"/>
        <w:rPr>
          <w:rFonts w:ascii="Times New Roman" w:hAnsi="Times New Roman" w:cs="Times New Roman"/>
          <w:szCs w:val="28"/>
        </w:rPr>
      </w:pPr>
    </w:p>
    <w:p w14:paraId="403C30FA" w14:textId="04A9B6B9" w:rsidR="00281F32" w:rsidRPr="00837BA3" w:rsidRDefault="00281F32" w:rsidP="00837BA3">
      <w:pPr>
        <w:jc w:val="both"/>
        <w:rPr>
          <w:rFonts w:ascii="Times New Roman" w:hAnsi="Times New Roman" w:cs="Times New Roman"/>
          <w:b/>
          <w:bCs/>
          <w:sz w:val="28"/>
          <w:szCs w:val="32"/>
        </w:rPr>
      </w:pPr>
      <w:r>
        <w:rPr>
          <w:rFonts w:ascii="Times New Roman" w:hAnsi="Times New Roman" w:cs="Times New Roman"/>
          <w:szCs w:val="28"/>
        </w:rPr>
        <w:lastRenderedPageBreak/>
        <w:t xml:space="preserve">Graphical abstract </w:t>
      </w:r>
    </w:p>
    <w:p w14:paraId="14E0DD20" w14:textId="5AB03752" w:rsidR="007D5277" w:rsidRPr="00837BA3" w:rsidRDefault="007D5277" w:rsidP="000A27C0">
      <w:pPr>
        <w:jc w:val="both"/>
        <w:rPr>
          <w:rFonts w:ascii="Times New Roman" w:hAnsi="Times New Roman" w:cs="Times New Roman"/>
          <w:szCs w:val="28"/>
        </w:rPr>
      </w:pPr>
    </w:p>
    <w:p w14:paraId="5B5CEC61" w14:textId="355F6D4B" w:rsidR="00881A13" w:rsidRPr="00881A13" w:rsidRDefault="00881A13" w:rsidP="00881A13">
      <w:pPr>
        <w:jc w:val="both"/>
        <w:rPr>
          <w:rFonts w:ascii="Times New Roman" w:hAnsi="Times New Roman" w:cs="Times New Roman"/>
          <w:b/>
          <w:bCs/>
          <w:sz w:val="28"/>
          <w:szCs w:val="32"/>
        </w:rPr>
      </w:pPr>
      <w:r w:rsidRPr="00881A13">
        <w:rPr>
          <w:rFonts w:ascii="Times New Roman" w:hAnsi="Times New Roman" w:cs="Times New Roman"/>
          <w:b/>
          <w:bCs/>
          <w:noProof/>
          <w:sz w:val="28"/>
          <w:szCs w:val="32"/>
        </w:rPr>
        <w:drawing>
          <wp:inline distT="0" distB="0" distL="0" distR="0" wp14:anchorId="0603D05B" wp14:editId="1F3DA924">
            <wp:extent cx="5494020" cy="5494020"/>
            <wp:effectExtent l="0" t="0" r="0" b="0"/>
            <wp:docPr id="58688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4020" cy="5494020"/>
                    </a:xfrm>
                    <a:prstGeom prst="rect">
                      <a:avLst/>
                    </a:prstGeom>
                    <a:noFill/>
                    <a:ln>
                      <a:noFill/>
                    </a:ln>
                  </pic:spPr>
                </pic:pic>
              </a:graphicData>
            </a:graphic>
          </wp:inline>
        </w:drawing>
      </w:r>
    </w:p>
    <w:p w14:paraId="2733DA58" w14:textId="77777777" w:rsidR="00837BA3" w:rsidRDefault="00837BA3" w:rsidP="000A27C0">
      <w:pPr>
        <w:jc w:val="both"/>
        <w:rPr>
          <w:rFonts w:ascii="Times New Roman" w:hAnsi="Times New Roman" w:cs="Times New Roman"/>
          <w:b/>
          <w:bCs/>
          <w:sz w:val="28"/>
          <w:szCs w:val="32"/>
        </w:rPr>
      </w:pPr>
    </w:p>
    <w:p w14:paraId="069F45E0" w14:textId="77777777" w:rsidR="00837BA3" w:rsidRDefault="00837BA3" w:rsidP="000A27C0">
      <w:pPr>
        <w:jc w:val="both"/>
        <w:rPr>
          <w:rFonts w:ascii="Times New Roman" w:hAnsi="Times New Roman" w:cs="Times New Roman"/>
          <w:b/>
          <w:bCs/>
          <w:sz w:val="28"/>
          <w:szCs w:val="32"/>
        </w:rPr>
      </w:pPr>
    </w:p>
    <w:p w14:paraId="473F420E" w14:textId="77777777" w:rsidR="00881A13" w:rsidRDefault="00881A13" w:rsidP="000A27C0">
      <w:pPr>
        <w:jc w:val="both"/>
        <w:rPr>
          <w:rFonts w:ascii="Times New Roman" w:hAnsi="Times New Roman" w:cs="Times New Roman"/>
          <w:b/>
          <w:bCs/>
          <w:sz w:val="28"/>
          <w:szCs w:val="32"/>
        </w:rPr>
      </w:pPr>
    </w:p>
    <w:p w14:paraId="0B50A1DE" w14:textId="77777777" w:rsidR="00881A13" w:rsidRDefault="00881A13" w:rsidP="000A27C0">
      <w:pPr>
        <w:jc w:val="both"/>
        <w:rPr>
          <w:rFonts w:ascii="Times New Roman" w:hAnsi="Times New Roman" w:cs="Times New Roman"/>
          <w:b/>
          <w:bCs/>
          <w:sz w:val="28"/>
          <w:szCs w:val="32"/>
        </w:rPr>
      </w:pPr>
    </w:p>
    <w:p w14:paraId="54758D2B" w14:textId="77777777" w:rsidR="00881A13" w:rsidRDefault="00881A13" w:rsidP="000A27C0">
      <w:pPr>
        <w:jc w:val="both"/>
        <w:rPr>
          <w:rFonts w:ascii="Times New Roman" w:hAnsi="Times New Roman" w:cs="Times New Roman"/>
          <w:b/>
          <w:bCs/>
          <w:sz w:val="28"/>
          <w:szCs w:val="32"/>
        </w:rPr>
      </w:pPr>
    </w:p>
    <w:p w14:paraId="1C9E7DE9" w14:textId="77777777" w:rsidR="00881A13" w:rsidRDefault="00881A13" w:rsidP="000A27C0">
      <w:pPr>
        <w:jc w:val="both"/>
        <w:rPr>
          <w:rFonts w:ascii="Times New Roman" w:hAnsi="Times New Roman" w:cs="Times New Roman"/>
          <w:b/>
          <w:bCs/>
          <w:sz w:val="28"/>
          <w:szCs w:val="32"/>
        </w:rPr>
      </w:pPr>
    </w:p>
    <w:p w14:paraId="4BA1D563" w14:textId="77777777" w:rsidR="00881A13" w:rsidRDefault="00881A13" w:rsidP="000A27C0">
      <w:pPr>
        <w:jc w:val="both"/>
        <w:rPr>
          <w:rFonts w:ascii="Times New Roman" w:hAnsi="Times New Roman" w:cs="Times New Roman"/>
          <w:b/>
          <w:bCs/>
          <w:sz w:val="28"/>
          <w:szCs w:val="32"/>
        </w:rPr>
      </w:pPr>
    </w:p>
    <w:p w14:paraId="5AC9FADF" w14:textId="77777777" w:rsidR="00881A13" w:rsidRDefault="00881A13" w:rsidP="000A27C0">
      <w:pPr>
        <w:jc w:val="both"/>
        <w:rPr>
          <w:rFonts w:ascii="Times New Roman" w:hAnsi="Times New Roman" w:cs="Times New Roman"/>
          <w:b/>
          <w:bCs/>
          <w:sz w:val="28"/>
          <w:szCs w:val="32"/>
        </w:rPr>
      </w:pPr>
    </w:p>
    <w:p w14:paraId="172E729C" w14:textId="41FA7E24"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Introduction</w:t>
      </w:r>
    </w:p>
    <w:p w14:paraId="6BEF90BA" w14:textId="31B740E8"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landscape of pharmaceutical therapeutics has been profoundly transformed by the advent of Novel Drug Delivery Systems (NDDS). These advanced delivery platforms are designed to optimize the pharmacokinetics and pharmacodynamics of therapeutic agents, thereby enhancing efficacy, reducing side effects, and improving patient compliance. Traditional drug delivery methods often face limitations such as poor bioavailability, non-specific distribution, and rapid clearance, which can compromise therapeutic outcomes. NDDS, encompassing technologies such as nanoparticles, liposomes, cubosomes, solid lipid nanoparticles, and stimuli-responsive carriers, offer innovative solutions to these challenges by enabling targeted, controlled, and sustained drug </w:t>
      </w:r>
      <w:proofErr w:type="gramStart"/>
      <w:r w:rsidRPr="007D5277">
        <w:rPr>
          <w:rFonts w:ascii="Times New Roman" w:hAnsi="Times New Roman" w:cs="Times New Roman"/>
          <w:szCs w:val="28"/>
        </w:rPr>
        <w:t>release</w:t>
      </w:r>
      <w:r w:rsidR="000713E6">
        <w:rPr>
          <w:rFonts w:ascii="Times New Roman" w:hAnsi="Times New Roman" w:cs="Times New Roman"/>
          <w:szCs w:val="28"/>
        </w:rPr>
        <w:t>[</w:t>
      </w:r>
      <w:proofErr w:type="gramEnd"/>
      <w:r w:rsidR="000713E6">
        <w:rPr>
          <w:rFonts w:ascii="Times New Roman" w:hAnsi="Times New Roman" w:cs="Times New Roman"/>
          <w:szCs w:val="28"/>
        </w:rPr>
        <w:t>01,02]</w:t>
      </w:r>
      <w:r w:rsidRPr="007D5277">
        <w:rPr>
          <w:rFonts w:ascii="Times New Roman" w:hAnsi="Times New Roman" w:cs="Times New Roman"/>
          <w:szCs w:val="28"/>
        </w:rPr>
        <w:t>.</w:t>
      </w:r>
    </w:p>
    <w:p w14:paraId="60902967" w14:textId="54CBA4EF"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importance of NDDS in modern therapeutics extends beyond improved drug performance; they also facilitate the delivery of complex molecules including biologics, nucleic acids, and poorly soluble drugs, which are otherwise difficult to administer effectively. Furthermore, NDDS play a critical role in personalized medicine by allowing tailored drug delivery strategies that consider individual patient </w:t>
      </w:r>
      <w:proofErr w:type="gramStart"/>
      <w:r w:rsidRPr="007D5277">
        <w:rPr>
          <w:rFonts w:ascii="Times New Roman" w:hAnsi="Times New Roman" w:cs="Times New Roman"/>
          <w:szCs w:val="28"/>
        </w:rPr>
        <w:t>variability</w:t>
      </w:r>
      <w:r w:rsidR="000713E6">
        <w:rPr>
          <w:rFonts w:ascii="Times New Roman" w:hAnsi="Times New Roman" w:cs="Times New Roman"/>
          <w:szCs w:val="28"/>
        </w:rPr>
        <w:t>[</w:t>
      </w:r>
      <w:proofErr w:type="gramEnd"/>
      <w:r w:rsidR="000713E6">
        <w:rPr>
          <w:rFonts w:ascii="Times New Roman" w:hAnsi="Times New Roman" w:cs="Times New Roman"/>
          <w:szCs w:val="28"/>
        </w:rPr>
        <w:t>03]</w:t>
      </w:r>
      <w:r w:rsidRPr="007D5277">
        <w:rPr>
          <w:rFonts w:ascii="Times New Roman" w:hAnsi="Times New Roman" w:cs="Times New Roman"/>
          <w:szCs w:val="28"/>
        </w:rPr>
        <w:t>.</w:t>
      </w:r>
    </w:p>
    <w:p w14:paraId="15913BBF" w14:textId="4FCB6706"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This review aims to provide a comprehensive overview of the current state and future prospects of NDDS, focusing on three key dimensions: global market dynamics, technological innovations, and translational challenges. By analyzing market trends and economic factors, we seek to elucidate the commercial landscape shaping NDDS development. Concurrently, we explore cutting-edge technological advancements that are driving the evolution of drug delivery platforms. Finally, we address the critical barriers to clinical translation, including manufacturing scalability, regulatory hurdles, and safety concerns, which must be overcome to realize the full potential of </w:t>
      </w:r>
      <w:proofErr w:type="gramStart"/>
      <w:r w:rsidRPr="007D5277">
        <w:rPr>
          <w:rFonts w:ascii="Times New Roman" w:hAnsi="Times New Roman" w:cs="Times New Roman"/>
          <w:szCs w:val="28"/>
        </w:rPr>
        <w:t>NDDS</w:t>
      </w:r>
      <w:r w:rsidR="000713E6">
        <w:rPr>
          <w:rFonts w:ascii="Times New Roman" w:hAnsi="Times New Roman" w:cs="Times New Roman"/>
          <w:szCs w:val="28"/>
        </w:rPr>
        <w:t>[</w:t>
      </w:r>
      <w:proofErr w:type="gramEnd"/>
      <w:r w:rsidR="000713E6">
        <w:rPr>
          <w:rFonts w:ascii="Times New Roman" w:hAnsi="Times New Roman" w:cs="Times New Roman"/>
          <w:szCs w:val="28"/>
        </w:rPr>
        <w:t>04]</w:t>
      </w:r>
      <w:r w:rsidRPr="007D5277">
        <w:rPr>
          <w:rFonts w:ascii="Times New Roman" w:hAnsi="Times New Roman" w:cs="Times New Roman"/>
          <w:szCs w:val="28"/>
        </w:rPr>
        <w:t>.</w:t>
      </w:r>
    </w:p>
    <w:p w14:paraId="7FADD45E" w14:textId="5E0C5D15"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Through this integrated approach, the review intends to offer valuable insights for researchers, industry stakeholders, and policymakers, guiding strategic decisions and fostering innovation in the rapidly evolving field of novel drug </w:t>
      </w:r>
      <w:proofErr w:type="gramStart"/>
      <w:r w:rsidRPr="007D5277">
        <w:rPr>
          <w:rFonts w:ascii="Times New Roman" w:hAnsi="Times New Roman" w:cs="Times New Roman"/>
          <w:szCs w:val="28"/>
        </w:rPr>
        <w:t>delivery</w:t>
      </w:r>
      <w:r w:rsidR="000713E6">
        <w:rPr>
          <w:rFonts w:ascii="Times New Roman" w:hAnsi="Times New Roman" w:cs="Times New Roman"/>
          <w:szCs w:val="28"/>
        </w:rPr>
        <w:t>[</w:t>
      </w:r>
      <w:proofErr w:type="gramEnd"/>
      <w:r w:rsidR="000713E6">
        <w:rPr>
          <w:rFonts w:ascii="Times New Roman" w:hAnsi="Times New Roman" w:cs="Times New Roman"/>
          <w:szCs w:val="28"/>
        </w:rPr>
        <w:t>05,06]</w:t>
      </w:r>
      <w:r w:rsidRPr="007D5277">
        <w:rPr>
          <w:rFonts w:ascii="Times New Roman" w:hAnsi="Times New Roman" w:cs="Times New Roman"/>
          <w:szCs w:val="28"/>
        </w:rPr>
        <w:t>.</w:t>
      </w:r>
    </w:p>
    <w:p w14:paraId="76F10FED"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1.1 Market Size, Growth Trends, and Forecasts</w:t>
      </w:r>
    </w:p>
    <w:p w14:paraId="18FD00AB" w14:textId="6A915DD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The global market for Novel Drug Delivery Systems (NDDS) has witnessed robust growth over the past decade, driven by increasing demand for improved therapeutic efficacy, patient compliance, and the rising prevalence of chronic diseases. According to recent market analyses, the NDDS market was valued at approximately USD 150 billion in 2023 and is projected to grow at a compound annual growth rate (CAGR) of 8–10% from 2024 to 2030, potentially exceeding USD 300 billion by the end of the </w:t>
      </w:r>
      <w:proofErr w:type="gramStart"/>
      <w:r w:rsidRPr="007D5277">
        <w:rPr>
          <w:rFonts w:ascii="Times New Roman" w:hAnsi="Times New Roman" w:cs="Times New Roman"/>
          <w:szCs w:val="28"/>
        </w:rPr>
        <w:t>decade</w:t>
      </w:r>
      <w:r w:rsidR="000713E6">
        <w:rPr>
          <w:rFonts w:ascii="Times New Roman" w:hAnsi="Times New Roman" w:cs="Times New Roman"/>
          <w:szCs w:val="28"/>
        </w:rPr>
        <w:t>[</w:t>
      </w:r>
      <w:proofErr w:type="gramEnd"/>
      <w:r w:rsidR="000713E6">
        <w:rPr>
          <w:rFonts w:ascii="Times New Roman" w:hAnsi="Times New Roman" w:cs="Times New Roman"/>
          <w:szCs w:val="28"/>
        </w:rPr>
        <w:t>07]</w:t>
      </w:r>
      <w:r>
        <w:rPr>
          <w:rFonts w:ascii="Times New Roman" w:hAnsi="Times New Roman" w:cs="Times New Roman"/>
          <w:szCs w:val="28"/>
        </w:rPr>
        <w:t>.</w:t>
      </w:r>
    </w:p>
    <w:p w14:paraId="3D0F667B" w14:textId="24E1A254"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 xml:space="preserve">Key factors propelling this growth include advancements in nanotechnology, the surge in biologics and complex drug molecules requiring specialized delivery platforms, and the growing emphasis on personalized medicine. Additionally, the increasing geriatric population and the rising incidence of lifestyle-related diseases such as cancer, diabetes, and cardiovascular disorders are expanding the demand for targeted and controlled drug delivery </w:t>
      </w:r>
      <w:proofErr w:type="gramStart"/>
      <w:r w:rsidRPr="007D5277">
        <w:rPr>
          <w:rFonts w:ascii="Times New Roman" w:hAnsi="Times New Roman" w:cs="Times New Roman"/>
          <w:szCs w:val="28"/>
        </w:rPr>
        <w:t>solutions</w:t>
      </w:r>
      <w:r w:rsidR="000713E6">
        <w:rPr>
          <w:rFonts w:ascii="Times New Roman" w:hAnsi="Times New Roman" w:cs="Times New Roman"/>
          <w:szCs w:val="28"/>
        </w:rPr>
        <w:t>[</w:t>
      </w:r>
      <w:proofErr w:type="gramEnd"/>
      <w:r w:rsidR="000713E6">
        <w:rPr>
          <w:rFonts w:ascii="Times New Roman" w:hAnsi="Times New Roman" w:cs="Times New Roman"/>
          <w:szCs w:val="28"/>
        </w:rPr>
        <w:t>08]</w:t>
      </w:r>
      <w:r>
        <w:rPr>
          <w:rFonts w:ascii="Times New Roman" w:hAnsi="Times New Roman" w:cs="Times New Roman"/>
          <w:szCs w:val="28"/>
        </w:rPr>
        <w:t>.</w:t>
      </w:r>
    </w:p>
    <w:p w14:paraId="12DB45AB" w14:textId="77777777"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Technological innovations such as stimuli-responsive carriers, multifunctional nanoparticles, and hybrid delivery systems are further enhancing the therapeutic potential of NDDS, thereby attracting significant investment from pharmaceutical companies and venture capitalists. The integration of artificial intelligence and machine learning in formulation design and predictive modeling is also expected to accelerate product development and market penetration [4].</w:t>
      </w:r>
    </w:p>
    <w:p w14:paraId="0F24AD2C"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Regional Market Analysis and Economic Factors</w:t>
      </w:r>
    </w:p>
    <w:p w14:paraId="0D143459" w14:textId="777777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The NDDS market exhibits significant regional variation influenced by economic development, healthcare infrastructure, regulatory environments, and demographic trends.</w:t>
      </w:r>
    </w:p>
    <w:p w14:paraId="5B28F91F" w14:textId="1083EA49"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North America</w:t>
      </w:r>
      <w:r w:rsidRPr="007D5277">
        <w:rPr>
          <w:rFonts w:ascii="Times New Roman" w:hAnsi="Times New Roman" w:cs="Times New Roman"/>
          <w:szCs w:val="28"/>
        </w:rPr>
        <w:t> remains the largest market, accounting for over 40% of global revenue, driven by strong pharmaceutical R&amp;D, favorable regulatory frameworks, and high healthcare expenditure. The United States, in particular, leads in the adoption of advanced NDDS technologies, supported by substantial government funding and private sector innovation [</w:t>
      </w:r>
      <w:r w:rsidR="000713E6">
        <w:rPr>
          <w:rFonts w:ascii="Times New Roman" w:hAnsi="Times New Roman" w:cs="Times New Roman"/>
          <w:szCs w:val="28"/>
        </w:rPr>
        <w:t>09</w:t>
      </w:r>
      <w:r w:rsidRPr="007D5277">
        <w:rPr>
          <w:rFonts w:ascii="Times New Roman" w:hAnsi="Times New Roman" w:cs="Times New Roman"/>
          <w:szCs w:val="28"/>
        </w:rPr>
        <w:t>].</w:t>
      </w:r>
    </w:p>
    <w:p w14:paraId="4DE9FC58" w14:textId="3B085102"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Europe</w:t>
      </w:r>
      <w:r w:rsidRPr="007D5277">
        <w:rPr>
          <w:rFonts w:ascii="Times New Roman" w:hAnsi="Times New Roman" w:cs="Times New Roman"/>
          <w:szCs w:val="28"/>
        </w:rPr>
        <w:t> holds the second-largest share, with countries like Germany, the United Kingdom, and France investing heavily in nanomedicine and drug delivery research. The European Medicines Agency (EMA) provides clear regulatory pathways that facilitate the clinical translation of novel delivery systems [</w:t>
      </w:r>
      <w:r w:rsidR="000713E6">
        <w:rPr>
          <w:rFonts w:ascii="Times New Roman" w:hAnsi="Times New Roman" w:cs="Times New Roman"/>
          <w:szCs w:val="28"/>
        </w:rPr>
        <w:t>10,11</w:t>
      </w:r>
      <w:r w:rsidRPr="007D5277">
        <w:rPr>
          <w:rFonts w:ascii="Times New Roman" w:hAnsi="Times New Roman" w:cs="Times New Roman"/>
          <w:szCs w:val="28"/>
        </w:rPr>
        <w:t>].</w:t>
      </w:r>
    </w:p>
    <w:p w14:paraId="24828CE5" w14:textId="7D0B767B"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Asia-Pacific</w:t>
      </w:r>
      <w:r w:rsidRPr="007D5277">
        <w:rPr>
          <w:rFonts w:ascii="Times New Roman" w:hAnsi="Times New Roman" w:cs="Times New Roman"/>
          <w:szCs w:val="28"/>
        </w:rPr>
        <w:t> is the fastest-growing region, with a CAGR exceeding 12%, fueled by expanding healthcare access, increasing prevalence of chronic diseases, and growing pharmaceutical manufacturing capabilities in China, India, and Japan. Government initiatives to promote biotechnology and nanotechnology research are also key growth drivers [</w:t>
      </w:r>
      <w:r w:rsidR="000713E6">
        <w:rPr>
          <w:rFonts w:ascii="Times New Roman" w:hAnsi="Times New Roman" w:cs="Times New Roman"/>
          <w:szCs w:val="28"/>
        </w:rPr>
        <w:t>0</w:t>
      </w:r>
      <w:r w:rsidRPr="007D5277">
        <w:rPr>
          <w:rFonts w:ascii="Times New Roman" w:hAnsi="Times New Roman" w:cs="Times New Roman"/>
          <w:szCs w:val="28"/>
        </w:rPr>
        <w:t>7</w:t>
      </w:r>
      <w:r w:rsidR="000713E6">
        <w:rPr>
          <w:rFonts w:ascii="Times New Roman" w:hAnsi="Times New Roman" w:cs="Times New Roman"/>
          <w:szCs w:val="28"/>
        </w:rPr>
        <w:t>,09</w:t>
      </w:r>
      <w:r w:rsidRPr="007D5277">
        <w:rPr>
          <w:rFonts w:ascii="Times New Roman" w:hAnsi="Times New Roman" w:cs="Times New Roman"/>
          <w:szCs w:val="28"/>
        </w:rPr>
        <w:t>].</w:t>
      </w:r>
    </w:p>
    <w:p w14:paraId="3F63E743" w14:textId="5BB05A52" w:rsidR="007D5277" w:rsidRPr="007D5277" w:rsidRDefault="007D5277" w:rsidP="007D5277">
      <w:pPr>
        <w:numPr>
          <w:ilvl w:val="0"/>
          <w:numId w:val="1"/>
        </w:numPr>
        <w:jc w:val="both"/>
        <w:rPr>
          <w:rFonts w:ascii="Times New Roman" w:hAnsi="Times New Roman" w:cs="Times New Roman"/>
          <w:szCs w:val="28"/>
        </w:rPr>
      </w:pPr>
      <w:r w:rsidRPr="007D5277">
        <w:rPr>
          <w:rFonts w:ascii="Times New Roman" w:hAnsi="Times New Roman" w:cs="Times New Roman"/>
          <w:b/>
          <w:bCs/>
          <w:szCs w:val="28"/>
        </w:rPr>
        <w:t>Latin America and Middle East &amp; Africa</w:t>
      </w:r>
      <w:r w:rsidRPr="007D5277">
        <w:rPr>
          <w:rFonts w:ascii="Times New Roman" w:hAnsi="Times New Roman" w:cs="Times New Roman"/>
          <w:szCs w:val="28"/>
        </w:rPr>
        <w:t> are emerging markets with increasing investments in healthcare infrastructure and pharmaceutical innovation, though growth is moderated by economic and regulatory challenges [</w:t>
      </w:r>
      <w:r w:rsidR="000713E6">
        <w:rPr>
          <w:rFonts w:ascii="Times New Roman" w:hAnsi="Times New Roman" w:cs="Times New Roman"/>
          <w:szCs w:val="28"/>
        </w:rPr>
        <w:t>12</w:t>
      </w:r>
      <w:r w:rsidRPr="007D5277">
        <w:rPr>
          <w:rFonts w:ascii="Times New Roman" w:hAnsi="Times New Roman" w:cs="Times New Roman"/>
          <w:szCs w:val="28"/>
        </w:rPr>
        <w:t>].</w:t>
      </w:r>
    </w:p>
    <w:p w14:paraId="76ABC669" w14:textId="25EC5AB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Economic factors such as healthcare spending, reimbursement policies, and intellectual property regulations significantly impact NDDS market dynamics. Countries with robust healthcare funding and supportive policies tend to adopt novel drug delivery technologies more rapidly. Conversely, high development costs and complex regulatory requirements can delay market entry, particularly in low- and middle-income regions [</w:t>
      </w:r>
      <w:r w:rsidR="000713E6">
        <w:rPr>
          <w:rFonts w:ascii="Times New Roman" w:hAnsi="Times New Roman" w:cs="Times New Roman"/>
          <w:szCs w:val="28"/>
        </w:rPr>
        <w:t>13</w:t>
      </w:r>
      <w:r w:rsidRPr="007D5277">
        <w:rPr>
          <w:rFonts w:ascii="Times New Roman" w:hAnsi="Times New Roman" w:cs="Times New Roman"/>
          <w:szCs w:val="28"/>
        </w:rPr>
        <w:t>].</w:t>
      </w:r>
    </w:p>
    <w:p w14:paraId="22517ACB"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1.2 Key Industry Players and Competitive Landscape</w:t>
      </w:r>
    </w:p>
    <w:p w14:paraId="2AE079EA" w14:textId="777777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The novel drug delivery systems (NDDS) market is characterized by the presence of several global pharmaceutical and biotechnology companies, alongside emerging startups specializing in nanotechnology and advanced formulation techniques. Leading industry players have established strong portfolios of NDDS products and are actively investing in research and development to maintain competitive advantages.</w:t>
      </w:r>
    </w:p>
    <w:p w14:paraId="00B1DA62" w14:textId="7EC01C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b/>
          <w:bCs/>
          <w:szCs w:val="28"/>
        </w:rPr>
        <w:t>Major industry players</w:t>
      </w:r>
      <w:r w:rsidRPr="007D5277">
        <w:rPr>
          <w:rFonts w:ascii="Times New Roman" w:hAnsi="Times New Roman" w:cs="Times New Roman"/>
          <w:szCs w:val="28"/>
        </w:rPr>
        <w:t> include Johnson &amp; Johnson, Pfizer Inc., Novartis AG, Roche Holding AG, AstraZeneca, GlaxoSmithKline (GSK), and Sanofi. These companies have leveraged their extensive R&amp;D capabilities and global distribution networks to develop and commercialize a variety of NDDS platforms such as liposomal formulations, polymeric nanoparticles, and lipid-based carriers [</w:t>
      </w:r>
      <w:r w:rsidR="000713E6">
        <w:rPr>
          <w:rFonts w:ascii="Times New Roman" w:hAnsi="Times New Roman" w:cs="Times New Roman"/>
          <w:szCs w:val="28"/>
        </w:rPr>
        <w:t>14,15</w:t>
      </w:r>
      <w:r w:rsidRPr="007D5277">
        <w:rPr>
          <w:rFonts w:ascii="Times New Roman" w:hAnsi="Times New Roman" w:cs="Times New Roman"/>
          <w:szCs w:val="28"/>
        </w:rPr>
        <w:t>].</w:t>
      </w:r>
    </w:p>
    <w:p w14:paraId="421382F2" w14:textId="6B8E03D0"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In addition to pharmaceutical giants, specialized biotech firms like Moderna, BioNTech, and Arcturus Therapeutics have gained prominence by pioneering lipid nanoparticle (LNP) technologies, which have been critical in the development of mRNA vaccines, exemplifying the clinical and commercial potential of NDDS [</w:t>
      </w:r>
      <w:r w:rsidR="000713E6">
        <w:rPr>
          <w:rFonts w:ascii="Times New Roman" w:hAnsi="Times New Roman" w:cs="Times New Roman"/>
          <w:szCs w:val="28"/>
        </w:rPr>
        <w:t>15,16</w:t>
      </w:r>
      <w:r w:rsidRPr="007D5277">
        <w:rPr>
          <w:rFonts w:ascii="Times New Roman" w:hAnsi="Times New Roman" w:cs="Times New Roman"/>
          <w:szCs w:val="28"/>
        </w:rPr>
        <w:t>].</w:t>
      </w:r>
    </w:p>
    <w:p w14:paraId="0193513D" w14:textId="64675FCA"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The competitive landscape is also shaped by numerous startups and contract development and manufacturing organizations (CDMOs) focusing on niche technologies such as cubosomes, solid lipid nanoparticles, and stimuli-responsive systems. Strategic partnerships, mergers, and acquisitions are common as companies seek to expand their technological capabilities and market reach [</w:t>
      </w:r>
      <w:r w:rsidR="000713E6">
        <w:rPr>
          <w:rFonts w:ascii="Times New Roman" w:hAnsi="Times New Roman" w:cs="Times New Roman"/>
          <w:szCs w:val="28"/>
        </w:rPr>
        <w:t>17</w:t>
      </w:r>
      <w:r w:rsidRPr="007D5277">
        <w:rPr>
          <w:rFonts w:ascii="Times New Roman" w:hAnsi="Times New Roman" w:cs="Times New Roman"/>
          <w:szCs w:val="28"/>
        </w:rPr>
        <w:t>].</w:t>
      </w:r>
    </w:p>
    <w:p w14:paraId="0BA04F81" w14:textId="1664627B"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Intellectual property (IP) plays a crucial role in maintaining competitive advantage, with companies actively filing patents related to novel formulations, manufacturing processes, and delivery mechanisms. Regulatory approvals and successful clinical trials further differentiate market leaders, underscoring the importance of innovation and compliance in this sector [</w:t>
      </w:r>
      <w:r w:rsidR="000713E6">
        <w:rPr>
          <w:rFonts w:ascii="Times New Roman" w:hAnsi="Times New Roman" w:cs="Times New Roman"/>
          <w:szCs w:val="28"/>
        </w:rPr>
        <w:t>12,16</w:t>
      </w:r>
      <w:r w:rsidRPr="007D5277">
        <w:rPr>
          <w:rFonts w:ascii="Times New Roman" w:hAnsi="Times New Roman" w:cs="Times New Roman"/>
          <w:szCs w:val="28"/>
        </w:rPr>
        <w:t>].</w:t>
      </w:r>
    </w:p>
    <w:p w14:paraId="398CC5BF"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Technological Innovations in Novel Drug Delivery Systems</w:t>
      </w:r>
    </w:p>
    <w:p w14:paraId="688AF64B" w14:textId="6D12B7C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 xml:space="preserve">Technological innovation is the driving force behind the rapid evolution of NDDS, enabling enhanced drug targeting, controlled release, and improved patient outcomes. Recent advances focus on multifunctional and stimuli-responsive nanocarriers, integration of artificial intelligence (AI) in formulation design, and novel materials for improved biocompatibility and </w:t>
      </w:r>
      <w:proofErr w:type="gramStart"/>
      <w:r w:rsidRPr="007D5277">
        <w:rPr>
          <w:rFonts w:ascii="Times New Roman" w:hAnsi="Times New Roman" w:cs="Times New Roman"/>
          <w:szCs w:val="28"/>
        </w:rPr>
        <w:t>stability</w:t>
      </w:r>
      <w:r w:rsidR="000713E6">
        <w:rPr>
          <w:rFonts w:ascii="Times New Roman" w:hAnsi="Times New Roman" w:cs="Times New Roman"/>
          <w:szCs w:val="28"/>
        </w:rPr>
        <w:t>[</w:t>
      </w:r>
      <w:proofErr w:type="gramEnd"/>
      <w:r w:rsidR="000713E6">
        <w:rPr>
          <w:rFonts w:ascii="Times New Roman" w:hAnsi="Times New Roman" w:cs="Times New Roman"/>
          <w:szCs w:val="28"/>
        </w:rPr>
        <w:t>04,15]</w:t>
      </w:r>
      <w:r w:rsidRPr="007D5277">
        <w:rPr>
          <w:rFonts w:ascii="Times New Roman" w:hAnsi="Times New Roman" w:cs="Times New Roman"/>
          <w:szCs w:val="28"/>
        </w:rPr>
        <w:t>.</w:t>
      </w:r>
    </w:p>
    <w:p w14:paraId="36178725" w14:textId="6C38D97D" w:rsidR="007D5277" w:rsidRPr="007D5277" w:rsidRDefault="00881A13" w:rsidP="007D5277">
      <w:pPr>
        <w:jc w:val="both"/>
        <w:rPr>
          <w:rFonts w:ascii="Times New Roman" w:hAnsi="Times New Roman" w:cs="Times New Roman"/>
          <w:b/>
          <w:bCs/>
          <w:szCs w:val="28"/>
        </w:rPr>
      </w:pPr>
      <w:r>
        <w:rPr>
          <w:rFonts w:ascii="Times New Roman" w:hAnsi="Times New Roman" w:cs="Times New Roman"/>
          <w:b/>
          <w:bCs/>
          <w:szCs w:val="28"/>
        </w:rPr>
        <w:t xml:space="preserve">02. </w:t>
      </w:r>
      <w:r w:rsidR="007D5277" w:rsidRPr="007D5277">
        <w:rPr>
          <w:rFonts w:ascii="Times New Roman" w:hAnsi="Times New Roman" w:cs="Times New Roman"/>
          <w:b/>
          <w:bCs/>
          <w:szCs w:val="28"/>
        </w:rPr>
        <w:t>Multifunctional and Stimuli-Responsive Nanocarriers</w:t>
      </w:r>
    </w:p>
    <w:p w14:paraId="3FA85F7F" w14:textId="34081D8B"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Nanocarriers capable of responding to specific physiological stimuli such as pH, temperature, redox conditions, or enzymes have gained significant attention. These systems enable site-specific drug release, minimizing systemic toxicity and enhancing therapeutic efficacy. Examples include pH-sensitive liposomes for tumor targeting and redox-responsive polymeric nanoparticles for intracellular drug delivery [</w:t>
      </w:r>
      <w:r w:rsidR="000713E6">
        <w:rPr>
          <w:rFonts w:ascii="Times New Roman" w:hAnsi="Times New Roman" w:cs="Times New Roman"/>
          <w:szCs w:val="28"/>
        </w:rPr>
        <w:t>16,17</w:t>
      </w:r>
      <w:r w:rsidRPr="007D5277">
        <w:rPr>
          <w:rFonts w:ascii="Times New Roman" w:hAnsi="Times New Roman" w:cs="Times New Roman"/>
          <w:szCs w:val="28"/>
        </w:rPr>
        <w:t>].</w:t>
      </w:r>
    </w:p>
    <w:p w14:paraId="396468CC"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Lipid-Based Nanocarriers</w:t>
      </w:r>
    </w:p>
    <w:p w14:paraId="5C1535E5" w14:textId="40989BBB"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Lipid-based systems such as solid lipid nanoparticles (SLNs), nanostructured lipid carriers (NLCs), and cubosomes offer biocompatibility, high drug loading capacity, and controlled release profiles. Recent innovations include surface functionalization with targeting ligands and PEGylation to improve circulation time and reduce immunogenicity [8</w:t>
      </w:r>
      <w:r w:rsidR="000713E6">
        <w:rPr>
          <w:rFonts w:ascii="Times New Roman" w:hAnsi="Times New Roman" w:cs="Times New Roman"/>
          <w:szCs w:val="28"/>
        </w:rPr>
        <w:t>,14</w:t>
      </w:r>
      <w:r w:rsidRPr="007D5277">
        <w:rPr>
          <w:rFonts w:ascii="Times New Roman" w:hAnsi="Times New Roman" w:cs="Times New Roman"/>
          <w:szCs w:val="28"/>
        </w:rPr>
        <w:t>].</w:t>
      </w:r>
    </w:p>
    <w:p w14:paraId="34C17F96"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Polymer-Based Delivery Systems</w:t>
      </w:r>
    </w:p>
    <w:p w14:paraId="7E487ED2" w14:textId="6A38B0E3"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Advances in biodegradable polymers like PLGA (</w:t>
      </w:r>
      <w:proofErr w:type="gramStart"/>
      <w:r w:rsidRPr="007D5277">
        <w:rPr>
          <w:rFonts w:ascii="Times New Roman" w:hAnsi="Times New Roman" w:cs="Times New Roman"/>
          <w:szCs w:val="28"/>
        </w:rPr>
        <w:t>poly(</w:t>
      </w:r>
      <w:proofErr w:type="gramEnd"/>
      <w:r w:rsidRPr="007D5277">
        <w:rPr>
          <w:rFonts w:ascii="Times New Roman" w:hAnsi="Times New Roman" w:cs="Times New Roman"/>
          <w:szCs w:val="28"/>
        </w:rPr>
        <w:t>lactic-co-glycolic acid)) and PEG (polyethylene glycol) have facilitated the development of nanoparticles and micelles with tunable degradation rates and drug release kinetics. Smart polymers that respond to external stimuli are also under active investigation [</w:t>
      </w:r>
      <w:r w:rsidR="000713E6">
        <w:rPr>
          <w:rFonts w:ascii="Times New Roman" w:hAnsi="Times New Roman" w:cs="Times New Roman"/>
          <w:szCs w:val="28"/>
        </w:rPr>
        <w:t>18</w:t>
      </w:r>
      <w:r w:rsidRPr="007D5277">
        <w:rPr>
          <w:rFonts w:ascii="Times New Roman" w:hAnsi="Times New Roman" w:cs="Times New Roman"/>
          <w:szCs w:val="28"/>
        </w:rPr>
        <w:t>].</w:t>
      </w:r>
    </w:p>
    <w:p w14:paraId="3E363C9E"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Integration of Artificial Intelligence and Computational Modeling</w:t>
      </w:r>
    </w:p>
    <w:p w14:paraId="41C05CD4" w14:textId="0578FEFB" w:rsid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AI and machine learning are increasingly employed to optimize NDDS design, predict drug-polymer interactions, and streamline formulation development. Computational tools enable rapid screening of excipients and prediction of pharmacokinetic profiles, accelerating the translation from bench to clinic [1</w:t>
      </w:r>
      <w:r w:rsidR="000713E6">
        <w:rPr>
          <w:rFonts w:ascii="Times New Roman" w:hAnsi="Times New Roman" w:cs="Times New Roman"/>
          <w:szCs w:val="28"/>
        </w:rPr>
        <w:t>9</w:t>
      </w:r>
      <w:r w:rsidRPr="007D5277">
        <w:rPr>
          <w:rFonts w:ascii="Times New Roman" w:hAnsi="Times New Roman" w:cs="Times New Roman"/>
          <w:szCs w:val="28"/>
        </w:rPr>
        <w:t>].</w:t>
      </w:r>
    </w:p>
    <w:p w14:paraId="484931FE" w14:textId="743B3C27" w:rsidR="00635FF8" w:rsidRPr="00635FF8" w:rsidRDefault="00635FF8" w:rsidP="00635FF8">
      <w:pPr>
        <w:jc w:val="both"/>
        <w:rPr>
          <w:rFonts w:ascii="Times New Roman" w:hAnsi="Times New Roman" w:cs="Times New Roman"/>
          <w:szCs w:val="28"/>
        </w:rPr>
      </w:pPr>
      <w:r w:rsidRPr="00635FF8">
        <w:rPr>
          <w:rFonts w:ascii="Times New Roman" w:hAnsi="Times New Roman" w:cs="Times New Roman"/>
          <w:noProof/>
          <w:szCs w:val="28"/>
        </w:rPr>
        <w:drawing>
          <wp:inline distT="0" distB="0" distL="0" distR="0" wp14:anchorId="594507CD" wp14:editId="190C4AA1">
            <wp:extent cx="5958840" cy="4427220"/>
            <wp:effectExtent l="0" t="0" r="3810" b="0"/>
            <wp:docPr id="195983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rotWithShape="1">
                    <a:blip r:embed="rId8">
                      <a:extLst>
                        <a:ext uri="{28A0092B-C50C-407E-A947-70E740481C1C}">
                          <a14:useLocalDpi xmlns:a14="http://schemas.microsoft.com/office/drawing/2010/main" val="0"/>
                        </a:ext>
                      </a:extLst>
                    </a:blip>
                    <a:srcRect b="7924"/>
                    <a:stretch>
                      <a:fillRect/>
                    </a:stretch>
                  </pic:blipFill>
                  <pic:spPr bwMode="auto">
                    <a:xfrm>
                      <a:off x="0" y="0"/>
                      <a:ext cx="5958840" cy="4427220"/>
                    </a:xfrm>
                    <a:prstGeom prst="rect">
                      <a:avLst/>
                    </a:prstGeom>
                    <a:noFill/>
                    <a:ln>
                      <a:noFill/>
                    </a:ln>
                    <a:extLst>
                      <a:ext uri="{53640926-AAD7-44D8-BBD7-CCE9431645EC}">
                        <a14:shadowObscured xmlns:a14="http://schemas.microsoft.com/office/drawing/2010/main"/>
                      </a:ext>
                    </a:extLst>
                  </pic:spPr>
                </pic:pic>
              </a:graphicData>
            </a:graphic>
          </wp:inline>
        </w:drawing>
      </w:r>
    </w:p>
    <w:p w14:paraId="20E5359A" w14:textId="1AE53EA4" w:rsidR="00267071" w:rsidRPr="00267071" w:rsidRDefault="00267071" w:rsidP="00267071">
      <w:pPr>
        <w:jc w:val="center"/>
        <w:rPr>
          <w:rFonts w:ascii="Times New Roman" w:hAnsi="Times New Roman" w:cs="Times New Roman"/>
          <w:szCs w:val="28"/>
        </w:rPr>
      </w:pPr>
      <w:r w:rsidRPr="00267071">
        <w:rPr>
          <w:rFonts w:ascii="Times New Roman" w:hAnsi="Times New Roman" w:cs="Times New Roman"/>
          <w:szCs w:val="28"/>
        </w:rPr>
        <w:lastRenderedPageBreak/>
        <w:t>Fig No 01 -</w:t>
      </w:r>
      <w:r w:rsidRPr="00267071">
        <w:rPr>
          <w:rFonts w:ascii="Times New Roman" w:eastAsia="Times New Roman" w:hAnsi="Times New Roman" w:cs="Times New Roman"/>
          <w:kern w:val="0"/>
          <w:szCs w:val="24"/>
          <w:lang w:bidi="ar-SA"/>
          <w14:ligatures w14:val="none"/>
        </w:rPr>
        <w:t xml:space="preserve"> </w:t>
      </w:r>
      <w:r w:rsidRPr="00267071">
        <w:rPr>
          <w:rFonts w:ascii="Times New Roman" w:hAnsi="Times New Roman" w:cs="Times New Roman"/>
          <w:szCs w:val="28"/>
        </w:rPr>
        <w:t>"Illustration of cutting-edge technological innovations in novel drug delivery systems, highlighting advanced techniques such as nanocarriers, targeted delivery, and controlled release mechanisms for improving therapeutic efficacy and minimizing side effects."</w:t>
      </w:r>
    </w:p>
    <w:p w14:paraId="2D7FC20B" w14:textId="14461B88" w:rsidR="00635FF8" w:rsidRDefault="00635FF8" w:rsidP="007D5277">
      <w:pPr>
        <w:jc w:val="both"/>
        <w:rPr>
          <w:rFonts w:ascii="Times New Roman" w:hAnsi="Times New Roman" w:cs="Times New Roman"/>
          <w:szCs w:val="28"/>
        </w:rPr>
      </w:pPr>
    </w:p>
    <w:p w14:paraId="72B26429" w14:textId="77777777" w:rsidR="00267071" w:rsidRDefault="00267071" w:rsidP="007D5277">
      <w:pPr>
        <w:jc w:val="both"/>
        <w:rPr>
          <w:rFonts w:ascii="Times New Roman" w:hAnsi="Times New Roman" w:cs="Times New Roman"/>
          <w:szCs w:val="28"/>
        </w:rPr>
      </w:pPr>
    </w:p>
    <w:p w14:paraId="239BC61C" w14:textId="77777777" w:rsidR="00267071" w:rsidRPr="007D5277" w:rsidRDefault="00267071" w:rsidP="007D5277">
      <w:pPr>
        <w:jc w:val="both"/>
        <w:rPr>
          <w:rFonts w:ascii="Times New Roman" w:hAnsi="Times New Roman" w:cs="Times New Roman"/>
          <w:szCs w:val="28"/>
        </w:rPr>
      </w:pPr>
    </w:p>
    <w:p w14:paraId="0BB60C48"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Emerging Platforms</w:t>
      </w:r>
    </w:p>
    <w:p w14:paraId="6201E2C6" w14:textId="777777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Novel platforms such as exosomes, dendrimers, and mesoporous silica nanoparticles are being explored for their unique structural and functional properties. Additionally, 3D printing technologies are being investigated for personalized NDDS fabrication, allowing precise control over dosage forms and release characteristics [11,12].</w:t>
      </w:r>
    </w:p>
    <w:p w14:paraId="04838F57" w14:textId="7FC6B0EC"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2.</w:t>
      </w:r>
      <w:r w:rsidR="00881A13">
        <w:rPr>
          <w:rFonts w:ascii="Times New Roman" w:hAnsi="Times New Roman" w:cs="Times New Roman"/>
          <w:b/>
          <w:bCs/>
          <w:szCs w:val="28"/>
        </w:rPr>
        <w:t>1</w:t>
      </w:r>
      <w:r w:rsidRPr="007D5277">
        <w:rPr>
          <w:rFonts w:ascii="Times New Roman" w:hAnsi="Times New Roman" w:cs="Times New Roman"/>
          <w:b/>
          <w:bCs/>
          <w:szCs w:val="28"/>
        </w:rPr>
        <w:t xml:space="preserve"> Nanocarriers: Liposomes, Cubosomes, Solid Lipid Nanoparticles, and Beyond</w:t>
      </w:r>
    </w:p>
    <w:p w14:paraId="461EA30B" w14:textId="77777777"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Nanocarriers have revolutionized drug delivery by enabling precise control over drug release, improved bioavailability, and targeted delivery to specific tissues or cells. Among the diverse nanocarrier platforms, liposomes, cubosomes, and solid lipid nanoparticles (SLNs) have emerged as prominent systems due to their unique physicochemical properties and clinical potential.</w:t>
      </w:r>
    </w:p>
    <w:p w14:paraId="2061BDCE"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Liposomes</w:t>
      </w:r>
    </w:p>
    <w:p w14:paraId="60BB5563" w14:textId="494A0B7C"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Liposomes are spherical vesicles composed of one or more phospholipid bilayers encapsulating an aqueous core. Since their discovery in the 1960s, liposomes have been extensively studied and utilized for delivering both hydrophilic and hydrophobic drugs [</w:t>
      </w:r>
      <w:r w:rsidR="000713E6">
        <w:rPr>
          <w:rFonts w:ascii="Times New Roman" w:hAnsi="Times New Roman" w:cs="Times New Roman"/>
          <w:szCs w:val="28"/>
        </w:rPr>
        <w:t>20,21</w:t>
      </w:r>
      <w:r w:rsidRPr="007D5277">
        <w:rPr>
          <w:rFonts w:ascii="Times New Roman" w:hAnsi="Times New Roman" w:cs="Times New Roman"/>
          <w:szCs w:val="28"/>
        </w:rPr>
        <w:t>]. Their biocompatibility, ability to encapsulate diverse drug molecules, and modifiable surface properties make them versatile carriers. [2</w:t>
      </w:r>
      <w:r w:rsidR="000713E6">
        <w:rPr>
          <w:rFonts w:ascii="Times New Roman" w:hAnsi="Times New Roman" w:cs="Times New Roman"/>
          <w:szCs w:val="28"/>
        </w:rPr>
        <w:t>2,23,24</w:t>
      </w:r>
      <w:r w:rsidRPr="007D5277">
        <w:rPr>
          <w:rFonts w:ascii="Times New Roman" w:hAnsi="Times New Roman" w:cs="Times New Roman"/>
          <w:szCs w:val="28"/>
        </w:rPr>
        <w:t>].</w:t>
      </w:r>
    </w:p>
    <w:p w14:paraId="0DC790BB" w14:textId="166D7EBA"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Advancements in liposome technology include PEGylation to prolong circulation time, ligand conjugation for active targeting, and stimuli-responsive liposomes that release drugs in response to pH, temperature, or enzymes [</w:t>
      </w:r>
      <w:r w:rsidR="000713E6">
        <w:rPr>
          <w:rFonts w:ascii="Times New Roman" w:hAnsi="Times New Roman" w:cs="Times New Roman"/>
          <w:szCs w:val="28"/>
        </w:rPr>
        <w:t>21,22</w:t>
      </w:r>
      <w:r w:rsidRPr="007D5277">
        <w:rPr>
          <w:rFonts w:ascii="Times New Roman" w:hAnsi="Times New Roman" w:cs="Times New Roman"/>
          <w:szCs w:val="28"/>
        </w:rPr>
        <w:t>]. Despite their advantages, challenges such as stability, large-scale manufacturing, and rapid clearance by the mononuclear phagocyte system remain areas of active research.</w:t>
      </w:r>
    </w:p>
    <w:p w14:paraId="3C0820A3" w14:textId="77777777"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Cubosomes</w:t>
      </w:r>
    </w:p>
    <w:p w14:paraId="1ED8EABA" w14:textId="01A35D19"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Cubosomes are nanostructured liquid crystalline particles formed from amphiphilic lipids that self-assemble into a bicontinuous cubic phase. These particles possess a unique internal cubic lattice structure, providing a large surface area and high encapsulation efficiency for both hydrophilic and lipophilic drugs [</w:t>
      </w:r>
      <w:r w:rsidR="000713E6">
        <w:rPr>
          <w:rFonts w:ascii="Times New Roman" w:hAnsi="Times New Roman" w:cs="Times New Roman"/>
          <w:szCs w:val="28"/>
        </w:rPr>
        <w:t>2</w:t>
      </w:r>
      <w:r w:rsidRPr="007D5277">
        <w:rPr>
          <w:rFonts w:ascii="Times New Roman" w:hAnsi="Times New Roman" w:cs="Times New Roman"/>
          <w:szCs w:val="28"/>
        </w:rPr>
        <w:t>4]. Cubosomes offer controlled release profiles and enhanced stability compared to traditional liposomes.</w:t>
      </w:r>
    </w:p>
    <w:p w14:paraId="02B1AF6D" w14:textId="26A1A965"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lastRenderedPageBreak/>
        <w:t>Their potential applications span oral, topical, ophthalmic, and parenteral drug delivery. Recent studies have explored cubosomes for delivering anticancer agents, vaccines, and poorly soluble drugs, highlighting their versatility [</w:t>
      </w:r>
      <w:r w:rsidR="000713E6">
        <w:rPr>
          <w:rFonts w:ascii="Times New Roman" w:hAnsi="Times New Roman" w:cs="Times New Roman"/>
          <w:szCs w:val="28"/>
        </w:rPr>
        <w:t>2</w:t>
      </w:r>
      <w:r w:rsidRPr="007D5277">
        <w:rPr>
          <w:rFonts w:ascii="Times New Roman" w:hAnsi="Times New Roman" w:cs="Times New Roman"/>
          <w:szCs w:val="28"/>
        </w:rPr>
        <w:t>5]. However, challenges such as scalable production, long-term stability, and comprehensive toxicological evaluation need to be addressed to facilitate clinical translation [</w:t>
      </w:r>
      <w:r w:rsidR="000713E6">
        <w:rPr>
          <w:rFonts w:ascii="Times New Roman" w:hAnsi="Times New Roman" w:cs="Times New Roman"/>
          <w:szCs w:val="28"/>
        </w:rPr>
        <w:t>2</w:t>
      </w:r>
      <w:r w:rsidRPr="007D5277">
        <w:rPr>
          <w:rFonts w:ascii="Times New Roman" w:hAnsi="Times New Roman" w:cs="Times New Roman"/>
          <w:szCs w:val="28"/>
        </w:rPr>
        <w:t>6].</w:t>
      </w:r>
    </w:p>
    <w:p w14:paraId="75A39181" w14:textId="038BECB9" w:rsidR="007D5277" w:rsidRPr="007D5277" w:rsidRDefault="007D5277" w:rsidP="007D5277">
      <w:pPr>
        <w:jc w:val="both"/>
        <w:rPr>
          <w:rFonts w:ascii="Times New Roman" w:hAnsi="Times New Roman" w:cs="Times New Roman"/>
          <w:b/>
          <w:bCs/>
          <w:szCs w:val="28"/>
        </w:rPr>
      </w:pPr>
      <w:r w:rsidRPr="007D5277">
        <w:rPr>
          <w:rFonts w:ascii="Times New Roman" w:hAnsi="Times New Roman" w:cs="Times New Roman"/>
          <w:b/>
          <w:bCs/>
          <w:szCs w:val="28"/>
        </w:rPr>
        <w:t>Solid Lipid Nanoparticles (SLNs)</w:t>
      </w:r>
    </w:p>
    <w:p w14:paraId="1F1208D0" w14:textId="22EC4F66"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SLNs are submicron colloidal carriers composed of solid lipids stabilized by surfactants. They combine the advantages of liposomes and polymeric nanoparticles, offering controlled drug release, improved drug stability, and biocompatibility [</w:t>
      </w:r>
      <w:r w:rsidR="000713E6">
        <w:rPr>
          <w:rFonts w:ascii="Times New Roman" w:hAnsi="Times New Roman" w:cs="Times New Roman"/>
          <w:szCs w:val="28"/>
        </w:rPr>
        <w:t>2</w:t>
      </w:r>
      <w:r w:rsidRPr="007D5277">
        <w:rPr>
          <w:rFonts w:ascii="Times New Roman" w:hAnsi="Times New Roman" w:cs="Times New Roman"/>
          <w:szCs w:val="28"/>
        </w:rPr>
        <w:t>7]. SLNs can encapsulate lipophilic drugs efficiently and protect labile molecules from degradation.</w:t>
      </w:r>
    </w:p>
    <w:p w14:paraId="11E8E337" w14:textId="5EAECF60" w:rsidR="007D5277" w:rsidRPr="007D5277" w:rsidRDefault="007D5277" w:rsidP="007D5277">
      <w:pPr>
        <w:jc w:val="both"/>
        <w:rPr>
          <w:rFonts w:ascii="Times New Roman" w:hAnsi="Times New Roman" w:cs="Times New Roman"/>
          <w:szCs w:val="28"/>
        </w:rPr>
      </w:pPr>
      <w:r w:rsidRPr="007D5277">
        <w:rPr>
          <w:rFonts w:ascii="Times New Roman" w:hAnsi="Times New Roman" w:cs="Times New Roman"/>
          <w:szCs w:val="28"/>
        </w:rPr>
        <w:t>SLNs have been investigated for various routes of administration, including oral, topical, and parenteral. Their solid lipid matrix allows for sustained drug release and reduced burst effect. However, issues such as drug expulsion during storage and limited drug loading capacity are challenges under investigation [</w:t>
      </w:r>
      <w:r w:rsidR="000713E6">
        <w:rPr>
          <w:rFonts w:ascii="Times New Roman" w:hAnsi="Times New Roman" w:cs="Times New Roman"/>
          <w:szCs w:val="28"/>
        </w:rPr>
        <w:t>2</w:t>
      </w:r>
      <w:r w:rsidRPr="007D5277">
        <w:rPr>
          <w:rFonts w:ascii="Times New Roman" w:hAnsi="Times New Roman" w:cs="Times New Roman"/>
          <w:szCs w:val="28"/>
        </w:rPr>
        <w:t>8].</w:t>
      </w:r>
    </w:p>
    <w:tbl>
      <w:tblPr>
        <w:tblStyle w:val="TableGrid"/>
        <w:tblW w:w="0" w:type="auto"/>
        <w:tblLook w:val="04A0" w:firstRow="1" w:lastRow="0" w:firstColumn="1" w:lastColumn="0" w:noHBand="0" w:noVBand="1"/>
      </w:tblPr>
      <w:tblGrid>
        <w:gridCol w:w="1439"/>
        <w:gridCol w:w="2183"/>
        <w:gridCol w:w="1442"/>
        <w:gridCol w:w="1432"/>
        <w:gridCol w:w="1797"/>
        <w:gridCol w:w="1057"/>
      </w:tblGrid>
      <w:tr w:rsidR="007D5277" w:rsidRPr="007D5277" w14:paraId="77274B2E" w14:textId="77777777" w:rsidTr="007D5277">
        <w:tc>
          <w:tcPr>
            <w:tcW w:w="0" w:type="auto"/>
            <w:noWrap/>
            <w:hideMark/>
          </w:tcPr>
          <w:p w14:paraId="2E029044"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Nanocarrier</w:t>
            </w:r>
          </w:p>
        </w:tc>
        <w:tc>
          <w:tcPr>
            <w:tcW w:w="0" w:type="auto"/>
            <w:noWrap/>
            <w:hideMark/>
          </w:tcPr>
          <w:p w14:paraId="33653FB8"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Structure &amp; Composition</w:t>
            </w:r>
          </w:p>
        </w:tc>
        <w:tc>
          <w:tcPr>
            <w:tcW w:w="0" w:type="auto"/>
            <w:noWrap/>
            <w:hideMark/>
          </w:tcPr>
          <w:p w14:paraId="4E4A4677"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Advantages</w:t>
            </w:r>
          </w:p>
        </w:tc>
        <w:tc>
          <w:tcPr>
            <w:tcW w:w="0" w:type="auto"/>
            <w:noWrap/>
            <w:hideMark/>
          </w:tcPr>
          <w:p w14:paraId="127E2E28"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Limitations</w:t>
            </w:r>
          </w:p>
        </w:tc>
        <w:tc>
          <w:tcPr>
            <w:tcW w:w="0" w:type="auto"/>
            <w:noWrap/>
            <w:hideMark/>
          </w:tcPr>
          <w:p w14:paraId="0DBD6FBA"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Typical Applications</w:t>
            </w:r>
          </w:p>
        </w:tc>
        <w:tc>
          <w:tcPr>
            <w:tcW w:w="0" w:type="auto"/>
            <w:noWrap/>
            <w:hideMark/>
          </w:tcPr>
          <w:p w14:paraId="3773F914" w14:textId="77777777" w:rsidR="007D5277" w:rsidRPr="007D5277" w:rsidRDefault="007D5277" w:rsidP="007D5277">
            <w:pPr>
              <w:spacing w:after="160" w:line="278" w:lineRule="auto"/>
              <w:jc w:val="both"/>
              <w:rPr>
                <w:rFonts w:ascii="Times New Roman" w:hAnsi="Times New Roman" w:cs="Times New Roman"/>
                <w:b/>
                <w:bCs/>
                <w:szCs w:val="28"/>
              </w:rPr>
            </w:pPr>
            <w:r w:rsidRPr="007D5277">
              <w:rPr>
                <w:rFonts w:ascii="Times New Roman" w:hAnsi="Times New Roman" w:cs="Times New Roman"/>
                <w:b/>
                <w:bCs/>
                <w:szCs w:val="28"/>
              </w:rPr>
              <w:t>References</w:t>
            </w:r>
          </w:p>
        </w:tc>
      </w:tr>
      <w:tr w:rsidR="007D5277" w:rsidRPr="007D5277" w14:paraId="7E3C2DC4" w14:textId="77777777" w:rsidTr="007D5277">
        <w:tc>
          <w:tcPr>
            <w:tcW w:w="0" w:type="auto"/>
            <w:hideMark/>
          </w:tcPr>
          <w:p w14:paraId="397C1886"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Liposomes</w:t>
            </w:r>
          </w:p>
        </w:tc>
        <w:tc>
          <w:tcPr>
            <w:tcW w:w="0" w:type="auto"/>
            <w:hideMark/>
          </w:tcPr>
          <w:p w14:paraId="68C5AD69"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Spherical vesicles with one or more phospholipid bilayers encapsulating aqueous core</w:t>
            </w:r>
          </w:p>
        </w:tc>
        <w:tc>
          <w:tcPr>
            <w:tcW w:w="0" w:type="auto"/>
            <w:hideMark/>
          </w:tcPr>
          <w:p w14:paraId="22E95B89" w14:textId="77777777" w:rsid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Biocompatible and biodegradable- Can carry hydrophilic &amp; hydrophobic drug</w:t>
            </w:r>
            <w:r>
              <w:rPr>
                <w:rFonts w:ascii="Times New Roman" w:hAnsi="Times New Roman" w:cs="Times New Roman"/>
                <w:szCs w:val="28"/>
              </w:rPr>
              <w:t>.</w:t>
            </w:r>
          </w:p>
          <w:p w14:paraId="029A8218" w14:textId="74169F4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 Surface modifiable for targeting and stealth (PEGylation)</w:t>
            </w:r>
          </w:p>
        </w:tc>
        <w:tc>
          <w:tcPr>
            <w:tcW w:w="0" w:type="auto"/>
            <w:hideMark/>
          </w:tcPr>
          <w:p w14:paraId="7C7D8A3D" w14:textId="2FC534D3"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Stability issues (leakage, fusion)- Rapid clearance by RES- Complex large-scale production</w:t>
            </w:r>
          </w:p>
        </w:tc>
        <w:tc>
          <w:tcPr>
            <w:tcW w:w="0" w:type="auto"/>
            <w:hideMark/>
          </w:tcPr>
          <w:p w14:paraId="772D36DA"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Cancer therapy, antifungal drugs, vaccines</w:t>
            </w:r>
          </w:p>
        </w:tc>
        <w:tc>
          <w:tcPr>
            <w:tcW w:w="0" w:type="auto"/>
            <w:hideMark/>
          </w:tcPr>
          <w:p w14:paraId="1C9E414F" w14:textId="47344E94"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1,</w:t>
            </w:r>
            <w:r w:rsidR="000713E6" w:rsidRPr="000713E6">
              <w:rPr>
                <w:rFonts w:ascii="Times New Roman" w:hAnsi="Times New Roman" w:cs="Times New Roman"/>
                <w:szCs w:val="28"/>
              </w:rPr>
              <w:t>2</w:t>
            </w:r>
            <w:r w:rsidRPr="007D5277">
              <w:rPr>
                <w:rFonts w:ascii="Times New Roman" w:hAnsi="Times New Roman" w:cs="Times New Roman"/>
                <w:szCs w:val="28"/>
              </w:rPr>
              <w:t>2]</w:t>
            </w:r>
          </w:p>
        </w:tc>
      </w:tr>
      <w:tr w:rsidR="007D5277" w:rsidRPr="007D5277" w14:paraId="6EA63E24" w14:textId="77777777" w:rsidTr="007D5277">
        <w:tc>
          <w:tcPr>
            <w:tcW w:w="0" w:type="auto"/>
            <w:hideMark/>
          </w:tcPr>
          <w:p w14:paraId="65B4AFA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Cubosomes</w:t>
            </w:r>
          </w:p>
        </w:tc>
        <w:tc>
          <w:tcPr>
            <w:tcW w:w="0" w:type="auto"/>
            <w:hideMark/>
          </w:tcPr>
          <w:p w14:paraId="5FC2EEBC"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Nanostructured liquid crystalline particles with bicontinuous cubic lipid phase</w:t>
            </w:r>
          </w:p>
        </w:tc>
        <w:tc>
          <w:tcPr>
            <w:tcW w:w="0" w:type="auto"/>
            <w:hideMark/>
          </w:tcPr>
          <w:p w14:paraId="544D7910" w14:textId="6DDA0D1C"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 High surface area- Encapsulate hydrophilic &amp; lipophilic </w:t>
            </w:r>
            <w:r w:rsidRPr="007D5277">
              <w:rPr>
                <w:rFonts w:ascii="Times New Roman" w:hAnsi="Times New Roman" w:cs="Times New Roman"/>
                <w:szCs w:val="28"/>
              </w:rPr>
              <w:lastRenderedPageBreak/>
              <w:t>drugs- Controlled release- Enhanced stability vs liposomes</w:t>
            </w:r>
          </w:p>
        </w:tc>
        <w:tc>
          <w:tcPr>
            <w:tcW w:w="0" w:type="auto"/>
            <w:hideMark/>
          </w:tcPr>
          <w:p w14:paraId="3B2A41B1" w14:textId="3C8153D9"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xml:space="preserve">- Difficult scalable manufacturing- Limited clinical </w:t>
            </w:r>
            <w:r w:rsidRPr="007D5277">
              <w:rPr>
                <w:rFonts w:ascii="Times New Roman" w:hAnsi="Times New Roman" w:cs="Times New Roman"/>
                <w:szCs w:val="28"/>
              </w:rPr>
              <w:lastRenderedPageBreak/>
              <w:t>data- Toxicity profile not fully known</w:t>
            </w:r>
          </w:p>
        </w:tc>
        <w:tc>
          <w:tcPr>
            <w:tcW w:w="0" w:type="auto"/>
            <w:hideMark/>
          </w:tcPr>
          <w:p w14:paraId="5F26E5D6"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Oral, topical, ophthalmic delivery; anticancer agents</w:t>
            </w:r>
          </w:p>
        </w:tc>
        <w:tc>
          <w:tcPr>
            <w:tcW w:w="0" w:type="auto"/>
            <w:hideMark/>
          </w:tcPr>
          <w:p w14:paraId="724C27F8" w14:textId="6C6C5246"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11,14</w:t>
            </w:r>
            <w:r w:rsidRPr="007D5277">
              <w:rPr>
                <w:rFonts w:ascii="Times New Roman" w:hAnsi="Times New Roman" w:cs="Times New Roman"/>
                <w:szCs w:val="28"/>
              </w:rPr>
              <w:t>]</w:t>
            </w:r>
          </w:p>
        </w:tc>
      </w:tr>
      <w:tr w:rsidR="007D5277" w:rsidRPr="007D5277" w14:paraId="3F2C81FC" w14:textId="77777777" w:rsidTr="007D5277">
        <w:tc>
          <w:tcPr>
            <w:tcW w:w="0" w:type="auto"/>
            <w:hideMark/>
          </w:tcPr>
          <w:p w14:paraId="7AAADE64"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Solid Lipid Nanoparticles (SLNs)</w:t>
            </w:r>
          </w:p>
        </w:tc>
        <w:tc>
          <w:tcPr>
            <w:tcW w:w="0" w:type="auto"/>
            <w:hideMark/>
          </w:tcPr>
          <w:p w14:paraId="0822912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Solid lipid core stabilized by surfactants</w:t>
            </w:r>
          </w:p>
        </w:tc>
        <w:tc>
          <w:tcPr>
            <w:tcW w:w="0" w:type="auto"/>
            <w:hideMark/>
          </w:tcPr>
          <w:p w14:paraId="31272B28" w14:textId="1FE99FA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Biocompatible and biodegradable- Controlled drug release- Protects labile drugs- Scalable production</w:t>
            </w:r>
          </w:p>
        </w:tc>
        <w:tc>
          <w:tcPr>
            <w:tcW w:w="0" w:type="auto"/>
            <w:hideMark/>
          </w:tcPr>
          <w:p w14:paraId="46AF7AE4" w14:textId="5529CEBD"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Limited drug loading- Drug expulsion during storage- Polymorphic transitions affect stability</w:t>
            </w:r>
          </w:p>
        </w:tc>
        <w:tc>
          <w:tcPr>
            <w:tcW w:w="0" w:type="auto"/>
            <w:hideMark/>
          </w:tcPr>
          <w:p w14:paraId="550A631B"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Oral, topical, parenteral delivery</w:t>
            </w:r>
          </w:p>
        </w:tc>
        <w:tc>
          <w:tcPr>
            <w:tcW w:w="0" w:type="auto"/>
            <w:hideMark/>
          </w:tcPr>
          <w:p w14:paraId="0A88DA54" w14:textId="36C0A46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7,</w:t>
            </w:r>
            <w:r w:rsidR="000713E6" w:rsidRPr="000713E6">
              <w:rPr>
                <w:rFonts w:ascii="Times New Roman" w:hAnsi="Times New Roman" w:cs="Times New Roman"/>
                <w:szCs w:val="28"/>
              </w:rPr>
              <w:t>1</w:t>
            </w:r>
            <w:r w:rsidRPr="007D5277">
              <w:rPr>
                <w:rFonts w:ascii="Times New Roman" w:hAnsi="Times New Roman" w:cs="Times New Roman"/>
                <w:szCs w:val="28"/>
              </w:rPr>
              <w:t>8]</w:t>
            </w:r>
          </w:p>
        </w:tc>
      </w:tr>
      <w:tr w:rsidR="007D5277" w:rsidRPr="007D5277" w14:paraId="53090EDA" w14:textId="77777777" w:rsidTr="007D5277">
        <w:tc>
          <w:tcPr>
            <w:tcW w:w="0" w:type="auto"/>
            <w:hideMark/>
          </w:tcPr>
          <w:p w14:paraId="2983869A"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Nanostructured Lipid Carriers (NLCs)</w:t>
            </w:r>
          </w:p>
        </w:tc>
        <w:tc>
          <w:tcPr>
            <w:tcW w:w="0" w:type="auto"/>
            <w:hideMark/>
          </w:tcPr>
          <w:p w14:paraId="35CF848F"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Blend of solid and liquid lipids forming imperfect lipid matrix</w:t>
            </w:r>
          </w:p>
        </w:tc>
        <w:tc>
          <w:tcPr>
            <w:tcW w:w="0" w:type="auto"/>
            <w:hideMark/>
          </w:tcPr>
          <w:p w14:paraId="751D27C8" w14:textId="145373F2"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Higher drug loading than SLNs- Improved stability- Controlled release</w:t>
            </w:r>
          </w:p>
        </w:tc>
        <w:tc>
          <w:tcPr>
            <w:tcW w:w="0" w:type="auto"/>
            <w:hideMark/>
          </w:tcPr>
          <w:p w14:paraId="7A8C0895" w14:textId="6A2A6458"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More complex formulation- Potential for lipid oxidation</w:t>
            </w:r>
          </w:p>
        </w:tc>
        <w:tc>
          <w:tcPr>
            <w:tcW w:w="0" w:type="auto"/>
            <w:hideMark/>
          </w:tcPr>
          <w:p w14:paraId="69322FBE"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Similar to SLNs; enhanced delivery of poorly soluble drugs</w:t>
            </w:r>
          </w:p>
        </w:tc>
        <w:tc>
          <w:tcPr>
            <w:tcW w:w="0" w:type="auto"/>
            <w:hideMark/>
          </w:tcPr>
          <w:p w14:paraId="455E705A" w14:textId="176EC999"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w:t>
            </w:r>
            <w:r w:rsidR="000713E6" w:rsidRPr="000713E6">
              <w:rPr>
                <w:rFonts w:ascii="Times New Roman" w:hAnsi="Times New Roman" w:cs="Times New Roman"/>
                <w:szCs w:val="28"/>
              </w:rPr>
              <w:t>1</w:t>
            </w:r>
            <w:r w:rsidRPr="007D5277">
              <w:rPr>
                <w:rFonts w:ascii="Times New Roman" w:hAnsi="Times New Roman" w:cs="Times New Roman"/>
                <w:szCs w:val="28"/>
              </w:rPr>
              <w:t>9]</w:t>
            </w:r>
          </w:p>
        </w:tc>
      </w:tr>
      <w:tr w:rsidR="007D5277" w:rsidRPr="007D5277" w14:paraId="33FDF81C" w14:textId="77777777" w:rsidTr="007D5277">
        <w:tc>
          <w:tcPr>
            <w:tcW w:w="0" w:type="auto"/>
            <w:hideMark/>
          </w:tcPr>
          <w:p w14:paraId="1D8B991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Dendrimers</w:t>
            </w:r>
          </w:p>
        </w:tc>
        <w:tc>
          <w:tcPr>
            <w:tcW w:w="0" w:type="auto"/>
            <w:hideMark/>
          </w:tcPr>
          <w:p w14:paraId="0F7CBD4F"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Highly branched, monodisperse polymers with multiple surface functional groups</w:t>
            </w:r>
          </w:p>
        </w:tc>
        <w:tc>
          <w:tcPr>
            <w:tcW w:w="0" w:type="auto"/>
            <w:hideMark/>
          </w:tcPr>
          <w:p w14:paraId="3F772AC9" w14:textId="586CE700"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Precise size and shape control- High drug loading capacity- Surface modifiable for targeting</w:t>
            </w:r>
          </w:p>
        </w:tc>
        <w:tc>
          <w:tcPr>
            <w:tcW w:w="0" w:type="auto"/>
            <w:hideMark/>
          </w:tcPr>
          <w:p w14:paraId="59B12581" w14:textId="380885B5"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Potential cytotoxicity- Complex synthesis- Clearance and biodistribution challenges</w:t>
            </w:r>
          </w:p>
        </w:tc>
        <w:tc>
          <w:tcPr>
            <w:tcW w:w="0" w:type="auto"/>
            <w:hideMark/>
          </w:tcPr>
          <w:p w14:paraId="7BF8A07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Gene delivery, anticancer drugs, imaging agents</w:t>
            </w:r>
          </w:p>
        </w:tc>
        <w:tc>
          <w:tcPr>
            <w:tcW w:w="0" w:type="auto"/>
            <w:hideMark/>
          </w:tcPr>
          <w:p w14:paraId="0C304CC6" w14:textId="6B553BF1"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[1</w:t>
            </w:r>
            <w:r w:rsidR="000713E6" w:rsidRPr="000713E6">
              <w:rPr>
                <w:rFonts w:ascii="Times New Roman" w:hAnsi="Times New Roman" w:cs="Times New Roman"/>
                <w:szCs w:val="28"/>
              </w:rPr>
              <w:t>1</w:t>
            </w:r>
            <w:r w:rsidRPr="007D5277">
              <w:rPr>
                <w:rFonts w:ascii="Times New Roman" w:hAnsi="Times New Roman" w:cs="Times New Roman"/>
                <w:szCs w:val="28"/>
              </w:rPr>
              <w:t>]</w:t>
            </w:r>
          </w:p>
        </w:tc>
      </w:tr>
      <w:tr w:rsidR="007D5277" w:rsidRPr="007D5277" w14:paraId="73A93AB4" w14:textId="77777777" w:rsidTr="007D5277">
        <w:tc>
          <w:tcPr>
            <w:tcW w:w="0" w:type="auto"/>
            <w:hideMark/>
          </w:tcPr>
          <w:p w14:paraId="31241C25"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Polymeric Micelles</w:t>
            </w:r>
          </w:p>
        </w:tc>
        <w:tc>
          <w:tcPr>
            <w:tcW w:w="0" w:type="auto"/>
            <w:hideMark/>
          </w:tcPr>
          <w:p w14:paraId="5158865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xml:space="preserve">Self-assembled amphiphilic block </w:t>
            </w:r>
            <w:r w:rsidRPr="007D5277">
              <w:rPr>
                <w:rFonts w:ascii="Times New Roman" w:hAnsi="Times New Roman" w:cs="Times New Roman"/>
                <w:szCs w:val="28"/>
              </w:rPr>
              <w:lastRenderedPageBreak/>
              <w:t>copolymers forming core-shell structures</w:t>
            </w:r>
          </w:p>
        </w:tc>
        <w:tc>
          <w:tcPr>
            <w:tcW w:w="0" w:type="auto"/>
            <w:hideMark/>
          </w:tcPr>
          <w:p w14:paraId="4C269BB6" w14:textId="2180040C"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xml:space="preserve">- Solubilize hydrophobic drugs- </w:t>
            </w:r>
            <w:r w:rsidRPr="007D5277">
              <w:rPr>
                <w:rFonts w:ascii="Times New Roman" w:hAnsi="Times New Roman" w:cs="Times New Roman"/>
                <w:szCs w:val="28"/>
              </w:rPr>
              <w:lastRenderedPageBreak/>
              <w:t>Prolonged circulation- Stimuli-responsive variants available</w:t>
            </w:r>
          </w:p>
        </w:tc>
        <w:tc>
          <w:tcPr>
            <w:tcW w:w="0" w:type="auto"/>
            <w:hideMark/>
          </w:tcPr>
          <w:p w14:paraId="0030625F" w14:textId="45D3660F"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xml:space="preserve">- Stability issues upon dilution- </w:t>
            </w:r>
            <w:r w:rsidRPr="007D5277">
              <w:rPr>
                <w:rFonts w:ascii="Times New Roman" w:hAnsi="Times New Roman" w:cs="Times New Roman"/>
                <w:szCs w:val="28"/>
              </w:rPr>
              <w:lastRenderedPageBreak/>
              <w:t>Limited drug loading capacity</w:t>
            </w:r>
          </w:p>
        </w:tc>
        <w:tc>
          <w:tcPr>
            <w:tcW w:w="0" w:type="auto"/>
            <w:hideMark/>
          </w:tcPr>
          <w:p w14:paraId="5B3A9467"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 xml:space="preserve">Cancer therapy, solubilization of </w:t>
            </w:r>
            <w:r w:rsidRPr="007D5277">
              <w:rPr>
                <w:rFonts w:ascii="Times New Roman" w:hAnsi="Times New Roman" w:cs="Times New Roman"/>
                <w:szCs w:val="28"/>
              </w:rPr>
              <w:lastRenderedPageBreak/>
              <w:t>poorly soluble drugs</w:t>
            </w:r>
          </w:p>
        </w:tc>
        <w:tc>
          <w:tcPr>
            <w:tcW w:w="0" w:type="auto"/>
            <w:hideMark/>
          </w:tcPr>
          <w:p w14:paraId="715C0E9B" w14:textId="4B6AE9ED"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lastRenderedPageBreak/>
              <w:t>[1</w:t>
            </w:r>
            <w:r w:rsidR="000713E6" w:rsidRPr="000713E6">
              <w:rPr>
                <w:rFonts w:ascii="Times New Roman" w:hAnsi="Times New Roman" w:cs="Times New Roman"/>
                <w:szCs w:val="28"/>
              </w:rPr>
              <w:t>2,16</w:t>
            </w:r>
            <w:r w:rsidRPr="007D5277">
              <w:rPr>
                <w:rFonts w:ascii="Times New Roman" w:hAnsi="Times New Roman" w:cs="Times New Roman"/>
                <w:szCs w:val="28"/>
              </w:rPr>
              <w:t>]</w:t>
            </w:r>
          </w:p>
        </w:tc>
      </w:tr>
      <w:tr w:rsidR="007D5277" w:rsidRPr="007D5277" w14:paraId="4F5987EA" w14:textId="77777777" w:rsidTr="007D5277">
        <w:tc>
          <w:tcPr>
            <w:tcW w:w="0" w:type="auto"/>
            <w:hideMark/>
          </w:tcPr>
          <w:p w14:paraId="3E3E08E5"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b/>
                <w:bCs/>
                <w:szCs w:val="28"/>
              </w:rPr>
              <w:t>Mesoporous Silica Nanoparticles (MSNs)</w:t>
            </w:r>
          </w:p>
        </w:tc>
        <w:tc>
          <w:tcPr>
            <w:tcW w:w="0" w:type="auto"/>
            <w:hideMark/>
          </w:tcPr>
          <w:p w14:paraId="6CE81C9E"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Porous silica framework with tunable pore size and surface chemistry</w:t>
            </w:r>
          </w:p>
        </w:tc>
        <w:tc>
          <w:tcPr>
            <w:tcW w:w="0" w:type="auto"/>
            <w:hideMark/>
          </w:tcPr>
          <w:p w14:paraId="1F9EDB07" w14:textId="3BD968D1"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High surface area and pore volume- Controlled drug release- Easy surface functionalization</w:t>
            </w:r>
          </w:p>
        </w:tc>
        <w:tc>
          <w:tcPr>
            <w:tcW w:w="0" w:type="auto"/>
            <w:hideMark/>
          </w:tcPr>
          <w:p w14:paraId="2C455850" w14:textId="042882F3"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 Potential silica toxicity- Biodegradability concerns- Complex synthesis</w:t>
            </w:r>
          </w:p>
        </w:tc>
        <w:tc>
          <w:tcPr>
            <w:tcW w:w="0" w:type="auto"/>
            <w:hideMark/>
          </w:tcPr>
          <w:p w14:paraId="7B59B473" w14:textId="777777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Controlled release, gene delivery, imaging</w:t>
            </w:r>
          </w:p>
        </w:tc>
        <w:tc>
          <w:tcPr>
            <w:tcW w:w="0" w:type="auto"/>
            <w:hideMark/>
          </w:tcPr>
          <w:p w14:paraId="3B6C933E" w14:textId="55E35377" w:rsidR="007D5277" w:rsidRPr="007D5277" w:rsidRDefault="007D5277" w:rsidP="007D5277">
            <w:pPr>
              <w:spacing w:after="160" w:line="278" w:lineRule="auto"/>
              <w:jc w:val="both"/>
              <w:rPr>
                <w:rFonts w:ascii="Times New Roman" w:hAnsi="Times New Roman" w:cs="Times New Roman"/>
                <w:szCs w:val="28"/>
              </w:rPr>
            </w:pPr>
            <w:r w:rsidRPr="007D5277">
              <w:rPr>
                <w:rFonts w:ascii="Times New Roman" w:hAnsi="Times New Roman" w:cs="Times New Roman"/>
                <w:szCs w:val="28"/>
              </w:rPr>
              <w:t>[12</w:t>
            </w:r>
            <w:r w:rsidR="000713E6" w:rsidRPr="000713E6">
              <w:rPr>
                <w:rFonts w:ascii="Times New Roman" w:hAnsi="Times New Roman" w:cs="Times New Roman"/>
                <w:szCs w:val="28"/>
              </w:rPr>
              <w:t>,15</w:t>
            </w:r>
            <w:r w:rsidRPr="007D5277">
              <w:rPr>
                <w:rFonts w:ascii="Times New Roman" w:hAnsi="Times New Roman" w:cs="Times New Roman"/>
                <w:szCs w:val="28"/>
              </w:rPr>
              <w:t>]</w:t>
            </w:r>
          </w:p>
        </w:tc>
      </w:tr>
    </w:tbl>
    <w:p w14:paraId="07515A51" w14:textId="77777777" w:rsidR="007D5277" w:rsidRDefault="007D5277" w:rsidP="007D5277">
      <w:pPr>
        <w:jc w:val="both"/>
        <w:rPr>
          <w:rFonts w:ascii="Times New Roman" w:hAnsi="Times New Roman" w:cs="Times New Roman"/>
          <w:szCs w:val="28"/>
        </w:rPr>
      </w:pPr>
    </w:p>
    <w:p w14:paraId="2AFAF8FA" w14:textId="4610A3A2" w:rsidR="00267071" w:rsidRPr="007D5277" w:rsidRDefault="00267071" w:rsidP="00267071">
      <w:pPr>
        <w:jc w:val="center"/>
        <w:rPr>
          <w:rFonts w:ascii="Times New Roman" w:hAnsi="Times New Roman" w:cs="Times New Roman"/>
          <w:szCs w:val="28"/>
        </w:rPr>
      </w:pPr>
      <w:r>
        <w:rPr>
          <w:rFonts w:ascii="Times New Roman" w:hAnsi="Times New Roman" w:cs="Times New Roman"/>
          <w:szCs w:val="28"/>
        </w:rPr>
        <w:t xml:space="preserve">Table No 01 - </w:t>
      </w:r>
      <w:r w:rsidRPr="00267071">
        <w:rPr>
          <w:rFonts w:ascii="Times New Roman" w:hAnsi="Times New Roman" w:cs="Times New Roman"/>
          <w:szCs w:val="28"/>
        </w:rPr>
        <w:t>Table summarizing key characteristics of nanocarriers, including their structure and composition, advantages, limitations, typical applications, and relevant references. This table provides a comparative overview of various nanocarrier systems used in drug delivery, helping to highlight their unique properties and potential for enhancing treatment outcomes.</w:t>
      </w:r>
    </w:p>
    <w:p w14:paraId="21A35508" w14:textId="77777777" w:rsidR="00DE19E8" w:rsidRPr="00DE19E8" w:rsidRDefault="00DE19E8" w:rsidP="00DE19E8">
      <w:pPr>
        <w:jc w:val="both"/>
        <w:rPr>
          <w:rFonts w:ascii="Times New Roman" w:hAnsi="Times New Roman" w:cs="Times New Roman"/>
          <w:b/>
          <w:bCs/>
          <w:szCs w:val="28"/>
        </w:rPr>
      </w:pPr>
      <w:r w:rsidRPr="00DE19E8">
        <w:rPr>
          <w:rFonts w:ascii="Times New Roman" w:hAnsi="Times New Roman" w:cs="Times New Roman"/>
          <w:b/>
          <w:bCs/>
          <w:szCs w:val="28"/>
        </w:rPr>
        <w:t>3.0 Stimuli-Responsive and Multifunctional Delivery Systems</w:t>
      </w:r>
    </w:p>
    <w:p w14:paraId="1201CA62" w14:textId="63338274"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 xml:space="preserve">Stimuli-responsive drug delivery systems represent a significant advancement in the field of novel drug delivery, designed to release therapeutic agents in response to specific internal or external triggers. These smart systems provide enhanced drug targeting, reduce systemic side effects, and improve therapeutic efficacy by enabling precise spatiotemporal control over drug release. Multifunctional delivery systems take this concept further by integrating multiple functionalities such as targeted delivery, imaging, and controlled release into a single platform. This integration facilitates </w:t>
      </w:r>
      <w:proofErr w:type="spellStart"/>
      <w:r w:rsidRPr="00DE19E8">
        <w:rPr>
          <w:rFonts w:ascii="Times New Roman" w:hAnsi="Times New Roman" w:cs="Times New Roman"/>
          <w:szCs w:val="28"/>
        </w:rPr>
        <w:t>theranostic</w:t>
      </w:r>
      <w:proofErr w:type="spellEnd"/>
      <w:r w:rsidRPr="00DE19E8">
        <w:rPr>
          <w:rFonts w:ascii="Times New Roman" w:hAnsi="Times New Roman" w:cs="Times New Roman"/>
          <w:szCs w:val="28"/>
        </w:rPr>
        <w:t xml:space="preserve"> applications and supports the development of personalized medicine, where diagnosis and treatment are combined for optimized patient outcomes [1</w:t>
      </w:r>
      <w:r w:rsidR="000713E6">
        <w:rPr>
          <w:rFonts w:ascii="Times New Roman" w:hAnsi="Times New Roman" w:cs="Times New Roman"/>
          <w:szCs w:val="28"/>
        </w:rPr>
        <w:t>1</w:t>
      </w:r>
      <w:r w:rsidRPr="00DE19E8">
        <w:rPr>
          <w:rFonts w:ascii="Times New Roman" w:hAnsi="Times New Roman" w:cs="Times New Roman"/>
          <w:szCs w:val="28"/>
        </w:rPr>
        <w:t>,2</w:t>
      </w:r>
      <w:r w:rsidR="000713E6">
        <w:rPr>
          <w:rFonts w:ascii="Times New Roman" w:hAnsi="Times New Roman" w:cs="Times New Roman"/>
          <w:szCs w:val="28"/>
        </w:rPr>
        <w:t>1</w:t>
      </w:r>
      <w:r w:rsidRPr="00DE19E8">
        <w:rPr>
          <w:rFonts w:ascii="Times New Roman" w:hAnsi="Times New Roman" w:cs="Times New Roman"/>
          <w:szCs w:val="28"/>
        </w:rPr>
        <w:t>].</w:t>
      </w:r>
    </w:p>
    <w:p w14:paraId="69BDDE1A" w14:textId="77777777" w:rsid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The stimuli that trigger drug release in these systems can be broadly categorized into internal and external types. Internal stimuli include physiological conditions such as pH variations, redox potential, enzyme presence, temperature changes, and hypoxia, which are often characteristic of diseased tissues. External stimuli, on the other hand, involve externally applied triggers such as light, magnetic fields, ultrasound, or electric fields, allowing precise control over drug release timing and location.</w:t>
      </w:r>
    </w:p>
    <w:p w14:paraId="60565B66" w14:textId="1959B1DE" w:rsidR="00635FF8" w:rsidRPr="00635FF8" w:rsidRDefault="00635FF8" w:rsidP="00635FF8">
      <w:pPr>
        <w:jc w:val="both"/>
        <w:rPr>
          <w:rFonts w:ascii="Times New Roman" w:hAnsi="Times New Roman" w:cs="Times New Roman"/>
          <w:szCs w:val="28"/>
        </w:rPr>
      </w:pPr>
      <w:r w:rsidRPr="00635FF8">
        <w:rPr>
          <w:rFonts w:ascii="Times New Roman" w:hAnsi="Times New Roman" w:cs="Times New Roman"/>
          <w:noProof/>
          <w:szCs w:val="28"/>
        </w:rPr>
        <w:lastRenderedPageBreak/>
        <w:drawing>
          <wp:inline distT="0" distB="0" distL="0" distR="0" wp14:anchorId="04EF0318" wp14:editId="0EDB8160">
            <wp:extent cx="6179820" cy="4099560"/>
            <wp:effectExtent l="0" t="0" r="0" b="0"/>
            <wp:docPr id="964559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9820" cy="4099560"/>
                    </a:xfrm>
                    <a:prstGeom prst="rect">
                      <a:avLst/>
                    </a:prstGeom>
                    <a:noFill/>
                    <a:ln>
                      <a:noFill/>
                    </a:ln>
                  </pic:spPr>
                </pic:pic>
              </a:graphicData>
            </a:graphic>
          </wp:inline>
        </w:drawing>
      </w:r>
    </w:p>
    <w:p w14:paraId="610D5BBD" w14:textId="4FF2BCE8" w:rsidR="00635FF8" w:rsidRPr="00DE19E8" w:rsidRDefault="00267071" w:rsidP="00267071">
      <w:pPr>
        <w:jc w:val="center"/>
        <w:rPr>
          <w:rFonts w:ascii="Times New Roman" w:hAnsi="Times New Roman" w:cs="Times New Roman"/>
          <w:szCs w:val="28"/>
        </w:rPr>
      </w:pPr>
      <w:r w:rsidRPr="00267071">
        <w:rPr>
          <w:rFonts w:ascii="Times New Roman" w:hAnsi="Times New Roman" w:cs="Times New Roman"/>
          <w:szCs w:val="28"/>
        </w:rPr>
        <w:t>Figure</w:t>
      </w:r>
      <w:r>
        <w:rPr>
          <w:rFonts w:ascii="Times New Roman" w:hAnsi="Times New Roman" w:cs="Times New Roman"/>
          <w:szCs w:val="28"/>
        </w:rPr>
        <w:t xml:space="preserve"> No </w:t>
      </w:r>
      <w:proofErr w:type="gramStart"/>
      <w:r>
        <w:rPr>
          <w:rFonts w:ascii="Times New Roman" w:hAnsi="Times New Roman" w:cs="Times New Roman"/>
          <w:szCs w:val="28"/>
        </w:rPr>
        <w:t xml:space="preserve">02 </w:t>
      </w:r>
      <w:r w:rsidRPr="00267071">
        <w:rPr>
          <w:rFonts w:ascii="Times New Roman" w:hAnsi="Times New Roman" w:cs="Times New Roman"/>
          <w:szCs w:val="28"/>
        </w:rPr>
        <w:t>:</w:t>
      </w:r>
      <w:proofErr w:type="gramEnd"/>
      <w:r w:rsidRPr="00267071">
        <w:rPr>
          <w:rFonts w:ascii="Times New Roman" w:hAnsi="Times New Roman" w:cs="Times New Roman"/>
          <w:szCs w:val="28"/>
        </w:rPr>
        <w:t xml:space="preserve"> illustrating stimuli-responsive and multifunctional delivery systems, showcasing how these advanced systems can release therapeutic agents in response to specific environmental triggers such as pH, temperature, or enzymes. The figure emphasizes the versatility and precision of these systems in enhancing targeted drug delivery and improving treatment efficacy.</w:t>
      </w:r>
    </w:p>
    <w:p w14:paraId="33FE76BE" w14:textId="3754FF54"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Among internal stimuli, pH-responsive systems are particularly well-studied due to the acidic microenvironment of tumors and intracellular compartments like endosomes and lysosomes. These systems utilize acid-labile linkers, pH-sensitive polymers, or membrane-disruptive materials that destabilize under acidic conditions, thereby releasing the drug selectively at the target site. This selective release minimizes damage to healthy tissues and enhances therapeutic efficacy [</w:t>
      </w:r>
      <w:r w:rsidR="000713E6">
        <w:rPr>
          <w:rFonts w:ascii="Times New Roman" w:hAnsi="Times New Roman" w:cs="Times New Roman"/>
          <w:szCs w:val="28"/>
        </w:rPr>
        <w:t>2</w:t>
      </w:r>
      <w:r w:rsidRPr="00DE19E8">
        <w:rPr>
          <w:rFonts w:ascii="Times New Roman" w:hAnsi="Times New Roman" w:cs="Times New Roman"/>
          <w:szCs w:val="28"/>
        </w:rPr>
        <w:t>3,</w:t>
      </w:r>
      <w:r w:rsidR="000713E6">
        <w:rPr>
          <w:rFonts w:ascii="Times New Roman" w:hAnsi="Times New Roman" w:cs="Times New Roman"/>
          <w:szCs w:val="28"/>
        </w:rPr>
        <w:t>2</w:t>
      </w:r>
      <w:r w:rsidRPr="00DE19E8">
        <w:rPr>
          <w:rFonts w:ascii="Times New Roman" w:hAnsi="Times New Roman" w:cs="Times New Roman"/>
          <w:szCs w:val="28"/>
        </w:rPr>
        <w:t>4]. Similarly, redox-responsive systems exploit the elevated levels of reducing agents such as glutathione found inside cells, especially cancer cells. By incorporating disulfide bonds or other redox-sensitive linkages, these carriers release their payload intracellularly, improving cytoplasmic delivery of drugs and nucleic acids [</w:t>
      </w:r>
      <w:r w:rsidR="000713E6">
        <w:rPr>
          <w:rFonts w:ascii="Times New Roman" w:hAnsi="Times New Roman" w:cs="Times New Roman"/>
          <w:szCs w:val="28"/>
        </w:rPr>
        <w:t>2</w:t>
      </w:r>
      <w:r w:rsidRPr="00DE19E8">
        <w:rPr>
          <w:rFonts w:ascii="Times New Roman" w:hAnsi="Times New Roman" w:cs="Times New Roman"/>
          <w:szCs w:val="28"/>
        </w:rPr>
        <w:t>5].</w:t>
      </w:r>
    </w:p>
    <w:p w14:paraId="441E350F" w14:textId="2C25852C"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Enzyme-responsive systems leverage the overexpression of specific enzymes, such as matrix metalloproteinases (MMPs), in pathological tissues. These systems are designed with enzyme-cleavable linkers or coatings that degrade selectively in the presence of target enzymes, enabling site-specific drug release. This approach enhances drug accumulation at diseased sites while sparing normal tissues [</w:t>
      </w:r>
      <w:r w:rsidR="000713E6">
        <w:rPr>
          <w:rFonts w:ascii="Times New Roman" w:hAnsi="Times New Roman" w:cs="Times New Roman"/>
          <w:szCs w:val="28"/>
        </w:rPr>
        <w:t>2</w:t>
      </w:r>
      <w:r w:rsidRPr="00DE19E8">
        <w:rPr>
          <w:rFonts w:ascii="Times New Roman" w:hAnsi="Times New Roman" w:cs="Times New Roman"/>
          <w:szCs w:val="28"/>
        </w:rPr>
        <w:t xml:space="preserve">6]. Temperature-responsive systems utilize thermo-sensitive polymers </w:t>
      </w:r>
      <w:r w:rsidRPr="00DE19E8">
        <w:rPr>
          <w:rFonts w:ascii="Times New Roman" w:hAnsi="Times New Roman" w:cs="Times New Roman"/>
          <w:szCs w:val="28"/>
        </w:rPr>
        <w:lastRenderedPageBreak/>
        <w:t>that undergo phase transitions at mild hyperthermic temperatures (typically 40–42°C). This property is exploited in localized therapies, such as cancer treatment and transdermal drug delivery, where controlled drug release is triggered by externally applied heat [</w:t>
      </w:r>
      <w:r w:rsidR="000713E6">
        <w:rPr>
          <w:rFonts w:ascii="Times New Roman" w:hAnsi="Times New Roman" w:cs="Times New Roman"/>
          <w:szCs w:val="28"/>
        </w:rPr>
        <w:t>2</w:t>
      </w:r>
      <w:r w:rsidRPr="00DE19E8">
        <w:rPr>
          <w:rFonts w:ascii="Times New Roman" w:hAnsi="Times New Roman" w:cs="Times New Roman"/>
          <w:szCs w:val="28"/>
        </w:rPr>
        <w:t>7].</w:t>
      </w:r>
    </w:p>
    <w:p w14:paraId="55E658B7" w14:textId="6799A014" w:rsidR="00DE19E8" w:rsidRPr="00DE19E8" w:rsidRDefault="00DE19E8" w:rsidP="00DE19E8">
      <w:pPr>
        <w:jc w:val="both"/>
        <w:rPr>
          <w:rFonts w:ascii="Times New Roman" w:hAnsi="Times New Roman" w:cs="Times New Roman"/>
          <w:szCs w:val="28"/>
        </w:rPr>
      </w:pPr>
      <w:r w:rsidRPr="00DE19E8">
        <w:rPr>
          <w:rFonts w:ascii="Times New Roman" w:hAnsi="Times New Roman" w:cs="Times New Roman"/>
          <w:szCs w:val="28"/>
        </w:rPr>
        <w:t>External stimuli-responsive systems offer additional control and precision. Light-responsive carriers use photo-cleavable bonds or photosensitizers to release drugs upon irradiation with ultraviolet, visible, or near-infrared light. This allows for non-invasive, spatially, and temporally controlled drug release [</w:t>
      </w:r>
      <w:r w:rsidR="000713E6">
        <w:rPr>
          <w:rFonts w:ascii="Times New Roman" w:hAnsi="Times New Roman" w:cs="Times New Roman"/>
          <w:szCs w:val="28"/>
        </w:rPr>
        <w:t>2</w:t>
      </w:r>
      <w:r w:rsidRPr="00DE19E8">
        <w:rPr>
          <w:rFonts w:ascii="Times New Roman" w:hAnsi="Times New Roman" w:cs="Times New Roman"/>
          <w:szCs w:val="28"/>
        </w:rPr>
        <w:t>8]. Magnetic field-responsive systems incorporate magnetic nanoparticles that generate heat or mechanical forces when exposed to alternating magnetic fields, triggering drug release or enhancing tissue penetration [</w:t>
      </w:r>
      <w:r w:rsidR="000713E6">
        <w:rPr>
          <w:rFonts w:ascii="Times New Roman" w:hAnsi="Times New Roman" w:cs="Times New Roman"/>
          <w:szCs w:val="28"/>
        </w:rPr>
        <w:t>2</w:t>
      </w:r>
      <w:r w:rsidRPr="00DE19E8">
        <w:rPr>
          <w:rFonts w:ascii="Times New Roman" w:hAnsi="Times New Roman" w:cs="Times New Roman"/>
          <w:szCs w:val="28"/>
        </w:rPr>
        <w:t>9]. Ultrasound-responsive systems utilize acoustic cavitation to disrupt nanocarriers and increase tissue permeability, facilitating drug delivery [</w:t>
      </w:r>
      <w:r w:rsidR="000713E6">
        <w:rPr>
          <w:rFonts w:ascii="Times New Roman" w:hAnsi="Times New Roman" w:cs="Times New Roman"/>
          <w:szCs w:val="28"/>
        </w:rPr>
        <w:t>3</w:t>
      </w:r>
      <w:r w:rsidRPr="00DE19E8">
        <w:rPr>
          <w:rFonts w:ascii="Times New Roman" w:hAnsi="Times New Roman" w:cs="Times New Roman"/>
          <w:szCs w:val="28"/>
        </w:rPr>
        <w:t>0].</w:t>
      </w:r>
    </w:p>
    <w:tbl>
      <w:tblPr>
        <w:tblStyle w:val="TableGrid"/>
        <w:tblW w:w="5359" w:type="pct"/>
        <w:tblLayout w:type="fixed"/>
        <w:tblLook w:val="04A0" w:firstRow="1" w:lastRow="0" w:firstColumn="1" w:lastColumn="0" w:noHBand="0" w:noVBand="1"/>
      </w:tblPr>
      <w:tblGrid>
        <w:gridCol w:w="1131"/>
        <w:gridCol w:w="2014"/>
        <w:gridCol w:w="2828"/>
        <w:gridCol w:w="1972"/>
        <w:gridCol w:w="2076"/>
      </w:tblGrid>
      <w:tr w:rsidR="007D6C76" w:rsidRPr="007D6C76" w14:paraId="4F69D343" w14:textId="77777777" w:rsidTr="007D6C76">
        <w:tc>
          <w:tcPr>
            <w:tcW w:w="564" w:type="pct"/>
            <w:noWrap/>
            <w:hideMark/>
          </w:tcPr>
          <w:p w14:paraId="43709F55"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Aspect</w:t>
            </w:r>
          </w:p>
        </w:tc>
        <w:tc>
          <w:tcPr>
            <w:tcW w:w="1005" w:type="pct"/>
            <w:noWrap/>
            <w:hideMark/>
          </w:tcPr>
          <w:p w14:paraId="529D5A04"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Description</w:t>
            </w:r>
          </w:p>
        </w:tc>
        <w:tc>
          <w:tcPr>
            <w:tcW w:w="1411" w:type="pct"/>
            <w:noWrap/>
            <w:hideMark/>
          </w:tcPr>
          <w:p w14:paraId="799338FF"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Examples/Mechanisms</w:t>
            </w:r>
          </w:p>
        </w:tc>
        <w:tc>
          <w:tcPr>
            <w:tcW w:w="984" w:type="pct"/>
            <w:noWrap/>
            <w:hideMark/>
          </w:tcPr>
          <w:p w14:paraId="1FFE7DE8"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Advantages</w:t>
            </w:r>
          </w:p>
        </w:tc>
        <w:tc>
          <w:tcPr>
            <w:tcW w:w="1036" w:type="pct"/>
            <w:noWrap/>
            <w:hideMark/>
          </w:tcPr>
          <w:p w14:paraId="0130FD16" w14:textId="77777777" w:rsidR="007D6C76" w:rsidRPr="007D6C76" w:rsidRDefault="007D6C76" w:rsidP="007D6C76">
            <w:pPr>
              <w:spacing w:after="160" w:line="278" w:lineRule="auto"/>
              <w:jc w:val="both"/>
              <w:rPr>
                <w:rFonts w:ascii="Times New Roman" w:hAnsi="Times New Roman" w:cs="Times New Roman"/>
                <w:b/>
                <w:bCs/>
                <w:szCs w:val="28"/>
              </w:rPr>
            </w:pPr>
            <w:r w:rsidRPr="007D6C76">
              <w:rPr>
                <w:rFonts w:ascii="Times New Roman" w:hAnsi="Times New Roman" w:cs="Times New Roman"/>
                <w:b/>
                <w:bCs/>
                <w:szCs w:val="28"/>
              </w:rPr>
              <w:t>Challenges</w:t>
            </w:r>
          </w:p>
        </w:tc>
      </w:tr>
      <w:tr w:rsidR="007D6C76" w:rsidRPr="007D6C76" w14:paraId="469487B6" w14:textId="77777777" w:rsidTr="007D6C76">
        <w:tc>
          <w:tcPr>
            <w:tcW w:w="564" w:type="pct"/>
            <w:hideMark/>
          </w:tcPr>
          <w:p w14:paraId="29DA99D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Stimuli Types</w:t>
            </w:r>
          </w:p>
        </w:tc>
        <w:tc>
          <w:tcPr>
            <w:tcW w:w="1005" w:type="pct"/>
            <w:hideMark/>
          </w:tcPr>
          <w:p w14:paraId="424DA78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Systems respond to internal or external triggers to release drugs</w:t>
            </w:r>
          </w:p>
        </w:tc>
        <w:tc>
          <w:tcPr>
            <w:tcW w:w="1411" w:type="pct"/>
            <w:hideMark/>
          </w:tcPr>
          <w:p w14:paraId="381FA8C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Internal: pH, redox potential, enzymes, temperature, hypoxia&lt;</w:t>
            </w:r>
            <w:proofErr w:type="spellStart"/>
            <w:r w:rsidRPr="007D6C76">
              <w:rPr>
                <w:rFonts w:ascii="Times New Roman" w:hAnsi="Times New Roman" w:cs="Times New Roman"/>
                <w:szCs w:val="28"/>
              </w:rPr>
              <w:t>br</w:t>
            </w:r>
            <w:proofErr w:type="spellEnd"/>
            <w:r w:rsidRPr="007D6C76">
              <w:rPr>
                <w:rFonts w:ascii="Times New Roman" w:hAnsi="Times New Roman" w:cs="Times New Roman"/>
                <w:szCs w:val="28"/>
              </w:rPr>
              <w:t>&gt;External: light, magnetic field, ultrasound, electric field</w:t>
            </w:r>
          </w:p>
        </w:tc>
        <w:tc>
          <w:tcPr>
            <w:tcW w:w="984" w:type="pct"/>
            <w:hideMark/>
          </w:tcPr>
          <w:p w14:paraId="319A948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Precise spatiotemporal control of drug release</w:t>
            </w:r>
          </w:p>
        </w:tc>
        <w:tc>
          <w:tcPr>
            <w:tcW w:w="1036" w:type="pct"/>
            <w:hideMark/>
          </w:tcPr>
          <w:p w14:paraId="1240449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Complexity in design and manufacturing</w:t>
            </w:r>
          </w:p>
        </w:tc>
      </w:tr>
      <w:tr w:rsidR="007D6C76" w:rsidRPr="007D6C76" w14:paraId="3D01EF46" w14:textId="77777777" w:rsidTr="007D6C76">
        <w:tc>
          <w:tcPr>
            <w:tcW w:w="564" w:type="pct"/>
            <w:hideMark/>
          </w:tcPr>
          <w:p w14:paraId="4B271AB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pH-Responsive Systems</w:t>
            </w:r>
          </w:p>
        </w:tc>
        <w:tc>
          <w:tcPr>
            <w:tcW w:w="1005" w:type="pct"/>
            <w:hideMark/>
          </w:tcPr>
          <w:p w14:paraId="363806B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Exploit acidic tumor or intracellular environments to trigger drug release</w:t>
            </w:r>
          </w:p>
        </w:tc>
        <w:tc>
          <w:tcPr>
            <w:tcW w:w="1411" w:type="pct"/>
            <w:hideMark/>
          </w:tcPr>
          <w:p w14:paraId="1E6765F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Acid-labile linkers, pH-sensitive polymers, membrane-disruptive materials</w:t>
            </w:r>
          </w:p>
        </w:tc>
        <w:tc>
          <w:tcPr>
            <w:tcW w:w="984" w:type="pct"/>
            <w:hideMark/>
          </w:tcPr>
          <w:p w14:paraId="7FBF7E6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Targeted release in acidic microenvironments, reduced off-target effects</w:t>
            </w:r>
          </w:p>
        </w:tc>
        <w:tc>
          <w:tcPr>
            <w:tcW w:w="1036" w:type="pct"/>
            <w:hideMark/>
          </w:tcPr>
          <w:p w14:paraId="706064A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Stability of pH-sensitive materials, variability in pH across tissues</w:t>
            </w:r>
          </w:p>
        </w:tc>
      </w:tr>
      <w:tr w:rsidR="007D6C76" w:rsidRPr="007D6C76" w14:paraId="54BE7D21" w14:textId="77777777" w:rsidTr="007D6C76">
        <w:tc>
          <w:tcPr>
            <w:tcW w:w="564" w:type="pct"/>
            <w:hideMark/>
          </w:tcPr>
          <w:p w14:paraId="0E452879"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Redox-Responsive Systems</w:t>
            </w:r>
          </w:p>
        </w:tc>
        <w:tc>
          <w:tcPr>
            <w:tcW w:w="1005" w:type="pct"/>
            <w:hideMark/>
          </w:tcPr>
          <w:p w14:paraId="0E2E6DD8"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Utilize high intracellular glutathione levels to cleave redox-sensitive bonds</w:t>
            </w:r>
          </w:p>
        </w:tc>
        <w:tc>
          <w:tcPr>
            <w:tcW w:w="1411" w:type="pct"/>
            <w:hideMark/>
          </w:tcPr>
          <w:p w14:paraId="2638C0AD"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Disulfide bonds cleaved by glutathione</w:t>
            </w:r>
          </w:p>
        </w:tc>
        <w:tc>
          <w:tcPr>
            <w:tcW w:w="984" w:type="pct"/>
            <w:hideMark/>
          </w:tcPr>
          <w:p w14:paraId="6A44721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Enhanced intracellular drug release, improved efficacy</w:t>
            </w:r>
          </w:p>
        </w:tc>
        <w:tc>
          <w:tcPr>
            <w:tcW w:w="1036" w:type="pct"/>
            <w:hideMark/>
          </w:tcPr>
          <w:p w14:paraId="5ED9632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Potential premature release, ensuring selective cleavage</w:t>
            </w:r>
          </w:p>
        </w:tc>
      </w:tr>
      <w:tr w:rsidR="007D6C76" w:rsidRPr="007D6C76" w14:paraId="0C2D1EB6" w14:textId="77777777" w:rsidTr="007D6C76">
        <w:tc>
          <w:tcPr>
            <w:tcW w:w="564" w:type="pct"/>
            <w:hideMark/>
          </w:tcPr>
          <w:p w14:paraId="2AD3354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Enzyme-Responsive Systems</w:t>
            </w:r>
          </w:p>
        </w:tc>
        <w:tc>
          <w:tcPr>
            <w:tcW w:w="1005" w:type="pct"/>
            <w:hideMark/>
          </w:tcPr>
          <w:p w14:paraId="03AFB9E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Trigger drug release via enzymatic degradation in diseased tissues</w:t>
            </w:r>
          </w:p>
        </w:tc>
        <w:tc>
          <w:tcPr>
            <w:tcW w:w="1411" w:type="pct"/>
            <w:hideMark/>
          </w:tcPr>
          <w:p w14:paraId="077C06AD"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Enzyme-cleavable linkers or coatings (e.g., MMP-sensitive)</w:t>
            </w:r>
          </w:p>
        </w:tc>
        <w:tc>
          <w:tcPr>
            <w:tcW w:w="984" w:type="pct"/>
            <w:hideMark/>
          </w:tcPr>
          <w:p w14:paraId="3C18C4F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Site-specific release, reduced systemic toxicity</w:t>
            </w:r>
          </w:p>
        </w:tc>
        <w:tc>
          <w:tcPr>
            <w:tcW w:w="1036" w:type="pct"/>
            <w:hideMark/>
          </w:tcPr>
          <w:p w14:paraId="1D48C7F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Variability in enzyme expression, off-target enzyme activity</w:t>
            </w:r>
          </w:p>
        </w:tc>
      </w:tr>
      <w:tr w:rsidR="007D6C76" w:rsidRPr="007D6C76" w14:paraId="0A3959F9" w14:textId="77777777" w:rsidTr="007D6C76">
        <w:tc>
          <w:tcPr>
            <w:tcW w:w="564" w:type="pct"/>
            <w:hideMark/>
          </w:tcPr>
          <w:p w14:paraId="39FFF1E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lastRenderedPageBreak/>
              <w:t>Temperature-Responsive Systems</w:t>
            </w:r>
          </w:p>
        </w:tc>
        <w:tc>
          <w:tcPr>
            <w:tcW w:w="1005" w:type="pct"/>
            <w:hideMark/>
          </w:tcPr>
          <w:p w14:paraId="2AEEFC5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thermo-sensitive polymers that change properties at mild hyperthermia</w:t>
            </w:r>
          </w:p>
        </w:tc>
        <w:tc>
          <w:tcPr>
            <w:tcW w:w="1411" w:type="pct"/>
            <w:hideMark/>
          </w:tcPr>
          <w:p w14:paraId="2D53408A"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Polymers with phase transition at 40–42°C</w:t>
            </w:r>
          </w:p>
        </w:tc>
        <w:tc>
          <w:tcPr>
            <w:tcW w:w="984" w:type="pct"/>
            <w:hideMark/>
          </w:tcPr>
          <w:p w14:paraId="6DDFCB0B"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Controlled release triggered by localized heating</w:t>
            </w:r>
          </w:p>
        </w:tc>
        <w:tc>
          <w:tcPr>
            <w:tcW w:w="1036" w:type="pct"/>
            <w:hideMark/>
          </w:tcPr>
          <w:p w14:paraId="3D7D47D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Precise temperature control needed, potential tissue damage</w:t>
            </w:r>
          </w:p>
        </w:tc>
      </w:tr>
      <w:tr w:rsidR="007D6C76" w:rsidRPr="007D6C76" w14:paraId="67082DE3" w14:textId="77777777" w:rsidTr="007D6C76">
        <w:tc>
          <w:tcPr>
            <w:tcW w:w="564" w:type="pct"/>
            <w:hideMark/>
          </w:tcPr>
          <w:p w14:paraId="553D63A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Light-Responsive Systems</w:t>
            </w:r>
          </w:p>
        </w:tc>
        <w:tc>
          <w:tcPr>
            <w:tcW w:w="1005" w:type="pct"/>
            <w:hideMark/>
          </w:tcPr>
          <w:p w14:paraId="2F24A80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Drug release triggered by light irradiation</w:t>
            </w:r>
          </w:p>
        </w:tc>
        <w:tc>
          <w:tcPr>
            <w:tcW w:w="1411" w:type="pct"/>
            <w:hideMark/>
          </w:tcPr>
          <w:p w14:paraId="2C4DF9E4"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Photo-cleavable bonds, photosensitizers</w:t>
            </w:r>
          </w:p>
        </w:tc>
        <w:tc>
          <w:tcPr>
            <w:tcW w:w="984" w:type="pct"/>
            <w:hideMark/>
          </w:tcPr>
          <w:p w14:paraId="46787D4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Non-invasive, precise spatial and temporal control</w:t>
            </w:r>
          </w:p>
        </w:tc>
        <w:tc>
          <w:tcPr>
            <w:tcW w:w="1036" w:type="pct"/>
            <w:hideMark/>
          </w:tcPr>
          <w:p w14:paraId="176A609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Limited tissue penetration of light, potential phototoxicity</w:t>
            </w:r>
          </w:p>
        </w:tc>
      </w:tr>
      <w:tr w:rsidR="007D6C76" w:rsidRPr="007D6C76" w14:paraId="55E27B31" w14:textId="77777777" w:rsidTr="007D6C76">
        <w:tc>
          <w:tcPr>
            <w:tcW w:w="564" w:type="pct"/>
            <w:hideMark/>
          </w:tcPr>
          <w:p w14:paraId="3FD53DA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Magnetic Field-Responsive Systems</w:t>
            </w:r>
          </w:p>
        </w:tc>
        <w:tc>
          <w:tcPr>
            <w:tcW w:w="1005" w:type="pct"/>
            <w:hideMark/>
          </w:tcPr>
          <w:p w14:paraId="72ABD20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magnetic nanoparticles to generate heat or mechanical forces under alternating magnetic fields</w:t>
            </w:r>
          </w:p>
        </w:tc>
        <w:tc>
          <w:tcPr>
            <w:tcW w:w="1411" w:type="pct"/>
            <w:hideMark/>
          </w:tcPr>
          <w:p w14:paraId="44A4B7D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Magnetic hyperthermia, magnetically triggered release</w:t>
            </w:r>
          </w:p>
        </w:tc>
        <w:tc>
          <w:tcPr>
            <w:tcW w:w="984" w:type="pct"/>
            <w:hideMark/>
          </w:tcPr>
          <w:p w14:paraId="7E2CE18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Remote activation, enhanced tissue penetration</w:t>
            </w:r>
          </w:p>
        </w:tc>
        <w:tc>
          <w:tcPr>
            <w:tcW w:w="1036" w:type="pct"/>
            <w:hideMark/>
          </w:tcPr>
          <w:p w14:paraId="1AD4197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Safety concerns, heating control</w:t>
            </w:r>
          </w:p>
        </w:tc>
      </w:tr>
      <w:tr w:rsidR="007D6C76" w:rsidRPr="007D6C76" w14:paraId="40EE97B3" w14:textId="77777777" w:rsidTr="007D6C76">
        <w:tc>
          <w:tcPr>
            <w:tcW w:w="564" w:type="pct"/>
            <w:hideMark/>
          </w:tcPr>
          <w:p w14:paraId="6C9CFC23"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Ultrasound-Responsive Systems</w:t>
            </w:r>
          </w:p>
        </w:tc>
        <w:tc>
          <w:tcPr>
            <w:tcW w:w="1005" w:type="pct"/>
            <w:hideMark/>
          </w:tcPr>
          <w:p w14:paraId="5D81B5C9"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Use acoustic cavitation to disrupt carriers and enhance permeability</w:t>
            </w:r>
          </w:p>
        </w:tc>
        <w:tc>
          <w:tcPr>
            <w:tcW w:w="1411" w:type="pct"/>
            <w:hideMark/>
          </w:tcPr>
          <w:p w14:paraId="5427CF96"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Ultrasound-triggered carrier disruption</w:t>
            </w:r>
          </w:p>
        </w:tc>
        <w:tc>
          <w:tcPr>
            <w:tcW w:w="984" w:type="pct"/>
            <w:hideMark/>
          </w:tcPr>
          <w:p w14:paraId="16539918"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Non-invasive, enhanced drug penetration</w:t>
            </w:r>
          </w:p>
        </w:tc>
        <w:tc>
          <w:tcPr>
            <w:tcW w:w="1036" w:type="pct"/>
            <w:hideMark/>
          </w:tcPr>
          <w:p w14:paraId="2024DAE7"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Control over ultrasound parameters, potential tissue damage</w:t>
            </w:r>
          </w:p>
        </w:tc>
      </w:tr>
      <w:tr w:rsidR="007D6C76" w:rsidRPr="007D6C76" w14:paraId="585616B5" w14:textId="77777777" w:rsidTr="007D6C76">
        <w:tc>
          <w:tcPr>
            <w:tcW w:w="564" w:type="pct"/>
            <w:hideMark/>
          </w:tcPr>
          <w:p w14:paraId="1C3E8852"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Multifunctional Systems</w:t>
            </w:r>
          </w:p>
        </w:tc>
        <w:tc>
          <w:tcPr>
            <w:tcW w:w="1005" w:type="pct"/>
            <w:hideMark/>
          </w:tcPr>
          <w:p w14:paraId="2600608C"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Combine stimuli-responsiveness with targeting, imaging, and combination therapy</w:t>
            </w:r>
          </w:p>
        </w:tc>
        <w:tc>
          <w:tcPr>
            <w:tcW w:w="1411" w:type="pct"/>
            <w:hideMark/>
          </w:tcPr>
          <w:p w14:paraId="77849B85"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Ligand targeting (antibodies, peptides), imaging agents (MRI, fluorescence), co-delivery of drugs</w:t>
            </w:r>
          </w:p>
        </w:tc>
        <w:tc>
          <w:tcPr>
            <w:tcW w:w="984" w:type="pct"/>
            <w:hideMark/>
          </w:tcPr>
          <w:p w14:paraId="354F3427" w14:textId="77777777" w:rsidR="007D6C76" w:rsidRPr="007D6C76" w:rsidRDefault="007D6C76" w:rsidP="007D6C76">
            <w:pPr>
              <w:spacing w:after="160" w:line="278" w:lineRule="auto"/>
              <w:jc w:val="both"/>
              <w:rPr>
                <w:rFonts w:ascii="Times New Roman" w:hAnsi="Times New Roman" w:cs="Times New Roman"/>
                <w:szCs w:val="28"/>
              </w:rPr>
            </w:pPr>
            <w:proofErr w:type="spellStart"/>
            <w:r w:rsidRPr="007D6C76">
              <w:rPr>
                <w:rFonts w:ascii="Times New Roman" w:hAnsi="Times New Roman" w:cs="Times New Roman"/>
                <w:szCs w:val="28"/>
              </w:rPr>
              <w:t>Theranostics</w:t>
            </w:r>
            <w:proofErr w:type="spellEnd"/>
            <w:r w:rsidRPr="007D6C76">
              <w:rPr>
                <w:rFonts w:ascii="Times New Roman" w:hAnsi="Times New Roman" w:cs="Times New Roman"/>
                <w:szCs w:val="28"/>
              </w:rPr>
              <w:t>, personalized medicine, synergistic therapies</w:t>
            </w:r>
          </w:p>
        </w:tc>
        <w:tc>
          <w:tcPr>
            <w:tcW w:w="1036" w:type="pct"/>
            <w:hideMark/>
          </w:tcPr>
          <w:p w14:paraId="3A90994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Complex design, regulatory challenges</w:t>
            </w:r>
          </w:p>
        </w:tc>
      </w:tr>
      <w:tr w:rsidR="007D6C76" w:rsidRPr="007D6C76" w14:paraId="7FC8D22F" w14:textId="77777777" w:rsidTr="007D6C76">
        <w:tc>
          <w:tcPr>
            <w:tcW w:w="564" w:type="pct"/>
            <w:hideMark/>
          </w:tcPr>
          <w:p w14:paraId="79B201A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b/>
                <w:bCs/>
                <w:szCs w:val="28"/>
              </w:rPr>
              <w:t>Clinical Translation Challenges</w:t>
            </w:r>
          </w:p>
        </w:tc>
        <w:tc>
          <w:tcPr>
            <w:tcW w:w="1005" w:type="pct"/>
            <w:hideMark/>
          </w:tcPr>
          <w:p w14:paraId="3CF58290"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Barriers to clinical use</w:t>
            </w:r>
          </w:p>
        </w:tc>
        <w:tc>
          <w:tcPr>
            <w:tcW w:w="1411" w:type="pct"/>
            <w:hideMark/>
          </w:tcPr>
          <w:p w14:paraId="319E9891"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Manufacturing complexity, immunogenicity, toxicity, regulatory hurdles</w:t>
            </w:r>
          </w:p>
        </w:tc>
        <w:tc>
          <w:tcPr>
            <w:tcW w:w="984" w:type="pct"/>
            <w:hideMark/>
          </w:tcPr>
          <w:p w14:paraId="2C4FCCB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w:t>
            </w:r>
          </w:p>
        </w:tc>
        <w:tc>
          <w:tcPr>
            <w:tcW w:w="1036" w:type="pct"/>
            <w:hideMark/>
          </w:tcPr>
          <w:p w14:paraId="0C6E553E" w14:textId="77777777" w:rsidR="007D6C76" w:rsidRPr="007D6C76" w:rsidRDefault="007D6C76" w:rsidP="007D6C76">
            <w:pPr>
              <w:spacing w:after="160" w:line="278" w:lineRule="auto"/>
              <w:jc w:val="both"/>
              <w:rPr>
                <w:rFonts w:ascii="Times New Roman" w:hAnsi="Times New Roman" w:cs="Times New Roman"/>
                <w:szCs w:val="28"/>
              </w:rPr>
            </w:pPr>
            <w:r w:rsidRPr="007D6C76">
              <w:rPr>
                <w:rFonts w:ascii="Times New Roman" w:hAnsi="Times New Roman" w:cs="Times New Roman"/>
                <w:szCs w:val="28"/>
              </w:rPr>
              <w:t>Scalability, reproducibility, safety evaluation, unclear regulatory pathways</w:t>
            </w:r>
          </w:p>
        </w:tc>
      </w:tr>
    </w:tbl>
    <w:p w14:paraId="24B16271" w14:textId="3B833CF6" w:rsidR="00267071" w:rsidRDefault="00267071" w:rsidP="00267071">
      <w:pPr>
        <w:jc w:val="center"/>
        <w:rPr>
          <w:rFonts w:ascii="Times New Roman" w:hAnsi="Times New Roman" w:cs="Times New Roman"/>
          <w:szCs w:val="28"/>
        </w:rPr>
      </w:pPr>
      <w:r>
        <w:rPr>
          <w:rFonts w:ascii="Times New Roman" w:hAnsi="Times New Roman" w:cs="Times New Roman"/>
          <w:szCs w:val="28"/>
        </w:rPr>
        <w:t>Table No 02 -</w:t>
      </w:r>
      <w:r w:rsidRPr="00267071">
        <w:rPr>
          <w:rFonts w:ascii="Times New Roman" w:hAnsi="Times New Roman" w:cs="Times New Roman"/>
          <w:szCs w:val="28"/>
        </w:rPr>
        <w:t>Overview of key aspects of stimuli-responsive and multifunctional drug delivery systems, outlining their descriptions, representative examples or mechanisms, associated advantages, and major challenges. This table highlights how different design aspects contribute to targeted, controlled, and efficient therapeutic delivery while addressing existing limitations.</w:t>
      </w:r>
    </w:p>
    <w:p w14:paraId="3312B98E" w14:textId="77777777" w:rsidR="00267071" w:rsidRPr="007D5277" w:rsidRDefault="00267071" w:rsidP="00267071">
      <w:pPr>
        <w:jc w:val="center"/>
        <w:rPr>
          <w:rFonts w:ascii="Times New Roman" w:hAnsi="Times New Roman" w:cs="Times New Roman"/>
          <w:szCs w:val="28"/>
        </w:rPr>
      </w:pPr>
    </w:p>
    <w:p w14:paraId="13C5CDEF" w14:textId="15475E79"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lastRenderedPageBreak/>
        <w:t xml:space="preserve">04. </w:t>
      </w:r>
      <w:r w:rsidR="007D6C76" w:rsidRPr="007D6C76">
        <w:rPr>
          <w:rFonts w:ascii="Times New Roman" w:hAnsi="Times New Roman" w:cs="Times New Roman"/>
          <w:b/>
          <w:bCs/>
          <w:szCs w:val="28"/>
        </w:rPr>
        <w:t>Advances in Formulation Techniques and Materials</w:t>
      </w:r>
    </w:p>
    <w:p w14:paraId="2679F822"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continuous evolution of novel drug delivery systems (NDDS) is closely linked to significant advances in formulation techniques and the development of innovative materials. These advances have enabled the design of more efficient, stable, and targeted delivery platforms capable of overcoming biological barriers and improving therapeutic outcomes.</w:t>
      </w:r>
    </w:p>
    <w:p w14:paraId="3030ED92" w14:textId="7056897B"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One of the key formulation advancements is the refinement of nanoprecipitation and solvent evaporation methods, which allow for the controlled synthesis of nanoparticles with uniform size distribution and high drug loading efficiency. These techniques have been optimized to reduce the use of toxic organic solvents and improve scalability, making them more suitable for industrial production [</w:t>
      </w:r>
      <w:r w:rsidR="000713E6">
        <w:rPr>
          <w:rFonts w:ascii="Times New Roman" w:hAnsi="Times New Roman" w:cs="Times New Roman"/>
          <w:szCs w:val="28"/>
        </w:rPr>
        <w:t>3</w:t>
      </w:r>
      <w:r w:rsidRPr="007D6C76">
        <w:rPr>
          <w:rFonts w:ascii="Times New Roman" w:hAnsi="Times New Roman" w:cs="Times New Roman"/>
          <w:szCs w:val="28"/>
        </w:rPr>
        <w:t>1]. Additionally, microfluidics-based approaches have emerged as powerful tools for the precise and reproducible fabrication of nanocarriers. Microfluidic systems enable fine control over mixing, particle size, and morphology, facilitating the production of complex multifunctional nanoparticles with enhanced batch-to-batch consistency [</w:t>
      </w:r>
      <w:r w:rsidR="000713E6">
        <w:rPr>
          <w:rFonts w:ascii="Times New Roman" w:hAnsi="Times New Roman" w:cs="Times New Roman"/>
          <w:szCs w:val="28"/>
        </w:rPr>
        <w:t>2</w:t>
      </w:r>
      <w:r w:rsidRPr="007D6C76">
        <w:rPr>
          <w:rFonts w:ascii="Times New Roman" w:hAnsi="Times New Roman" w:cs="Times New Roman"/>
          <w:szCs w:val="28"/>
        </w:rPr>
        <w:t>2].</w:t>
      </w:r>
    </w:p>
    <w:p w14:paraId="6016BCE0" w14:textId="42E5316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development of self-assembling materials has also revolutionized NDDS formulation. Amphiphilic block copolymers, lipids, and peptides can spontaneously organize into well-defined nanostructures such as micelles, liposomes, and cubosomes under appropriate conditions. This self-assembly process allows for the encapsulation of diverse therapeutic agents and the incorporation of stimuli-responsive elements, enhancing the functionality of delivery systems [</w:t>
      </w:r>
      <w:r w:rsidR="000713E6">
        <w:rPr>
          <w:rFonts w:ascii="Times New Roman" w:hAnsi="Times New Roman" w:cs="Times New Roman"/>
          <w:szCs w:val="28"/>
        </w:rPr>
        <w:t>2</w:t>
      </w:r>
      <w:r w:rsidRPr="007D6C76">
        <w:rPr>
          <w:rFonts w:ascii="Times New Roman" w:hAnsi="Times New Roman" w:cs="Times New Roman"/>
          <w:szCs w:val="28"/>
        </w:rPr>
        <w:t>3].</w:t>
      </w:r>
    </w:p>
    <w:p w14:paraId="6358B81D" w14:textId="0D00144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In terms of materials, biodegradable polymers such as </w:t>
      </w:r>
      <w:proofErr w:type="gramStart"/>
      <w:r w:rsidRPr="007D6C76">
        <w:rPr>
          <w:rFonts w:ascii="Times New Roman" w:hAnsi="Times New Roman" w:cs="Times New Roman"/>
          <w:szCs w:val="28"/>
        </w:rPr>
        <w:t>poly(</w:t>
      </w:r>
      <w:proofErr w:type="gramEnd"/>
      <w:r w:rsidRPr="007D6C76">
        <w:rPr>
          <w:rFonts w:ascii="Times New Roman" w:hAnsi="Times New Roman" w:cs="Times New Roman"/>
          <w:szCs w:val="28"/>
        </w:rPr>
        <w:t>lactic-co-glycolic acid) (PLGA), polycaprolactone (PCL), and polyethylene glycol (PEG) have become staples in NDDS due to their biocompatibility, tunable degradation rates, and ability to protect drugs from premature degradation. Recent innovations include the synthesis of stimuli-responsive polymers that undergo conformational changes or degradation in response to environmental triggers like pH, temperature, or redox conditions, enabling controlled and site-specific drug release [</w:t>
      </w:r>
      <w:r w:rsidR="000713E6">
        <w:rPr>
          <w:rFonts w:ascii="Times New Roman" w:hAnsi="Times New Roman" w:cs="Times New Roman"/>
          <w:szCs w:val="28"/>
        </w:rPr>
        <w:t>32</w:t>
      </w:r>
      <w:r w:rsidRPr="007D6C76">
        <w:rPr>
          <w:rFonts w:ascii="Times New Roman" w:hAnsi="Times New Roman" w:cs="Times New Roman"/>
          <w:szCs w:val="28"/>
        </w:rPr>
        <w:t>].</w:t>
      </w:r>
    </w:p>
    <w:p w14:paraId="5D9C0919" w14:textId="02BE26B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Lipid-based materials have also seen significant improvements. The introduction of nanostructured lipid carriers (NLCs), which combine solid and liquid lipids, has addressed limitations of solid lipid nanoparticles by enhancing drug loading capacity and preventing drug expulsion during storage. Moreover, surface modification techniques such as PEGylation and ligand conjugation have been widely adopted to improve circulation time, reduce immunogenicity, and enable active targeting of nanocarriers [</w:t>
      </w:r>
      <w:r w:rsidR="000713E6">
        <w:rPr>
          <w:rFonts w:ascii="Times New Roman" w:hAnsi="Times New Roman" w:cs="Times New Roman"/>
          <w:szCs w:val="28"/>
        </w:rPr>
        <w:t>33</w:t>
      </w:r>
      <w:r w:rsidRPr="007D6C76">
        <w:rPr>
          <w:rFonts w:ascii="Times New Roman" w:hAnsi="Times New Roman" w:cs="Times New Roman"/>
          <w:szCs w:val="28"/>
        </w:rPr>
        <w:t>].</w:t>
      </w:r>
    </w:p>
    <w:p w14:paraId="4615F8BF" w14:textId="617DC4F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Emerging materials such as inorganic nanoparticles (e.g., gold, silica, iron oxide) and hybrid organic-inorganic systems offer unique optical, magnetic, and structural properties that can be harnessed for combined therapeutic and diagnostic (</w:t>
      </w:r>
      <w:proofErr w:type="spellStart"/>
      <w:r w:rsidRPr="007D6C76">
        <w:rPr>
          <w:rFonts w:ascii="Times New Roman" w:hAnsi="Times New Roman" w:cs="Times New Roman"/>
          <w:szCs w:val="28"/>
        </w:rPr>
        <w:t>theranostic</w:t>
      </w:r>
      <w:proofErr w:type="spellEnd"/>
      <w:r w:rsidRPr="007D6C76">
        <w:rPr>
          <w:rFonts w:ascii="Times New Roman" w:hAnsi="Times New Roman" w:cs="Times New Roman"/>
          <w:szCs w:val="28"/>
        </w:rPr>
        <w:t>) applications. These materials facilitate multimodal imaging and targeted therapy, expanding the scope of NDDS beyond conventional drug delivery [</w:t>
      </w:r>
      <w:r w:rsidR="000713E6">
        <w:rPr>
          <w:rFonts w:ascii="Times New Roman" w:hAnsi="Times New Roman" w:cs="Times New Roman"/>
          <w:szCs w:val="28"/>
        </w:rPr>
        <w:t>34</w:t>
      </w:r>
      <w:r w:rsidRPr="007D6C76">
        <w:rPr>
          <w:rFonts w:ascii="Times New Roman" w:hAnsi="Times New Roman" w:cs="Times New Roman"/>
          <w:szCs w:val="28"/>
        </w:rPr>
        <w:t>].</w:t>
      </w:r>
    </w:p>
    <w:p w14:paraId="53F48A1B" w14:textId="4D603B31"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Furthermore, advances in 3D printing and additive manufacturing technologies have opened new avenues for personalized drug delivery. These techniques allow for the fabrication of complex </w:t>
      </w:r>
      <w:r w:rsidRPr="007D6C76">
        <w:rPr>
          <w:rFonts w:ascii="Times New Roman" w:hAnsi="Times New Roman" w:cs="Times New Roman"/>
          <w:szCs w:val="28"/>
        </w:rPr>
        <w:lastRenderedPageBreak/>
        <w:t>dosage forms with precise control over drug distribution, release kinetics, and geometry, enabling patient-specific therapies tailored to individual needs [</w:t>
      </w:r>
      <w:r w:rsidR="000713E6">
        <w:rPr>
          <w:rFonts w:ascii="Times New Roman" w:hAnsi="Times New Roman" w:cs="Times New Roman"/>
          <w:szCs w:val="28"/>
        </w:rPr>
        <w:t>33,35</w:t>
      </w:r>
      <w:r w:rsidRPr="007D6C76">
        <w:rPr>
          <w:rFonts w:ascii="Times New Roman" w:hAnsi="Times New Roman" w:cs="Times New Roman"/>
          <w:szCs w:val="28"/>
        </w:rPr>
        <w:t>].</w:t>
      </w:r>
    </w:p>
    <w:p w14:paraId="67631C07"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Despite these advances, challenges remain in translating novel formulation techniques and materials into clinically viable products. Issues such as reproducibility, scalability, regulatory compliance, and long-term safety must be addressed through interdisciplinary collaboration and rigorous evaluation.</w:t>
      </w:r>
    </w:p>
    <w:p w14:paraId="3C1DA205" w14:textId="145B7FED"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05 </w:t>
      </w:r>
      <w:r w:rsidR="007D6C76" w:rsidRPr="007D6C76">
        <w:rPr>
          <w:rFonts w:ascii="Times New Roman" w:hAnsi="Times New Roman" w:cs="Times New Roman"/>
          <w:b/>
          <w:bCs/>
          <w:szCs w:val="28"/>
        </w:rPr>
        <w:t>Integration with Personalized Medicine and AI-Driven Design</w:t>
      </w:r>
    </w:p>
    <w:p w14:paraId="57DD73CE" w14:textId="72AE078C"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integration of novel drug delivery systems (NDDS) with personalized medicine represents a transformative approach in healthcare, aiming to tailor therapeutic interventions to individual patient characteristics such as genetics, disease phenotype, and lifestyle. Personalized medicine seeks to optimize drug efficacy and minimize adverse effects by considering patient-specific variability in drug metabolism, target expression, and disease progression. NDDS play a crucial role in this paradigm by enabling precise control over drug release, targeted delivery, and adaptable dosing regimens that can be customized to the needs of individual patients [</w:t>
      </w:r>
      <w:r w:rsidR="000713E6">
        <w:rPr>
          <w:rFonts w:ascii="Times New Roman" w:hAnsi="Times New Roman" w:cs="Times New Roman"/>
          <w:szCs w:val="28"/>
        </w:rPr>
        <w:t>35</w:t>
      </w:r>
      <w:r w:rsidRPr="007D6C76">
        <w:rPr>
          <w:rFonts w:ascii="Times New Roman" w:hAnsi="Times New Roman" w:cs="Times New Roman"/>
          <w:szCs w:val="28"/>
        </w:rPr>
        <w:t>].</w:t>
      </w:r>
    </w:p>
    <w:p w14:paraId="65B08571" w14:textId="70CD3686"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Recent advances in genomics, proteomics, and biomarker discovery have provided a wealth of data that can inform the design of personalized NDDS. For example, nanocarriers can be functionalized with ligands that target specific receptors overexpressed in a patient’s tumor or diseased tissue, enhancing selective drug accumulation and therapeutic outcomes. Additionally, stimuli-responsive systems can be engineered to respond to unique microenvironmental cues present in a patient’s pathology, such as pH or enzyme levels, further refining drug release profiles [</w:t>
      </w:r>
      <w:r w:rsidR="000713E6">
        <w:rPr>
          <w:rFonts w:ascii="Times New Roman" w:hAnsi="Times New Roman" w:cs="Times New Roman"/>
          <w:szCs w:val="28"/>
        </w:rPr>
        <w:t>35</w:t>
      </w:r>
      <w:r w:rsidRPr="007D6C76">
        <w:rPr>
          <w:rFonts w:ascii="Times New Roman" w:hAnsi="Times New Roman" w:cs="Times New Roman"/>
          <w:szCs w:val="28"/>
        </w:rPr>
        <w:t>].</w:t>
      </w:r>
    </w:p>
    <w:p w14:paraId="3FFC3790" w14:textId="2C2EA9F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Artificial intelligence (AI) and machine learning (ML) technologies have emerged as powerful tools to accelerate and optimize the design of NDDS within the personalized medicine framework. AI algorithms can analyze large datasets from clinical trials, patient records, and molecular profiling to identify patterns and predict drug responses. This capability enables the rational design of nanocarriers with optimized physicochemical properties, drug loading, and release kinetics tailored to specific patient populations [</w:t>
      </w:r>
      <w:r w:rsidR="000713E6">
        <w:rPr>
          <w:rFonts w:ascii="Times New Roman" w:hAnsi="Times New Roman" w:cs="Times New Roman"/>
          <w:szCs w:val="28"/>
        </w:rPr>
        <w:t>36</w:t>
      </w:r>
      <w:r w:rsidRPr="007D6C76">
        <w:rPr>
          <w:rFonts w:ascii="Times New Roman" w:hAnsi="Times New Roman" w:cs="Times New Roman"/>
          <w:szCs w:val="28"/>
        </w:rPr>
        <w:t>].</w:t>
      </w:r>
    </w:p>
    <w:p w14:paraId="49EC5E49" w14:textId="5902FD5D"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Machine learning models are also employed to predict the interactions between drugs and delivery materials, stability under physiological conditions, and potential toxicity, thereby reducing the time and cost associated with experimental trial-and-error approaches. Furthermore, AI-driven computational simulations facilitate the screening of novel materials and formulations, guiding the synthesis of multifunctional nanocarriers with enhanced targeting and therapeutic efficacy [</w:t>
      </w:r>
      <w:r w:rsidR="000713E6">
        <w:rPr>
          <w:rFonts w:ascii="Times New Roman" w:hAnsi="Times New Roman" w:cs="Times New Roman"/>
          <w:szCs w:val="28"/>
        </w:rPr>
        <w:t>36</w:t>
      </w:r>
      <w:r w:rsidRPr="007D6C76">
        <w:rPr>
          <w:rFonts w:ascii="Times New Roman" w:hAnsi="Times New Roman" w:cs="Times New Roman"/>
          <w:szCs w:val="28"/>
        </w:rPr>
        <w:t>].</w:t>
      </w:r>
    </w:p>
    <w:p w14:paraId="0BEA0198" w14:textId="6530A0D4"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convergence of AI and personalized medicine extends to clinical decision support systems, where predictive analytics can recommend the most suitable NDDS-based therapies for individual patients based on their genetic and phenotypic profiles. This integration promises to improve treatment outcomes, reduce adverse drug reactions, and enable dynamic adjustments to therapy in response to patient monitoring data [</w:t>
      </w:r>
      <w:r w:rsidR="000713E6">
        <w:rPr>
          <w:rFonts w:ascii="Times New Roman" w:hAnsi="Times New Roman" w:cs="Times New Roman"/>
          <w:szCs w:val="28"/>
        </w:rPr>
        <w:t>37</w:t>
      </w:r>
      <w:r w:rsidRPr="007D6C76">
        <w:rPr>
          <w:rFonts w:ascii="Times New Roman" w:hAnsi="Times New Roman" w:cs="Times New Roman"/>
          <w:szCs w:val="28"/>
        </w:rPr>
        <w:t>].</w:t>
      </w:r>
    </w:p>
    <w:p w14:paraId="2B4BED5A" w14:textId="35C37E7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Despite these promising developments, challenges remain in implementing AI-driven personalized NDDS. Data privacy, the need for large, high-quality datasets, and the interpretability of AI models are critical concerns. Additionally, regulatory frameworks must evolve to accommodate AI-assisted design and personalized therapeutic strategies, ensuring safety and efficacy while fostering innovation [</w:t>
      </w:r>
      <w:r w:rsidR="000713E6">
        <w:rPr>
          <w:rFonts w:ascii="Times New Roman" w:hAnsi="Times New Roman" w:cs="Times New Roman"/>
          <w:szCs w:val="28"/>
        </w:rPr>
        <w:t>38</w:t>
      </w:r>
      <w:r w:rsidRPr="007D6C76">
        <w:rPr>
          <w:rFonts w:ascii="Times New Roman" w:hAnsi="Times New Roman" w:cs="Times New Roman"/>
          <w:szCs w:val="28"/>
        </w:rPr>
        <w:t>].</w:t>
      </w:r>
    </w:p>
    <w:p w14:paraId="1ADD53F7"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In summary, the integration of NDDS with personalized medicine and AI-driven design holds immense potential to revolutionize drug delivery by enabling highly tailored, efficient, and adaptive therapies. Continued interdisciplinary collaboration among clinicians, data scientists, and pharmaceutical researchers is essential to realize this vision and translate it into clinical practice.</w:t>
      </w:r>
    </w:p>
    <w:p w14:paraId="443556BF" w14:textId="35FE2317"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06 </w:t>
      </w:r>
      <w:r w:rsidR="007D6C76" w:rsidRPr="007D6C76">
        <w:rPr>
          <w:rFonts w:ascii="Times New Roman" w:hAnsi="Times New Roman" w:cs="Times New Roman"/>
          <w:b/>
          <w:bCs/>
          <w:szCs w:val="28"/>
        </w:rPr>
        <w:t>Scalability and Manufacturing Hurdles</w:t>
      </w:r>
    </w:p>
    <w:p w14:paraId="4D4DBA5F" w14:textId="4DAC4FC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transition of novel drug delivery systems (NDDS) from laboratory-scale research to commercial production presents significant scalability and manufacturing challenges. Many NDDS rely on complex formulation processes, such as nanoprecipitation, self-assembly, or microfluidics, which are often optimized for small batches but difficult to reproduce consistently at industrial scales. Achieving uniform particle size distribution, drug loading efficiency, and batch-to-batch reproducibility remains a critical hurdle [</w:t>
      </w:r>
      <w:r w:rsidR="000713E6">
        <w:rPr>
          <w:rFonts w:ascii="Times New Roman" w:hAnsi="Times New Roman" w:cs="Times New Roman"/>
          <w:szCs w:val="28"/>
        </w:rPr>
        <w:t>38</w:t>
      </w:r>
      <w:r w:rsidRPr="007D6C76">
        <w:rPr>
          <w:rFonts w:ascii="Times New Roman" w:hAnsi="Times New Roman" w:cs="Times New Roman"/>
          <w:szCs w:val="28"/>
        </w:rPr>
        <w:t>].</w:t>
      </w:r>
    </w:p>
    <w:p w14:paraId="39F3B850" w14:textId="4C927922"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Manufacturing processes must also comply with Good Manufacturing Practices (GMP), requiring stringent control over raw materials, process parameters, and environmental conditions. The sensitivity of nanocarriers to factors such as temperature, shear stress, and solvent residues complicates scale-up efforts. Additionally, the use of organic solvents and surfactants in some formulations raises concerns about residual toxicity and environmental impact, necessitating the development of greener, solvent-free manufacturing methods [</w:t>
      </w:r>
      <w:r w:rsidR="000713E6">
        <w:rPr>
          <w:rFonts w:ascii="Times New Roman" w:hAnsi="Times New Roman" w:cs="Times New Roman"/>
          <w:szCs w:val="28"/>
        </w:rPr>
        <w:t>39</w:t>
      </w:r>
      <w:r w:rsidRPr="007D6C76">
        <w:rPr>
          <w:rFonts w:ascii="Times New Roman" w:hAnsi="Times New Roman" w:cs="Times New Roman"/>
          <w:szCs w:val="28"/>
        </w:rPr>
        <w:t>].</w:t>
      </w:r>
    </w:p>
    <w:p w14:paraId="55F29AD2" w14:textId="45D62F0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Process analytical technologies (PAT) and real-time monitoring tools are increasingly being integrated into manufacturing workflows to ensure quality control and process robustness. However, the high cost of specialized equipment and the need for skilled personnel can limit widespread adoption, especially in emerging markets [</w:t>
      </w:r>
      <w:r w:rsidR="000713E6">
        <w:rPr>
          <w:rFonts w:ascii="Times New Roman" w:hAnsi="Times New Roman" w:cs="Times New Roman"/>
          <w:szCs w:val="28"/>
        </w:rPr>
        <w:t>39</w:t>
      </w:r>
      <w:r w:rsidRPr="007D6C76">
        <w:rPr>
          <w:rFonts w:ascii="Times New Roman" w:hAnsi="Times New Roman" w:cs="Times New Roman"/>
          <w:szCs w:val="28"/>
        </w:rPr>
        <w:t>].</w:t>
      </w:r>
    </w:p>
    <w:p w14:paraId="572A4840"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Furthermore, the complexity of multifunctional and stimuli-responsive NDDS adds layers of difficulty in scaling up, as each functional component must be precisely controlled to maintain efficacy and safety. The integration of continuous manufacturing and modular production platforms offers promising solutions to these challenges by enabling flexible, scalable, and cost-effective production [4].</w:t>
      </w:r>
    </w:p>
    <w:p w14:paraId="41F2ADA2" w14:textId="7CE4C41E"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07</w:t>
      </w:r>
      <w:r w:rsidR="007D6C76" w:rsidRPr="007D6C76">
        <w:rPr>
          <w:rFonts w:ascii="Times New Roman" w:hAnsi="Times New Roman" w:cs="Times New Roman"/>
          <w:b/>
          <w:bCs/>
          <w:szCs w:val="28"/>
        </w:rPr>
        <w:t> Regulatory and Safety Considerations</w:t>
      </w:r>
    </w:p>
    <w:p w14:paraId="15FBFC17" w14:textId="1D0D95F8"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Regulatory approval of NDDS is a multifaceted process that requires comprehensive evaluation of safety, efficacy, quality, and manufacturing consistency. Regulatory agencies such as the U.S. Food and Drug Administration (FDA), European Medicines Agency (EMA), and others have established </w:t>
      </w:r>
      <w:r w:rsidRPr="007D6C76">
        <w:rPr>
          <w:rFonts w:ascii="Times New Roman" w:hAnsi="Times New Roman" w:cs="Times New Roman"/>
          <w:szCs w:val="28"/>
        </w:rPr>
        <w:lastRenderedPageBreak/>
        <w:t>guidelines for nanomedicines, but the rapid evolution and complexity of NDDS often outpace regulatory frameworks, creating uncertainty for developers [</w:t>
      </w:r>
      <w:r w:rsidR="000713E6">
        <w:rPr>
          <w:rFonts w:ascii="Times New Roman" w:hAnsi="Times New Roman" w:cs="Times New Roman"/>
          <w:szCs w:val="28"/>
        </w:rPr>
        <w:t>40</w:t>
      </w:r>
      <w:r w:rsidRPr="007D6C76">
        <w:rPr>
          <w:rFonts w:ascii="Times New Roman" w:hAnsi="Times New Roman" w:cs="Times New Roman"/>
          <w:szCs w:val="28"/>
        </w:rPr>
        <w:t>].</w:t>
      </w:r>
    </w:p>
    <w:p w14:paraId="7F02C8D5" w14:textId="2D3F08C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Safety considerations are paramount, as nanocarriers can exhibit unique pharmacokinetics, biodistribution, and potential toxicity profiles compared to conventional formulations. Issues such as immunogenicity, long-term accumulation, off-target effects, and interactions with biological systems must be thoroughly investigated through in vitro, in vivo, and clinical studies [</w:t>
      </w:r>
      <w:r w:rsidR="000713E6">
        <w:rPr>
          <w:rFonts w:ascii="Times New Roman" w:hAnsi="Times New Roman" w:cs="Times New Roman"/>
          <w:szCs w:val="28"/>
        </w:rPr>
        <w:t>2</w:t>
      </w:r>
      <w:r w:rsidRPr="007D6C76">
        <w:rPr>
          <w:rFonts w:ascii="Times New Roman" w:hAnsi="Times New Roman" w:cs="Times New Roman"/>
          <w:szCs w:val="28"/>
        </w:rPr>
        <w:t>6].</w:t>
      </w:r>
    </w:p>
    <w:p w14:paraId="28DF8259" w14:textId="5A2AE00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Standardized characterization methods for physicochemical properties, stability, and biological interactions are essential to ensure reproducibility and comparability across studies. Regulatory agencies increasingly emphasize the need for robust analytical techniques and validated assays to assess nanocarrier quality and safety [</w:t>
      </w:r>
      <w:r w:rsidR="000713E6">
        <w:rPr>
          <w:rFonts w:ascii="Times New Roman" w:hAnsi="Times New Roman" w:cs="Times New Roman"/>
          <w:szCs w:val="28"/>
        </w:rPr>
        <w:t>1</w:t>
      </w:r>
      <w:r w:rsidRPr="007D6C76">
        <w:rPr>
          <w:rFonts w:ascii="Times New Roman" w:hAnsi="Times New Roman" w:cs="Times New Roman"/>
          <w:szCs w:val="28"/>
        </w:rPr>
        <w:t>7].</w:t>
      </w:r>
    </w:p>
    <w:p w14:paraId="21986A9F" w14:textId="39E14C14"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complexity of multifunctional NDDS, which may combine therapeutic, diagnostic, and targeting components, poses additional regulatory challenges. Developers must navigate overlapping requirements for drugs, biologics, and medical devices, often necessitating coordinated review by multiple regulatory divisions [</w:t>
      </w:r>
      <w:r w:rsidR="000713E6">
        <w:rPr>
          <w:rFonts w:ascii="Times New Roman" w:hAnsi="Times New Roman" w:cs="Times New Roman"/>
          <w:szCs w:val="28"/>
        </w:rPr>
        <w:t>2</w:t>
      </w:r>
      <w:r w:rsidRPr="007D6C76">
        <w:rPr>
          <w:rFonts w:ascii="Times New Roman" w:hAnsi="Times New Roman" w:cs="Times New Roman"/>
          <w:szCs w:val="28"/>
        </w:rPr>
        <w:t>8].</w:t>
      </w:r>
    </w:p>
    <w:p w14:paraId="6F3F2AE1" w14:textId="13306573"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To facilitate regulatory approval, early engagement with regulatory bodies, clear communication of product attributes, and adherence to quality-by-design (</w:t>
      </w:r>
      <w:proofErr w:type="spellStart"/>
      <w:r w:rsidRPr="007D6C76">
        <w:rPr>
          <w:rFonts w:ascii="Times New Roman" w:hAnsi="Times New Roman" w:cs="Times New Roman"/>
          <w:szCs w:val="28"/>
        </w:rPr>
        <w:t>QbD</w:t>
      </w:r>
      <w:proofErr w:type="spellEnd"/>
      <w:r w:rsidRPr="007D6C76">
        <w:rPr>
          <w:rFonts w:ascii="Times New Roman" w:hAnsi="Times New Roman" w:cs="Times New Roman"/>
          <w:szCs w:val="28"/>
        </w:rPr>
        <w:t>) principles are recommended. Collaborative efforts between industry, academia, and regulators are critical to establish harmonized standards and accelerate the safe translation of NDDS to the clinic [</w:t>
      </w:r>
      <w:r w:rsidR="000713E6">
        <w:rPr>
          <w:rFonts w:ascii="Times New Roman" w:hAnsi="Times New Roman" w:cs="Times New Roman"/>
          <w:szCs w:val="28"/>
        </w:rPr>
        <w:t>1</w:t>
      </w:r>
      <w:r w:rsidRPr="007D6C76">
        <w:rPr>
          <w:rFonts w:ascii="Times New Roman" w:hAnsi="Times New Roman" w:cs="Times New Roman"/>
          <w:szCs w:val="28"/>
        </w:rPr>
        <w:t>9].</w:t>
      </w:r>
    </w:p>
    <w:p w14:paraId="6E85DAC5" w14:textId="77FFFD1A"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08 </w:t>
      </w:r>
      <w:r w:rsidR="007D6C76" w:rsidRPr="007D6C76">
        <w:rPr>
          <w:rFonts w:ascii="Times New Roman" w:hAnsi="Times New Roman" w:cs="Times New Roman"/>
          <w:b/>
          <w:bCs/>
          <w:szCs w:val="28"/>
        </w:rPr>
        <w:t>Clinical Trial Design and Patient Compliance Issues</w:t>
      </w:r>
    </w:p>
    <w:p w14:paraId="2026ACD5" w14:textId="42B09982"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clinical evaluation of novel drug delivery systems (NDDS) presents unique challenges that differ from traditional drug formulations. Designing clinical trials for NDDS requires careful consideration of the delivery platform’s pharmacokinetics, biodistribution, and mechanism of action. Unlike conventional drugs, NDDS often exhibit complex behavior such as targeted delivery, controlled release, and multifunctionality, which necessitate specialized endpoints and biomarkers to accurately assess efficacy and safety [1</w:t>
      </w:r>
      <w:r w:rsidR="000713E6">
        <w:rPr>
          <w:rFonts w:ascii="Times New Roman" w:hAnsi="Times New Roman" w:cs="Times New Roman"/>
          <w:szCs w:val="28"/>
        </w:rPr>
        <w:t>1</w:t>
      </w:r>
      <w:r w:rsidRPr="007D6C76">
        <w:rPr>
          <w:rFonts w:ascii="Times New Roman" w:hAnsi="Times New Roman" w:cs="Times New Roman"/>
          <w:szCs w:val="28"/>
        </w:rPr>
        <w:t>].</w:t>
      </w:r>
    </w:p>
    <w:p w14:paraId="06C12533" w14:textId="0BFDFAEE"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Patient compliance is another critical factor influencing the success of NDDS in clinical settings. While NDDS aim to improve adherence by reducing dosing frequency and side effects, the complexity of some delivery systems, such as injectable nanoparticles or implantable devices, may pose barriers to patient acceptance. Additionally, patient education and healthcare provider training are essential to ensure proper administration and monitoring [</w:t>
      </w:r>
      <w:r w:rsidR="000713E6">
        <w:rPr>
          <w:rFonts w:ascii="Times New Roman" w:hAnsi="Times New Roman" w:cs="Times New Roman"/>
          <w:szCs w:val="28"/>
        </w:rPr>
        <w:t>2</w:t>
      </w:r>
      <w:r w:rsidRPr="007D6C76">
        <w:rPr>
          <w:rFonts w:ascii="Times New Roman" w:hAnsi="Times New Roman" w:cs="Times New Roman"/>
          <w:szCs w:val="28"/>
        </w:rPr>
        <w:t>2].</w:t>
      </w:r>
    </w:p>
    <w:p w14:paraId="76A066BB" w14:textId="299022C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Adaptive trial designs and real-world evidence are increasingly employed to address these challenges, allowing for flexible protocols that can accommodate patient variability and evolving therapeutic responses. Incorporating patient-reported outcomes and digital health technologies can further enhance compliance monitoring and personalized treatment adjustments [</w:t>
      </w:r>
      <w:r w:rsidR="000713E6">
        <w:rPr>
          <w:rFonts w:ascii="Times New Roman" w:hAnsi="Times New Roman" w:cs="Times New Roman"/>
          <w:szCs w:val="28"/>
        </w:rPr>
        <w:t>1</w:t>
      </w:r>
      <w:r w:rsidRPr="007D6C76">
        <w:rPr>
          <w:rFonts w:ascii="Times New Roman" w:hAnsi="Times New Roman" w:cs="Times New Roman"/>
          <w:szCs w:val="28"/>
        </w:rPr>
        <w:t>3].</w:t>
      </w:r>
    </w:p>
    <w:p w14:paraId="029215DD" w14:textId="67DA4CFB"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Intellectual Property and Commercialization Barriers</w:t>
      </w:r>
    </w:p>
    <w:p w14:paraId="395D7190" w14:textId="49CA879A"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Intellectual property (IP) protection is vital for incentivizing innovation in NDDS but also presents significant challenges. The complexity of NDDS, which often combine novel materials, formulation techniques, and targeting ligands, leads to intricate patent landscapes with overlapping claims. Navigating these landscapes requires strategic patent filing and freedom-to-operate analyses to avoid infringement and ensure market exclusivity [</w:t>
      </w:r>
      <w:r w:rsidR="000713E6">
        <w:rPr>
          <w:rFonts w:ascii="Times New Roman" w:hAnsi="Times New Roman" w:cs="Times New Roman"/>
          <w:szCs w:val="28"/>
        </w:rPr>
        <w:t>26</w:t>
      </w:r>
      <w:r w:rsidRPr="007D6C76">
        <w:rPr>
          <w:rFonts w:ascii="Times New Roman" w:hAnsi="Times New Roman" w:cs="Times New Roman"/>
          <w:szCs w:val="28"/>
        </w:rPr>
        <w:t>].</w:t>
      </w:r>
    </w:p>
    <w:p w14:paraId="50DA7695" w14:textId="6B469BA5"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Commercialization barriers include high development costs, lengthy regulatory approval processes, and the need for specialized manufacturing infrastructure. The scale-up of NDDS production while maintaining quality and consistency is capital-intensive, which can deter investment, especially for smaller companies and startups [</w:t>
      </w:r>
      <w:r w:rsidR="000713E6">
        <w:rPr>
          <w:rFonts w:ascii="Times New Roman" w:hAnsi="Times New Roman" w:cs="Times New Roman"/>
          <w:szCs w:val="28"/>
        </w:rPr>
        <w:t>36</w:t>
      </w:r>
      <w:r w:rsidRPr="007D6C76">
        <w:rPr>
          <w:rFonts w:ascii="Times New Roman" w:hAnsi="Times New Roman" w:cs="Times New Roman"/>
          <w:szCs w:val="28"/>
        </w:rPr>
        <w:t>].</w:t>
      </w:r>
    </w:p>
    <w:p w14:paraId="000F4677" w14:textId="3CC8381D"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Market acceptance is influenced by factors such as cost-effectiveness, reimbursement policies, and competition from generic or biosimilar products. Collaborations between academia, industry, and regulatory agencies are essential to streamline development pathways and facilitate technology transfer [6].</w:t>
      </w:r>
    </w:p>
    <w:p w14:paraId="650EFB6D" w14:textId="0413B041" w:rsidR="007D6C76" w:rsidRPr="007D6C76" w:rsidRDefault="00881A13" w:rsidP="007D6C76">
      <w:pPr>
        <w:jc w:val="both"/>
        <w:rPr>
          <w:rFonts w:ascii="Times New Roman" w:hAnsi="Times New Roman" w:cs="Times New Roman"/>
          <w:b/>
          <w:bCs/>
          <w:szCs w:val="28"/>
        </w:rPr>
      </w:pPr>
      <w:r>
        <w:rPr>
          <w:rFonts w:ascii="Times New Roman" w:hAnsi="Times New Roman" w:cs="Times New Roman"/>
          <w:b/>
          <w:bCs/>
          <w:szCs w:val="28"/>
        </w:rPr>
        <w:t xml:space="preserve">09. </w:t>
      </w:r>
      <w:r w:rsidR="007D6C76" w:rsidRPr="007D6C76">
        <w:rPr>
          <w:rFonts w:ascii="Times New Roman" w:hAnsi="Times New Roman" w:cs="Times New Roman"/>
          <w:b/>
          <w:bCs/>
          <w:szCs w:val="28"/>
        </w:rPr>
        <w:t>Emerging Trends and Future Directions</w:t>
      </w:r>
    </w:p>
    <w:p w14:paraId="0AD06748" w14:textId="5711935B"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field of NDDS is rapidly evolving, driven by advances in materials science, biotechnology, and digital health. One emerging trend is the integration of artificial intelligence (AI) and machine learning to optimize formulation design, predict biological interactions, and personalize therapies. AI-driven platforms enable rapid screening of nanocarrier properties and patient-specific treatment regimens, accelerating development timelines [</w:t>
      </w:r>
      <w:r w:rsidR="000713E6">
        <w:rPr>
          <w:rFonts w:ascii="Times New Roman" w:hAnsi="Times New Roman" w:cs="Times New Roman"/>
          <w:szCs w:val="28"/>
        </w:rPr>
        <w:t>35</w:t>
      </w:r>
      <w:r w:rsidRPr="007D6C76">
        <w:rPr>
          <w:rFonts w:ascii="Times New Roman" w:hAnsi="Times New Roman" w:cs="Times New Roman"/>
          <w:szCs w:val="28"/>
        </w:rPr>
        <w:t>].</w:t>
      </w:r>
    </w:p>
    <w:p w14:paraId="7816FEBC" w14:textId="25317B41"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Sustainability and green manufacturing are gaining prominence, with efforts to develop eco-friendly synthesis methods, biodegradable materials, and solvent-free processes to reduce environmental impact. This aligns with global regulatory and societal demands for sustainable pharmaceutical production [</w:t>
      </w:r>
      <w:r w:rsidR="000713E6">
        <w:rPr>
          <w:rFonts w:ascii="Times New Roman" w:hAnsi="Times New Roman" w:cs="Times New Roman"/>
          <w:szCs w:val="28"/>
        </w:rPr>
        <w:t>36</w:t>
      </w:r>
      <w:r w:rsidRPr="007D6C76">
        <w:rPr>
          <w:rFonts w:ascii="Times New Roman" w:hAnsi="Times New Roman" w:cs="Times New Roman"/>
          <w:szCs w:val="28"/>
        </w:rPr>
        <w:t>].</w:t>
      </w:r>
    </w:p>
    <w:p w14:paraId="25375A60" w14:textId="2D06EFF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rise of </w:t>
      </w:r>
      <w:proofErr w:type="spellStart"/>
      <w:r w:rsidRPr="007D6C76">
        <w:rPr>
          <w:rFonts w:ascii="Times New Roman" w:hAnsi="Times New Roman" w:cs="Times New Roman"/>
          <w:szCs w:val="28"/>
        </w:rPr>
        <w:t>theranostics</w:t>
      </w:r>
      <w:proofErr w:type="spellEnd"/>
      <w:r w:rsidR="000713E6">
        <w:rPr>
          <w:rFonts w:ascii="Times New Roman" w:hAnsi="Times New Roman" w:cs="Times New Roman"/>
          <w:szCs w:val="28"/>
        </w:rPr>
        <w:t xml:space="preserve"> </w:t>
      </w:r>
      <w:r w:rsidRPr="007D6C76">
        <w:rPr>
          <w:rFonts w:ascii="Times New Roman" w:hAnsi="Times New Roman" w:cs="Times New Roman"/>
          <w:szCs w:val="28"/>
        </w:rPr>
        <w:t>combining therapeutic and diagnostic functions in a single NDDS</w:t>
      </w:r>
      <w:r w:rsidR="000713E6">
        <w:rPr>
          <w:rFonts w:ascii="Times New Roman" w:hAnsi="Times New Roman" w:cs="Times New Roman"/>
          <w:szCs w:val="28"/>
        </w:rPr>
        <w:t xml:space="preserve"> </w:t>
      </w:r>
      <w:r w:rsidRPr="007D6C76">
        <w:rPr>
          <w:rFonts w:ascii="Times New Roman" w:hAnsi="Times New Roman" w:cs="Times New Roman"/>
          <w:szCs w:val="28"/>
        </w:rPr>
        <w:t>offers real-time monitoring of drug delivery and treatment response, enhancing precision medicine. Multifunctional nanocarriers capable of co-delivering drugs, imaging agents, and gene-editing tools are under active investigation [</w:t>
      </w:r>
      <w:r w:rsidR="000713E6">
        <w:rPr>
          <w:rFonts w:ascii="Times New Roman" w:hAnsi="Times New Roman" w:cs="Times New Roman"/>
          <w:szCs w:val="28"/>
        </w:rPr>
        <w:t>1</w:t>
      </w:r>
      <w:r w:rsidRPr="007D6C76">
        <w:rPr>
          <w:rFonts w:ascii="Times New Roman" w:hAnsi="Times New Roman" w:cs="Times New Roman"/>
          <w:szCs w:val="28"/>
        </w:rPr>
        <w:t>9].</w:t>
      </w:r>
    </w:p>
    <w:p w14:paraId="5792D3E3"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Advances in 3D printing and personalized dosage forms are enabling patient-specific drug delivery devices with tailored release profiles and geometries. This technology holds promise for improving treatment adherence and outcomes, particularly in complex or chronic diseases [10].</w:t>
      </w:r>
    </w:p>
    <w:p w14:paraId="36D7A274"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Finally, the expansion of NDDS into non-traditional routes of administration such as pulmonary, nasal, and transdermal delivery is opening new therapeutic opportunities, especially for vaccines and biologics. These routes offer non-invasive alternatives with rapid onset and improved patient compliance [11].</w:t>
      </w:r>
    </w:p>
    <w:p w14:paraId="3418E151" w14:textId="77777777"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Green and Sustainable NDDS Manufacturing</w:t>
      </w:r>
    </w:p>
    <w:p w14:paraId="3988B937" w14:textId="7E30A66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lastRenderedPageBreak/>
        <w:t>The pharmaceutical industry is increasingly prioritizing green and sustainable manufacturing practices to reduce environmental impact, improve safety, and comply with evolving regulatory standards. Novel drug delivery systems (NDDS) manufacturing is no exception, as traditional processes often involve toxic solvents, high energy consumption, and generate significant waste. Green manufacturing approaches aim to minimize these drawbacks by adopting eco-friendly materials, solvent-free or solvent-reduced techniques, and energy-efficient processes [1</w:t>
      </w:r>
      <w:r w:rsidR="000713E6">
        <w:rPr>
          <w:rFonts w:ascii="Times New Roman" w:hAnsi="Times New Roman" w:cs="Times New Roman"/>
          <w:szCs w:val="28"/>
        </w:rPr>
        <w:t>2</w:t>
      </w:r>
      <w:r w:rsidRPr="007D6C76">
        <w:rPr>
          <w:rFonts w:ascii="Times New Roman" w:hAnsi="Times New Roman" w:cs="Times New Roman"/>
          <w:szCs w:val="28"/>
        </w:rPr>
        <w:t>].</w:t>
      </w:r>
    </w:p>
    <w:p w14:paraId="4D36562F" w14:textId="5DF0B886"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One major advancement is the use of supercritical fluid technology, which employs supercritical CO₂ as a green solvent for nanoparticle synthesis and drug encapsulation. This method reduces or eliminates the need for harmful organic solvents, lowers residual solvent levels, and allows precise control over particle size and morphology [2</w:t>
      </w:r>
      <w:r w:rsidR="000713E6">
        <w:rPr>
          <w:rFonts w:ascii="Times New Roman" w:hAnsi="Times New Roman" w:cs="Times New Roman"/>
          <w:szCs w:val="28"/>
        </w:rPr>
        <w:t>4</w:t>
      </w:r>
      <w:r w:rsidRPr="007D6C76">
        <w:rPr>
          <w:rFonts w:ascii="Times New Roman" w:hAnsi="Times New Roman" w:cs="Times New Roman"/>
          <w:szCs w:val="28"/>
        </w:rPr>
        <w:t>]. Similarly, microfluidic platforms enable continuous, scalable production of nanocarriers with minimal reagent consumption and waste generation, enhancing process sustainability [3</w:t>
      </w:r>
      <w:r w:rsidR="000713E6">
        <w:rPr>
          <w:rFonts w:ascii="Times New Roman" w:hAnsi="Times New Roman" w:cs="Times New Roman"/>
          <w:szCs w:val="28"/>
        </w:rPr>
        <w:t>4</w:t>
      </w:r>
      <w:r w:rsidRPr="007D6C76">
        <w:rPr>
          <w:rFonts w:ascii="Times New Roman" w:hAnsi="Times New Roman" w:cs="Times New Roman"/>
          <w:szCs w:val="28"/>
        </w:rPr>
        <w:t>].</w:t>
      </w:r>
    </w:p>
    <w:p w14:paraId="389535CC" w14:textId="1F799D7E"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Biodegradable and renewable materials such as natural polymers (e.g., chitosan, alginate) and lipids derived from sustainable sources are increasingly favored for NDDS formulation. These materials not only reduce environmental burden but also improve biocompatibility and patient safety [</w:t>
      </w:r>
      <w:r w:rsidR="000713E6">
        <w:rPr>
          <w:rFonts w:ascii="Times New Roman" w:hAnsi="Times New Roman" w:cs="Times New Roman"/>
          <w:szCs w:val="28"/>
        </w:rPr>
        <w:t>2</w:t>
      </w:r>
      <w:r w:rsidRPr="007D6C76">
        <w:rPr>
          <w:rFonts w:ascii="Times New Roman" w:hAnsi="Times New Roman" w:cs="Times New Roman"/>
          <w:szCs w:val="28"/>
        </w:rPr>
        <w:t>4]. Additionally, process intensification strategies, including continuous manufacturing and in-line monitoring, optimize resource utilization and reduce production times [</w:t>
      </w:r>
      <w:r w:rsidR="000713E6">
        <w:rPr>
          <w:rFonts w:ascii="Times New Roman" w:hAnsi="Times New Roman" w:cs="Times New Roman"/>
          <w:szCs w:val="28"/>
        </w:rPr>
        <w:t>1</w:t>
      </w:r>
      <w:r w:rsidRPr="007D6C76">
        <w:rPr>
          <w:rFonts w:ascii="Times New Roman" w:hAnsi="Times New Roman" w:cs="Times New Roman"/>
          <w:szCs w:val="28"/>
        </w:rPr>
        <w:t>5].</w:t>
      </w:r>
    </w:p>
    <w:p w14:paraId="0999F50D" w14:textId="179BB96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Despite these advances, challenges remain in balancing green manufacturing goals with product quality, scalability, and regulatory compliance. Ongoing research focuses on developing standardized green protocols and life cycle assessments to quantify environmental benefits and guide sustainable NDDS development [</w:t>
      </w:r>
      <w:r w:rsidR="000713E6">
        <w:rPr>
          <w:rFonts w:ascii="Times New Roman" w:hAnsi="Times New Roman" w:cs="Times New Roman"/>
          <w:szCs w:val="28"/>
        </w:rPr>
        <w:t>2</w:t>
      </w:r>
      <w:r w:rsidRPr="007D6C76">
        <w:rPr>
          <w:rFonts w:ascii="Times New Roman" w:hAnsi="Times New Roman" w:cs="Times New Roman"/>
          <w:szCs w:val="28"/>
        </w:rPr>
        <w:t>6].</w:t>
      </w:r>
    </w:p>
    <w:p w14:paraId="725AAD44" w14:textId="025D5840" w:rsidR="007D6C76" w:rsidRPr="007D6C76" w:rsidRDefault="007D6C76" w:rsidP="007D6C76">
      <w:pPr>
        <w:jc w:val="both"/>
        <w:rPr>
          <w:rFonts w:ascii="Times New Roman" w:hAnsi="Times New Roman" w:cs="Times New Roman"/>
          <w:b/>
          <w:bCs/>
          <w:szCs w:val="28"/>
        </w:rPr>
      </w:pPr>
      <w:r w:rsidRPr="007D6C76">
        <w:rPr>
          <w:rFonts w:ascii="Times New Roman" w:hAnsi="Times New Roman" w:cs="Times New Roman"/>
          <w:b/>
          <w:bCs/>
          <w:szCs w:val="28"/>
        </w:rPr>
        <w:t>Hybrid and Multifunctional Systems</w:t>
      </w:r>
    </w:p>
    <w:p w14:paraId="1BB5F6BA" w14:textId="4C23601B"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Hybrid and multifunctional drug delivery systems represent the next frontier in NDDS, combining diverse materials and functionalities to address complex therapeutic challenges. These systems integrate multiple components</w:t>
      </w:r>
      <w:r w:rsidR="000713E6">
        <w:rPr>
          <w:rFonts w:ascii="Times New Roman" w:hAnsi="Times New Roman" w:cs="Times New Roman"/>
          <w:szCs w:val="28"/>
        </w:rPr>
        <w:t xml:space="preserve"> </w:t>
      </w:r>
      <w:r w:rsidRPr="007D6C76">
        <w:rPr>
          <w:rFonts w:ascii="Times New Roman" w:hAnsi="Times New Roman" w:cs="Times New Roman"/>
          <w:szCs w:val="28"/>
        </w:rPr>
        <w:t>such as polymers, lipids, inorganic nanoparticles, and targeting ligands</w:t>
      </w:r>
      <w:r w:rsidR="000713E6">
        <w:rPr>
          <w:rFonts w:ascii="Times New Roman" w:hAnsi="Times New Roman" w:cs="Times New Roman"/>
          <w:szCs w:val="28"/>
        </w:rPr>
        <w:t xml:space="preserve"> </w:t>
      </w:r>
      <w:r w:rsidRPr="007D6C76">
        <w:rPr>
          <w:rFonts w:ascii="Times New Roman" w:hAnsi="Times New Roman" w:cs="Times New Roman"/>
          <w:szCs w:val="28"/>
        </w:rPr>
        <w:t>into a single platform, enabling simultaneous drug delivery, targeting, imaging, and stimuli-responsiveness [</w:t>
      </w:r>
      <w:r w:rsidR="000713E6">
        <w:rPr>
          <w:rFonts w:ascii="Times New Roman" w:hAnsi="Times New Roman" w:cs="Times New Roman"/>
          <w:szCs w:val="28"/>
        </w:rPr>
        <w:t>1</w:t>
      </w:r>
      <w:r w:rsidRPr="007D6C76">
        <w:rPr>
          <w:rFonts w:ascii="Times New Roman" w:hAnsi="Times New Roman" w:cs="Times New Roman"/>
          <w:szCs w:val="28"/>
        </w:rPr>
        <w:t>7].</w:t>
      </w:r>
    </w:p>
    <w:p w14:paraId="2EC6FC23" w14:textId="7882BC40"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For example, polymer-lipid hybrid nanoparticles merge the structural stability and controlled release properties of polymers with the biocompatibility and membrane fusion capabilities of lipids. This synergy enhances drug loading, circulation time, and cellular uptake, making them promising carriers for cancer therapy and gene delivery [</w:t>
      </w:r>
      <w:r w:rsidR="000713E6">
        <w:rPr>
          <w:rFonts w:ascii="Times New Roman" w:hAnsi="Times New Roman" w:cs="Times New Roman"/>
          <w:szCs w:val="28"/>
        </w:rPr>
        <w:t>1</w:t>
      </w:r>
      <w:r w:rsidRPr="007D6C76">
        <w:rPr>
          <w:rFonts w:ascii="Times New Roman" w:hAnsi="Times New Roman" w:cs="Times New Roman"/>
          <w:szCs w:val="28"/>
        </w:rPr>
        <w:t xml:space="preserve">8]. Similarly, inorganic-organic hybrids, such as silica-coated magnetic nanoparticles, combine magnetic targeting and imaging with controlled drug release, facilitating </w:t>
      </w:r>
      <w:proofErr w:type="spellStart"/>
      <w:r w:rsidRPr="007D6C76">
        <w:rPr>
          <w:rFonts w:ascii="Times New Roman" w:hAnsi="Times New Roman" w:cs="Times New Roman"/>
          <w:szCs w:val="28"/>
        </w:rPr>
        <w:t>theranostic</w:t>
      </w:r>
      <w:proofErr w:type="spellEnd"/>
      <w:r w:rsidRPr="007D6C76">
        <w:rPr>
          <w:rFonts w:ascii="Times New Roman" w:hAnsi="Times New Roman" w:cs="Times New Roman"/>
          <w:szCs w:val="28"/>
        </w:rPr>
        <w:t xml:space="preserve"> applications [</w:t>
      </w:r>
      <w:r w:rsidR="000713E6">
        <w:rPr>
          <w:rFonts w:ascii="Times New Roman" w:hAnsi="Times New Roman" w:cs="Times New Roman"/>
          <w:szCs w:val="28"/>
        </w:rPr>
        <w:t>2</w:t>
      </w:r>
      <w:r w:rsidRPr="007D6C76">
        <w:rPr>
          <w:rFonts w:ascii="Times New Roman" w:hAnsi="Times New Roman" w:cs="Times New Roman"/>
          <w:szCs w:val="28"/>
        </w:rPr>
        <w:t>9].</w:t>
      </w:r>
    </w:p>
    <w:p w14:paraId="22C397E5"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 xml:space="preserve">Multifunctional systems often incorporate stimuli-responsive elements that trigger drug release in response to environmental cues (pH, temperature, enzymes), improving site-specificity and </w:t>
      </w:r>
      <w:r w:rsidRPr="007D6C76">
        <w:rPr>
          <w:rFonts w:ascii="Times New Roman" w:hAnsi="Times New Roman" w:cs="Times New Roman"/>
          <w:szCs w:val="28"/>
        </w:rPr>
        <w:lastRenderedPageBreak/>
        <w:t>reducing systemic toxicity. Additionally, surface modification with targeting moieties (antibodies, peptides, aptamers) enables active targeting of diseased cells, enhancing therapeutic efficacy [10].</w:t>
      </w:r>
    </w:p>
    <w:p w14:paraId="44A6E31D" w14:textId="77777777" w:rsidR="007D6C76" w:rsidRPr="007D6C76" w:rsidRDefault="007D6C76" w:rsidP="007D6C76">
      <w:pPr>
        <w:jc w:val="both"/>
        <w:rPr>
          <w:rFonts w:ascii="Times New Roman" w:hAnsi="Times New Roman" w:cs="Times New Roman"/>
          <w:szCs w:val="28"/>
        </w:rPr>
      </w:pPr>
      <w:r w:rsidRPr="007D6C76">
        <w:rPr>
          <w:rFonts w:ascii="Times New Roman" w:hAnsi="Times New Roman" w:cs="Times New Roman"/>
          <w:szCs w:val="28"/>
        </w:rPr>
        <w:t>The design of hybrid systems requires careful consideration of component compatibility, synthesis complexity, and potential toxicity. However, their ability to perform multiple roles simultaneously offers significant advantages over conventional single-function carriers, particularly in personalized and precision medicine [11].</w:t>
      </w:r>
    </w:p>
    <w:p w14:paraId="45C5B589" w14:textId="520F5049"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Digital Health Integration and Real-Time Monitoring</w:t>
      </w:r>
    </w:p>
    <w:p w14:paraId="4CD223E2" w14:textId="4A7CCC8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integration of digital health technologies with novel drug delivery systems (NDDS) is revolutionizing personalized medicine by enabling real-time monitoring, adaptive therapy, and improved patient engagement. Wearable sensors, implantable devices, and mobile health applications can continuously track physiological parameters, drug release profiles, and therapeutic responses, providing valuable data to clinicians and patients alike [</w:t>
      </w:r>
      <w:r w:rsidR="000713E6">
        <w:rPr>
          <w:rFonts w:ascii="Times New Roman" w:hAnsi="Times New Roman" w:cs="Times New Roman"/>
          <w:szCs w:val="28"/>
        </w:rPr>
        <w:t>3</w:t>
      </w:r>
      <w:r w:rsidRPr="00E64738">
        <w:rPr>
          <w:rFonts w:ascii="Times New Roman" w:hAnsi="Times New Roman" w:cs="Times New Roman"/>
          <w:szCs w:val="28"/>
        </w:rPr>
        <w:t>1]. This real-time feedback facilitates dynamic dose adjustments, early detection of adverse effects, and enhanced adherence, ultimately improving treatment outcomes.</w:t>
      </w:r>
    </w:p>
    <w:p w14:paraId="34B76A25" w14:textId="30BF127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Smart NDDS platforms equipped with biosensors can detect biomarkers or environmental changes and modulate drug release accordingly, creating closed-loop systems that respond autonomously to patient needs [</w:t>
      </w:r>
      <w:r w:rsidR="000713E6">
        <w:rPr>
          <w:rFonts w:ascii="Times New Roman" w:hAnsi="Times New Roman" w:cs="Times New Roman"/>
          <w:szCs w:val="28"/>
        </w:rPr>
        <w:t>1</w:t>
      </w:r>
      <w:r w:rsidRPr="00E64738">
        <w:rPr>
          <w:rFonts w:ascii="Times New Roman" w:hAnsi="Times New Roman" w:cs="Times New Roman"/>
          <w:szCs w:val="28"/>
        </w:rPr>
        <w:t>2]. Additionally, digital tools support remote patient monitoring and telemedicine, expanding access to care and reducing healthcare costs. The convergence of NDDS with digital health thus represents a paradigm shift towards more precise, responsive, and patient-centered therapies.</w:t>
      </w:r>
    </w:p>
    <w:p w14:paraId="0FF71C19" w14:textId="01A14D1F"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Potential Impact of Evolving Regulatory Policies</w:t>
      </w:r>
    </w:p>
    <w:p w14:paraId="15FDA168" w14:textId="2D341448"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Regulatory agencies worldwide are adapting to the rapid advancements in NDDS and associated digital health technologies by updating guidelines and frameworks to ensure safety, efficacy, and quality. Evolving policies emphasize the importance of robust characterization, standardized testing, and post-market surveillance for complex nanomedicines and multifunctional delivery systems [</w:t>
      </w:r>
      <w:r w:rsidR="000713E6">
        <w:rPr>
          <w:rFonts w:ascii="Times New Roman" w:hAnsi="Times New Roman" w:cs="Times New Roman"/>
          <w:szCs w:val="28"/>
        </w:rPr>
        <w:t>3</w:t>
      </w:r>
      <w:r w:rsidRPr="00E64738">
        <w:rPr>
          <w:rFonts w:ascii="Times New Roman" w:hAnsi="Times New Roman" w:cs="Times New Roman"/>
          <w:szCs w:val="28"/>
        </w:rPr>
        <w:t>3]. Regulatory bodies are also increasingly considering real-world evidence and adaptive clinical trial designs to accelerate approval processes without compromising patient safety.</w:t>
      </w:r>
    </w:p>
    <w:p w14:paraId="3E25E0B5" w14:textId="41FAD8B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integration of digital health components introduces additional regulatory considerations related to data security, privacy, software validation, and interoperability. Harmonization of regulations across regions remains a challenge but is critical for global development and commercialization of NDDS [</w:t>
      </w:r>
      <w:r w:rsidR="000713E6">
        <w:rPr>
          <w:rFonts w:ascii="Times New Roman" w:hAnsi="Times New Roman" w:cs="Times New Roman"/>
          <w:szCs w:val="28"/>
        </w:rPr>
        <w:t>1</w:t>
      </w:r>
      <w:r w:rsidRPr="00E64738">
        <w:rPr>
          <w:rFonts w:ascii="Times New Roman" w:hAnsi="Times New Roman" w:cs="Times New Roman"/>
          <w:szCs w:val="28"/>
        </w:rPr>
        <w:t>4]. Proactive engagement with regulators and early incorporation of regulatory science principles into product development are essential strategies to navigate this evolving landscape.</w:t>
      </w:r>
    </w:p>
    <w:p w14:paraId="4931F419" w14:textId="50E85528"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Research Gaps and Opportunities</w:t>
      </w:r>
    </w:p>
    <w:p w14:paraId="1C6E4278" w14:textId="4F588DB1"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lastRenderedPageBreak/>
        <w:t>Despite significant progress, several research gaps hinder the full realization of NDDS potential. Key gaps include limited understanding of long-term safety and immunogenicity, especially for multifunctional and stimuli-responsive systems. There is a need for standardized, predictive in vitro and in vivo models that better mimic human physiology to evaluate nanocarrier behavior and toxicity [</w:t>
      </w:r>
      <w:r w:rsidR="000713E6">
        <w:rPr>
          <w:rFonts w:ascii="Times New Roman" w:hAnsi="Times New Roman" w:cs="Times New Roman"/>
          <w:szCs w:val="28"/>
        </w:rPr>
        <w:t>2</w:t>
      </w:r>
      <w:r w:rsidRPr="00E64738">
        <w:rPr>
          <w:rFonts w:ascii="Times New Roman" w:hAnsi="Times New Roman" w:cs="Times New Roman"/>
          <w:szCs w:val="28"/>
        </w:rPr>
        <w:t>5].</w:t>
      </w:r>
    </w:p>
    <w:p w14:paraId="4CF8B1D6"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Scalability and reproducibility of complex NDDS formulations remain challenging, necessitating advances in manufacturing technologies and quality control methods. Furthermore, integration of AI and digital health tools requires large, high-quality datasets and improved algorithms to ensure accuracy and clinical relevance.</w:t>
      </w:r>
    </w:p>
    <w:p w14:paraId="7BCB3A14" w14:textId="598398D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Opportunities lie in developing biodegradable and environmentally sustainable materials, enhancing targeting specificity through novel ligands, and expanding NDDS applications to emerging therapeutic areas such as gene editing and immunotherapy. Collaborative efforts among academia, industry, and regulatory agencies are vital to address these gaps and accelerate translation from bench to bedside [</w:t>
      </w:r>
      <w:r w:rsidR="00BD4782">
        <w:rPr>
          <w:rFonts w:ascii="Times New Roman" w:hAnsi="Times New Roman" w:cs="Times New Roman"/>
          <w:szCs w:val="28"/>
        </w:rPr>
        <w:t>1</w:t>
      </w:r>
      <w:r w:rsidRPr="00E64738">
        <w:rPr>
          <w:rFonts w:ascii="Times New Roman" w:hAnsi="Times New Roman" w:cs="Times New Roman"/>
          <w:szCs w:val="28"/>
        </w:rPr>
        <w:t>6].</w:t>
      </w:r>
    </w:p>
    <w:p w14:paraId="2B2FB09A" w14:textId="77777777"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Identified Gaps in Market Understanding and Technology</w:t>
      </w:r>
    </w:p>
    <w:p w14:paraId="5F96C116" w14:textId="288AFC0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Despite the rapid growth and technological advancements in novel drug delivery systems (NDDS), several critical gaps remain in both market understanding and technological development. From a market perspective, there is a lack of comprehensive, region-specific data that integrates socio-economic, demographic, and regulatory factors influencing NDDS adoption. Many market analyses focus on global trends but fail to capture local healthcare infrastructure disparities, reimbursement policies, and patient access issues, which are crucial for effective commercialization strategies [1</w:t>
      </w:r>
      <w:r w:rsidR="00BD4782">
        <w:rPr>
          <w:rFonts w:ascii="Times New Roman" w:hAnsi="Times New Roman" w:cs="Times New Roman"/>
          <w:szCs w:val="28"/>
        </w:rPr>
        <w:t>3</w:t>
      </w:r>
      <w:r w:rsidRPr="00E64738">
        <w:rPr>
          <w:rFonts w:ascii="Times New Roman" w:hAnsi="Times New Roman" w:cs="Times New Roman"/>
          <w:szCs w:val="28"/>
        </w:rPr>
        <w:t>].</w:t>
      </w:r>
    </w:p>
    <w:p w14:paraId="2FA4A891" w14:textId="76F32115"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Technologically, while numerous NDDS platforms have demonstrated promising preclinical results, the translation to clinical and commercial success is limited by insufficient understanding of long-term safety, biodistribution, and immunogenicity. The complexity of multifunctional and stimuli-responsive systems poses challenges in reproducibility, scalability, and quality control. Moreover, the integration of emerging technologies such as artificial intelligence (AI) and digital health into NDDS design and monitoring is still in its infancy, with limited standardized protocols and validation frameworks [2</w:t>
      </w:r>
      <w:r w:rsidR="00BD4782">
        <w:rPr>
          <w:rFonts w:ascii="Times New Roman" w:hAnsi="Times New Roman" w:cs="Times New Roman"/>
          <w:szCs w:val="28"/>
        </w:rPr>
        <w:t>2</w:t>
      </w:r>
      <w:r w:rsidRPr="00E64738">
        <w:rPr>
          <w:rFonts w:ascii="Times New Roman" w:hAnsi="Times New Roman" w:cs="Times New Roman"/>
          <w:szCs w:val="28"/>
        </w:rPr>
        <w:t>].</w:t>
      </w:r>
    </w:p>
    <w:p w14:paraId="5AE39ADD" w14:textId="24C738F0"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Areas Requiring Focused Research and Innovation</w:t>
      </w:r>
    </w:p>
    <w:p w14:paraId="68B90878" w14:textId="6849179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To bridge these gaps, focused research and innovation are needed in several key areas. First, the development of robust, predictive in vitro and in vivo models that closely mimic human physiology is essential to better evaluate the safety, efficacy, and pharmacokinetics of NDDS. Such models will facilitate more accurate risk assessment and accelerate regulatory approval [3</w:t>
      </w:r>
      <w:r w:rsidR="00BD4782">
        <w:rPr>
          <w:rFonts w:ascii="Times New Roman" w:hAnsi="Times New Roman" w:cs="Times New Roman"/>
          <w:szCs w:val="28"/>
        </w:rPr>
        <w:t>2</w:t>
      </w:r>
      <w:r w:rsidRPr="00E64738">
        <w:rPr>
          <w:rFonts w:ascii="Times New Roman" w:hAnsi="Times New Roman" w:cs="Times New Roman"/>
          <w:szCs w:val="28"/>
        </w:rPr>
        <w:t>].</w:t>
      </w:r>
    </w:p>
    <w:p w14:paraId="1D86CAEC" w14:textId="571AEA86"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 xml:space="preserve">Second, scalable and cost-effective manufacturing technologies must be advanced to ensure consistent quality and batch-to-batch reproducibility of complex NDDS formulations. Innovations </w:t>
      </w:r>
      <w:r w:rsidRPr="00E64738">
        <w:rPr>
          <w:rFonts w:ascii="Times New Roman" w:hAnsi="Times New Roman" w:cs="Times New Roman"/>
          <w:szCs w:val="28"/>
        </w:rPr>
        <w:lastRenderedPageBreak/>
        <w:t>in continuous manufacturing, process analytical technologies (PAT), and green chemistry approaches will be critical to meet industrial demands while minimizing environmental impact [</w:t>
      </w:r>
      <w:r w:rsidR="00BD4782">
        <w:rPr>
          <w:rFonts w:ascii="Times New Roman" w:hAnsi="Times New Roman" w:cs="Times New Roman"/>
          <w:szCs w:val="28"/>
        </w:rPr>
        <w:t>1</w:t>
      </w:r>
      <w:r w:rsidRPr="00E64738">
        <w:rPr>
          <w:rFonts w:ascii="Times New Roman" w:hAnsi="Times New Roman" w:cs="Times New Roman"/>
          <w:szCs w:val="28"/>
        </w:rPr>
        <w:t>4].</w:t>
      </w:r>
    </w:p>
    <w:p w14:paraId="572385B7" w14:textId="3EA3FB6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Third, the design of biodegradable, biocompatible, and environmentally sustainable materials should be prioritized to address safety concerns and regulatory requirements. Research into novel polymers, lipids, and hybrid materials with tunable properties will expand the versatility and applicability of NDDS [</w:t>
      </w:r>
      <w:r w:rsidR="00BD4782">
        <w:rPr>
          <w:rFonts w:ascii="Times New Roman" w:hAnsi="Times New Roman" w:cs="Times New Roman"/>
          <w:szCs w:val="28"/>
        </w:rPr>
        <w:t>1</w:t>
      </w:r>
      <w:r w:rsidRPr="00E64738">
        <w:rPr>
          <w:rFonts w:ascii="Times New Roman" w:hAnsi="Times New Roman" w:cs="Times New Roman"/>
          <w:szCs w:val="28"/>
        </w:rPr>
        <w:t>5].</w:t>
      </w:r>
    </w:p>
    <w:p w14:paraId="08CDB059" w14:textId="33EFBD3D"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Fourth, the integration of AI and machine learning into NDDS development requires further exploration. This includes the creation of large, high-quality datasets, development of predictive algorithms for drug-carrier interactions, and validation of AI models in clinical settings. Such efforts will enhance personalized medicine approaches and optimize therapeutic outcomes [</w:t>
      </w:r>
      <w:r w:rsidR="00BD4782">
        <w:rPr>
          <w:rFonts w:ascii="Times New Roman" w:hAnsi="Times New Roman" w:cs="Times New Roman"/>
          <w:szCs w:val="28"/>
        </w:rPr>
        <w:t>2</w:t>
      </w:r>
      <w:r w:rsidRPr="00E64738">
        <w:rPr>
          <w:rFonts w:ascii="Times New Roman" w:hAnsi="Times New Roman" w:cs="Times New Roman"/>
          <w:szCs w:val="28"/>
        </w:rPr>
        <w:t>6].</w:t>
      </w:r>
    </w:p>
    <w:p w14:paraId="55F30B44" w14:textId="0F3B9073"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Finally, interdisciplinary collaboration among academia, industry, regulatory bodies, and healthcare providers is necessary to establish standardized guidelines, harmonize regulatory frameworks, and facilitate technology transfer. Public-private partnerships and global consortia can accelerate innovation and ensure equitable access to advanced NDDS technologies [</w:t>
      </w:r>
      <w:r w:rsidR="00BD4782">
        <w:rPr>
          <w:rFonts w:ascii="Times New Roman" w:hAnsi="Times New Roman" w:cs="Times New Roman"/>
          <w:szCs w:val="28"/>
        </w:rPr>
        <w:t>2</w:t>
      </w:r>
      <w:r w:rsidRPr="00E64738">
        <w:rPr>
          <w:rFonts w:ascii="Times New Roman" w:hAnsi="Times New Roman" w:cs="Times New Roman"/>
          <w:szCs w:val="28"/>
        </w:rPr>
        <w:t>7].</w:t>
      </w:r>
    </w:p>
    <w:p w14:paraId="026D86A6" w14:textId="77777777" w:rsidR="00E64738" w:rsidRPr="00E64738" w:rsidRDefault="00E64738" w:rsidP="00E64738">
      <w:pPr>
        <w:jc w:val="both"/>
        <w:rPr>
          <w:rFonts w:ascii="Times New Roman" w:hAnsi="Times New Roman" w:cs="Times New Roman"/>
          <w:b/>
          <w:bCs/>
          <w:szCs w:val="28"/>
        </w:rPr>
      </w:pPr>
      <w:r w:rsidRPr="00E64738">
        <w:rPr>
          <w:rFonts w:ascii="Times New Roman" w:hAnsi="Times New Roman" w:cs="Times New Roman"/>
          <w:b/>
          <w:bCs/>
          <w:szCs w:val="28"/>
        </w:rPr>
        <w:t>Strategies to Accelerate Clinical Translation and Adoption</w:t>
      </w:r>
    </w:p>
    <w:p w14:paraId="3ED34E25"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The successful clinical translation and widespread adoption of novel drug delivery systems (NDDS) require a multifaceted approach that addresses scientific, regulatory, manufacturing, and market challenges. To bridge the gap between laboratory research and clinical application, several strategic measures can be implemented.</w:t>
      </w:r>
    </w:p>
    <w:p w14:paraId="4B69B1FE" w14:textId="7B214398"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First, early and continuous engagement with regulatory agencies is critical. Proactive communication helps clarify regulatory expectations, streamline approval pathways, and identify potential safety concerns early in development. Utilizing regulatory frameworks such as the FDA’s Breakthrough Therapy designation or EMA’s PRIME scheme can expedite review processes for promising NDDS candidates [</w:t>
      </w:r>
      <w:r w:rsidR="00BD4782">
        <w:rPr>
          <w:rFonts w:ascii="Times New Roman" w:hAnsi="Times New Roman" w:cs="Times New Roman"/>
          <w:szCs w:val="28"/>
        </w:rPr>
        <w:t>2</w:t>
      </w:r>
      <w:r w:rsidRPr="00E64738">
        <w:rPr>
          <w:rFonts w:ascii="Times New Roman" w:hAnsi="Times New Roman" w:cs="Times New Roman"/>
          <w:szCs w:val="28"/>
        </w:rPr>
        <w:t>1].</w:t>
      </w:r>
    </w:p>
    <w:p w14:paraId="30DE31DE" w14:textId="462B2AC9"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Second, adopting a quality-by-design (</w:t>
      </w:r>
      <w:proofErr w:type="spellStart"/>
      <w:r w:rsidRPr="00E64738">
        <w:rPr>
          <w:rFonts w:ascii="Times New Roman" w:hAnsi="Times New Roman" w:cs="Times New Roman"/>
          <w:szCs w:val="28"/>
        </w:rPr>
        <w:t>QbD</w:t>
      </w:r>
      <w:proofErr w:type="spellEnd"/>
      <w:r w:rsidRPr="00E64738">
        <w:rPr>
          <w:rFonts w:ascii="Times New Roman" w:hAnsi="Times New Roman" w:cs="Times New Roman"/>
          <w:szCs w:val="28"/>
        </w:rPr>
        <w:t xml:space="preserve">) approach throughout development ensures robust product quality and process control. </w:t>
      </w:r>
      <w:proofErr w:type="spellStart"/>
      <w:r w:rsidRPr="00E64738">
        <w:rPr>
          <w:rFonts w:ascii="Times New Roman" w:hAnsi="Times New Roman" w:cs="Times New Roman"/>
          <w:szCs w:val="28"/>
        </w:rPr>
        <w:t>QbD</w:t>
      </w:r>
      <w:proofErr w:type="spellEnd"/>
      <w:r w:rsidRPr="00E64738">
        <w:rPr>
          <w:rFonts w:ascii="Times New Roman" w:hAnsi="Times New Roman" w:cs="Times New Roman"/>
          <w:szCs w:val="28"/>
        </w:rPr>
        <w:t xml:space="preserve"> principles emphasize understanding critical quality attributes and process parameters, enabling consistent manufacturing and reducing variability. This approach facilitates regulatory compliance and enhances product reliability [2</w:t>
      </w:r>
      <w:r w:rsidR="00BD4782">
        <w:rPr>
          <w:rFonts w:ascii="Times New Roman" w:hAnsi="Times New Roman" w:cs="Times New Roman"/>
          <w:szCs w:val="28"/>
        </w:rPr>
        <w:t>2</w:t>
      </w:r>
      <w:r w:rsidRPr="00E64738">
        <w:rPr>
          <w:rFonts w:ascii="Times New Roman" w:hAnsi="Times New Roman" w:cs="Times New Roman"/>
          <w:szCs w:val="28"/>
        </w:rPr>
        <w:t>].</w:t>
      </w:r>
    </w:p>
    <w:p w14:paraId="572BEE42" w14:textId="0115319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Third, scalable and reproducible manufacturing technologies must be prioritized. Implementing continuous manufacturing, microfluidics, and process analytical technologies (PAT) can improve batch consistency, reduce production costs, and accelerate scale-up. Collaboration with contract manufacturing organizations (CMOs) experienced in nanomedicine production can also support efficient technology transfer [3</w:t>
      </w:r>
      <w:r w:rsidR="00BD4782">
        <w:rPr>
          <w:rFonts w:ascii="Times New Roman" w:hAnsi="Times New Roman" w:cs="Times New Roman"/>
          <w:szCs w:val="28"/>
        </w:rPr>
        <w:t>1</w:t>
      </w:r>
      <w:r w:rsidRPr="00E64738">
        <w:rPr>
          <w:rFonts w:ascii="Times New Roman" w:hAnsi="Times New Roman" w:cs="Times New Roman"/>
          <w:szCs w:val="28"/>
        </w:rPr>
        <w:t>].</w:t>
      </w:r>
    </w:p>
    <w:p w14:paraId="4B60474C" w14:textId="251B6BA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 xml:space="preserve">Fourth, fostering interdisciplinary collaboration among academia, industry, clinicians, and regulatory bodies accelerates innovation and translation. Such partnerships enable sharing of </w:t>
      </w:r>
      <w:r w:rsidRPr="00E64738">
        <w:rPr>
          <w:rFonts w:ascii="Times New Roman" w:hAnsi="Times New Roman" w:cs="Times New Roman"/>
          <w:szCs w:val="28"/>
        </w:rPr>
        <w:lastRenderedPageBreak/>
        <w:t>expertise, resources, and clinical insights, ensuring that NDDS development aligns with unmet medical needs and practical clinical considerations [</w:t>
      </w:r>
      <w:r w:rsidR="00BD4782">
        <w:rPr>
          <w:rFonts w:ascii="Times New Roman" w:hAnsi="Times New Roman" w:cs="Times New Roman"/>
          <w:szCs w:val="28"/>
        </w:rPr>
        <w:t>2</w:t>
      </w:r>
      <w:r w:rsidRPr="00E64738">
        <w:rPr>
          <w:rFonts w:ascii="Times New Roman" w:hAnsi="Times New Roman" w:cs="Times New Roman"/>
          <w:szCs w:val="28"/>
        </w:rPr>
        <w:t>4].</w:t>
      </w:r>
    </w:p>
    <w:p w14:paraId="479C08F9" w14:textId="07398BAB"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Fifth, integrating digital health tools and real-world evidence into clinical trials and post-market surveillance enhances patient monitoring, adherence, and outcome assessment. Digital platforms facilitate adaptive trial designs and personalized therapy adjustments, improving the relevance and success of clinical studies [</w:t>
      </w:r>
      <w:r w:rsidR="00BD4782">
        <w:rPr>
          <w:rFonts w:ascii="Times New Roman" w:hAnsi="Times New Roman" w:cs="Times New Roman"/>
          <w:szCs w:val="28"/>
        </w:rPr>
        <w:t>31</w:t>
      </w:r>
      <w:r w:rsidRPr="00E64738">
        <w:rPr>
          <w:rFonts w:ascii="Times New Roman" w:hAnsi="Times New Roman" w:cs="Times New Roman"/>
          <w:szCs w:val="28"/>
        </w:rPr>
        <w:t>].</w:t>
      </w:r>
    </w:p>
    <w:p w14:paraId="4811148B" w14:textId="45AFD632"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Finally, addressing patient-centric factors such as ease of administration, dosing frequency, and education improves acceptance and compliance. Designing NDDS with patient preferences in mind and involving patients early in development can increase adoption rates and therapeutic effectiveness [</w:t>
      </w:r>
      <w:r w:rsidR="00BD4782">
        <w:rPr>
          <w:rFonts w:ascii="Times New Roman" w:hAnsi="Times New Roman" w:cs="Times New Roman"/>
          <w:szCs w:val="28"/>
        </w:rPr>
        <w:t>2</w:t>
      </w:r>
      <w:r w:rsidRPr="00E64738">
        <w:rPr>
          <w:rFonts w:ascii="Times New Roman" w:hAnsi="Times New Roman" w:cs="Times New Roman"/>
          <w:szCs w:val="28"/>
        </w:rPr>
        <w:t>6].</w:t>
      </w:r>
    </w:p>
    <w:p w14:paraId="524DFB67" w14:textId="77777777" w:rsidR="00E64738" w:rsidRPr="00E64738" w:rsidRDefault="00E64738" w:rsidP="00E64738">
      <w:pPr>
        <w:jc w:val="both"/>
        <w:rPr>
          <w:rFonts w:ascii="Times New Roman" w:hAnsi="Times New Roman" w:cs="Times New Roman"/>
          <w:szCs w:val="28"/>
        </w:rPr>
      </w:pPr>
      <w:r w:rsidRPr="00E64738">
        <w:rPr>
          <w:rFonts w:ascii="Times New Roman" w:hAnsi="Times New Roman" w:cs="Times New Roman"/>
          <w:szCs w:val="28"/>
        </w:rPr>
        <w:t>In summary, accelerating clinical translation and adoption of NDDS demands a holistic strategy encompassing regulatory alignment, manufacturing excellence, collaborative innovation, digital integration, and patient engagement. Implementing these strategies will help realize the full potential of NDDS in improving healthcare outcomes.</w:t>
      </w:r>
    </w:p>
    <w:p w14:paraId="432D4E5C"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Conclusion</w:t>
      </w:r>
    </w:p>
    <w:p w14:paraId="3C240AD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 (NDDS) represent a transformative frontier in pharmaceutical sciences, offering unprecedented opportunities to enhance therapeutic efficacy, reduce side effects, and personalize treatment regimens. The rapid advancements in nanotechnology, materials science, and formulation techniques have expanded the capabilities of NDDS, enabling targeted, controlled, and stimuli-responsive drug delivery. Integration with digital health and artificial intelligence further propels the field toward precision medicine, promising improved patient outcomes and healthcare efficiency.</w:t>
      </w:r>
    </w:p>
    <w:p w14:paraId="4DC1D29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Despite these promising developments, significant challenges remain in translating NDDS from bench to bedside. Scalability, manufacturing complexity, regulatory hurdles, and comprehensive safety evaluation continue to impede clinical adoption. Moreover, gaps in market understanding and the need for sustainable, patient-centric designs highlight areas requiring focused research and innovation.</w:t>
      </w:r>
    </w:p>
    <w:p w14:paraId="1FB9EDC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Addressing these challenges demands a multidisciplinary approach involving early regulatory engagement, quality-by-design manufacturing, collaborative innovation, and incorporation of real-world evidence. Embracing green manufacturing practices and developing multifunctional, hybrid systems will further enhance the clinical and commercial viability of NDDS.</w:t>
      </w:r>
    </w:p>
    <w:p w14:paraId="3AE4118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In conclusion, the future of NDDS lies in harmonizing technological innovation with regulatory, economic, and patient-centered considerations. Continued investment in research, infrastructure, and cross-sector partnerships will be essential to unlock the full potential of NDDS, ultimately transforming drug delivery and improving global health outcomes.</w:t>
      </w:r>
    </w:p>
    <w:p w14:paraId="075289E1"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List of Abbreviations</w:t>
      </w:r>
    </w:p>
    <w:tbl>
      <w:tblPr>
        <w:tblW w:w="7647"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169"/>
        <w:gridCol w:w="4478"/>
      </w:tblGrid>
      <w:tr w:rsidR="000A27C0" w:rsidRPr="000A27C0" w14:paraId="76ADC0C1" w14:textId="77777777" w:rsidTr="000713E6">
        <w:trPr>
          <w:tblHeader/>
        </w:trPr>
        <w:tc>
          <w:tcPr>
            <w:tcW w:w="0" w:type="auto"/>
            <w:shd w:val="clear" w:color="auto" w:fill="FFFFFF" w:themeFill="background1"/>
            <w:noWrap/>
            <w:vAlign w:val="bottom"/>
            <w:hideMark/>
          </w:tcPr>
          <w:p w14:paraId="04802833"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lastRenderedPageBreak/>
              <w:t>Abbreviation</w:t>
            </w:r>
          </w:p>
        </w:tc>
        <w:tc>
          <w:tcPr>
            <w:tcW w:w="4478" w:type="dxa"/>
            <w:shd w:val="clear" w:color="auto" w:fill="FFFFFF" w:themeFill="background1"/>
            <w:noWrap/>
            <w:vAlign w:val="bottom"/>
            <w:hideMark/>
          </w:tcPr>
          <w:p w14:paraId="4392ED7E" w14:textId="77777777" w:rsidR="000A27C0" w:rsidRPr="000A27C0" w:rsidRDefault="000A27C0" w:rsidP="000A27C0">
            <w:pPr>
              <w:jc w:val="both"/>
              <w:rPr>
                <w:rFonts w:ascii="Times New Roman" w:hAnsi="Times New Roman" w:cs="Times New Roman"/>
                <w:b/>
                <w:bCs/>
                <w:szCs w:val="28"/>
              </w:rPr>
            </w:pPr>
            <w:r w:rsidRPr="000A27C0">
              <w:rPr>
                <w:rFonts w:ascii="Times New Roman" w:hAnsi="Times New Roman" w:cs="Times New Roman"/>
                <w:b/>
                <w:bCs/>
                <w:szCs w:val="28"/>
              </w:rPr>
              <w:t>Full Form</w:t>
            </w:r>
          </w:p>
        </w:tc>
      </w:tr>
      <w:tr w:rsidR="000A27C0" w:rsidRPr="000A27C0" w14:paraId="2517E4CF" w14:textId="77777777" w:rsidTr="000713E6">
        <w:tc>
          <w:tcPr>
            <w:tcW w:w="0" w:type="auto"/>
            <w:shd w:val="clear" w:color="auto" w:fill="FFFFFF" w:themeFill="background1"/>
            <w:vAlign w:val="bottom"/>
            <w:hideMark/>
          </w:tcPr>
          <w:p w14:paraId="02C89EF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NDDS</w:t>
            </w:r>
          </w:p>
        </w:tc>
        <w:tc>
          <w:tcPr>
            <w:tcW w:w="4478" w:type="dxa"/>
            <w:shd w:val="clear" w:color="auto" w:fill="FFFFFF" w:themeFill="background1"/>
            <w:vAlign w:val="bottom"/>
            <w:hideMark/>
          </w:tcPr>
          <w:p w14:paraId="6587C83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Novel Drug Delivery Systems</w:t>
            </w:r>
          </w:p>
        </w:tc>
      </w:tr>
      <w:tr w:rsidR="000A27C0" w:rsidRPr="000A27C0" w14:paraId="6DB44672" w14:textId="77777777" w:rsidTr="000713E6">
        <w:tc>
          <w:tcPr>
            <w:tcW w:w="0" w:type="auto"/>
            <w:shd w:val="clear" w:color="auto" w:fill="FFFFFF" w:themeFill="background1"/>
            <w:vAlign w:val="bottom"/>
            <w:hideMark/>
          </w:tcPr>
          <w:p w14:paraId="20B19DFC"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SLN</w:t>
            </w:r>
          </w:p>
        </w:tc>
        <w:tc>
          <w:tcPr>
            <w:tcW w:w="4478" w:type="dxa"/>
            <w:shd w:val="clear" w:color="auto" w:fill="FFFFFF" w:themeFill="background1"/>
            <w:vAlign w:val="bottom"/>
            <w:hideMark/>
          </w:tcPr>
          <w:p w14:paraId="59069CA5"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Solid Lipid Nanoparticles</w:t>
            </w:r>
          </w:p>
        </w:tc>
      </w:tr>
      <w:tr w:rsidR="000A27C0" w:rsidRPr="000A27C0" w14:paraId="63E97C6C" w14:textId="77777777" w:rsidTr="000713E6">
        <w:tc>
          <w:tcPr>
            <w:tcW w:w="0" w:type="auto"/>
            <w:shd w:val="clear" w:color="auto" w:fill="FFFFFF" w:themeFill="background1"/>
            <w:vAlign w:val="bottom"/>
            <w:hideMark/>
          </w:tcPr>
          <w:p w14:paraId="37FF81D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NLC</w:t>
            </w:r>
          </w:p>
        </w:tc>
        <w:tc>
          <w:tcPr>
            <w:tcW w:w="4478" w:type="dxa"/>
            <w:shd w:val="clear" w:color="auto" w:fill="FFFFFF" w:themeFill="background1"/>
            <w:vAlign w:val="bottom"/>
            <w:hideMark/>
          </w:tcPr>
          <w:p w14:paraId="6024193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Nanostructured Lipid Carriers</w:t>
            </w:r>
          </w:p>
        </w:tc>
      </w:tr>
      <w:tr w:rsidR="000A27C0" w:rsidRPr="000A27C0" w14:paraId="29FF67E5" w14:textId="77777777" w:rsidTr="000713E6">
        <w:tc>
          <w:tcPr>
            <w:tcW w:w="0" w:type="auto"/>
            <w:shd w:val="clear" w:color="auto" w:fill="FFFFFF" w:themeFill="background1"/>
            <w:vAlign w:val="bottom"/>
            <w:hideMark/>
          </w:tcPr>
          <w:p w14:paraId="0F5722B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AI</w:t>
            </w:r>
          </w:p>
        </w:tc>
        <w:tc>
          <w:tcPr>
            <w:tcW w:w="4478" w:type="dxa"/>
            <w:shd w:val="clear" w:color="auto" w:fill="FFFFFF" w:themeFill="background1"/>
            <w:vAlign w:val="bottom"/>
            <w:hideMark/>
          </w:tcPr>
          <w:p w14:paraId="1CDB740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Artificial Intelligence</w:t>
            </w:r>
          </w:p>
        </w:tc>
      </w:tr>
      <w:tr w:rsidR="000A27C0" w:rsidRPr="000A27C0" w14:paraId="2311FC92" w14:textId="77777777" w:rsidTr="000713E6">
        <w:tc>
          <w:tcPr>
            <w:tcW w:w="0" w:type="auto"/>
            <w:shd w:val="clear" w:color="auto" w:fill="FFFFFF" w:themeFill="background1"/>
            <w:vAlign w:val="bottom"/>
            <w:hideMark/>
          </w:tcPr>
          <w:p w14:paraId="464181E0"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ML</w:t>
            </w:r>
          </w:p>
        </w:tc>
        <w:tc>
          <w:tcPr>
            <w:tcW w:w="4478" w:type="dxa"/>
            <w:shd w:val="clear" w:color="auto" w:fill="FFFFFF" w:themeFill="background1"/>
            <w:vAlign w:val="bottom"/>
            <w:hideMark/>
          </w:tcPr>
          <w:p w14:paraId="5A20455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Machine Learning</w:t>
            </w:r>
          </w:p>
        </w:tc>
      </w:tr>
      <w:tr w:rsidR="000A27C0" w:rsidRPr="000A27C0" w14:paraId="003D6C95" w14:textId="77777777" w:rsidTr="000713E6">
        <w:tc>
          <w:tcPr>
            <w:tcW w:w="0" w:type="auto"/>
            <w:shd w:val="clear" w:color="auto" w:fill="FFFFFF" w:themeFill="background1"/>
            <w:vAlign w:val="bottom"/>
            <w:hideMark/>
          </w:tcPr>
          <w:p w14:paraId="0413233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PEG</w:t>
            </w:r>
          </w:p>
        </w:tc>
        <w:tc>
          <w:tcPr>
            <w:tcW w:w="4478" w:type="dxa"/>
            <w:shd w:val="clear" w:color="auto" w:fill="FFFFFF" w:themeFill="background1"/>
            <w:vAlign w:val="bottom"/>
            <w:hideMark/>
          </w:tcPr>
          <w:p w14:paraId="6D3AB4F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Polyethylene Glycol</w:t>
            </w:r>
          </w:p>
        </w:tc>
      </w:tr>
      <w:tr w:rsidR="000A27C0" w:rsidRPr="000A27C0" w14:paraId="6951E01D" w14:textId="77777777" w:rsidTr="000713E6">
        <w:tc>
          <w:tcPr>
            <w:tcW w:w="0" w:type="auto"/>
            <w:shd w:val="clear" w:color="auto" w:fill="FFFFFF" w:themeFill="background1"/>
            <w:vAlign w:val="bottom"/>
            <w:hideMark/>
          </w:tcPr>
          <w:p w14:paraId="4F7B458D"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PLGA</w:t>
            </w:r>
          </w:p>
        </w:tc>
        <w:tc>
          <w:tcPr>
            <w:tcW w:w="4478" w:type="dxa"/>
            <w:shd w:val="clear" w:color="auto" w:fill="FFFFFF" w:themeFill="background1"/>
            <w:vAlign w:val="bottom"/>
            <w:hideMark/>
          </w:tcPr>
          <w:p w14:paraId="47281F9F" w14:textId="77777777" w:rsidR="000A27C0" w:rsidRPr="000A27C0" w:rsidRDefault="000A27C0" w:rsidP="000A27C0">
            <w:pPr>
              <w:jc w:val="both"/>
              <w:rPr>
                <w:rFonts w:ascii="Times New Roman" w:hAnsi="Times New Roman" w:cs="Times New Roman"/>
                <w:szCs w:val="28"/>
              </w:rPr>
            </w:pPr>
            <w:proofErr w:type="gramStart"/>
            <w:r w:rsidRPr="000A27C0">
              <w:rPr>
                <w:rFonts w:ascii="Times New Roman" w:hAnsi="Times New Roman" w:cs="Times New Roman"/>
                <w:szCs w:val="28"/>
              </w:rPr>
              <w:t>Poly(</w:t>
            </w:r>
            <w:proofErr w:type="gramEnd"/>
            <w:r w:rsidRPr="000A27C0">
              <w:rPr>
                <w:rFonts w:ascii="Times New Roman" w:hAnsi="Times New Roman" w:cs="Times New Roman"/>
                <w:szCs w:val="28"/>
              </w:rPr>
              <w:t>lactic-co-glycolic acid)</w:t>
            </w:r>
          </w:p>
        </w:tc>
      </w:tr>
      <w:tr w:rsidR="000A27C0" w:rsidRPr="000A27C0" w14:paraId="1A185201" w14:textId="77777777" w:rsidTr="000713E6">
        <w:tc>
          <w:tcPr>
            <w:tcW w:w="0" w:type="auto"/>
            <w:shd w:val="clear" w:color="auto" w:fill="FFFFFF" w:themeFill="background1"/>
            <w:vAlign w:val="bottom"/>
            <w:hideMark/>
          </w:tcPr>
          <w:p w14:paraId="050FB21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FDA</w:t>
            </w:r>
          </w:p>
        </w:tc>
        <w:tc>
          <w:tcPr>
            <w:tcW w:w="4478" w:type="dxa"/>
            <w:shd w:val="clear" w:color="auto" w:fill="FFFFFF" w:themeFill="background1"/>
            <w:vAlign w:val="bottom"/>
            <w:hideMark/>
          </w:tcPr>
          <w:p w14:paraId="462F27D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Food and Drug Administration</w:t>
            </w:r>
          </w:p>
        </w:tc>
      </w:tr>
      <w:tr w:rsidR="000A27C0" w:rsidRPr="000A27C0" w14:paraId="7A7D854D" w14:textId="77777777" w:rsidTr="000713E6">
        <w:tc>
          <w:tcPr>
            <w:tcW w:w="0" w:type="auto"/>
            <w:shd w:val="clear" w:color="auto" w:fill="FFFFFF" w:themeFill="background1"/>
            <w:vAlign w:val="bottom"/>
            <w:hideMark/>
          </w:tcPr>
          <w:p w14:paraId="320E9D3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EMA</w:t>
            </w:r>
          </w:p>
        </w:tc>
        <w:tc>
          <w:tcPr>
            <w:tcW w:w="4478" w:type="dxa"/>
            <w:shd w:val="clear" w:color="auto" w:fill="FFFFFF" w:themeFill="background1"/>
            <w:vAlign w:val="bottom"/>
            <w:hideMark/>
          </w:tcPr>
          <w:p w14:paraId="75B34C2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European Medicines Agency</w:t>
            </w:r>
          </w:p>
        </w:tc>
      </w:tr>
      <w:tr w:rsidR="000A27C0" w:rsidRPr="000A27C0" w14:paraId="737FD10A" w14:textId="77777777" w:rsidTr="000713E6">
        <w:tc>
          <w:tcPr>
            <w:tcW w:w="0" w:type="auto"/>
            <w:shd w:val="clear" w:color="auto" w:fill="FFFFFF" w:themeFill="background1"/>
            <w:vAlign w:val="bottom"/>
            <w:hideMark/>
          </w:tcPr>
          <w:p w14:paraId="3C6FD50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GMP</w:t>
            </w:r>
          </w:p>
        </w:tc>
        <w:tc>
          <w:tcPr>
            <w:tcW w:w="4478" w:type="dxa"/>
            <w:shd w:val="clear" w:color="auto" w:fill="FFFFFF" w:themeFill="background1"/>
            <w:vAlign w:val="bottom"/>
            <w:hideMark/>
          </w:tcPr>
          <w:p w14:paraId="294C69B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Good Manufacturing Practices</w:t>
            </w:r>
          </w:p>
        </w:tc>
      </w:tr>
      <w:tr w:rsidR="000A27C0" w:rsidRPr="000A27C0" w14:paraId="31573294" w14:textId="77777777" w:rsidTr="000713E6">
        <w:tc>
          <w:tcPr>
            <w:tcW w:w="0" w:type="auto"/>
            <w:shd w:val="clear" w:color="auto" w:fill="FFFFFF" w:themeFill="background1"/>
            <w:vAlign w:val="bottom"/>
            <w:hideMark/>
          </w:tcPr>
          <w:p w14:paraId="098364B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PAT</w:t>
            </w:r>
          </w:p>
        </w:tc>
        <w:tc>
          <w:tcPr>
            <w:tcW w:w="4478" w:type="dxa"/>
            <w:shd w:val="clear" w:color="auto" w:fill="FFFFFF" w:themeFill="background1"/>
            <w:vAlign w:val="bottom"/>
            <w:hideMark/>
          </w:tcPr>
          <w:p w14:paraId="10BCAD76"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Process Analytical Technology</w:t>
            </w:r>
          </w:p>
        </w:tc>
      </w:tr>
      <w:tr w:rsidR="000A27C0" w:rsidRPr="000A27C0" w14:paraId="7AE57C98" w14:textId="77777777" w:rsidTr="000713E6">
        <w:tc>
          <w:tcPr>
            <w:tcW w:w="0" w:type="auto"/>
            <w:shd w:val="clear" w:color="auto" w:fill="FFFFFF" w:themeFill="background1"/>
            <w:vAlign w:val="bottom"/>
            <w:hideMark/>
          </w:tcPr>
          <w:p w14:paraId="793C1FC5" w14:textId="77777777" w:rsidR="000A27C0" w:rsidRPr="000A27C0" w:rsidRDefault="000A27C0" w:rsidP="000A27C0">
            <w:pPr>
              <w:jc w:val="both"/>
              <w:rPr>
                <w:rFonts w:ascii="Times New Roman" w:hAnsi="Times New Roman" w:cs="Times New Roman"/>
                <w:szCs w:val="28"/>
              </w:rPr>
            </w:pPr>
            <w:proofErr w:type="spellStart"/>
            <w:r w:rsidRPr="000A27C0">
              <w:rPr>
                <w:rFonts w:ascii="Times New Roman" w:hAnsi="Times New Roman" w:cs="Times New Roman"/>
                <w:szCs w:val="28"/>
              </w:rPr>
              <w:t>QbD</w:t>
            </w:r>
            <w:proofErr w:type="spellEnd"/>
          </w:p>
        </w:tc>
        <w:tc>
          <w:tcPr>
            <w:tcW w:w="4478" w:type="dxa"/>
            <w:shd w:val="clear" w:color="auto" w:fill="FFFFFF" w:themeFill="background1"/>
            <w:vAlign w:val="bottom"/>
            <w:hideMark/>
          </w:tcPr>
          <w:p w14:paraId="129BB7C3"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Quality by Design</w:t>
            </w:r>
          </w:p>
        </w:tc>
      </w:tr>
      <w:tr w:rsidR="000A27C0" w:rsidRPr="000A27C0" w14:paraId="11D14183" w14:textId="77777777" w:rsidTr="000713E6">
        <w:tc>
          <w:tcPr>
            <w:tcW w:w="0" w:type="auto"/>
            <w:shd w:val="clear" w:color="auto" w:fill="FFFFFF" w:themeFill="background1"/>
            <w:vAlign w:val="bottom"/>
            <w:hideMark/>
          </w:tcPr>
          <w:p w14:paraId="50E9BB5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mRNA</w:t>
            </w:r>
          </w:p>
        </w:tc>
        <w:tc>
          <w:tcPr>
            <w:tcW w:w="4478" w:type="dxa"/>
            <w:shd w:val="clear" w:color="auto" w:fill="FFFFFF" w:themeFill="background1"/>
            <w:vAlign w:val="bottom"/>
            <w:hideMark/>
          </w:tcPr>
          <w:p w14:paraId="31C5F19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Messenger Ribonucleic Acid</w:t>
            </w:r>
          </w:p>
        </w:tc>
      </w:tr>
      <w:tr w:rsidR="000A27C0" w:rsidRPr="000A27C0" w14:paraId="6187C9C2" w14:textId="77777777" w:rsidTr="000713E6">
        <w:tc>
          <w:tcPr>
            <w:tcW w:w="0" w:type="auto"/>
            <w:shd w:val="clear" w:color="auto" w:fill="FFFFFF" w:themeFill="background1"/>
            <w:vAlign w:val="bottom"/>
            <w:hideMark/>
          </w:tcPr>
          <w:p w14:paraId="23CAFF68"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MRI</w:t>
            </w:r>
          </w:p>
        </w:tc>
        <w:tc>
          <w:tcPr>
            <w:tcW w:w="4478" w:type="dxa"/>
            <w:shd w:val="clear" w:color="auto" w:fill="FFFFFF" w:themeFill="background1"/>
            <w:vAlign w:val="bottom"/>
            <w:hideMark/>
          </w:tcPr>
          <w:p w14:paraId="3DB4F0D4"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Magnetic Resonance Imaging</w:t>
            </w:r>
          </w:p>
        </w:tc>
      </w:tr>
      <w:tr w:rsidR="000A27C0" w:rsidRPr="000A27C0" w14:paraId="39AB1017" w14:textId="77777777" w:rsidTr="000713E6">
        <w:tc>
          <w:tcPr>
            <w:tcW w:w="0" w:type="auto"/>
            <w:shd w:val="clear" w:color="auto" w:fill="FFFFFF" w:themeFill="background1"/>
            <w:vAlign w:val="bottom"/>
            <w:hideMark/>
          </w:tcPr>
          <w:p w14:paraId="3154020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PET</w:t>
            </w:r>
          </w:p>
        </w:tc>
        <w:tc>
          <w:tcPr>
            <w:tcW w:w="4478" w:type="dxa"/>
            <w:shd w:val="clear" w:color="auto" w:fill="FFFFFF" w:themeFill="background1"/>
            <w:vAlign w:val="bottom"/>
            <w:hideMark/>
          </w:tcPr>
          <w:p w14:paraId="7EDE854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Positron Emission Tomography</w:t>
            </w:r>
          </w:p>
        </w:tc>
      </w:tr>
      <w:tr w:rsidR="000A27C0" w:rsidRPr="000A27C0" w14:paraId="546C2147" w14:textId="77777777" w:rsidTr="000713E6">
        <w:tc>
          <w:tcPr>
            <w:tcW w:w="0" w:type="auto"/>
            <w:shd w:val="clear" w:color="auto" w:fill="FFFFFF" w:themeFill="background1"/>
            <w:vAlign w:val="bottom"/>
            <w:hideMark/>
          </w:tcPr>
          <w:p w14:paraId="72951765"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MMP</w:t>
            </w:r>
          </w:p>
        </w:tc>
        <w:tc>
          <w:tcPr>
            <w:tcW w:w="4478" w:type="dxa"/>
            <w:shd w:val="clear" w:color="auto" w:fill="FFFFFF" w:themeFill="background1"/>
            <w:vAlign w:val="bottom"/>
            <w:hideMark/>
          </w:tcPr>
          <w:p w14:paraId="5CAF841D"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Matrix Metalloproteinase</w:t>
            </w:r>
          </w:p>
        </w:tc>
      </w:tr>
      <w:tr w:rsidR="000A27C0" w:rsidRPr="000A27C0" w14:paraId="3B1FADB0" w14:textId="77777777" w:rsidTr="000713E6">
        <w:tc>
          <w:tcPr>
            <w:tcW w:w="0" w:type="auto"/>
            <w:shd w:val="clear" w:color="auto" w:fill="FFFFFF" w:themeFill="background1"/>
            <w:vAlign w:val="bottom"/>
            <w:hideMark/>
          </w:tcPr>
          <w:p w14:paraId="53458B5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RES</w:t>
            </w:r>
          </w:p>
        </w:tc>
        <w:tc>
          <w:tcPr>
            <w:tcW w:w="4478" w:type="dxa"/>
            <w:shd w:val="clear" w:color="auto" w:fill="FFFFFF" w:themeFill="background1"/>
            <w:vAlign w:val="bottom"/>
            <w:hideMark/>
          </w:tcPr>
          <w:p w14:paraId="2DFF6DAF"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Reticuloendothelial System</w:t>
            </w:r>
          </w:p>
        </w:tc>
      </w:tr>
      <w:tr w:rsidR="000A27C0" w:rsidRPr="000A27C0" w14:paraId="07EDBD1F" w14:textId="77777777" w:rsidTr="000713E6">
        <w:tc>
          <w:tcPr>
            <w:tcW w:w="0" w:type="auto"/>
            <w:shd w:val="clear" w:color="auto" w:fill="FFFFFF" w:themeFill="background1"/>
            <w:vAlign w:val="bottom"/>
            <w:hideMark/>
          </w:tcPr>
          <w:p w14:paraId="49570DF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CMO</w:t>
            </w:r>
          </w:p>
        </w:tc>
        <w:tc>
          <w:tcPr>
            <w:tcW w:w="4478" w:type="dxa"/>
            <w:shd w:val="clear" w:color="auto" w:fill="FFFFFF" w:themeFill="background1"/>
            <w:vAlign w:val="bottom"/>
            <w:hideMark/>
          </w:tcPr>
          <w:p w14:paraId="2BC0363E"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Contract Manufacturing Organization</w:t>
            </w:r>
          </w:p>
        </w:tc>
      </w:tr>
      <w:tr w:rsidR="000A27C0" w:rsidRPr="000A27C0" w14:paraId="6573C139" w14:textId="77777777" w:rsidTr="000713E6">
        <w:tc>
          <w:tcPr>
            <w:tcW w:w="0" w:type="auto"/>
            <w:shd w:val="clear" w:color="auto" w:fill="FFFFFF" w:themeFill="background1"/>
            <w:vAlign w:val="bottom"/>
            <w:hideMark/>
          </w:tcPr>
          <w:p w14:paraId="467D0482"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FDA</w:t>
            </w:r>
          </w:p>
        </w:tc>
        <w:tc>
          <w:tcPr>
            <w:tcW w:w="4478" w:type="dxa"/>
            <w:shd w:val="clear" w:color="auto" w:fill="FFFFFF" w:themeFill="background1"/>
            <w:vAlign w:val="bottom"/>
            <w:hideMark/>
          </w:tcPr>
          <w:p w14:paraId="4522DC8C"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Food and Drug Administration</w:t>
            </w:r>
          </w:p>
        </w:tc>
      </w:tr>
      <w:tr w:rsidR="000A27C0" w:rsidRPr="000A27C0" w14:paraId="0E9B0885" w14:textId="77777777" w:rsidTr="000713E6">
        <w:tc>
          <w:tcPr>
            <w:tcW w:w="0" w:type="auto"/>
            <w:shd w:val="clear" w:color="auto" w:fill="FFFFFF" w:themeFill="background1"/>
            <w:vAlign w:val="bottom"/>
            <w:hideMark/>
          </w:tcPr>
          <w:p w14:paraId="24C883CC" w14:textId="77777777" w:rsidR="000A27C0" w:rsidRPr="000A27C0" w:rsidRDefault="000A27C0" w:rsidP="000A27C0">
            <w:pPr>
              <w:jc w:val="both"/>
              <w:rPr>
                <w:rFonts w:ascii="Times New Roman" w:hAnsi="Times New Roman" w:cs="Times New Roman"/>
                <w:szCs w:val="28"/>
              </w:rPr>
            </w:pPr>
            <w:proofErr w:type="spellStart"/>
            <w:r w:rsidRPr="000A27C0">
              <w:rPr>
                <w:rFonts w:ascii="Times New Roman" w:hAnsi="Times New Roman" w:cs="Times New Roman"/>
                <w:szCs w:val="28"/>
              </w:rPr>
              <w:t>QbD</w:t>
            </w:r>
            <w:proofErr w:type="spellEnd"/>
          </w:p>
        </w:tc>
        <w:tc>
          <w:tcPr>
            <w:tcW w:w="4478" w:type="dxa"/>
            <w:shd w:val="clear" w:color="auto" w:fill="FFFFFF" w:themeFill="background1"/>
            <w:vAlign w:val="bottom"/>
            <w:hideMark/>
          </w:tcPr>
          <w:p w14:paraId="3B74E5A7"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Quality by Design</w:t>
            </w:r>
          </w:p>
        </w:tc>
      </w:tr>
      <w:tr w:rsidR="000A27C0" w:rsidRPr="000A27C0" w14:paraId="3F428AE2" w14:textId="77777777" w:rsidTr="000713E6">
        <w:tc>
          <w:tcPr>
            <w:tcW w:w="0" w:type="auto"/>
            <w:shd w:val="clear" w:color="auto" w:fill="FFFFFF" w:themeFill="background1"/>
            <w:vAlign w:val="bottom"/>
            <w:hideMark/>
          </w:tcPr>
          <w:p w14:paraId="6CA2896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UV</w:t>
            </w:r>
          </w:p>
        </w:tc>
        <w:tc>
          <w:tcPr>
            <w:tcW w:w="4478" w:type="dxa"/>
            <w:shd w:val="clear" w:color="auto" w:fill="FFFFFF" w:themeFill="background1"/>
            <w:vAlign w:val="bottom"/>
            <w:hideMark/>
          </w:tcPr>
          <w:p w14:paraId="327EA311"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Ultraviolet</w:t>
            </w:r>
          </w:p>
        </w:tc>
      </w:tr>
      <w:tr w:rsidR="000A27C0" w:rsidRPr="000A27C0" w14:paraId="194D9BB0" w14:textId="77777777" w:rsidTr="000713E6">
        <w:tc>
          <w:tcPr>
            <w:tcW w:w="0" w:type="auto"/>
            <w:shd w:val="clear" w:color="auto" w:fill="FFFFFF" w:themeFill="background1"/>
            <w:vAlign w:val="bottom"/>
            <w:hideMark/>
          </w:tcPr>
          <w:p w14:paraId="76D6D36B"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NIR</w:t>
            </w:r>
          </w:p>
        </w:tc>
        <w:tc>
          <w:tcPr>
            <w:tcW w:w="4478" w:type="dxa"/>
            <w:shd w:val="clear" w:color="auto" w:fill="FFFFFF" w:themeFill="background1"/>
            <w:vAlign w:val="bottom"/>
            <w:hideMark/>
          </w:tcPr>
          <w:p w14:paraId="2A79AF7A" w14:textId="77777777" w:rsidR="000A27C0" w:rsidRPr="000A27C0" w:rsidRDefault="000A27C0" w:rsidP="000A27C0">
            <w:pPr>
              <w:jc w:val="both"/>
              <w:rPr>
                <w:rFonts w:ascii="Times New Roman" w:hAnsi="Times New Roman" w:cs="Times New Roman"/>
                <w:szCs w:val="28"/>
              </w:rPr>
            </w:pPr>
            <w:r w:rsidRPr="000A27C0">
              <w:rPr>
                <w:rFonts w:ascii="Times New Roman" w:hAnsi="Times New Roman" w:cs="Times New Roman"/>
                <w:szCs w:val="28"/>
              </w:rPr>
              <w:t>Near-Infrared</w:t>
            </w:r>
          </w:p>
        </w:tc>
      </w:tr>
    </w:tbl>
    <w:p w14:paraId="681AE8E3" w14:textId="77777777" w:rsidR="000A27C0" w:rsidRDefault="000A27C0" w:rsidP="007D5277">
      <w:pPr>
        <w:jc w:val="both"/>
        <w:rPr>
          <w:rFonts w:ascii="Times New Roman" w:hAnsi="Times New Roman" w:cs="Times New Roman"/>
          <w:szCs w:val="28"/>
        </w:rPr>
      </w:pPr>
    </w:p>
    <w:p w14:paraId="239DA2F3" w14:textId="74485F04" w:rsidR="000A27C0" w:rsidRDefault="000713E6" w:rsidP="007D5277">
      <w:pPr>
        <w:jc w:val="both"/>
        <w:rPr>
          <w:rFonts w:ascii="Times New Roman" w:hAnsi="Times New Roman" w:cs="Times New Roman"/>
          <w:szCs w:val="28"/>
        </w:rPr>
      </w:pPr>
      <w:r>
        <w:rPr>
          <w:rFonts w:ascii="Times New Roman" w:hAnsi="Times New Roman" w:cs="Times New Roman"/>
          <w:szCs w:val="28"/>
        </w:rPr>
        <w:t xml:space="preserve">References – </w:t>
      </w:r>
    </w:p>
    <w:p w14:paraId="277DC349" w14:textId="1D78E9C3" w:rsidR="000713E6" w:rsidRPr="000713E6" w:rsidRDefault="004C0C0B" w:rsidP="000713E6">
      <w:pPr>
        <w:pStyle w:val="ListParagraph"/>
        <w:numPr>
          <w:ilvl w:val="0"/>
          <w:numId w:val="3"/>
        </w:numPr>
        <w:jc w:val="both"/>
        <w:rPr>
          <w:rFonts w:ascii="Times New Roman" w:hAnsi="Times New Roman" w:cs="Times New Roman"/>
          <w:szCs w:val="28"/>
        </w:rPr>
      </w:pPr>
      <w:r w:rsidRPr="004C0C0B">
        <w:rPr>
          <w:rFonts w:ascii="Times New Roman" w:hAnsi="Times New Roman" w:cs="Times New Roman"/>
          <w:szCs w:val="28"/>
        </w:rPr>
        <w:lastRenderedPageBreak/>
        <w:t xml:space="preserve">Lammers, T., </w:t>
      </w:r>
      <w:proofErr w:type="spellStart"/>
      <w:r w:rsidRPr="004C0C0B">
        <w:rPr>
          <w:rFonts w:ascii="Times New Roman" w:hAnsi="Times New Roman" w:cs="Times New Roman"/>
          <w:szCs w:val="28"/>
        </w:rPr>
        <w:t>Aime</w:t>
      </w:r>
      <w:proofErr w:type="spellEnd"/>
      <w:r w:rsidRPr="004C0C0B">
        <w:rPr>
          <w:rFonts w:ascii="Times New Roman" w:hAnsi="Times New Roman" w:cs="Times New Roman"/>
          <w:szCs w:val="28"/>
        </w:rPr>
        <w:t xml:space="preserve">, S., </w:t>
      </w:r>
      <w:proofErr w:type="spellStart"/>
      <w:r w:rsidRPr="004C0C0B">
        <w:rPr>
          <w:rFonts w:ascii="Times New Roman" w:hAnsi="Times New Roman" w:cs="Times New Roman"/>
          <w:szCs w:val="28"/>
        </w:rPr>
        <w:t>Hennink</w:t>
      </w:r>
      <w:proofErr w:type="spellEnd"/>
      <w:r w:rsidRPr="004C0C0B">
        <w:rPr>
          <w:rFonts w:ascii="Times New Roman" w:hAnsi="Times New Roman" w:cs="Times New Roman"/>
          <w:szCs w:val="28"/>
        </w:rPr>
        <w:t xml:space="preserve">, W. E., Storm, G., &amp; </w:t>
      </w:r>
      <w:proofErr w:type="spellStart"/>
      <w:r w:rsidRPr="004C0C0B">
        <w:rPr>
          <w:rFonts w:ascii="Times New Roman" w:hAnsi="Times New Roman" w:cs="Times New Roman"/>
          <w:szCs w:val="28"/>
        </w:rPr>
        <w:t>Kiessling</w:t>
      </w:r>
      <w:proofErr w:type="spellEnd"/>
      <w:r w:rsidRPr="004C0C0B">
        <w:rPr>
          <w:rFonts w:ascii="Times New Roman" w:hAnsi="Times New Roman" w:cs="Times New Roman"/>
          <w:szCs w:val="28"/>
        </w:rPr>
        <w:t xml:space="preserve">, F. (2011). </w:t>
      </w:r>
      <w:proofErr w:type="spellStart"/>
      <w:r w:rsidRPr="004C0C0B">
        <w:rPr>
          <w:rFonts w:ascii="Times New Roman" w:hAnsi="Times New Roman" w:cs="Times New Roman"/>
          <w:szCs w:val="28"/>
        </w:rPr>
        <w:t>Theranostic</w:t>
      </w:r>
      <w:proofErr w:type="spellEnd"/>
      <w:r w:rsidRPr="004C0C0B">
        <w:rPr>
          <w:rFonts w:ascii="Times New Roman" w:hAnsi="Times New Roman" w:cs="Times New Roman"/>
          <w:szCs w:val="28"/>
        </w:rPr>
        <w:t xml:space="preserve"> nanomedicine. Accounts of Chemical Research, 44(10), 1029–1038. </w:t>
      </w:r>
      <w:hyperlink r:id="rId10" w:history="1">
        <w:r w:rsidRPr="00704273">
          <w:rPr>
            <w:rStyle w:val="Hyperlink"/>
            <w:rFonts w:ascii="Times New Roman" w:hAnsi="Times New Roman" w:cs="Times New Roman"/>
            <w:szCs w:val="28"/>
          </w:rPr>
          <w:t>https://doi.org/10.1021/ar200019c</w:t>
        </w:r>
      </w:hyperlink>
      <w:r>
        <w:rPr>
          <w:rFonts w:ascii="Times New Roman" w:hAnsi="Times New Roman" w:cs="Times New Roman"/>
          <w:szCs w:val="28"/>
        </w:rPr>
        <w:t xml:space="preserve"> </w:t>
      </w:r>
    </w:p>
    <w:p w14:paraId="1EB984D0" w14:textId="7BC4F555" w:rsidR="000713E6" w:rsidRPr="000713E6" w:rsidRDefault="009A2EE0" w:rsidP="000713E6">
      <w:pPr>
        <w:pStyle w:val="ListParagraph"/>
        <w:numPr>
          <w:ilvl w:val="0"/>
          <w:numId w:val="3"/>
        </w:numPr>
        <w:jc w:val="both"/>
        <w:rPr>
          <w:rFonts w:ascii="Times New Roman" w:hAnsi="Times New Roman" w:cs="Times New Roman"/>
          <w:szCs w:val="28"/>
        </w:rPr>
      </w:pPr>
      <w:proofErr w:type="spellStart"/>
      <w:r w:rsidRPr="009A2EE0">
        <w:rPr>
          <w:rFonts w:ascii="Times New Roman" w:hAnsi="Times New Roman" w:cs="Times New Roman"/>
          <w:szCs w:val="28"/>
        </w:rPr>
        <w:t>Whitesides</w:t>
      </w:r>
      <w:proofErr w:type="spellEnd"/>
      <w:r w:rsidRPr="009A2EE0">
        <w:rPr>
          <w:rFonts w:ascii="Times New Roman" w:hAnsi="Times New Roman" w:cs="Times New Roman"/>
          <w:szCs w:val="28"/>
        </w:rPr>
        <w:t xml:space="preserve">, G. M. (2006). The origins and the future of microfluidics. Nature, 442(7101), 368–373. </w:t>
      </w:r>
      <w:hyperlink r:id="rId11" w:history="1">
        <w:r w:rsidRPr="00704273">
          <w:rPr>
            <w:rStyle w:val="Hyperlink"/>
            <w:rFonts w:ascii="Times New Roman" w:hAnsi="Times New Roman" w:cs="Times New Roman"/>
            <w:szCs w:val="28"/>
          </w:rPr>
          <w:t>https://doi.org/10.1038/nature05058</w:t>
        </w:r>
      </w:hyperlink>
      <w:r>
        <w:rPr>
          <w:rFonts w:ascii="Times New Roman" w:hAnsi="Times New Roman" w:cs="Times New Roman"/>
          <w:szCs w:val="28"/>
        </w:rPr>
        <w:t xml:space="preserve"> </w:t>
      </w:r>
    </w:p>
    <w:p w14:paraId="4E28E95E" w14:textId="15E9C77D" w:rsidR="000713E6" w:rsidRPr="000713E6" w:rsidRDefault="00670AE9" w:rsidP="000713E6">
      <w:pPr>
        <w:pStyle w:val="ListParagraph"/>
        <w:numPr>
          <w:ilvl w:val="0"/>
          <w:numId w:val="3"/>
        </w:numPr>
        <w:jc w:val="both"/>
        <w:rPr>
          <w:rFonts w:ascii="Times New Roman" w:hAnsi="Times New Roman" w:cs="Times New Roman"/>
          <w:szCs w:val="28"/>
        </w:rPr>
      </w:pPr>
      <w:r w:rsidRPr="00670AE9">
        <w:rPr>
          <w:rFonts w:ascii="Times New Roman" w:hAnsi="Times New Roman" w:cs="Times New Roman"/>
          <w:szCs w:val="28"/>
        </w:rPr>
        <w:t xml:space="preserve">Mura, S., Nicolas, J., &amp; </w:t>
      </w:r>
      <w:proofErr w:type="spellStart"/>
      <w:r w:rsidRPr="00670AE9">
        <w:rPr>
          <w:rFonts w:ascii="Times New Roman" w:hAnsi="Times New Roman" w:cs="Times New Roman"/>
          <w:szCs w:val="28"/>
        </w:rPr>
        <w:t>Couvreur</w:t>
      </w:r>
      <w:proofErr w:type="spellEnd"/>
      <w:r w:rsidRPr="00670AE9">
        <w:rPr>
          <w:rFonts w:ascii="Times New Roman" w:hAnsi="Times New Roman" w:cs="Times New Roman"/>
          <w:szCs w:val="28"/>
        </w:rPr>
        <w:t xml:space="preserve">, P. (2013). Stimuli-responsive nanocarriers for drug delivery. Nature Materials, 12(11), 991–1003. </w:t>
      </w:r>
      <w:hyperlink r:id="rId12" w:history="1">
        <w:r w:rsidRPr="00704273">
          <w:rPr>
            <w:rStyle w:val="Hyperlink"/>
            <w:rFonts w:ascii="Times New Roman" w:hAnsi="Times New Roman" w:cs="Times New Roman"/>
            <w:szCs w:val="28"/>
          </w:rPr>
          <w:t>https://doi.org/10.1038/nmat3776</w:t>
        </w:r>
      </w:hyperlink>
      <w:r>
        <w:rPr>
          <w:rFonts w:ascii="Times New Roman" w:hAnsi="Times New Roman" w:cs="Times New Roman"/>
          <w:szCs w:val="28"/>
        </w:rPr>
        <w:t xml:space="preserve"> </w:t>
      </w:r>
    </w:p>
    <w:p w14:paraId="128D91C5" w14:textId="6DF8B3F5" w:rsidR="000713E6" w:rsidRPr="000713E6" w:rsidRDefault="00465407" w:rsidP="000713E6">
      <w:pPr>
        <w:pStyle w:val="ListParagraph"/>
        <w:numPr>
          <w:ilvl w:val="0"/>
          <w:numId w:val="3"/>
        </w:numPr>
        <w:jc w:val="both"/>
        <w:rPr>
          <w:rFonts w:ascii="Times New Roman" w:hAnsi="Times New Roman" w:cs="Times New Roman"/>
          <w:szCs w:val="28"/>
        </w:rPr>
      </w:pPr>
      <w:r w:rsidRPr="00465407">
        <w:rPr>
          <w:rFonts w:ascii="Times New Roman" w:hAnsi="Times New Roman" w:cs="Times New Roman"/>
          <w:szCs w:val="28"/>
        </w:rPr>
        <w:t>Lee, H.-</w:t>
      </w:r>
      <w:proofErr w:type="spellStart"/>
      <w:r w:rsidRPr="00465407">
        <w:rPr>
          <w:rFonts w:ascii="Times New Roman" w:hAnsi="Times New Roman" w:cs="Times New Roman"/>
          <w:szCs w:val="28"/>
        </w:rPr>
        <w:t>i</w:t>
      </w:r>
      <w:proofErr w:type="spellEnd"/>
      <w:r w:rsidRPr="00465407">
        <w:rPr>
          <w:rFonts w:ascii="Times New Roman" w:hAnsi="Times New Roman" w:cs="Times New Roman"/>
          <w:szCs w:val="28"/>
        </w:rPr>
        <w:t xml:space="preserve">., </w:t>
      </w:r>
      <w:proofErr w:type="spellStart"/>
      <w:r w:rsidRPr="00465407">
        <w:rPr>
          <w:rFonts w:ascii="Times New Roman" w:hAnsi="Times New Roman" w:cs="Times New Roman"/>
          <w:szCs w:val="28"/>
        </w:rPr>
        <w:t>Pietrasik</w:t>
      </w:r>
      <w:proofErr w:type="spellEnd"/>
      <w:r w:rsidRPr="00465407">
        <w:rPr>
          <w:rFonts w:ascii="Times New Roman" w:hAnsi="Times New Roman" w:cs="Times New Roman"/>
          <w:szCs w:val="28"/>
        </w:rPr>
        <w:t xml:space="preserve">, J., </w:t>
      </w:r>
      <w:proofErr w:type="spellStart"/>
      <w:r w:rsidRPr="00465407">
        <w:rPr>
          <w:rFonts w:ascii="Times New Roman" w:hAnsi="Times New Roman" w:cs="Times New Roman"/>
          <w:szCs w:val="28"/>
        </w:rPr>
        <w:t>Sheiko</w:t>
      </w:r>
      <w:proofErr w:type="spellEnd"/>
      <w:r w:rsidRPr="00465407">
        <w:rPr>
          <w:rFonts w:ascii="Times New Roman" w:hAnsi="Times New Roman" w:cs="Times New Roman"/>
          <w:szCs w:val="28"/>
        </w:rPr>
        <w:t xml:space="preserve">, S. S., &amp; </w:t>
      </w:r>
      <w:proofErr w:type="spellStart"/>
      <w:r w:rsidRPr="00465407">
        <w:rPr>
          <w:rFonts w:ascii="Times New Roman" w:hAnsi="Times New Roman" w:cs="Times New Roman"/>
          <w:szCs w:val="28"/>
        </w:rPr>
        <w:t>Matyjaszewski</w:t>
      </w:r>
      <w:proofErr w:type="spellEnd"/>
      <w:r w:rsidRPr="00465407">
        <w:rPr>
          <w:rFonts w:ascii="Times New Roman" w:hAnsi="Times New Roman" w:cs="Times New Roman"/>
          <w:szCs w:val="28"/>
        </w:rPr>
        <w:t xml:space="preserve">, K. (2010). Stimuli-responsive molecular brushes. Progress in Polymer Science, 35(1-2), 24–44. </w:t>
      </w:r>
      <w:hyperlink r:id="rId13" w:history="1">
        <w:r w:rsidRPr="00704273">
          <w:rPr>
            <w:rStyle w:val="Hyperlink"/>
            <w:rFonts w:ascii="Times New Roman" w:hAnsi="Times New Roman" w:cs="Times New Roman"/>
            <w:szCs w:val="28"/>
          </w:rPr>
          <w:t>https://doi.org/10.1016/j.progpolymsci.2009.11.002</w:t>
        </w:r>
      </w:hyperlink>
      <w:r>
        <w:rPr>
          <w:rFonts w:ascii="Times New Roman" w:hAnsi="Times New Roman" w:cs="Times New Roman"/>
          <w:szCs w:val="28"/>
        </w:rPr>
        <w:t xml:space="preserve"> </w:t>
      </w:r>
    </w:p>
    <w:p w14:paraId="5C1DE524" w14:textId="65C9D1FE" w:rsidR="000713E6" w:rsidRPr="000713E6" w:rsidRDefault="00C61D56" w:rsidP="000713E6">
      <w:pPr>
        <w:pStyle w:val="ListParagraph"/>
        <w:numPr>
          <w:ilvl w:val="0"/>
          <w:numId w:val="3"/>
        </w:numPr>
        <w:jc w:val="both"/>
        <w:rPr>
          <w:rFonts w:ascii="Times New Roman" w:hAnsi="Times New Roman" w:cs="Times New Roman"/>
          <w:szCs w:val="28"/>
        </w:rPr>
      </w:pPr>
      <w:proofErr w:type="spellStart"/>
      <w:r w:rsidRPr="00C61D56">
        <w:rPr>
          <w:rFonts w:ascii="Times New Roman" w:hAnsi="Times New Roman" w:cs="Times New Roman"/>
          <w:szCs w:val="28"/>
        </w:rPr>
        <w:t>Mehnert</w:t>
      </w:r>
      <w:proofErr w:type="spellEnd"/>
      <w:r w:rsidRPr="00C61D56">
        <w:rPr>
          <w:rFonts w:ascii="Times New Roman" w:hAnsi="Times New Roman" w:cs="Times New Roman"/>
          <w:szCs w:val="28"/>
        </w:rPr>
        <w:t xml:space="preserve">, W., &amp; </w:t>
      </w:r>
      <w:proofErr w:type="spellStart"/>
      <w:r w:rsidRPr="00C61D56">
        <w:rPr>
          <w:rFonts w:ascii="Times New Roman" w:hAnsi="Times New Roman" w:cs="Times New Roman"/>
          <w:szCs w:val="28"/>
        </w:rPr>
        <w:t>Mäder</w:t>
      </w:r>
      <w:proofErr w:type="spellEnd"/>
      <w:r w:rsidRPr="00C61D56">
        <w:rPr>
          <w:rFonts w:ascii="Times New Roman" w:hAnsi="Times New Roman" w:cs="Times New Roman"/>
          <w:szCs w:val="28"/>
        </w:rPr>
        <w:t xml:space="preserve">, K. (2001). Solid lipid nanoparticles: production, characterization and applications. Advanced Drug Delivery Reviews, 47(2-3), 165-196. </w:t>
      </w:r>
      <w:hyperlink r:id="rId14" w:history="1">
        <w:r w:rsidRPr="00704273">
          <w:rPr>
            <w:rStyle w:val="Hyperlink"/>
            <w:rFonts w:ascii="Times New Roman" w:hAnsi="Times New Roman" w:cs="Times New Roman"/>
            <w:szCs w:val="28"/>
          </w:rPr>
          <w:t>https://doi.org/10.1016/S0169-409X(01)00105-3</w:t>
        </w:r>
      </w:hyperlink>
      <w:r>
        <w:rPr>
          <w:rFonts w:ascii="Times New Roman" w:hAnsi="Times New Roman" w:cs="Times New Roman"/>
          <w:szCs w:val="28"/>
        </w:rPr>
        <w:t xml:space="preserve"> </w:t>
      </w:r>
    </w:p>
    <w:p w14:paraId="01EC8739" w14:textId="0A5D0ED9" w:rsidR="000713E6" w:rsidRPr="000713E6" w:rsidRDefault="003D12A5" w:rsidP="000713E6">
      <w:pPr>
        <w:pStyle w:val="ListParagraph"/>
        <w:numPr>
          <w:ilvl w:val="0"/>
          <w:numId w:val="3"/>
        </w:numPr>
        <w:jc w:val="both"/>
        <w:rPr>
          <w:rFonts w:ascii="Times New Roman" w:hAnsi="Times New Roman" w:cs="Times New Roman"/>
          <w:szCs w:val="28"/>
        </w:rPr>
      </w:pPr>
      <w:r w:rsidRPr="003D12A5">
        <w:rPr>
          <w:rFonts w:ascii="Times New Roman" w:hAnsi="Times New Roman" w:cs="Times New Roman"/>
          <w:szCs w:val="28"/>
        </w:rPr>
        <w:t xml:space="preserve">Rathore, A. S., &amp; Winkle, H. (2009). Quality by design for biopharmaceuticals. Nature Biotechnology, 27(1), 26–34. </w:t>
      </w:r>
      <w:hyperlink r:id="rId15" w:history="1">
        <w:r w:rsidRPr="00704273">
          <w:rPr>
            <w:rStyle w:val="Hyperlink"/>
            <w:rFonts w:ascii="Times New Roman" w:hAnsi="Times New Roman" w:cs="Times New Roman"/>
            <w:szCs w:val="28"/>
          </w:rPr>
          <w:t>https://doi.org/10.1038/nbt0109-26</w:t>
        </w:r>
      </w:hyperlink>
      <w:r>
        <w:rPr>
          <w:rFonts w:ascii="Times New Roman" w:hAnsi="Times New Roman" w:cs="Times New Roman"/>
          <w:szCs w:val="28"/>
        </w:rPr>
        <w:t xml:space="preserve"> </w:t>
      </w:r>
    </w:p>
    <w:p w14:paraId="6A0C53D2" w14:textId="134CF196" w:rsidR="000713E6" w:rsidRPr="000713E6" w:rsidRDefault="009B3D4B" w:rsidP="000713E6">
      <w:pPr>
        <w:pStyle w:val="ListParagraph"/>
        <w:numPr>
          <w:ilvl w:val="0"/>
          <w:numId w:val="3"/>
        </w:numPr>
        <w:jc w:val="both"/>
        <w:rPr>
          <w:rFonts w:ascii="Times New Roman" w:hAnsi="Times New Roman" w:cs="Times New Roman"/>
          <w:szCs w:val="28"/>
        </w:rPr>
      </w:pPr>
      <w:r w:rsidRPr="009B3D4B">
        <w:rPr>
          <w:rFonts w:ascii="Times New Roman" w:hAnsi="Times New Roman" w:cs="Times New Roman"/>
          <w:szCs w:val="28"/>
          <w:lang w:val="nb-NO"/>
        </w:rPr>
        <w:t xml:space="preserve">Discher, D. E., &amp; Eisenberg, A. (2002). Polymer Vesicles. Science, 297(5583), 967–973. </w:t>
      </w:r>
      <w:r>
        <w:rPr>
          <w:rFonts w:ascii="Times New Roman" w:hAnsi="Times New Roman" w:cs="Times New Roman"/>
          <w:szCs w:val="28"/>
          <w:lang w:val="nb-NO"/>
        </w:rPr>
        <w:fldChar w:fldCharType="begin"/>
      </w:r>
      <w:r>
        <w:rPr>
          <w:rFonts w:ascii="Times New Roman" w:hAnsi="Times New Roman" w:cs="Times New Roman"/>
          <w:szCs w:val="28"/>
          <w:lang w:val="nb-NO"/>
        </w:rPr>
        <w:instrText xml:space="preserve"> HYPERLINK "</w:instrText>
      </w:r>
      <w:r w:rsidRPr="009B3D4B">
        <w:rPr>
          <w:rFonts w:ascii="Times New Roman" w:hAnsi="Times New Roman" w:cs="Times New Roman"/>
          <w:szCs w:val="28"/>
          <w:lang w:val="nb-NO"/>
        </w:rPr>
        <w:instrText>https://doi.org/10.1126/science.1074972</w:instrText>
      </w:r>
      <w:r>
        <w:rPr>
          <w:rFonts w:ascii="Times New Roman" w:hAnsi="Times New Roman" w:cs="Times New Roman"/>
          <w:szCs w:val="28"/>
          <w:lang w:val="nb-NO"/>
        </w:rPr>
        <w:instrText xml:space="preserve">" </w:instrText>
      </w:r>
      <w:r>
        <w:rPr>
          <w:rFonts w:ascii="Times New Roman" w:hAnsi="Times New Roman" w:cs="Times New Roman"/>
          <w:szCs w:val="28"/>
          <w:lang w:val="nb-NO"/>
        </w:rPr>
        <w:fldChar w:fldCharType="separate"/>
      </w:r>
      <w:r w:rsidRPr="00704273">
        <w:rPr>
          <w:rStyle w:val="Hyperlink"/>
          <w:rFonts w:ascii="Times New Roman" w:hAnsi="Times New Roman" w:cs="Times New Roman"/>
          <w:szCs w:val="28"/>
          <w:lang w:val="nb-NO"/>
        </w:rPr>
        <w:t>https://doi.org/10.1126/science.1074972</w:t>
      </w:r>
      <w:r>
        <w:rPr>
          <w:rFonts w:ascii="Times New Roman" w:hAnsi="Times New Roman" w:cs="Times New Roman"/>
          <w:szCs w:val="28"/>
          <w:lang w:val="nb-NO"/>
        </w:rPr>
        <w:fldChar w:fldCharType="end"/>
      </w:r>
      <w:r>
        <w:rPr>
          <w:rFonts w:ascii="Times New Roman" w:hAnsi="Times New Roman" w:cs="Times New Roman"/>
          <w:szCs w:val="28"/>
          <w:lang w:val="nb-NO"/>
        </w:rPr>
        <w:t xml:space="preserve"> </w:t>
      </w:r>
    </w:p>
    <w:p w14:paraId="75F88F62" w14:textId="5AB437BE" w:rsidR="000713E6" w:rsidRPr="000713E6" w:rsidRDefault="00395450" w:rsidP="000713E6">
      <w:pPr>
        <w:pStyle w:val="ListParagraph"/>
        <w:numPr>
          <w:ilvl w:val="0"/>
          <w:numId w:val="3"/>
        </w:numPr>
        <w:jc w:val="both"/>
        <w:rPr>
          <w:rFonts w:ascii="Times New Roman" w:hAnsi="Times New Roman" w:cs="Times New Roman"/>
          <w:szCs w:val="28"/>
        </w:rPr>
      </w:pPr>
      <w:r w:rsidRPr="00395450">
        <w:rPr>
          <w:rFonts w:ascii="Times New Roman" w:hAnsi="Times New Roman" w:cs="Times New Roman"/>
          <w:szCs w:val="28"/>
        </w:rPr>
        <w:t>Du, N., Park, H. B., Robertson, G. P., Dal-</w:t>
      </w:r>
      <w:proofErr w:type="spellStart"/>
      <w:r w:rsidRPr="00395450">
        <w:rPr>
          <w:rFonts w:ascii="Times New Roman" w:hAnsi="Times New Roman" w:cs="Times New Roman"/>
          <w:szCs w:val="28"/>
        </w:rPr>
        <w:t>Cin</w:t>
      </w:r>
      <w:proofErr w:type="spellEnd"/>
      <w:r w:rsidRPr="00395450">
        <w:rPr>
          <w:rFonts w:ascii="Times New Roman" w:hAnsi="Times New Roman" w:cs="Times New Roman"/>
          <w:szCs w:val="28"/>
        </w:rPr>
        <w:t xml:space="preserve">, M. M., Visser, T., </w:t>
      </w:r>
      <w:proofErr w:type="spellStart"/>
      <w:r w:rsidRPr="00395450">
        <w:rPr>
          <w:rFonts w:ascii="Times New Roman" w:hAnsi="Times New Roman" w:cs="Times New Roman"/>
          <w:szCs w:val="28"/>
        </w:rPr>
        <w:t>Scoles</w:t>
      </w:r>
      <w:proofErr w:type="spellEnd"/>
      <w:r w:rsidRPr="00395450">
        <w:rPr>
          <w:rFonts w:ascii="Times New Roman" w:hAnsi="Times New Roman" w:cs="Times New Roman"/>
          <w:szCs w:val="28"/>
        </w:rPr>
        <w:t xml:space="preserve">, L., &amp; </w:t>
      </w:r>
      <w:proofErr w:type="spellStart"/>
      <w:r w:rsidRPr="00395450">
        <w:rPr>
          <w:rFonts w:ascii="Times New Roman" w:hAnsi="Times New Roman" w:cs="Times New Roman"/>
          <w:szCs w:val="28"/>
        </w:rPr>
        <w:t>Guiver</w:t>
      </w:r>
      <w:proofErr w:type="spellEnd"/>
      <w:r w:rsidRPr="00395450">
        <w:rPr>
          <w:rFonts w:ascii="Times New Roman" w:hAnsi="Times New Roman" w:cs="Times New Roman"/>
          <w:szCs w:val="28"/>
        </w:rPr>
        <w:t xml:space="preserve">, M. D. (2011). Polymer </w:t>
      </w:r>
      <w:proofErr w:type="spellStart"/>
      <w:r w:rsidRPr="00395450">
        <w:rPr>
          <w:rFonts w:ascii="Times New Roman" w:hAnsi="Times New Roman" w:cs="Times New Roman"/>
          <w:szCs w:val="28"/>
        </w:rPr>
        <w:t>nanosieve</w:t>
      </w:r>
      <w:proofErr w:type="spellEnd"/>
      <w:r w:rsidRPr="00395450">
        <w:rPr>
          <w:rFonts w:ascii="Times New Roman" w:hAnsi="Times New Roman" w:cs="Times New Roman"/>
          <w:szCs w:val="28"/>
        </w:rPr>
        <w:t xml:space="preserve"> membranes for CO2-capture applications. Nature Materials, 10(5), 372–375. </w:t>
      </w:r>
      <w:hyperlink r:id="rId16" w:history="1">
        <w:r w:rsidRPr="00704273">
          <w:rPr>
            <w:rStyle w:val="Hyperlink"/>
            <w:rFonts w:ascii="Times New Roman" w:hAnsi="Times New Roman" w:cs="Times New Roman"/>
            <w:szCs w:val="28"/>
          </w:rPr>
          <w:t>https://doi.org/10.1038/nmat2989</w:t>
        </w:r>
      </w:hyperlink>
      <w:r>
        <w:rPr>
          <w:rFonts w:ascii="Times New Roman" w:hAnsi="Times New Roman" w:cs="Times New Roman"/>
          <w:szCs w:val="28"/>
        </w:rPr>
        <w:t xml:space="preserve"> </w:t>
      </w:r>
    </w:p>
    <w:p w14:paraId="5BA18941" w14:textId="549519D6" w:rsidR="000713E6" w:rsidRPr="000713E6" w:rsidRDefault="00B34ED0" w:rsidP="000713E6">
      <w:pPr>
        <w:pStyle w:val="ListParagraph"/>
        <w:numPr>
          <w:ilvl w:val="0"/>
          <w:numId w:val="3"/>
        </w:numPr>
        <w:jc w:val="both"/>
        <w:rPr>
          <w:rFonts w:ascii="Times New Roman" w:hAnsi="Times New Roman" w:cs="Times New Roman"/>
          <w:szCs w:val="28"/>
        </w:rPr>
      </w:pPr>
      <w:proofErr w:type="spellStart"/>
      <w:r w:rsidRPr="00B34ED0">
        <w:rPr>
          <w:rFonts w:ascii="Times New Roman" w:hAnsi="Times New Roman" w:cs="Times New Roman"/>
          <w:szCs w:val="28"/>
        </w:rPr>
        <w:t>Danhier</w:t>
      </w:r>
      <w:proofErr w:type="spellEnd"/>
      <w:r w:rsidRPr="00B34ED0">
        <w:rPr>
          <w:rFonts w:ascii="Times New Roman" w:hAnsi="Times New Roman" w:cs="Times New Roman"/>
          <w:szCs w:val="28"/>
        </w:rPr>
        <w:t xml:space="preserve">, F., </w:t>
      </w:r>
      <w:proofErr w:type="spellStart"/>
      <w:r w:rsidRPr="00B34ED0">
        <w:rPr>
          <w:rFonts w:ascii="Times New Roman" w:hAnsi="Times New Roman" w:cs="Times New Roman"/>
          <w:szCs w:val="28"/>
        </w:rPr>
        <w:t>Ansorena</w:t>
      </w:r>
      <w:proofErr w:type="spellEnd"/>
      <w:r w:rsidRPr="00B34ED0">
        <w:rPr>
          <w:rFonts w:ascii="Times New Roman" w:hAnsi="Times New Roman" w:cs="Times New Roman"/>
          <w:szCs w:val="28"/>
        </w:rPr>
        <w:t xml:space="preserve">, E., Silva, J. M., Coco, R., Le Breton, A., &amp; </w:t>
      </w:r>
      <w:proofErr w:type="spellStart"/>
      <w:r w:rsidRPr="00B34ED0">
        <w:rPr>
          <w:rFonts w:ascii="Times New Roman" w:hAnsi="Times New Roman" w:cs="Times New Roman"/>
          <w:szCs w:val="28"/>
        </w:rPr>
        <w:t>Préat</w:t>
      </w:r>
      <w:proofErr w:type="spellEnd"/>
      <w:r w:rsidRPr="00B34ED0">
        <w:rPr>
          <w:rFonts w:ascii="Times New Roman" w:hAnsi="Times New Roman" w:cs="Times New Roman"/>
          <w:szCs w:val="28"/>
        </w:rPr>
        <w:t xml:space="preserve">, V. (2012). PLGA-based nanoparticles: An overview of biomedical applications. Journal of Controlled Release, 161(2), 505–522. </w:t>
      </w:r>
      <w:hyperlink r:id="rId17" w:history="1">
        <w:r w:rsidRPr="00704273">
          <w:rPr>
            <w:rStyle w:val="Hyperlink"/>
            <w:rFonts w:ascii="Times New Roman" w:hAnsi="Times New Roman" w:cs="Times New Roman"/>
            <w:szCs w:val="28"/>
          </w:rPr>
          <w:t>https://doi.org/10.1016/j.jconrel.2012.01.043</w:t>
        </w:r>
      </w:hyperlink>
      <w:r>
        <w:rPr>
          <w:rFonts w:ascii="Times New Roman" w:hAnsi="Times New Roman" w:cs="Times New Roman"/>
          <w:szCs w:val="28"/>
        </w:rPr>
        <w:t xml:space="preserve"> </w:t>
      </w:r>
    </w:p>
    <w:p w14:paraId="5F1B56C2" w14:textId="357BA4F9" w:rsidR="000713E6" w:rsidRPr="000713E6" w:rsidRDefault="00B34ED0" w:rsidP="000713E6">
      <w:pPr>
        <w:pStyle w:val="ListParagraph"/>
        <w:numPr>
          <w:ilvl w:val="0"/>
          <w:numId w:val="3"/>
        </w:numPr>
        <w:jc w:val="both"/>
        <w:rPr>
          <w:rFonts w:ascii="Times New Roman" w:hAnsi="Times New Roman" w:cs="Times New Roman"/>
          <w:szCs w:val="28"/>
        </w:rPr>
      </w:pPr>
      <w:r w:rsidRPr="00B34ED0">
        <w:rPr>
          <w:rFonts w:ascii="Times New Roman" w:hAnsi="Times New Roman" w:cs="Times New Roman"/>
          <w:szCs w:val="28"/>
        </w:rPr>
        <w:t xml:space="preserve">Williams, M. S., Buchanan, A. H., Davis, F. D., </w:t>
      </w:r>
      <w:proofErr w:type="spellStart"/>
      <w:r w:rsidRPr="00B34ED0">
        <w:rPr>
          <w:rFonts w:ascii="Times New Roman" w:hAnsi="Times New Roman" w:cs="Times New Roman"/>
          <w:szCs w:val="28"/>
        </w:rPr>
        <w:t>Faucett</w:t>
      </w:r>
      <w:proofErr w:type="spellEnd"/>
      <w:r w:rsidRPr="00B34ED0">
        <w:rPr>
          <w:rFonts w:ascii="Times New Roman" w:hAnsi="Times New Roman" w:cs="Times New Roman"/>
          <w:szCs w:val="28"/>
        </w:rPr>
        <w:t xml:space="preserve">, W. A., </w:t>
      </w:r>
      <w:proofErr w:type="spellStart"/>
      <w:r w:rsidRPr="00B34ED0">
        <w:rPr>
          <w:rFonts w:ascii="Times New Roman" w:hAnsi="Times New Roman" w:cs="Times New Roman"/>
          <w:szCs w:val="28"/>
        </w:rPr>
        <w:t>Hallquist</w:t>
      </w:r>
      <w:proofErr w:type="spellEnd"/>
      <w:r w:rsidRPr="00B34ED0">
        <w:rPr>
          <w:rFonts w:ascii="Times New Roman" w:hAnsi="Times New Roman" w:cs="Times New Roman"/>
          <w:szCs w:val="28"/>
        </w:rPr>
        <w:t xml:space="preserve">, M. L. G., Leader, J. B., Martin, C. L., McCormick, C. Z., Meyer, M. N., Murray, M. F., Rahm, A. K., Schwartz, M. L. B., Sturm, A. C., Wagner, J. K., Williams, J. L., Willard, H. F., &amp; Ledbetter, D. H. (2018). Patient-Centered Precision Health </w:t>
      </w:r>
      <w:proofErr w:type="gramStart"/>
      <w:r w:rsidRPr="00B34ED0">
        <w:rPr>
          <w:rFonts w:ascii="Times New Roman" w:hAnsi="Times New Roman" w:cs="Times New Roman"/>
          <w:szCs w:val="28"/>
        </w:rPr>
        <w:t>In</w:t>
      </w:r>
      <w:proofErr w:type="gramEnd"/>
      <w:r w:rsidRPr="00B34ED0">
        <w:rPr>
          <w:rFonts w:ascii="Times New Roman" w:hAnsi="Times New Roman" w:cs="Times New Roman"/>
          <w:szCs w:val="28"/>
        </w:rPr>
        <w:t xml:space="preserve"> A Learning Health Care System: Geisinger’s Genomic Medicine Experience. Health Affairs, 37(5), 757–764. </w:t>
      </w:r>
      <w:hyperlink r:id="rId18" w:history="1">
        <w:r w:rsidRPr="00704273">
          <w:rPr>
            <w:rStyle w:val="Hyperlink"/>
            <w:rFonts w:ascii="Times New Roman" w:hAnsi="Times New Roman" w:cs="Times New Roman"/>
            <w:szCs w:val="28"/>
          </w:rPr>
          <w:t>https://doi.org/10.1377/hlthaff.2017.1557</w:t>
        </w:r>
      </w:hyperlink>
      <w:r>
        <w:rPr>
          <w:rFonts w:ascii="Times New Roman" w:hAnsi="Times New Roman" w:cs="Times New Roman"/>
          <w:szCs w:val="28"/>
        </w:rPr>
        <w:t xml:space="preserve"> </w:t>
      </w:r>
    </w:p>
    <w:p w14:paraId="36DC29A4" w14:textId="51EEFC9E" w:rsidR="000713E6" w:rsidRPr="000713E6" w:rsidRDefault="00B34ED0" w:rsidP="000713E6">
      <w:pPr>
        <w:pStyle w:val="ListParagraph"/>
        <w:numPr>
          <w:ilvl w:val="0"/>
          <w:numId w:val="3"/>
        </w:numPr>
        <w:jc w:val="both"/>
        <w:rPr>
          <w:rFonts w:ascii="Times New Roman" w:hAnsi="Times New Roman" w:cs="Times New Roman"/>
          <w:szCs w:val="28"/>
        </w:rPr>
      </w:pPr>
      <w:proofErr w:type="spellStart"/>
      <w:r w:rsidRPr="00B34ED0">
        <w:rPr>
          <w:rFonts w:ascii="Times New Roman" w:hAnsi="Times New Roman" w:cs="Times New Roman"/>
          <w:szCs w:val="28"/>
        </w:rPr>
        <w:t>Mitragotri</w:t>
      </w:r>
      <w:proofErr w:type="spellEnd"/>
      <w:r w:rsidRPr="00B34ED0">
        <w:rPr>
          <w:rFonts w:ascii="Times New Roman" w:hAnsi="Times New Roman" w:cs="Times New Roman"/>
          <w:szCs w:val="28"/>
        </w:rPr>
        <w:t xml:space="preserve">, S., Burke, P. A., &amp; Langer, R. (2014). Overcoming the challenges in administering biopharmaceuticals: formulation and delivery strategies. Nat Rev Drug </w:t>
      </w:r>
      <w:proofErr w:type="spellStart"/>
      <w:r w:rsidRPr="00B34ED0">
        <w:rPr>
          <w:rFonts w:ascii="Times New Roman" w:hAnsi="Times New Roman" w:cs="Times New Roman"/>
          <w:szCs w:val="28"/>
        </w:rPr>
        <w:t>Discov</w:t>
      </w:r>
      <w:proofErr w:type="spellEnd"/>
      <w:r w:rsidRPr="00B34ED0">
        <w:rPr>
          <w:rFonts w:ascii="Times New Roman" w:hAnsi="Times New Roman" w:cs="Times New Roman"/>
          <w:szCs w:val="28"/>
        </w:rPr>
        <w:t xml:space="preserve">, 13(9), 655–72. </w:t>
      </w:r>
      <w:hyperlink r:id="rId19" w:history="1">
        <w:r w:rsidRPr="00704273">
          <w:rPr>
            <w:rStyle w:val="Hyperlink"/>
            <w:rFonts w:ascii="Times New Roman" w:hAnsi="Times New Roman" w:cs="Times New Roman"/>
            <w:szCs w:val="28"/>
          </w:rPr>
          <w:t>https://doi.org/10.1038/nrd4363</w:t>
        </w:r>
      </w:hyperlink>
      <w:r>
        <w:rPr>
          <w:rFonts w:ascii="Times New Roman" w:hAnsi="Times New Roman" w:cs="Times New Roman"/>
          <w:szCs w:val="28"/>
        </w:rPr>
        <w:t xml:space="preserve"> </w:t>
      </w:r>
    </w:p>
    <w:p w14:paraId="37365843" w14:textId="65AC0BE5" w:rsidR="000713E6" w:rsidRPr="000713E6" w:rsidRDefault="00B34ED0" w:rsidP="000713E6">
      <w:pPr>
        <w:pStyle w:val="ListParagraph"/>
        <w:numPr>
          <w:ilvl w:val="0"/>
          <w:numId w:val="3"/>
        </w:numPr>
        <w:jc w:val="both"/>
        <w:rPr>
          <w:rFonts w:ascii="Times New Roman" w:hAnsi="Times New Roman" w:cs="Times New Roman"/>
          <w:szCs w:val="28"/>
        </w:rPr>
      </w:pPr>
      <w:proofErr w:type="spellStart"/>
      <w:r w:rsidRPr="00B34ED0">
        <w:rPr>
          <w:rFonts w:ascii="Times New Roman" w:hAnsi="Times New Roman" w:cs="Times New Roman"/>
          <w:szCs w:val="28"/>
        </w:rPr>
        <w:t>Mallakpour</w:t>
      </w:r>
      <w:proofErr w:type="spellEnd"/>
      <w:r w:rsidRPr="00B34ED0">
        <w:rPr>
          <w:rFonts w:ascii="Times New Roman" w:hAnsi="Times New Roman" w:cs="Times New Roman"/>
          <w:szCs w:val="28"/>
        </w:rPr>
        <w:t xml:space="preserve">, S., &amp; </w:t>
      </w:r>
      <w:proofErr w:type="spellStart"/>
      <w:r w:rsidRPr="00B34ED0">
        <w:rPr>
          <w:rFonts w:ascii="Times New Roman" w:hAnsi="Times New Roman" w:cs="Times New Roman"/>
          <w:szCs w:val="28"/>
        </w:rPr>
        <w:t>Rafiee</w:t>
      </w:r>
      <w:proofErr w:type="spellEnd"/>
      <w:r w:rsidRPr="00B34ED0">
        <w:rPr>
          <w:rFonts w:ascii="Times New Roman" w:hAnsi="Times New Roman" w:cs="Times New Roman"/>
          <w:szCs w:val="28"/>
        </w:rPr>
        <w:t xml:space="preserve">, Z. (2011). New developments in polymer science and technology using combination of ionic liquids and microwave irradiation. Progress in Polymer Science, 36(12), 1754–1765. </w:t>
      </w:r>
      <w:hyperlink r:id="rId20" w:history="1">
        <w:r w:rsidRPr="00704273">
          <w:rPr>
            <w:rStyle w:val="Hyperlink"/>
            <w:rFonts w:ascii="Times New Roman" w:hAnsi="Times New Roman" w:cs="Times New Roman"/>
            <w:szCs w:val="28"/>
          </w:rPr>
          <w:t>https://doi.org/10.1016/j.progpolymsci.2011.03.001</w:t>
        </w:r>
      </w:hyperlink>
      <w:r>
        <w:rPr>
          <w:rFonts w:ascii="Times New Roman" w:hAnsi="Times New Roman" w:cs="Times New Roman"/>
          <w:szCs w:val="28"/>
        </w:rPr>
        <w:t xml:space="preserve"> </w:t>
      </w:r>
    </w:p>
    <w:p w14:paraId="3AE4DA75" w14:textId="27131853" w:rsidR="000713E6" w:rsidRPr="000713E6" w:rsidRDefault="00B34ED0" w:rsidP="000713E6">
      <w:pPr>
        <w:pStyle w:val="ListParagraph"/>
        <w:numPr>
          <w:ilvl w:val="0"/>
          <w:numId w:val="3"/>
        </w:numPr>
        <w:jc w:val="both"/>
        <w:rPr>
          <w:rFonts w:ascii="Times New Roman" w:hAnsi="Times New Roman" w:cs="Times New Roman"/>
          <w:szCs w:val="28"/>
        </w:rPr>
      </w:pPr>
      <w:r w:rsidRPr="00B34ED0">
        <w:rPr>
          <w:rFonts w:ascii="Times New Roman" w:hAnsi="Times New Roman" w:cs="Times New Roman"/>
          <w:szCs w:val="28"/>
        </w:rPr>
        <w:t xml:space="preserve">Anselmo, A. C., &amp; </w:t>
      </w:r>
      <w:proofErr w:type="spellStart"/>
      <w:r w:rsidRPr="00B34ED0">
        <w:rPr>
          <w:rFonts w:ascii="Times New Roman" w:hAnsi="Times New Roman" w:cs="Times New Roman"/>
          <w:szCs w:val="28"/>
        </w:rPr>
        <w:t>Mitragotri</w:t>
      </w:r>
      <w:proofErr w:type="spellEnd"/>
      <w:r w:rsidRPr="00B34ED0">
        <w:rPr>
          <w:rFonts w:ascii="Times New Roman" w:hAnsi="Times New Roman" w:cs="Times New Roman"/>
          <w:szCs w:val="28"/>
        </w:rPr>
        <w:t xml:space="preserve">, S. (2019). Nanoparticles in the clinic: An update. Bioengineering &amp; Translational Medicine, 4(3), e10143. </w:t>
      </w:r>
      <w:hyperlink r:id="rId21" w:history="1">
        <w:r w:rsidRPr="00704273">
          <w:rPr>
            <w:rStyle w:val="Hyperlink"/>
            <w:rFonts w:ascii="Times New Roman" w:hAnsi="Times New Roman" w:cs="Times New Roman"/>
            <w:szCs w:val="28"/>
          </w:rPr>
          <w:t>https://doi.org/10.1002/btm2.10143</w:t>
        </w:r>
      </w:hyperlink>
      <w:r>
        <w:rPr>
          <w:rFonts w:ascii="Times New Roman" w:hAnsi="Times New Roman" w:cs="Times New Roman"/>
          <w:szCs w:val="28"/>
        </w:rPr>
        <w:t xml:space="preserve"> </w:t>
      </w:r>
    </w:p>
    <w:p w14:paraId="789D855B" w14:textId="57030E48" w:rsidR="000713E6" w:rsidRPr="000713E6" w:rsidRDefault="00B34ED0" w:rsidP="000713E6">
      <w:pPr>
        <w:pStyle w:val="ListParagraph"/>
        <w:numPr>
          <w:ilvl w:val="0"/>
          <w:numId w:val="3"/>
        </w:numPr>
        <w:jc w:val="both"/>
        <w:rPr>
          <w:rFonts w:ascii="Times New Roman" w:hAnsi="Times New Roman" w:cs="Times New Roman"/>
          <w:szCs w:val="28"/>
        </w:rPr>
      </w:pPr>
      <w:proofErr w:type="spellStart"/>
      <w:r w:rsidRPr="00B34ED0">
        <w:rPr>
          <w:rFonts w:ascii="Times New Roman" w:hAnsi="Times New Roman" w:cs="Times New Roman"/>
          <w:szCs w:val="28"/>
        </w:rPr>
        <w:lastRenderedPageBreak/>
        <w:t>Riehemann</w:t>
      </w:r>
      <w:proofErr w:type="spellEnd"/>
      <w:r w:rsidRPr="00B34ED0">
        <w:rPr>
          <w:rFonts w:ascii="Times New Roman" w:hAnsi="Times New Roman" w:cs="Times New Roman"/>
          <w:szCs w:val="28"/>
        </w:rPr>
        <w:t xml:space="preserve">, K., Schneider, S. W., Luger, T. A., Godin, B., Ferrari, M., &amp; Fuchs, H. (2009). Nanomedicine—Challenge and Perspectives. </w:t>
      </w:r>
      <w:proofErr w:type="spellStart"/>
      <w:r w:rsidRPr="00B34ED0">
        <w:rPr>
          <w:rFonts w:ascii="Times New Roman" w:hAnsi="Times New Roman" w:cs="Times New Roman"/>
          <w:szCs w:val="28"/>
        </w:rPr>
        <w:t>Angewandte</w:t>
      </w:r>
      <w:proofErr w:type="spellEnd"/>
      <w:r w:rsidRPr="00B34ED0">
        <w:rPr>
          <w:rFonts w:ascii="Times New Roman" w:hAnsi="Times New Roman" w:cs="Times New Roman"/>
          <w:szCs w:val="28"/>
        </w:rPr>
        <w:t xml:space="preserve"> </w:t>
      </w:r>
      <w:proofErr w:type="spellStart"/>
      <w:r w:rsidRPr="00B34ED0">
        <w:rPr>
          <w:rFonts w:ascii="Times New Roman" w:hAnsi="Times New Roman" w:cs="Times New Roman"/>
          <w:szCs w:val="28"/>
        </w:rPr>
        <w:t>Chemie</w:t>
      </w:r>
      <w:proofErr w:type="spellEnd"/>
      <w:r w:rsidRPr="00B34ED0">
        <w:rPr>
          <w:rFonts w:ascii="Times New Roman" w:hAnsi="Times New Roman" w:cs="Times New Roman"/>
          <w:szCs w:val="28"/>
        </w:rPr>
        <w:t xml:space="preserve"> International Edition, 48(5), 872–897. </w:t>
      </w:r>
      <w:hyperlink r:id="rId22" w:history="1">
        <w:r w:rsidRPr="00704273">
          <w:rPr>
            <w:rStyle w:val="Hyperlink"/>
            <w:rFonts w:ascii="Times New Roman" w:hAnsi="Times New Roman" w:cs="Times New Roman"/>
            <w:szCs w:val="28"/>
          </w:rPr>
          <w:t>https://doi.org/10.1002/anie.200802585</w:t>
        </w:r>
      </w:hyperlink>
      <w:r>
        <w:rPr>
          <w:rFonts w:ascii="Times New Roman" w:hAnsi="Times New Roman" w:cs="Times New Roman"/>
          <w:szCs w:val="28"/>
        </w:rPr>
        <w:t xml:space="preserve"> </w:t>
      </w:r>
    </w:p>
    <w:p w14:paraId="4E11DF81" w14:textId="594A8F6D" w:rsidR="000713E6" w:rsidRPr="000713E6" w:rsidRDefault="00B34ED0" w:rsidP="000713E6">
      <w:pPr>
        <w:pStyle w:val="ListParagraph"/>
        <w:numPr>
          <w:ilvl w:val="0"/>
          <w:numId w:val="3"/>
        </w:numPr>
        <w:jc w:val="both"/>
        <w:rPr>
          <w:rFonts w:ascii="Times New Roman" w:hAnsi="Times New Roman" w:cs="Times New Roman"/>
          <w:szCs w:val="28"/>
        </w:rPr>
      </w:pPr>
      <w:proofErr w:type="spellStart"/>
      <w:r w:rsidRPr="00B34ED0">
        <w:rPr>
          <w:rFonts w:ascii="Times New Roman" w:hAnsi="Times New Roman" w:cs="Times New Roman"/>
          <w:szCs w:val="28"/>
        </w:rPr>
        <w:t>Torchilin</w:t>
      </w:r>
      <w:proofErr w:type="spellEnd"/>
      <w:r w:rsidRPr="00B34ED0">
        <w:rPr>
          <w:rFonts w:ascii="Times New Roman" w:hAnsi="Times New Roman" w:cs="Times New Roman"/>
          <w:szCs w:val="28"/>
        </w:rPr>
        <w:t xml:space="preserve">, V. P. (2014). Multifunctional, stimuli-sensitive nanoparticulate systems for drug delivery. Nature Reviews Drug Discovery, 13(11), 813–827. </w:t>
      </w:r>
      <w:hyperlink r:id="rId23" w:history="1">
        <w:r w:rsidRPr="00704273">
          <w:rPr>
            <w:rStyle w:val="Hyperlink"/>
            <w:rFonts w:ascii="Times New Roman" w:hAnsi="Times New Roman" w:cs="Times New Roman"/>
            <w:szCs w:val="28"/>
          </w:rPr>
          <w:t>https://doi.org/10.1038/nrd4333</w:t>
        </w:r>
      </w:hyperlink>
      <w:r>
        <w:rPr>
          <w:rFonts w:ascii="Times New Roman" w:hAnsi="Times New Roman" w:cs="Times New Roman"/>
          <w:szCs w:val="28"/>
        </w:rPr>
        <w:t xml:space="preserve"> </w:t>
      </w:r>
    </w:p>
    <w:p w14:paraId="1EB843FD" w14:textId="1E5ADADF" w:rsidR="000713E6" w:rsidRPr="000713E6" w:rsidRDefault="004D3485" w:rsidP="000713E6">
      <w:pPr>
        <w:pStyle w:val="ListParagraph"/>
        <w:numPr>
          <w:ilvl w:val="0"/>
          <w:numId w:val="3"/>
        </w:numPr>
        <w:jc w:val="both"/>
        <w:rPr>
          <w:rFonts w:ascii="Times New Roman" w:hAnsi="Times New Roman" w:cs="Times New Roman"/>
          <w:szCs w:val="28"/>
        </w:rPr>
      </w:pPr>
      <w:proofErr w:type="spellStart"/>
      <w:r w:rsidRPr="004D3485">
        <w:rPr>
          <w:rFonts w:ascii="Times New Roman" w:hAnsi="Times New Roman" w:cs="Times New Roman"/>
          <w:szCs w:val="28"/>
        </w:rPr>
        <w:t>Pardi</w:t>
      </w:r>
      <w:proofErr w:type="spellEnd"/>
      <w:r w:rsidRPr="004D3485">
        <w:rPr>
          <w:rFonts w:ascii="Times New Roman" w:hAnsi="Times New Roman" w:cs="Times New Roman"/>
          <w:szCs w:val="28"/>
        </w:rPr>
        <w:t xml:space="preserve">, N., Hogan, M. J., Porter, F. W., &amp; Weissman, D. (2018). mRNA vaccines — a new era in vaccinology. Nature Reviews Drug Discovery, 17(4), 261–279. </w:t>
      </w:r>
      <w:hyperlink r:id="rId24" w:history="1">
        <w:r w:rsidRPr="00704273">
          <w:rPr>
            <w:rStyle w:val="Hyperlink"/>
            <w:rFonts w:ascii="Times New Roman" w:hAnsi="Times New Roman" w:cs="Times New Roman"/>
            <w:szCs w:val="28"/>
          </w:rPr>
          <w:t>https://doi.org/10.1038/nrd.2017.243</w:t>
        </w:r>
      </w:hyperlink>
      <w:r>
        <w:rPr>
          <w:rFonts w:ascii="Times New Roman" w:hAnsi="Times New Roman" w:cs="Times New Roman"/>
          <w:szCs w:val="28"/>
        </w:rPr>
        <w:t xml:space="preserve"> </w:t>
      </w:r>
    </w:p>
    <w:p w14:paraId="1E14F882" w14:textId="73122CD3" w:rsidR="000713E6" w:rsidRPr="000713E6" w:rsidRDefault="004D3485" w:rsidP="000713E6">
      <w:pPr>
        <w:pStyle w:val="ListParagraph"/>
        <w:numPr>
          <w:ilvl w:val="0"/>
          <w:numId w:val="3"/>
        </w:numPr>
        <w:jc w:val="both"/>
        <w:rPr>
          <w:rFonts w:ascii="Times New Roman" w:hAnsi="Times New Roman" w:cs="Times New Roman"/>
          <w:szCs w:val="28"/>
        </w:rPr>
      </w:pPr>
      <w:r w:rsidRPr="004D3485">
        <w:rPr>
          <w:rFonts w:ascii="Times New Roman" w:hAnsi="Times New Roman" w:cs="Times New Roman"/>
          <w:szCs w:val="28"/>
        </w:rPr>
        <w:t>Slowing, I. I., Vivero-</w:t>
      </w:r>
      <w:proofErr w:type="spellStart"/>
      <w:r w:rsidRPr="004D3485">
        <w:rPr>
          <w:rFonts w:ascii="Times New Roman" w:hAnsi="Times New Roman" w:cs="Times New Roman"/>
          <w:szCs w:val="28"/>
        </w:rPr>
        <w:t>Escoto</w:t>
      </w:r>
      <w:proofErr w:type="spellEnd"/>
      <w:r w:rsidRPr="004D3485">
        <w:rPr>
          <w:rFonts w:ascii="Times New Roman" w:hAnsi="Times New Roman" w:cs="Times New Roman"/>
          <w:szCs w:val="28"/>
        </w:rPr>
        <w:t xml:space="preserve">, J. L., Wu, C. W., &amp; Lin, V. S.-Y. (2008). Mesoporous silica nanoparticles as controlled release drug delivery and gene transfection carriers. Advanced Drug Delivery Reviews, 60(11), 1278–1288. </w:t>
      </w:r>
      <w:hyperlink r:id="rId25" w:history="1">
        <w:r w:rsidRPr="00704273">
          <w:rPr>
            <w:rStyle w:val="Hyperlink"/>
            <w:rFonts w:ascii="Times New Roman" w:hAnsi="Times New Roman" w:cs="Times New Roman"/>
            <w:szCs w:val="28"/>
          </w:rPr>
          <w:t>https://doi.org/10.1016/j.addr.2008.03.012</w:t>
        </w:r>
      </w:hyperlink>
      <w:r>
        <w:rPr>
          <w:rFonts w:ascii="Times New Roman" w:hAnsi="Times New Roman" w:cs="Times New Roman"/>
          <w:szCs w:val="28"/>
        </w:rPr>
        <w:t xml:space="preserve"> </w:t>
      </w:r>
    </w:p>
    <w:p w14:paraId="258E6487" w14:textId="24B3E6FA" w:rsidR="000713E6" w:rsidRPr="000713E6" w:rsidRDefault="00915A2D" w:rsidP="000713E6">
      <w:pPr>
        <w:pStyle w:val="ListParagraph"/>
        <w:numPr>
          <w:ilvl w:val="0"/>
          <w:numId w:val="3"/>
        </w:numPr>
        <w:jc w:val="both"/>
        <w:rPr>
          <w:rFonts w:ascii="Times New Roman" w:hAnsi="Times New Roman" w:cs="Times New Roman"/>
          <w:szCs w:val="28"/>
        </w:rPr>
      </w:pPr>
      <w:r w:rsidRPr="00915A2D">
        <w:rPr>
          <w:rFonts w:ascii="Times New Roman" w:hAnsi="Times New Roman" w:cs="Times New Roman"/>
          <w:szCs w:val="28"/>
          <w:lang w:val="nb-NO"/>
        </w:rPr>
        <w:t xml:space="preserve">DiMasi, J. A., Grabowski, H. G., &amp; Hansen, R. W. (2016). Innovation in the pharmaceutical industry: New estimates of R&amp;D costs. Journal of Health Economics, 47, 20–33. </w:t>
      </w:r>
      <w:r>
        <w:rPr>
          <w:rFonts w:ascii="Times New Roman" w:hAnsi="Times New Roman" w:cs="Times New Roman"/>
          <w:szCs w:val="28"/>
          <w:lang w:val="nb-NO"/>
        </w:rPr>
        <w:fldChar w:fldCharType="begin"/>
      </w:r>
      <w:r>
        <w:rPr>
          <w:rFonts w:ascii="Times New Roman" w:hAnsi="Times New Roman" w:cs="Times New Roman"/>
          <w:szCs w:val="28"/>
          <w:lang w:val="nb-NO"/>
        </w:rPr>
        <w:instrText xml:space="preserve"> HYPERLINK "</w:instrText>
      </w:r>
      <w:r w:rsidRPr="00915A2D">
        <w:rPr>
          <w:rFonts w:ascii="Times New Roman" w:hAnsi="Times New Roman" w:cs="Times New Roman"/>
          <w:szCs w:val="28"/>
          <w:lang w:val="nb-NO"/>
        </w:rPr>
        <w:instrText>https://doi.org/10.1016/j.jhealeco.2016.01.012</w:instrText>
      </w:r>
      <w:r>
        <w:rPr>
          <w:rFonts w:ascii="Times New Roman" w:hAnsi="Times New Roman" w:cs="Times New Roman"/>
          <w:szCs w:val="28"/>
          <w:lang w:val="nb-NO"/>
        </w:rPr>
        <w:instrText xml:space="preserve">" </w:instrText>
      </w:r>
      <w:r>
        <w:rPr>
          <w:rFonts w:ascii="Times New Roman" w:hAnsi="Times New Roman" w:cs="Times New Roman"/>
          <w:szCs w:val="28"/>
          <w:lang w:val="nb-NO"/>
        </w:rPr>
        <w:fldChar w:fldCharType="separate"/>
      </w:r>
      <w:r w:rsidRPr="00704273">
        <w:rPr>
          <w:rStyle w:val="Hyperlink"/>
          <w:rFonts w:ascii="Times New Roman" w:hAnsi="Times New Roman" w:cs="Times New Roman"/>
          <w:szCs w:val="28"/>
          <w:lang w:val="nb-NO"/>
        </w:rPr>
        <w:t>https://doi.org/10.1016/j.jhealeco.2016.01.012</w:t>
      </w:r>
      <w:r>
        <w:rPr>
          <w:rFonts w:ascii="Times New Roman" w:hAnsi="Times New Roman" w:cs="Times New Roman"/>
          <w:szCs w:val="28"/>
          <w:lang w:val="nb-NO"/>
        </w:rPr>
        <w:fldChar w:fldCharType="end"/>
      </w:r>
      <w:r>
        <w:rPr>
          <w:rFonts w:ascii="Times New Roman" w:hAnsi="Times New Roman" w:cs="Times New Roman"/>
          <w:szCs w:val="28"/>
          <w:lang w:val="nb-NO"/>
        </w:rPr>
        <w:t xml:space="preserve"> </w:t>
      </w:r>
    </w:p>
    <w:p w14:paraId="62B34597" w14:textId="25AB059C"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Patton, J. S., &amp; Byron, P. R. (2007). Inhaling medicines: delivering drugs to the body through the lungs. Nature Reviews Drug Discovery. </w:t>
      </w:r>
      <w:hyperlink r:id="rId26" w:history="1">
        <w:r w:rsidRPr="00704273">
          <w:rPr>
            <w:rStyle w:val="Hyperlink"/>
            <w:rFonts w:ascii="Times New Roman" w:hAnsi="Times New Roman" w:cs="Times New Roman"/>
            <w:szCs w:val="28"/>
          </w:rPr>
          <w:t>https://doi.org/10.1038/nrd2153</w:t>
        </w:r>
      </w:hyperlink>
      <w:r>
        <w:rPr>
          <w:rFonts w:ascii="Times New Roman" w:hAnsi="Times New Roman" w:cs="Times New Roman"/>
          <w:szCs w:val="28"/>
        </w:rPr>
        <w:t xml:space="preserve"> </w:t>
      </w:r>
    </w:p>
    <w:p w14:paraId="128194B0" w14:textId="27C698AB" w:rsidR="000713E6" w:rsidRPr="000713E6" w:rsidRDefault="005C2FBC" w:rsidP="000713E6">
      <w:pPr>
        <w:pStyle w:val="ListParagraph"/>
        <w:numPr>
          <w:ilvl w:val="0"/>
          <w:numId w:val="3"/>
        </w:numPr>
        <w:jc w:val="both"/>
        <w:rPr>
          <w:rFonts w:ascii="Times New Roman" w:hAnsi="Times New Roman" w:cs="Times New Roman"/>
          <w:szCs w:val="28"/>
        </w:rPr>
      </w:pPr>
      <w:proofErr w:type="spellStart"/>
      <w:r w:rsidRPr="005C2FBC">
        <w:rPr>
          <w:rFonts w:ascii="Times New Roman" w:hAnsi="Times New Roman" w:cs="Times New Roman"/>
          <w:szCs w:val="28"/>
        </w:rPr>
        <w:t>Danaei</w:t>
      </w:r>
      <w:proofErr w:type="spellEnd"/>
      <w:r w:rsidRPr="005C2FBC">
        <w:rPr>
          <w:rFonts w:ascii="Times New Roman" w:hAnsi="Times New Roman" w:cs="Times New Roman"/>
          <w:szCs w:val="28"/>
        </w:rPr>
        <w:t xml:space="preserve">, M., </w:t>
      </w:r>
      <w:proofErr w:type="spellStart"/>
      <w:r w:rsidRPr="005C2FBC">
        <w:rPr>
          <w:rFonts w:ascii="Times New Roman" w:hAnsi="Times New Roman" w:cs="Times New Roman"/>
          <w:szCs w:val="28"/>
        </w:rPr>
        <w:t>Dehghankhold</w:t>
      </w:r>
      <w:proofErr w:type="spellEnd"/>
      <w:r w:rsidRPr="005C2FBC">
        <w:rPr>
          <w:rFonts w:ascii="Times New Roman" w:hAnsi="Times New Roman" w:cs="Times New Roman"/>
          <w:szCs w:val="28"/>
        </w:rPr>
        <w:t xml:space="preserve">, M., </w:t>
      </w:r>
      <w:proofErr w:type="spellStart"/>
      <w:r w:rsidRPr="005C2FBC">
        <w:rPr>
          <w:rFonts w:ascii="Times New Roman" w:hAnsi="Times New Roman" w:cs="Times New Roman"/>
          <w:szCs w:val="28"/>
        </w:rPr>
        <w:t>Ataei</w:t>
      </w:r>
      <w:proofErr w:type="spellEnd"/>
      <w:r w:rsidRPr="005C2FBC">
        <w:rPr>
          <w:rFonts w:ascii="Times New Roman" w:hAnsi="Times New Roman" w:cs="Times New Roman"/>
          <w:szCs w:val="28"/>
        </w:rPr>
        <w:t xml:space="preserve">, S., </w:t>
      </w:r>
      <w:proofErr w:type="spellStart"/>
      <w:r w:rsidRPr="005C2FBC">
        <w:rPr>
          <w:rFonts w:ascii="Times New Roman" w:hAnsi="Times New Roman" w:cs="Times New Roman"/>
          <w:szCs w:val="28"/>
        </w:rPr>
        <w:t>Hasanzadeh</w:t>
      </w:r>
      <w:proofErr w:type="spellEnd"/>
      <w:r w:rsidRPr="005C2FBC">
        <w:rPr>
          <w:rFonts w:ascii="Times New Roman" w:hAnsi="Times New Roman" w:cs="Times New Roman"/>
          <w:szCs w:val="28"/>
        </w:rPr>
        <w:t xml:space="preserve"> </w:t>
      </w:r>
      <w:proofErr w:type="spellStart"/>
      <w:r w:rsidRPr="005C2FBC">
        <w:rPr>
          <w:rFonts w:ascii="Times New Roman" w:hAnsi="Times New Roman" w:cs="Times New Roman"/>
          <w:szCs w:val="28"/>
        </w:rPr>
        <w:t>Davarani</w:t>
      </w:r>
      <w:proofErr w:type="spellEnd"/>
      <w:r w:rsidRPr="005C2FBC">
        <w:rPr>
          <w:rFonts w:ascii="Times New Roman" w:hAnsi="Times New Roman" w:cs="Times New Roman"/>
          <w:szCs w:val="28"/>
        </w:rPr>
        <w:t xml:space="preserve">, F., </w:t>
      </w:r>
      <w:proofErr w:type="spellStart"/>
      <w:r w:rsidRPr="005C2FBC">
        <w:rPr>
          <w:rFonts w:ascii="Times New Roman" w:hAnsi="Times New Roman" w:cs="Times New Roman"/>
          <w:szCs w:val="28"/>
        </w:rPr>
        <w:t>Javanmard</w:t>
      </w:r>
      <w:proofErr w:type="spellEnd"/>
      <w:r w:rsidRPr="005C2FBC">
        <w:rPr>
          <w:rFonts w:ascii="Times New Roman" w:hAnsi="Times New Roman" w:cs="Times New Roman"/>
          <w:szCs w:val="28"/>
        </w:rPr>
        <w:t xml:space="preserve">, R., </w:t>
      </w:r>
      <w:proofErr w:type="spellStart"/>
      <w:r w:rsidRPr="005C2FBC">
        <w:rPr>
          <w:rFonts w:ascii="Times New Roman" w:hAnsi="Times New Roman" w:cs="Times New Roman"/>
          <w:szCs w:val="28"/>
        </w:rPr>
        <w:t>Dokhani</w:t>
      </w:r>
      <w:proofErr w:type="spellEnd"/>
      <w:r w:rsidRPr="005C2FBC">
        <w:rPr>
          <w:rFonts w:ascii="Times New Roman" w:hAnsi="Times New Roman" w:cs="Times New Roman"/>
          <w:szCs w:val="28"/>
        </w:rPr>
        <w:t xml:space="preserve">, A., </w:t>
      </w:r>
      <w:proofErr w:type="spellStart"/>
      <w:r w:rsidRPr="005C2FBC">
        <w:rPr>
          <w:rFonts w:ascii="Times New Roman" w:hAnsi="Times New Roman" w:cs="Times New Roman"/>
          <w:szCs w:val="28"/>
        </w:rPr>
        <w:t>Khorasani</w:t>
      </w:r>
      <w:proofErr w:type="spellEnd"/>
      <w:r w:rsidRPr="005C2FBC">
        <w:rPr>
          <w:rFonts w:ascii="Times New Roman" w:hAnsi="Times New Roman" w:cs="Times New Roman"/>
          <w:szCs w:val="28"/>
        </w:rPr>
        <w:t xml:space="preserve">, S., &amp; </w:t>
      </w:r>
      <w:proofErr w:type="spellStart"/>
      <w:r w:rsidRPr="005C2FBC">
        <w:rPr>
          <w:rFonts w:ascii="Times New Roman" w:hAnsi="Times New Roman" w:cs="Times New Roman"/>
          <w:szCs w:val="28"/>
        </w:rPr>
        <w:t>Mozafari</w:t>
      </w:r>
      <w:proofErr w:type="spellEnd"/>
      <w:r w:rsidRPr="005C2FBC">
        <w:rPr>
          <w:rFonts w:ascii="Times New Roman" w:hAnsi="Times New Roman" w:cs="Times New Roman"/>
          <w:szCs w:val="28"/>
        </w:rPr>
        <w:t xml:space="preserve">, M. R. (2018). Impact of Particle Size and Polydispersity Index on the Clinical Applications of Lipidic Nanocarrier Systems. Pharmaceutics, 10(2), 57. </w:t>
      </w:r>
      <w:hyperlink r:id="rId27" w:history="1">
        <w:r w:rsidRPr="00704273">
          <w:rPr>
            <w:rStyle w:val="Hyperlink"/>
            <w:rFonts w:ascii="Times New Roman" w:hAnsi="Times New Roman" w:cs="Times New Roman"/>
            <w:szCs w:val="28"/>
          </w:rPr>
          <w:t>https://doi.org/10.3390/pharmaceutics10020057</w:t>
        </w:r>
      </w:hyperlink>
      <w:r>
        <w:rPr>
          <w:rFonts w:ascii="Times New Roman" w:hAnsi="Times New Roman" w:cs="Times New Roman"/>
          <w:szCs w:val="28"/>
        </w:rPr>
        <w:t xml:space="preserve"> </w:t>
      </w:r>
    </w:p>
    <w:p w14:paraId="1031EDD2" w14:textId="3C3C1483"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Kim, K. S., </w:t>
      </w:r>
      <w:proofErr w:type="spellStart"/>
      <w:r w:rsidRPr="005C2FBC">
        <w:rPr>
          <w:rFonts w:ascii="Times New Roman" w:hAnsi="Times New Roman" w:cs="Times New Roman"/>
          <w:szCs w:val="28"/>
        </w:rPr>
        <w:t>Youn</w:t>
      </w:r>
      <w:proofErr w:type="spellEnd"/>
      <w:r w:rsidRPr="005C2FBC">
        <w:rPr>
          <w:rFonts w:ascii="Times New Roman" w:hAnsi="Times New Roman" w:cs="Times New Roman"/>
          <w:szCs w:val="28"/>
        </w:rPr>
        <w:t xml:space="preserve">, Y. S., &amp; Bae, Y. H. (2019). Immune-triggered cancer treatment by intestinal lymphatic delivery of docetaxel-loaded nanoparticle. Journal of Controlled Release, 311–312, 85–95. </w:t>
      </w:r>
      <w:hyperlink r:id="rId28" w:history="1">
        <w:r w:rsidRPr="00704273">
          <w:rPr>
            <w:rStyle w:val="Hyperlink"/>
            <w:rFonts w:ascii="Times New Roman" w:hAnsi="Times New Roman" w:cs="Times New Roman"/>
            <w:szCs w:val="28"/>
          </w:rPr>
          <w:t>https://doi.org/10.1016/j.jconrel.2019.08.027</w:t>
        </w:r>
      </w:hyperlink>
      <w:r>
        <w:rPr>
          <w:rFonts w:ascii="Times New Roman" w:hAnsi="Times New Roman" w:cs="Times New Roman"/>
          <w:szCs w:val="28"/>
        </w:rPr>
        <w:t xml:space="preserve"> </w:t>
      </w:r>
    </w:p>
    <w:p w14:paraId="667D4882" w14:textId="2A32BE8F" w:rsidR="000713E6" w:rsidRPr="000713E6" w:rsidRDefault="005C2FBC" w:rsidP="000713E6">
      <w:pPr>
        <w:pStyle w:val="ListParagraph"/>
        <w:numPr>
          <w:ilvl w:val="0"/>
          <w:numId w:val="3"/>
        </w:numPr>
        <w:jc w:val="both"/>
        <w:rPr>
          <w:rFonts w:ascii="Times New Roman" w:hAnsi="Times New Roman" w:cs="Times New Roman"/>
          <w:szCs w:val="28"/>
        </w:rPr>
      </w:pPr>
      <w:proofErr w:type="spellStart"/>
      <w:r w:rsidRPr="005C2FBC">
        <w:rPr>
          <w:rFonts w:ascii="Times New Roman" w:hAnsi="Times New Roman" w:cs="Times New Roman"/>
          <w:szCs w:val="28"/>
        </w:rPr>
        <w:t>Topol</w:t>
      </w:r>
      <w:proofErr w:type="spellEnd"/>
      <w:r w:rsidRPr="005C2FBC">
        <w:rPr>
          <w:rFonts w:ascii="Times New Roman" w:hAnsi="Times New Roman" w:cs="Times New Roman"/>
          <w:szCs w:val="28"/>
        </w:rPr>
        <w:t xml:space="preserve">, E. J. (2019). High-performance medicine: The convergence of human and artificial intelligence. Nature Medicine, 25(1), 44–56. </w:t>
      </w:r>
      <w:hyperlink r:id="rId29" w:history="1">
        <w:r w:rsidRPr="00704273">
          <w:rPr>
            <w:rStyle w:val="Hyperlink"/>
            <w:rFonts w:ascii="Times New Roman" w:hAnsi="Times New Roman" w:cs="Times New Roman"/>
            <w:szCs w:val="28"/>
          </w:rPr>
          <w:t>https://doi.org/10.1038/s41591-018-0300-7</w:t>
        </w:r>
      </w:hyperlink>
      <w:r>
        <w:rPr>
          <w:rFonts w:ascii="Times New Roman" w:hAnsi="Times New Roman" w:cs="Times New Roman"/>
          <w:szCs w:val="28"/>
        </w:rPr>
        <w:t xml:space="preserve"> </w:t>
      </w:r>
    </w:p>
    <w:p w14:paraId="6F539E68" w14:textId="49EB0383"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Sheldon, R. A. (2014). Green and sustainable manufacture of chemicals from biomass: state of the art. Green Chemistry, 16(3), 950–963. </w:t>
      </w:r>
      <w:hyperlink r:id="rId30" w:history="1">
        <w:r w:rsidRPr="00704273">
          <w:rPr>
            <w:rStyle w:val="Hyperlink"/>
            <w:rFonts w:ascii="Times New Roman" w:hAnsi="Times New Roman" w:cs="Times New Roman"/>
            <w:szCs w:val="28"/>
          </w:rPr>
          <w:t>https://doi.org/10.1039/C3GC41935E</w:t>
        </w:r>
      </w:hyperlink>
      <w:r>
        <w:rPr>
          <w:rFonts w:ascii="Times New Roman" w:hAnsi="Times New Roman" w:cs="Times New Roman"/>
          <w:szCs w:val="28"/>
        </w:rPr>
        <w:t xml:space="preserve"> </w:t>
      </w:r>
    </w:p>
    <w:p w14:paraId="75F0ED4B" w14:textId="1E999BB5"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Krishna, K. V., </w:t>
      </w:r>
      <w:proofErr w:type="spellStart"/>
      <w:r w:rsidRPr="005C2FBC">
        <w:rPr>
          <w:rFonts w:ascii="Times New Roman" w:hAnsi="Times New Roman" w:cs="Times New Roman"/>
          <w:szCs w:val="28"/>
        </w:rPr>
        <w:t>Ménard-Moyon</w:t>
      </w:r>
      <w:proofErr w:type="spellEnd"/>
      <w:r w:rsidRPr="005C2FBC">
        <w:rPr>
          <w:rFonts w:ascii="Times New Roman" w:hAnsi="Times New Roman" w:cs="Times New Roman"/>
          <w:szCs w:val="28"/>
        </w:rPr>
        <w:t xml:space="preserve">, C., Verma, S., &amp; Bianco, A. (2013). Graphene-based nanomaterials for nanobiotechnology and biomedical applications. Nanomedicine (London), 8(10), 1669–1688. </w:t>
      </w:r>
      <w:hyperlink r:id="rId31" w:history="1">
        <w:r w:rsidRPr="00704273">
          <w:rPr>
            <w:rStyle w:val="Hyperlink"/>
            <w:rFonts w:ascii="Times New Roman" w:hAnsi="Times New Roman" w:cs="Times New Roman"/>
            <w:szCs w:val="28"/>
          </w:rPr>
          <w:t>https://doi.org/10.2217/nnm.13.140</w:t>
        </w:r>
      </w:hyperlink>
      <w:r>
        <w:rPr>
          <w:rFonts w:ascii="Times New Roman" w:hAnsi="Times New Roman" w:cs="Times New Roman"/>
          <w:szCs w:val="28"/>
        </w:rPr>
        <w:t xml:space="preserve"> </w:t>
      </w:r>
    </w:p>
    <w:p w14:paraId="36CC5DA4" w14:textId="35055F4A"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Ekins, S., </w:t>
      </w:r>
      <w:proofErr w:type="spellStart"/>
      <w:r w:rsidRPr="005C2FBC">
        <w:rPr>
          <w:rFonts w:ascii="Times New Roman" w:hAnsi="Times New Roman" w:cs="Times New Roman"/>
          <w:szCs w:val="28"/>
        </w:rPr>
        <w:t>Puhl</w:t>
      </w:r>
      <w:proofErr w:type="spellEnd"/>
      <w:r w:rsidRPr="005C2FBC">
        <w:rPr>
          <w:rFonts w:ascii="Times New Roman" w:hAnsi="Times New Roman" w:cs="Times New Roman"/>
          <w:szCs w:val="28"/>
        </w:rPr>
        <w:t xml:space="preserve">, A. C., Zorn, K. M., Lane, T. R., Russo, D. P., Klein, J. J., Hickey, A. J., &amp; Clark, A. M. (2019). Exploiting machine learning for end-to-end drug discovery and development. Nature Materials, 18(5), 435–441. </w:t>
      </w:r>
      <w:hyperlink r:id="rId32" w:history="1">
        <w:r w:rsidRPr="00704273">
          <w:rPr>
            <w:rStyle w:val="Hyperlink"/>
            <w:rFonts w:ascii="Times New Roman" w:hAnsi="Times New Roman" w:cs="Times New Roman"/>
            <w:szCs w:val="28"/>
          </w:rPr>
          <w:t>https://doi.org/10.1038/s41563-019-0338-z</w:t>
        </w:r>
      </w:hyperlink>
      <w:r>
        <w:rPr>
          <w:rFonts w:ascii="Times New Roman" w:hAnsi="Times New Roman" w:cs="Times New Roman"/>
          <w:szCs w:val="28"/>
        </w:rPr>
        <w:t xml:space="preserve"> </w:t>
      </w:r>
    </w:p>
    <w:p w14:paraId="59313F1C" w14:textId="247DD790"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lang w:val="nb-NO"/>
        </w:rPr>
        <w:t xml:space="preserve">Chao, Y., Siller, L., Krishnamurthy, S., Coxon, P. R., Bangert, U., Gass, M., Kjeldgaard, L., Patole, S. N., Lie, L. H., O'Farrell, N., Alsop, T. A., Houlton, A., &amp; Horrocks, B. R. (2007). Evaporation and deposition of alkyl-capped silicon nanocrystals in ultrahigh vacuum. Nature Nanotechnology, 2(8), 486–489. </w:t>
      </w:r>
      <w:r>
        <w:rPr>
          <w:rFonts w:ascii="Times New Roman" w:hAnsi="Times New Roman" w:cs="Times New Roman"/>
          <w:szCs w:val="28"/>
          <w:lang w:val="nb-NO"/>
        </w:rPr>
        <w:fldChar w:fldCharType="begin"/>
      </w:r>
      <w:r>
        <w:rPr>
          <w:rFonts w:ascii="Times New Roman" w:hAnsi="Times New Roman" w:cs="Times New Roman"/>
          <w:szCs w:val="28"/>
          <w:lang w:val="nb-NO"/>
        </w:rPr>
        <w:instrText xml:space="preserve"> HYPERLINK "</w:instrText>
      </w:r>
      <w:r w:rsidRPr="005C2FBC">
        <w:rPr>
          <w:rFonts w:ascii="Times New Roman" w:hAnsi="Times New Roman" w:cs="Times New Roman"/>
          <w:szCs w:val="28"/>
          <w:lang w:val="nb-NO"/>
        </w:rPr>
        <w:instrText>https://doi.org/10.1038/nnano.2007.224</w:instrText>
      </w:r>
      <w:r>
        <w:rPr>
          <w:rFonts w:ascii="Times New Roman" w:hAnsi="Times New Roman" w:cs="Times New Roman"/>
          <w:szCs w:val="28"/>
          <w:lang w:val="nb-NO"/>
        </w:rPr>
        <w:instrText xml:space="preserve">" </w:instrText>
      </w:r>
      <w:r>
        <w:rPr>
          <w:rFonts w:ascii="Times New Roman" w:hAnsi="Times New Roman" w:cs="Times New Roman"/>
          <w:szCs w:val="28"/>
          <w:lang w:val="nb-NO"/>
        </w:rPr>
        <w:fldChar w:fldCharType="separate"/>
      </w:r>
      <w:r w:rsidRPr="00704273">
        <w:rPr>
          <w:rStyle w:val="Hyperlink"/>
          <w:rFonts w:ascii="Times New Roman" w:hAnsi="Times New Roman" w:cs="Times New Roman"/>
          <w:szCs w:val="28"/>
          <w:lang w:val="nb-NO"/>
        </w:rPr>
        <w:t>https://doi.org/10.1038/nnano.2007.224</w:t>
      </w:r>
      <w:r>
        <w:rPr>
          <w:rFonts w:ascii="Times New Roman" w:hAnsi="Times New Roman" w:cs="Times New Roman"/>
          <w:szCs w:val="28"/>
          <w:lang w:val="nb-NO"/>
        </w:rPr>
        <w:fldChar w:fldCharType="end"/>
      </w:r>
      <w:r>
        <w:rPr>
          <w:rFonts w:ascii="Times New Roman" w:hAnsi="Times New Roman" w:cs="Times New Roman"/>
          <w:szCs w:val="28"/>
          <w:lang w:val="nb-NO"/>
        </w:rPr>
        <w:t xml:space="preserve"> </w:t>
      </w:r>
    </w:p>
    <w:p w14:paraId="514EE98A" w14:textId="51B9E468"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lastRenderedPageBreak/>
        <w:t xml:space="preserve">Lipinski, C. A. (2000). Drug-like properties and the causes of poor solubility and poor permeability. Journal of Pharmacological and Toxicological Methods, 44(1), 235–249. </w:t>
      </w:r>
      <w:hyperlink r:id="rId33" w:history="1">
        <w:r w:rsidRPr="00704273">
          <w:rPr>
            <w:rStyle w:val="Hyperlink"/>
            <w:rFonts w:ascii="Times New Roman" w:hAnsi="Times New Roman" w:cs="Times New Roman"/>
            <w:szCs w:val="28"/>
          </w:rPr>
          <w:t>https://doi.org/10.1016/S1056-8719(00)00107-6</w:t>
        </w:r>
      </w:hyperlink>
      <w:r>
        <w:rPr>
          <w:rFonts w:ascii="Times New Roman" w:hAnsi="Times New Roman" w:cs="Times New Roman"/>
          <w:szCs w:val="28"/>
        </w:rPr>
        <w:t xml:space="preserve"> </w:t>
      </w:r>
    </w:p>
    <w:p w14:paraId="5B624133" w14:textId="4677DF94" w:rsidR="000713E6" w:rsidRPr="000713E6" w:rsidRDefault="005C2FBC" w:rsidP="000713E6">
      <w:pPr>
        <w:pStyle w:val="ListParagraph"/>
        <w:numPr>
          <w:ilvl w:val="0"/>
          <w:numId w:val="3"/>
        </w:numPr>
        <w:jc w:val="both"/>
        <w:rPr>
          <w:rFonts w:ascii="Times New Roman" w:hAnsi="Times New Roman" w:cs="Times New Roman"/>
          <w:szCs w:val="28"/>
        </w:rPr>
      </w:pPr>
      <w:proofErr w:type="spellStart"/>
      <w:r w:rsidRPr="005C2FBC">
        <w:rPr>
          <w:rFonts w:ascii="Times New Roman" w:hAnsi="Times New Roman" w:cs="Times New Roman"/>
          <w:szCs w:val="28"/>
        </w:rPr>
        <w:t>Barenholz</w:t>
      </w:r>
      <w:proofErr w:type="spellEnd"/>
      <w:r w:rsidRPr="005C2FBC">
        <w:rPr>
          <w:rFonts w:ascii="Times New Roman" w:hAnsi="Times New Roman" w:cs="Times New Roman"/>
          <w:szCs w:val="28"/>
        </w:rPr>
        <w:t xml:space="preserve">, Y. (2012). </w:t>
      </w:r>
      <w:proofErr w:type="spellStart"/>
      <w:r w:rsidRPr="005C2FBC">
        <w:rPr>
          <w:rFonts w:ascii="Times New Roman" w:hAnsi="Times New Roman" w:cs="Times New Roman"/>
          <w:szCs w:val="28"/>
        </w:rPr>
        <w:t>Doxil</w:t>
      </w:r>
      <w:proofErr w:type="spellEnd"/>
      <w:r w:rsidRPr="005C2FBC">
        <w:rPr>
          <w:rFonts w:ascii="Times New Roman" w:hAnsi="Times New Roman" w:cs="Times New Roman"/>
          <w:szCs w:val="28"/>
        </w:rPr>
        <w:t xml:space="preserve">®--the first FDA-approved </w:t>
      </w:r>
      <w:proofErr w:type="spellStart"/>
      <w:r w:rsidRPr="005C2FBC">
        <w:rPr>
          <w:rFonts w:ascii="Times New Roman" w:hAnsi="Times New Roman" w:cs="Times New Roman"/>
          <w:szCs w:val="28"/>
        </w:rPr>
        <w:t>nano</w:t>
      </w:r>
      <w:proofErr w:type="spellEnd"/>
      <w:r w:rsidRPr="005C2FBC">
        <w:rPr>
          <w:rFonts w:ascii="Times New Roman" w:hAnsi="Times New Roman" w:cs="Times New Roman"/>
          <w:szCs w:val="28"/>
        </w:rPr>
        <w:t xml:space="preserve">-drug: lessons learned. Journal of Controlled Release, 160(2), 117–134. </w:t>
      </w:r>
      <w:hyperlink r:id="rId34" w:history="1">
        <w:r w:rsidRPr="00704273">
          <w:rPr>
            <w:rStyle w:val="Hyperlink"/>
            <w:rFonts w:ascii="Times New Roman" w:hAnsi="Times New Roman" w:cs="Times New Roman"/>
            <w:szCs w:val="28"/>
          </w:rPr>
          <w:t>https://doi.org/10.1016/j.jconrel.2012.03.020</w:t>
        </w:r>
      </w:hyperlink>
      <w:r>
        <w:rPr>
          <w:rFonts w:ascii="Times New Roman" w:hAnsi="Times New Roman" w:cs="Times New Roman"/>
          <w:szCs w:val="28"/>
        </w:rPr>
        <w:t xml:space="preserve"> </w:t>
      </w:r>
    </w:p>
    <w:p w14:paraId="636C3B36" w14:textId="06CA96AF"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lang w:val="nb-NO"/>
        </w:rPr>
        <w:t xml:space="preserve">Bates, P. J., Laber, D. A., Miller, D. M., Thomas, S. D., &amp; Trent, J. O. (2009). Discovery and development of the G-rich oligonucleotide AS1411 as a novel treatment for cancer. Experimental and Molecular Pathology, 86(3), 151–164. </w:t>
      </w:r>
      <w:r>
        <w:rPr>
          <w:rFonts w:ascii="Times New Roman" w:hAnsi="Times New Roman" w:cs="Times New Roman"/>
          <w:szCs w:val="28"/>
          <w:lang w:val="nb-NO"/>
        </w:rPr>
        <w:fldChar w:fldCharType="begin"/>
      </w:r>
      <w:r>
        <w:rPr>
          <w:rFonts w:ascii="Times New Roman" w:hAnsi="Times New Roman" w:cs="Times New Roman"/>
          <w:szCs w:val="28"/>
          <w:lang w:val="nb-NO"/>
        </w:rPr>
        <w:instrText xml:space="preserve"> HYPERLINK "</w:instrText>
      </w:r>
      <w:r w:rsidRPr="005C2FBC">
        <w:rPr>
          <w:rFonts w:ascii="Times New Roman" w:hAnsi="Times New Roman" w:cs="Times New Roman"/>
          <w:szCs w:val="28"/>
          <w:lang w:val="nb-NO"/>
        </w:rPr>
        <w:instrText>https://doi.org/10.1016/j.yexmp.2009.01.004</w:instrText>
      </w:r>
      <w:r>
        <w:rPr>
          <w:rFonts w:ascii="Times New Roman" w:hAnsi="Times New Roman" w:cs="Times New Roman"/>
          <w:szCs w:val="28"/>
          <w:lang w:val="nb-NO"/>
        </w:rPr>
        <w:instrText xml:space="preserve">" </w:instrText>
      </w:r>
      <w:r>
        <w:rPr>
          <w:rFonts w:ascii="Times New Roman" w:hAnsi="Times New Roman" w:cs="Times New Roman"/>
          <w:szCs w:val="28"/>
          <w:lang w:val="nb-NO"/>
        </w:rPr>
        <w:fldChar w:fldCharType="separate"/>
      </w:r>
      <w:r w:rsidRPr="00704273">
        <w:rPr>
          <w:rStyle w:val="Hyperlink"/>
          <w:rFonts w:ascii="Times New Roman" w:hAnsi="Times New Roman" w:cs="Times New Roman"/>
          <w:szCs w:val="28"/>
          <w:lang w:val="nb-NO"/>
        </w:rPr>
        <w:t>https://doi.org/10.1016/j.yexmp.2009.01.004</w:t>
      </w:r>
      <w:r>
        <w:rPr>
          <w:rFonts w:ascii="Times New Roman" w:hAnsi="Times New Roman" w:cs="Times New Roman"/>
          <w:szCs w:val="28"/>
          <w:lang w:val="nb-NO"/>
        </w:rPr>
        <w:fldChar w:fldCharType="end"/>
      </w:r>
      <w:r>
        <w:rPr>
          <w:rFonts w:ascii="Times New Roman" w:hAnsi="Times New Roman" w:cs="Times New Roman"/>
          <w:szCs w:val="28"/>
          <w:lang w:val="nb-NO"/>
        </w:rPr>
        <w:t xml:space="preserve"> </w:t>
      </w:r>
    </w:p>
    <w:p w14:paraId="4A285FDB" w14:textId="7941C2FE" w:rsidR="000713E6" w:rsidRPr="000713E6" w:rsidRDefault="005C2FBC" w:rsidP="000713E6">
      <w:pPr>
        <w:pStyle w:val="ListParagraph"/>
        <w:numPr>
          <w:ilvl w:val="0"/>
          <w:numId w:val="3"/>
        </w:numPr>
        <w:jc w:val="both"/>
        <w:rPr>
          <w:rFonts w:ascii="Times New Roman" w:hAnsi="Times New Roman" w:cs="Times New Roman"/>
          <w:szCs w:val="28"/>
        </w:rPr>
      </w:pPr>
      <w:r w:rsidRPr="005C2FBC">
        <w:rPr>
          <w:rFonts w:ascii="Times New Roman" w:hAnsi="Times New Roman" w:cs="Times New Roman"/>
          <w:szCs w:val="28"/>
        </w:rPr>
        <w:t xml:space="preserve">Chauhan, A. S. (2018). Dendrimers for Drug Delivery. Molecules, 23(4), 938. </w:t>
      </w:r>
      <w:hyperlink r:id="rId35" w:history="1">
        <w:r w:rsidRPr="00704273">
          <w:rPr>
            <w:rStyle w:val="Hyperlink"/>
            <w:rFonts w:ascii="Times New Roman" w:hAnsi="Times New Roman" w:cs="Times New Roman"/>
            <w:szCs w:val="28"/>
          </w:rPr>
          <w:t>https://doi.org/10.3390/molecules23040938</w:t>
        </w:r>
      </w:hyperlink>
      <w:r>
        <w:rPr>
          <w:rFonts w:ascii="Times New Roman" w:hAnsi="Times New Roman" w:cs="Times New Roman"/>
          <w:szCs w:val="28"/>
        </w:rPr>
        <w:t xml:space="preserve"> </w:t>
      </w:r>
    </w:p>
    <w:p w14:paraId="09F23B37" w14:textId="3170E9A5" w:rsidR="000713E6" w:rsidRPr="000713E6" w:rsidRDefault="00122A9B" w:rsidP="000713E6">
      <w:pPr>
        <w:pStyle w:val="ListParagraph"/>
        <w:numPr>
          <w:ilvl w:val="0"/>
          <w:numId w:val="3"/>
        </w:numPr>
        <w:jc w:val="both"/>
        <w:rPr>
          <w:rFonts w:ascii="Times New Roman" w:hAnsi="Times New Roman" w:cs="Times New Roman"/>
          <w:szCs w:val="28"/>
        </w:rPr>
      </w:pPr>
      <w:r w:rsidRPr="00122A9B">
        <w:rPr>
          <w:rFonts w:ascii="Times New Roman" w:hAnsi="Times New Roman" w:cs="Times New Roman"/>
          <w:szCs w:val="28"/>
        </w:rPr>
        <w:t xml:space="preserve">Lee, J. G., Jun, S., Cho, Y. W., Lee, H., Kim, G. B., </w:t>
      </w:r>
      <w:proofErr w:type="spellStart"/>
      <w:r w:rsidRPr="00122A9B">
        <w:rPr>
          <w:rFonts w:ascii="Times New Roman" w:hAnsi="Times New Roman" w:cs="Times New Roman"/>
          <w:szCs w:val="28"/>
        </w:rPr>
        <w:t>Seo</w:t>
      </w:r>
      <w:proofErr w:type="spellEnd"/>
      <w:r w:rsidRPr="00122A9B">
        <w:rPr>
          <w:rFonts w:ascii="Times New Roman" w:hAnsi="Times New Roman" w:cs="Times New Roman"/>
          <w:szCs w:val="28"/>
        </w:rPr>
        <w:t xml:space="preserve">, J. B., &amp; Kim, N. (2017). Deep Learning in Medical Imaging: General Overview. Korean Journal of Radiology, 18(4), 570-584. </w:t>
      </w:r>
      <w:hyperlink r:id="rId36" w:history="1">
        <w:r w:rsidRPr="00704273">
          <w:rPr>
            <w:rStyle w:val="Hyperlink"/>
            <w:rFonts w:ascii="Times New Roman" w:hAnsi="Times New Roman" w:cs="Times New Roman"/>
            <w:szCs w:val="28"/>
          </w:rPr>
          <w:t>https://doi.org/10.3348/kjr.2017.18.4.570</w:t>
        </w:r>
      </w:hyperlink>
      <w:r>
        <w:rPr>
          <w:rFonts w:ascii="Times New Roman" w:hAnsi="Times New Roman" w:cs="Times New Roman"/>
          <w:szCs w:val="28"/>
        </w:rPr>
        <w:t xml:space="preserve"> </w:t>
      </w:r>
    </w:p>
    <w:p w14:paraId="2CD65A9D" w14:textId="5CA970DC" w:rsidR="000713E6" w:rsidRPr="000713E6" w:rsidRDefault="00033F1E" w:rsidP="000713E6">
      <w:pPr>
        <w:pStyle w:val="ListParagraph"/>
        <w:numPr>
          <w:ilvl w:val="0"/>
          <w:numId w:val="3"/>
        </w:numPr>
        <w:jc w:val="both"/>
        <w:rPr>
          <w:rFonts w:ascii="Times New Roman" w:hAnsi="Times New Roman" w:cs="Times New Roman"/>
          <w:szCs w:val="28"/>
        </w:rPr>
      </w:pPr>
      <w:r w:rsidRPr="00033F1E">
        <w:rPr>
          <w:rFonts w:ascii="Times New Roman" w:hAnsi="Times New Roman" w:cs="Times New Roman"/>
          <w:szCs w:val="28"/>
        </w:rPr>
        <w:t xml:space="preserve">Lantos, J. D., Wendler, D., </w:t>
      </w:r>
      <w:proofErr w:type="spellStart"/>
      <w:r w:rsidRPr="00033F1E">
        <w:rPr>
          <w:rFonts w:ascii="Times New Roman" w:hAnsi="Times New Roman" w:cs="Times New Roman"/>
          <w:szCs w:val="28"/>
        </w:rPr>
        <w:t>Septimus</w:t>
      </w:r>
      <w:proofErr w:type="spellEnd"/>
      <w:r w:rsidRPr="00033F1E">
        <w:rPr>
          <w:rFonts w:ascii="Times New Roman" w:hAnsi="Times New Roman" w:cs="Times New Roman"/>
          <w:szCs w:val="28"/>
        </w:rPr>
        <w:t xml:space="preserve">, E., Wahba, S., Madigan, R., &amp; Bliss, G. (2015). Considerations in the evaluation and determination of minimal risk in pragmatic clinical trials. Clinical Trials, 12(5), 485–492. </w:t>
      </w:r>
      <w:hyperlink r:id="rId37" w:history="1">
        <w:r w:rsidRPr="00704273">
          <w:rPr>
            <w:rStyle w:val="Hyperlink"/>
            <w:rFonts w:ascii="Times New Roman" w:hAnsi="Times New Roman" w:cs="Times New Roman"/>
            <w:szCs w:val="28"/>
          </w:rPr>
          <w:t>https://doi.org/10.1177/1740774515597687</w:t>
        </w:r>
      </w:hyperlink>
      <w:r>
        <w:rPr>
          <w:rFonts w:ascii="Times New Roman" w:hAnsi="Times New Roman" w:cs="Times New Roman"/>
          <w:szCs w:val="28"/>
        </w:rPr>
        <w:t xml:space="preserve"> </w:t>
      </w:r>
    </w:p>
    <w:p w14:paraId="365F0444" w14:textId="4FE22594" w:rsidR="000713E6" w:rsidRPr="000713E6" w:rsidRDefault="00957230" w:rsidP="000713E6">
      <w:pPr>
        <w:pStyle w:val="ListParagraph"/>
        <w:numPr>
          <w:ilvl w:val="0"/>
          <w:numId w:val="3"/>
        </w:numPr>
        <w:jc w:val="both"/>
        <w:rPr>
          <w:rFonts w:ascii="Times New Roman" w:hAnsi="Times New Roman" w:cs="Times New Roman"/>
          <w:szCs w:val="28"/>
        </w:rPr>
      </w:pPr>
      <w:r w:rsidRPr="00957230">
        <w:rPr>
          <w:rFonts w:ascii="Times New Roman" w:hAnsi="Times New Roman" w:cs="Times New Roman"/>
          <w:szCs w:val="28"/>
          <w:lang w:val="nb-NO"/>
        </w:rPr>
        <w:t xml:space="preserve">Lebleu, B., Moulton, H. M., Abes, R., Ivanova, G. D., Abes, S., Stein, D. A., Iversen, P. L., Arzumanov, A. A., &amp; Gait, M. J. (2008). Cell penetrating peptide conjugates of steric block oligonucleotides. Advanced Drug Delivery Reviews, 60(4–5), 517–529. </w:t>
      </w:r>
      <w:r>
        <w:rPr>
          <w:rFonts w:ascii="Times New Roman" w:hAnsi="Times New Roman" w:cs="Times New Roman"/>
          <w:szCs w:val="28"/>
          <w:lang w:val="nb-NO"/>
        </w:rPr>
        <w:fldChar w:fldCharType="begin"/>
      </w:r>
      <w:r>
        <w:rPr>
          <w:rFonts w:ascii="Times New Roman" w:hAnsi="Times New Roman" w:cs="Times New Roman"/>
          <w:szCs w:val="28"/>
          <w:lang w:val="nb-NO"/>
        </w:rPr>
        <w:instrText xml:space="preserve"> HYPERLINK "</w:instrText>
      </w:r>
      <w:r w:rsidRPr="00957230">
        <w:rPr>
          <w:rFonts w:ascii="Times New Roman" w:hAnsi="Times New Roman" w:cs="Times New Roman"/>
          <w:szCs w:val="28"/>
          <w:lang w:val="nb-NO"/>
        </w:rPr>
        <w:instrText>https://doi.org/10.1016/j.addr.2007.09.002</w:instrText>
      </w:r>
      <w:r>
        <w:rPr>
          <w:rFonts w:ascii="Times New Roman" w:hAnsi="Times New Roman" w:cs="Times New Roman"/>
          <w:szCs w:val="28"/>
          <w:lang w:val="nb-NO"/>
        </w:rPr>
        <w:instrText xml:space="preserve">" </w:instrText>
      </w:r>
      <w:r>
        <w:rPr>
          <w:rFonts w:ascii="Times New Roman" w:hAnsi="Times New Roman" w:cs="Times New Roman"/>
          <w:szCs w:val="28"/>
          <w:lang w:val="nb-NO"/>
        </w:rPr>
        <w:fldChar w:fldCharType="separate"/>
      </w:r>
      <w:r w:rsidRPr="00704273">
        <w:rPr>
          <w:rStyle w:val="Hyperlink"/>
          <w:rFonts w:ascii="Times New Roman" w:hAnsi="Times New Roman" w:cs="Times New Roman"/>
          <w:szCs w:val="28"/>
          <w:lang w:val="nb-NO"/>
        </w:rPr>
        <w:t>https://doi.org/10.1016/j.addr.2007.09.002</w:t>
      </w:r>
      <w:r>
        <w:rPr>
          <w:rFonts w:ascii="Times New Roman" w:hAnsi="Times New Roman" w:cs="Times New Roman"/>
          <w:szCs w:val="28"/>
          <w:lang w:val="nb-NO"/>
        </w:rPr>
        <w:fldChar w:fldCharType="end"/>
      </w:r>
      <w:r>
        <w:rPr>
          <w:rFonts w:ascii="Times New Roman" w:hAnsi="Times New Roman" w:cs="Times New Roman"/>
          <w:szCs w:val="28"/>
          <w:lang w:val="nb-NO"/>
        </w:rPr>
        <w:t xml:space="preserve"> </w:t>
      </w:r>
    </w:p>
    <w:p w14:paraId="76336643" w14:textId="21FF24A7" w:rsidR="000713E6" w:rsidRPr="000713E6" w:rsidRDefault="00957230" w:rsidP="000713E6">
      <w:pPr>
        <w:pStyle w:val="ListParagraph"/>
        <w:numPr>
          <w:ilvl w:val="0"/>
          <w:numId w:val="3"/>
        </w:numPr>
        <w:jc w:val="both"/>
        <w:rPr>
          <w:rFonts w:ascii="Times New Roman" w:hAnsi="Times New Roman" w:cs="Times New Roman"/>
          <w:szCs w:val="28"/>
        </w:rPr>
      </w:pPr>
      <w:proofErr w:type="spellStart"/>
      <w:r w:rsidRPr="00957230">
        <w:rPr>
          <w:rFonts w:ascii="Times New Roman" w:hAnsi="Times New Roman" w:cs="Times New Roman"/>
          <w:szCs w:val="28"/>
        </w:rPr>
        <w:t>Kambe</w:t>
      </w:r>
      <w:proofErr w:type="spellEnd"/>
      <w:r w:rsidRPr="00957230">
        <w:rPr>
          <w:rFonts w:ascii="Times New Roman" w:hAnsi="Times New Roman" w:cs="Times New Roman"/>
          <w:szCs w:val="28"/>
        </w:rPr>
        <w:t xml:space="preserve">, Y., </w:t>
      </w:r>
      <w:proofErr w:type="spellStart"/>
      <w:r w:rsidRPr="00957230">
        <w:rPr>
          <w:rFonts w:ascii="Times New Roman" w:hAnsi="Times New Roman" w:cs="Times New Roman"/>
          <w:szCs w:val="28"/>
        </w:rPr>
        <w:t>Koyashiki</w:t>
      </w:r>
      <w:proofErr w:type="spellEnd"/>
      <w:r w:rsidRPr="00957230">
        <w:rPr>
          <w:rFonts w:ascii="Times New Roman" w:hAnsi="Times New Roman" w:cs="Times New Roman"/>
          <w:szCs w:val="28"/>
        </w:rPr>
        <w:t xml:space="preserve">, K., Hirano, Y., Harada-Shiba, M., &amp; Yamaoka, T. (2020). Artificial switching of the metabolic processing pathway of an etiologic factor, β2-microglobulin, by a “navigator” molecule. Journal of Controlled Release, 327, 8–18. </w:t>
      </w:r>
      <w:hyperlink r:id="rId38" w:history="1">
        <w:r w:rsidRPr="00704273">
          <w:rPr>
            <w:rStyle w:val="Hyperlink"/>
            <w:rFonts w:ascii="Times New Roman" w:hAnsi="Times New Roman" w:cs="Times New Roman"/>
            <w:szCs w:val="28"/>
          </w:rPr>
          <w:t>https://doi.org/10.1016/j.jconrel.2020.07.041</w:t>
        </w:r>
      </w:hyperlink>
      <w:r>
        <w:rPr>
          <w:rFonts w:ascii="Times New Roman" w:hAnsi="Times New Roman" w:cs="Times New Roman"/>
          <w:szCs w:val="28"/>
        </w:rPr>
        <w:t xml:space="preserve"> </w:t>
      </w:r>
      <w:r w:rsidR="000713E6" w:rsidRPr="000713E6">
        <w:rPr>
          <w:rFonts w:ascii="Times New Roman" w:hAnsi="Times New Roman" w:cs="Times New Roman"/>
          <w:szCs w:val="28"/>
        </w:rPr>
        <w:t>.</w:t>
      </w:r>
    </w:p>
    <w:p w14:paraId="2CE71612" w14:textId="3CC8E3B6" w:rsidR="000713E6" w:rsidRPr="000713E6" w:rsidRDefault="00D013FF" w:rsidP="000713E6">
      <w:pPr>
        <w:pStyle w:val="ListParagraph"/>
        <w:numPr>
          <w:ilvl w:val="0"/>
          <w:numId w:val="3"/>
        </w:numPr>
        <w:jc w:val="both"/>
        <w:rPr>
          <w:rFonts w:ascii="Times New Roman" w:hAnsi="Times New Roman" w:cs="Times New Roman"/>
          <w:szCs w:val="28"/>
        </w:rPr>
      </w:pPr>
      <w:r w:rsidRPr="00D013FF">
        <w:rPr>
          <w:rFonts w:ascii="Times New Roman" w:hAnsi="Times New Roman" w:cs="Times New Roman"/>
          <w:szCs w:val="28"/>
        </w:rPr>
        <w:t xml:space="preserve">Sercombe, L., </w:t>
      </w:r>
      <w:proofErr w:type="spellStart"/>
      <w:r w:rsidRPr="00D013FF">
        <w:rPr>
          <w:rFonts w:ascii="Times New Roman" w:hAnsi="Times New Roman" w:cs="Times New Roman"/>
          <w:szCs w:val="28"/>
        </w:rPr>
        <w:t>Veerati</w:t>
      </w:r>
      <w:proofErr w:type="spellEnd"/>
      <w:r w:rsidRPr="00D013FF">
        <w:rPr>
          <w:rFonts w:ascii="Times New Roman" w:hAnsi="Times New Roman" w:cs="Times New Roman"/>
          <w:szCs w:val="28"/>
        </w:rPr>
        <w:t xml:space="preserve">, T., </w:t>
      </w:r>
      <w:proofErr w:type="spellStart"/>
      <w:r w:rsidRPr="00D013FF">
        <w:rPr>
          <w:rFonts w:ascii="Times New Roman" w:hAnsi="Times New Roman" w:cs="Times New Roman"/>
          <w:szCs w:val="28"/>
        </w:rPr>
        <w:t>Moheimani</w:t>
      </w:r>
      <w:proofErr w:type="spellEnd"/>
      <w:r w:rsidRPr="00D013FF">
        <w:rPr>
          <w:rFonts w:ascii="Times New Roman" w:hAnsi="Times New Roman" w:cs="Times New Roman"/>
          <w:szCs w:val="28"/>
        </w:rPr>
        <w:t xml:space="preserve">, F., Wu, S.Y., </w:t>
      </w:r>
      <w:proofErr w:type="spellStart"/>
      <w:r w:rsidRPr="00D013FF">
        <w:rPr>
          <w:rFonts w:ascii="Times New Roman" w:hAnsi="Times New Roman" w:cs="Times New Roman"/>
          <w:szCs w:val="28"/>
        </w:rPr>
        <w:t>Sood</w:t>
      </w:r>
      <w:proofErr w:type="spellEnd"/>
      <w:r w:rsidRPr="00D013FF">
        <w:rPr>
          <w:rFonts w:ascii="Times New Roman" w:hAnsi="Times New Roman" w:cs="Times New Roman"/>
          <w:szCs w:val="28"/>
        </w:rPr>
        <w:t xml:space="preserve">, A.K., &amp; Hua, S. (2015). Advances and Challenges of Liposome Assisted Drug Delivery. Frontiers in Pharmacology. </w:t>
      </w:r>
      <w:hyperlink r:id="rId39" w:history="1">
        <w:r w:rsidRPr="00704273">
          <w:rPr>
            <w:rStyle w:val="Hyperlink"/>
            <w:rFonts w:ascii="Times New Roman" w:hAnsi="Times New Roman" w:cs="Times New Roman"/>
            <w:szCs w:val="28"/>
          </w:rPr>
          <w:t>https://doi.org/10.3389/fphar.2015.00286</w:t>
        </w:r>
      </w:hyperlink>
      <w:r>
        <w:rPr>
          <w:rFonts w:ascii="Times New Roman" w:hAnsi="Times New Roman" w:cs="Times New Roman"/>
          <w:szCs w:val="28"/>
        </w:rPr>
        <w:t xml:space="preserve"> </w:t>
      </w:r>
    </w:p>
    <w:p w14:paraId="38468296" w14:textId="5C387440" w:rsidR="000713E6" w:rsidRPr="000713E6" w:rsidRDefault="009B2678" w:rsidP="000713E6">
      <w:pPr>
        <w:pStyle w:val="ListParagraph"/>
        <w:numPr>
          <w:ilvl w:val="0"/>
          <w:numId w:val="3"/>
        </w:numPr>
        <w:jc w:val="both"/>
        <w:rPr>
          <w:rFonts w:ascii="Times New Roman" w:hAnsi="Times New Roman" w:cs="Times New Roman"/>
          <w:szCs w:val="28"/>
        </w:rPr>
      </w:pPr>
      <w:r w:rsidRPr="009B2678">
        <w:rPr>
          <w:rFonts w:ascii="Times New Roman" w:hAnsi="Times New Roman" w:cs="Times New Roman"/>
          <w:szCs w:val="28"/>
        </w:rPr>
        <w:t xml:space="preserve">Zhang, Y., Chan, H. F., &amp; Leong, K. W. (2013). Advanced materials and processing for drug delivery: The past and the future. Advanced Drug Delivery Reviews, 65(1), 104–120. </w:t>
      </w:r>
      <w:hyperlink r:id="rId40" w:history="1">
        <w:r w:rsidRPr="00704273">
          <w:rPr>
            <w:rStyle w:val="Hyperlink"/>
            <w:rFonts w:ascii="Times New Roman" w:hAnsi="Times New Roman" w:cs="Times New Roman"/>
            <w:szCs w:val="28"/>
          </w:rPr>
          <w:t>https://doi.org/10.1016/j.addr.2012.10.003</w:t>
        </w:r>
      </w:hyperlink>
      <w:r>
        <w:rPr>
          <w:rFonts w:ascii="Times New Roman" w:hAnsi="Times New Roman" w:cs="Times New Roman"/>
          <w:szCs w:val="28"/>
        </w:rPr>
        <w:t xml:space="preserve"> </w:t>
      </w:r>
    </w:p>
    <w:p w14:paraId="040C8A5D" w14:textId="6F879D1A" w:rsidR="000713E6" w:rsidRPr="000713E6" w:rsidRDefault="0078277D" w:rsidP="000713E6">
      <w:pPr>
        <w:pStyle w:val="ListParagraph"/>
        <w:numPr>
          <w:ilvl w:val="0"/>
          <w:numId w:val="3"/>
        </w:numPr>
        <w:jc w:val="both"/>
        <w:rPr>
          <w:rFonts w:ascii="Times New Roman" w:hAnsi="Times New Roman" w:cs="Times New Roman"/>
          <w:szCs w:val="28"/>
        </w:rPr>
      </w:pPr>
      <w:r w:rsidRPr="0078277D">
        <w:rPr>
          <w:rFonts w:ascii="Times New Roman" w:hAnsi="Times New Roman" w:cs="Times New Roman"/>
          <w:szCs w:val="28"/>
        </w:rPr>
        <w:t xml:space="preserve">Papadopoulos, A. I., &amp; </w:t>
      </w:r>
      <w:proofErr w:type="spellStart"/>
      <w:r w:rsidRPr="0078277D">
        <w:rPr>
          <w:rFonts w:ascii="Times New Roman" w:hAnsi="Times New Roman" w:cs="Times New Roman"/>
          <w:szCs w:val="28"/>
        </w:rPr>
        <w:t>Linke</w:t>
      </w:r>
      <w:proofErr w:type="spellEnd"/>
      <w:r w:rsidRPr="0078277D">
        <w:rPr>
          <w:rFonts w:ascii="Times New Roman" w:hAnsi="Times New Roman" w:cs="Times New Roman"/>
          <w:szCs w:val="28"/>
        </w:rPr>
        <w:t xml:space="preserve">, P. (2005). A unified framework for integrated process and molecular design. Chemical Engineering Research and Design, 83(6), 674–678. </w:t>
      </w:r>
      <w:hyperlink r:id="rId41" w:history="1">
        <w:r w:rsidRPr="00704273">
          <w:rPr>
            <w:rStyle w:val="Hyperlink"/>
            <w:rFonts w:ascii="Times New Roman" w:hAnsi="Times New Roman" w:cs="Times New Roman"/>
            <w:szCs w:val="28"/>
          </w:rPr>
          <w:t>https://doi.org/10.1016/j.cherd.2005.04.006</w:t>
        </w:r>
      </w:hyperlink>
      <w:r>
        <w:rPr>
          <w:rFonts w:ascii="Times New Roman" w:hAnsi="Times New Roman" w:cs="Times New Roman"/>
          <w:szCs w:val="28"/>
        </w:rPr>
        <w:t xml:space="preserve"> </w:t>
      </w:r>
    </w:p>
    <w:p w14:paraId="7024CB67" w14:textId="64C387C2" w:rsidR="000713E6" w:rsidRPr="000713E6" w:rsidRDefault="000B6ACE" w:rsidP="000713E6">
      <w:pPr>
        <w:pStyle w:val="ListParagraph"/>
        <w:numPr>
          <w:ilvl w:val="0"/>
          <w:numId w:val="3"/>
        </w:numPr>
        <w:jc w:val="both"/>
        <w:rPr>
          <w:rFonts w:ascii="Times New Roman" w:hAnsi="Times New Roman" w:cs="Times New Roman"/>
          <w:szCs w:val="28"/>
        </w:rPr>
      </w:pPr>
      <w:r w:rsidRPr="000B6ACE">
        <w:rPr>
          <w:rFonts w:ascii="Times New Roman" w:hAnsi="Times New Roman" w:cs="Times New Roman"/>
          <w:szCs w:val="28"/>
        </w:rPr>
        <w:t xml:space="preserve">Ritter, J., Lewis, L., </w:t>
      </w:r>
      <w:proofErr w:type="spellStart"/>
      <w:r w:rsidRPr="000B6ACE">
        <w:rPr>
          <w:rFonts w:ascii="Times New Roman" w:hAnsi="Times New Roman" w:cs="Times New Roman"/>
          <w:szCs w:val="28"/>
        </w:rPr>
        <w:t>Mant</w:t>
      </w:r>
      <w:proofErr w:type="spellEnd"/>
      <w:r w:rsidRPr="000B6ACE">
        <w:rPr>
          <w:rFonts w:ascii="Times New Roman" w:hAnsi="Times New Roman" w:cs="Times New Roman"/>
          <w:szCs w:val="28"/>
        </w:rPr>
        <w:t xml:space="preserve">, T., &amp; Ferro, A. (2008). A Textbook of Clinical Pharmacology and Therapeutics, 5Ed. CRC Press. </w:t>
      </w:r>
      <w:hyperlink r:id="rId42" w:history="1">
        <w:r w:rsidRPr="00704273">
          <w:rPr>
            <w:rStyle w:val="Hyperlink"/>
            <w:rFonts w:ascii="Times New Roman" w:hAnsi="Times New Roman" w:cs="Times New Roman"/>
            <w:szCs w:val="28"/>
          </w:rPr>
          <w:t>https://doi.org/10.1201/b13234</w:t>
        </w:r>
      </w:hyperlink>
      <w:r>
        <w:rPr>
          <w:rFonts w:ascii="Times New Roman" w:hAnsi="Times New Roman" w:cs="Times New Roman"/>
          <w:szCs w:val="28"/>
        </w:rPr>
        <w:t xml:space="preserve"> </w:t>
      </w:r>
    </w:p>
    <w:p w14:paraId="4E9C2268" w14:textId="167ACDA3" w:rsidR="000713E6" w:rsidRPr="000713E6" w:rsidRDefault="00C64BF5" w:rsidP="000713E6">
      <w:pPr>
        <w:pStyle w:val="ListParagraph"/>
        <w:numPr>
          <w:ilvl w:val="0"/>
          <w:numId w:val="3"/>
        </w:numPr>
        <w:jc w:val="both"/>
        <w:rPr>
          <w:rFonts w:ascii="Times New Roman" w:hAnsi="Times New Roman" w:cs="Times New Roman"/>
          <w:szCs w:val="28"/>
        </w:rPr>
      </w:pPr>
      <w:r w:rsidRPr="00C64BF5">
        <w:rPr>
          <w:rFonts w:ascii="Times New Roman" w:hAnsi="Times New Roman" w:cs="Times New Roman"/>
          <w:szCs w:val="28"/>
        </w:rPr>
        <w:t xml:space="preserve">Shi, Y., Lu, A., Wang, X., </w:t>
      </w:r>
      <w:proofErr w:type="spellStart"/>
      <w:r w:rsidRPr="00C64BF5">
        <w:rPr>
          <w:rFonts w:ascii="Times New Roman" w:hAnsi="Times New Roman" w:cs="Times New Roman"/>
          <w:szCs w:val="28"/>
        </w:rPr>
        <w:t>Belhadj</w:t>
      </w:r>
      <w:proofErr w:type="spellEnd"/>
      <w:r w:rsidRPr="00C64BF5">
        <w:rPr>
          <w:rFonts w:ascii="Times New Roman" w:hAnsi="Times New Roman" w:cs="Times New Roman"/>
          <w:szCs w:val="28"/>
        </w:rPr>
        <w:t xml:space="preserve">, Z., Wang, J., &amp; Zhang, Q. (2021). A review of existing strategies for designing long-acting parenteral formulations: Focus on underlying mechanisms, and future perspectives. Acta </w:t>
      </w:r>
      <w:proofErr w:type="spellStart"/>
      <w:r w:rsidRPr="00C64BF5">
        <w:rPr>
          <w:rFonts w:ascii="Times New Roman" w:hAnsi="Times New Roman" w:cs="Times New Roman"/>
          <w:szCs w:val="28"/>
        </w:rPr>
        <w:t>Pharmaceutica</w:t>
      </w:r>
      <w:proofErr w:type="spellEnd"/>
      <w:r w:rsidRPr="00C64BF5">
        <w:rPr>
          <w:rFonts w:ascii="Times New Roman" w:hAnsi="Times New Roman" w:cs="Times New Roman"/>
          <w:szCs w:val="28"/>
        </w:rPr>
        <w:t xml:space="preserve"> </w:t>
      </w:r>
      <w:proofErr w:type="spellStart"/>
      <w:r w:rsidRPr="00C64BF5">
        <w:rPr>
          <w:rFonts w:ascii="Times New Roman" w:hAnsi="Times New Roman" w:cs="Times New Roman"/>
          <w:szCs w:val="28"/>
        </w:rPr>
        <w:t>Sinica</w:t>
      </w:r>
      <w:proofErr w:type="spellEnd"/>
      <w:r w:rsidRPr="00C64BF5">
        <w:rPr>
          <w:rFonts w:ascii="Times New Roman" w:hAnsi="Times New Roman" w:cs="Times New Roman"/>
          <w:szCs w:val="28"/>
        </w:rPr>
        <w:t xml:space="preserve"> B, 11(8), 2396–2415. </w:t>
      </w:r>
      <w:hyperlink r:id="rId43" w:history="1">
        <w:r w:rsidRPr="00704273">
          <w:rPr>
            <w:rStyle w:val="Hyperlink"/>
            <w:rFonts w:ascii="Times New Roman" w:hAnsi="Times New Roman" w:cs="Times New Roman"/>
            <w:szCs w:val="28"/>
          </w:rPr>
          <w:t>https://doi.org/10.1016/j.apsb.2021.05.002</w:t>
        </w:r>
      </w:hyperlink>
      <w:r>
        <w:rPr>
          <w:rFonts w:ascii="Times New Roman" w:hAnsi="Times New Roman" w:cs="Times New Roman"/>
          <w:szCs w:val="28"/>
        </w:rPr>
        <w:t xml:space="preserve"> </w:t>
      </w:r>
    </w:p>
    <w:p w14:paraId="56E0D083" w14:textId="2E7C0A3D" w:rsidR="000713E6" w:rsidRPr="000713E6" w:rsidRDefault="00A342D7" w:rsidP="000713E6">
      <w:pPr>
        <w:pStyle w:val="ListParagraph"/>
        <w:numPr>
          <w:ilvl w:val="0"/>
          <w:numId w:val="3"/>
        </w:numPr>
        <w:jc w:val="both"/>
        <w:rPr>
          <w:rFonts w:ascii="Times New Roman" w:hAnsi="Times New Roman" w:cs="Times New Roman"/>
          <w:szCs w:val="28"/>
        </w:rPr>
      </w:pPr>
      <w:r w:rsidRPr="00A342D7">
        <w:rPr>
          <w:rFonts w:ascii="Times New Roman" w:hAnsi="Times New Roman" w:cs="Times New Roman"/>
          <w:szCs w:val="28"/>
        </w:rPr>
        <w:lastRenderedPageBreak/>
        <w:t xml:space="preserve">Zhang, Y. S., Yue, K., Aleman, J., </w:t>
      </w:r>
      <w:proofErr w:type="spellStart"/>
      <w:r w:rsidRPr="00A342D7">
        <w:rPr>
          <w:rFonts w:ascii="Times New Roman" w:hAnsi="Times New Roman" w:cs="Times New Roman"/>
          <w:szCs w:val="28"/>
        </w:rPr>
        <w:t>Mollazadeh</w:t>
      </w:r>
      <w:proofErr w:type="spellEnd"/>
      <w:r w:rsidRPr="00A342D7">
        <w:rPr>
          <w:rFonts w:ascii="Times New Roman" w:hAnsi="Times New Roman" w:cs="Times New Roman"/>
          <w:szCs w:val="28"/>
        </w:rPr>
        <w:t xml:space="preserve"> Moghaddam, K., Bakht, S. M., Yang, J., Jia, W., </w:t>
      </w:r>
      <w:proofErr w:type="spellStart"/>
      <w:r w:rsidRPr="00A342D7">
        <w:rPr>
          <w:rFonts w:ascii="Times New Roman" w:hAnsi="Times New Roman" w:cs="Times New Roman"/>
          <w:szCs w:val="28"/>
        </w:rPr>
        <w:t>Dell'Erba</w:t>
      </w:r>
      <w:proofErr w:type="spellEnd"/>
      <w:r w:rsidRPr="00A342D7">
        <w:rPr>
          <w:rFonts w:ascii="Times New Roman" w:hAnsi="Times New Roman" w:cs="Times New Roman"/>
          <w:szCs w:val="28"/>
        </w:rPr>
        <w:t xml:space="preserve">, V., </w:t>
      </w:r>
      <w:proofErr w:type="spellStart"/>
      <w:r w:rsidRPr="00A342D7">
        <w:rPr>
          <w:rFonts w:ascii="Times New Roman" w:hAnsi="Times New Roman" w:cs="Times New Roman"/>
          <w:szCs w:val="28"/>
        </w:rPr>
        <w:t>Assawes</w:t>
      </w:r>
      <w:proofErr w:type="spellEnd"/>
      <w:r w:rsidRPr="00A342D7">
        <w:rPr>
          <w:rFonts w:ascii="Times New Roman" w:hAnsi="Times New Roman" w:cs="Times New Roman"/>
          <w:szCs w:val="28"/>
        </w:rPr>
        <w:t xml:space="preserve">, P., Shin, S. R., </w:t>
      </w:r>
      <w:proofErr w:type="spellStart"/>
      <w:r w:rsidRPr="00A342D7">
        <w:rPr>
          <w:rFonts w:ascii="Times New Roman" w:hAnsi="Times New Roman" w:cs="Times New Roman"/>
          <w:szCs w:val="28"/>
        </w:rPr>
        <w:t>Dokmeci</w:t>
      </w:r>
      <w:proofErr w:type="spellEnd"/>
      <w:r w:rsidRPr="00A342D7">
        <w:rPr>
          <w:rFonts w:ascii="Times New Roman" w:hAnsi="Times New Roman" w:cs="Times New Roman"/>
          <w:szCs w:val="28"/>
        </w:rPr>
        <w:t xml:space="preserve">, M. R., </w:t>
      </w:r>
      <w:proofErr w:type="spellStart"/>
      <w:r w:rsidRPr="00A342D7">
        <w:rPr>
          <w:rFonts w:ascii="Times New Roman" w:hAnsi="Times New Roman" w:cs="Times New Roman"/>
          <w:szCs w:val="28"/>
        </w:rPr>
        <w:t>Oklu</w:t>
      </w:r>
      <w:proofErr w:type="spellEnd"/>
      <w:r w:rsidRPr="00A342D7">
        <w:rPr>
          <w:rFonts w:ascii="Times New Roman" w:hAnsi="Times New Roman" w:cs="Times New Roman"/>
          <w:szCs w:val="28"/>
        </w:rPr>
        <w:t xml:space="preserve">, R., &amp; </w:t>
      </w:r>
      <w:proofErr w:type="spellStart"/>
      <w:r w:rsidRPr="00A342D7">
        <w:rPr>
          <w:rFonts w:ascii="Times New Roman" w:hAnsi="Times New Roman" w:cs="Times New Roman"/>
          <w:szCs w:val="28"/>
        </w:rPr>
        <w:t>Khademhosseini</w:t>
      </w:r>
      <w:proofErr w:type="spellEnd"/>
      <w:r w:rsidRPr="00A342D7">
        <w:rPr>
          <w:rFonts w:ascii="Times New Roman" w:hAnsi="Times New Roman" w:cs="Times New Roman"/>
          <w:szCs w:val="28"/>
        </w:rPr>
        <w:t xml:space="preserve">, A. (2017). 3D Bioprinting for Tissue and Organ Fabrication. Annals of Biomedical Engineering, 45(1), 148–163. </w:t>
      </w:r>
      <w:hyperlink r:id="rId44" w:history="1">
        <w:r w:rsidRPr="00704273">
          <w:rPr>
            <w:rStyle w:val="Hyperlink"/>
            <w:rFonts w:ascii="Times New Roman" w:hAnsi="Times New Roman" w:cs="Times New Roman"/>
            <w:szCs w:val="28"/>
          </w:rPr>
          <w:t>https://doi.org/10.1007/s10439-016-1612-8</w:t>
        </w:r>
      </w:hyperlink>
      <w:r>
        <w:rPr>
          <w:rFonts w:ascii="Times New Roman" w:hAnsi="Times New Roman" w:cs="Times New Roman"/>
          <w:szCs w:val="28"/>
        </w:rPr>
        <w:t xml:space="preserve"> </w:t>
      </w:r>
    </w:p>
    <w:p w14:paraId="1FDE9816" w14:textId="2E1C456C" w:rsidR="000713E6" w:rsidRPr="000713E6" w:rsidRDefault="000713E6" w:rsidP="000713E6">
      <w:pPr>
        <w:pStyle w:val="ListParagraph"/>
        <w:jc w:val="both"/>
        <w:rPr>
          <w:rFonts w:ascii="Times New Roman" w:hAnsi="Times New Roman" w:cs="Times New Roman"/>
          <w:szCs w:val="28"/>
        </w:rPr>
      </w:pPr>
    </w:p>
    <w:sectPr w:rsidR="000713E6" w:rsidRPr="000713E6">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01952" w14:textId="77777777" w:rsidR="00CE694B" w:rsidRDefault="00CE694B" w:rsidP="00D01DBA">
      <w:pPr>
        <w:spacing w:after="0" w:line="240" w:lineRule="auto"/>
      </w:pPr>
      <w:r>
        <w:separator/>
      </w:r>
    </w:p>
  </w:endnote>
  <w:endnote w:type="continuationSeparator" w:id="0">
    <w:p w14:paraId="54EE29F9" w14:textId="77777777" w:rsidR="00CE694B" w:rsidRDefault="00CE694B" w:rsidP="00D01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E252" w14:textId="77777777" w:rsidR="00D01DBA" w:rsidRDefault="00D01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CB54" w14:textId="77777777" w:rsidR="00D01DBA" w:rsidRDefault="00D01D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93C0" w14:textId="77777777" w:rsidR="00D01DBA" w:rsidRDefault="00D01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51756" w14:textId="77777777" w:rsidR="00CE694B" w:rsidRDefault="00CE694B" w:rsidP="00D01DBA">
      <w:pPr>
        <w:spacing w:after="0" w:line="240" w:lineRule="auto"/>
      </w:pPr>
      <w:r>
        <w:separator/>
      </w:r>
    </w:p>
  </w:footnote>
  <w:footnote w:type="continuationSeparator" w:id="0">
    <w:p w14:paraId="5AEF30DA" w14:textId="77777777" w:rsidR="00CE694B" w:rsidRDefault="00CE694B" w:rsidP="00D01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F3F2" w14:textId="4B0C8C2A" w:rsidR="00D01DBA" w:rsidRDefault="00D01DBA">
    <w:pPr>
      <w:pStyle w:val="Header"/>
    </w:pPr>
    <w:r>
      <w:rPr>
        <w:noProof/>
      </w:rPr>
      <w:pict w14:anchorId="77D54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40EBD" w14:textId="5D77C488" w:rsidR="00D01DBA" w:rsidRDefault="00D01DBA">
    <w:pPr>
      <w:pStyle w:val="Header"/>
    </w:pPr>
    <w:r>
      <w:rPr>
        <w:noProof/>
      </w:rPr>
      <w:pict w14:anchorId="391B0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0E67" w14:textId="1A10E283" w:rsidR="00D01DBA" w:rsidRDefault="00D01DBA">
    <w:pPr>
      <w:pStyle w:val="Header"/>
    </w:pPr>
    <w:r>
      <w:rPr>
        <w:noProof/>
      </w:rPr>
      <w:pict w14:anchorId="192E2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2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2BCF"/>
    <w:multiLevelType w:val="hybridMultilevel"/>
    <w:tmpl w:val="F642FF80"/>
    <w:lvl w:ilvl="0" w:tplc="9682824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B6295"/>
    <w:multiLevelType w:val="multilevel"/>
    <w:tmpl w:val="8D9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D345D81"/>
    <w:multiLevelType w:val="multilevel"/>
    <w:tmpl w:val="BFDE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594200"/>
    <w:multiLevelType w:val="multilevel"/>
    <w:tmpl w:val="6C3A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44"/>
    <w:rsid w:val="00033F1E"/>
    <w:rsid w:val="0004115E"/>
    <w:rsid w:val="000713E6"/>
    <w:rsid w:val="000A27C0"/>
    <w:rsid w:val="000B6ACE"/>
    <w:rsid w:val="00122A9B"/>
    <w:rsid w:val="00241F44"/>
    <w:rsid w:val="00267071"/>
    <w:rsid w:val="00281F32"/>
    <w:rsid w:val="003834F5"/>
    <w:rsid w:val="00395450"/>
    <w:rsid w:val="003D12A5"/>
    <w:rsid w:val="003D548A"/>
    <w:rsid w:val="00465407"/>
    <w:rsid w:val="004775A4"/>
    <w:rsid w:val="004C0C0B"/>
    <w:rsid w:val="004D3485"/>
    <w:rsid w:val="00561F44"/>
    <w:rsid w:val="005A6640"/>
    <w:rsid w:val="005C2FBC"/>
    <w:rsid w:val="005F438C"/>
    <w:rsid w:val="00635FF8"/>
    <w:rsid w:val="0064577C"/>
    <w:rsid w:val="00670AE9"/>
    <w:rsid w:val="0078277D"/>
    <w:rsid w:val="007D5277"/>
    <w:rsid w:val="007D6C76"/>
    <w:rsid w:val="00837BA3"/>
    <w:rsid w:val="00881A13"/>
    <w:rsid w:val="00915A2D"/>
    <w:rsid w:val="00957230"/>
    <w:rsid w:val="009A2EE0"/>
    <w:rsid w:val="009B2678"/>
    <w:rsid w:val="009B3D4B"/>
    <w:rsid w:val="00A342D7"/>
    <w:rsid w:val="00B34ED0"/>
    <w:rsid w:val="00BB6B7B"/>
    <w:rsid w:val="00BD4782"/>
    <w:rsid w:val="00C61D56"/>
    <w:rsid w:val="00C64BF5"/>
    <w:rsid w:val="00C92D93"/>
    <w:rsid w:val="00CE694B"/>
    <w:rsid w:val="00D013FF"/>
    <w:rsid w:val="00D01DBA"/>
    <w:rsid w:val="00DE19E8"/>
    <w:rsid w:val="00E64738"/>
    <w:rsid w:val="00F5506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7E91D"/>
  <w15:chartTrackingRefBased/>
  <w15:docId w15:val="{DF4AFD89-AD23-4C63-8588-4D02997F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F44"/>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561F44"/>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561F44"/>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61F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1F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1F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F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F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F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F44"/>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561F44"/>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561F44"/>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61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1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1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F44"/>
    <w:rPr>
      <w:rFonts w:eastAsiaTheme="majorEastAsia" w:cstheme="majorBidi"/>
      <w:color w:val="272727" w:themeColor="text1" w:themeTint="D8"/>
    </w:rPr>
  </w:style>
  <w:style w:type="paragraph" w:styleId="Title">
    <w:name w:val="Title"/>
    <w:basedOn w:val="Normal"/>
    <w:next w:val="Normal"/>
    <w:link w:val="TitleChar"/>
    <w:uiPriority w:val="10"/>
    <w:qFormat/>
    <w:rsid w:val="00561F44"/>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61F4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61F44"/>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61F4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61F44"/>
    <w:pPr>
      <w:spacing w:before="160"/>
      <w:jc w:val="center"/>
    </w:pPr>
    <w:rPr>
      <w:i/>
      <w:iCs/>
      <w:color w:val="404040" w:themeColor="text1" w:themeTint="BF"/>
    </w:rPr>
  </w:style>
  <w:style w:type="character" w:customStyle="1" w:styleId="QuoteChar">
    <w:name w:val="Quote Char"/>
    <w:basedOn w:val="DefaultParagraphFont"/>
    <w:link w:val="Quote"/>
    <w:uiPriority w:val="29"/>
    <w:rsid w:val="00561F44"/>
    <w:rPr>
      <w:i/>
      <w:iCs/>
      <w:color w:val="404040" w:themeColor="text1" w:themeTint="BF"/>
    </w:rPr>
  </w:style>
  <w:style w:type="paragraph" w:styleId="ListParagraph">
    <w:name w:val="List Paragraph"/>
    <w:basedOn w:val="Normal"/>
    <w:uiPriority w:val="34"/>
    <w:qFormat/>
    <w:rsid w:val="00561F44"/>
    <w:pPr>
      <w:ind w:left="720"/>
      <w:contextualSpacing/>
    </w:pPr>
  </w:style>
  <w:style w:type="character" w:styleId="IntenseEmphasis">
    <w:name w:val="Intense Emphasis"/>
    <w:basedOn w:val="DefaultParagraphFont"/>
    <w:uiPriority w:val="21"/>
    <w:qFormat/>
    <w:rsid w:val="00561F44"/>
    <w:rPr>
      <w:i/>
      <w:iCs/>
      <w:color w:val="2F5496" w:themeColor="accent1" w:themeShade="BF"/>
    </w:rPr>
  </w:style>
  <w:style w:type="paragraph" w:styleId="IntenseQuote">
    <w:name w:val="Intense Quote"/>
    <w:basedOn w:val="Normal"/>
    <w:next w:val="Normal"/>
    <w:link w:val="IntenseQuoteChar"/>
    <w:uiPriority w:val="30"/>
    <w:qFormat/>
    <w:rsid w:val="00561F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1F44"/>
    <w:rPr>
      <w:i/>
      <w:iCs/>
      <w:color w:val="2F5496" w:themeColor="accent1" w:themeShade="BF"/>
    </w:rPr>
  </w:style>
  <w:style w:type="character" w:styleId="IntenseReference">
    <w:name w:val="Intense Reference"/>
    <w:basedOn w:val="DefaultParagraphFont"/>
    <w:uiPriority w:val="32"/>
    <w:qFormat/>
    <w:rsid w:val="00561F44"/>
    <w:rPr>
      <w:b/>
      <w:bCs/>
      <w:smallCaps/>
      <w:color w:val="2F5496" w:themeColor="accent1" w:themeShade="BF"/>
      <w:spacing w:val="5"/>
    </w:rPr>
  </w:style>
  <w:style w:type="table" w:styleId="TableGrid">
    <w:name w:val="Table Grid"/>
    <w:basedOn w:val="TableNormal"/>
    <w:uiPriority w:val="39"/>
    <w:rsid w:val="007D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13E6"/>
    <w:rPr>
      <w:color w:val="0563C1" w:themeColor="hyperlink"/>
      <w:u w:val="single"/>
    </w:rPr>
  </w:style>
  <w:style w:type="character" w:styleId="UnresolvedMention">
    <w:name w:val="Unresolved Mention"/>
    <w:basedOn w:val="DefaultParagraphFont"/>
    <w:uiPriority w:val="99"/>
    <w:semiHidden/>
    <w:unhideWhenUsed/>
    <w:rsid w:val="000713E6"/>
    <w:rPr>
      <w:color w:val="605E5C"/>
      <w:shd w:val="clear" w:color="auto" w:fill="E1DFDD"/>
    </w:rPr>
  </w:style>
  <w:style w:type="paragraph" w:styleId="NormalWeb">
    <w:name w:val="Normal (Web)"/>
    <w:basedOn w:val="Normal"/>
    <w:uiPriority w:val="99"/>
    <w:semiHidden/>
    <w:unhideWhenUsed/>
    <w:rsid w:val="00267071"/>
    <w:rPr>
      <w:rFonts w:ascii="Times New Roman" w:hAnsi="Times New Roman" w:cs="Angsana New"/>
    </w:rPr>
  </w:style>
  <w:style w:type="paragraph" w:styleId="Header">
    <w:name w:val="header"/>
    <w:basedOn w:val="Normal"/>
    <w:link w:val="HeaderChar"/>
    <w:uiPriority w:val="99"/>
    <w:unhideWhenUsed/>
    <w:rsid w:val="00D01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DBA"/>
  </w:style>
  <w:style w:type="paragraph" w:styleId="Footer">
    <w:name w:val="footer"/>
    <w:basedOn w:val="Normal"/>
    <w:link w:val="FooterChar"/>
    <w:uiPriority w:val="99"/>
    <w:unhideWhenUsed/>
    <w:rsid w:val="00D01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progpolymsci.2009.11.002" TargetMode="External"/><Relationship Id="rId18" Type="http://schemas.openxmlformats.org/officeDocument/2006/relationships/hyperlink" Target="https://doi.org/10.1377/hlthaff.2017.1557" TargetMode="External"/><Relationship Id="rId26" Type="http://schemas.openxmlformats.org/officeDocument/2006/relationships/hyperlink" Target="https://doi.org/10.1038/nrd2153" TargetMode="External"/><Relationship Id="rId39" Type="http://schemas.openxmlformats.org/officeDocument/2006/relationships/hyperlink" Target="https://doi.org/10.3389/fphar.2015.00286" TargetMode="External"/><Relationship Id="rId21" Type="http://schemas.openxmlformats.org/officeDocument/2006/relationships/hyperlink" Target="https://doi.org/10.1002/btm2.10143" TargetMode="External"/><Relationship Id="rId34" Type="http://schemas.openxmlformats.org/officeDocument/2006/relationships/hyperlink" Target="https://doi.org/10.1016/j.jconrel.2012.03.020" TargetMode="External"/><Relationship Id="rId42" Type="http://schemas.openxmlformats.org/officeDocument/2006/relationships/hyperlink" Target="https://doi.org/10.1201/b13234"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38/nmat2989" TargetMode="External"/><Relationship Id="rId29" Type="http://schemas.openxmlformats.org/officeDocument/2006/relationships/hyperlink" Target="https://doi.org/10.1038/s41591-018-0300-7" TargetMode="External"/><Relationship Id="rId11" Type="http://schemas.openxmlformats.org/officeDocument/2006/relationships/hyperlink" Target="https://doi.org/10.1038/nature05058" TargetMode="External"/><Relationship Id="rId24" Type="http://schemas.openxmlformats.org/officeDocument/2006/relationships/hyperlink" Target="https://doi.org/10.1038/nrd.2017.243" TargetMode="External"/><Relationship Id="rId32" Type="http://schemas.openxmlformats.org/officeDocument/2006/relationships/hyperlink" Target="https://doi.org/10.1038/s41563-019-0338-z" TargetMode="External"/><Relationship Id="rId37" Type="http://schemas.openxmlformats.org/officeDocument/2006/relationships/hyperlink" Target="https://doi.org/10.1177/1740774515597687" TargetMode="External"/><Relationship Id="rId40" Type="http://schemas.openxmlformats.org/officeDocument/2006/relationships/hyperlink" Target="https://doi.org/10.1016/j.addr.2012.10.003"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38/nbt0109-26" TargetMode="External"/><Relationship Id="rId23" Type="http://schemas.openxmlformats.org/officeDocument/2006/relationships/hyperlink" Target="https://doi.org/10.1038/nrd4333" TargetMode="External"/><Relationship Id="rId28" Type="http://schemas.openxmlformats.org/officeDocument/2006/relationships/hyperlink" Target="https://doi.org/10.1016/j.jconrel.2019.08.027" TargetMode="External"/><Relationship Id="rId36" Type="http://schemas.openxmlformats.org/officeDocument/2006/relationships/hyperlink" Target="https://doi.org/10.3348/kjr.2017.18.4.570" TargetMode="External"/><Relationship Id="rId49" Type="http://schemas.openxmlformats.org/officeDocument/2006/relationships/header" Target="header3.xml"/><Relationship Id="rId10" Type="http://schemas.openxmlformats.org/officeDocument/2006/relationships/hyperlink" Target="https://doi.org/10.1021/ar200019c" TargetMode="External"/><Relationship Id="rId19" Type="http://schemas.openxmlformats.org/officeDocument/2006/relationships/hyperlink" Target="https://doi.org/10.1038/nrd4363" TargetMode="External"/><Relationship Id="rId31" Type="http://schemas.openxmlformats.org/officeDocument/2006/relationships/hyperlink" Target="https://doi.org/10.2217/nnm.13.140" TargetMode="External"/><Relationship Id="rId44" Type="http://schemas.openxmlformats.org/officeDocument/2006/relationships/hyperlink" Target="https://doi.org/10.1007/s10439-016-1612-8"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S0169-409X(01)00105-3" TargetMode="External"/><Relationship Id="rId22" Type="http://schemas.openxmlformats.org/officeDocument/2006/relationships/hyperlink" Target="https://doi.org/10.1002/anie.200802585" TargetMode="External"/><Relationship Id="rId27" Type="http://schemas.openxmlformats.org/officeDocument/2006/relationships/hyperlink" Target="https://doi.org/10.3390/pharmaceutics10020057" TargetMode="External"/><Relationship Id="rId30" Type="http://schemas.openxmlformats.org/officeDocument/2006/relationships/hyperlink" Target="https://doi.org/10.1039/C3GC41935E" TargetMode="External"/><Relationship Id="rId35" Type="http://schemas.openxmlformats.org/officeDocument/2006/relationships/hyperlink" Target="https://doi.org/10.3390/molecules23040938" TargetMode="External"/><Relationship Id="rId43" Type="http://schemas.openxmlformats.org/officeDocument/2006/relationships/hyperlink" Target="https://doi.org/10.1016/j.apsb.2021.05.002"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038/nmat3776" TargetMode="External"/><Relationship Id="rId17" Type="http://schemas.openxmlformats.org/officeDocument/2006/relationships/hyperlink" Target="https://doi.org/10.1016/j.jconrel.2012.01.043" TargetMode="External"/><Relationship Id="rId25" Type="http://schemas.openxmlformats.org/officeDocument/2006/relationships/hyperlink" Target="https://doi.org/10.1016/j.addr.2008.03.012" TargetMode="External"/><Relationship Id="rId33" Type="http://schemas.openxmlformats.org/officeDocument/2006/relationships/hyperlink" Target="https://doi.org/10.1016/S1056-8719(00)00107-6" TargetMode="External"/><Relationship Id="rId38" Type="http://schemas.openxmlformats.org/officeDocument/2006/relationships/hyperlink" Target="https://doi.org/10.1016/j.jconrel.2020.07.041" TargetMode="External"/><Relationship Id="rId46" Type="http://schemas.openxmlformats.org/officeDocument/2006/relationships/header" Target="header2.xml"/><Relationship Id="rId20" Type="http://schemas.openxmlformats.org/officeDocument/2006/relationships/hyperlink" Target="https://doi.org/10.1016/j.progpolymsci.2011.03.001" TargetMode="External"/><Relationship Id="rId41" Type="http://schemas.openxmlformats.org/officeDocument/2006/relationships/hyperlink" Target="https://doi.org/10.1016/j.cherd.2005.04.00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28</Pages>
  <Words>9991</Words>
  <Characters>56952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32</cp:revision>
  <dcterms:created xsi:type="dcterms:W3CDTF">2026-01-05T17:06:00Z</dcterms:created>
  <dcterms:modified xsi:type="dcterms:W3CDTF">2026-01-07T07:44:00Z</dcterms:modified>
</cp:coreProperties>
</file>