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763EF" w14:textId="77777777" w:rsidR="0082621B" w:rsidRDefault="008B15C0">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Project Management: Systems Approach to Planning, Scheduling, and Controlling: The Case of Community-Based Organizations in Nigeria</w:t>
      </w:r>
    </w:p>
    <w:p w14:paraId="00E18B30" w14:textId="77777777" w:rsidR="0082621B" w:rsidRDefault="0082621B">
      <w:pPr>
        <w:spacing w:line="360" w:lineRule="auto"/>
        <w:jc w:val="center"/>
        <w:rPr>
          <w:rFonts w:ascii="Times New Roman" w:eastAsia="Times New Roman" w:hAnsi="Times New Roman" w:cs="Times New Roman"/>
          <w:sz w:val="24"/>
          <w:szCs w:val="24"/>
          <w:highlight w:val="white"/>
        </w:rPr>
      </w:pPr>
    </w:p>
    <w:p w14:paraId="5EB9516A" w14:textId="03840BA3" w:rsidR="0082621B" w:rsidRDefault="0082621B">
      <w:pPr>
        <w:spacing w:line="360" w:lineRule="auto"/>
        <w:rPr>
          <w:rFonts w:ascii="Times New Roman" w:eastAsia="Times New Roman" w:hAnsi="Times New Roman" w:cs="Times New Roman"/>
          <w:b/>
          <w:bCs/>
          <w:sz w:val="32"/>
          <w:szCs w:val="32"/>
          <w:highlight w:val="white"/>
        </w:rPr>
      </w:pPr>
    </w:p>
    <w:p w14:paraId="7BBF0ED4" w14:textId="77777777" w:rsidR="00A24467" w:rsidRDefault="00A24467">
      <w:pPr>
        <w:spacing w:line="360" w:lineRule="auto"/>
        <w:rPr>
          <w:rFonts w:ascii="Times New Roman" w:eastAsia="Times New Roman" w:hAnsi="Times New Roman" w:cs="Times New Roman"/>
          <w:b/>
          <w:bCs/>
          <w:sz w:val="32"/>
          <w:szCs w:val="32"/>
          <w:highlight w:val="white"/>
        </w:rPr>
      </w:pPr>
    </w:p>
    <w:p w14:paraId="0675417A" w14:textId="77777777" w:rsidR="0082621B" w:rsidRDefault="008B15C0">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14:paraId="5B5DA35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project management is crucial for the success of community development projects, especially in developing countries like Nigeria, where resource constraints, political instability, and limited institutional capacity often hinder project outcomes. Despite the growing importance of systems-oriented approaches, which integrate planning, scheduling, and controlling to achieve optimal project results, there remains a gap in the practical application of these frameworks within the Nigerian context. This study aimed to explore the impact of these three project management pillars—planning, scheduling, and controlling—on the success of community development projects in Port Harcourt, Nigeria. The research utilized a quantitative approach, collecting data from 250 respondents across 10 community-based organizations (CBOs) and non-governmental organizations (NGOs) in the area. The findings showed that comprehensive planning, including risk identification and resource allocation, was essential for ensuring project success. Scheduling was found to be a critical factor in maintaining timelines and ensuring quality delivery, while controlling mechanisms, including real-time monitoring and corrective actions, were proven to be vital in adapting to project challenges. The study concluded that integrating a systems approach to project management enhances the effectiveness and sustainability of community development projects. Based on the findings, it is recommended that project managers invest in training, adopt advanced project management tools, and implement formalized scheduling and control systems to improve project outcomes.</w:t>
      </w:r>
    </w:p>
    <w:p w14:paraId="3250E98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Project management, Community development, Planning, Scheduling, Controlling</w:t>
      </w:r>
    </w:p>
    <w:p w14:paraId="0F8CC42E" w14:textId="77777777" w:rsidR="0082621B" w:rsidRDefault="008B15C0">
      <w:pPr>
        <w:pStyle w:val="Heading2"/>
        <w:keepNext w:val="0"/>
        <w:keepLines w:val="0"/>
        <w:spacing w:after="80" w:line="360" w:lineRule="auto"/>
        <w:rPr>
          <w:rFonts w:ascii="Times New Roman" w:eastAsia="Times New Roman" w:hAnsi="Times New Roman" w:cs="Times New Roman"/>
          <w:b/>
          <w:bCs/>
          <w:highlight w:val="white"/>
        </w:rPr>
      </w:pPr>
      <w:bookmarkStart w:id="0" w:name="_heading=h.v6s0jfskuxn5" w:colFirst="0" w:colLast="0"/>
      <w:bookmarkStart w:id="1" w:name="_heading=h.39ffhjh3mle8" w:colFirst="0" w:colLast="0"/>
      <w:bookmarkEnd w:id="0"/>
      <w:bookmarkEnd w:id="1"/>
      <w:r>
        <w:rPr>
          <w:rFonts w:ascii="Times New Roman" w:eastAsia="Times New Roman" w:hAnsi="Times New Roman" w:cs="Times New Roman"/>
          <w:b/>
          <w:bCs/>
          <w:highlight w:val="white"/>
        </w:rPr>
        <w:lastRenderedPageBreak/>
        <w:t>Introduction</w:t>
      </w:r>
    </w:p>
    <w:p w14:paraId="264EC04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Project management has become a crucial discipline driving the successful delivery of complex initiatives across various sectors, particularly in community development. At its core, project management represents the systematic application of knowledge, skills, tools, and techniques to meet stakeholder needs within defined constraints of scope, time, cost, and quality (Project Management Institute, 2025). This structured orientation helps organizations reduce inefficiencies, anticipate risks, and align outputs with intended outcomes, which is especially vital in community development projects where outcomes resonate profoundly with local livelihood, governance, and sustainability objectives (Bohra &amp; Verma, 2024). Effective project management is not merely transactional; it is transformational, shaping how resources are marshaled, how uncertainty is navigated, and how impact at the community level is realized.</w:t>
      </w:r>
    </w:p>
    <w:p w14:paraId="363313A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community development, the stakes are high. Projects are often designed to improve education, infrastructure, health, and economic opportunity—areas deeply embedded in the social and economic fabric of local communities (Blak Bernat et al., 2023). A growing body of research argues that the challenges of planning, implementation, and control in such settings stem from the complex and interdependent nature of project elements, which include stakeholders with divergent priorities, resource scarcity, and evolving contextual pressures (Hosseini &amp; Farid, 2025). Community development initiatives therefore demand a holistic conceptual lens that accommodates this complexity rather than simplistic linear models that treat planning, scheduling, and controlling as isolated tasks.</w:t>
      </w:r>
    </w:p>
    <w:p w14:paraId="608689F2"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need for a broader framing has spurred increased interest in the systems approach to project management. The systems approach transcends narrow task‑centric views by treating projects as interrelated ecosystems of people, processes, technologies, and environments (Kerzner, 2021; Larson &amp; Gray, 2020). In such systems thinking, planning sets the stage for anticipating interactions among activities, scheduling optimizes the sequence and flow of those activities, and controlling monitors feedback loops that help recalibrate project behavior in real time (Project Management Institute, 2021). Contemporary scholarship highlights that this integrative perspective enhances adaptability and learning, which are crucial in dynamic environments like community development (Cohen, 2023). Additionally, advances in project scheduling—such as </w:t>
      </w:r>
      <w:r>
        <w:rPr>
          <w:rFonts w:ascii="Times New Roman" w:eastAsia="Times New Roman" w:hAnsi="Times New Roman" w:cs="Times New Roman"/>
          <w:sz w:val="24"/>
          <w:szCs w:val="24"/>
          <w:highlight w:val="white"/>
        </w:rPr>
        <w:lastRenderedPageBreak/>
        <w:t>AI‑enhanced and risk‑aware approaches—offer new avenues for aligning human judgment with data‑informed decision processes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Saxena, 2024).</w:t>
      </w:r>
    </w:p>
    <w:p w14:paraId="2466E84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despite this promise, the practical application of systems‑oriented planning, scheduling, and controlling remains uneven, particularly in the context of developing countries. In Nigeria and comparable settings, implementing systematic project management practices is challenged by limited institutional capacity, fragmented stakeholder engagement, and gaps in training among local practitioners (Hamidu, 2024). Empirical studies have found that poor planning practices contribute to frequent delays, cost overruns, and ultimately, project abandonment—undermining the very development outcomes these efforts aim to achieve (</w:t>
      </w:r>
      <w:proofErr w:type="spellStart"/>
      <w:r>
        <w:rPr>
          <w:rFonts w:ascii="Times New Roman" w:eastAsia="Times New Roman" w:hAnsi="Times New Roman" w:cs="Times New Roman"/>
          <w:sz w:val="24"/>
          <w:szCs w:val="24"/>
          <w:highlight w:val="white"/>
        </w:rPr>
        <w:t>Titarenko</w:t>
      </w:r>
      <w:proofErr w:type="spellEnd"/>
      <w:r>
        <w:rPr>
          <w:rFonts w:ascii="Times New Roman" w:eastAsia="Times New Roman" w:hAnsi="Times New Roman" w:cs="Times New Roman"/>
          <w:sz w:val="24"/>
          <w:szCs w:val="24"/>
          <w:highlight w:val="white"/>
        </w:rPr>
        <w:t xml:space="preserve"> &amp; Da </w:t>
      </w:r>
      <w:proofErr w:type="spellStart"/>
      <w:r>
        <w:rPr>
          <w:rFonts w:ascii="Times New Roman" w:eastAsia="Times New Roman" w:hAnsi="Times New Roman" w:cs="Times New Roman"/>
          <w:sz w:val="24"/>
          <w:szCs w:val="24"/>
          <w:highlight w:val="white"/>
        </w:rPr>
        <w:t>Camara</w:t>
      </w:r>
      <w:proofErr w:type="spellEnd"/>
      <w:r>
        <w:rPr>
          <w:rFonts w:ascii="Times New Roman" w:eastAsia="Times New Roman" w:hAnsi="Times New Roman" w:cs="Times New Roman"/>
          <w:sz w:val="24"/>
          <w:szCs w:val="24"/>
          <w:highlight w:val="white"/>
        </w:rPr>
        <w:t>, 2025). This gap between theoretical frameworks and practical implementation underscores an urgent research need: to ground community development projects in models that integrate systems thinking with empirically validated project management practices responsive to local contexts.</w:t>
      </w:r>
    </w:p>
    <w:p w14:paraId="1AEA8E3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aims to address that gap by investigating the influence of planning, scheduling, and controlling within a systems approach to project management, with a specific focus on community development projects in Nigeria. Drawing from quantitative survey data collected from community‑based organizations (CBOs) and NGOs in Port Harcourt, the research examines how these three pillars of project management interact and impact project outcomes. Specifically, the study explores: (1) the impact of planning on system‑level project success; (2) the influence of scheduling practices in aligning project activities; and (3) the role of controlling mechanisms in sustaining performance and responsiveness amidst complexity.</w:t>
      </w:r>
    </w:p>
    <w:p w14:paraId="335EAF52"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guide this inquiry, the following research questions are posed: What is the impact of planning on the systems approach to project management in community development projects? How does scheduling influence the systems approach in this context? And what role does controlling play within a systems‑oriented project management framework? These questions are framed to surface evidence not only about individual practices, but about their combined effects when embedded in a systems perspective.</w:t>
      </w:r>
    </w:p>
    <w:p w14:paraId="5278A060"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integrating contemporary insights from project management research and embedding them in the lived realities of community development practice, this study contributes to both academic theory and actionable knowledge that practitioners can adopt to enhance development outcomes.</w:t>
      </w:r>
    </w:p>
    <w:p w14:paraId="2CDEF4C2" w14:textId="77777777" w:rsidR="0082621B" w:rsidRDefault="008B15C0">
      <w:pPr>
        <w:pStyle w:val="Heading1"/>
        <w:pageBreakBefore/>
        <w:spacing w:before="240" w:after="60" w:line="360" w:lineRule="auto"/>
        <w:rPr>
          <w:rFonts w:ascii="Times New Roman" w:eastAsia="Times New Roman" w:hAnsi="Times New Roman" w:cs="Times New Roman"/>
          <w:b/>
          <w:bCs/>
          <w:sz w:val="32"/>
          <w:szCs w:val="32"/>
          <w:highlight w:val="white"/>
        </w:rPr>
      </w:pPr>
      <w:bookmarkStart w:id="2" w:name="_heading=h.sgpx6nftwkqd" w:colFirst="0" w:colLast="0"/>
      <w:bookmarkStart w:id="3" w:name="_GoBack"/>
      <w:bookmarkEnd w:id="2"/>
      <w:bookmarkEnd w:id="3"/>
      <w:r>
        <w:rPr>
          <w:rFonts w:ascii="Times New Roman" w:eastAsia="Times New Roman" w:hAnsi="Times New Roman" w:cs="Times New Roman"/>
          <w:b/>
          <w:bCs/>
          <w:sz w:val="32"/>
          <w:szCs w:val="32"/>
          <w:highlight w:val="white"/>
        </w:rPr>
        <w:lastRenderedPageBreak/>
        <w:t>Methodology</w:t>
      </w:r>
    </w:p>
    <w:p w14:paraId="00608887" w14:textId="77777777" w:rsidR="0082621B" w:rsidRDefault="0082621B">
      <w:pPr>
        <w:spacing w:line="360" w:lineRule="auto"/>
        <w:jc w:val="both"/>
        <w:rPr>
          <w:rFonts w:ascii="Times New Roman" w:eastAsia="Times New Roman" w:hAnsi="Times New Roman" w:cs="Times New Roman"/>
          <w:sz w:val="24"/>
          <w:szCs w:val="24"/>
          <w:highlight w:val="white"/>
        </w:rPr>
      </w:pPr>
    </w:p>
    <w:p w14:paraId="1262528D"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6105A4D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research employed a descriptive survey design with a quantitative approach. This design is particularly suited for examining the current state of planning, scheduling, and controlling practices in community development projects. The descriptive survey approach allows for the collection of data that describes the characteristics and practices of the community-based organizations (CBOs) and NGOs under study.  The quantitative approach ensures that the findings are based on numerical data, which can be analyzed statistically to identify patterns, relationships, and significant factors. </w:t>
      </w:r>
    </w:p>
    <w:p w14:paraId="3091CE77"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4" w:name="_heading=h.l7295u5ksuty" w:colFirst="0" w:colLast="0"/>
      <w:bookmarkEnd w:id="4"/>
      <w:r>
        <w:rPr>
          <w:rFonts w:ascii="Times New Roman" w:eastAsia="Times New Roman" w:hAnsi="Times New Roman" w:cs="Times New Roman"/>
          <w:b/>
          <w:bCs/>
          <w:color w:val="000000"/>
          <w:highlight w:val="white"/>
        </w:rPr>
        <w:t>Study Area</w:t>
      </w:r>
    </w:p>
    <w:p w14:paraId="64AA68A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was conducted in Port Harcourt, the capital city of Rivers State, Nigeria, which serves as a key hub for various community development projects. The city is home to numerous community-based and non-governmental organizations (CBOs/NGOs) that engage in diverse community development activities, including education, healthcare, infrastructure, and economic empowerment. The study focused on organizations that operate within the Port Harcourt metropolis.</w:t>
      </w:r>
    </w:p>
    <w:p w14:paraId="787E6639"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Harcourt is strategically important for this study because it offers a representative sample of the challenges and opportunities faced by organizations in community development within Nigeria. The city also reflects the typical socio-economic conditions, such as resource constraints and political dynamics, which are common to many community-based projects in the country.</w:t>
      </w:r>
    </w:p>
    <w:p w14:paraId="24248D73"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5" w:name="_heading=h.usosyfm4yssj" w:colFirst="0" w:colLast="0"/>
      <w:bookmarkEnd w:id="5"/>
      <w:r>
        <w:rPr>
          <w:rFonts w:ascii="Times New Roman" w:eastAsia="Times New Roman" w:hAnsi="Times New Roman" w:cs="Times New Roman"/>
          <w:b/>
          <w:bCs/>
          <w:color w:val="000000"/>
          <w:highlight w:val="white"/>
        </w:rPr>
        <w:t>Study Population and Sampling Technique</w:t>
      </w:r>
    </w:p>
    <w:p w14:paraId="29532841"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sample for this study consisted of 300 respondents drawn from a population of 1,200 members </w:t>
      </w:r>
      <w:proofErr w:type="gramStart"/>
      <w:r>
        <w:rPr>
          <w:rFonts w:ascii="Times New Roman" w:eastAsia="Times New Roman" w:hAnsi="Times New Roman" w:cs="Times New Roman"/>
          <w:sz w:val="24"/>
          <w:szCs w:val="24"/>
          <w:highlight w:val="white"/>
        </w:rPr>
        <w:t>across  ten</w:t>
      </w:r>
      <w:proofErr w:type="gramEnd"/>
      <w:r>
        <w:rPr>
          <w:rFonts w:ascii="Times New Roman" w:eastAsia="Times New Roman" w:hAnsi="Times New Roman" w:cs="Times New Roman"/>
          <w:sz w:val="24"/>
          <w:szCs w:val="24"/>
          <w:highlight w:val="white"/>
        </w:rPr>
        <w:t xml:space="preserve"> (10) community-based and non-governmental organizations (CBOs/NGOs) in Port Harcourt. The breakdown of the population distribution in the selected CBOs and NGOs is shown in Table 1 below. The organizations vary in size, with the number of members ranging from 75 to </w:t>
      </w:r>
      <w:r>
        <w:rPr>
          <w:rFonts w:ascii="Times New Roman" w:eastAsia="Times New Roman" w:hAnsi="Times New Roman" w:cs="Times New Roman"/>
          <w:sz w:val="24"/>
          <w:szCs w:val="24"/>
          <w:highlight w:val="white"/>
        </w:rPr>
        <w:lastRenderedPageBreak/>
        <w:t>180. This diversity allows for a broad range of responses and ensures that the findings of the study are generalizable to similar organizations across Nigeria.</w:t>
      </w:r>
    </w:p>
    <w:p w14:paraId="763C174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1: Population Distribution Table</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180"/>
        <w:gridCol w:w="1680"/>
      </w:tblGrid>
      <w:tr w:rsidR="0082621B" w14:paraId="7C5F3EF0" w14:textId="77777777">
        <w:tc>
          <w:tcPr>
            <w:tcW w:w="1500" w:type="dxa"/>
            <w:tcMar>
              <w:top w:w="100" w:type="dxa"/>
              <w:left w:w="100" w:type="dxa"/>
              <w:bottom w:w="100" w:type="dxa"/>
              <w:right w:w="100" w:type="dxa"/>
            </w:tcMar>
          </w:tcPr>
          <w:p w14:paraId="7A5624E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Serial number</w:t>
            </w:r>
          </w:p>
        </w:tc>
        <w:tc>
          <w:tcPr>
            <w:tcW w:w="6180" w:type="dxa"/>
            <w:tcMar>
              <w:top w:w="100" w:type="dxa"/>
              <w:left w:w="100" w:type="dxa"/>
              <w:bottom w:w="100" w:type="dxa"/>
              <w:right w:w="100" w:type="dxa"/>
            </w:tcMar>
          </w:tcPr>
          <w:p w14:paraId="55D2CCF2"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Name of Community-Based Organization and Non-Governmental Organization in Port Harcourt Metropolis, Rivers State</w:t>
            </w:r>
          </w:p>
        </w:tc>
        <w:tc>
          <w:tcPr>
            <w:tcW w:w="1680" w:type="dxa"/>
            <w:tcMar>
              <w:top w:w="100" w:type="dxa"/>
              <w:left w:w="100" w:type="dxa"/>
              <w:bottom w:w="100" w:type="dxa"/>
              <w:right w:w="100" w:type="dxa"/>
            </w:tcMar>
          </w:tcPr>
          <w:p w14:paraId="130D32B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members</w:t>
            </w:r>
          </w:p>
        </w:tc>
      </w:tr>
      <w:tr w:rsidR="0082621B" w14:paraId="51EEE14F" w14:textId="77777777">
        <w:tc>
          <w:tcPr>
            <w:tcW w:w="1500" w:type="dxa"/>
            <w:tcMar>
              <w:top w:w="100" w:type="dxa"/>
              <w:left w:w="100" w:type="dxa"/>
              <w:bottom w:w="100" w:type="dxa"/>
              <w:right w:w="100" w:type="dxa"/>
            </w:tcMar>
          </w:tcPr>
          <w:p w14:paraId="6CFE80A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180" w:type="dxa"/>
            <w:tcMar>
              <w:top w:w="100" w:type="dxa"/>
              <w:left w:w="100" w:type="dxa"/>
              <w:bottom w:w="100" w:type="dxa"/>
              <w:right w:w="100" w:type="dxa"/>
            </w:tcMar>
          </w:tcPr>
          <w:p w14:paraId="7A9BB16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Community Development Committees</w:t>
            </w:r>
          </w:p>
        </w:tc>
        <w:tc>
          <w:tcPr>
            <w:tcW w:w="1680" w:type="dxa"/>
            <w:tcMar>
              <w:top w:w="100" w:type="dxa"/>
              <w:left w:w="100" w:type="dxa"/>
              <w:bottom w:w="100" w:type="dxa"/>
              <w:right w:w="100" w:type="dxa"/>
            </w:tcMar>
          </w:tcPr>
          <w:p w14:paraId="41F0E78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  </w:t>
            </w:r>
          </w:p>
        </w:tc>
      </w:tr>
      <w:tr w:rsidR="0082621B" w14:paraId="3A4FE5A8" w14:textId="77777777">
        <w:tc>
          <w:tcPr>
            <w:tcW w:w="1500" w:type="dxa"/>
            <w:tcMar>
              <w:top w:w="100" w:type="dxa"/>
              <w:left w:w="100" w:type="dxa"/>
              <w:bottom w:w="100" w:type="dxa"/>
              <w:right w:w="100" w:type="dxa"/>
            </w:tcMar>
          </w:tcPr>
          <w:p w14:paraId="5446878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180" w:type="dxa"/>
            <w:tcMar>
              <w:top w:w="100" w:type="dxa"/>
              <w:left w:w="100" w:type="dxa"/>
              <w:bottom w:w="100" w:type="dxa"/>
              <w:right w:w="100" w:type="dxa"/>
            </w:tcMar>
          </w:tcPr>
          <w:p w14:paraId="30CA8BE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PALGA The Management Team Initiative</w:t>
            </w:r>
          </w:p>
        </w:tc>
        <w:tc>
          <w:tcPr>
            <w:tcW w:w="1680" w:type="dxa"/>
            <w:tcMar>
              <w:top w:w="100" w:type="dxa"/>
              <w:left w:w="100" w:type="dxa"/>
              <w:bottom w:w="100" w:type="dxa"/>
              <w:right w:w="100" w:type="dxa"/>
            </w:tcMar>
          </w:tcPr>
          <w:p w14:paraId="6566F84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180 </w:t>
            </w:r>
          </w:p>
        </w:tc>
      </w:tr>
      <w:tr w:rsidR="0082621B" w14:paraId="1CC4240C" w14:textId="77777777">
        <w:tc>
          <w:tcPr>
            <w:tcW w:w="1500" w:type="dxa"/>
            <w:tcMar>
              <w:top w:w="100" w:type="dxa"/>
              <w:left w:w="100" w:type="dxa"/>
              <w:bottom w:w="100" w:type="dxa"/>
              <w:right w:w="100" w:type="dxa"/>
            </w:tcMar>
          </w:tcPr>
          <w:p w14:paraId="262A2F6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6180" w:type="dxa"/>
            <w:tcMar>
              <w:top w:w="100" w:type="dxa"/>
              <w:left w:w="100" w:type="dxa"/>
              <w:bottom w:w="100" w:type="dxa"/>
              <w:right w:w="100" w:type="dxa"/>
            </w:tcMar>
          </w:tcPr>
          <w:p w14:paraId="3B69664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Society for Development and Community Empowerment</w:t>
            </w:r>
          </w:p>
        </w:tc>
        <w:tc>
          <w:tcPr>
            <w:tcW w:w="1680" w:type="dxa"/>
            <w:tcMar>
              <w:top w:w="100" w:type="dxa"/>
              <w:left w:w="100" w:type="dxa"/>
              <w:bottom w:w="100" w:type="dxa"/>
              <w:right w:w="100" w:type="dxa"/>
            </w:tcMar>
          </w:tcPr>
          <w:p w14:paraId="5586505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77 </w:t>
            </w:r>
          </w:p>
        </w:tc>
      </w:tr>
      <w:tr w:rsidR="0082621B" w14:paraId="07393F64" w14:textId="77777777">
        <w:tc>
          <w:tcPr>
            <w:tcW w:w="1500" w:type="dxa"/>
            <w:tcMar>
              <w:top w:w="100" w:type="dxa"/>
              <w:left w:w="100" w:type="dxa"/>
              <w:bottom w:w="100" w:type="dxa"/>
              <w:right w:w="100" w:type="dxa"/>
            </w:tcMar>
          </w:tcPr>
          <w:p w14:paraId="2BA794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6180" w:type="dxa"/>
            <w:tcMar>
              <w:top w:w="100" w:type="dxa"/>
              <w:left w:w="100" w:type="dxa"/>
              <w:bottom w:w="100" w:type="dxa"/>
              <w:right w:w="100" w:type="dxa"/>
            </w:tcMar>
          </w:tcPr>
          <w:p w14:paraId="56E7EA0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Women of Glory, </w:t>
            </w:r>
            <w:proofErr w:type="spellStart"/>
            <w:r>
              <w:rPr>
                <w:rFonts w:ascii="Times New Roman" w:eastAsia="Times New Roman" w:hAnsi="Times New Roman" w:cs="Times New Roman"/>
                <w:sz w:val="24"/>
                <w:szCs w:val="24"/>
                <w:highlight w:val="white"/>
              </w:rPr>
              <w:t>Rumukalagbor</w:t>
            </w:r>
            <w:proofErr w:type="spellEnd"/>
          </w:p>
        </w:tc>
        <w:tc>
          <w:tcPr>
            <w:tcW w:w="1680" w:type="dxa"/>
            <w:tcMar>
              <w:top w:w="100" w:type="dxa"/>
              <w:left w:w="100" w:type="dxa"/>
              <w:bottom w:w="100" w:type="dxa"/>
              <w:right w:w="100" w:type="dxa"/>
            </w:tcMar>
          </w:tcPr>
          <w:p w14:paraId="1A09DB9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r>
      <w:tr w:rsidR="0082621B" w14:paraId="377D5EBC" w14:textId="77777777">
        <w:tc>
          <w:tcPr>
            <w:tcW w:w="1500" w:type="dxa"/>
            <w:tcMar>
              <w:top w:w="100" w:type="dxa"/>
              <w:left w:w="100" w:type="dxa"/>
              <w:bottom w:w="100" w:type="dxa"/>
              <w:right w:w="100" w:type="dxa"/>
            </w:tcMar>
          </w:tcPr>
          <w:p w14:paraId="3A41A08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6180" w:type="dxa"/>
            <w:tcMar>
              <w:top w:w="100" w:type="dxa"/>
              <w:left w:w="100" w:type="dxa"/>
              <w:bottom w:w="100" w:type="dxa"/>
              <w:right w:w="100" w:type="dxa"/>
            </w:tcMar>
          </w:tcPr>
          <w:p w14:paraId="02B7C2D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Port Harcourt Facilitators Club</w:t>
            </w:r>
          </w:p>
        </w:tc>
        <w:tc>
          <w:tcPr>
            <w:tcW w:w="1680" w:type="dxa"/>
            <w:tcMar>
              <w:top w:w="100" w:type="dxa"/>
              <w:left w:w="100" w:type="dxa"/>
              <w:bottom w:w="100" w:type="dxa"/>
              <w:right w:w="100" w:type="dxa"/>
            </w:tcMar>
          </w:tcPr>
          <w:p w14:paraId="5EBA989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133  </w:t>
            </w:r>
          </w:p>
        </w:tc>
      </w:tr>
      <w:tr w:rsidR="0082621B" w14:paraId="5F57957B" w14:textId="77777777">
        <w:tc>
          <w:tcPr>
            <w:tcW w:w="1500" w:type="dxa"/>
            <w:tcMar>
              <w:top w:w="100" w:type="dxa"/>
              <w:left w:w="100" w:type="dxa"/>
              <w:bottom w:w="100" w:type="dxa"/>
              <w:right w:w="100" w:type="dxa"/>
            </w:tcMar>
          </w:tcPr>
          <w:p w14:paraId="5FA8166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6180" w:type="dxa"/>
            <w:tcMar>
              <w:top w:w="100" w:type="dxa"/>
              <w:left w:w="100" w:type="dxa"/>
              <w:bottom w:w="100" w:type="dxa"/>
              <w:right w:w="100" w:type="dxa"/>
            </w:tcMar>
          </w:tcPr>
          <w:p w14:paraId="4E7071E4" w14:textId="77777777" w:rsidR="0082621B" w:rsidRDefault="008B15C0">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Ogbakiri-Ikwerre</w:t>
            </w:r>
            <w:proofErr w:type="spellEnd"/>
            <w:r>
              <w:rPr>
                <w:rFonts w:ascii="Times New Roman" w:eastAsia="Times New Roman" w:hAnsi="Times New Roman" w:cs="Times New Roman"/>
                <w:sz w:val="24"/>
                <w:szCs w:val="24"/>
                <w:highlight w:val="white"/>
              </w:rPr>
              <w:t xml:space="preserve"> Development</w:t>
            </w:r>
          </w:p>
        </w:tc>
        <w:tc>
          <w:tcPr>
            <w:tcW w:w="1680" w:type="dxa"/>
            <w:tcMar>
              <w:top w:w="100" w:type="dxa"/>
              <w:left w:w="100" w:type="dxa"/>
              <w:bottom w:w="100" w:type="dxa"/>
              <w:right w:w="100" w:type="dxa"/>
            </w:tcMar>
          </w:tcPr>
          <w:p w14:paraId="4ACE171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115  </w:t>
            </w:r>
          </w:p>
        </w:tc>
      </w:tr>
      <w:tr w:rsidR="0082621B" w14:paraId="3D18B594" w14:textId="77777777">
        <w:tc>
          <w:tcPr>
            <w:tcW w:w="1500" w:type="dxa"/>
            <w:tcMar>
              <w:top w:w="100" w:type="dxa"/>
              <w:left w:w="100" w:type="dxa"/>
              <w:bottom w:w="100" w:type="dxa"/>
              <w:right w:w="100" w:type="dxa"/>
            </w:tcMar>
          </w:tcPr>
          <w:p w14:paraId="3E0E734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6180" w:type="dxa"/>
            <w:tcMar>
              <w:top w:w="100" w:type="dxa"/>
              <w:left w:w="100" w:type="dxa"/>
              <w:bottom w:w="100" w:type="dxa"/>
              <w:right w:w="100" w:type="dxa"/>
            </w:tcMar>
          </w:tcPr>
          <w:p w14:paraId="4B68BA8A"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Union of Port Harcourt</w:t>
            </w:r>
          </w:p>
        </w:tc>
        <w:tc>
          <w:tcPr>
            <w:tcW w:w="1680" w:type="dxa"/>
            <w:tcMar>
              <w:top w:w="100" w:type="dxa"/>
              <w:left w:w="100" w:type="dxa"/>
              <w:bottom w:w="100" w:type="dxa"/>
              <w:right w:w="100" w:type="dxa"/>
            </w:tcMar>
          </w:tcPr>
          <w:p w14:paraId="0BC91AE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120 </w:t>
            </w:r>
          </w:p>
        </w:tc>
      </w:tr>
      <w:tr w:rsidR="0082621B" w14:paraId="3AA4FF67" w14:textId="77777777">
        <w:tc>
          <w:tcPr>
            <w:tcW w:w="1500" w:type="dxa"/>
            <w:tcMar>
              <w:top w:w="100" w:type="dxa"/>
              <w:left w:w="100" w:type="dxa"/>
              <w:bottom w:w="100" w:type="dxa"/>
              <w:right w:w="100" w:type="dxa"/>
            </w:tcMar>
          </w:tcPr>
          <w:p w14:paraId="77FABD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6180" w:type="dxa"/>
            <w:tcMar>
              <w:top w:w="100" w:type="dxa"/>
              <w:left w:w="100" w:type="dxa"/>
              <w:bottom w:w="100" w:type="dxa"/>
              <w:right w:w="100" w:type="dxa"/>
            </w:tcMar>
          </w:tcPr>
          <w:p w14:paraId="693407E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Helping Hands Association</w:t>
            </w:r>
          </w:p>
        </w:tc>
        <w:tc>
          <w:tcPr>
            <w:tcW w:w="1680" w:type="dxa"/>
            <w:tcMar>
              <w:top w:w="100" w:type="dxa"/>
              <w:left w:w="100" w:type="dxa"/>
              <w:bottom w:w="100" w:type="dxa"/>
              <w:right w:w="100" w:type="dxa"/>
            </w:tcMar>
          </w:tcPr>
          <w:p w14:paraId="0C1FCA6A"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145 </w:t>
            </w:r>
          </w:p>
        </w:tc>
      </w:tr>
      <w:tr w:rsidR="0082621B" w14:paraId="0E7C70F7" w14:textId="77777777">
        <w:tc>
          <w:tcPr>
            <w:tcW w:w="1500" w:type="dxa"/>
            <w:tcMar>
              <w:top w:w="100" w:type="dxa"/>
              <w:left w:w="100" w:type="dxa"/>
              <w:bottom w:w="100" w:type="dxa"/>
              <w:right w:w="100" w:type="dxa"/>
            </w:tcMar>
          </w:tcPr>
          <w:p w14:paraId="66E6E36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6180" w:type="dxa"/>
            <w:tcMar>
              <w:top w:w="100" w:type="dxa"/>
              <w:left w:w="100" w:type="dxa"/>
              <w:bottom w:w="100" w:type="dxa"/>
              <w:right w:w="100" w:type="dxa"/>
            </w:tcMar>
          </w:tcPr>
          <w:p w14:paraId="42AF40E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Greater Port Harcourt Development Authority</w:t>
            </w:r>
          </w:p>
        </w:tc>
        <w:tc>
          <w:tcPr>
            <w:tcW w:w="1680" w:type="dxa"/>
            <w:tcMar>
              <w:top w:w="100" w:type="dxa"/>
              <w:left w:w="100" w:type="dxa"/>
              <w:bottom w:w="100" w:type="dxa"/>
              <w:right w:w="100" w:type="dxa"/>
            </w:tcMar>
          </w:tcPr>
          <w:p w14:paraId="5859F79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150 </w:t>
            </w:r>
          </w:p>
        </w:tc>
      </w:tr>
      <w:tr w:rsidR="0082621B" w14:paraId="279037E5" w14:textId="77777777">
        <w:tc>
          <w:tcPr>
            <w:tcW w:w="1500" w:type="dxa"/>
            <w:tcMar>
              <w:top w:w="100" w:type="dxa"/>
              <w:left w:w="100" w:type="dxa"/>
              <w:bottom w:w="100" w:type="dxa"/>
              <w:right w:w="100" w:type="dxa"/>
            </w:tcMar>
          </w:tcPr>
          <w:p w14:paraId="5706790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6180" w:type="dxa"/>
            <w:tcMar>
              <w:top w:w="100" w:type="dxa"/>
              <w:left w:w="100" w:type="dxa"/>
              <w:bottom w:w="100" w:type="dxa"/>
              <w:right w:w="100" w:type="dxa"/>
            </w:tcMar>
          </w:tcPr>
          <w:p w14:paraId="2E5E4F2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International Society </w:t>
            </w:r>
            <w:proofErr w:type="gramStart"/>
            <w:r>
              <w:rPr>
                <w:rFonts w:ascii="Times New Roman" w:eastAsia="Times New Roman" w:hAnsi="Times New Roman" w:cs="Times New Roman"/>
                <w:sz w:val="24"/>
                <w:szCs w:val="24"/>
                <w:highlight w:val="white"/>
              </w:rPr>
              <w:t>For</w:t>
            </w:r>
            <w:proofErr w:type="gramEnd"/>
            <w:r>
              <w:rPr>
                <w:rFonts w:ascii="Times New Roman" w:eastAsia="Times New Roman" w:hAnsi="Times New Roman" w:cs="Times New Roman"/>
                <w:sz w:val="24"/>
                <w:szCs w:val="24"/>
                <w:highlight w:val="white"/>
              </w:rPr>
              <w:t xml:space="preserve"> Social Justice and Quality Education</w:t>
            </w:r>
          </w:p>
        </w:tc>
        <w:tc>
          <w:tcPr>
            <w:tcW w:w="1680" w:type="dxa"/>
            <w:tcMar>
              <w:top w:w="100" w:type="dxa"/>
              <w:left w:w="100" w:type="dxa"/>
              <w:bottom w:w="100" w:type="dxa"/>
              <w:right w:w="100" w:type="dxa"/>
            </w:tcMar>
          </w:tcPr>
          <w:p w14:paraId="730F287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w:t>
            </w:r>
          </w:p>
        </w:tc>
      </w:tr>
      <w:tr w:rsidR="0082621B" w14:paraId="5DFB63DB" w14:textId="77777777">
        <w:tc>
          <w:tcPr>
            <w:tcW w:w="1500" w:type="dxa"/>
            <w:tcMar>
              <w:top w:w="100" w:type="dxa"/>
              <w:left w:w="100" w:type="dxa"/>
              <w:bottom w:w="100" w:type="dxa"/>
              <w:right w:w="100" w:type="dxa"/>
            </w:tcMar>
          </w:tcPr>
          <w:p w14:paraId="62BD1DF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w:t>
            </w:r>
          </w:p>
        </w:tc>
        <w:tc>
          <w:tcPr>
            <w:tcW w:w="6180" w:type="dxa"/>
            <w:tcMar>
              <w:top w:w="100" w:type="dxa"/>
              <w:left w:w="100" w:type="dxa"/>
              <w:bottom w:w="100" w:type="dxa"/>
              <w:right w:w="100" w:type="dxa"/>
            </w:tcMar>
          </w:tcPr>
          <w:p w14:paraId="0C32608C"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680" w:type="dxa"/>
            <w:tcMar>
              <w:top w:w="100" w:type="dxa"/>
              <w:left w:w="100" w:type="dxa"/>
              <w:bottom w:w="100" w:type="dxa"/>
              <w:right w:w="100" w:type="dxa"/>
            </w:tcMar>
          </w:tcPr>
          <w:p w14:paraId="03AEA4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1200</w:t>
            </w:r>
          </w:p>
        </w:tc>
      </w:tr>
    </w:tbl>
    <w:p w14:paraId="1032B761" w14:textId="77777777" w:rsidR="0082621B" w:rsidRDefault="008B15C0">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Source: Port Harcourt Local Government Council, New Year Report (2023)</w:t>
      </w:r>
    </w:p>
    <w:p w14:paraId="04B1D085" w14:textId="77777777" w:rsidR="0082621B" w:rsidRDefault="008B15C0">
      <w:pPr>
        <w:spacing w:after="24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25 percent of this population of 1200 people was taken to make the sample size. Thus, the sample size of the study was 300 respondents and a convenience sampling method was used which </w:t>
      </w:r>
      <w:proofErr w:type="gramStart"/>
      <w:r>
        <w:rPr>
          <w:rFonts w:ascii="Times New Roman" w:eastAsia="Times New Roman" w:hAnsi="Times New Roman" w:cs="Times New Roman"/>
          <w:sz w:val="24"/>
          <w:szCs w:val="24"/>
          <w:highlight w:val="white"/>
        </w:rPr>
        <w:t>allowed  the</w:t>
      </w:r>
      <w:proofErr w:type="gramEnd"/>
      <w:r>
        <w:rPr>
          <w:rFonts w:ascii="Times New Roman" w:eastAsia="Times New Roman" w:hAnsi="Times New Roman" w:cs="Times New Roman"/>
          <w:sz w:val="24"/>
          <w:szCs w:val="24"/>
          <w:highlight w:val="white"/>
        </w:rPr>
        <w:t xml:space="preserve">  recruitment  of  participants  from  a readily available population.</w:t>
      </w:r>
    </w:p>
    <w:p w14:paraId="34992E59"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Data Collection Instrument </w:t>
      </w:r>
    </w:p>
    <w:p w14:paraId="7393D05D"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primary data collection instrument for this study was a self-designed questionnaire referred to as “A systems approach to planning, scheduling, and controlling” Questionnaire (SAPACQ). The questionnaire was designed to gather data on the current practices of planning, scheduling, and controlling within the selected CBOs and NGOs. It contained both closed- and open-ended questions, which allowed for quantitative data collection while also providing respondents the opportunity to offer qualitative insights into their experiences and perceptions.</w:t>
      </w:r>
    </w:p>
    <w:p w14:paraId="08AD7D4B"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 consisted of Section A and Section B. Section A collected information about the demographic information of participants capturing the basic information about the age, gender, education, and years of experience. Section B featured questions about:</w:t>
      </w:r>
    </w:p>
    <w:p w14:paraId="02AC6351" w14:textId="77777777" w:rsidR="0082621B" w:rsidRDefault="008B15C0">
      <w:pPr>
        <w:numPr>
          <w:ilvl w:val="0"/>
          <w:numId w:val="1"/>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Planning Practices: Questions related to the planning processes and methodologies used in the organizations.</w:t>
      </w:r>
    </w:p>
    <w:p w14:paraId="2A6ACF54" w14:textId="77777777" w:rsidR="0082621B" w:rsidRDefault="008B15C0">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Scheduling Practices: Questions about how tasks and activities are scheduled, including the tools and techniques used.</w:t>
      </w:r>
    </w:p>
    <w:p w14:paraId="5EA08622" w14:textId="77777777" w:rsidR="0082621B" w:rsidRDefault="008B15C0">
      <w:pPr>
        <w:numPr>
          <w:ilvl w:val="0"/>
          <w:numId w:val="1"/>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Controlling Practices: Questions about how progress is monitored, deviations are tracked, and corrective actions are implemented.</w:t>
      </w:r>
    </w:p>
    <w:p w14:paraId="4F46B52B"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questions in Section B followed a four (4) point Likert scale of strongly agree (SA=4); agree (A=2); disagree (D=2) and strongly disagree (SD=1).</w:t>
      </w:r>
    </w:p>
    <w:p w14:paraId="66A12542"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validity of the questionnaire was ensured through expert reviews from professionals in the field of project management and community development. The reliability of the instrument was tested through a pilot study, which yielded a Cronbach’s alpha coefficient of 0.85, indicating high reliability.</w:t>
      </w:r>
    </w:p>
    <w:p w14:paraId="4F1F51BB"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Data Collection</w:t>
      </w:r>
    </w:p>
    <w:p w14:paraId="7F8F5D54"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the questionnaire for this study was administered, permission was granted by the directors and management of the various organizations and informed consent obtained from the participants.</w:t>
      </w:r>
    </w:p>
    <w:p w14:paraId="39FC5D05"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total of 300 copies of the questionnaire were administered physically to the respondents with the help of three research assistants having been briefed on the objective of the research and importance of the information needed from the questionnaire.</w:t>
      </w:r>
    </w:p>
    <w:p w14:paraId="21896C40" w14:textId="77777777" w:rsidR="0082621B" w:rsidRDefault="0082621B">
      <w:pPr>
        <w:spacing w:line="360" w:lineRule="auto"/>
        <w:ind w:right="27"/>
        <w:jc w:val="both"/>
        <w:rPr>
          <w:rFonts w:ascii="Times New Roman" w:eastAsia="Times New Roman" w:hAnsi="Times New Roman" w:cs="Times New Roman"/>
          <w:sz w:val="24"/>
          <w:szCs w:val="24"/>
          <w:highlight w:val="white"/>
        </w:rPr>
      </w:pPr>
    </w:p>
    <w:p w14:paraId="300A8827"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Data Analysis</w:t>
      </w:r>
    </w:p>
    <w:p w14:paraId="1F15FCCA" w14:textId="77777777" w:rsidR="0082621B" w:rsidRDefault="008B15C0">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questionnaires were collected, coded, and data entered into Microsoft Excel. It was then imported into Statistical Package for Social Science for Windows (Version 16.0.1) for statistical analysis. Data were then analyzed descriptively using mean, percentages and standard deviation. Univariate analysis was carried out to analyze the research questions using mean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oMath>
      <w:r>
        <w:rPr>
          <w:rFonts w:ascii="Times New Roman" w:eastAsia="Times New Roman" w:hAnsi="Times New Roman" w:cs="Times New Roman"/>
          <w:sz w:val="24"/>
          <w:szCs w:val="24"/>
          <w:highlight w:val="white"/>
        </w:rPr>
        <w:t xml:space="preserve"> score rating and standard deviation (S.D), while Remark (Rmk) was used to give the interpretation of the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oMath>
      <w:r>
        <w:rPr>
          <w:rFonts w:ascii="Times New Roman" w:eastAsia="Times New Roman" w:hAnsi="Times New Roman" w:cs="Times New Roman"/>
          <w:sz w:val="24"/>
          <w:szCs w:val="24"/>
          <w:highlight w:val="white"/>
        </w:rPr>
        <w:t xml:space="preserve"> score ratings for each questionnaire item. Every mean score rating above 2.50 represents an acceptance to the question item, while a mean value below the 2.50 criterion mean was considered not acceptable. The procedure of this method is given as:</w:t>
      </w:r>
    </w:p>
    <w:p w14:paraId="298F82D6" w14:textId="77777777" w:rsidR="0082621B" w:rsidRDefault="00CA47C8">
      <w:pPr>
        <w:spacing w:after="200" w:line="360" w:lineRule="auto"/>
        <w:jc w:val="center"/>
        <w:rPr>
          <w:rFonts w:ascii="Times New Roman" w:eastAsia="Times New Roman" w:hAnsi="Times New Roman" w:cs="Times New Roman"/>
          <w:sz w:val="24"/>
          <w:szCs w:val="24"/>
          <w:highlight w:val="white"/>
        </w:rPr>
      </w:pPr>
      <m:oMathPara>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x</m:t>
              </m:r>
            </m:num>
            <m:den>
              <m:r>
                <w:rPr>
                  <w:rFonts w:ascii="Times New Roman" w:eastAsia="Times New Roman" w:hAnsi="Times New Roman" w:cs="Times New Roman"/>
                  <w:sz w:val="24"/>
                  <w:szCs w:val="24"/>
                  <w:highlight w:val="white"/>
                </w:rPr>
                <m:t>Σx</m:t>
              </m:r>
            </m:den>
          </m:f>
          <m:r>
            <w:rPr>
              <w:rFonts w:ascii="Times New Roman" w:eastAsia="Times New Roman" w:hAnsi="Times New Roman" w:cs="Times New Roman"/>
              <w:sz w:val="24"/>
              <w:szCs w:val="24"/>
              <w:highlight w:val="white"/>
            </w:rPr>
            <m:t xml:space="preserve"> = </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4</m:t>
              </m:r>
            </m:num>
            <m:den>
              <m:r>
                <w:rPr>
                  <w:rFonts w:ascii="Times New Roman" w:eastAsia="Times New Roman" w:hAnsi="Times New Roman" w:cs="Times New Roman"/>
                  <w:sz w:val="24"/>
                  <w:szCs w:val="24"/>
                  <w:highlight w:val="white"/>
                </w:rPr>
                <m:t>10</m:t>
              </m:r>
            </m:den>
          </m:f>
          <m:r>
            <w:rPr>
              <w:rFonts w:ascii="Times New Roman" w:eastAsia="Times New Roman" w:hAnsi="Times New Roman" w:cs="Times New Roman"/>
              <w:sz w:val="24"/>
              <w:szCs w:val="24"/>
              <w:highlight w:val="white"/>
            </w:rPr>
            <m:t xml:space="preserve"> =2.50</m:t>
          </m:r>
        </m:oMath>
      </m:oMathPara>
    </w:p>
    <w:p w14:paraId="019B2117"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 items were scaled of on a modified four points Likert scale of Strongly Agree (SA=4); Agree (A=2); Disagree (D=2) and Strongly Disagree (SD=1) with an ordinal value of 1,2,3 and 4.</w:t>
      </w:r>
    </w:p>
    <w:p w14:paraId="37511E90" w14:textId="77777777" w:rsidR="0082621B" w:rsidRDefault="0082621B">
      <w:pPr>
        <w:spacing w:line="360" w:lineRule="auto"/>
        <w:ind w:right="27"/>
        <w:jc w:val="both"/>
        <w:rPr>
          <w:rFonts w:ascii="Times New Roman" w:eastAsia="Times New Roman" w:hAnsi="Times New Roman" w:cs="Times New Roman"/>
          <w:sz w:val="24"/>
          <w:szCs w:val="24"/>
          <w:highlight w:val="white"/>
        </w:rPr>
      </w:pPr>
    </w:p>
    <w:p w14:paraId="3E0E3E6D" w14:textId="77777777" w:rsidR="0082621B" w:rsidRDefault="008B15C0">
      <w:pPr>
        <w:pStyle w:val="Heading2"/>
        <w:keepNext w:val="0"/>
        <w:keepLines w:val="0"/>
        <w:spacing w:after="80" w:line="360" w:lineRule="auto"/>
        <w:rPr>
          <w:rFonts w:ascii="Times New Roman" w:eastAsia="Times New Roman" w:hAnsi="Times New Roman" w:cs="Times New Roman"/>
          <w:b/>
          <w:bCs/>
          <w:highlight w:val="white"/>
        </w:rPr>
      </w:pPr>
      <w:bookmarkStart w:id="6" w:name="_heading=h.lxee7zwzefis" w:colFirst="0" w:colLast="0"/>
      <w:bookmarkEnd w:id="6"/>
      <w:r>
        <w:rPr>
          <w:rFonts w:ascii="Times New Roman" w:eastAsia="Times New Roman" w:hAnsi="Times New Roman" w:cs="Times New Roman"/>
          <w:b/>
          <w:bCs/>
          <w:highlight w:val="white"/>
        </w:rPr>
        <w:t>Results</w:t>
      </w:r>
    </w:p>
    <w:p w14:paraId="437D9ECF"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Response Rate</w:t>
      </w:r>
    </w:p>
    <w:p w14:paraId="4542426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response rate of this study was quite impressive. Out of 300 questionnaires distributed, 270 were retrieved, representing a retrieval rate of 95.4%. However, 20 of the retrieved questionnaires were discarded due to incomplete or incorrect filling, leaving 250 usable copies.</w:t>
      </w:r>
    </w:p>
    <w:p w14:paraId="19FAC6D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resulted in a usable response rate of 92.60% (250/270), which is considered very good and encouraging for the study's validity. The high response rate suggests that the data collected is likely representative of the target population, enhancing the study's reliability and generalizability.</w:t>
      </w:r>
    </w:p>
    <w:p w14:paraId="44AAA98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2: Distribution and Retrieval of Respondents’ Questionnaire</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2621B" w14:paraId="49BFA0D1" w14:textId="77777777">
        <w:tc>
          <w:tcPr>
            <w:tcW w:w="3120" w:type="dxa"/>
            <w:tcMar>
              <w:top w:w="100" w:type="dxa"/>
              <w:left w:w="100" w:type="dxa"/>
              <w:bottom w:w="100" w:type="dxa"/>
              <w:right w:w="100" w:type="dxa"/>
            </w:tcMar>
          </w:tcPr>
          <w:p w14:paraId="62376DB2" w14:textId="77777777" w:rsidR="0082621B" w:rsidRDefault="008B15C0">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Characteristics of Questionnaire</w:t>
            </w:r>
          </w:p>
        </w:tc>
        <w:tc>
          <w:tcPr>
            <w:tcW w:w="3120" w:type="dxa"/>
            <w:tcMar>
              <w:top w:w="100" w:type="dxa"/>
              <w:left w:w="100" w:type="dxa"/>
              <w:bottom w:w="100" w:type="dxa"/>
              <w:right w:w="100" w:type="dxa"/>
            </w:tcMar>
          </w:tcPr>
          <w:p w14:paraId="03783FF3" w14:textId="77777777" w:rsidR="0082621B" w:rsidRDefault="008B15C0">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Available Quantity</w:t>
            </w:r>
          </w:p>
        </w:tc>
        <w:tc>
          <w:tcPr>
            <w:tcW w:w="3120" w:type="dxa"/>
            <w:tcMar>
              <w:top w:w="100" w:type="dxa"/>
              <w:left w:w="100" w:type="dxa"/>
              <w:bottom w:w="100" w:type="dxa"/>
              <w:right w:w="100" w:type="dxa"/>
            </w:tcMar>
          </w:tcPr>
          <w:p w14:paraId="373A118A" w14:textId="77777777" w:rsidR="0082621B" w:rsidRDefault="008B15C0">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82621B" w14:paraId="7444EEB8" w14:textId="77777777">
        <w:tc>
          <w:tcPr>
            <w:tcW w:w="3120" w:type="dxa"/>
            <w:tcMar>
              <w:top w:w="100" w:type="dxa"/>
              <w:left w:w="100" w:type="dxa"/>
              <w:bottom w:w="100" w:type="dxa"/>
              <w:right w:w="100" w:type="dxa"/>
            </w:tcMar>
          </w:tcPr>
          <w:p w14:paraId="578948E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Copies returned (received)</w:t>
            </w:r>
          </w:p>
        </w:tc>
        <w:tc>
          <w:tcPr>
            <w:tcW w:w="3120" w:type="dxa"/>
            <w:tcMar>
              <w:top w:w="100" w:type="dxa"/>
              <w:left w:w="100" w:type="dxa"/>
              <w:bottom w:w="100" w:type="dxa"/>
              <w:right w:w="100" w:type="dxa"/>
            </w:tcMar>
          </w:tcPr>
          <w:p w14:paraId="48BF34C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270</w:t>
            </w:r>
          </w:p>
        </w:tc>
        <w:tc>
          <w:tcPr>
            <w:tcW w:w="3120" w:type="dxa"/>
            <w:tcMar>
              <w:top w:w="100" w:type="dxa"/>
              <w:left w:w="100" w:type="dxa"/>
              <w:bottom w:w="100" w:type="dxa"/>
              <w:right w:w="100" w:type="dxa"/>
            </w:tcMar>
          </w:tcPr>
          <w:p w14:paraId="6A5905E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95.4 </w:t>
            </w:r>
          </w:p>
        </w:tc>
      </w:tr>
      <w:tr w:rsidR="0082621B" w14:paraId="76879F4B" w14:textId="77777777">
        <w:tc>
          <w:tcPr>
            <w:tcW w:w="3120" w:type="dxa"/>
            <w:tcMar>
              <w:top w:w="100" w:type="dxa"/>
              <w:left w:w="100" w:type="dxa"/>
              <w:bottom w:w="100" w:type="dxa"/>
              <w:right w:w="100" w:type="dxa"/>
            </w:tcMar>
          </w:tcPr>
          <w:p w14:paraId="13870DB2"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Copies not returned (not received)</w:t>
            </w:r>
          </w:p>
        </w:tc>
        <w:tc>
          <w:tcPr>
            <w:tcW w:w="3120" w:type="dxa"/>
            <w:tcMar>
              <w:top w:w="100" w:type="dxa"/>
              <w:left w:w="100" w:type="dxa"/>
              <w:bottom w:w="100" w:type="dxa"/>
              <w:right w:w="100" w:type="dxa"/>
            </w:tcMar>
          </w:tcPr>
          <w:p w14:paraId="3F251B1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3120" w:type="dxa"/>
            <w:tcMar>
              <w:top w:w="100" w:type="dxa"/>
              <w:left w:w="100" w:type="dxa"/>
              <w:bottom w:w="100" w:type="dxa"/>
              <w:right w:w="100" w:type="dxa"/>
            </w:tcMar>
          </w:tcPr>
          <w:p w14:paraId="0D8D086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w:t>
            </w:r>
          </w:p>
        </w:tc>
      </w:tr>
      <w:tr w:rsidR="0082621B" w14:paraId="173C1490" w14:textId="77777777">
        <w:tc>
          <w:tcPr>
            <w:tcW w:w="3120" w:type="dxa"/>
            <w:tcMar>
              <w:top w:w="100" w:type="dxa"/>
              <w:left w:w="100" w:type="dxa"/>
              <w:bottom w:w="100" w:type="dxa"/>
              <w:right w:w="100" w:type="dxa"/>
            </w:tcMar>
          </w:tcPr>
          <w:p w14:paraId="4BF6FE9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Usable copies from the 270 copies returned</w:t>
            </w:r>
          </w:p>
        </w:tc>
        <w:tc>
          <w:tcPr>
            <w:tcW w:w="3120" w:type="dxa"/>
            <w:tcMar>
              <w:top w:w="100" w:type="dxa"/>
              <w:left w:w="100" w:type="dxa"/>
              <w:bottom w:w="100" w:type="dxa"/>
              <w:right w:w="100" w:type="dxa"/>
            </w:tcMar>
          </w:tcPr>
          <w:p w14:paraId="5D9130D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3120" w:type="dxa"/>
            <w:tcMar>
              <w:top w:w="100" w:type="dxa"/>
              <w:left w:w="100" w:type="dxa"/>
              <w:bottom w:w="100" w:type="dxa"/>
              <w:right w:w="100" w:type="dxa"/>
            </w:tcMar>
          </w:tcPr>
          <w:p w14:paraId="260B36A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70.4</w:t>
            </w:r>
          </w:p>
        </w:tc>
      </w:tr>
      <w:tr w:rsidR="0082621B" w14:paraId="147B30F2" w14:textId="77777777">
        <w:tc>
          <w:tcPr>
            <w:tcW w:w="3120" w:type="dxa"/>
            <w:tcMar>
              <w:top w:w="100" w:type="dxa"/>
              <w:left w:w="100" w:type="dxa"/>
              <w:bottom w:w="100" w:type="dxa"/>
              <w:right w:w="100" w:type="dxa"/>
            </w:tcMar>
          </w:tcPr>
          <w:p w14:paraId="76ED89C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Unusable (discarded) from the 270 copies returned</w:t>
            </w:r>
          </w:p>
        </w:tc>
        <w:tc>
          <w:tcPr>
            <w:tcW w:w="3120" w:type="dxa"/>
            <w:tcMar>
              <w:top w:w="100" w:type="dxa"/>
              <w:left w:w="100" w:type="dxa"/>
              <w:bottom w:w="100" w:type="dxa"/>
              <w:right w:w="100" w:type="dxa"/>
            </w:tcMar>
          </w:tcPr>
          <w:p w14:paraId="11CAF98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3120" w:type="dxa"/>
            <w:tcMar>
              <w:top w:w="100" w:type="dxa"/>
              <w:left w:w="100" w:type="dxa"/>
              <w:bottom w:w="100" w:type="dxa"/>
              <w:right w:w="100" w:type="dxa"/>
            </w:tcMar>
          </w:tcPr>
          <w:p w14:paraId="32D44581"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r>
    </w:tbl>
    <w:p w14:paraId="5511678A" w14:textId="77777777" w:rsidR="0082621B" w:rsidRDefault="0082621B">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7" w:name="_heading=h.9x8lrd9oz158" w:colFirst="0" w:colLast="0"/>
      <w:bookmarkEnd w:id="7"/>
    </w:p>
    <w:p w14:paraId="17BDF8BE"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8" w:name="_heading=h.hmad9y8705vy" w:colFirst="0" w:colLast="0"/>
      <w:bookmarkEnd w:id="8"/>
      <w:r>
        <w:rPr>
          <w:rFonts w:ascii="Times New Roman" w:eastAsia="Times New Roman" w:hAnsi="Times New Roman" w:cs="Times New Roman"/>
          <w:b/>
          <w:bCs/>
          <w:color w:val="000000"/>
          <w:highlight w:val="white"/>
        </w:rPr>
        <w:t>Demographic Information of the Respondents</w:t>
      </w:r>
    </w:p>
    <w:p w14:paraId="6DFC622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collected demographic data from 250 respondents, providing a comprehensive overview of the participants’ characteristics. The information about the characteristics of the respondents based on demographic variables explored are summarized in Table 3 and represented visually in Figures 1 to 4.</w:t>
      </w:r>
    </w:p>
    <w:p w14:paraId="064F00F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Gender distribution revealed that a majority of the respondents were male (61.2%, n=153), while 38.8% (n=93) were female. This distribution indicates a slightly higher male participation in the study.</w:t>
      </w:r>
    </w:p>
    <w:p w14:paraId="1FE4A23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 terms of age, the respondents were predominantly young adults, with 42% (n=105) falling in the 20-30 years age group. The second largest group was between 31-40 years (26.8%, n=67), followed by those aged 41-50 years (18.4%, n=46), and those above 50 years (12.8%, n=32). The age distribution suggests a youthful respondent base, predominantly under the age of 40.</w:t>
      </w:r>
    </w:p>
    <w:p w14:paraId="2130622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educational qualifications of the respondents showed a strong presence of tertiary education. Most respondents held a 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/BA/HND (51.6%, n=129), followed by those with a master’s degree (MSc/Med/MA) at 26.8% (n=67). A smaller portion had obtained a Ph.D. (6.8%, n=17), while 14.8% (n=37) had other qualifications. This demonstrates that the respondents were well-educated, with the majority having bachelor’s degrees.</w:t>
      </w:r>
    </w:p>
    <w:p w14:paraId="5831B51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Regarding years of experience with their respective organizations, the largest group had over 10 years of experience (38.8%, n=97), followed by those with 6-10 years (28.8%, n=72). Respondents with 2-5 years of experience made up 20% (n=50), and 12.4% (n=31) had less than 2 years of experience. This indicates that a significant portion of the respondents had substantial experience in their roles, contributing to the reliability of their perspectives.</w:t>
      </w:r>
    </w:p>
    <w:p w14:paraId="05FD7ED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the demographic information reflects a well-educated and experienced group of respondents, predominantly male, with a youthful age distribution.</w:t>
      </w:r>
    </w:p>
    <w:p w14:paraId="68F8A4A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Social Demographic Characteristics of the respondents (n=250)</w:t>
      </w:r>
    </w:p>
    <w:p w14:paraId="25D14F45"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2621B" w14:paraId="69329C70" w14:textId="77777777">
        <w:tc>
          <w:tcPr>
            <w:tcW w:w="3120" w:type="dxa"/>
            <w:tcBorders>
              <w:bottom w:val="single" w:sz="4" w:space="0" w:color="000000"/>
            </w:tcBorders>
            <w:tcMar>
              <w:top w:w="100" w:type="dxa"/>
              <w:left w:w="100" w:type="dxa"/>
              <w:bottom w:w="100" w:type="dxa"/>
              <w:right w:w="100" w:type="dxa"/>
            </w:tcMar>
          </w:tcPr>
          <w:p w14:paraId="69DAD12C"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Demographic Category</w:t>
            </w:r>
          </w:p>
        </w:tc>
        <w:tc>
          <w:tcPr>
            <w:tcW w:w="3120" w:type="dxa"/>
            <w:tcMar>
              <w:top w:w="100" w:type="dxa"/>
              <w:left w:w="100" w:type="dxa"/>
              <w:bottom w:w="100" w:type="dxa"/>
              <w:right w:w="100" w:type="dxa"/>
            </w:tcMar>
          </w:tcPr>
          <w:p w14:paraId="0A976D4A"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c>
          <w:tcPr>
            <w:tcW w:w="3120" w:type="dxa"/>
            <w:tcMar>
              <w:top w:w="100" w:type="dxa"/>
              <w:left w:w="100" w:type="dxa"/>
              <w:bottom w:w="100" w:type="dxa"/>
              <w:right w:w="100" w:type="dxa"/>
            </w:tcMar>
          </w:tcPr>
          <w:p w14:paraId="6E485D5D"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82621B" w14:paraId="6A833911" w14:textId="77777777">
        <w:tc>
          <w:tcPr>
            <w:tcW w:w="3120" w:type="dxa"/>
            <w:tcBorders>
              <w:top w:val="single" w:sz="4" w:space="0" w:color="000000"/>
              <w:bottom w:val="nil"/>
            </w:tcBorders>
            <w:tcMar>
              <w:top w:w="100" w:type="dxa"/>
              <w:left w:w="100" w:type="dxa"/>
              <w:bottom w:w="100" w:type="dxa"/>
              <w:right w:w="100" w:type="dxa"/>
            </w:tcMar>
          </w:tcPr>
          <w:p w14:paraId="55A8650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 of Respondents</w:t>
            </w:r>
          </w:p>
        </w:tc>
        <w:tc>
          <w:tcPr>
            <w:tcW w:w="3120" w:type="dxa"/>
            <w:tcBorders>
              <w:bottom w:val="nil"/>
            </w:tcBorders>
            <w:tcMar>
              <w:top w:w="100" w:type="dxa"/>
              <w:left w:w="100" w:type="dxa"/>
              <w:bottom w:w="100" w:type="dxa"/>
              <w:right w:w="100" w:type="dxa"/>
            </w:tcMar>
          </w:tcPr>
          <w:p w14:paraId="3837BBEB"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4D30F712"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29D8EC6A" w14:textId="77777777">
        <w:tc>
          <w:tcPr>
            <w:tcW w:w="3120" w:type="dxa"/>
            <w:tcBorders>
              <w:top w:val="nil"/>
              <w:bottom w:val="nil"/>
            </w:tcBorders>
            <w:tcMar>
              <w:top w:w="100" w:type="dxa"/>
              <w:left w:w="100" w:type="dxa"/>
              <w:bottom w:w="100" w:type="dxa"/>
              <w:right w:w="100" w:type="dxa"/>
            </w:tcMar>
          </w:tcPr>
          <w:p w14:paraId="47311E9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120" w:type="dxa"/>
            <w:tcBorders>
              <w:top w:val="nil"/>
              <w:bottom w:val="nil"/>
            </w:tcBorders>
            <w:tcMar>
              <w:top w:w="100" w:type="dxa"/>
              <w:left w:w="100" w:type="dxa"/>
              <w:bottom w:w="100" w:type="dxa"/>
              <w:right w:w="100" w:type="dxa"/>
            </w:tcMar>
          </w:tcPr>
          <w:p w14:paraId="427033EB"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153</w:t>
            </w:r>
          </w:p>
        </w:tc>
        <w:tc>
          <w:tcPr>
            <w:tcW w:w="3120" w:type="dxa"/>
            <w:tcBorders>
              <w:top w:val="nil"/>
              <w:bottom w:val="nil"/>
            </w:tcBorders>
            <w:tcMar>
              <w:top w:w="100" w:type="dxa"/>
              <w:left w:w="100" w:type="dxa"/>
              <w:bottom w:w="100" w:type="dxa"/>
              <w:right w:w="100" w:type="dxa"/>
            </w:tcMar>
          </w:tcPr>
          <w:p w14:paraId="658491C4"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61.2</w:t>
            </w:r>
          </w:p>
        </w:tc>
      </w:tr>
      <w:tr w:rsidR="0082621B" w14:paraId="113E240D" w14:textId="77777777">
        <w:tc>
          <w:tcPr>
            <w:tcW w:w="3120" w:type="dxa"/>
            <w:tcBorders>
              <w:top w:val="nil"/>
            </w:tcBorders>
            <w:tcMar>
              <w:top w:w="100" w:type="dxa"/>
              <w:left w:w="100" w:type="dxa"/>
              <w:bottom w:w="100" w:type="dxa"/>
              <w:right w:w="100" w:type="dxa"/>
            </w:tcMar>
          </w:tcPr>
          <w:p w14:paraId="01F25AA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120" w:type="dxa"/>
            <w:tcBorders>
              <w:top w:val="nil"/>
            </w:tcBorders>
            <w:tcMar>
              <w:top w:w="100" w:type="dxa"/>
              <w:left w:w="100" w:type="dxa"/>
              <w:bottom w:w="100" w:type="dxa"/>
              <w:right w:w="100" w:type="dxa"/>
            </w:tcMar>
          </w:tcPr>
          <w:p w14:paraId="498D7337"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w:t>
            </w:r>
          </w:p>
        </w:tc>
        <w:tc>
          <w:tcPr>
            <w:tcW w:w="3120" w:type="dxa"/>
            <w:tcBorders>
              <w:top w:val="nil"/>
            </w:tcBorders>
            <w:tcMar>
              <w:top w:w="100" w:type="dxa"/>
              <w:left w:w="100" w:type="dxa"/>
              <w:bottom w:w="100" w:type="dxa"/>
              <w:right w:w="100" w:type="dxa"/>
            </w:tcMar>
          </w:tcPr>
          <w:p w14:paraId="5289F30D"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r w:rsidR="0082621B" w14:paraId="1A1A4C71" w14:textId="77777777">
        <w:tc>
          <w:tcPr>
            <w:tcW w:w="3120" w:type="dxa"/>
            <w:tcBorders>
              <w:bottom w:val="nil"/>
            </w:tcBorders>
            <w:tcMar>
              <w:top w:w="100" w:type="dxa"/>
              <w:left w:w="100" w:type="dxa"/>
              <w:bottom w:w="100" w:type="dxa"/>
              <w:right w:w="100" w:type="dxa"/>
            </w:tcMar>
          </w:tcPr>
          <w:p w14:paraId="17F9B08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of Respondents</w:t>
            </w:r>
          </w:p>
        </w:tc>
        <w:tc>
          <w:tcPr>
            <w:tcW w:w="3120" w:type="dxa"/>
            <w:tcBorders>
              <w:bottom w:val="nil"/>
            </w:tcBorders>
            <w:tcMar>
              <w:top w:w="100" w:type="dxa"/>
              <w:left w:w="100" w:type="dxa"/>
              <w:bottom w:w="100" w:type="dxa"/>
              <w:right w:w="100" w:type="dxa"/>
            </w:tcMar>
          </w:tcPr>
          <w:p w14:paraId="60F638E1"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60F10A05"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537EED74" w14:textId="77777777">
        <w:tc>
          <w:tcPr>
            <w:tcW w:w="3120" w:type="dxa"/>
            <w:tcBorders>
              <w:top w:val="nil"/>
              <w:bottom w:val="nil"/>
            </w:tcBorders>
            <w:tcMar>
              <w:top w:w="100" w:type="dxa"/>
              <w:left w:w="100" w:type="dxa"/>
              <w:bottom w:w="100" w:type="dxa"/>
              <w:right w:w="100" w:type="dxa"/>
            </w:tcMar>
          </w:tcPr>
          <w:p w14:paraId="7DF350B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20-30 years</w:t>
            </w:r>
          </w:p>
        </w:tc>
        <w:tc>
          <w:tcPr>
            <w:tcW w:w="3120" w:type="dxa"/>
            <w:tcBorders>
              <w:top w:val="nil"/>
              <w:bottom w:val="nil"/>
            </w:tcBorders>
            <w:tcMar>
              <w:top w:w="100" w:type="dxa"/>
              <w:left w:w="100" w:type="dxa"/>
              <w:bottom w:w="100" w:type="dxa"/>
              <w:right w:w="100" w:type="dxa"/>
            </w:tcMar>
          </w:tcPr>
          <w:p w14:paraId="7A6D134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3120" w:type="dxa"/>
            <w:tcBorders>
              <w:top w:val="nil"/>
              <w:bottom w:val="nil"/>
            </w:tcBorders>
            <w:tcMar>
              <w:top w:w="100" w:type="dxa"/>
              <w:left w:w="100" w:type="dxa"/>
              <w:bottom w:w="100" w:type="dxa"/>
              <w:right w:w="100" w:type="dxa"/>
            </w:tcMar>
          </w:tcPr>
          <w:p w14:paraId="4589D36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42.0</w:t>
            </w:r>
          </w:p>
        </w:tc>
      </w:tr>
      <w:tr w:rsidR="0082621B" w14:paraId="30983612" w14:textId="77777777">
        <w:tc>
          <w:tcPr>
            <w:tcW w:w="3120" w:type="dxa"/>
            <w:tcBorders>
              <w:top w:val="nil"/>
              <w:bottom w:val="nil"/>
            </w:tcBorders>
            <w:tcMar>
              <w:top w:w="100" w:type="dxa"/>
              <w:left w:w="100" w:type="dxa"/>
              <w:bottom w:w="100" w:type="dxa"/>
              <w:right w:w="100" w:type="dxa"/>
            </w:tcMar>
          </w:tcPr>
          <w:p w14:paraId="47686457"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31-40 years</w:t>
            </w:r>
          </w:p>
        </w:tc>
        <w:tc>
          <w:tcPr>
            <w:tcW w:w="3120" w:type="dxa"/>
            <w:tcBorders>
              <w:top w:val="nil"/>
              <w:bottom w:val="nil"/>
            </w:tcBorders>
            <w:tcMar>
              <w:top w:w="100" w:type="dxa"/>
              <w:left w:w="100" w:type="dxa"/>
              <w:bottom w:w="100" w:type="dxa"/>
              <w:right w:w="100" w:type="dxa"/>
            </w:tcMar>
          </w:tcPr>
          <w:p w14:paraId="0ADE385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0A24608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82621B" w14:paraId="33C6143C" w14:textId="77777777">
        <w:tc>
          <w:tcPr>
            <w:tcW w:w="3120" w:type="dxa"/>
            <w:tcBorders>
              <w:top w:val="nil"/>
              <w:bottom w:val="nil"/>
            </w:tcBorders>
            <w:tcMar>
              <w:top w:w="100" w:type="dxa"/>
              <w:left w:w="100" w:type="dxa"/>
              <w:bottom w:w="100" w:type="dxa"/>
              <w:right w:w="100" w:type="dxa"/>
            </w:tcMar>
          </w:tcPr>
          <w:p w14:paraId="5A5F234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41-50 years</w:t>
            </w:r>
          </w:p>
        </w:tc>
        <w:tc>
          <w:tcPr>
            <w:tcW w:w="3120" w:type="dxa"/>
            <w:tcBorders>
              <w:top w:val="nil"/>
              <w:bottom w:val="nil"/>
            </w:tcBorders>
            <w:tcMar>
              <w:top w:w="100" w:type="dxa"/>
              <w:left w:w="100" w:type="dxa"/>
              <w:bottom w:w="100" w:type="dxa"/>
              <w:right w:w="100" w:type="dxa"/>
            </w:tcMar>
          </w:tcPr>
          <w:p w14:paraId="0ED889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3120" w:type="dxa"/>
            <w:tcBorders>
              <w:top w:val="nil"/>
              <w:bottom w:val="nil"/>
            </w:tcBorders>
            <w:tcMar>
              <w:top w:w="100" w:type="dxa"/>
              <w:left w:w="100" w:type="dxa"/>
              <w:bottom w:w="100" w:type="dxa"/>
              <w:right w:w="100" w:type="dxa"/>
            </w:tcMar>
          </w:tcPr>
          <w:p w14:paraId="2414246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18.4</w:t>
            </w:r>
          </w:p>
        </w:tc>
      </w:tr>
      <w:tr w:rsidR="0082621B" w14:paraId="00816AD2" w14:textId="77777777">
        <w:tc>
          <w:tcPr>
            <w:tcW w:w="3120" w:type="dxa"/>
            <w:tcBorders>
              <w:top w:val="nil"/>
            </w:tcBorders>
            <w:tcMar>
              <w:top w:w="100" w:type="dxa"/>
              <w:left w:w="100" w:type="dxa"/>
              <w:bottom w:w="100" w:type="dxa"/>
              <w:right w:w="100" w:type="dxa"/>
            </w:tcMar>
          </w:tcPr>
          <w:p w14:paraId="510302D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50 years</w:t>
            </w:r>
          </w:p>
        </w:tc>
        <w:tc>
          <w:tcPr>
            <w:tcW w:w="3120" w:type="dxa"/>
            <w:tcBorders>
              <w:top w:val="nil"/>
            </w:tcBorders>
            <w:tcMar>
              <w:top w:w="100" w:type="dxa"/>
              <w:left w:w="100" w:type="dxa"/>
              <w:bottom w:w="100" w:type="dxa"/>
              <w:right w:w="100" w:type="dxa"/>
            </w:tcMar>
          </w:tcPr>
          <w:p w14:paraId="7B9098B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3120" w:type="dxa"/>
            <w:tcBorders>
              <w:top w:val="nil"/>
            </w:tcBorders>
            <w:tcMar>
              <w:top w:w="100" w:type="dxa"/>
              <w:left w:w="100" w:type="dxa"/>
              <w:bottom w:w="100" w:type="dxa"/>
              <w:right w:w="100" w:type="dxa"/>
            </w:tcMar>
          </w:tcPr>
          <w:p w14:paraId="753EAD0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w:t>
            </w:r>
          </w:p>
        </w:tc>
      </w:tr>
      <w:tr w:rsidR="0082621B" w14:paraId="663CD441" w14:textId="77777777">
        <w:tc>
          <w:tcPr>
            <w:tcW w:w="3120" w:type="dxa"/>
            <w:tcBorders>
              <w:bottom w:val="nil"/>
            </w:tcBorders>
            <w:tcMar>
              <w:top w:w="100" w:type="dxa"/>
              <w:left w:w="100" w:type="dxa"/>
              <w:bottom w:w="100" w:type="dxa"/>
              <w:right w:w="100" w:type="dxa"/>
            </w:tcMar>
          </w:tcPr>
          <w:p w14:paraId="7FEBBC7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Educational Qualifications of Respondents</w:t>
            </w:r>
          </w:p>
        </w:tc>
        <w:tc>
          <w:tcPr>
            <w:tcW w:w="3120" w:type="dxa"/>
            <w:tcBorders>
              <w:bottom w:val="nil"/>
            </w:tcBorders>
            <w:tcMar>
              <w:top w:w="100" w:type="dxa"/>
              <w:left w:w="100" w:type="dxa"/>
              <w:bottom w:w="100" w:type="dxa"/>
              <w:right w:w="100" w:type="dxa"/>
            </w:tcMar>
          </w:tcPr>
          <w:p w14:paraId="11A9708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3120" w:type="dxa"/>
            <w:tcBorders>
              <w:bottom w:val="nil"/>
            </w:tcBorders>
            <w:tcMar>
              <w:top w:w="100" w:type="dxa"/>
              <w:left w:w="100" w:type="dxa"/>
              <w:bottom w:w="100" w:type="dxa"/>
              <w:right w:w="100" w:type="dxa"/>
            </w:tcMar>
          </w:tcPr>
          <w:p w14:paraId="2C4ECDE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r>
      <w:tr w:rsidR="0082621B" w14:paraId="5E698F01" w14:textId="77777777">
        <w:tc>
          <w:tcPr>
            <w:tcW w:w="3120" w:type="dxa"/>
            <w:tcBorders>
              <w:top w:val="nil"/>
              <w:bottom w:val="nil"/>
            </w:tcBorders>
            <w:tcMar>
              <w:top w:w="100" w:type="dxa"/>
              <w:left w:w="100" w:type="dxa"/>
              <w:bottom w:w="100" w:type="dxa"/>
              <w:right w:w="100" w:type="dxa"/>
            </w:tcMar>
          </w:tcPr>
          <w:p w14:paraId="46A79F33" w14:textId="77777777" w:rsidR="0082621B" w:rsidRDefault="008B15C0">
            <w:pPr>
              <w:spacing w:line="360" w:lineRule="auto"/>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Ph.D</w:t>
            </w:r>
            <w:proofErr w:type="spellEnd"/>
            <w:proofErr w:type="gramEnd"/>
          </w:p>
        </w:tc>
        <w:tc>
          <w:tcPr>
            <w:tcW w:w="3120" w:type="dxa"/>
            <w:tcBorders>
              <w:top w:val="nil"/>
              <w:bottom w:val="nil"/>
            </w:tcBorders>
            <w:tcMar>
              <w:top w:w="100" w:type="dxa"/>
              <w:left w:w="100" w:type="dxa"/>
              <w:bottom w:w="100" w:type="dxa"/>
              <w:right w:w="100" w:type="dxa"/>
            </w:tcMar>
          </w:tcPr>
          <w:p w14:paraId="27933C5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567EED7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82621B" w14:paraId="55B88013" w14:textId="77777777">
        <w:tc>
          <w:tcPr>
            <w:tcW w:w="3120" w:type="dxa"/>
            <w:tcBorders>
              <w:top w:val="nil"/>
              <w:bottom w:val="nil"/>
            </w:tcBorders>
            <w:tcMar>
              <w:top w:w="100" w:type="dxa"/>
              <w:left w:w="100" w:type="dxa"/>
              <w:bottom w:w="100" w:type="dxa"/>
              <w:right w:w="100" w:type="dxa"/>
            </w:tcMar>
          </w:tcPr>
          <w:p w14:paraId="129FF4D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MSc/Med/MA</w:t>
            </w:r>
          </w:p>
        </w:tc>
        <w:tc>
          <w:tcPr>
            <w:tcW w:w="3120" w:type="dxa"/>
            <w:tcBorders>
              <w:top w:val="nil"/>
              <w:bottom w:val="nil"/>
            </w:tcBorders>
            <w:tcMar>
              <w:top w:w="100" w:type="dxa"/>
              <w:left w:w="100" w:type="dxa"/>
              <w:bottom w:w="100" w:type="dxa"/>
              <w:right w:w="100" w:type="dxa"/>
            </w:tcMar>
          </w:tcPr>
          <w:p w14:paraId="1D8120B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129</w:t>
            </w:r>
          </w:p>
        </w:tc>
        <w:tc>
          <w:tcPr>
            <w:tcW w:w="3120" w:type="dxa"/>
            <w:tcBorders>
              <w:top w:val="nil"/>
              <w:bottom w:val="nil"/>
            </w:tcBorders>
            <w:tcMar>
              <w:top w:w="100" w:type="dxa"/>
              <w:left w:w="100" w:type="dxa"/>
              <w:bottom w:w="100" w:type="dxa"/>
              <w:right w:w="100" w:type="dxa"/>
            </w:tcMar>
          </w:tcPr>
          <w:p w14:paraId="7DD0FE4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51.6</w:t>
            </w:r>
          </w:p>
        </w:tc>
      </w:tr>
      <w:tr w:rsidR="0082621B" w14:paraId="250DA963" w14:textId="77777777">
        <w:tc>
          <w:tcPr>
            <w:tcW w:w="3120" w:type="dxa"/>
            <w:tcBorders>
              <w:top w:val="nil"/>
              <w:bottom w:val="nil"/>
            </w:tcBorders>
            <w:tcMar>
              <w:top w:w="100" w:type="dxa"/>
              <w:left w:w="100" w:type="dxa"/>
              <w:bottom w:w="100" w:type="dxa"/>
              <w:right w:w="100" w:type="dxa"/>
            </w:tcMar>
          </w:tcPr>
          <w:p w14:paraId="22164A6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/BA/HND</w:t>
            </w:r>
          </w:p>
        </w:tc>
        <w:tc>
          <w:tcPr>
            <w:tcW w:w="3120" w:type="dxa"/>
            <w:tcBorders>
              <w:top w:val="nil"/>
              <w:bottom w:val="nil"/>
            </w:tcBorders>
            <w:tcMar>
              <w:top w:w="100" w:type="dxa"/>
              <w:left w:w="100" w:type="dxa"/>
              <w:bottom w:w="100" w:type="dxa"/>
              <w:right w:w="100" w:type="dxa"/>
            </w:tcMar>
          </w:tcPr>
          <w:p w14:paraId="4C31CBD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3120" w:type="dxa"/>
            <w:tcBorders>
              <w:top w:val="nil"/>
              <w:bottom w:val="nil"/>
            </w:tcBorders>
            <w:tcMar>
              <w:top w:w="100" w:type="dxa"/>
              <w:left w:w="100" w:type="dxa"/>
              <w:bottom w:w="100" w:type="dxa"/>
              <w:right w:w="100" w:type="dxa"/>
            </w:tcMar>
          </w:tcPr>
          <w:p w14:paraId="2D655F8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14.8</w:t>
            </w:r>
          </w:p>
        </w:tc>
      </w:tr>
      <w:tr w:rsidR="0082621B" w14:paraId="73C46CB1" w14:textId="77777777">
        <w:tc>
          <w:tcPr>
            <w:tcW w:w="3120" w:type="dxa"/>
            <w:tcBorders>
              <w:top w:val="nil"/>
            </w:tcBorders>
            <w:tcMar>
              <w:top w:w="100" w:type="dxa"/>
              <w:left w:w="100" w:type="dxa"/>
              <w:bottom w:w="100" w:type="dxa"/>
              <w:right w:w="100" w:type="dxa"/>
            </w:tcMar>
          </w:tcPr>
          <w:p w14:paraId="1828066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Others</w:t>
            </w:r>
          </w:p>
        </w:tc>
        <w:tc>
          <w:tcPr>
            <w:tcW w:w="3120" w:type="dxa"/>
            <w:tcBorders>
              <w:top w:val="nil"/>
            </w:tcBorders>
            <w:tcMar>
              <w:top w:w="100" w:type="dxa"/>
              <w:left w:w="100" w:type="dxa"/>
              <w:bottom w:w="100" w:type="dxa"/>
              <w:right w:w="100" w:type="dxa"/>
            </w:tcMar>
          </w:tcPr>
          <w:p w14:paraId="528B0D56"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top w:val="nil"/>
            </w:tcBorders>
            <w:tcMar>
              <w:top w:w="100" w:type="dxa"/>
              <w:left w:w="100" w:type="dxa"/>
              <w:bottom w:w="100" w:type="dxa"/>
              <w:right w:w="100" w:type="dxa"/>
            </w:tcMar>
          </w:tcPr>
          <w:p w14:paraId="3B8B8D9C"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3B2A2CF6" w14:textId="77777777">
        <w:tc>
          <w:tcPr>
            <w:tcW w:w="3120" w:type="dxa"/>
            <w:tcMar>
              <w:top w:w="100" w:type="dxa"/>
              <w:left w:w="100" w:type="dxa"/>
              <w:bottom w:w="100" w:type="dxa"/>
              <w:right w:w="100" w:type="dxa"/>
            </w:tcMar>
          </w:tcPr>
          <w:p w14:paraId="518AA60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Years of Experience with the Organization</w:t>
            </w:r>
          </w:p>
        </w:tc>
        <w:tc>
          <w:tcPr>
            <w:tcW w:w="3120" w:type="dxa"/>
            <w:tcMar>
              <w:top w:w="100" w:type="dxa"/>
              <w:left w:w="100" w:type="dxa"/>
              <w:bottom w:w="100" w:type="dxa"/>
              <w:right w:w="100" w:type="dxa"/>
            </w:tcMar>
          </w:tcPr>
          <w:p w14:paraId="4F1051C1"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Mar>
              <w:top w:w="100" w:type="dxa"/>
              <w:left w:w="100" w:type="dxa"/>
              <w:bottom w:w="100" w:type="dxa"/>
              <w:right w:w="100" w:type="dxa"/>
            </w:tcMar>
          </w:tcPr>
          <w:p w14:paraId="401D3294"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55A8025D" w14:textId="77777777">
        <w:tc>
          <w:tcPr>
            <w:tcW w:w="3120" w:type="dxa"/>
            <w:tcMar>
              <w:top w:w="100" w:type="dxa"/>
              <w:left w:w="100" w:type="dxa"/>
              <w:bottom w:w="100" w:type="dxa"/>
              <w:right w:w="100" w:type="dxa"/>
            </w:tcMar>
          </w:tcPr>
          <w:p w14:paraId="5C0BA0F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&lt;2 years</w:t>
            </w:r>
          </w:p>
        </w:tc>
        <w:tc>
          <w:tcPr>
            <w:tcW w:w="3120" w:type="dxa"/>
            <w:tcMar>
              <w:top w:w="100" w:type="dxa"/>
              <w:left w:w="100" w:type="dxa"/>
              <w:bottom w:w="100" w:type="dxa"/>
              <w:right w:w="100" w:type="dxa"/>
            </w:tcMar>
          </w:tcPr>
          <w:p w14:paraId="452C495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w:t>
            </w:r>
          </w:p>
        </w:tc>
        <w:tc>
          <w:tcPr>
            <w:tcW w:w="3120" w:type="dxa"/>
            <w:tcMar>
              <w:top w:w="100" w:type="dxa"/>
              <w:left w:w="100" w:type="dxa"/>
              <w:bottom w:w="100" w:type="dxa"/>
              <w:right w:w="100" w:type="dxa"/>
            </w:tcMar>
          </w:tcPr>
          <w:p w14:paraId="4F06DF0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w:t>
            </w:r>
          </w:p>
        </w:tc>
      </w:tr>
      <w:tr w:rsidR="0082621B" w14:paraId="5AD21770" w14:textId="77777777">
        <w:tc>
          <w:tcPr>
            <w:tcW w:w="3120" w:type="dxa"/>
            <w:tcMar>
              <w:top w:w="100" w:type="dxa"/>
              <w:left w:w="100" w:type="dxa"/>
              <w:bottom w:w="100" w:type="dxa"/>
              <w:right w:w="100" w:type="dxa"/>
            </w:tcMar>
          </w:tcPr>
          <w:p w14:paraId="296F814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years</w:t>
            </w:r>
          </w:p>
        </w:tc>
        <w:tc>
          <w:tcPr>
            <w:tcW w:w="3120" w:type="dxa"/>
            <w:tcMar>
              <w:top w:w="100" w:type="dxa"/>
              <w:left w:w="100" w:type="dxa"/>
              <w:bottom w:w="100" w:type="dxa"/>
              <w:right w:w="100" w:type="dxa"/>
            </w:tcMar>
          </w:tcPr>
          <w:p w14:paraId="35C046C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3120" w:type="dxa"/>
            <w:tcMar>
              <w:top w:w="100" w:type="dxa"/>
              <w:left w:w="100" w:type="dxa"/>
              <w:bottom w:w="100" w:type="dxa"/>
              <w:right w:w="100" w:type="dxa"/>
            </w:tcMar>
          </w:tcPr>
          <w:p w14:paraId="2C6932E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w:t>
            </w:r>
          </w:p>
        </w:tc>
      </w:tr>
      <w:tr w:rsidR="0082621B" w14:paraId="02CE6912" w14:textId="77777777">
        <w:tc>
          <w:tcPr>
            <w:tcW w:w="3120" w:type="dxa"/>
            <w:tcMar>
              <w:top w:w="100" w:type="dxa"/>
              <w:left w:w="100" w:type="dxa"/>
              <w:bottom w:w="100" w:type="dxa"/>
              <w:right w:w="100" w:type="dxa"/>
            </w:tcMar>
          </w:tcPr>
          <w:p w14:paraId="48DA0FE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Mar>
              <w:top w:w="100" w:type="dxa"/>
              <w:left w:w="100" w:type="dxa"/>
              <w:bottom w:w="100" w:type="dxa"/>
              <w:right w:w="100" w:type="dxa"/>
            </w:tcMar>
          </w:tcPr>
          <w:p w14:paraId="70A0360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w:t>
            </w:r>
          </w:p>
        </w:tc>
        <w:tc>
          <w:tcPr>
            <w:tcW w:w="3120" w:type="dxa"/>
            <w:tcMar>
              <w:top w:w="100" w:type="dxa"/>
              <w:left w:w="100" w:type="dxa"/>
              <w:bottom w:w="100" w:type="dxa"/>
              <w:right w:w="100" w:type="dxa"/>
            </w:tcMar>
          </w:tcPr>
          <w:p w14:paraId="4D459E1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28.8</w:t>
            </w:r>
          </w:p>
        </w:tc>
      </w:tr>
      <w:tr w:rsidR="0082621B" w14:paraId="624347AC" w14:textId="77777777">
        <w:tc>
          <w:tcPr>
            <w:tcW w:w="3120" w:type="dxa"/>
            <w:tcMar>
              <w:top w:w="100" w:type="dxa"/>
              <w:left w:w="100" w:type="dxa"/>
              <w:bottom w:w="100" w:type="dxa"/>
              <w:right w:w="100" w:type="dxa"/>
            </w:tcMar>
          </w:tcPr>
          <w:p w14:paraId="43A1780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10 years</w:t>
            </w:r>
          </w:p>
        </w:tc>
        <w:tc>
          <w:tcPr>
            <w:tcW w:w="3120" w:type="dxa"/>
            <w:tcMar>
              <w:top w:w="100" w:type="dxa"/>
              <w:left w:w="100" w:type="dxa"/>
              <w:bottom w:w="100" w:type="dxa"/>
              <w:right w:w="100" w:type="dxa"/>
            </w:tcMar>
          </w:tcPr>
          <w:p w14:paraId="2487AAD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3120" w:type="dxa"/>
            <w:tcMar>
              <w:top w:w="100" w:type="dxa"/>
              <w:left w:w="100" w:type="dxa"/>
              <w:bottom w:w="100" w:type="dxa"/>
              <w:right w:w="100" w:type="dxa"/>
            </w:tcMar>
          </w:tcPr>
          <w:p w14:paraId="03B217A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bl>
    <w:p w14:paraId="4A218D0A" w14:textId="77777777" w:rsidR="0082621B" w:rsidRDefault="0082621B">
      <w:pPr>
        <w:spacing w:line="360" w:lineRule="auto"/>
        <w:jc w:val="both"/>
        <w:rPr>
          <w:rFonts w:ascii="Times New Roman" w:eastAsia="Times New Roman" w:hAnsi="Times New Roman" w:cs="Times New Roman"/>
          <w:sz w:val="24"/>
          <w:szCs w:val="24"/>
          <w:highlight w:val="white"/>
        </w:rPr>
      </w:pPr>
    </w:p>
    <w:p w14:paraId="042CA6A2" w14:textId="77777777" w:rsidR="0082621B" w:rsidRDefault="0082621B">
      <w:pPr>
        <w:spacing w:line="360" w:lineRule="auto"/>
        <w:jc w:val="both"/>
        <w:rPr>
          <w:rFonts w:ascii="Times New Roman" w:eastAsia="Times New Roman" w:hAnsi="Times New Roman" w:cs="Times New Roman"/>
          <w:sz w:val="24"/>
          <w:szCs w:val="24"/>
          <w:highlight w:val="white"/>
        </w:rPr>
      </w:pPr>
    </w:p>
    <w:p w14:paraId="40013AD7" w14:textId="77777777" w:rsidR="0082621B" w:rsidRDefault="0082621B">
      <w:pPr>
        <w:spacing w:line="360" w:lineRule="auto"/>
        <w:jc w:val="both"/>
        <w:rPr>
          <w:rFonts w:ascii="Times New Roman" w:eastAsia="Times New Roman" w:hAnsi="Times New Roman" w:cs="Times New Roman"/>
          <w:sz w:val="24"/>
          <w:szCs w:val="24"/>
          <w:highlight w:val="white"/>
        </w:rPr>
      </w:pPr>
    </w:p>
    <w:p w14:paraId="0A3B277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0" distB="0" distL="0" distR="0" wp14:anchorId="7935DCB7" wp14:editId="2261589C">
            <wp:extent cx="4965700" cy="3048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4"/>
                    <a:stretch>
                      <a:fillRect/>
                    </a:stretch>
                  </pic:blipFill>
                  <pic:spPr>
                    <a:xfrm>
                      <a:off x="0" y="0"/>
                      <a:ext cx="4965700" cy="3048000"/>
                    </a:xfrm>
                    <a:prstGeom prst="rect">
                      <a:avLst/>
                    </a:prstGeom>
                    <a:ln/>
                  </pic:spPr>
                </pic:pic>
              </a:graphicData>
            </a:graphic>
          </wp:inline>
        </w:drawing>
      </w:r>
    </w:p>
    <w:p w14:paraId="1A65E683"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1: Gender distribution of Respondents</w:t>
      </w:r>
    </w:p>
    <w:p w14:paraId="5248E0BE" w14:textId="77777777" w:rsidR="0082621B" w:rsidRDefault="0082621B">
      <w:pPr>
        <w:spacing w:line="360" w:lineRule="auto"/>
        <w:jc w:val="both"/>
        <w:rPr>
          <w:rFonts w:ascii="Times New Roman" w:eastAsia="Times New Roman" w:hAnsi="Times New Roman" w:cs="Times New Roman"/>
          <w:sz w:val="24"/>
          <w:szCs w:val="24"/>
          <w:highlight w:val="white"/>
        </w:rPr>
      </w:pPr>
    </w:p>
    <w:p w14:paraId="50E2B8DB" w14:textId="77777777" w:rsidR="0082621B" w:rsidRDefault="008B15C0">
      <w:pPr>
        <w:tabs>
          <w:tab w:val="left" w:pos="8910"/>
        </w:tabs>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0B912387" wp14:editId="5A0CB720">
            <wp:extent cx="5081588" cy="274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81588" cy="2743200"/>
                    </a:xfrm>
                    <a:prstGeom prst="rect">
                      <a:avLst/>
                    </a:prstGeom>
                    <a:ln/>
                  </pic:spPr>
                </pic:pic>
              </a:graphicData>
            </a:graphic>
          </wp:inline>
        </w:drawing>
      </w:r>
    </w:p>
    <w:p w14:paraId="24DA8F9D" w14:textId="77777777" w:rsidR="0082621B" w:rsidRDefault="008B15C0">
      <w:pPr>
        <w:tabs>
          <w:tab w:val="left" w:pos="8910"/>
        </w:tabs>
        <w:spacing w:after="20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2: A distribution of Respondents</w:t>
      </w:r>
    </w:p>
    <w:p w14:paraId="6FC43CA5" w14:textId="77777777" w:rsidR="0082621B" w:rsidRDefault="0082621B">
      <w:pPr>
        <w:spacing w:line="360" w:lineRule="auto"/>
        <w:jc w:val="both"/>
        <w:rPr>
          <w:rFonts w:ascii="Times New Roman" w:eastAsia="Times New Roman" w:hAnsi="Times New Roman" w:cs="Times New Roman"/>
          <w:sz w:val="24"/>
          <w:szCs w:val="24"/>
          <w:highlight w:val="white"/>
        </w:rPr>
      </w:pPr>
    </w:p>
    <w:p w14:paraId="56577223" w14:textId="77777777" w:rsidR="0082621B" w:rsidRDefault="008B15C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0" distB="0" distL="0" distR="0" wp14:anchorId="34DA3299" wp14:editId="31D3E79B">
            <wp:extent cx="5072063" cy="2743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072063" cy="2743200"/>
                    </a:xfrm>
                    <a:prstGeom prst="rect">
                      <a:avLst/>
                    </a:prstGeom>
                    <a:ln/>
                  </pic:spPr>
                </pic:pic>
              </a:graphicData>
            </a:graphic>
          </wp:inline>
        </w:drawing>
      </w:r>
    </w:p>
    <w:p w14:paraId="73C28DA4"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3: Educational Status of Respondents</w:t>
      </w:r>
    </w:p>
    <w:p w14:paraId="09C0C01F" w14:textId="77777777" w:rsidR="0082621B" w:rsidRDefault="0082621B">
      <w:pPr>
        <w:spacing w:line="360" w:lineRule="auto"/>
        <w:rPr>
          <w:rFonts w:ascii="Times New Roman" w:eastAsia="Times New Roman" w:hAnsi="Times New Roman" w:cs="Times New Roman"/>
          <w:sz w:val="24"/>
          <w:szCs w:val="24"/>
          <w:highlight w:val="white"/>
        </w:rPr>
      </w:pPr>
    </w:p>
    <w:p w14:paraId="42971C56" w14:textId="77777777" w:rsidR="0082621B" w:rsidRDefault="008B15C0">
      <w:pPr>
        <w:tabs>
          <w:tab w:val="left" w:pos="0"/>
        </w:tabs>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2968FED9" wp14:editId="3C05A6FF">
            <wp:extent cx="5119688" cy="3543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11" b="-18"/>
                    <a:stretch>
                      <a:fillRect/>
                    </a:stretch>
                  </pic:blipFill>
                  <pic:spPr>
                    <a:xfrm>
                      <a:off x="0" y="0"/>
                      <a:ext cx="5119688" cy="3543300"/>
                    </a:xfrm>
                    <a:prstGeom prst="rect">
                      <a:avLst/>
                    </a:prstGeom>
                    <a:ln/>
                  </pic:spPr>
                </pic:pic>
              </a:graphicData>
            </a:graphic>
          </wp:inline>
        </w:drawing>
      </w:r>
    </w:p>
    <w:p w14:paraId="3A26D620"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4: Respondents’ Years in Service</w:t>
      </w:r>
    </w:p>
    <w:p w14:paraId="7EF15D04"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9" w:name="_heading=h.yn71hwyjpou" w:colFirst="0" w:colLast="0"/>
      <w:bookmarkEnd w:id="9"/>
      <w:r>
        <w:rPr>
          <w:rFonts w:ascii="Times New Roman" w:eastAsia="Times New Roman" w:hAnsi="Times New Roman" w:cs="Times New Roman"/>
          <w:b/>
          <w:bCs/>
          <w:color w:val="000000"/>
          <w:highlight w:val="white"/>
        </w:rPr>
        <w:t>Reporting on the Impact of Planning on Systems Approach in Community Development Projects</w:t>
      </w:r>
    </w:p>
    <w:p w14:paraId="0C8A690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findings from the survey highlight a generally positive view on the role of planning in the systems approach to project management in community development projects in Nigeria. The grand mean of 3.00, with a standard deviation of 0.944, indicates that respondents generally agreed with the importance of planning in ensuring the success of community development projects.</w:t>
      </w:r>
    </w:p>
    <w:p w14:paraId="34EBEDB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Respondents strongly agreed with the notion that a project plan is created before the project's commencement, clearly outlining the scope, resources, and timeline, as reflected in the highest mean score of 3.41 (standard deviation = 0.976). This result emphasizes the critical role of detailed planning in establishing clear project parameters. Furthermore, the identification and continuous monitoring of project risks (mean = 2.98, standard deviation = 0.887) was viewed as essential at the project’s initiation, underscoring the importance of proactive risk management to prevent potential issues during the project’s lifecycle.</w:t>
      </w:r>
    </w:p>
    <w:p w14:paraId="5A0B337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there was a moderate level of agreement regarding the allocation of human resources (mean = 2.72, standard deviation = 1.074). Although respondents acknowledged the importance of planning in preventing resource oversizing, the level of support was less pronounced. Overall, the results suggest a consensus on the significance of planning, supporting the view that effective and well-structured planning is vital to project success. By anticipating risks, aligning resources efficiently, and setting clear objectives, planning plays a crucial role in achieving positive outcomes in community development projects.</w:t>
      </w:r>
    </w:p>
    <w:p w14:paraId="7AC30A1D"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4: Impact of Planning on the Systems Approach in Community Development Projects in Nigeria</w:t>
      </w:r>
    </w:p>
    <w:tbl>
      <w:tblPr>
        <w:tblStyle w:val="a8"/>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620F49D2" w14:textId="77777777">
        <w:tc>
          <w:tcPr>
            <w:tcW w:w="600" w:type="dxa"/>
            <w:tcMar>
              <w:top w:w="100" w:type="dxa"/>
              <w:left w:w="100" w:type="dxa"/>
              <w:bottom w:w="100" w:type="dxa"/>
              <w:right w:w="100" w:type="dxa"/>
            </w:tcMar>
          </w:tcPr>
          <w:p w14:paraId="2767F438"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5A10E19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54AAF7C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3DF087A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4F90DCE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037725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0CD7C74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4D044D99" w14:textId="77777777" w:rsidR="0082621B" w:rsidRDefault="00CA47C8">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3921D4E1"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61F07D99"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38D176FB" w14:textId="77777777">
        <w:tc>
          <w:tcPr>
            <w:tcW w:w="600" w:type="dxa"/>
            <w:tcMar>
              <w:top w:w="100" w:type="dxa"/>
              <w:left w:w="100" w:type="dxa"/>
              <w:bottom w:w="100" w:type="dxa"/>
              <w:right w:w="100" w:type="dxa"/>
            </w:tcMar>
          </w:tcPr>
          <w:p w14:paraId="7F8FE5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780" w:type="dxa"/>
            <w:tcMar>
              <w:top w:w="100" w:type="dxa"/>
              <w:left w:w="100" w:type="dxa"/>
              <w:bottom w:w="100" w:type="dxa"/>
              <w:right w:w="100" w:type="dxa"/>
            </w:tcMar>
          </w:tcPr>
          <w:p w14:paraId="4E53869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we embark on any project, we always prepare a detailed plan that includes a plan of conducted activities included in this phase.</w:t>
            </w:r>
          </w:p>
        </w:tc>
        <w:tc>
          <w:tcPr>
            <w:tcW w:w="555" w:type="dxa"/>
            <w:tcMar>
              <w:top w:w="100" w:type="dxa"/>
              <w:left w:w="100" w:type="dxa"/>
              <w:bottom w:w="100" w:type="dxa"/>
              <w:right w:w="100" w:type="dxa"/>
            </w:tcMar>
          </w:tcPr>
          <w:p w14:paraId="755FC27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75B37CF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540" w:type="dxa"/>
            <w:tcMar>
              <w:top w:w="100" w:type="dxa"/>
              <w:left w:w="100" w:type="dxa"/>
              <w:bottom w:w="100" w:type="dxa"/>
              <w:right w:w="100" w:type="dxa"/>
            </w:tcMar>
          </w:tcPr>
          <w:p w14:paraId="01CDB26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w:t>
            </w:r>
          </w:p>
        </w:tc>
        <w:tc>
          <w:tcPr>
            <w:tcW w:w="540" w:type="dxa"/>
            <w:tcMar>
              <w:top w:w="100" w:type="dxa"/>
              <w:left w:w="100" w:type="dxa"/>
              <w:bottom w:w="100" w:type="dxa"/>
              <w:right w:w="100" w:type="dxa"/>
            </w:tcMar>
          </w:tcPr>
          <w:p w14:paraId="4B42B6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735" w:type="dxa"/>
            <w:tcMar>
              <w:top w:w="100" w:type="dxa"/>
              <w:left w:w="100" w:type="dxa"/>
              <w:bottom w:w="100" w:type="dxa"/>
              <w:right w:w="100" w:type="dxa"/>
            </w:tcMar>
          </w:tcPr>
          <w:p w14:paraId="59722AD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BE2C71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2.97</w:t>
            </w:r>
          </w:p>
        </w:tc>
        <w:tc>
          <w:tcPr>
            <w:tcW w:w="420" w:type="dxa"/>
            <w:tcMar>
              <w:top w:w="100" w:type="dxa"/>
              <w:left w:w="100" w:type="dxa"/>
              <w:bottom w:w="100" w:type="dxa"/>
              <w:right w:w="100" w:type="dxa"/>
            </w:tcMar>
          </w:tcPr>
          <w:p w14:paraId="15FD55D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0.944</w:t>
            </w:r>
          </w:p>
        </w:tc>
        <w:tc>
          <w:tcPr>
            <w:tcW w:w="840" w:type="dxa"/>
            <w:tcMar>
              <w:top w:w="100" w:type="dxa"/>
              <w:left w:w="100" w:type="dxa"/>
              <w:bottom w:w="100" w:type="dxa"/>
              <w:right w:w="100" w:type="dxa"/>
            </w:tcMar>
          </w:tcPr>
          <w:p w14:paraId="32D1E1D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B6627DB" w14:textId="77777777">
        <w:tc>
          <w:tcPr>
            <w:tcW w:w="600" w:type="dxa"/>
            <w:tcMar>
              <w:top w:w="100" w:type="dxa"/>
              <w:left w:w="100" w:type="dxa"/>
              <w:bottom w:w="100" w:type="dxa"/>
              <w:right w:w="100" w:type="dxa"/>
            </w:tcMar>
          </w:tcPr>
          <w:p w14:paraId="56CE436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w:t>
            </w:r>
          </w:p>
        </w:tc>
        <w:tc>
          <w:tcPr>
            <w:tcW w:w="3780" w:type="dxa"/>
            <w:tcMar>
              <w:top w:w="100" w:type="dxa"/>
              <w:left w:w="100" w:type="dxa"/>
              <w:bottom w:w="100" w:type="dxa"/>
              <w:right w:w="100" w:type="dxa"/>
            </w:tcMar>
          </w:tcPr>
          <w:p w14:paraId="41FD173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any of our community projects, we first identify project risks at the beginning and monitor the same throughout the course of the project.</w:t>
            </w:r>
          </w:p>
        </w:tc>
        <w:tc>
          <w:tcPr>
            <w:tcW w:w="555" w:type="dxa"/>
            <w:tcMar>
              <w:top w:w="100" w:type="dxa"/>
              <w:left w:w="100" w:type="dxa"/>
              <w:bottom w:w="100" w:type="dxa"/>
              <w:right w:w="100" w:type="dxa"/>
            </w:tcMar>
          </w:tcPr>
          <w:p w14:paraId="2571884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0F85F51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21176EE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540" w:type="dxa"/>
            <w:tcMar>
              <w:top w:w="100" w:type="dxa"/>
              <w:left w:w="100" w:type="dxa"/>
              <w:bottom w:w="100" w:type="dxa"/>
              <w:right w:w="100" w:type="dxa"/>
            </w:tcMar>
          </w:tcPr>
          <w:p w14:paraId="1B05A88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w:t>
            </w:r>
          </w:p>
        </w:tc>
        <w:tc>
          <w:tcPr>
            <w:tcW w:w="735" w:type="dxa"/>
            <w:tcMar>
              <w:top w:w="100" w:type="dxa"/>
              <w:left w:w="100" w:type="dxa"/>
              <w:bottom w:w="100" w:type="dxa"/>
              <w:right w:w="100" w:type="dxa"/>
            </w:tcMar>
          </w:tcPr>
          <w:p w14:paraId="431FD18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36B643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2.98</w:t>
            </w:r>
          </w:p>
        </w:tc>
        <w:tc>
          <w:tcPr>
            <w:tcW w:w="420" w:type="dxa"/>
            <w:tcMar>
              <w:top w:w="100" w:type="dxa"/>
              <w:left w:w="100" w:type="dxa"/>
              <w:bottom w:w="100" w:type="dxa"/>
              <w:right w:w="100" w:type="dxa"/>
            </w:tcMar>
          </w:tcPr>
          <w:p w14:paraId="095A5AB6"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0.887</w:t>
            </w:r>
          </w:p>
        </w:tc>
        <w:tc>
          <w:tcPr>
            <w:tcW w:w="840" w:type="dxa"/>
            <w:tcMar>
              <w:top w:w="100" w:type="dxa"/>
              <w:left w:w="100" w:type="dxa"/>
              <w:bottom w:w="100" w:type="dxa"/>
              <w:right w:w="100" w:type="dxa"/>
            </w:tcMar>
          </w:tcPr>
          <w:p w14:paraId="6A56B4E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48BFF1A1" w14:textId="77777777">
        <w:tc>
          <w:tcPr>
            <w:tcW w:w="600" w:type="dxa"/>
            <w:tcMar>
              <w:top w:w="100" w:type="dxa"/>
              <w:left w:w="100" w:type="dxa"/>
              <w:bottom w:w="100" w:type="dxa"/>
              <w:right w:w="100" w:type="dxa"/>
            </w:tcMar>
          </w:tcPr>
          <w:p w14:paraId="3913C9A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80" w:type="dxa"/>
            <w:tcMar>
              <w:top w:w="100" w:type="dxa"/>
              <w:left w:w="100" w:type="dxa"/>
              <w:bottom w:w="100" w:type="dxa"/>
              <w:right w:w="100" w:type="dxa"/>
            </w:tcMar>
          </w:tcPr>
          <w:p w14:paraId="472C2EB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Good planning creates conditions for our project success and can solve many potential problems before they occur.</w:t>
            </w:r>
          </w:p>
        </w:tc>
        <w:tc>
          <w:tcPr>
            <w:tcW w:w="555" w:type="dxa"/>
            <w:tcMar>
              <w:top w:w="100" w:type="dxa"/>
              <w:left w:w="100" w:type="dxa"/>
              <w:bottom w:w="100" w:type="dxa"/>
              <w:right w:w="100" w:type="dxa"/>
            </w:tcMar>
          </w:tcPr>
          <w:p w14:paraId="0508DF8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w:t>
            </w:r>
          </w:p>
        </w:tc>
        <w:tc>
          <w:tcPr>
            <w:tcW w:w="540" w:type="dxa"/>
            <w:tcMar>
              <w:top w:w="100" w:type="dxa"/>
              <w:left w:w="100" w:type="dxa"/>
              <w:bottom w:w="100" w:type="dxa"/>
              <w:right w:w="100" w:type="dxa"/>
            </w:tcMar>
          </w:tcPr>
          <w:p w14:paraId="4074D91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5DBA5D3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w:t>
            </w:r>
          </w:p>
        </w:tc>
        <w:tc>
          <w:tcPr>
            <w:tcW w:w="540" w:type="dxa"/>
            <w:tcMar>
              <w:top w:w="100" w:type="dxa"/>
              <w:left w:w="100" w:type="dxa"/>
              <w:bottom w:w="100" w:type="dxa"/>
              <w:right w:w="100" w:type="dxa"/>
            </w:tcMar>
          </w:tcPr>
          <w:p w14:paraId="5197EB5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c>
          <w:tcPr>
            <w:tcW w:w="735" w:type="dxa"/>
            <w:tcMar>
              <w:top w:w="100" w:type="dxa"/>
              <w:left w:w="100" w:type="dxa"/>
              <w:bottom w:w="100" w:type="dxa"/>
              <w:right w:w="100" w:type="dxa"/>
            </w:tcMar>
          </w:tcPr>
          <w:p w14:paraId="4C2C3DF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85168D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2.58</w:t>
            </w:r>
          </w:p>
        </w:tc>
        <w:tc>
          <w:tcPr>
            <w:tcW w:w="420" w:type="dxa"/>
            <w:tcMar>
              <w:top w:w="100" w:type="dxa"/>
              <w:left w:w="100" w:type="dxa"/>
              <w:bottom w:w="100" w:type="dxa"/>
              <w:right w:w="100" w:type="dxa"/>
            </w:tcMar>
          </w:tcPr>
          <w:p w14:paraId="463010F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1.095</w:t>
            </w:r>
          </w:p>
        </w:tc>
        <w:tc>
          <w:tcPr>
            <w:tcW w:w="840" w:type="dxa"/>
            <w:tcMar>
              <w:top w:w="100" w:type="dxa"/>
              <w:left w:w="100" w:type="dxa"/>
              <w:bottom w:w="100" w:type="dxa"/>
              <w:right w:w="100" w:type="dxa"/>
            </w:tcMar>
          </w:tcPr>
          <w:p w14:paraId="3D06CBA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0B058AF2" w14:textId="77777777">
        <w:tc>
          <w:tcPr>
            <w:tcW w:w="600" w:type="dxa"/>
            <w:tcMar>
              <w:top w:w="100" w:type="dxa"/>
              <w:left w:w="100" w:type="dxa"/>
              <w:bottom w:w="100" w:type="dxa"/>
              <w:right w:w="100" w:type="dxa"/>
            </w:tcMar>
          </w:tcPr>
          <w:p w14:paraId="06A5822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780" w:type="dxa"/>
            <w:tcMar>
              <w:top w:w="100" w:type="dxa"/>
              <w:left w:w="100" w:type="dxa"/>
              <w:bottom w:w="100" w:type="dxa"/>
              <w:right w:w="100" w:type="dxa"/>
            </w:tcMar>
          </w:tcPr>
          <w:p w14:paraId="167F1C1D"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plan provides the allocation of human resources on the key phases of the project while preventing their oversizing.</w:t>
            </w:r>
          </w:p>
        </w:tc>
        <w:tc>
          <w:tcPr>
            <w:tcW w:w="555" w:type="dxa"/>
            <w:tcMar>
              <w:top w:w="100" w:type="dxa"/>
              <w:left w:w="100" w:type="dxa"/>
              <w:bottom w:w="100" w:type="dxa"/>
              <w:right w:w="100" w:type="dxa"/>
            </w:tcMar>
          </w:tcPr>
          <w:p w14:paraId="2566476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c>
          <w:tcPr>
            <w:tcW w:w="540" w:type="dxa"/>
            <w:tcMar>
              <w:top w:w="100" w:type="dxa"/>
              <w:left w:w="100" w:type="dxa"/>
              <w:bottom w:w="100" w:type="dxa"/>
              <w:right w:w="100" w:type="dxa"/>
            </w:tcMar>
          </w:tcPr>
          <w:p w14:paraId="5FCCE24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521089D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w:t>
            </w:r>
          </w:p>
        </w:tc>
        <w:tc>
          <w:tcPr>
            <w:tcW w:w="540" w:type="dxa"/>
            <w:tcMar>
              <w:top w:w="100" w:type="dxa"/>
              <w:left w:w="100" w:type="dxa"/>
              <w:bottom w:w="100" w:type="dxa"/>
              <w:right w:w="100" w:type="dxa"/>
            </w:tcMar>
          </w:tcPr>
          <w:p w14:paraId="5F83E53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735" w:type="dxa"/>
            <w:tcMar>
              <w:top w:w="100" w:type="dxa"/>
              <w:left w:w="100" w:type="dxa"/>
              <w:bottom w:w="100" w:type="dxa"/>
              <w:right w:w="100" w:type="dxa"/>
            </w:tcMar>
          </w:tcPr>
          <w:p w14:paraId="61FDB4C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D0D979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2.72</w:t>
            </w:r>
          </w:p>
        </w:tc>
        <w:tc>
          <w:tcPr>
            <w:tcW w:w="420" w:type="dxa"/>
            <w:tcMar>
              <w:top w:w="100" w:type="dxa"/>
              <w:left w:w="100" w:type="dxa"/>
              <w:bottom w:w="100" w:type="dxa"/>
              <w:right w:w="100" w:type="dxa"/>
            </w:tcMar>
          </w:tcPr>
          <w:p w14:paraId="6D7DD0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1.074</w:t>
            </w:r>
          </w:p>
        </w:tc>
        <w:tc>
          <w:tcPr>
            <w:tcW w:w="840" w:type="dxa"/>
            <w:tcMar>
              <w:top w:w="100" w:type="dxa"/>
              <w:left w:w="100" w:type="dxa"/>
              <w:bottom w:w="100" w:type="dxa"/>
              <w:right w:w="100" w:type="dxa"/>
            </w:tcMar>
          </w:tcPr>
          <w:p w14:paraId="0EA92BE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4B8C9375" w14:textId="77777777">
        <w:tc>
          <w:tcPr>
            <w:tcW w:w="600" w:type="dxa"/>
            <w:tcMar>
              <w:top w:w="100" w:type="dxa"/>
              <w:left w:w="100" w:type="dxa"/>
              <w:bottom w:w="100" w:type="dxa"/>
              <w:right w:w="100" w:type="dxa"/>
            </w:tcMar>
          </w:tcPr>
          <w:p w14:paraId="6EB0137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3780" w:type="dxa"/>
            <w:tcMar>
              <w:top w:w="100" w:type="dxa"/>
              <w:left w:w="100" w:type="dxa"/>
              <w:bottom w:w="100" w:type="dxa"/>
              <w:right w:w="100" w:type="dxa"/>
            </w:tcMar>
          </w:tcPr>
          <w:p w14:paraId="73E7CD37"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scope and the level of detail of the plan, we often distinguish the overall project plan and detailed plans.</w:t>
            </w:r>
          </w:p>
        </w:tc>
        <w:tc>
          <w:tcPr>
            <w:tcW w:w="555" w:type="dxa"/>
            <w:tcMar>
              <w:top w:w="100" w:type="dxa"/>
              <w:left w:w="100" w:type="dxa"/>
              <w:bottom w:w="100" w:type="dxa"/>
              <w:right w:w="100" w:type="dxa"/>
            </w:tcMar>
          </w:tcPr>
          <w:p w14:paraId="1EB8A31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2C55FA7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797718F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6904FB1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7F209E7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16BBBD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3D119F3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1.148</w:t>
            </w:r>
          </w:p>
        </w:tc>
        <w:tc>
          <w:tcPr>
            <w:tcW w:w="840" w:type="dxa"/>
            <w:tcMar>
              <w:top w:w="100" w:type="dxa"/>
              <w:left w:w="100" w:type="dxa"/>
              <w:bottom w:w="100" w:type="dxa"/>
              <w:right w:w="100" w:type="dxa"/>
            </w:tcMar>
          </w:tcPr>
          <w:p w14:paraId="6816BE3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0C7432EC" w14:textId="77777777">
        <w:tc>
          <w:tcPr>
            <w:tcW w:w="600" w:type="dxa"/>
            <w:tcBorders>
              <w:bottom w:val="single" w:sz="4" w:space="0" w:color="000000"/>
            </w:tcBorders>
            <w:tcMar>
              <w:top w:w="100" w:type="dxa"/>
              <w:left w:w="100" w:type="dxa"/>
              <w:bottom w:w="100" w:type="dxa"/>
              <w:right w:w="100" w:type="dxa"/>
            </w:tcMar>
          </w:tcPr>
          <w:p w14:paraId="6B01C7E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780" w:type="dxa"/>
            <w:tcMar>
              <w:top w:w="100" w:type="dxa"/>
              <w:left w:w="100" w:type="dxa"/>
              <w:bottom w:w="100" w:type="dxa"/>
              <w:right w:w="100" w:type="dxa"/>
            </w:tcMar>
          </w:tcPr>
          <w:p w14:paraId="3E5F691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project plan is constructed before the start of the project and defines the project as a whole, along with necessary resources and time.</w:t>
            </w:r>
          </w:p>
        </w:tc>
        <w:tc>
          <w:tcPr>
            <w:tcW w:w="555" w:type="dxa"/>
            <w:tcMar>
              <w:top w:w="100" w:type="dxa"/>
              <w:left w:w="100" w:type="dxa"/>
              <w:bottom w:w="100" w:type="dxa"/>
              <w:right w:w="100" w:type="dxa"/>
            </w:tcMar>
          </w:tcPr>
          <w:p w14:paraId="6D4FBF1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2763D65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3C22859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136B14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0DF29A0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F0CE766"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3.41</w:t>
            </w:r>
          </w:p>
        </w:tc>
        <w:tc>
          <w:tcPr>
            <w:tcW w:w="420" w:type="dxa"/>
            <w:tcMar>
              <w:top w:w="100" w:type="dxa"/>
              <w:left w:w="100" w:type="dxa"/>
              <w:bottom w:w="100" w:type="dxa"/>
              <w:right w:w="100" w:type="dxa"/>
            </w:tcMar>
          </w:tcPr>
          <w:p w14:paraId="1D16058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70DDEA5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265F4AD0" w14:textId="77777777">
        <w:tc>
          <w:tcPr>
            <w:tcW w:w="600" w:type="dxa"/>
            <w:tcBorders>
              <w:top w:val="single" w:sz="4" w:space="0" w:color="000000"/>
              <w:right w:val="nil"/>
            </w:tcBorders>
            <w:tcMar>
              <w:top w:w="100" w:type="dxa"/>
              <w:left w:w="100" w:type="dxa"/>
              <w:bottom w:w="100" w:type="dxa"/>
              <w:right w:w="100" w:type="dxa"/>
            </w:tcMar>
          </w:tcPr>
          <w:p w14:paraId="60D25270"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780" w:type="dxa"/>
            <w:tcBorders>
              <w:left w:val="nil"/>
            </w:tcBorders>
            <w:tcMar>
              <w:top w:w="100" w:type="dxa"/>
              <w:left w:w="100" w:type="dxa"/>
              <w:bottom w:w="100" w:type="dxa"/>
              <w:right w:w="100" w:type="dxa"/>
            </w:tcMar>
          </w:tcPr>
          <w:p w14:paraId="7FB17032"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552A2260"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4C75B296"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5A510C0B"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7247DCE2"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735" w:type="dxa"/>
            <w:tcBorders>
              <w:left w:val="nil"/>
              <w:right w:val="single" w:sz="4" w:space="0" w:color="000000"/>
            </w:tcBorders>
            <w:tcMar>
              <w:top w:w="100" w:type="dxa"/>
              <w:left w:w="100" w:type="dxa"/>
              <w:bottom w:w="100" w:type="dxa"/>
              <w:right w:w="100" w:type="dxa"/>
            </w:tcMar>
          </w:tcPr>
          <w:p w14:paraId="49F1B09A" w14:textId="77777777" w:rsidR="0082621B" w:rsidRDefault="0082621B">
            <w:pPr>
              <w:spacing w:line="360" w:lineRule="auto"/>
              <w:jc w:val="both"/>
              <w:rPr>
                <w:rFonts w:ascii="Times New Roman" w:eastAsia="Times New Roman" w:hAnsi="Times New Roman" w:cs="Times New Roman"/>
                <w:b/>
                <w:bCs/>
                <w:sz w:val="24"/>
                <w:szCs w:val="24"/>
                <w:highlight w:val="white"/>
              </w:rPr>
            </w:pPr>
          </w:p>
        </w:tc>
        <w:tc>
          <w:tcPr>
            <w:tcW w:w="600" w:type="dxa"/>
            <w:tcBorders>
              <w:left w:val="single" w:sz="4" w:space="0" w:color="000000"/>
              <w:right w:val="single" w:sz="4" w:space="0" w:color="000000"/>
            </w:tcBorders>
            <w:tcMar>
              <w:top w:w="100" w:type="dxa"/>
              <w:left w:w="100" w:type="dxa"/>
              <w:bottom w:w="100" w:type="dxa"/>
              <w:right w:w="100" w:type="dxa"/>
            </w:tcMar>
          </w:tcPr>
          <w:p w14:paraId="5810F05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3.00</w:t>
            </w:r>
          </w:p>
        </w:tc>
        <w:tc>
          <w:tcPr>
            <w:tcW w:w="420" w:type="dxa"/>
            <w:tcBorders>
              <w:left w:val="single" w:sz="4" w:space="0" w:color="000000"/>
              <w:right w:val="nil"/>
            </w:tcBorders>
            <w:tcMar>
              <w:top w:w="100" w:type="dxa"/>
              <w:left w:w="100" w:type="dxa"/>
              <w:bottom w:w="100" w:type="dxa"/>
              <w:right w:w="100" w:type="dxa"/>
            </w:tcMar>
          </w:tcPr>
          <w:p w14:paraId="1CE2199F"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840" w:type="dxa"/>
            <w:tcBorders>
              <w:left w:val="nil"/>
            </w:tcBorders>
            <w:tcMar>
              <w:top w:w="100" w:type="dxa"/>
              <w:left w:w="100" w:type="dxa"/>
              <w:bottom w:w="100" w:type="dxa"/>
              <w:right w:w="100" w:type="dxa"/>
            </w:tcMar>
          </w:tcPr>
          <w:p w14:paraId="28FDA994" w14:textId="77777777" w:rsidR="0082621B" w:rsidRDefault="008B15C0">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30C5E24F" w14:textId="77777777" w:rsidR="0082621B" w:rsidRDefault="0082621B">
      <w:pPr>
        <w:spacing w:line="360" w:lineRule="auto"/>
        <w:jc w:val="both"/>
        <w:rPr>
          <w:rFonts w:ascii="Times New Roman" w:eastAsia="Times New Roman" w:hAnsi="Times New Roman" w:cs="Times New Roman"/>
          <w:sz w:val="24"/>
          <w:szCs w:val="24"/>
          <w:highlight w:val="white"/>
        </w:rPr>
      </w:pPr>
    </w:p>
    <w:p w14:paraId="3287B4E3"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0" w:name="_heading=h.7dytkb2imj0y" w:colFirst="0" w:colLast="0"/>
      <w:bookmarkEnd w:id="10"/>
      <w:r>
        <w:rPr>
          <w:rFonts w:ascii="Times New Roman" w:eastAsia="Times New Roman" w:hAnsi="Times New Roman" w:cs="Times New Roman"/>
          <w:b/>
          <w:bCs/>
          <w:color w:val="000000"/>
          <w:highlight w:val="white"/>
        </w:rPr>
        <w:t>Reporting on the Impact of Scheduling on Systems Approach in Project Management</w:t>
      </w:r>
    </w:p>
    <w:p w14:paraId="1B33272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results from the survey provide valuable insights into the role of scheduling within the systems approach to project management in community development projects in Nigeria. As shown in Table 4, respondents generally agreed that scheduling is integral to successful project management. A majority of respondents (97) indicated that their community projects consistently include planned start and finish dates, durations, and resource allocation.</w:t>
      </w:r>
    </w:p>
    <w:p w14:paraId="1472EAD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125 of respondents strongly agreed that project scheduling is considered a crucial component of effective time management, highlighting its importance in ensuring timely delivery of project milestones. The presence of formal scheduling processes, such as timetables that outline start and finish dates while considering resources and stakeholders, was confirmed by a significant number of respondents. Moreover, the survey reveals that 62% of respondents acknowledged having formal policies for managing schedules, which is a positive indicator of organizational preparedness in time management (Mean = 3.32, Std = 1.148).</w:t>
      </w:r>
    </w:p>
    <w:p w14:paraId="17A775B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scheduling process was also found to be valuable in tracking progress, with most respondents noting its strategic benefit in monitoring project timelines. Overall, the grand mean of 3.20 suggests that respondents perceive scheduling as a critical factor that contributes significantly to the successful execution of community development projects within a systems approach framework.</w:t>
      </w:r>
    </w:p>
    <w:p w14:paraId="0E5B0DBA"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5: Impact of Scheduling on Systems Approach in Project Management of Community Development Projects in Nigeria</w:t>
      </w:r>
    </w:p>
    <w:p w14:paraId="562A46CD"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9"/>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363E38E1" w14:textId="77777777">
        <w:tc>
          <w:tcPr>
            <w:tcW w:w="600" w:type="dxa"/>
            <w:tcMar>
              <w:top w:w="100" w:type="dxa"/>
              <w:left w:w="100" w:type="dxa"/>
              <w:bottom w:w="100" w:type="dxa"/>
              <w:right w:w="100" w:type="dxa"/>
            </w:tcMar>
          </w:tcPr>
          <w:p w14:paraId="2EEB0316"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08E229F4"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677029A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54FA54A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228EE0A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5E4DAA9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6496D5C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0993E220" w14:textId="77777777" w:rsidR="0082621B" w:rsidRDefault="00CA47C8">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0956AD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5D418954"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790C4869" w14:textId="77777777">
        <w:tc>
          <w:tcPr>
            <w:tcW w:w="600" w:type="dxa"/>
            <w:tcMar>
              <w:top w:w="100" w:type="dxa"/>
              <w:left w:w="100" w:type="dxa"/>
              <w:bottom w:w="100" w:type="dxa"/>
              <w:right w:w="100" w:type="dxa"/>
            </w:tcMar>
          </w:tcPr>
          <w:p w14:paraId="0C18CFA8"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2EE3113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community project often schedules that include a planned start and finish date, duration, and resources assigned to each activity.</w:t>
            </w:r>
          </w:p>
        </w:tc>
        <w:tc>
          <w:tcPr>
            <w:tcW w:w="555" w:type="dxa"/>
            <w:tcMar>
              <w:top w:w="100" w:type="dxa"/>
              <w:left w:w="100" w:type="dxa"/>
              <w:bottom w:w="100" w:type="dxa"/>
              <w:right w:w="100" w:type="dxa"/>
            </w:tcMar>
          </w:tcPr>
          <w:p w14:paraId="581717E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c>
          <w:tcPr>
            <w:tcW w:w="540" w:type="dxa"/>
            <w:tcMar>
              <w:top w:w="100" w:type="dxa"/>
              <w:left w:w="100" w:type="dxa"/>
              <w:bottom w:w="100" w:type="dxa"/>
              <w:right w:w="100" w:type="dxa"/>
            </w:tcMar>
          </w:tcPr>
          <w:p w14:paraId="08FD0556"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6DC276D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w:t>
            </w:r>
          </w:p>
        </w:tc>
        <w:tc>
          <w:tcPr>
            <w:tcW w:w="540" w:type="dxa"/>
            <w:tcMar>
              <w:top w:w="100" w:type="dxa"/>
              <w:left w:w="100" w:type="dxa"/>
              <w:bottom w:w="100" w:type="dxa"/>
              <w:right w:w="100" w:type="dxa"/>
            </w:tcMar>
          </w:tcPr>
          <w:p w14:paraId="5856756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735" w:type="dxa"/>
            <w:tcMar>
              <w:top w:w="100" w:type="dxa"/>
              <w:left w:w="100" w:type="dxa"/>
              <w:bottom w:w="100" w:type="dxa"/>
              <w:right w:w="100" w:type="dxa"/>
            </w:tcMar>
          </w:tcPr>
          <w:p w14:paraId="07E262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12E04B28"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2.90</w:t>
            </w:r>
          </w:p>
        </w:tc>
        <w:tc>
          <w:tcPr>
            <w:tcW w:w="420" w:type="dxa"/>
            <w:tcMar>
              <w:top w:w="100" w:type="dxa"/>
              <w:left w:w="100" w:type="dxa"/>
              <w:bottom w:w="100" w:type="dxa"/>
              <w:right w:w="100" w:type="dxa"/>
            </w:tcMar>
          </w:tcPr>
          <w:p w14:paraId="41AFF47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0.905</w:t>
            </w:r>
          </w:p>
        </w:tc>
        <w:tc>
          <w:tcPr>
            <w:tcW w:w="840" w:type="dxa"/>
            <w:tcMar>
              <w:top w:w="100" w:type="dxa"/>
              <w:left w:w="100" w:type="dxa"/>
              <w:bottom w:w="100" w:type="dxa"/>
              <w:right w:w="100" w:type="dxa"/>
            </w:tcMar>
          </w:tcPr>
          <w:p w14:paraId="1641E57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2D6E1AC1" w14:textId="77777777">
        <w:tc>
          <w:tcPr>
            <w:tcW w:w="600" w:type="dxa"/>
            <w:tcMar>
              <w:top w:w="100" w:type="dxa"/>
              <w:left w:w="100" w:type="dxa"/>
              <w:bottom w:w="100" w:type="dxa"/>
              <w:right w:w="100" w:type="dxa"/>
            </w:tcMar>
          </w:tcPr>
          <w:p w14:paraId="6742E9F7"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2</w:t>
            </w:r>
          </w:p>
        </w:tc>
        <w:tc>
          <w:tcPr>
            <w:tcW w:w="3780" w:type="dxa"/>
            <w:tcMar>
              <w:top w:w="100" w:type="dxa"/>
              <w:left w:w="100" w:type="dxa"/>
              <w:bottom w:w="100" w:type="dxa"/>
              <w:right w:w="100" w:type="dxa"/>
            </w:tcMar>
          </w:tcPr>
          <w:p w14:paraId="0D16927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project scheduling is considered a critical component of successful time management.</w:t>
            </w:r>
          </w:p>
        </w:tc>
        <w:tc>
          <w:tcPr>
            <w:tcW w:w="555" w:type="dxa"/>
            <w:tcMar>
              <w:top w:w="100" w:type="dxa"/>
              <w:left w:w="100" w:type="dxa"/>
              <w:bottom w:w="100" w:type="dxa"/>
              <w:right w:w="100" w:type="dxa"/>
            </w:tcMar>
          </w:tcPr>
          <w:p w14:paraId="35FD514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125</w:t>
            </w:r>
          </w:p>
        </w:tc>
        <w:tc>
          <w:tcPr>
            <w:tcW w:w="540" w:type="dxa"/>
            <w:tcMar>
              <w:top w:w="100" w:type="dxa"/>
              <w:left w:w="100" w:type="dxa"/>
              <w:bottom w:w="100" w:type="dxa"/>
              <w:right w:w="100" w:type="dxa"/>
            </w:tcMar>
          </w:tcPr>
          <w:p w14:paraId="52248C5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540" w:type="dxa"/>
            <w:tcMar>
              <w:top w:w="100" w:type="dxa"/>
              <w:left w:w="100" w:type="dxa"/>
              <w:bottom w:w="100" w:type="dxa"/>
              <w:right w:w="100" w:type="dxa"/>
            </w:tcMar>
          </w:tcPr>
          <w:p w14:paraId="5F28437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540" w:type="dxa"/>
            <w:tcMar>
              <w:top w:w="100" w:type="dxa"/>
              <w:left w:w="100" w:type="dxa"/>
              <w:bottom w:w="100" w:type="dxa"/>
              <w:right w:w="100" w:type="dxa"/>
            </w:tcMar>
          </w:tcPr>
          <w:p w14:paraId="26B000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735" w:type="dxa"/>
            <w:tcMar>
              <w:top w:w="100" w:type="dxa"/>
              <w:left w:w="100" w:type="dxa"/>
              <w:bottom w:w="100" w:type="dxa"/>
              <w:right w:w="100" w:type="dxa"/>
            </w:tcMar>
          </w:tcPr>
          <w:p w14:paraId="4901765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825893F"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3.34</w:t>
            </w:r>
          </w:p>
        </w:tc>
        <w:tc>
          <w:tcPr>
            <w:tcW w:w="420" w:type="dxa"/>
            <w:tcMar>
              <w:top w:w="100" w:type="dxa"/>
              <w:left w:w="100" w:type="dxa"/>
              <w:bottom w:w="100" w:type="dxa"/>
              <w:right w:w="100" w:type="dxa"/>
            </w:tcMar>
          </w:tcPr>
          <w:p w14:paraId="330F251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1.162</w:t>
            </w:r>
          </w:p>
        </w:tc>
        <w:tc>
          <w:tcPr>
            <w:tcW w:w="840" w:type="dxa"/>
            <w:tcMar>
              <w:top w:w="100" w:type="dxa"/>
              <w:left w:w="100" w:type="dxa"/>
              <w:bottom w:w="100" w:type="dxa"/>
              <w:right w:w="100" w:type="dxa"/>
            </w:tcMar>
          </w:tcPr>
          <w:p w14:paraId="670E5F6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50695E48" w14:textId="77777777">
        <w:tc>
          <w:tcPr>
            <w:tcW w:w="600" w:type="dxa"/>
            <w:tcMar>
              <w:top w:w="100" w:type="dxa"/>
              <w:left w:w="100" w:type="dxa"/>
              <w:bottom w:w="100" w:type="dxa"/>
              <w:right w:w="100" w:type="dxa"/>
            </w:tcMar>
          </w:tcPr>
          <w:p w14:paraId="74052405"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0443BFB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each project carried out by our organization, there is a timetable showing the forecast start and finish dates for activities or events within a project, </w:t>
            </w:r>
            <w:proofErr w:type="spellStart"/>
            <w:r>
              <w:rPr>
                <w:rFonts w:ascii="Times New Roman" w:eastAsia="Times New Roman" w:hAnsi="Times New Roman" w:cs="Times New Roman"/>
                <w:sz w:val="24"/>
                <w:szCs w:val="24"/>
                <w:highlight w:val="white"/>
              </w:rPr>
              <w:t>programme</w:t>
            </w:r>
            <w:proofErr w:type="spellEnd"/>
            <w:r>
              <w:rPr>
                <w:rFonts w:ascii="Times New Roman" w:eastAsia="Times New Roman" w:hAnsi="Times New Roman" w:cs="Times New Roman"/>
                <w:sz w:val="24"/>
                <w:szCs w:val="24"/>
                <w:highlight w:val="white"/>
              </w:rPr>
              <w:t>, or portfolio, while taking available resources and stakeholders into consideration.</w:t>
            </w:r>
          </w:p>
        </w:tc>
        <w:tc>
          <w:tcPr>
            <w:tcW w:w="555" w:type="dxa"/>
            <w:tcMar>
              <w:top w:w="100" w:type="dxa"/>
              <w:left w:w="100" w:type="dxa"/>
              <w:bottom w:w="100" w:type="dxa"/>
              <w:right w:w="100" w:type="dxa"/>
            </w:tcMar>
          </w:tcPr>
          <w:p w14:paraId="361E988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4ECE9D6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117</w:t>
            </w:r>
          </w:p>
        </w:tc>
        <w:tc>
          <w:tcPr>
            <w:tcW w:w="540" w:type="dxa"/>
            <w:tcMar>
              <w:top w:w="100" w:type="dxa"/>
              <w:left w:w="100" w:type="dxa"/>
              <w:bottom w:w="100" w:type="dxa"/>
              <w:right w:w="100" w:type="dxa"/>
            </w:tcMar>
          </w:tcPr>
          <w:p w14:paraId="677A60B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40" w:type="dxa"/>
            <w:tcMar>
              <w:top w:w="100" w:type="dxa"/>
              <w:left w:w="100" w:type="dxa"/>
              <w:bottom w:w="100" w:type="dxa"/>
              <w:right w:w="100" w:type="dxa"/>
            </w:tcMar>
          </w:tcPr>
          <w:p w14:paraId="5CDE6CC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735" w:type="dxa"/>
            <w:tcMar>
              <w:top w:w="100" w:type="dxa"/>
              <w:left w:w="100" w:type="dxa"/>
              <w:bottom w:w="100" w:type="dxa"/>
              <w:right w:w="100" w:type="dxa"/>
            </w:tcMar>
          </w:tcPr>
          <w:p w14:paraId="5C0015F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A5862E1"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3.02</w:t>
            </w:r>
          </w:p>
        </w:tc>
        <w:tc>
          <w:tcPr>
            <w:tcW w:w="420" w:type="dxa"/>
            <w:tcMar>
              <w:top w:w="100" w:type="dxa"/>
              <w:left w:w="100" w:type="dxa"/>
              <w:bottom w:w="100" w:type="dxa"/>
              <w:right w:w="100" w:type="dxa"/>
            </w:tcMar>
          </w:tcPr>
          <w:p w14:paraId="7BD60EA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0.986</w:t>
            </w:r>
          </w:p>
        </w:tc>
        <w:tc>
          <w:tcPr>
            <w:tcW w:w="840" w:type="dxa"/>
            <w:tcMar>
              <w:top w:w="100" w:type="dxa"/>
              <w:left w:w="100" w:type="dxa"/>
              <w:bottom w:w="100" w:type="dxa"/>
              <w:right w:w="100" w:type="dxa"/>
            </w:tcMar>
          </w:tcPr>
          <w:p w14:paraId="5DFD105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37AE39FF" w14:textId="77777777">
        <w:tc>
          <w:tcPr>
            <w:tcW w:w="600" w:type="dxa"/>
            <w:tcMar>
              <w:top w:w="100" w:type="dxa"/>
              <w:left w:w="100" w:type="dxa"/>
              <w:bottom w:w="100" w:type="dxa"/>
              <w:right w:w="100" w:type="dxa"/>
            </w:tcMar>
          </w:tcPr>
          <w:p w14:paraId="7552C738"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3780" w:type="dxa"/>
            <w:tcMar>
              <w:top w:w="100" w:type="dxa"/>
              <w:left w:w="100" w:type="dxa"/>
              <w:bottom w:w="100" w:type="dxa"/>
              <w:right w:w="100" w:type="dxa"/>
            </w:tcMar>
          </w:tcPr>
          <w:p w14:paraId="03B1B21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Taking all factors into consideration, our organization has a procedure that requires the establishment of policies and documentation for maintaining, developing, managing, and controlling the schedules for time and resources for the completion of the project.</w:t>
            </w:r>
          </w:p>
        </w:tc>
        <w:tc>
          <w:tcPr>
            <w:tcW w:w="555" w:type="dxa"/>
            <w:tcMar>
              <w:top w:w="100" w:type="dxa"/>
              <w:left w:w="100" w:type="dxa"/>
              <w:bottom w:w="100" w:type="dxa"/>
              <w:right w:w="100" w:type="dxa"/>
            </w:tcMar>
          </w:tcPr>
          <w:p w14:paraId="530A1B3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45C2ADF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58981A1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5E2EDEB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472403C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4BB2B513"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21D97F6F" w14:textId="77777777" w:rsidR="0082621B" w:rsidRDefault="008B15C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w:t>
            </w:r>
          </w:p>
        </w:tc>
        <w:tc>
          <w:tcPr>
            <w:tcW w:w="840" w:type="dxa"/>
            <w:tcMar>
              <w:top w:w="100" w:type="dxa"/>
              <w:left w:w="100" w:type="dxa"/>
              <w:bottom w:w="100" w:type="dxa"/>
              <w:right w:w="100" w:type="dxa"/>
            </w:tcMar>
          </w:tcPr>
          <w:p w14:paraId="2FFA7D86"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3607B93" w14:textId="77777777">
        <w:tc>
          <w:tcPr>
            <w:tcW w:w="600" w:type="dxa"/>
            <w:tcBorders>
              <w:bottom w:val="nil"/>
            </w:tcBorders>
            <w:tcMar>
              <w:top w:w="100" w:type="dxa"/>
              <w:left w:w="100" w:type="dxa"/>
              <w:bottom w:w="100" w:type="dxa"/>
              <w:right w:w="100" w:type="dxa"/>
            </w:tcMar>
          </w:tcPr>
          <w:p w14:paraId="31F3CDF2"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w:t>
            </w:r>
          </w:p>
        </w:tc>
        <w:tc>
          <w:tcPr>
            <w:tcW w:w="3780" w:type="dxa"/>
            <w:tcMar>
              <w:top w:w="100" w:type="dxa"/>
              <w:left w:w="100" w:type="dxa"/>
              <w:bottom w:w="100" w:type="dxa"/>
              <w:right w:w="100" w:type="dxa"/>
            </w:tcMar>
          </w:tcPr>
          <w:p w14:paraId="71307C6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organization gains strategic benefits from the schedule management process as it helps in monitoring and managing the schedule throughout the project.</w:t>
            </w:r>
          </w:p>
        </w:tc>
        <w:tc>
          <w:tcPr>
            <w:tcW w:w="555" w:type="dxa"/>
            <w:tcMar>
              <w:top w:w="100" w:type="dxa"/>
              <w:left w:w="100" w:type="dxa"/>
              <w:bottom w:w="100" w:type="dxa"/>
              <w:right w:w="100" w:type="dxa"/>
            </w:tcMar>
          </w:tcPr>
          <w:p w14:paraId="6C20694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w:t>
            </w:r>
          </w:p>
        </w:tc>
        <w:tc>
          <w:tcPr>
            <w:tcW w:w="540" w:type="dxa"/>
            <w:tcMar>
              <w:top w:w="100" w:type="dxa"/>
              <w:left w:w="100" w:type="dxa"/>
              <w:bottom w:w="100" w:type="dxa"/>
              <w:right w:w="100" w:type="dxa"/>
            </w:tcMar>
          </w:tcPr>
          <w:p w14:paraId="3274CE0C"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130</w:t>
            </w:r>
          </w:p>
        </w:tc>
        <w:tc>
          <w:tcPr>
            <w:tcW w:w="540" w:type="dxa"/>
            <w:tcMar>
              <w:top w:w="100" w:type="dxa"/>
              <w:left w:w="100" w:type="dxa"/>
              <w:bottom w:w="100" w:type="dxa"/>
              <w:right w:w="100" w:type="dxa"/>
            </w:tcMar>
          </w:tcPr>
          <w:p w14:paraId="46116DD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25AE9B0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735" w:type="dxa"/>
            <w:tcMar>
              <w:top w:w="100" w:type="dxa"/>
              <w:left w:w="100" w:type="dxa"/>
              <w:bottom w:w="100" w:type="dxa"/>
              <w:right w:w="100" w:type="dxa"/>
            </w:tcMar>
          </w:tcPr>
          <w:p w14:paraId="367E4CE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65959AB"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3.40</w:t>
            </w:r>
          </w:p>
        </w:tc>
        <w:tc>
          <w:tcPr>
            <w:tcW w:w="420" w:type="dxa"/>
            <w:tcMar>
              <w:top w:w="100" w:type="dxa"/>
              <w:left w:w="100" w:type="dxa"/>
              <w:bottom w:w="100" w:type="dxa"/>
              <w:right w:w="100" w:type="dxa"/>
            </w:tcMar>
          </w:tcPr>
          <w:p w14:paraId="4CD1B27D" w14:textId="77777777" w:rsidR="0082621B" w:rsidRDefault="008B15C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0.987</w:t>
            </w:r>
          </w:p>
        </w:tc>
        <w:tc>
          <w:tcPr>
            <w:tcW w:w="840" w:type="dxa"/>
            <w:tcMar>
              <w:top w:w="100" w:type="dxa"/>
              <w:left w:w="100" w:type="dxa"/>
              <w:bottom w:w="100" w:type="dxa"/>
              <w:right w:w="100" w:type="dxa"/>
            </w:tcMar>
          </w:tcPr>
          <w:p w14:paraId="23B9362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73BCA77B" w14:textId="77777777">
        <w:tc>
          <w:tcPr>
            <w:tcW w:w="600" w:type="dxa"/>
            <w:tcBorders>
              <w:top w:val="nil"/>
            </w:tcBorders>
            <w:tcMar>
              <w:top w:w="100" w:type="dxa"/>
              <w:left w:w="100" w:type="dxa"/>
              <w:bottom w:w="100" w:type="dxa"/>
              <w:right w:w="100" w:type="dxa"/>
            </w:tcMar>
          </w:tcPr>
          <w:p w14:paraId="7771695A" w14:textId="77777777" w:rsidR="0082621B" w:rsidRDefault="0082621B">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54E38F51"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p w14:paraId="38FDE660" w14:textId="77777777" w:rsidR="0082621B" w:rsidRDefault="0082621B">
            <w:pPr>
              <w:spacing w:line="360" w:lineRule="auto"/>
              <w:jc w:val="both"/>
              <w:rPr>
                <w:rFonts w:ascii="Times New Roman" w:eastAsia="Times New Roman" w:hAnsi="Times New Roman" w:cs="Times New Roman"/>
                <w:b/>
                <w:bCs/>
                <w:sz w:val="24"/>
                <w:szCs w:val="24"/>
                <w:highlight w:val="white"/>
              </w:rPr>
            </w:pPr>
          </w:p>
        </w:tc>
        <w:tc>
          <w:tcPr>
            <w:tcW w:w="555" w:type="dxa"/>
            <w:tcBorders>
              <w:right w:val="nil"/>
            </w:tcBorders>
            <w:tcMar>
              <w:top w:w="100" w:type="dxa"/>
              <w:left w:w="100" w:type="dxa"/>
              <w:bottom w:w="100" w:type="dxa"/>
              <w:right w:w="100" w:type="dxa"/>
            </w:tcMar>
          </w:tcPr>
          <w:p w14:paraId="7F7BC371"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A05CCB2"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5B8AB23D"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72E4A560"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48A93E33"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1FC3FAC7" w14:textId="77777777" w:rsidR="0082621B" w:rsidRDefault="008B15C0">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3.20</w:t>
            </w:r>
          </w:p>
        </w:tc>
        <w:tc>
          <w:tcPr>
            <w:tcW w:w="420" w:type="dxa"/>
            <w:tcBorders>
              <w:right w:val="nil"/>
            </w:tcBorders>
            <w:tcMar>
              <w:top w:w="100" w:type="dxa"/>
              <w:left w:w="100" w:type="dxa"/>
              <w:bottom w:w="100" w:type="dxa"/>
              <w:right w:w="100" w:type="dxa"/>
            </w:tcMar>
          </w:tcPr>
          <w:p w14:paraId="3C786C60" w14:textId="77777777" w:rsidR="0082621B" w:rsidRDefault="0082621B">
            <w:pPr>
              <w:spacing w:after="200"/>
              <w:jc w:val="center"/>
              <w:rPr>
                <w:rFonts w:ascii="Times New Roman" w:eastAsia="Times New Roman" w:hAnsi="Times New Roman" w:cs="Times New Roman"/>
                <w:b/>
                <w:bCs/>
                <w:sz w:val="24"/>
                <w:szCs w:val="24"/>
              </w:rPr>
            </w:pPr>
          </w:p>
        </w:tc>
        <w:tc>
          <w:tcPr>
            <w:tcW w:w="840" w:type="dxa"/>
            <w:tcBorders>
              <w:left w:val="nil"/>
            </w:tcBorders>
            <w:tcMar>
              <w:top w:w="100" w:type="dxa"/>
              <w:left w:w="100" w:type="dxa"/>
              <w:bottom w:w="100" w:type="dxa"/>
              <w:right w:w="100" w:type="dxa"/>
            </w:tcMar>
          </w:tcPr>
          <w:p w14:paraId="72E26EAC" w14:textId="77777777" w:rsidR="0082621B" w:rsidRDefault="008B15C0">
            <w:pPr>
              <w:spacing w:line="360" w:lineRule="auto"/>
              <w:jc w:val="center"/>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Aggree</w:t>
            </w:r>
            <w:proofErr w:type="spellEnd"/>
          </w:p>
        </w:tc>
      </w:tr>
    </w:tbl>
    <w:p w14:paraId="27720236" w14:textId="77777777" w:rsidR="0082621B" w:rsidRDefault="0082621B">
      <w:pPr>
        <w:spacing w:line="360" w:lineRule="auto"/>
        <w:jc w:val="both"/>
        <w:rPr>
          <w:rFonts w:ascii="Times New Roman" w:eastAsia="Times New Roman" w:hAnsi="Times New Roman" w:cs="Times New Roman"/>
          <w:sz w:val="24"/>
          <w:szCs w:val="24"/>
          <w:highlight w:val="white"/>
        </w:rPr>
      </w:pPr>
    </w:p>
    <w:p w14:paraId="5BCB9414"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1" w:name="_heading=h.g0xjla3do5is" w:colFirst="0" w:colLast="0"/>
      <w:bookmarkEnd w:id="11"/>
      <w:r>
        <w:rPr>
          <w:rFonts w:ascii="Times New Roman" w:eastAsia="Times New Roman" w:hAnsi="Times New Roman" w:cs="Times New Roman"/>
          <w:b/>
          <w:bCs/>
          <w:color w:val="000000"/>
          <w:highlight w:val="white"/>
        </w:rPr>
        <w:t>Controlling Practices in the Systems Approach to Project Management</w:t>
      </w:r>
    </w:p>
    <w:p w14:paraId="2BFCA18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findings from the study provide valuable insights into the impact of controlling practices within the systems approach to project management in community development projects in Nigeria. Effective project control is viewed as crucial in ensuring that projects remain on track, with the majority of respondents (63.2%) strongly agreeing that project control helps deliver timely project information, which allows for corrective actions. This suggests that real-time monitoring and the ability to adjust are key to effective project management.</w:t>
      </w:r>
    </w:p>
    <w:p w14:paraId="15CD7ED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Similarly, respondents (56%) indicated that systemic project control enables them to monitor and compare planned objectives, risks, schedules, and budgets against actual project performance, reinforcing the importance of keeping projects aligned with their goals and requirements. Furthermore, the review of metrics and reports to identify variances from the project baseline received strong agreement (68% of respondents). This demonstrates that frequent monitoring is seen as essential for the identification of deviations and their correction before they become significant issues.</w:t>
      </w:r>
    </w:p>
    <w:p w14:paraId="07883DA0"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grand mean score of 3.55, coupled with low standard deviations across the items, further reinforces the significance of controlling in ensuring project success. These findings indicate that the systems approach, when applied effectively in community development projects, fosters an environment of continuous monitoring and adjustment, ensuring that projects are more likely to achieve their intended outcomes despite the complex challenges they face.</w:t>
      </w:r>
    </w:p>
    <w:p w14:paraId="10B0E118"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6: Impact of Controlling on Systems Approach in Project Management for Community Development Projects in Nigeria</w:t>
      </w:r>
    </w:p>
    <w:p w14:paraId="6CB81182"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a"/>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3C8020CE" w14:textId="77777777">
        <w:tc>
          <w:tcPr>
            <w:tcW w:w="600" w:type="dxa"/>
            <w:tcMar>
              <w:top w:w="100" w:type="dxa"/>
              <w:left w:w="100" w:type="dxa"/>
              <w:bottom w:w="100" w:type="dxa"/>
              <w:right w:w="100" w:type="dxa"/>
            </w:tcMar>
          </w:tcPr>
          <w:p w14:paraId="6C84A67A"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37F39912"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1744200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2B8D9A3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7262ED0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582B06D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05B2716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29B5233C" w14:textId="77777777" w:rsidR="0082621B" w:rsidRDefault="00CA47C8">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25156BB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41D25127"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4E85F441" w14:textId="77777777">
        <w:tc>
          <w:tcPr>
            <w:tcW w:w="600" w:type="dxa"/>
            <w:tcMar>
              <w:top w:w="100" w:type="dxa"/>
              <w:left w:w="100" w:type="dxa"/>
              <w:bottom w:w="100" w:type="dxa"/>
              <w:right w:w="100" w:type="dxa"/>
            </w:tcMar>
          </w:tcPr>
          <w:p w14:paraId="1A775E4C"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70694CD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project control helps our organization to deliver timely project information, allowing managers to take corrective measures to keep the project on track.</w:t>
            </w:r>
          </w:p>
        </w:tc>
        <w:tc>
          <w:tcPr>
            <w:tcW w:w="555" w:type="dxa"/>
            <w:tcMar>
              <w:top w:w="100" w:type="dxa"/>
              <w:left w:w="100" w:type="dxa"/>
              <w:bottom w:w="100" w:type="dxa"/>
              <w:right w:w="100" w:type="dxa"/>
            </w:tcMar>
          </w:tcPr>
          <w:p w14:paraId="12B4EB8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158</w:t>
            </w:r>
          </w:p>
        </w:tc>
        <w:tc>
          <w:tcPr>
            <w:tcW w:w="540" w:type="dxa"/>
            <w:tcMar>
              <w:top w:w="100" w:type="dxa"/>
              <w:left w:w="100" w:type="dxa"/>
              <w:bottom w:w="100" w:type="dxa"/>
              <w:right w:w="100" w:type="dxa"/>
            </w:tcMar>
          </w:tcPr>
          <w:p w14:paraId="41BB9E3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81</w:t>
            </w:r>
          </w:p>
        </w:tc>
        <w:tc>
          <w:tcPr>
            <w:tcW w:w="540" w:type="dxa"/>
            <w:tcMar>
              <w:top w:w="100" w:type="dxa"/>
              <w:left w:w="100" w:type="dxa"/>
              <w:bottom w:w="100" w:type="dxa"/>
              <w:right w:w="100" w:type="dxa"/>
            </w:tcMar>
          </w:tcPr>
          <w:p w14:paraId="55B0679C"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6B83B32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735" w:type="dxa"/>
            <w:tcMar>
              <w:top w:w="100" w:type="dxa"/>
              <w:left w:w="100" w:type="dxa"/>
              <w:bottom w:w="100" w:type="dxa"/>
              <w:right w:w="100" w:type="dxa"/>
            </w:tcMar>
          </w:tcPr>
          <w:p w14:paraId="367C8CB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632F7FD4"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3.57</w:t>
            </w:r>
          </w:p>
        </w:tc>
        <w:tc>
          <w:tcPr>
            <w:tcW w:w="420" w:type="dxa"/>
            <w:tcMar>
              <w:top w:w="100" w:type="dxa"/>
              <w:left w:w="100" w:type="dxa"/>
              <w:bottom w:w="100" w:type="dxa"/>
              <w:right w:w="100" w:type="dxa"/>
            </w:tcMar>
          </w:tcPr>
          <w:p w14:paraId="3047D41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1.o66</w:t>
            </w:r>
          </w:p>
        </w:tc>
        <w:tc>
          <w:tcPr>
            <w:tcW w:w="840" w:type="dxa"/>
            <w:tcMar>
              <w:top w:w="100" w:type="dxa"/>
              <w:left w:w="100" w:type="dxa"/>
              <w:bottom w:w="100" w:type="dxa"/>
              <w:right w:w="100" w:type="dxa"/>
            </w:tcMar>
          </w:tcPr>
          <w:p w14:paraId="4E9F40C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59FB4DA2" w14:textId="77777777">
        <w:tc>
          <w:tcPr>
            <w:tcW w:w="600" w:type="dxa"/>
            <w:tcMar>
              <w:top w:w="100" w:type="dxa"/>
              <w:left w:w="100" w:type="dxa"/>
              <w:bottom w:w="100" w:type="dxa"/>
              <w:right w:w="100" w:type="dxa"/>
            </w:tcMar>
          </w:tcPr>
          <w:p w14:paraId="03F83E27"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2</w:t>
            </w:r>
          </w:p>
        </w:tc>
        <w:tc>
          <w:tcPr>
            <w:tcW w:w="3780" w:type="dxa"/>
            <w:tcMar>
              <w:top w:w="100" w:type="dxa"/>
              <w:left w:w="100" w:type="dxa"/>
              <w:bottom w:w="100" w:type="dxa"/>
              <w:right w:w="100" w:type="dxa"/>
            </w:tcMar>
          </w:tcPr>
          <w:p w14:paraId="65751E2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systemic project control helps us to monitor and compare planned objectives, requirements, risks, schedules, and budgets against what is actually being delivered.</w:t>
            </w:r>
          </w:p>
        </w:tc>
        <w:tc>
          <w:tcPr>
            <w:tcW w:w="555" w:type="dxa"/>
            <w:tcMar>
              <w:top w:w="100" w:type="dxa"/>
              <w:left w:w="100" w:type="dxa"/>
              <w:bottom w:w="100" w:type="dxa"/>
              <w:right w:w="100" w:type="dxa"/>
            </w:tcMar>
          </w:tcPr>
          <w:p w14:paraId="5912C30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3FD04C2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3506CDB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610D980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618E1C2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3DA2B28"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w:t>
            </w:r>
          </w:p>
        </w:tc>
        <w:tc>
          <w:tcPr>
            <w:tcW w:w="420" w:type="dxa"/>
            <w:tcMar>
              <w:top w:w="100" w:type="dxa"/>
              <w:left w:w="100" w:type="dxa"/>
              <w:bottom w:w="100" w:type="dxa"/>
              <w:right w:w="100" w:type="dxa"/>
            </w:tcMar>
          </w:tcPr>
          <w:p w14:paraId="03B6591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0584FD6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E6FC9CE" w14:textId="77777777">
        <w:tc>
          <w:tcPr>
            <w:tcW w:w="600" w:type="dxa"/>
            <w:tcBorders>
              <w:bottom w:val="nil"/>
            </w:tcBorders>
            <w:tcMar>
              <w:top w:w="100" w:type="dxa"/>
              <w:left w:w="100" w:type="dxa"/>
              <w:bottom w:w="100" w:type="dxa"/>
              <w:right w:w="100" w:type="dxa"/>
            </w:tcMar>
          </w:tcPr>
          <w:p w14:paraId="18DE368A"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1FDF1B2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we have a system that involves the regular review of metrics and reports that help us identify variances from the project baseline.</w:t>
            </w:r>
          </w:p>
        </w:tc>
        <w:tc>
          <w:tcPr>
            <w:tcW w:w="555" w:type="dxa"/>
            <w:tcMar>
              <w:top w:w="100" w:type="dxa"/>
              <w:left w:w="100" w:type="dxa"/>
              <w:bottom w:w="100" w:type="dxa"/>
              <w:right w:w="100" w:type="dxa"/>
            </w:tcMar>
          </w:tcPr>
          <w:p w14:paraId="4D22A5C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540" w:type="dxa"/>
            <w:tcMar>
              <w:top w:w="100" w:type="dxa"/>
              <w:left w:w="100" w:type="dxa"/>
              <w:bottom w:w="100" w:type="dxa"/>
              <w:right w:w="100" w:type="dxa"/>
            </w:tcMar>
          </w:tcPr>
          <w:p w14:paraId="453DA2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77</w:t>
            </w:r>
          </w:p>
        </w:tc>
        <w:tc>
          <w:tcPr>
            <w:tcW w:w="540" w:type="dxa"/>
            <w:tcMar>
              <w:top w:w="100" w:type="dxa"/>
              <w:left w:w="100" w:type="dxa"/>
              <w:bottom w:w="100" w:type="dxa"/>
              <w:right w:w="100" w:type="dxa"/>
            </w:tcMar>
          </w:tcPr>
          <w:p w14:paraId="688164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46F058D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0D8D560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228F753"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3.67</w:t>
            </w:r>
          </w:p>
        </w:tc>
        <w:tc>
          <w:tcPr>
            <w:tcW w:w="420" w:type="dxa"/>
            <w:tcMar>
              <w:top w:w="100" w:type="dxa"/>
              <w:left w:w="100" w:type="dxa"/>
              <w:bottom w:w="100" w:type="dxa"/>
              <w:right w:w="100" w:type="dxa"/>
            </w:tcMar>
          </w:tcPr>
          <w:p w14:paraId="78A4DCE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1.054</w:t>
            </w:r>
          </w:p>
        </w:tc>
        <w:tc>
          <w:tcPr>
            <w:tcW w:w="840" w:type="dxa"/>
            <w:tcMar>
              <w:top w:w="100" w:type="dxa"/>
              <w:left w:w="100" w:type="dxa"/>
              <w:bottom w:w="100" w:type="dxa"/>
              <w:right w:w="100" w:type="dxa"/>
            </w:tcMar>
          </w:tcPr>
          <w:p w14:paraId="67BB7B2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6BAC5C77" w14:textId="77777777">
        <w:tc>
          <w:tcPr>
            <w:tcW w:w="600" w:type="dxa"/>
            <w:tcBorders>
              <w:top w:val="nil"/>
            </w:tcBorders>
            <w:tcMar>
              <w:top w:w="100" w:type="dxa"/>
              <w:left w:w="100" w:type="dxa"/>
              <w:bottom w:w="100" w:type="dxa"/>
              <w:right w:w="100" w:type="dxa"/>
            </w:tcMar>
          </w:tcPr>
          <w:p w14:paraId="419DA061" w14:textId="77777777" w:rsidR="0082621B" w:rsidRDefault="0082621B">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571E7A16"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473E7775"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27998B3"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DE3D2A9"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381569BF"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2886A1C0"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4FF802AA" w14:textId="77777777" w:rsidR="0082621B" w:rsidRDefault="008B15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3.55</w:t>
            </w:r>
          </w:p>
        </w:tc>
        <w:tc>
          <w:tcPr>
            <w:tcW w:w="420" w:type="dxa"/>
            <w:tcBorders>
              <w:right w:val="nil"/>
            </w:tcBorders>
            <w:tcMar>
              <w:top w:w="100" w:type="dxa"/>
              <w:left w:w="100" w:type="dxa"/>
              <w:bottom w:w="100" w:type="dxa"/>
              <w:right w:w="100" w:type="dxa"/>
            </w:tcMar>
          </w:tcPr>
          <w:p w14:paraId="788B0B45"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840" w:type="dxa"/>
            <w:tcBorders>
              <w:left w:val="nil"/>
            </w:tcBorders>
            <w:tcMar>
              <w:top w:w="100" w:type="dxa"/>
              <w:left w:w="100" w:type="dxa"/>
              <w:bottom w:w="100" w:type="dxa"/>
              <w:right w:w="100" w:type="dxa"/>
            </w:tcMar>
          </w:tcPr>
          <w:p w14:paraId="093C5C44"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4E64312C" w14:textId="77777777" w:rsidR="0082621B" w:rsidRDefault="0082621B">
      <w:pPr>
        <w:spacing w:line="360" w:lineRule="auto"/>
        <w:jc w:val="both"/>
        <w:rPr>
          <w:rFonts w:ascii="Times New Roman" w:eastAsia="Times New Roman" w:hAnsi="Times New Roman" w:cs="Times New Roman"/>
          <w:sz w:val="24"/>
          <w:szCs w:val="24"/>
          <w:highlight w:val="white"/>
        </w:rPr>
      </w:pPr>
    </w:p>
    <w:p w14:paraId="74BF4D35" w14:textId="77777777" w:rsidR="0082621B" w:rsidRDefault="0082621B">
      <w:pPr>
        <w:spacing w:line="480" w:lineRule="auto"/>
        <w:ind w:right="27"/>
        <w:jc w:val="both"/>
        <w:rPr>
          <w:rFonts w:ascii="Times New Roman" w:eastAsia="Times New Roman" w:hAnsi="Times New Roman" w:cs="Times New Roman"/>
          <w:sz w:val="24"/>
          <w:szCs w:val="24"/>
          <w:highlight w:val="white"/>
        </w:rPr>
      </w:pPr>
    </w:p>
    <w:p w14:paraId="6A01DD7E" w14:textId="77777777" w:rsidR="0082621B" w:rsidRDefault="008B15C0">
      <w:pPr>
        <w:spacing w:line="240" w:lineRule="auto"/>
        <w:ind w:right="27"/>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14:paraId="649B12B2" w14:textId="77777777" w:rsidR="0082621B" w:rsidRDefault="0082621B">
      <w:pPr>
        <w:spacing w:line="240" w:lineRule="auto"/>
        <w:ind w:right="27"/>
        <w:jc w:val="both"/>
        <w:rPr>
          <w:rFonts w:ascii="Times New Roman" w:eastAsia="Times New Roman" w:hAnsi="Times New Roman" w:cs="Times New Roman"/>
          <w:b/>
          <w:bCs/>
          <w:highlight w:val="white"/>
        </w:rPr>
      </w:pPr>
    </w:p>
    <w:p w14:paraId="2C293465"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Main Findings</w:t>
      </w:r>
    </w:p>
    <w:p w14:paraId="43CBD89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investigated the influence of planning, scheduling, and controlling in the systems approach to project management in community development projects, with a particular focus on Nigeria. The findings underscore the importance of these three pillars in driving successful project outcomes. The results reveal that planning is seen as an essential first step in the management of community development projects, with the majority of respondents agreeing on the necessity of detailed and strategic planning. This is supported by high mean scores indicating that clear planning practices, including risk identification and resource allocation, are considered crucial for project success. Scheduling practices also emerged as vital to maintaining project timelines, with respondents acknowledging the importance of setting planned start and finish dates and the strategic benefits of time management. Controlling mechanisms were equally vital, as evidenced by the respondents’ consensus on the role of continuous monitoring and corrective action in </w:t>
      </w:r>
      <w:r>
        <w:rPr>
          <w:rFonts w:ascii="Times New Roman" w:eastAsia="Times New Roman" w:hAnsi="Times New Roman" w:cs="Times New Roman"/>
          <w:sz w:val="24"/>
          <w:szCs w:val="24"/>
          <w:highlight w:val="white"/>
        </w:rPr>
        <w:lastRenderedPageBreak/>
        <w:t>keeping projects on track. Overall, the study’s findings suggest that a systems approach, which integrates planning, scheduling, and controlling, is essential for achieving the desired outcomes in community development projects, despite challenges like resource limitations and political constraints.</w:t>
      </w:r>
    </w:p>
    <w:p w14:paraId="7E40E0C8"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Comparison with Existing Literature</w:t>
      </w:r>
    </w:p>
    <w:p w14:paraId="19FC673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importance of planning, scheduling, and controlling in project management, particularly in community development, is well documented in the literature. Recent studies emphasize the role of systematic planning in increasing project success rates by minimizing risks and maximizing resource utilization. For example, research by Elly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Saxena (</w:t>
      </w:r>
      <w:proofErr w:type="gramStart"/>
      <w:r>
        <w:rPr>
          <w:rFonts w:ascii="Times New Roman" w:eastAsia="Times New Roman" w:hAnsi="Times New Roman" w:cs="Times New Roman"/>
          <w:sz w:val="24"/>
          <w:szCs w:val="24"/>
          <w:highlight w:val="white"/>
        </w:rPr>
        <w:t>2023)argues</w:t>
      </w:r>
      <w:proofErr w:type="gramEnd"/>
      <w:r>
        <w:rPr>
          <w:rFonts w:ascii="Times New Roman" w:eastAsia="Times New Roman" w:hAnsi="Times New Roman" w:cs="Times New Roman"/>
          <w:sz w:val="24"/>
          <w:szCs w:val="24"/>
          <w:highlight w:val="white"/>
        </w:rPr>
        <w:t xml:space="preserve"> that meticulous project planning fosters better stakeholder coordination and enhances project predictability in developing countries. This aligns with the findings of this study, where respondents consistently highlighted the significance of planning before project initiation. The high mean scores for statements related to risk identification and resource allocation underscore the global consensus that early, well-structured planning is integral to the success of community development projects (Amin et al., 2023).</w:t>
      </w:r>
    </w:p>
    <w:p w14:paraId="0311A8D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Scheduling, as an essential component of time management, has also been widely recognized in project management literature. Yadav (2025) emphasizes that effective scheduling helps ensure that tasks are completed on time and within the allocated budget. Similarly, the findings in this study reflect that respondents believe scheduling is critical for timely project delivery. A key similarity to the study by Soni &amp; Ware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Saxena (</w:t>
      </w:r>
      <w:proofErr w:type="gramStart"/>
      <w:r>
        <w:rPr>
          <w:rFonts w:ascii="Times New Roman" w:eastAsia="Times New Roman" w:hAnsi="Times New Roman" w:cs="Times New Roman"/>
          <w:sz w:val="24"/>
          <w:szCs w:val="24"/>
          <w:highlight w:val="white"/>
        </w:rPr>
        <w:t>2024)is</w:t>
      </w:r>
      <w:proofErr w:type="gramEnd"/>
      <w:r>
        <w:rPr>
          <w:rFonts w:ascii="Times New Roman" w:eastAsia="Times New Roman" w:hAnsi="Times New Roman" w:cs="Times New Roman"/>
          <w:sz w:val="24"/>
          <w:szCs w:val="24"/>
          <w:highlight w:val="white"/>
        </w:rPr>
        <w:t xml:space="preserve"> the acknowledgment of formal scheduling systems and the use of timetables to track project milestones. The respondents in this study demonstrated a strong preference for formal policies and procedures to manage project timelines, highlighting the growing institutionalization of scheduling as a vital project management tool.</w:t>
      </w:r>
    </w:p>
    <w:p w14:paraId="5787087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controlling mechanisms are increasingly seen as crucial in adjusting to project challenges and ensuring that projects remain aligned with their objectives. The study by Alotaibi et al. (2025) argues that controlling is central to managing uncertainties in community development projects, as it provides real-time feedback on project performance. The respondents’ overwhelming support for the need to continuously monitor and adjust project activities aligns </w:t>
      </w:r>
      <w:r>
        <w:rPr>
          <w:rFonts w:ascii="Times New Roman" w:eastAsia="Times New Roman" w:hAnsi="Times New Roman" w:cs="Times New Roman"/>
          <w:sz w:val="24"/>
          <w:szCs w:val="24"/>
          <w:highlight w:val="white"/>
        </w:rPr>
        <w:lastRenderedPageBreak/>
        <w:t>with Alotaibi et al. (2025) assertion that controlling facilitates proactive responses to deviations from the plan, thus ensuring that projects stay on track. The emphasis on regular reviews and corrective measures observed in this study supports this view, reinforcing the argument that controlling is a necessary component of any successful project, especially in environments fraught with complexity.</w:t>
      </w:r>
    </w:p>
    <w:p w14:paraId="725D68B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contrast, while the literature emphasizes the theoretical frameworks surrounding project management practices, the focus of this study on Nigerian community-based organizations offers a unique empirical contribution. The local context of Nigeria—characterized by resource constraints, political interference, and fragmented stakeholder engagement—has not been sufficiently explored in previous research. This study bridges that gap by examining how these contextual factors shape the practical application of project management principles in community development projects. The findings suggest that, while systems thinking provides a comprehensive framework for project management, practical implementation is hindered by several barriers, including limited institutional capacity and inadequate training among local project managers (</w:t>
      </w:r>
      <w:proofErr w:type="spellStart"/>
      <w:r>
        <w:rPr>
          <w:rFonts w:ascii="Times New Roman" w:eastAsia="Times New Roman" w:hAnsi="Times New Roman" w:cs="Times New Roman"/>
          <w:sz w:val="24"/>
          <w:szCs w:val="24"/>
          <w:highlight w:val="white"/>
        </w:rPr>
        <w:t>Adepoju</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Obademi</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Toriola</w:t>
      </w:r>
      <w:proofErr w:type="spellEnd"/>
      <w:r>
        <w:rPr>
          <w:rFonts w:ascii="Times New Roman" w:eastAsia="Times New Roman" w:hAnsi="Times New Roman" w:cs="Times New Roman"/>
          <w:sz w:val="24"/>
          <w:szCs w:val="24"/>
          <w:highlight w:val="white"/>
        </w:rPr>
        <w:t xml:space="preserve">-Coker et al., 2023). These barriers are consistent with the observations made by </w:t>
      </w:r>
      <w:proofErr w:type="spellStart"/>
      <w:r>
        <w:rPr>
          <w:rFonts w:ascii="Times New Roman" w:eastAsia="Times New Roman" w:hAnsi="Times New Roman" w:cs="Times New Roman"/>
          <w:sz w:val="24"/>
          <w:szCs w:val="24"/>
          <w:highlight w:val="white"/>
        </w:rPr>
        <w:t>Apeh</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Otu</w:t>
      </w:r>
      <w:proofErr w:type="spellEnd"/>
      <w:r>
        <w:rPr>
          <w:rFonts w:ascii="Times New Roman" w:eastAsia="Times New Roman" w:hAnsi="Times New Roman" w:cs="Times New Roman"/>
          <w:sz w:val="24"/>
          <w:szCs w:val="24"/>
          <w:highlight w:val="white"/>
        </w:rPr>
        <w:t xml:space="preserve"> (2025), who noted that community-based organizations in Nigeria struggle with project management inefficiencies due to lack of formal training and resources.</w:t>
      </w:r>
    </w:p>
    <w:p w14:paraId="04874C5D" w14:textId="77777777" w:rsidR="0082621B" w:rsidRDefault="008B15C0">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Recommendations</w:t>
      </w:r>
    </w:p>
    <w:p w14:paraId="5589467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findings of this study, it is imperative that project managers adopt a comprehensive and systematic approach to project management, particularly in the context of community development projects in Nigeria. First and foremost, it is recommended that project managers ensure thorough and detailed planning before the commencement of any project. This planning should include clear objectives, resource allocation, risk identification, and timelines, as these are crucial to the successful execution of the project. Effective planning serves as the foundation for managing uncertainties and aligning stakeholders with the project's goals, thus reducing the likelihood of delays and cost overruns.</w:t>
      </w:r>
    </w:p>
    <w:p w14:paraId="0E60B29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scheduling practices should be given significant attention. Project managers, in collaboration with key stakeholders, must develop realistic schedules that factor in both resource </w:t>
      </w:r>
      <w:r>
        <w:rPr>
          <w:rFonts w:ascii="Times New Roman" w:eastAsia="Times New Roman" w:hAnsi="Times New Roman" w:cs="Times New Roman"/>
          <w:sz w:val="24"/>
          <w:szCs w:val="24"/>
          <w:highlight w:val="white"/>
        </w:rPr>
        <w:lastRenderedPageBreak/>
        <w:t>availability and time constraints. Scheduling should not only focus on the project’s timeline but also on ensuring that tasks are assigned based on the availability and capacity of resources. This will help maintain momentum and prevent unnecessary delays, ensuring that quality is maintained throughout the project lifecycle. It is also essential for project managers to regularly update and adjust schedules as needed to accommodate unforeseen challenges, which is particularly important in dynamic community development projects.</w:t>
      </w:r>
    </w:p>
    <w:p w14:paraId="2EB064F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controlling mechanisms should be robust and adaptable. Project managers must continuously monitor resource utilization, comparing actual performance against planned objectives, timelines, and budgets. This real-time monitoring allows for corrective actions to be taken promptly, thereby keeping the project aligned with its goals and maintaining quality standards. Furthermore, feedback loops should be institutionalized to allow for iterative improvements during the project execution phase.</w:t>
      </w:r>
    </w:p>
    <w:p w14:paraId="401EE360" w14:textId="77777777" w:rsidR="0082621B" w:rsidRDefault="008B15C0">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Finally, it is essential to invest in capacity building for project managers, particularly in adopting modern project management tools and techniques such as AI-based scheduling and risk management. These tools can significantly enhance the efficiency and effectiveness of project implementation, especially in complex community development projects. Training in these areas will help project managers navigate the unique challenges faced by CBOs and NGOs in Nigeria, ultimately contributing to the successful realization of community development objectives.</w:t>
      </w:r>
    </w:p>
    <w:p w14:paraId="7C05ACD1"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Strengths and Limitations</w:t>
      </w:r>
    </w:p>
    <w:p w14:paraId="00C3D10E"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study's strength lies in its comprehensive examination of the systems approach to project management within the unique context of community development in Nigeria. The use of a large sample size (250 respondents) from diverse organizations ensures that the findings are representative of the broader landscape of community-based organizations in Port Harcourt. The high response rate (92.6%) further enhances the reliability and validity of the study, providing a strong foundation for generalizing the findings to similar contexts within Nigeria.</w:t>
      </w:r>
    </w:p>
    <w:p w14:paraId="7337B4C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the use of a well-structured and reliable survey instrument, with a Cronbach’s alpha coefficient of 0.85, ensures that the data collected is consistent and trustworthy. The study's focus on empirical data, rather than relying solely on theoretical models, adds value to the existing body </w:t>
      </w:r>
      <w:r>
        <w:rPr>
          <w:rFonts w:ascii="Times New Roman" w:eastAsia="Times New Roman" w:hAnsi="Times New Roman" w:cs="Times New Roman"/>
          <w:sz w:val="24"/>
          <w:szCs w:val="24"/>
          <w:highlight w:val="white"/>
        </w:rPr>
        <w:lastRenderedPageBreak/>
        <w:t>of literature by providing real-world insights into the practical application of project management principles in community development.</w:t>
      </w:r>
    </w:p>
    <w:p w14:paraId="3B1EA34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study also has limitations that should be acknowledged. First, the research was confined to Port Harcourt, a single city in Nigeria. While Port Harcourt is representative of the socio-economic conditions and challenges faced by community development organizations in the country, the findings may not fully capture the diversity of practices in other regions of Nigeria. Future studies could expand the sample to include organizations in different states to provide a more comprehensive understanding of project management practices across the country.</w:t>
      </w:r>
    </w:p>
    <w:p w14:paraId="216A217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 the study relied on self-reported data, which can introduce biases, such as social desirability or recall bias. Although efforts were made to minimize these biases through careful questionnaire design and informed consent procedures, the possibility of over-reporting positive behaviors or under-reporting challenges remains. Additionally, the study did not incorporate a longitudinal perspective, meaning that it does not assess the long-term impact of project management practices on the sustainability and success of community development projects. Future research could explore these long-term effects and examine how the systems approach evolves over time within different organizational contexts.</w:t>
      </w:r>
    </w:p>
    <w:p w14:paraId="7F92FA84" w14:textId="77777777" w:rsidR="0082621B" w:rsidRDefault="0082621B">
      <w:pPr>
        <w:spacing w:before="240" w:after="240" w:line="240" w:lineRule="auto"/>
        <w:jc w:val="both"/>
        <w:rPr>
          <w:rFonts w:ascii="Times New Roman" w:eastAsia="Times New Roman" w:hAnsi="Times New Roman" w:cs="Times New Roman"/>
          <w:b/>
          <w:bCs/>
          <w:sz w:val="24"/>
          <w:szCs w:val="24"/>
          <w:highlight w:val="white"/>
        </w:rPr>
      </w:pPr>
    </w:p>
    <w:p w14:paraId="44A198CF" w14:textId="77777777" w:rsidR="0082621B" w:rsidRDefault="008B15C0">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0670049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revealed that planning, scheduling, and controlling play a vital role in the successful management of community development projects in Nigeria. The analysis showed that thorough planning, including risk identification and resource allocation, is perceived as crucial for ensuring the smooth execution of projects. It was found that detailed planning at the project’s initiation leads to a more structured approach, reducing the likelihood of delays and cost overruns. The data indicated that effective scheduling, which includes setting realistic start and finish dates, is integral in maintaining project timelines without compromising on quality. Moreover, it was proven that controlling mechanisms—such as continuous monitoring and corrective actions—are essential for adjusting the course of the project in real-time, ensuring that it remains aligned with its objectives.</w:t>
      </w:r>
    </w:p>
    <w:p w14:paraId="126D8C1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findings also pointed to the importance of integrating a systems approach to project management, where planning, scheduling, and controlling are not isolated processes but interconnected elements that work together to achieve project success. This underscores the need for community-based organizations (CBOs) and non-governmental organizations (NGOs) to adopt a more systematic approach to project management. Based on these results, it is recommended that both policymakers and practitioners focus on building capacity through training in project management best practices, including the use of advanced tools such as AI-enhanced scheduling. Finally, future research should examine the long-term impact of these practices across different regions of Nigeria to better understand their role in driving sustainable development outcomes.</w:t>
      </w:r>
    </w:p>
    <w:p w14:paraId="0FA544A0" w14:textId="77777777" w:rsidR="0082621B" w:rsidRDefault="0082621B">
      <w:pPr>
        <w:spacing w:before="240" w:after="240" w:line="240" w:lineRule="auto"/>
        <w:jc w:val="both"/>
        <w:rPr>
          <w:rFonts w:ascii="Times New Roman" w:eastAsia="Times New Roman" w:hAnsi="Times New Roman" w:cs="Times New Roman"/>
          <w:sz w:val="24"/>
          <w:szCs w:val="24"/>
          <w:highlight w:val="white"/>
        </w:rPr>
      </w:pPr>
    </w:p>
    <w:p w14:paraId="52466CEA" w14:textId="77777777" w:rsidR="0082621B" w:rsidRDefault="008B15C0">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72CD2F16" w14:textId="77777777" w:rsidR="0082621B" w:rsidRDefault="0082621B">
      <w:pPr>
        <w:spacing w:line="240" w:lineRule="auto"/>
        <w:ind w:right="27"/>
        <w:jc w:val="both"/>
        <w:rPr>
          <w:rFonts w:ascii="Times New Roman" w:eastAsia="Times New Roman" w:hAnsi="Times New Roman" w:cs="Times New Roman"/>
          <w:sz w:val="24"/>
          <w:szCs w:val="24"/>
          <w:highlight w:val="white"/>
        </w:rPr>
      </w:pPr>
    </w:p>
    <w:p w14:paraId="44945647"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Adepoju, A., &amp; </w:t>
      </w:r>
      <w:proofErr w:type="spellStart"/>
      <w:r w:rsidRPr="00B57145">
        <w:rPr>
          <w:rFonts w:ascii="Times New Roman" w:eastAsia="Times New Roman" w:hAnsi="Times New Roman" w:cs="Times New Roman"/>
          <w:sz w:val="24"/>
          <w:szCs w:val="24"/>
          <w:highlight w:val="white"/>
        </w:rPr>
        <w:t>Obademi</w:t>
      </w:r>
      <w:proofErr w:type="spellEnd"/>
      <w:r w:rsidRPr="00B57145">
        <w:rPr>
          <w:rFonts w:ascii="Times New Roman" w:eastAsia="Times New Roman" w:hAnsi="Times New Roman" w:cs="Times New Roman"/>
          <w:sz w:val="24"/>
          <w:szCs w:val="24"/>
          <w:highlight w:val="white"/>
        </w:rPr>
        <w:t xml:space="preserve">, T. (2023). Assessment of Stakeholder Involvement and Borehole Water Projects Delivery in Kogi West Senatorial District, Nigeria. Journal of Digital Food, Energy &amp; Water Systems, 4(1). </w:t>
      </w:r>
      <w:hyperlink r:id="rId12">
        <w:r w:rsidR="0082621B" w:rsidRPr="00B57145">
          <w:rPr>
            <w:rFonts w:ascii="Times New Roman" w:eastAsia="Times New Roman" w:hAnsi="Times New Roman" w:cs="Times New Roman"/>
            <w:sz w:val="24"/>
            <w:szCs w:val="24"/>
            <w:highlight w:val="white"/>
            <w:u w:val="single"/>
          </w:rPr>
          <w:t>https://doi.org/10.36615/digital_food_energy_water_systems.v4i1.2480</w:t>
        </w:r>
      </w:hyperlink>
    </w:p>
    <w:p w14:paraId="09BEC23B"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Alotaibi, R., Sohail, M., </w:t>
      </w:r>
      <w:proofErr w:type="spellStart"/>
      <w:r w:rsidRPr="00B57145">
        <w:rPr>
          <w:rFonts w:ascii="Times New Roman" w:eastAsia="Times New Roman" w:hAnsi="Times New Roman" w:cs="Times New Roman"/>
          <w:sz w:val="24"/>
          <w:szCs w:val="24"/>
          <w:highlight w:val="white"/>
        </w:rPr>
        <w:t>Edum-Fotwe</w:t>
      </w:r>
      <w:proofErr w:type="spellEnd"/>
      <w:r w:rsidRPr="00B57145">
        <w:rPr>
          <w:rFonts w:ascii="Times New Roman" w:eastAsia="Times New Roman" w:hAnsi="Times New Roman" w:cs="Times New Roman"/>
          <w:sz w:val="24"/>
          <w:szCs w:val="24"/>
          <w:highlight w:val="white"/>
        </w:rPr>
        <w:t xml:space="preserve">, F. T., &amp; </w:t>
      </w:r>
      <w:proofErr w:type="spellStart"/>
      <w:r w:rsidRPr="00B57145">
        <w:rPr>
          <w:rFonts w:ascii="Times New Roman" w:eastAsia="Times New Roman" w:hAnsi="Times New Roman" w:cs="Times New Roman"/>
          <w:sz w:val="24"/>
          <w:szCs w:val="24"/>
          <w:highlight w:val="white"/>
        </w:rPr>
        <w:t>Soetanto</w:t>
      </w:r>
      <w:proofErr w:type="spellEnd"/>
      <w:r w:rsidRPr="00B57145">
        <w:rPr>
          <w:rFonts w:ascii="Times New Roman" w:eastAsia="Times New Roman" w:hAnsi="Times New Roman" w:cs="Times New Roman"/>
          <w:sz w:val="24"/>
          <w:szCs w:val="24"/>
          <w:highlight w:val="white"/>
        </w:rPr>
        <w:t xml:space="preserve">, R. (2025). Determining project control system effectiveness in construction project delivery. Engineering, Construction and Architectural Management. </w:t>
      </w:r>
      <w:hyperlink r:id="rId13">
        <w:r w:rsidR="0082621B" w:rsidRPr="00B57145">
          <w:rPr>
            <w:rFonts w:ascii="Times New Roman" w:eastAsia="Times New Roman" w:hAnsi="Times New Roman" w:cs="Times New Roman"/>
            <w:sz w:val="24"/>
            <w:szCs w:val="24"/>
            <w:highlight w:val="white"/>
            <w:u w:val="single"/>
          </w:rPr>
          <w:t>https://www.emerald.com/ecam/article-abstract/doi/10.1108/ECAM-04-2024-0529/1259389/Determining-project-control-system-effectiveness?redirectedFrom=fulltext</w:t>
        </w:r>
      </w:hyperlink>
    </w:p>
    <w:p w14:paraId="1CE547EE" w14:textId="76A387C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Amin, H., Scheepers, H., &amp; Malik, M. (2023). Project monitoring and evaluation to engage stakeholders of international development projects for community impact. International Journal of Managing Projects in Business </w:t>
      </w:r>
      <w:hyperlink r:id="rId14" w:history="1">
        <w:r w:rsidRPr="00B57145">
          <w:rPr>
            <w:rStyle w:val="Hyperlink"/>
            <w:rFonts w:ascii="Times New Roman" w:eastAsia="Times New Roman" w:hAnsi="Times New Roman" w:cs="Times New Roman"/>
            <w:sz w:val="24"/>
            <w:szCs w:val="24"/>
          </w:rPr>
          <w:t>https://doi.org/10.1108/IJMPB-02-2022-0043</w:t>
        </w:r>
      </w:hyperlink>
    </w:p>
    <w:p w14:paraId="6131D589" w14:textId="76BAD96D"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proofErr w:type="spellStart"/>
      <w:r w:rsidRPr="00B57145">
        <w:rPr>
          <w:rFonts w:ascii="Times New Roman" w:eastAsia="Times New Roman" w:hAnsi="Times New Roman" w:cs="Times New Roman"/>
          <w:sz w:val="24"/>
          <w:szCs w:val="24"/>
        </w:rPr>
        <w:t>Apeh</w:t>
      </w:r>
      <w:proofErr w:type="spellEnd"/>
      <w:r w:rsidRPr="00B57145">
        <w:rPr>
          <w:rFonts w:ascii="Times New Roman" w:eastAsia="Times New Roman" w:hAnsi="Times New Roman" w:cs="Times New Roman"/>
          <w:sz w:val="24"/>
          <w:szCs w:val="24"/>
        </w:rPr>
        <w:t xml:space="preserve">, P. E., &amp; Otu, J. A. (2025). Project execution and rural development in selected area councils in Nigeria. Journal of Public Administration, Finance and Law, 13(33), 55-77. </w:t>
      </w:r>
      <w:hyperlink r:id="rId15" w:history="1">
        <w:r w:rsidRPr="00B57145">
          <w:rPr>
            <w:rStyle w:val="Hyperlink"/>
            <w:rFonts w:ascii="Times New Roman" w:eastAsia="Times New Roman" w:hAnsi="Times New Roman" w:cs="Times New Roman"/>
            <w:sz w:val="24"/>
            <w:szCs w:val="24"/>
          </w:rPr>
          <w:t>https://doi.org/10.47743/jopafl-2024-33-4</w:t>
        </w:r>
      </w:hyperlink>
    </w:p>
    <w:p w14:paraId="0B902CA2" w14:textId="65AB060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lastRenderedPageBreak/>
        <w:t xml:space="preserve">Blak Bernat, G., </w:t>
      </w:r>
      <w:proofErr w:type="spellStart"/>
      <w:r w:rsidRPr="00B57145">
        <w:rPr>
          <w:rFonts w:ascii="Times New Roman" w:eastAsia="Times New Roman" w:hAnsi="Times New Roman" w:cs="Times New Roman"/>
          <w:sz w:val="24"/>
          <w:szCs w:val="24"/>
        </w:rPr>
        <w:t>Qualharini</w:t>
      </w:r>
      <w:proofErr w:type="spellEnd"/>
      <w:r w:rsidRPr="00B57145">
        <w:rPr>
          <w:rFonts w:ascii="Times New Roman" w:eastAsia="Times New Roman" w:hAnsi="Times New Roman" w:cs="Times New Roman"/>
          <w:sz w:val="24"/>
          <w:szCs w:val="24"/>
        </w:rPr>
        <w:t xml:space="preserve">, E. L., &amp; Castro, M. S. (2023). Enhancing Sustainability in Project Management: The Role of Stakeholder Engagement and Knowledge Management in Virtual Team Environments. Sustainability, 15(6), 4896. </w:t>
      </w:r>
      <w:hyperlink r:id="rId16" w:history="1">
        <w:r w:rsidRPr="00B57145">
          <w:rPr>
            <w:rStyle w:val="Hyperlink"/>
            <w:rFonts w:ascii="Times New Roman" w:eastAsia="Times New Roman" w:hAnsi="Times New Roman" w:cs="Times New Roman"/>
            <w:sz w:val="24"/>
            <w:szCs w:val="24"/>
          </w:rPr>
          <w:t>https://doi.org/10.3390/su15064896</w:t>
        </w:r>
      </w:hyperlink>
    </w:p>
    <w:p w14:paraId="36A59BD5" w14:textId="44718C33"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Bohra, P., &amp; Verma, R. S. (2024). Optimizing sustainable construction projects through LNSGA III: a time-cost-environmental impact trade-off approach. Asian Journal of Civil Engineering, 25(5), 4343-4354. </w:t>
      </w:r>
      <w:hyperlink r:id="rId17" w:history="1">
        <w:r w:rsidRPr="00B57145">
          <w:rPr>
            <w:rStyle w:val="Hyperlink"/>
            <w:rFonts w:ascii="Times New Roman" w:eastAsia="Times New Roman" w:hAnsi="Times New Roman" w:cs="Times New Roman"/>
            <w:sz w:val="24"/>
            <w:szCs w:val="24"/>
          </w:rPr>
          <w:t>https://doi.org/10.1007/s42107-024-01052-6</w:t>
        </w:r>
      </w:hyperlink>
    </w:p>
    <w:p w14:paraId="5DEA1A9B" w14:textId="1846E520"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Cohen, I. (2024). Data-driven project planning: An integrated network learning, process mining, and constraint relaxation approach in favor of scheduling recurring projects. IEEE Transactions on Engineering Management, 71, 7719-7729. </w:t>
      </w:r>
      <w:hyperlink r:id="rId18" w:history="1">
        <w:r w:rsidRPr="00B57145">
          <w:rPr>
            <w:rStyle w:val="Hyperlink"/>
            <w:rFonts w:ascii="Times New Roman" w:eastAsia="Times New Roman" w:hAnsi="Times New Roman" w:cs="Times New Roman"/>
            <w:sz w:val="24"/>
            <w:szCs w:val="24"/>
          </w:rPr>
          <w:t>https://doi.org/10.1109/TEM.2024.3384000</w:t>
        </w:r>
      </w:hyperlink>
    </w:p>
    <w:p w14:paraId="179CDF72" w14:textId="424F66B5"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Elly, A. R. (2023). Project planning, stakeholder involvement, risk management, and project success - A case of selected NGOs in South Sudan. </w:t>
      </w:r>
      <w:proofErr w:type="spellStart"/>
      <w:r w:rsidRPr="00B57145">
        <w:rPr>
          <w:rFonts w:ascii="Times New Roman" w:eastAsia="Times New Roman" w:hAnsi="Times New Roman" w:cs="Times New Roman"/>
          <w:sz w:val="24"/>
          <w:szCs w:val="24"/>
        </w:rPr>
        <w:t>Texila</w:t>
      </w:r>
      <w:proofErr w:type="spellEnd"/>
      <w:r w:rsidRPr="00B57145">
        <w:rPr>
          <w:rFonts w:ascii="Times New Roman" w:eastAsia="Times New Roman" w:hAnsi="Times New Roman" w:cs="Times New Roman"/>
          <w:sz w:val="24"/>
          <w:szCs w:val="24"/>
        </w:rPr>
        <w:t xml:space="preserve"> International Journal of Management, 9(1), 1-10. </w:t>
      </w:r>
      <w:hyperlink r:id="rId19" w:history="1">
        <w:r w:rsidRPr="00B57145">
          <w:rPr>
            <w:rStyle w:val="Hyperlink"/>
            <w:rFonts w:ascii="Times New Roman" w:eastAsia="Times New Roman" w:hAnsi="Times New Roman" w:cs="Times New Roman"/>
            <w:sz w:val="24"/>
            <w:szCs w:val="24"/>
          </w:rPr>
          <w:t>https://doi.org/10.21522/TIJMG.2015.09.01.Art001</w:t>
        </w:r>
      </w:hyperlink>
    </w:p>
    <w:p w14:paraId="4C7E417C" w14:textId="610F6A76"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u w:val="single"/>
        </w:rPr>
      </w:pPr>
      <w:r w:rsidRPr="00B57145">
        <w:rPr>
          <w:rFonts w:ascii="Times New Roman" w:eastAsia="Times New Roman" w:hAnsi="Times New Roman" w:cs="Times New Roman"/>
          <w:sz w:val="24"/>
          <w:szCs w:val="24"/>
        </w:rPr>
        <w:t xml:space="preserve">Project Management Institute. (2025). The standard for project management and a guide to the project management body of knowledge (PMBOK guide) (8th ed.). </w:t>
      </w:r>
      <w:hyperlink r:id="rId20" w:history="1">
        <w:r w:rsidRPr="00B57145">
          <w:rPr>
            <w:rStyle w:val="Hyperlink"/>
            <w:rFonts w:ascii="Times New Roman" w:eastAsia="Times New Roman" w:hAnsi="Times New Roman" w:cs="Times New Roman"/>
            <w:sz w:val="24"/>
            <w:szCs w:val="24"/>
          </w:rPr>
          <w:t>https://www.pmi.org/-/media/pmi/documents/public/pdf/publications/pmbok-guide-eighth-edition_table-of-contents.pdf</w:t>
        </w:r>
      </w:hyperlink>
    </w:p>
    <w:p w14:paraId="23403D02" w14:textId="7B2D2D8A"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u w:val="single"/>
        </w:rPr>
      </w:pPr>
      <w:r w:rsidRPr="00B57145">
        <w:rPr>
          <w:rFonts w:ascii="Times New Roman" w:eastAsia="Times New Roman" w:hAnsi="Times New Roman" w:cs="Times New Roman"/>
          <w:sz w:val="24"/>
          <w:szCs w:val="24"/>
        </w:rPr>
        <w:t xml:space="preserve">Hamidu, M. Z., Agboola, S. A., Faruq, M. Y., &amp; Falade, A. A. (2024). Determinants of poor planning in public sector construction projects in Nigeria. Interdisciplinary Journal of Management Sciences, 1, 1-16. </w:t>
      </w:r>
      <w:hyperlink r:id="rId21" w:history="1">
        <w:r w:rsidRPr="00B57145">
          <w:rPr>
            <w:rStyle w:val="Hyperlink"/>
            <w:rFonts w:ascii="Times New Roman" w:eastAsia="Times New Roman" w:hAnsi="Times New Roman" w:cs="Times New Roman"/>
            <w:sz w:val="24"/>
            <w:szCs w:val="24"/>
          </w:rPr>
          <w:t>https://doi.org/10.38140/ijms-2024.vol1.10</w:t>
        </w:r>
      </w:hyperlink>
    </w:p>
    <w:p w14:paraId="5BC94721" w14:textId="203BE06D"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Hosseini, A., &amp; Farid, A. M. (2025). Extending Resource Constrained Project Scheduling to Mega-Projects with Model-Based Systems Engineering &amp; Hetero-functional Graph Theory. </w:t>
      </w:r>
      <w:proofErr w:type="spellStart"/>
      <w:r w:rsidRPr="00B57145">
        <w:rPr>
          <w:rFonts w:ascii="Times New Roman" w:eastAsia="Times New Roman" w:hAnsi="Times New Roman" w:cs="Times New Roman"/>
          <w:sz w:val="24"/>
          <w:szCs w:val="24"/>
        </w:rPr>
        <w:t>arXiv</w:t>
      </w:r>
      <w:proofErr w:type="spellEnd"/>
      <w:r w:rsidRPr="00B57145">
        <w:rPr>
          <w:rFonts w:ascii="Times New Roman" w:eastAsia="Times New Roman" w:hAnsi="Times New Roman" w:cs="Times New Roman"/>
          <w:sz w:val="24"/>
          <w:szCs w:val="24"/>
        </w:rPr>
        <w:t xml:space="preserve"> preprint arXiv:2510.19035. </w:t>
      </w:r>
      <w:hyperlink r:id="rId22" w:history="1">
        <w:r w:rsidRPr="00B57145">
          <w:rPr>
            <w:rStyle w:val="Hyperlink"/>
            <w:rFonts w:ascii="Times New Roman" w:eastAsia="Times New Roman" w:hAnsi="Times New Roman" w:cs="Times New Roman"/>
            <w:sz w:val="24"/>
            <w:szCs w:val="24"/>
          </w:rPr>
          <w:t>https://doi.org/10.48550/arXiv.2510.19035</w:t>
        </w:r>
      </w:hyperlink>
    </w:p>
    <w:p w14:paraId="57BE5631" w14:textId="3B58E155"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Kerzner, H. (2021). Project management: a systems approach to planning, scheduling, and controlling. John Wiley &amp; Sons. </w:t>
      </w:r>
      <w:hyperlink r:id="rId23">
        <w:r w:rsidR="0082621B" w:rsidRPr="00B57145">
          <w:rPr>
            <w:rFonts w:ascii="Times New Roman" w:eastAsia="Times New Roman" w:hAnsi="Times New Roman" w:cs="Times New Roman"/>
            <w:sz w:val="24"/>
            <w:szCs w:val="24"/>
            <w:highlight w:val="white"/>
            <w:u w:val="single"/>
          </w:rPr>
          <w:t>https://faculty.tamuc.edu/JDavis/tmgt/514/218/TMGT514-218-Syllabus.pdf</w:t>
        </w:r>
      </w:hyperlink>
    </w:p>
    <w:p w14:paraId="461529EE" w14:textId="20168D0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lastRenderedPageBreak/>
        <w:t xml:space="preserve">Larson, E. W., &amp; Gray, C. F. (2020). *Project management: The managerial process* (8th ed.). McGraw-Hill Education. </w:t>
      </w:r>
      <w:hyperlink r:id="rId24" w:history="1">
        <w:r w:rsidRPr="00B57145">
          <w:rPr>
            <w:rStyle w:val="Hyperlink"/>
            <w:rFonts w:ascii="Times New Roman" w:eastAsia="Times New Roman" w:hAnsi="Times New Roman" w:cs="Times New Roman"/>
            <w:sz w:val="24"/>
            <w:szCs w:val="24"/>
          </w:rPr>
          <w:t>https://www.mheducation.com/highered/product/project-management-managerial-process-larson-gray/9781260238860.html</w:t>
        </w:r>
      </w:hyperlink>
    </w:p>
    <w:p w14:paraId="00B0AB49" w14:textId="1A8D894F"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Soni, P., &amp; Ware, N. (2023). Brief overview of project scheduling process. International Journal of Engineering Research &amp; Technology (IJERT), 12(4). </w:t>
      </w:r>
      <w:hyperlink r:id="rId25" w:history="1">
        <w:r w:rsidRPr="00B57145">
          <w:rPr>
            <w:rStyle w:val="Hyperlink"/>
            <w:rFonts w:ascii="Times New Roman" w:eastAsia="Times New Roman" w:hAnsi="Times New Roman" w:cs="Times New Roman"/>
            <w:sz w:val="24"/>
            <w:szCs w:val="24"/>
          </w:rPr>
          <w:t>https://www.ijert.org/brief-overview-of-project-scheduling-process</w:t>
        </w:r>
      </w:hyperlink>
    </w:p>
    <w:p w14:paraId="0E862DE1" w14:textId="07A2840D"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proofErr w:type="spellStart"/>
      <w:r w:rsidRPr="00B57145">
        <w:rPr>
          <w:rFonts w:ascii="Times New Roman" w:eastAsia="Times New Roman" w:hAnsi="Times New Roman" w:cs="Times New Roman"/>
          <w:sz w:val="24"/>
          <w:szCs w:val="24"/>
          <w:highlight w:val="white"/>
        </w:rPr>
        <w:t>Suvvari</w:t>
      </w:r>
      <w:proofErr w:type="spellEnd"/>
      <w:r w:rsidRPr="00B57145">
        <w:rPr>
          <w:rFonts w:ascii="Times New Roman" w:eastAsia="Times New Roman" w:hAnsi="Times New Roman" w:cs="Times New Roman"/>
          <w:sz w:val="24"/>
          <w:szCs w:val="24"/>
          <w:highlight w:val="white"/>
        </w:rPr>
        <w:t xml:space="preserve">, S. K., &amp; Saxena, V. D. (2023). Stakeholder management in projects: Strategies for effective communication. Innovative Research Thoughts, 9(5), 188-201. </w:t>
      </w:r>
      <w:hyperlink r:id="rId26">
        <w:r w:rsidR="0082621B" w:rsidRPr="00B57145">
          <w:rPr>
            <w:rFonts w:ascii="Times New Roman" w:eastAsia="Times New Roman" w:hAnsi="Times New Roman" w:cs="Times New Roman"/>
            <w:sz w:val="24"/>
            <w:szCs w:val="24"/>
            <w:highlight w:val="white"/>
            <w:u w:val="single"/>
          </w:rPr>
          <w:t>https://doi.org/10.36676/irt.v9.i5.1479</w:t>
        </w:r>
      </w:hyperlink>
    </w:p>
    <w:p w14:paraId="4C9ABB39"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u w:val="single"/>
        </w:rPr>
      </w:pPr>
      <w:proofErr w:type="spellStart"/>
      <w:r w:rsidRPr="00B57145">
        <w:rPr>
          <w:rFonts w:ascii="Times New Roman" w:eastAsia="Times New Roman" w:hAnsi="Times New Roman" w:cs="Times New Roman"/>
          <w:sz w:val="24"/>
          <w:szCs w:val="24"/>
          <w:highlight w:val="white"/>
        </w:rPr>
        <w:t>Suvvari</w:t>
      </w:r>
      <w:proofErr w:type="spellEnd"/>
      <w:r w:rsidRPr="00B57145">
        <w:rPr>
          <w:rFonts w:ascii="Times New Roman" w:eastAsia="Times New Roman" w:hAnsi="Times New Roman" w:cs="Times New Roman"/>
          <w:sz w:val="24"/>
          <w:szCs w:val="24"/>
          <w:highlight w:val="white"/>
        </w:rPr>
        <w:t xml:space="preserve">, S. K., &amp; Saxena, D. V. D. (2024). Innovative Approaches to Project Scheduling: Techniques and Tools. Innovative Research Thoughts, 10 (2), 133–143. </w:t>
      </w:r>
      <w:r w:rsidRPr="00B57145">
        <w:rPr>
          <w:rFonts w:ascii="Times New Roman" w:eastAsia="Times New Roman" w:hAnsi="Times New Roman" w:cs="Times New Roman"/>
          <w:sz w:val="24"/>
          <w:szCs w:val="24"/>
          <w:highlight w:val="white"/>
          <w:u w:val="single"/>
        </w:rPr>
        <w:t>https://doi.org/10.36676/irt.v10.i2.1481</w:t>
      </w:r>
    </w:p>
    <w:p w14:paraId="746B3A0A" w14:textId="21FB3436"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Titarenko, R., &amp; Da Camara, N. (2025). Investigation of Project Schedule Management Challenges Underpinned by Process Approach. PM World Journal. </w:t>
      </w:r>
      <w:hyperlink r:id="rId27" w:history="1">
        <w:r w:rsidRPr="00B57145">
          <w:rPr>
            <w:rStyle w:val="Hyperlink"/>
            <w:rFonts w:ascii="Times New Roman" w:eastAsia="Times New Roman" w:hAnsi="Times New Roman" w:cs="Times New Roman"/>
            <w:sz w:val="24"/>
            <w:szCs w:val="24"/>
          </w:rPr>
          <w:t>http://pmworldlibrary.net/wp-content/uploads/2025/02/pmwj149-Feb2025-Titarenko-Camara-Investigation-of-Project-Schedule-Management-Challenges-2.pdf</w:t>
        </w:r>
      </w:hyperlink>
    </w:p>
    <w:p w14:paraId="27043786" w14:textId="53DB30F2" w:rsidR="00B57145" w:rsidRPr="00B57145" w:rsidRDefault="00B57145" w:rsidP="00B57145">
      <w:pPr>
        <w:spacing w:before="240" w:after="240" w:line="360" w:lineRule="auto"/>
        <w:jc w:val="both"/>
        <w:rPr>
          <w:rFonts w:ascii="Times New Roman" w:eastAsia="Times New Roman" w:hAnsi="Times New Roman" w:cs="Times New Roman"/>
          <w:b/>
          <w:bCs/>
          <w:highlight w:val="white"/>
        </w:rPr>
      </w:pPr>
      <w:proofErr w:type="spellStart"/>
      <w:r w:rsidRPr="00B57145">
        <w:rPr>
          <w:rFonts w:ascii="Times New Roman" w:eastAsia="Times New Roman" w:hAnsi="Times New Roman" w:cs="Times New Roman"/>
          <w:sz w:val="24"/>
          <w:szCs w:val="24"/>
        </w:rPr>
        <w:t>Toriola</w:t>
      </w:r>
      <w:proofErr w:type="spellEnd"/>
      <w:r w:rsidRPr="00B57145">
        <w:rPr>
          <w:rFonts w:ascii="Times New Roman" w:eastAsia="Times New Roman" w:hAnsi="Times New Roman" w:cs="Times New Roman"/>
          <w:sz w:val="24"/>
          <w:szCs w:val="24"/>
        </w:rPr>
        <w:t xml:space="preserve">-Coker, L., Owolabi, H., Alaka, H., Bello, W. A., &amp; </w:t>
      </w:r>
      <w:proofErr w:type="spellStart"/>
      <w:r w:rsidRPr="00B57145">
        <w:rPr>
          <w:rFonts w:ascii="Times New Roman" w:eastAsia="Times New Roman" w:hAnsi="Times New Roman" w:cs="Times New Roman"/>
          <w:sz w:val="24"/>
          <w:szCs w:val="24"/>
        </w:rPr>
        <w:t>Pathirage</w:t>
      </w:r>
      <w:proofErr w:type="spellEnd"/>
      <w:r w:rsidRPr="00B57145">
        <w:rPr>
          <w:rFonts w:ascii="Times New Roman" w:eastAsia="Times New Roman" w:hAnsi="Times New Roman" w:cs="Times New Roman"/>
          <w:sz w:val="24"/>
          <w:szCs w:val="24"/>
        </w:rPr>
        <w:t xml:space="preserve">, C. (2023). Critical success factors (CSFs) for motivating end-user stakeholder's support for ensuring sustainability of PPP projects in Nigerian host communities. Journal of Engineering, Design and Technology, 21(3), 902-926. </w:t>
      </w:r>
      <w:hyperlink r:id="rId28" w:history="1">
        <w:r w:rsidRPr="00B57145">
          <w:rPr>
            <w:rStyle w:val="Hyperlink"/>
            <w:rFonts w:ascii="Times New Roman" w:eastAsia="Times New Roman" w:hAnsi="Times New Roman" w:cs="Times New Roman"/>
            <w:sz w:val="24"/>
            <w:szCs w:val="24"/>
          </w:rPr>
          <w:t>https://doi.org/10.1108/JEDT-04-2021-0202</w:t>
        </w:r>
      </w:hyperlink>
    </w:p>
    <w:p w14:paraId="000D7059" w14:textId="19052C37" w:rsidR="0082621B" w:rsidRPr="00B57145" w:rsidRDefault="00B57145" w:rsidP="00B57145">
      <w:pPr>
        <w:spacing w:before="240" w:after="240" w:line="360" w:lineRule="auto"/>
        <w:jc w:val="both"/>
        <w:rPr>
          <w:rFonts w:ascii="Times New Roman" w:eastAsia="Times New Roman" w:hAnsi="Times New Roman" w:cs="Times New Roman"/>
          <w:b/>
          <w:bCs/>
          <w:highlight w:val="white"/>
        </w:rPr>
      </w:pPr>
      <w:r w:rsidRPr="00B57145">
        <w:rPr>
          <w:rFonts w:ascii="Times New Roman" w:eastAsia="Times New Roman" w:hAnsi="Times New Roman" w:cs="Times New Roman"/>
          <w:sz w:val="24"/>
          <w:szCs w:val="24"/>
        </w:rPr>
        <w:t xml:space="preserve">Yadav, V. (2025). Project planning and scheduling. International Journal of Research Publication and Reviews, 6(2), 2675-2686. </w:t>
      </w:r>
      <w:hyperlink r:id="rId29" w:history="1">
        <w:r w:rsidRPr="00B57145">
          <w:rPr>
            <w:rStyle w:val="Hyperlink"/>
            <w:rFonts w:ascii="Times New Roman" w:eastAsia="Times New Roman" w:hAnsi="Times New Roman" w:cs="Times New Roman"/>
            <w:sz w:val="24"/>
            <w:szCs w:val="24"/>
          </w:rPr>
          <w:t>https://ijrpr.com/uploads/V6ISSUE2/IJRPR38850.pdf</w:t>
        </w:r>
      </w:hyperlink>
      <w:r w:rsidRPr="00B57145">
        <w:rPr>
          <w:rFonts w:ascii="Times New Roman" w:eastAsia="Times New Roman" w:hAnsi="Times New Roman" w:cs="Times New Roman"/>
          <w:sz w:val="24"/>
          <w:szCs w:val="24"/>
        </w:rPr>
        <w:tab/>
      </w:r>
    </w:p>
    <w:p w14:paraId="1E9BAC53" w14:textId="77777777" w:rsidR="0082621B" w:rsidRDefault="0082621B">
      <w:pPr>
        <w:spacing w:line="240" w:lineRule="auto"/>
        <w:ind w:right="27"/>
        <w:jc w:val="both"/>
        <w:rPr>
          <w:rFonts w:ascii="Calibri" w:eastAsia="Calibri" w:hAnsi="Calibri" w:cs="Calibri"/>
          <w:b/>
          <w:bCs/>
        </w:rPr>
      </w:pPr>
    </w:p>
    <w:p w14:paraId="552EA326" w14:textId="77777777" w:rsidR="0082621B" w:rsidRDefault="0082621B">
      <w:pPr>
        <w:jc w:val="both"/>
        <w:rPr>
          <w:rFonts w:ascii="Times New Roman" w:eastAsia="Times New Roman" w:hAnsi="Times New Roman" w:cs="Times New Roman"/>
          <w:sz w:val="24"/>
          <w:szCs w:val="24"/>
        </w:rPr>
      </w:pPr>
    </w:p>
    <w:sectPr w:rsidR="0082621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8BB65" w14:textId="77777777" w:rsidR="00CA47C8" w:rsidRDefault="00CA47C8" w:rsidP="00A24467">
      <w:pPr>
        <w:spacing w:line="240" w:lineRule="auto"/>
      </w:pPr>
      <w:r>
        <w:separator/>
      </w:r>
    </w:p>
  </w:endnote>
  <w:endnote w:type="continuationSeparator" w:id="0">
    <w:p w14:paraId="07358FF5" w14:textId="77777777" w:rsidR="00CA47C8" w:rsidRDefault="00CA47C8" w:rsidP="00A24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037F1380-9012-469F-9775-43D5512C04D0}"/>
    <w:embedItalic r:id="rId2" w:fontKey="{874E6A3B-85CA-44F4-BF10-ABA85B70F06C}"/>
  </w:font>
  <w:font w:name="Calibri">
    <w:panose1 w:val="020F0502020204030204"/>
    <w:charset w:val="00"/>
    <w:family w:val="swiss"/>
    <w:pitch w:val="variable"/>
    <w:sig w:usb0="E4002EFF" w:usb1="C000247B" w:usb2="00000009" w:usb3="00000000" w:csb0="000001FF" w:csb1="00000000"/>
    <w:embedRegular r:id="rId3" w:fontKey="{4CB94B37-44C0-4041-BCD3-62EA6C63F808}"/>
    <w:embedBold r:id="rId4" w:fontKey="{7E48F0A7-2F01-47CF-B9E6-50E522D1E968}"/>
  </w:font>
  <w:font w:name="Cambria">
    <w:panose1 w:val="02040503050406030204"/>
    <w:charset w:val="00"/>
    <w:family w:val="roman"/>
    <w:pitch w:val="variable"/>
    <w:sig w:usb0="E00006FF" w:usb1="420024FF" w:usb2="02000000" w:usb3="00000000" w:csb0="0000019F" w:csb1="00000000"/>
    <w:embedRegular r:id="rId5" w:fontKey="{E279489E-9AF3-414F-AF4B-97E36D73E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F9CBA" w14:textId="77777777" w:rsidR="00A24467" w:rsidRDefault="00A24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D1FC8" w14:textId="77777777" w:rsidR="00A24467" w:rsidRDefault="00A244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ACC3" w14:textId="77777777" w:rsidR="00A24467" w:rsidRDefault="00A24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BD3C7" w14:textId="77777777" w:rsidR="00CA47C8" w:rsidRDefault="00CA47C8" w:rsidP="00A24467">
      <w:pPr>
        <w:spacing w:line="240" w:lineRule="auto"/>
      </w:pPr>
      <w:r>
        <w:separator/>
      </w:r>
    </w:p>
  </w:footnote>
  <w:footnote w:type="continuationSeparator" w:id="0">
    <w:p w14:paraId="15B099C4" w14:textId="77777777" w:rsidR="00CA47C8" w:rsidRDefault="00CA47C8" w:rsidP="00A24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41ED9" w14:textId="72A904D2" w:rsidR="00A24467" w:rsidRDefault="00CA47C8">
    <w:pPr>
      <w:pStyle w:val="Header"/>
    </w:pPr>
    <w:r>
      <w:rPr>
        <w:noProof/>
      </w:rPr>
      <w:pict w14:anchorId="143C9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2E03" w14:textId="06B94034" w:rsidR="00A24467" w:rsidRDefault="00CA47C8">
    <w:pPr>
      <w:pStyle w:val="Header"/>
    </w:pPr>
    <w:r>
      <w:rPr>
        <w:noProof/>
      </w:rPr>
      <w:pict w14:anchorId="63712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B6F51" w14:textId="0194F4F9" w:rsidR="00A24467" w:rsidRDefault="00CA47C8">
    <w:pPr>
      <w:pStyle w:val="Header"/>
    </w:pPr>
    <w:r>
      <w:rPr>
        <w:noProof/>
      </w:rPr>
      <w:pict w14:anchorId="39DD8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6F2729"/>
    <w:multiLevelType w:val="hybridMultilevel"/>
    <w:tmpl w:val="F10CE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AB44D3"/>
    <w:multiLevelType w:val="multilevel"/>
    <w:tmpl w:val="40567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1B"/>
    <w:rsid w:val="00245DC7"/>
    <w:rsid w:val="004E7475"/>
    <w:rsid w:val="00640ED9"/>
    <w:rsid w:val="0082621B"/>
    <w:rsid w:val="008B15C0"/>
    <w:rsid w:val="00A24467"/>
    <w:rsid w:val="00B57145"/>
    <w:rsid w:val="00CA47C8"/>
    <w:rsid w:val="00E04EE9"/>
    <w:rsid w:val="00FA0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2B078F"/>
  <w15:docId w15:val="{D2C7C9AA-2BF9-485D-8F50-98C37399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character" w:styleId="Hyperlink">
    <w:name w:val="Hyperlink"/>
    <w:basedOn w:val="DefaultParagraphFont"/>
    <w:uiPriority w:val="99"/>
    <w:unhideWhenUsed/>
    <w:rsid w:val="00FA05F3"/>
    <w:rPr>
      <w:color w:val="0000FF" w:themeColor="hyperlink"/>
      <w:u w:val="single"/>
    </w:rPr>
  </w:style>
  <w:style w:type="character" w:styleId="UnresolvedMention">
    <w:name w:val="Unresolved Mention"/>
    <w:basedOn w:val="DefaultParagraphFont"/>
    <w:uiPriority w:val="99"/>
    <w:semiHidden/>
    <w:unhideWhenUsed/>
    <w:rsid w:val="00FA05F3"/>
    <w:rPr>
      <w:color w:val="605E5C"/>
      <w:shd w:val="clear" w:color="auto" w:fill="E1DFDD"/>
    </w:rPr>
  </w:style>
  <w:style w:type="paragraph" w:styleId="ListParagraph">
    <w:name w:val="List Paragraph"/>
    <w:basedOn w:val="Normal"/>
    <w:uiPriority w:val="34"/>
    <w:qFormat/>
    <w:rsid w:val="00B57145"/>
    <w:pPr>
      <w:ind w:left="720"/>
      <w:contextualSpacing/>
    </w:pPr>
  </w:style>
  <w:style w:type="paragraph" w:styleId="Header">
    <w:name w:val="header"/>
    <w:basedOn w:val="Normal"/>
    <w:link w:val="HeaderChar"/>
    <w:uiPriority w:val="99"/>
    <w:unhideWhenUsed/>
    <w:rsid w:val="00A24467"/>
    <w:pPr>
      <w:tabs>
        <w:tab w:val="center" w:pos="4680"/>
        <w:tab w:val="right" w:pos="9360"/>
      </w:tabs>
      <w:spacing w:line="240" w:lineRule="auto"/>
    </w:pPr>
  </w:style>
  <w:style w:type="character" w:customStyle="1" w:styleId="HeaderChar">
    <w:name w:val="Header Char"/>
    <w:basedOn w:val="DefaultParagraphFont"/>
    <w:link w:val="Header"/>
    <w:uiPriority w:val="99"/>
    <w:rsid w:val="00A24467"/>
  </w:style>
  <w:style w:type="paragraph" w:styleId="Footer">
    <w:name w:val="footer"/>
    <w:basedOn w:val="Normal"/>
    <w:link w:val="FooterChar"/>
    <w:uiPriority w:val="99"/>
    <w:unhideWhenUsed/>
    <w:rsid w:val="00A24467"/>
    <w:pPr>
      <w:tabs>
        <w:tab w:val="center" w:pos="4680"/>
        <w:tab w:val="right" w:pos="9360"/>
      </w:tabs>
      <w:spacing w:line="240" w:lineRule="auto"/>
    </w:pPr>
  </w:style>
  <w:style w:type="character" w:customStyle="1" w:styleId="FooterChar">
    <w:name w:val="Footer Char"/>
    <w:basedOn w:val="DefaultParagraphFont"/>
    <w:link w:val="Footer"/>
    <w:uiPriority w:val="99"/>
    <w:rsid w:val="00A24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emerald.com/ecam/article-abstract/doi/10.1108/ECAM-04-2024-0529/1259389/Determining-project-control-system-effectiveness?redirectedFrom=fulltext" TargetMode="External"/><Relationship Id="rId18" Type="http://schemas.openxmlformats.org/officeDocument/2006/relationships/hyperlink" Target="https://doi.org/10.1109/TEM.2024.3384000" TargetMode="External"/><Relationship Id="rId26" Type="http://schemas.openxmlformats.org/officeDocument/2006/relationships/hyperlink" Target="https://doi.org/10.36676/irt.v9.i5.1479" TargetMode="External"/><Relationship Id="rId21" Type="http://schemas.openxmlformats.org/officeDocument/2006/relationships/hyperlink" Target="https://doi.org/10.38140/ijms-2024.vol1.10"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36615/digital_food_energy_water_systems.v4i1.2480" TargetMode="External"/><Relationship Id="rId17" Type="http://schemas.openxmlformats.org/officeDocument/2006/relationships/hyperlink" Target="https://doi.org/10.1007/s42107-024-01052-6" TargetMode="External"/><Relationship Id="rId25" Type="http://schemas.openxmlformats.org/officeDocument/2006/relationships/hyperlink" Target="https://www.ijert.org/brief-overview-of-project-scheduling-proces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3390/su15064896" TargetMode="External"/><Relationship Id="rId20" Type="http://schemas.openxmlformats.org/officeDocument/2006/relationships/hyperlink" Target="https://www.pmi.org/-/media/pmi/documents/public/pdf/publications/pmbok-guide-eighth-edition_table-of-contents.pdf" TargetMode="External"/><Relationship Id="rId29" Type="http://schemas.openxmlformats.org/officeDocument/2006/relationships/hyperlink" Target="https://ijrpr.com/uploads/V6ISSUE2/IJRPR388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heducation.com/highered/product/project-management-managerial-process-larson-gray/9781260238860.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7743/jopafl-2024-33-4" TargetMode="External"/><Relationship Id="rId23" Type="http://schemas.openxmlformats.org/officeDocument/2006/relationships/hyperlink" Target="https://faculty.tamuc.edu/JDavis/tmgt/514/218/TMGT514-218-Syllabus.pdf" TargetMode="External"/><Relationship Id="rId28" Type="http://schemas.openxmlformats.org/officeDocument/2006/relationships/hyperlink" Target="https://doi.org/10.1108/JEDT-04-2021-020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21522/TIJMG.2015.09.01.Art00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8/IJMPB-02-2022-0043" TargetMode="External"/><Relationship Id="rId22" Type="http://schemas.openxmlformats.org/officeDocument/2006/relationships/hyperlink" Target="https://doi.org/10.48550/arXiv.2510.19035" TargetMode="External"/><Relationship Id="rId27" Type="http://schemas.openxmlformats.org/officeDocument/2006/relationships/hyperlink" Target="http://pmworldlibrary.net/wp-content/uploads/2025/02/pmwj149-Feb2025-Titarenko-Camara-Investigation-of-Project-Schedule-Management-Challenges-2.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zhlGDYzShuEdvNVw/SjwMrpSg==">CgMxLjAyDmgudjZzMGpmc2t1eG41Mg5oLjM5ZmZoamgzbWxlODIOaC5zZ3B4Nm5mdHdrcWQyDmgubDcyOTV1NWtzdXR5Mg5oLnVzb3N5Zm00eXNzajIOaC5seGVlN3p3emVmaXMyDmguOXg4bHJkOW96MTU4Mg5oLmhtYWQ5eTg3MDV2eTINaC55bjcxaHd5anBvdTIOaC43ZHl0a2IyaW1qMHkyDmguZzB4amxhM2RvNWlzOAByITFXVnlLcmVPZWFMUk5KY0N0NXc1Vndrd3FKMl9qVVl4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6400</Words>
  <Characters>36485</Characters>
  <Application>Microsoft Office Word</Application>
  <DocSecurity>0</DocSecurity>
  <Lines>304</Lines>
  <Paragraphs>85</Paragraphs>
  <ScaleCrop>false</ScaleCrop>
  <Company/>
  <LinksUpToDate>false</LinksUpToDate>
  <CharactersWithSpaces>42800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2025-12-22T04:38:00Z</dcterms:created>
  <dcterms:modified xsi:type="dcterms:W3CDTF">2025-12-22T06:58:00Z</dcterms:modified>
</cp:coreProperties>
</file>