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0F13A" w14:textId="77777777" w:rsidR="00A606A5" w:rsidRPr="00A606A5" w:rsidRDefault="00A606A5" w:rsidP="00A606A5">
      <w:pPr>
        <w:spacing w:line="276" w:lineRule="auto"/>
        <w:jc w:val="center"/>
        <w:rPr>
          <w:rFonts w:ascii="Times New Roman" w:hAnsi="Times New Roman" w:cs="Times New Roman"/>
          <w:b/>
          <w:bCs/>
          <w:i/>
          <w:iCs/>
          <w:u w:val="single"/>
        </w:rPr>
      </w:pPr>
      <w:bookmarkStart w:id="0" w:name="_Hlk215551743"/>
      <w:r w:rsidRPr="00A606A5">
        <w:rPr>
          <w:rFonts w:ascii="Times New Roman" w:hAnsi="Times New Roman" w:cs="Times New Roman"/>
          <w:b/>
          <w:bCs/>
          <w:i/>
          <w:iCs/>
          <w:u w:val="single"/>
        </w:rPr>
        <w:t>Original Research Article</w:t>
      </w:r>
    </w:p>
    <w:p w14:paraId="3F921EF8" w14:textId="59874441" w:rsidR="004E1C87" w:rsidRPr="00F60507" w:rsidRDefault="0014443B" w:rsidP="00F60507">
      <w:pPr>
        <w:spacing w:line="276" w:lineRule="auto"/>
        <w:jc w:val="center"/>
        <w:rPr>
          <w:rFonts w:ascii="Times New Roman" w:hAnsi="Times New Roman" w:cs="Times New Roman"/>
        </w:rPr>
      </w:pPr>
      <w:r w:rsidRPr="00F60507">
        <w:rPr>
          <w:rFonts w:ascii="Times New Roman" w:hAnsi="Times New Roman" w:cs="Times New Roman"/>
          <w:b/>
          <w:bCs/>
        </w:rPr>
        <w:t xml:space="preserve">Structure of </w:t>
      </w:r>
      <w:proofErr w:type="spellStart"/>
      <w:r w:rsidRPr="00F60507">
        <w:rPr>
          <w:rFonts w:ascii="Times New Roman" w:hAnsi="Times New Roman" w:cs="Times New Roman"/>
          <w:b/>
          <w:bCs/>
        </w:rPr>
        <w:t>Labour</w:t>
      </w:r>
      <w:proofErr w:type="spellEnd"/>
      <w:r w:rsidRPr="00F60507">
        <w:rPr>
          <w:rFonts w:ascii="Times New Roman" w:hAnsi="Times New Roman" w:cs="Times New Roman"/>
          <w:b/>
          <w:bCs/>
        </w:rPr>
        <w:t xml:space="preserve"> </w:t>
      </w:r>
      <w:r w:rsidR="00A751F2" w:rsidRPr="00F60507">
        <w:rPr>
          <w:rFonts w:ascii="Times New Roman" w:hAnsi="Times New Roman" w:cs="Times New Roman"/>
          <w:b/>
          <w:bCs/>
        </w:rPr>
        <w:t>Market in Coir Spinning and its Implications for</w:t>
      </w:r>
      <w:r w:rsidRPr="00F60507">
        <w:rPr>
          <w:rFonts w:ascii="Times New Roman" w:hAnsi="Times New Roman" w:cs="Times New Roman"/>
          <w:b/>
          <w:bCs/>
        </w:rPr>
        <w:t xml:space="preserve"> Workers' Welfare: Evidence from Kerala</w:t>
      </w:r>
    </w:p>
    <w:p w14:paraId="16BE917D" w14:textId="77777777" w:rsidR="00566116" w:rsidRDefault="00566116" w:rsidP="00F60507">
      <w:pPr>
        <w:spacing w:line="276" w:lineRule="auto"/>
        <w:jc w:val="both"/>
        <w:rPr>
          <w:rFonts w:ascii="Times New Roman" w:hAnsi="Times New Roman" w:cs="Times New Roman"/>
          <w:i/>
          <w:iCs/>
        </w:rPr>
      </w:pPr>
    </w:p>
    <w:p w14:paraId="1F3A2B5E" w14:textId="6B96E43B" w:rsidR="00292F64" w:rsidRPr="00F60507" w:rsidRDefault="004E1C87" w:rsidP="00F60507">
      <w:pPr>
        <w:spacing w:line="276" w:lineRule="auto"/>
        <w:jc w:val="both"/>
        <w:rPr>
          <w:rFonts w:ascii="Times New Roman" w:hAnsi="Times New Roman" w:cs="Times New Roman"/>
          <w:i/>
          <w:iCs/>
        </w:rPr>
      </w:pPr>
      <w:bookmarkStart w:id="1" w:name="_GoBack"/>
      <w:bookmarkEnd w:id="1"/>
      <w:r w:rsidRPr="00F60507">
        <w:rPr>
          <w:rFonts w:ascii="Times New Roman" w:hAnsi="Times New Roman" w:cs="Times New Roman"/>
          <w:i/>
          <w:iCs/>
        </w:rPr>
        <w:t xml:space="preserve">                                                              </w:t>
      </w:r>
      <w:r w:rsidR="00A90BAD" w:rsidRPr="00F60507">
        <w:rPr>
          <w:rFonts w:ascii="Times New Roman" w:hAnsi="Times New Roman" w:cs="Times New Roman"/>
          <w:i/>
          <w:iCs/>
        </w:rPr>
        <w:t xml:space="preserve">Abstract </w:t>
      </w:r>
    </w:p>
    <w:p w14:paraId="30FA386B" w14:textId="5E26875D" w:rsidR="00A90BAD" w:rsidRPr="00F60507" w:rsidRDefault="00A90BAD" w:rsidP="00F60507">
      <w:pPr>
        <w:spacing w:line="276" w:lineRule="auto"/>
        <w:jc w:val="both"/>
        <w:rPr>
          <w:rFonts w:ascii="Times New Roman" w:hAnsi="Times New Roman" w:cs="Times New Roman"/>
          <w:i/>
          <w:iCs/>
        </w:rPr>
      </w:pPr>
      <w:r w:rsidRPr="00F60507">
        <w:rPr>
          <w:rFonts w:ascii="Times New Roman" w:hAnsi="Times New Roman" w:cs="Times New Roman"/>
          <w:i/>
          <w:iCs/>
        </w:rPr>
        <w:t xml:space="preserve">The coir industry in Kerala </w:t>
      </w:r>
      <w:r w:rsidR="004E1C87" w:rsidRPr="00F60507">
        <w:rPr>
          <w:rFonts w:ascii="Times New Roman" w:hAnsi="Times New Roman" w:cs="Times New Roman"/>
          <w:i/>
          <w:iCs/>
        </w:rPr>
        <w:t xml:space="preserve">is </w:t>
      </w:r>
      <w:r w:rsidRPr="00F60507">
        <w:rPr>
          <w:rFonts w:ascii="Times New Roman" w:hAnsi="Times New Roman" w:cs="Times New Roman"/>
          <w:i/>
          <w:iCs/>
        </w:rPr>
        <w:t>one of the oldest traditional and rural employment-generating industries in Kerala</w:t>
      </w:r>
      <w:r w:rsidR="003B5D56" w:rsidRPr="00F60507">
        <w:rPr>
          <w:rFonts w:ascii="Times New Roman" w:hAnsi="Times New Roman" w:cs="Times New Roman"/>
          <w:i/>
          <w:iCs/>
        </w:rPr>
        <w:t xml:space="preserve">, but </w:t>
      </w:r>
      <w:r w:rsidR="002D7904" w:rsidRPr="00F60507">
        <w:rPr>
          <w:rFonts w:ascii="Times New Roman" w:hAnsi="Times New Roman" w:cs="Times New Roman"/>
          <w:i/>
          <w:iCs/>
        </w:rPr>
        <w:t xml:space="preserve">the persistence of </w:t>
      </w:r>
      <w:proofErr w:type="spellStart"/>
      <w:r w:rsidR="002D7904" w:rsidRPr="00F60507">
        <w:rPr>
          <w:rFonts w:ascii="Times New Roman" w:hAnsi="Times New Roman" w:cs="Times New Roman"/>
          <w:i/>
          <w:iCs/>
        </w:rPr>
        <w:t>labour</w:t>
      </w:r>
      <w:proofErr w:type="spellEnd"/>
      <w:r w:rsidR="002D7904" w:rsidRPr="00F60507">
        <w:rPr>
          <w:rFonts w:ascii="Times New Roman" w:hAnsi="Times New Roman" w:cs="Times New Roman"/>
          <w:i/>
          <w:iCs/>
        </w:rPr>
        <w:t xml:space="preserve"> market imperfections significantly influences worker outcomes.</w:t>
      </w:r>
      <w:r w:rsidRPr="00F60507">
        <w:rPr>
          <w:rFonts w:ascii="Times New Roman" w:hAnsi="Times New Roman" w:cs="Times New Roman"/>
          <w:i/>
          <w:iCs/>
        </w:rPr>
        <w:t xml:space="preserve"> </w:t>
      </w:r>
      <w:r w:rsidR="00FA1AA8" w:rsidRPr="00F60507">
        <w:rPr>
          <w:rFonts w:ascii="Times New Roman" w:hAnsi="Times New Roman" w:cs="Times New Roman"/>
          <w:i/>
          <w:iCs/>
        </w:rPr>
        <w:t>Although previous studies</w:t>
      </w:r>
      <w:r w:rsidR="003B5D56" w:rsidRPr="00F60507">
        <w:rPr>
          <w:rFonts w:ascii="Times New Roman" w:hAnsi="Times New Roman" w:cs="Times New Roman"/>
          <w:i/>
          <w:iCs/>
        </w:rPr>
        <w:t xml:space="preserve"> qualitatively </w:t>
      </w:r>
      <w:r w:rsidR="006D250E" w:rsidRPr="00F60507">
        <w:rPr>
          <w:rFonts w:ascii="Times New Roman" w:hAnsi="Times New Roman" w:cs="Times New Roman"/>
          <w:i/>
          <w:iCs/>
        </w:rPr>
        <w:t xml:space="preserve">highlight these imperfections, quantitative evidence on the degree of monopsony power remains scarce. This study estimates the elasticity of </w:t>
      </w:r>
      <w:proofErr w:type="spellStart"/>
      <w:r w:rsidR="006D250E" w:rsidRPr="00F60507">
        <w:rPr>
          <w:rFonts w:ascii="Times New Roman" w:hAnsi="Times New Roman" w:cs="Times New Roman"/>
          <w:i/>
          <w:iCs/>
        </w:rPr>
        <w:t>labour</w:t>
      </w:r>
      <w:proofErr w:type="spellEnd"/>
      <w:r w:rsidR="006D250E" w:rsidRPr="00F60507">
        <w:rPr>
          <w:rFonts w:ascii="Times New Roman" w:hAnsi="Times New Roman" w:cs="Times New Roman"/>
          <w:i/>
          <w:iCs/>
        </w:rPr>
        <w:t xml:space="preserve"> supply as a direct indicator of the monopsony power in the coir spinning </w:t>
      </w:r>
      <w:proofErr w:type="spellStart"/>
      <w:r w:rsidR="006D250E" w:rsidRPr="00F60507">
        <w:rPr>
          <w:rFonts w:ascii="Times New Roman" w:hAnsi="Times New Roman" w:cs="Times New Roman"/>
          <w:i/>
          <w:iCs/>
        </w:rPr>
        <w:t>labour</w:t>
      </w:r>
      <w:proofErr w:type="spellEnd"/>
      <w:r w:rsidR="006D250E" w:rsidRPr="00F60507">
        <w:rPr>
          <w:rFonts w:ascii="Times New Roman" w:hAnsi="Times New Roman" w:cs="Times New Roman"/>
          <w:i/>
          <w:iCs/>
        </w:rPr>
        <w:t xml:space="preserve"> market and its</w:t>
      </w:r>
      <w:r w:rsidR="007906CC" w:rsidRPr="00F60507">
        <w:rPr>
          <w:rFonts w:ascii="Times New Roman" w:hAnsi="Times New Roman" w:cs="Times New Roman"/>
          <w:i/>
          <w:iCs/>
        </w:rPr>
        <w:t xml:space="preserve"> effects on workers' </w:t>
      </w:r>
      <w:r w:rsidR="004E1C87" w:rsidRPr="00F60507">
        <w:rPr>
          <w:rFonts w:ascii="Times New Roman" w:hAnsi="Times New Roman" w:cs="Times New Roman"/>
          <w:i/>
          <w:iCs/>
        </w:rPr>
        <w:t>welfare. The</w:t>
      </w:r>
      <w:r w:rsidR="00C7268D" w:rsidRPr="00F60507">
        <w:rPr>
          <w:rFonts w:ascii="Times New Roman" w:hAnsi="Times New Roman" w:cs="Times New Roman"/>
          <w:i/>
          <w:iCs/>
        </w:rPr>
        <w:t xml:space="preserve"> study </w:t>
      </w:r>
      <w:r w:rsidR="006D250E" w:rsidRPr="00F60507">
        <w:rPr>
          <w:rFonts w:ascii="Times New Roman" w:hAnsi="Times New Roman" w:cs="Times New Roman"/>
          <w:i/>
          <w:iCs/>
        </w:rPr>
        <w:t>uses panel data from 40 coir primary societies in the Alappuzha district from 2010 to 2024</w:t>
      </w:r>
      <w:r w:rsidR="00EE0A9B" w:rsidRPr="00F60507">
        <w:rPr>
          <w:rFonts w:ascii="Times New Roman" w:hAnsi="Times New Roman" w:cs="Times New Roman"/>
          <w:i/>
          <w:iCs/>
        </w:rPr>
        <w:t>.</w:t>
      </w:r>
      <w:r w:rsidR="004E1C87" w:rsidRPr="00F60507">
        <w:rPr>
          <w:rFonts w:ascii="Times New Roman" w:hAnsi="Times New Roman" w:cs="Times New Roman"/>
          <w:i/>
          <w:iCs/>
        </w:rPr>
        <w:t xml:space="preserve"> To</w:t>
      </w:r>
      <w:r w:rsidR="00C7268D" w:rsidRPr="00F60507">
        <w:rPr>
          <w:rFonts w:ascii="Times New Roman" w:hAnsi="Times New Roman" w:cs="Times New Roman"/>
          <w:i/>
          <w:iCs/>
        </w:rPr>
        <w:t xml:space="preserve"> </w:t>
      </w:r>
      <w:r w:rsidR="004E1C87" w:rsidRPr="00F60507">
        <w:rPr>
          <w:rFonts w:ascii="Times New Roman" w:hAnsi="Times New Roman" w:cs="Times New Roman"/>
          <w:i/>
          <w:iCs/>
        </w:rPr>
        <w:t xml:space="preserve">deal </w:t>
      </w:r>
      <w:r w:rsidR="00C7268D" w:rsidRPr="00F60507">
        <w:rPr>
          <w:rFonts w:ascii="Times New Roman" w:hAnsi="Times New Roman" w:cs="Times New Roman"/>
          <w:i/>
          <w:iCs/>
        </w:rPr>
        <w:t xml:space="preserve">with the possibility of </w:t>
      </w:r>
      <w:r w:rsidR="004E1C87" w:rsidRPr="00F60507">
        <w:rPr>
          <w:rFonts w:ascii="Times New Roman" w:hAnsi="Times New Roman" w:cs="Times New Roman"/>
          <w:i/>
          <w:iCs/>
        </w:rPr>
        <w:t>endogeneity</w:t>
      </w:r>
      <w:r w:rsidR="00C7268D" w:rsidRPr="00F60507">
        <w:rPr>
          <w:rFonts w:ascii="Times New Roman" w:hAnsi="Times New Roman" w:cs="Times New Roman"/>
          <w:i/>
          <w:iCs/>
        </w:rPr>
        <w:t xml:space="preserve"> between wage and </w:t>
      </w:r>
      <w:proofErr w:type="spellStart"/>
      <w:r w:rsidR="00F9492B" w:rsidRPr="00F60507">
        <w:rPr>
          <w:rFonts w:ascii="Times New Roman" w:hAnsi="Times New Roman" w:cs="Times New Roman"/>
          <w:i/>
          <w:iCs/>
        </w:rPr>
        <w:t>labour</w:t>
      </w:r>
      <w:proofErr w:type="spellEnd"/>
      <w:r w:rsidR="00F9492B" w:rsidRPr="00F60507">
        <w:rPr>
          <w:rFonts w:ascii="Times New Roman" w:hAnsi="Times New Roman" w:cs="Times New Roman"/>
          <w:i/>
          <w:iCs/>
        </w:rPr>
        <w:t xml:space="preserve"> supply, use a </w:t>
      </w:r>
      <w:r w:rsidR="004E1C87" w:rsidRPr="00F60507">
        <w:rPr>
          <w:rFonts w:ascii="Times New Roman" w:hAnsi="Times New Roman" w:cs="Times New Roman"/>
          <w:i/>
          <w:iCs/>
        </w:rPr>
        <w:t>log–log</w:t>
      </w:r>
      <w:r w:rsidR="00F9492B" w:rsidRPr="00F60507">
        <w:rPr>
          <w:rFonts w:ascii="Times New Roman" w:hAnsi="Times New Roman" w:cs="Times New Roman"/>
          <w:i/>
          <w:iCs/>
        </w:rPr>
        <w:t xml:space="preserve"> OLS model and a Two Stage Least Squares(2SLS) panel </w:t>
      </w:r>
      <w:r w:rsidR="004E1C87" w:rsidRPr="00F60507">
        <w:rPr>
          <w:rFonts w:ascii="Times New Roman" w:hAnsi="Times New Roman" w:cs="Times New Roman"/>
          <w:i/>
          <w:iCs/>
        </w:rPr>
        <w:t>regression. The</w:t>
      </w:r>
      <w:r w:rsidR="00F9492B" w:rsidRPr="00F60507">
        <w:rPr>
          <w:rFonts w:ascii="Times New Roman" w:hAnsi="Times New Roman" w:cs="Times New Roman"/>
          <w:i/>
          <w:iCs/>
        </w:rPr>
        <w:t xml:space="preserve"> Baseline OLS results </w:t>
      </w:r>
      <w:r w:rsidR="004E1C87" w:rsidRPr="00F60507">
        <w:rPr>
          <w:rFonts w:ascii="Times New Roman" w:hAnsi="Times New Roman" w:cs="Times New Roman"/>
          <w:i/>
          <w:iCs/>
        </w:rPr>
        <w:t>show</w:t>
      </w:r>
      <w:r w:rsidR="00F9492B" w:rsidRPr="00F60507">
        <w:rPr>
          <w:rFonts w:ascii="Times New Roman" w:hAnsi="Times New Roman" w:cs="Times New Roman"/>
          <w:i/>
          <w:iCs/>
        </w:rPr>
        <w:t xml:space="preserve"> </w:t>
      </w:r>
      <w:r w:rsidR="00291AC5" w:rsidRPr="00F60507">
        <w:rPr>
          <w:rFonts w:ascii="Times New Roman" w:hAnsi="Times New Roman" w:cs="Times New Roman"/>
          <w:i/>
          <w:iCs/>
        </w:rPr>
        <w:t xml:space="preserve">a wage elasticity of 0.838 and a bonus elasticity of 0.100, reflecting an </w:t>
      </w:r>
      <w:r w:rsidR="00F302DB" w:rsidRPr="00F60507">
        <w:rPr>
          <w:rFonts w:ascii="Times New Roman" w:hAnsi="Times New Roman" w:cs="Times New Roman"/>
          <w:i/>
          <w:iCs/>
        </w:rPr>
        <w:t xml:space="preserve">inelastic </w:t>
      </w:r>
      <w:proofErr w:type="spellStart"/>
      <w:r w:rsidR="00F302DB" w:rsidRPr="00F60507">
        <w:rPr>
          <w:rFonts w:ascii="Times New Roman" w:hAnsi="Times New Roman" w:cs="Times New Roman"/>
          <w:i/>
          <w:iCs/>
        </w:rPr>
        <w:t>labour</w:t>
      </w:r>
      <w:proofErr w:type="spellEnd"/>
      <w:r w:rsidR="00F302DB" w:rsidRPr="00F60507">
        <w:rPr>
          <w:rFonts w:ascii="Times New Roman" w:hAnsi="Times New Roman" w:cs="Times New Roman"/>
          <w:i/>
          <w:iCs/>
        </w:rPr>
        <w:t xml:space="preserve"> supply and limited responsiveness to monetary </w:t>
      </w:r>
      <w:r w:rsidR="004E1C87" w:rsidRPr="00F60507">
        <w:rPr>
          <w:rFonts w:ascii="Times New Roman" w:hAnsi="Times New Roman" w:cs="Times New Roman"/>
          <w:i/>
          <w:iCs/>
        </w:rPr>
        <w:t>incentives. After</w:t>
      </w:r>
      <w:r w:rsidR="00E6403B" w:rsidRPr="00F60507">
        <w:rPr>
          <w:rFonts w:ascii="Times New Roman" w:hAnsi="Times New Roman" w:cs="Times New Roman"/>
          <w:i/>
          <w:iCs/>
        </w:rPr>
        <w:t xml:space="preserve"> correcting for </w:t>
      </w:r>
      <w:r w:rsidR="004E1C87" w:rsidRPr="00F60507">
        <w:rPr>
          <w:rFonts w:ascii="Times New Roman" w:hAnsi="Times New Roman" w:cs="Times New Roman"/>
          <w:i/>
          <w:iCs/>
        </w:rPr>
        <w:t>endogeneity</w:t>
      </w:r>
      <w:r w:rsidR="00E6403B" w:rsidRPr="00F60507">
        <w:rPr>
          <w:rFonts w:ascii="Times New Roman" w:hAnsi="Times New Roman" w:cs="Times New Roman"/>
          <w:i/>
          <w:iCs/>
        </w:rPr>
        <w:t xml:space="preserve">, the 2SLS results </w:t>
      </w:r>
      <w:r w:rsidR="00291AC5" w:rsidRPr="00F60507">
        <w:rPr>
          <w:rFonts w:ascii="Times New Roman" w:hAnsi="Times New Roman" w:cs="Times New Roman"/>
          <w:i/>
          <w:iCs/>
        </w:rPr>
        <w:t>indicate a higher wage elasticity (1.50) and a negative elasticity for bonuses (-0.38), suggesting</w:t>
      </w:r>
      <w:r w:rsidR="007906CC" w:rsidRPr="00F60507">
        <w:rPr>
          <w:rFonts w:ascii="Times New Roman" w:hAnsi="Times New Roman" w:cs="Times New Roman"/>
          <w:i/>
          <w:iCs/>
        </w:rPr>
        <w:t xml:space="preserve"> the presence of income effects and structural </w:t>
      </w:r>
      <w:r w:rsidR="004E1C87" w:rsidRPr="00F60507">
        <w:rPr>
          <w:rFonts w:ascii="Times New Roman" w:hAnsi="Times New Roman" w:cs="Times New Roman"/>
          <w:i/>
          <w:iCs/>
        </w:rPr>
        <w:t>constraints. Diagnosis</w:t>
      </w:r>
      <w:r w:rsidR="008A1CC2" w:rsidRPr="00F60507">
        <w:rPr>
          <w:rFonts w:ascii="Times New Roman" w:hAnsi="Times New Roman" w:cs="Times New Roman"/>
          <w:i/>
          <w:iCs/>
        </w:rPr>
        <w:t xml:space="preserve"> tests </w:t>
      </w:r>
      <w:r w:rsidR="004E1C87" w:rsidRPr="00F60507">
        <w:rPr>
          <w:rFonts w:ascii="Times New Roman" w:hAnsi="Times New Roman" w:cs="Times New Roman"/>
          <w:i/>
          <w:iCs/>
        </w:rPr>
        <w:t>confirm</w:t>
      </w:r>
      <w:r w:rsidR="008A1CC2" w:rsidRPr="00F60507">
        <w:rPr>
          <w:rFonts w:ascii="Times New Roman" w:hAnsi="Times New Roman" w:cs="Times New Roman"/>
          <w:i/>
          <w:iCs/>
        </w:rPr>
        <w:t xml:space="preserve"> the strength and validity of </w:t>
      </w:r>
      <w:r w:rsidR="004E1C87" w:rsidRPr="00F60507">
        <w:rPr>
          <w:rFonts w:ascii="Times New Roman" w:hAnsi="Times New Roman" w:cs="Times New Roman"/>
          <w:i/>
          <w:iCs/>
        </w:rPr>
        <w:t xml:space="preserve">instruments. The finding </w:t>
      </w:r>
      <w:r w:rsidR="00F90E78" w:rsidRPr="00F60507">
        <w:rPr>
          <w:rFonts w:ascii="Times New Roman" w:hAnsi="Times New Roman" w:cs="Times New Roman"/>
          <w:i/>
          <w:iCs/>
        </w:rPr>
        <w:t>indicates that the monopsonistic condition persists in the coir spinning sector</w:t>
      </w:r>
      <w:r w:rsidR="00291AC5" w:rsidRPr="00F60507">
        <w:rPr>
          <w:rFonts w:ascii="Times New Roman" w:hAnsi="Times New Roman" w:cs="Times New Roman"/>
          <w:i/>
          <w:iCs/>
        </w:rPr>
        <w:t xml:space="preserve">, underscoring the need for measures that enhance the </w:t>
      </w:r>
      <w:r w:rsidR="00F90E78" w:rsidRPr="00F60507">
        <w:rPr>
          <w:rFonts w:ascii="Times New Roman" w:hAnsi="Times New Roman" w:cs="Times New Roman"/>
          <w:i/>
          <w:iCs/>
        </w:rPr>
        <w:t>wage structure, reduce</w:t>
      </w:r>
      <w:r w:rsidR="004E1C87" w:rsidRPr="00F60507">
        <w:rPr>
          <w:rFonts w:ascii="Times New Roman" w:hAnsi="Times New Roman" w:cs="Times New Roman"/>
          <w:i/>
          <w:iCs/>
        </w:rPr>
        <w:t xml:space="preserve"> </w:t>
      </w:r>
      <w:proofErr w:type="spellStart"/>
      <w:r w:rsidR="004E1C87" w:rsidRPr="00F60507">
        <w:rPr>
          <w:rFonts w:ascii="Times New Roman" w:hAnsi="Times New Roman" w:cs="Times New Roman"/>
          <w:i/>
          <w:iCs/>
        </w:rPr>
        <w:t>labour</w:t>
      </w:r>
      <w:proofErr w:type="spellEnd"/>
      <w:r w:rsidR="004E1C87" w:rsidRPr="00F60507">
        <w:rPr>
          <w:rFonts w:ascii="Times New Roman" w:hAnsi="Times New Roman" w:cs="Times New Roman"/>
          <w:i/>
          <w:iCs/>
        </w:rPr>
        <w:t xml:space="preserve"> immobility, and improve workers' welfare.</w:t>
      </w:r>
      <w:r w:rsidR="007906CC" w:rsidRPr="00F60507">
        <w:rPr>
          <w:rFonts w:ascii="Times New Roman" w:hAnsi="Times New Roman" w:cs="Times New Roman"/>
          <w:i/>
          <w:iCs/>
        </w:rPr>
        <w:t xml:space="preserve"> </w:t>
      </w:r>
    </w:p>
    <w:p w14:paraId="10062B44" w14:textId="77777777" w:rsidR="00A80547" w:rsidRPr="00F60507" w:rsidRDefault="00A80547" w:rsidP="00F60507">
      <w:pPr>
        <w:spacing w:line="276" w:lineRule="auto"/>
        <w:jc w:val="both"/>
        <w:rPr>
          <w:rFonts w:ascii="Times New Roman" w:hAnsi="Times New Roman" w:cs="Times New Roman"/>
          <w:i/>
          <w:iCs/>
        </w:rPr>
      </w:pPr>
    </w:p>
    <w:p w14:paraId="7DE4EA6B" w14:textId="1E64E09E" w:rsidR="00974660" w:rsidRPr="00F60507" w:rsidRDefault="006D250E" w:rsidP="00F60507">
      <w:pPr>
        <w:spacing w:line="276" w:lineRule="auto"/>
        <w:jc w:val="both"/>
        <w:rPr>
          <w:rFonts w:ascii="Times New Roman" w:hAnsi="Times New Roman" w:cs="Times New Roman"/>
          <w:i/>
          <w:iCs/>
        </w:rPr>
      </w:pPr>
      <w:r w:rsidRPr="00F60507">
        <w:rPr>
          <w:rFonts w:ascii="Times New Roman" w:hAnsi="Times New Roman" w:cs="Times New Roman"/>
          <w:i/>
          <w:iCs/>
        </w:rPr>
        <w:t>Keywords</w:t>
      </w:r>
      <w:r w:rsidR="00A80547" w:rsidRPr="00F60507">
        <w:rPr>
          <w:rFonts w:ascii="Times New Roman" w:hAnsi="Times New Roman" w:cs="Times New Roman"/>
          <w:i/>
          <w:iCs/>
        </w:rPr>
        <w:t xml:space="preserve">: </w:t>
      </w:r>
      <w:proofErr w:type="spellStart"/>
      <w:r w:rsidR="00A80547" w:rsidRPr="00F60507">
        <w:rPr>
          <w:rFonts w:ascii="Times New Roman" w:hAnsi="Times New Roman" w:cs="Times New Roman"/>
          <w:i/>
          <w:iCs/>
        </w:rPr>
        <w:t>Labour</w:t>
      </w:r>
      <w:proofErr w:type="spellEnd"/>
      <w:r w:rsidR="00A80547" w:rsidRPr="00F60507">
        <w:rPr>
          <w:rFonts w:ascii="Times New Roman" w:hAnsi="Times New Roman" w:cs="Times New Roman"/>
          <w:i/>
          <w:iCs/>
        </w:rPr>
        <w:t xml:space="preserve"> market, Coir industry, Monopsonisti</w:t>
      </w:r>
      <w:bookmarkEnd w:id="0"/>
      <w:r w:rsidR="00524B40" w:rsidRPr="00F60507">
        <w:rPr>
          <w:rFonts w:ascii="Times New Roman" w:hAnsi="Times New Roman" w:cs="Times New Roman"/>
          <w:i/>
          <w:iCs/>
        </w:rPr>
        <w:t xml:space="preserve">c </w:t>
      </w:r>
    </w:p>
    <w:p w14:paraId="556CCC36" w14:textId="77777777" w:rsidR="00524B40" w:rsidRPr="00F60507" w:rsidRDefault="00524B40" w:rsidP="00F60507">
      <w:pPr>
        <w:spacing w:line="276" w:lineRule="auto"/>
        <w:jc w:val="both"/>
        <w:rPr>
          <w:rFonts w:ascii="Times New Roman" w:hAnsi="Times New Roman" w:cs="Times New Roman"/>
          <w:i/>
          <w:iCs/>
        </w:rPr>
      </w:pPr>
    </w:p>
    <w:p w14:paraId="05D57BCE" w14:textId="75557B84" w:rsidR="00DB17C7" w:rsidRPr="00F60507" w:rsidRDefault="00DB17C7" w:rsidP="00F60507">
      <w:pPr>
        <w:pStyle w:val="ListParagraph"/>
        <w:numPr>
          <w:ilvl w:val="0"/>
          <w:numId w:val="11"/>
        </w:numPr>
        <w:spacing w:line="276" w:lineRule="auto"/>
        <w:jc w:val="both"/>
        <w:rPr>
          <w:rFonts w:ascii="Times New Roman" w:hAnsi="Times New Roman" w:cs="Times New Roman"/>
          <w:b/>
          <w:bCs/>
        </w:rPr>
      </w:pPr>
      <w:r w:rsidRPr="00F60507">
        <w:rPr>
          <w:rFonts w:ascii="Times New Roman" w:hAnsi="Times New Roman" w:cs="Times New Roman"/>
          <w:b/>
          <w:bCs/>
        </w:rPr>
        <w:t xml:space="preserve">Introduction </w:t>
      </w:r>
    </w:p>
    <w:p w14:paraId="1181DF56" w14:textId="1603C4DA" w:rsidR="0014443B" w:rsidRPr="00F60507" w:rsidRDefault="00350BAD" w:rsidP="00F60507">
      <w:pPr>
        <w:spacing w:line="276" w:lineRule="auto"/>
        <w:jc w:val="both"/>
        <w:rPr>
          <w:rFonts w:ascii="Times New Roman" w:hAnsi="Times New Roman" w:cs="Times New Roman"/>
        </w:rPr>
      </w:pPr>
      <w:r w:rsidRPr="00F60507">
        <w:rPr>
          <w:rFonts w:ascii="Times New Roman" w:eastAsia="Calibri" w:hAnsi="Times New Roman" w:cs="Times New Roman"/>
          <w:kern w:val="0"/>
          <w:lang w:val="en-IN" w:bidi="ar-SA"/>
          <w14:ligatures w14:val="none"/>
        </w:rPr>
        <w:t xml:space="preserve"> Indian coir industry is the largest producer of coir and accounts for 80 percent of the total </w:t>
      </w:r>
      <w:proofErr w:type="spellStart"/>
      <w:r w:rsidRPr="00F60507">
        <w:rPr>
          <w:rFonts w:ascii="Times New Roman" w:eastAsia="Calibri" w:hAnsi="Times New Roman" w:cs="Times New Roman"/>
          <w:kern w:val="0"/>
          <w:lang w:val="en-IN" w:bidi="ar-SA"/>
          <w14:ligatures w14:val="none"/>
        </w:rPr>
        <w:t>fiber</w:t>
      </w:r>
      <w:proofErr w:type="spellEnd"/>
      <w:r w:rsidRPr="00F60507">
        <w:rPr>
          <w:rFonts w:ascii="Times New Roman" w:eastAsia="Calibri" w:hAnsi="Times New Roman" w:cs="Times New Roman"/>
          <w:kern w:val="0"/>
          <w:lang w:val="en-IN" w:bidi="ar-SA"/>
          <w14:ligatures w14:val="none"/>
        </w:rPr>
        <w:t xml:space="preserve"> produced in the world (Mukherjee, 2018). </w:t>
      </w:r>
      <w:r w:rsidR="0080663B" w:rsidRPr="00F60507">
        <w:rPr>
          <w:rFonts w:ascii="Times New Roman" w:hAnsi="Times New Roman" w:cs="Times New Roman"/>
        </w:rPr>
        <w:t xml:space="preserve"> The coir industry occupies a significant position in the Indian economy, serving as a major source of non-farm employment and the largest exporter of coir yarn (KILE, 2016</w:t>
      </w:r>
      <w:r w:rsidR="00DA06CF" w:rsidRPr="00F60507">
        <w:rPr>
          <w:rFonts w:ascii="Times New Roman" w:hAnsi="Times New Roman" w:cs="Times New Roman"/>
        </w:rPr>
        <w:t>)</w:t>
      </w:r>
      <w:r w:rsidR="002A7834" w:rsidRPr="00F60507">
        <w:rPr>
          <w:rFonts w:ascii="Times New Roman" w:hAnsi="Times New Roman" w:cs="Times New Roman"/>
        </w:rPr>
        <w:t>.</w:t>
      </w:r>
      <w:r w:rsidR="0080663B" w:rsidRPr="00F60507">
        <w:rPr>
          <w:rFonts w:ascii="Times New Roman" w:hAnsi="Times New Roman" w:cs="Times New Roman"/>
        </w:rPr>
        <w:t xml:space="preserve"> </w:t>
      </w:r>
      <w:r w:rsidR="002A7834" w:rsidRPr="00F60507">
        <w:rPr>
          <w:rFonts w:ascii="Times New Roman" w:hAnsi="Times New Roman" w:cs="Times New Roman"/>
        </w:rPr>
        <w:t xml:space="preserve">Kerala, traditionally known as the cradle of the Indian coir sector, has historically enjoyed strong comparative advantages in raw material availability, natural retting environments, and </w:t>
      </w:r>
      <w:r w:rsidR="0080663B" w:rsidRPr="00F60507">
        <w:rPr>
          <w:rFonts w:ascii="Times New Roman" w:hAnsi="Times New Roman" w:cs="Times New Roman"/>
        </w:rPr>
        <w:t xml:space="preserve">an abundant </w:t>
      </w:r>
      <w:proofErr w:type="spellStart"/>
      <w:r w:rsidR="0080663B" w:rsidRPr="00F60507">
        <w:rPr>
          <w:rFonts w:ascii="Times New Roman" w:hAnsi="Times New Roman" w:cs="Times New Roman"/>
        </w:rPr>
        <w:t>labour</w:t>
      </w:r>
      <w:proofErr w:type="spellEnd"/>
      <w:r w:rsidR="0080663B" w:rsidRPr="00F60507">
        <w:rPr>
          <w:rFonts w:ascii="Times New Roman" w:hAnsi="Times New Roman" w:cs="Times New Roman"/>
        </w:rPr>
        <w:t xml:space="preserve"> force</w:t>
      </w:r>
      <w:r w:rsidR="002A7834" w:rsidRPr="00F60507">
        <w:rPr>
          <w:rFonts w:ascii="Times New Roman" w:hAnsi="Times New Roman" w:cs="Times New Roman"/>
        </w:rPr>
        <w:t xml:space="preserve">. Despite this legacy, the industry has been </w:t>
      </w:r>
      <w:r w:rsidR="000E3CD2" w:rsidRPr="00F60507">
        <w:rPr>
          <w:rFonts w:ascii="Times New Roman" w:hAnsi="Times New Roman" w:cs="Times New Roman"/>
        </w:rPr>
        <w:t>characterized by persistent structural challenges, including low productivity, technological stagnation, dependence on powerful intermediaries, and sustained exploitation of workers,</w:t>
      </w:r>
      <w:r w:rsidR="00A751F2" w:rsidRPr="00F60507">
        <w:rPr>
          <w:rFonts w:ascii="Times New Roman" w:hAnsi="Times New Roman" w:cs="Times New Roman"/>
        </w:rPr>
        <w:t xml:space="preserve"> </w:t>
      </w:r>
      <w:r w:rsidR="002A7834" w:rsidRPr="00F60507">
        <w:rPr>
          <w:rFonts w:ascii="Times New Roman" w:hAnsi="Times New Roman" w:cs="Times New Roman"/>
        </w:rPr>
        <w:t xml:space="preserve">most of whom are women from economically vulnerable </w:t>
      </w:r>
      <w:r w:rsidR="00DF44C4" w:rsidRPr="00F60507">
        <w:rPr>
          <w:rFonts w:ascii="Times New Roman" w:hAnsi="Times New Roman" w:cs="Times New Roman"/>
        </w:rPr>
        <w:t>backgrounds. Historical trade structures established during the colonial period entrenched monopolistic and monopsonistic market conditions</w:t>
      </w:r>
      <w:r w:rsidR="00F50599" w:rsidRPr="00F60507">
        <w:rPr>
          <w:rFonts w:ascii="Times New Roman" w:hAnsi="Times New Roman" w:cs="Times New Roman"/>
        </w:rPr>
        <w:t>, resulting in</w:t>
      </w:r>
      <w:r w:rsidR="0080663B" w:rsidRPr="00F60507">
        <w:rPr>
          <w:rFonts w:ascii="Times New Roman" w:hAnsi="Times New Roman" w:cs="Times New Roman"/>
        </w:rPr>
        <w:t xml:space="preserve"> depressed</w:t>
      </w:r>
      <w:r w:rsidR="00DF44C4" w:rsidRPr="00F60507">
        <w:rPr>
          <w:rFonts w:ascii="Times New Roman" w:hAnsi="Times New Roman" w:cs="Times New Roman"/>
        </w:rPr>
        <w:t xml:space="preserve"> wages</w:t>
      </w:r>
      <w:r w:rsidR="00CE44BA" w:rsidRPr="00F60507">
        <w:rPr>
          <w:rFonts w:ascii="Times New Roman" w:hAnsi="Times New Roman" w:cs="Times New Roman"/>
        </w:rPr>
        <w:t>.</w:t>
      </w:r>
      <w:r w:rsidR="00DF44C4" w:rsidRPr="00F60507">
        <w:rPr>
          <w:rFonts w:ascii="Times New Roman" w:hAnsi="Times New Roman" w:cs="Times New Roman"/>
        </w:rPr>
        <w:t xml:space="preserve"> Although various cooperatives and regulatory interventions attempted to improve </w:t>
      </w:r>
      <w:proofErr w:type="spellStart"/>
      <w:r w:rsidR="00DF44C4" w:rsidRPr="00F60507">
        <w:rPr>
          <w:rFonts w:ascii="Times New Roman" w:hAnsi="Times New Roman" w:cs="Times New Roman"/>
        </w:rPr>
        <w:t>labour</w:t>
      </w:r>
      <w:proofErr w:type="spellEnd"/>
      <w:r w:rsidR="00DF44C4" w:rsidRPr="00F60507">
        <w:rPr>
          <w:rFonts w:ascii="Times New Roman" w:hAnsi="Times New Roman" w:cs="Times New Roman"/>
        </w:rPr>
        <w:t xml:space="preserve"> welfare and </w:t>
      </w:r>
      <w:proofErr w:type="spellStart"/>
      <w:r w:rsidR="000E3CD2" w:rsidRPr="00F60507">
        <w:rPr>
          <w:rFonts w:ascii="Times New Roman" w:hAnsi="Times New Roman" w:cs="Times New Roman"/>
        </w:rPr>
        <w:t>stabilise</w:t>
      </w:r>
      <w:proofErr w:type="spellEnd"/>
      <w:r w:rsidR="00F50599" w:rsidRPr="00F60507">
        <w:rPr>
          <w:rFonts w:ascii="Times New Roman" w:hAnsi="Times New Roman" w:cs="Times New Roman"/>
        </w:rPr>
        <w:t xml:space="preserve"> production,</w:t>
      </w:r>
      <w:r w:rsidR="008D1AA7" w:rsidRPr="00F60507">
        <w:rPr>
          <w:rFonts w:ascii="Times New Roman" w:hAnsi="Times New Roman" w:cs="Times New Roman"/>
        </w:rPr>
        <w:t xml:space="preserve"> this failed</w:t>
      </w:r>
      <w:r w:rsidR="00DF44C4" w:rsidRPr="00F60507">
        <w:rPr>
          <w:rFonts w:ascii="Times New Roman" w:hAnsi="Times New Roman" w:cs="Times New Roman"/>
        </w:rPr>
        <w:t xml:space="preserve"> to alter the deep-rooted structural </w:t>
      </w:r>
      <w:r w:rsidR="0080663B" w:rsidRPr="00F60507">
        <w:rPr>
          <w:rFonts w:ascii="Times New Roman" w:hAnsi="Times New Roman" w:cs="Times New Roman"/>
        </w:rPr>
        <w:t xml:space="preserve">imbalances. </w:t>
      </w:r>
    </w:p>
    <w:p w14:paraId="41A769C7" w14:textId="23B749D6" w:rsidR="00EE0A9B" w:rsidRPr="00F60507" w:rsidRDefault="002C45AA" w:rsidP="00F60507">
      <w:pPr>
        <w:spacing w:line="276" w:lineRule="auto"/>
        <w:jc w:val="both"/>
        <w:rPr>
          <w:rFonts w:ascii="Times New Roman" w:hAnsi="Times New Roman" w:cs="Times New Roman"/>
        </w:rPr>
      </w:pPr>
      <w:r w:rsidRPr="00F60507">
        <w:rPr>
          <w:rFonts w:ascii="Times New Roman" w:hAnsi="Times New Roman" w:cs="Times New Roman"/>
        </w:rPr>
        <w:lastRenderedPageBreak/>
        <w:t xml:space="preserve"> Retting, </w:t>
      </w:r>
      <w:proofErr w:type="spellStart"/>
      <w:r w:rsidRPr="00F60507">
        <w:rPr>
          <w:rFonts w:ascii="Times New Roman" w:hAnsi="Times New Roman" w:cs="Times New Roman"/>
        </w:rPr>
        <w:t>defibring</w:t>
      </w:r>
      <w:proofErr w:type="spellEnd"/>
      <w:r w:rsidR="00A751F2" w:rsidRPr="00F60507">
        <w:rPr>
          <w:rFonts w:ascii="Times New Roman" w:hAnsi="Times New Roman" w:cs="Times New Roman"/>
        </w:rPr>
        <w:t>, spinning, and weaving are the major activities</w:t>
      </w:r>
      <w:r w:rsidRPr="00F60507">
        <w:rPr>
          <w:rFonts w:ascii="Times New Roman" w:hAnsi="Times New Roman" w:cs="Times New Roman"/>
        </w:rPr>
        <w:t xml:space="preserve"> in the coir industry. Coir spinning is </w:t>
      </w:r>
      <w:r w:rsidR="00A751F2" w:rsidRPr="00F60507">
        <w:rPr>
          <w:rFonts w:ascii="Times New Roman" w:hAnsi="Times New Roman" w:cs="Times New Roman"/>
        </w:rPr>
        <w:t>an important activity in the coir industry.</w:t>
      </w:r>
      <w:r w:rsidRPr="00F60507">
        <w:rPr>
          <w:rFonts w:ascii="Times New Roman" w:hAnsi="Times New Roman" w:cs="Times New Roman"/>
        </w:rPr>
        <w:t xml:space="preserve"> Coir spinning means converting coir </w:t>
      </w:r>
      <w:proofErr w:type="spellStart"/>
      <w:r w:rsidRPr="00F60507">
        <w:rPr>
          <w:rFonts w:ascii="Times New Roman" w:hAnsi="Times New Roman" w:cs="Times New Roman"/>
        </w:rPr>
        <w:t>fibre</w:t>
      </w:r>
      <w:proofErr w:type="spellEnd"/>
      <w:r w:rsidRPr="00F60507">
        <w:rPr>
          <w:rFonts w:ascii="Times New Roman" w:hAnsi="Times New Roman" w:cs="Times New Roman"/>
        </w:rPr>
        <w:t xml:space="preserve"> into coir </w:t>
      </w:r>
      <w:r w:rsidR="008D1AA7" w:rsidRPr="00F60507">
        <w:rPr>
          <w:rFonts w:ascii="Times New Roman" w:hAnsi="Times New Roman" w:cs="Times New Roman"/>
        </w:rPr>
        <w:t>yarn.</w:t>
      </w:r>
      <w:r w:rsidR="00F2395A" w:rsidRPr="00F60507">
        <w:rPr>
          <w:rFonts w:ascii="Times New Roman" w:hAnsi="Times New Roman" w:cs="Times New Roman"/>
        </w:rPr>
        <w:t xml:space="preserve"> Rammohan (2000) noted that coir yarn has a dual identity, the intermediate and final products. As an intermediate product, yarn is used for weaving into mats and matting. As the final product, coir yarn is used for cultivation, fishing, and construction of houses. Putting out and piece wage systems are the two </w:t>
      </w:r>
      <w:proofErr w:type="spellStart"/>
      <w:r w:rsidR="001C09C6" w:rsidRPr="00F60507">
        <w:rPr>
          <w:rFonts w:ascii="Times New Roman" w:hAnsi="Times New Roman" w:cs="Times New Roman"/>
        </w:rPr>
        <w:t>organisational</w:t>
      </w:r>
      <w:proofErr w:type="spellEnd"/>
      <w:r w:rsidR="00F2395A" w:rsidRPr="00F60507">
        <w:rPr>
          <w:rFonts w:ascii="Times New Roman" w:hAnsi="Times New Roman" w:cs="Times New Roman"/>
        </w:rPr>
        <w:t xml:space="preserve"> forms of production. Whatever its form, production is always visible in the workers' houses.</w:t>
      </w:r>
      <w:r w:rsidR="001C09C6" w:rsidRPr="00F60507">
        <w:rPr>
          <w:rFonts w:ascii="Times New Roman" w:hAnsi="Times New Roman" w:cs="Times New Roman"/>
        </w:rPr>
        <w:t xml:space="preserve"> </w:t>
      </w:r>
      <w:r w:rsidR="00F2395A" w:rsidRPr="00F60507">
        <w:rPr>
          <w:rFonts w:ascii="Times New Roman" w:hAnsi="Times New Roman" w:cs="Times New Roman"/>
        </w:rPr>
        <w:t xml:space="preserve">The coir-spinning </w:t>
      </w:r>
      <w:proofErr w:type="spellStart"/>
      <w:r w:rsidR="00F2395A" w:rsidRPr="00F60507">
        <w:rPr>
          <w:rFonts w:ascii="Times New Roman" w:hAnsi="Times New Roman" w:cs="Times New Roman"/>
        </w:rPr>
        <w:t>labour</w:t>
      </w:r>
      <w:proofErr w:type="spellEnd"/>
      <w:r w:rsidR="00F2395A" w:rsidRPr="00F60507">
        <w:rPr>
          <w:rFonts w:ascii="Times New Roman" w:hAnsi="Times New Roman" w:cs="Times New Roman"/>
        </w:rPr>
        <w:t xml:space="preserve"> market in Kerala employs lakhs of workers, most of whom are women earning very low wages. </w:t>
      </w:r>
      <w:r w:rsidR="00EE0A9B" w:rsidRPr="00F60507">
        <w:rPr>
          <w:rFonts w:ascii="Times New Roman" w:hAnsi="Times New Roman" w:cs="Times New Roman"/>
          <w:color w:val="0E101A"/>
        </w:rPr>
        <w:t xml:space="preserve">Significant works of Issac, Rammohan, and Bordoloi noted the imperfections of coir </w:t>
      </w:r>
      <w:proofErr w:type="spellStart"/>
      <w:r w:rsidR="00F50599" w:rsidRPr="00F60507">
        <w:rPr>
          <w:rFonts w:ascii="Times New Roman" w:hAnsi="Times New Roman" w:cs="Times New Roman"/>
          <w:color w:val="0E101A"/>
        </w:rPr>
        <w:t>labour</w:t>
      </w:r>
      <w:proofErr w:type="spellEnd"/>
      <w:r w:rsidR="00EE0A9B" w:rsidRPr="00F60507">
        <w:rPr>
          <w:rFonts w:ascii="Times New Roman" w:hAnsi="Times New Roman" w:cs="Times New Roman"/>
          <w:color w:val="0E101A"/>
        </w:rPr>
        <w:t xml:space="preserve"> markets and the exploitation of employers. The coir workers were forced to work </w:t>
      </w:r>
      <w:r w:rsidR="00F50599" w:rsidRPr="00F60507">
        <w:rPr>
          <w:rFonts w:ascii="Times New Roman" w:hAnsi="Times New Roman" w:cs="Times New Roman"/>
          <w:color w:val="0E101A"/>
        </w:rPr>
        <w:t xml:space="preserve">for lower wages and had no </w:t>
      </w:r>
      <w:r w:rsidR="00EE0A9B" w:rsidRPr="00F60507">
        <w:rPr>
          <w:rFonts w:ascii="Times New Roman" w:hAnsi="Times New Roman" w:cs="Times New Roman"/>
          <w:color w:val="0E101A"/>
        </w:rPr>
        <w:t>job security. They also face frictions</w:t>
      </w:r>
      <w:r w:rsidR="00F50599" w:rsidRPr="00F60507">
        <w:rPr>
          <w:rFonts w:ascii="Times New Roman" w:hAnsi="Times New Roman" w:cs="Times New Roman"/>
          <w:color w:val="0E101A"/>
        </w:rPr>
        <w:t>, such as</w:t>
      </w:r>
      <w:r w:rsidR="00EE0A9B" w:rsidRPr="00F60507">
        <w:rPr>
          <w:rFonts w:ascii="Times New Roman" w:hAnsi="Times New Roman" w:cs="Times New Roman"/>
          <w:color w:val="0E101A"/>
        </w:rPr>
        <w:t xml:space="preserve"> family constraints and preferences. This will lead to some monopsonistic power to the employer; further, workers face exploitation in the form of lower wages</w:t>
      </w:r>
    </w:p>
    <w:p w14:paraId="1BB7356E" w14:textId="1B4FCE60" w:rsidR="00F9492B" w:rsidRPr="00F60507" w:rsidRDefault="0014443B" w:rsidP="00F60507">
      <w:pPr>
        <w:pStyle w:val="ListParagraph"/>
        <w:numPr>
          <w:ilvl w:val="0"/>
          <w:numId w:val="10"/>
        </w:numPr>
        <w:spacing w:line="276" w:lineRule="auto"/>
        <w:jc w:val="both"/>
        <w:rPr>
          <w:rFonts w:ascii="Times New Roman" w:hAnsi="Times New Roman" w:cs="Times New Roman"/>
          <w:b/>
          <w:bCs/>
        </w:rPr>
      </w:pPr>
      <w:r w:rsidRPr="00F60507">
        <w:rPr>
          <w:rFonts w:ascii="Times New Roman" w:hAnsi="Times New Roman" w:cs="Times New Roman"/>
          <w:b/>
          <w:bCs/>
        </w:rPr>
        <w:t xml:space="preserve">Existing Literature and Theoretical </w:t>
      </w:r>
      <w:r w:rsidR="0080663B" w:rsidRPr="00F60507">
        <w:rPr>
          <w:rFonts w:ascii="Times New Roman" w:hAnsi="Times New Roman" w:cs="Times New Roman"/>
          <w:b/>
          <w:bCs/>
        </w:rPr>
        <w:t>Background</w:t>
      </w:r>
      <w:r w:rsidRPr="00F60507">
        <w:rPr>
          <w:rFonts w:ascii="Times New Roman" w:hAnsi="Times New Roman" w:cs="Times New Roman"/>
          <w:b/>
          <w:bCs/>
        </w:rPr>
        <w:t xml:space="preserve"> </w:t>
      </w:r>
    </w:p>
    <w:p w14:paraId="2F63245E" w14:textId="47883AEF" w:rsidR="0082757A" w:rsidRPr="00F60507" w:rsidRDefault="00BA01F4" w:rsidP="00F60507">
      <w:pPr>
        <w:spacing w:line="276" w:lineRule="auto"/>
        <w:jc w:val="both"/>
        <w:rPr>
          <w:rFonts w:ascii="Times New Roman" w:hAnsi="Times New Roman" w:cs="Times New Roman"/>
          <w:color w:val="0E101A"/>
        </w:rPr>
      </w:pPr>
      <w:r w:rsidRPr="00F60507">
        <w:rPr>
          <w:rFonts w:ascii="Times New Roman" w:hAnsi="Times New Roman" w:cs="Times New Roman"/>
          <w:color w:val="0E101A"/>
        </w:rPr>
        <w:t xml:space="preserve"> The Kerala State Industrial Development Corporation (2004) reveals that the availability of an abundant workforce and the lack of alternative employment opportunities in the state's coastal belt are among the crucial factors contributing</w:t>
      </w:r>
      <w:r w:rsidR="008452E8" w:rsidRPr="00F60507">
        <w:rPr>
          <w:rFonts w:ascii="Times New Roman" w:hAnsi="Times New Roman" w:cs="Times New Roman"/>
          <w:color w:val="0E101A"/>
        </w:rPr>
        <w:t xml:space="preserve"> to the growth of the coir industry in Kerala. Issac and Ragavan (1990)</w:t>
      </w:r>
      <w:r w:rsidRPr="00F60507">
        <w:rPr>
          <w:rFonts w:ascii="Times New Roman" w:hAnsi="Times New Roman" w:cs="Times New Roman"/>
          <w:color w:val="0E101A"/>
        </w:rPr>
        <w:t xml:space="preserve"> show that traditional industries like coir mainly played the role of a </w:t>
      </w:r>
      <w:r w:rsidR="008452E8" w:rsidRPr="00F60507">
        <w:rPr>
          <w:rFonts w:ascii="Times New Roman" w:hAnsi="Times New Roman" w:cs="Times New Roman"/>
          <w:color w:val="0E101A"/>
        </w:rPr>
        <w:t>residual employment sector, accommodating the surplus workers and industry providing income generation and export promotion.</w:t>
      </w:r>
    </w:p>
    <w:p w14:paraId="0EBDBD9B" w14:textId="704FAF2B" w:rsidR="008452E8" w:rsidRPr="00F60507" w:rsidRDefault="0082757A" w:rsidP="00F60507">
      <w:pPr>
        <w:spacing w:line="276" w:lineRule="auto"/>
        <w:jc w:val="both"/>
        <w:rPr>
          <w:rFonts w:ascii="Times New Roman" w:hAnsi="Times New Roman" w:cs="Times New Roman"/>
          <w:color w:val="0E101A"/>
        </w:rPr>
      </w:pPr>
      <w:r w:rsidRPr="00F60507">
        <w:rPr>
          <w:rFonts w:ascii="Times New Roman" w:hAnsi="Times New Roman" w:cs="Times New Roman"/>
        </w:rPr>
        <w:t xml:space="preserve">Balakrishnan (2005) notes that the colonial production structure continued even after independence, resulting in severe exploitation and the denial of minimum wages to coir workers. Issac (1990) </w:t>
      </w:r>
      <w:r w:rsidR="000E3CD2" w:rsidRPr="00F60507">
        <w:rPr>
          <w:rFonts w:ascii="Times New Roman" w:hAnsi="Times New Roman" w:cs="Times New Roman"/>
        </w:rPr>
        <w:t>emphasizes</w:t>
      </w:r>
      <w:r w:rsidR="007930DC" w:rsidRPr="00F60507">
        <w:rPr>
          <w:rFonts w:ascii="Times New Roman" w:hAnsi="Times New Roman" w:cs="Times New Roman"/>
        </w:rPr>
        <w:t xml:space="preserve"> the highly </w:t>
      </w:r>
      <w:r w:rsidR="000E3CD2" w:rsidRPr="00F60507">
        <w:rPr>
          <w:rFonts w:ascii="Times New Roman" w:hAnsi="Times New Roman" w:cs="Times New Roman"/>
        </w:rPr>
        <w:t>labor-intensive</w:t>
      </w:r>
      <w:r w:rsidRPr="00F60507">
        <w:rPr>
          <w:rFonts w:ascii="Times New Roman" w:hAnsi="Times New Roman" w:cs="Times New Roman"/>
        </w:rPr>
        <w:t xml:space="preserve"> and fragmented production system, where intermediaries dominate the raw material market. Several studies, including Anandan (2009), Latha (2018) and KITCO (2005), reveal that women workers face multiple socio-economic hardships and remain among the lowest paid in the industry. Further, KILE (2016) and Issac &amp; Mathai (2017) report that many coir cooperative societies struggle to survive due to poor financial conditions and persistently low wages. Jose (2002) also highlights the deteriorating condition of coir </w:t>
      </w:r>
      <w:r w:rsidR="00BB1ABF" w:rsidRPr="00F60507">
        <w:rPr>
          <w:rFonts w:ascii="Times New Roman" w:hAnsi="Times New Roman" w:cs="Times New Roman"/>
        </w:rPr>
        <w:t xml:space="preserve">cooperatives. With the help of the coir census 2008, Indu (2015) reveals that the significant source supply of raw material for all units was middlemen or </w:t>
      </w:r>
      <w:r w:rsidR="00F60507" w:rsidRPr="00F60507">
        <w:rPr>
          <w:rFonts w:ascii="Times New Roman" w:hAnsi="Times New Roman" w:cs="Times New Roman"/>
        </w:rPr>
        <w:t>agent. The</w:t>
      </w:r>
      <w:r w:rsidR="001C09C6" w:rsidRPr="00F60507">
        <w:rPr>
          <w:rFonts w:ascii="Times New Roman" w:hAnsi="Times New Roman" w:cs="Times New Roman"/>
        </w:rPr>
        <w:t xml:space="preserve"> middlemen are crucial in acquiring the </w:t>
      </w:r>
      <w:proofErr w:type="spellStart"/>
      <w:r w:rsidR="001C09C6" w:rsidRPr="00F60507">
        <w:rPr>
          <w:rFonts w:ascii="Times New Roman" w:hAnsi="Times New Roman" w:cs="Times New Roman"/>
        </w:rPr>
        <w:t>fibre</w:t>
      </w:r>
      <w:proofErr w:type="spellEnd"/>
      <w:r w:rsidR="001C09C6" w:rsidRPr="00F60507">
        <w:rPr>
          <w:rFonts w:ascii="Times New Roman" w:hAnsi="Times New Roman" w:cs="Times New Roman"/>
        </w:rPr>
        <w:t xml:space="preserve"> for cooperatives, although the importance of coir-fed and </w:t>
      </w:r>
      <w:proofErr w:type="spellStart"/>
      <w:r w:rsidR="001C09C6" w:rsidRPr="00F60507">
        <w:rPr>
          <w:rFonts w:ascii="Times New Roman" w:hAnsi="Times New Roman" w:cs="Times New Roman"/>
        </w:rPr>
        <w:t>fibre</w:t>
      </w:r>
      <w:proofErr w:type="spellEnd"/>
      <w:r w:rsidR="001C09C6" w:rsidRPr="00F60507">
        <w:rPr>
          <w:rFonts w:ascii="Times New Roman" w:hAnsi="Times New Roman" w:cs="Times New Roman"/>
        </w:rPr>
        <w:t xml:space="preserve"> cooperatives was minimal. </w:t>
      </w:r>
      <w:r w:rsidRPr="00F60507">
        <w:rPr>
          <w:rFonts w:ascii="Times New Roman" w:hAnsi="Times New Roman" w:cs="Times New Roman"/>
        </w:rPr>
        <w:t xml:space="preserve"> Earlier, Issac (1983) pointed out that workers and small producers are caught between monopolistic husk markets and monopsonistic yarn markets, leaving them at subsistence levels. Social dimensions are also significant: Rammohan (1999) shows that caste- and gender-based </w:t>
      </w:r>
      <w:proofErr w:type="spellStart"/>
      <w:r w:rsidRPr="00F60507">
        <w:rPr>
          <w:rFonts w:ascii="Times New Roman" w:hAnsi="Times New Roman" w:cs="Times New Roman"/>
        </w:rPr>
        <w:t>labour</w:t>
      </w:r>
      <w:proofErr w:type="spellEnd"/>
      <w:r w:rsidRPr="00F60507">
        <w:rPr>
          <w:rFonts w:ascii="Times New Roman" w:hAnsi="Times New Roman" w:cs="Times New Roman"/>
        </w:rPr>
        <w:t xml:space="preserve"> divisions remain deeply rooted, with lower-caste communities, particularly </w:t>
      </w:r>
      <w:proofErr w:type="spellStart"/>
      <w:r w:rsidRPr="00F60507">
        <w:rPr>
          <w:rFonts w:ascii="Times New Roman" w:hAnsi="Times New Roman" w:cs="Times New Roman"/>
        </w:rPr>
        <w:t>Ezhavas</w:t>
      </w:r>
      <w:proofErr w:type="spellEnd"/>
      <w:r w:rsidRPr="00F60507">
        <w:rPr>
          <w:rFonts w:ascii="Times New Roman" w:hAnsi="Times New Roman" w:cs="Times New Roman"/>
        </w:rPr>
        <w:t xml:space="preserve"> and </w:t>
      </w:r>
      <w:proofErr w:type="spellStart"/>
      <w:r w:rsidRPr="00F60507">
        <w:rPr>
          <w:rFonts w:ascii="Times New Roman" w:hAnsi="Times New Roman" w:cs="Times New Roman"/>
        </w:rPr>
        <w:t>Pulayas</w:t>
      </w:r>
      <w:proofErr w:type="spellEnd"/>
      <w:r w:rsidRPr="00F60507">
        <w:rPr>
          <w:rFonts w:ascii="Times New Roman" w:hAnsi="Times New Roman" w:cs="Times New Roman"/>
        </w:rPr>
        <w:t>, forming the major workforce. Rammohan and Sundaresan (2003) further argue that coir workers</w:t>
      </w:r>
      <w:r w:rsidR="00383A71" w:rsidRPr="00F60507">
        <w:rPr>
          <w:rFonts w:ascii="Times New Roman" w:hAnsi="Times New Roman" w:cs="Times New Roman"/>
        </w:rPr>
        <w:t>, especially women from lower castes,</w:t>
      </w:r>
      <w:r w:rsidR="00863E00" w:rsidRPr="00F60507">
        <w:rPr>
          <w:rFonts w:ascii="Times New Roman" w:hAnsi="Times New Roman" w:cs="Times New Roman"/>
        </w:rPr>
        <w:t xml:space="preserve"> </w:t>
      </w:r>
      <w:r w:rsidRPr="00F60507">
        <w:rPr>
          <w:rFonts w:ascii="Times New Roman" w:hAnsi="Times New Roman" w:cs="Times New Roman"/>
        </w:rPr>
        <w:t>belong to the poorest rural groups and often work in strenuous, unhygienic conditions. Consistent with this, Bordoloi (2017) notes that 80</w:t>
      </w:r>
      <w:r w:rsidR="00863E00" w:rsidRPr="00F60507">
        <w:rPr>
          <w:rFonts w:ascii="Times New Roman" w:hAnsi="Times New Roman" w:cs="Times New Roman"/>
        </w:rPr>
        <w:t xml:space="preserve"> to </w:t>
      </w:r>
      <w:r w:rsidRPr="00F60507">
        <w:rPr>
          <w:rFonts w:ascii="Times New Roman" w:hAnsi="Times New Roman" w:cs="Times New Roman"/>
        </w:rPr>
        <w:t xml:space="preserve">85 percent of workers are women, and despite poor working conditions, they remain in the sector due to lack of alternative employment and an abundant </w:t>
      </w:r>
      <w:proofErr w:type="spellStart"/>
      <w:r w:rsidRPr="00F60507">
        <w:rPr>
          <w:rFonts w:ascii="Times New Roman" w:hAnsi="Times New Roman" w:cs="Times New Roman"/>
        </w:rPr>
        <w:t>labour</w:t>
      </w:r>
      <w:proofErr w:type="spellEnd"/>
      <w:r w:rsidRPr="00F60507">
        <w:rPr>
          <w:rFonts w:ascii="Times New Roman" w:hAnsi="Times New Roman" w:cs="Times New Roman"/>
        </w:rPr>
        <w:t xml:space="preserve"> </w:t>
      </w:r>
      <w:r w:rsidR="00BA01F4" w:rsidRPr="00F60507">
        <w:rPr>
          <w:rFonts w:ascii="Times New Roman" w:hAnsi="Times New Roman" w:cs="Times New Roman"/>
        </w:rPr>
        <w:t xml:space="preserve">supply. Existing studies highlight the </w:t>
      </w:r>
      <w:r w:rsidR="00BA01F4" w:rsidRPr="00F60507">
        <w:rPr>
          <w:rFonts w:ascii="Times New Roman" w:hAnsi="Times New Roman" w:cs="Times New Roman"/>
        </w:rPr>
        <w:lastRenderedPageBreak/>
        <w:t>persistent structural weaknesses of the coir industry and their consequences for workers’ welfare</w:t>
      </w:r>
    </w:p>
    <w:p w14:paraId="64BBBC50" w14:textId="4FF54B26" w:rsidR="0082757A" w:rsidRPr="00F60507" w:rsidRDefault="00562A2B" w:rsidP="00F60507">
      <w:pPr>
        <w:pStyle w:val="NormalWeb"/>
        <w:spacing w:before="0" w:beforeAutospacing="0" w:after="0" w:afterAutospacing="0" w:line="276" w:lineRule="auto"/>
        <w:jc w:val="both"/>
        <w:rPr>
          <w:color w:val="0E101A"/>
        </w:rPr>
      </w:pPr>
      <w:r w:rsidRPr="00F60507">
        <w:t xml:space="preserve">Research on monopsony power and </w:t>
      </w:r>
      <w:proofErr w:type="spellStart"/>
      <w:r w:rsidRPr="00F60507">
        <w:t>labour</w:t>
      </w:r>
      <w:proofErr w:type="spellEnd"/>
      <w:r w:rsidRPr="00F60507">
        <w:t xml:space="preserve"> market imperfections </w:t>
      </w:r>
      <w:r w:rsidR="00A751F2" w:rsidRPr="00F60507">
        <w:t>emphasizes</w:t>
      </w:r>
      <w:r w:rsidRPr="00F60507">
        <w:t xml:space="preserve"> the role of worker immobility and limited job alternatives in shaping wage outcomes. Ashenfelter</w:t>
      </w:r>
      <w:r w:rsidR="00056F2E" w:rsidRPr="00F60507">
        <w:t xml:space="preserve">. </w:t>
      </w:r>
      <w:r w:rsidR="00383A71" w:rsidRPr="00F60507">
        <w:t>et al. (2010) and Yeh et al.</w:t>
      </w:r>
      <w:r w:rsidR="00056F2E" w:rsidRPr="00F60507">
        <w:t xml:space="preserve"> </w:t>
      </w:r>
      <w:r w:rsidRPr="00F60507">
        <w:t xml:space="preserve">(2022) highlight that firms can pay below competitive wages when </w:t>
      </w:r>
      <w:proofErr w:type="spellStart"/>
      <w:r w:rsidRPr="00F60507">
        <w:t>labour</w:t>
      </w:r>
      <w:proofErr w:type="spellEnd"/>
      <w:r w:rsidRPr="00F60507">
        <w:t xml:space="preserve"> supply is inelastic. Manning and Langella (2021) measure monopsony through </w:t>
      </w:r>
      <w:proofErr w:type="spellStart"/>
      <w:r w:rsidRPr="00F60507">
        <w:t>labour</w:t>
      </w:r>
      <w:proofErr w:type="spellEnd"/>
      <w:r w:rsidRPr="00F60507">
        <w:t xml:space="preserve"> supply elasticity, showing that lower elasticities indicate stronger employer control. Stansbury and Summers (2020) link declining worker power to stagnant wage growth, while Wiltshire (2022) demonstrates how low-wage employers dominate local markets. </w:t>
      </w:r>
      <w:r w:rsidR="000B0293" w:rsidRPr="00F60507">
        <w:t xml:space="preserve">Bassier et.al </w:t>
      </w:r>
      <w:r w:rsidRPr="00F60507">
        <w:t xml:space="preserve">(2022) find persistent monopsonistic effects even among job switchers. Low wages and wage inequality as the two major challenges faced by India. </w:t>
      </w:r>
      <w:r w:rsidRPr="00F60507">
        <w:rPr>
          <w:color w:val="0E101A"/>
        </w:rPr>
        <w:t>Wiltshire (2022)</w:t>
      </w:r>
      <w:r w:rsidR="000E3CD2" w:rsidRPr="00F60507">
        <w:rPr>
          <w:color w:val="0E101A"/>
        </w:rPr>
        <w:t xml:space="preserve"> refers to the bargaining power and </w:t>
      </w:r>
      <w:proofErr w:type="spellStart"/>
      <w:r w:rsidR="000E3CD2" w:rsidRPr="00F60507">
        <w:rPr>
          <w:color w:val="0E101A"/>
        </w:rPr>
        <w:t>labour</w:t>
      </w:r>
      <w:proofErr w:type="spellEnd"/>
      <w:r w:rsidR="000E3CD2" w:rsidRPr="00F60507">
        <w:rPr>
          <w:color w:val="0E101A"/>
        </w:rPr>
        <w:t xml:space="preserve"> market frictions faced by workers through monopsony</w:t>
      </w:r>
      <w:r w:rsidRPr="00F60507">
        <w:rPr>
          <w:color w:val="0E101A"/>
        </w:rPr>
        <w:t xml:space="preserve">. As a result, firms or employers have the ability to set wages below the productivity of the workers. In other words, the term monopsony is not used in the sense of a single buyer but because the supply of </w:t>
      </w:r>
      <w:proofErr w:type="spellStart"/>
      <w:r w:rsidR="000E3CD2" w:rsidRPr="00F60507">
        <w:rPr>
          <w:color w:val="0E101A"/>
        </w:rPr>
        <w:t>labour</w:t>
      </w:r>
      <w:proofErr w:type="spellEnd"/>
      <w:r w:rsidRPr="00F60507">
        <w:rPr>
          <w:color w:val="0E101A"/>
        </w:rPr>
        <w:t xml:space="preserve"> to a firm is not infinitely elastic with a horizontal supply curve (Manning, 2003). </w:t>
      </w:r>
    </w:p>
    <w:p w14:paraId="69B72CA1" w14:textId="0DA37F0F" w:rsidR="007930DC" w:rsidRPr="00F60507" w:rsidRDefault="008452E8" w:rsidP="00F60507">
      <w:pPr>
        <w:pStyle w:val="NormalWeb"/>
        <w:spacing w:before="0" w:beforeAutospacing="0" w:after="0" w:afterAutospacing="0" w:line="276" w:lineRule="auto"/>
        <w:jc w:val="both"/>
        <w:rPr>
          <w:color w:val="0E101A"/>
        </w:rPr>
      </w:pPr>
      <w:r w:rsidRPr="00F60507">
        <w:rPr>
          <w:color w:val="0E101A"/>
        </w:rPr>
        <w:t>Further, unlike most of the significant works on the coir sector in Kerala, such as Issac (1982, 1983, and 1985) and Kannan (1999), who analyzed the functioning labor market in the coir sector based on Marxian theoretical framework, this study is an attempt to analyze the labor market in the coir sector based on the neo-classical framework on factor pricing</w:t>
      </w:r>
      <w:r w:rsidR="00E00412" w:rsidRPr="00F60507">
        <w:rPr>
          <w:color w:val="0E101A"/>
        </w:rPr>
        <w:t>.</w:t>
      </w:r>
      <w:r w:rsidRPr="00F60507">
        <w:rPr>
          <w:color w:val="0E101A"/>
        </w:rPr>
        <w:t xml:space="preserve"> </w:t>
      </w:r>
      <w:r w:rsidR="000E3CD2" w:rsidRPr="00F60507">
        <w:rPr>
          <w:color w:val="0E101A"/>
        </w:rPr>
        <w:t>Neoclassical</w:t>
      </w:r>
      <w:r w:rsidR="00A751F2" w:rsidRPr="00F60507">
        <w:rPr>
          <w:color w:val="0E101A"/>
        </w:rPr>
        <w:t xml:space="preserve"> factor pricing theories </w:t>
      </w:r>
      <w:r w:rsidR="000E3CD2" w:rsidRPr="00F60507">
        <w:rPr>
          <w:color w:val="0E101A"/>
        </w:rPr>
        <w:t xml:space="preserve">suggest that while wage rates and employment levels are highest under a perfectly competitive </w:t>
      </w:r>
      <w:proofErr w:type="spellStart"/>
      <w:r w:rsidR="000E3CD2" w:rsidRPr="00F60507">
        <w:rPr>
          <w:color w:val="0E101A"/>
        </w:rPr>
        <w:t>labour</w:t>
      </w:r>
      <w:proofErr w:type="spellEnd"/>
      <w:r w:rsidR="000E3CD2" w:rsidRPr="00F60507">
        <w:rPr>
          <w:color w:val="0E101A"/>
        </w:rPr>
        <w:t xml:space="preserve"> market, workers are likely to</w:t>
      </w:r>
      <w:r w:rsidR="00A751F2" w:rsidRPr="00F60507">
        <w:rPr>
          <w:color w:val="0E101A"/>
        </w:rPr>
        <w:t xml:space="preserve"> be exploited in terms of lower wages and employment levels under an imperfectly competitive </w:t>
      </w:r>
      <w:proofErr w:type="spellStart"/>
      <w:r w:rsidR="00A751F2" w:rsidRPr="00F60507">
        <w:rPr>
          <w:color w:val="0E101A"/>
        </w:rPr>
        <w:t>labour</w:t>
      </w:r>
      <w:proofErr w:type="spellEnd"/>
      <w:r w:rsidRPr="00F60507">
        <w:rPr>
          <w:color w:val="0E101A"/>
        </w:rPr>
        <w:t xml:space="preserve"> market. Incidentally, studies clearly </w:t>
      </w:r>
      <w:r w:rsidR="00A751F2" w:rsidRPr="00F60507">
        <w:rPr>
          <w:color w:val="0E101A"/>
        </w:rPr>
        <w:t>indicate that middlemen and exporters in the coir sector continue to control the prices</w:t>
      </w:r>
      <w:r w:rsidRPr="00F60507">
        <w:rPr>
          <w:color w:val="0E101A"/>
        </w:rPr>
        <w:t xml:space="preserve"> of raw materials and final products (Anandan, 2009; KILE, 2016). </w:t>
      </w:r>
      <w:r w:rsidR="007930DC" w:rsidRPr="00F60507">
        <w:rPr>
          <w:color w:val="0E101A"/>
        </w:rPr>
        <w:t xml:space="preserve">Thus, although the imperfectly competitive nature of the </w:t>
      </w:r>
      <w:proofErr w:type="spellStart"/>
      <w:r w:rsidR="00604C16" w:rsidRPr="00F60507">
        <w:rPr>
          <w:color w:val="0E101A"/>
        </w:rPr>
        <w:t>labour</w:t>
      </w:r>
      <w:proofErr w:type="spellEnd"/>
      <w:r w:rsidR="00604C16" w:rsidRPr="00F60507">
        <w:rPr>
          <w:color w:val="0E101A"/>
        </w:rPr>
        <w:t xml:space="preserve"> market in the coir industry is widely documented in the literature, there is relatively little evidence of the quantitative significance of the imperfect nature of the </w:t>
      </w:r>
      <w:proofErr w:type="spellStart"/>
      <w:r w:rsidR="00604C16" w:rsidRPr="00F60507">
        <w:rPr>
          <w:color w:val="0E101A"/>
        </w:rPr>
        <w:t>labour</w:t>
      </w:r>
      <w:proofErr w:type="spellEnd"/>
      <w:r w:rsidR="007930DC" w:rsidRPr="00F60507">
        <w:rPr>
          <w:color w:val="0E101A"/>
        </w:rPr>
        <w:t xml:space="preserve"> market in the coir industry. Therefore, this study aims to contribute to the literature by quantifying the extent or strength of monopsony power in the </w:t>
      </w:r>
      <w:proofErr w:type="spellStart"/>
      <w:r w:rsidR="00604C16" w:rsidRPr="00F60507">
        <w:rPr>
          <w:color w:val="0E101A"/>
        </w:rPr>
        <w:t>labour</w:t>
      </w:r>
      <w:proofErr w:type="spellEnd"/>
      <w:r w:rsidR="007930DC" w:rsidRPr="00F60507">
        <w:rPr>
          <w:color w:val="0E101A"/>
        </w:rPr>
        <w:t xml:space="preserve"> market in the coir industry and explaining its implications on the welfare of workers. </w:t>
      </w:r>
    </w:p>
    <w:p w14:paraId="01E454DB" w14:textId="333814E6" w:rsidR="007930DC" w:rsidRPr="00F60507" w:rsidRDefault="000B77DA" w:rsidP="00F60507">
      <w:pPr>
        <w:pStyle w:val="NormalWeb"/>
        <w:spacing w:before="0" w:beforeAutospacing="0" w:after="0" w:afterAutospacing="0" w:line="276" w:lineRule="auto"/>
        <w:jc w:val="both"/>
      </w:pPr>
      <w:r w:rsidRPr="00F60507">
        <w:t xml:space="preserve"> </w:t>
      </w:r>
    </w:p>
    <w:p w14:paraId="3B376DF5" w14:textId="4B77AC2B" w:rsidR="000B77DA" w:rsidRPr="00F60507" w:rsidRDefault="00507265" w:rsidP="00F60507">
      <w:pPr>
        <w:pStyle w:val="NormalWeb"/>
        <w:numPr>
          <w:ilvl w:val="0"/>
          <w:numId w:val="10"/>
        </w:numPr>
        <w:spacing w:before="0" w:beforeAutospacing="0" w:after="0" w:afterAutospacing="0" w:line="276" w:lineRule="auto"/>
        <w:jc w:val="both"/>
        <w:rPr>
          <w:b/>
          <w:bCs/>
        </w:rPr>
      </w:pPr>
      <w:r w:rsidRPr="00F60507">
        <w:rPr>
          <w:b/>
          <w:bCs/>
        </w:rPr>
        <w:t xml:space="preserve"> </w:t>
      </w:r>
      <w:r w:rsidR="00A538DA" w:rsidRPr="00F60507">
        <w:rPr>
          <w:b/>
          <w:bCs/>
        </w:rPr>
        <w:t xml:space="preserve">Methodology and Data </w:t>
      </w:r>
      <w:r w:rsidR="00A751F2" w:rsidRPr="00F60507">
        <w:rPr>
          <w:b/>
          <w:bCs/>
        </w:rPr>
        <w:t>Sources</w:t>
      </w:r>
      <w:r w:rsidR="00A538DA" w:rsidRPr="00F60507">
        <w:rPr>
          <w:b/>
          <w:bCs/>
        </w:rPr>
        <w:t xml:space="preserve"> </w:t>
      </w:r>
    </w:p>
    <w:p w14:paraId="1B76E0D3" w14:textId="50EF9F22" w:rsidR="00A538DA" w:rsidRPr="00F60507" w:rsidRDefault="002E2436" w:rsidP="00F60507">
      <w:pPr>
        <w:spacing w:line="276" w:lineRule="auto"/>
        <w:jc w:val="both"/>
        <w:rPr>
          <w:rFonts w:ascii="Times New Roman" w:hAnsi="Times New Roman" w:cs="Times New Roman"/>
        </w:rPr>
      </w:pPr>
      <w:r w:rsidRPr="00F60507">
        <w:rPr>
          <w:rFonts w:ascii="Times New Roman" w:hAnsi="Times New Roman" w:cs="Times New Roman"/>
        </w:rPr>
        <w:t xml:space="preserve">This study estimates the degree of monopsony power in the coir spinning by </w:t>
      </w:r>
      <w:r w:rsidR="000E3CD2" w:rsidRPr="00F60507">
        <w:rPr>
          <w:rFonts w:ascii="Times New Roman" w:hAnsi="Times New Roman" w:cs="Times New Roman"/>
        </w:rPr>
        <w:t>examining</w:t>
      </w:r>
      <w:r w:rsidRPr="00F60507">
        <w:rPr>
          <w:rFonts w:ascii="Times New Roman" w:hAnsi="Times New Roman" w:cs="Times New Roman"/>
        </w:rPr>
        <w:t xml:space="preserve"> the elasticity of </w:t>
      </w:r>
      <w:proofErr w:type="spellStart"/>
      <w:r w:rsidRPr="00F60507">
        <w:rPr>
          <w:rFonts w:ascii="Times New Roman" w:hAnsi="Times New Roman" w:cs="Times New Roman"/>
        </w:rPr>
        <w:t>labour</w:t>
      </w:r>
      <w:proofErr w:type="spellEnd"/>
      <w:r w:rsidRPr="00F60507">
        <w:rPr>
          <w:rFonts w:ascii="Times New Roman" w:hAnsi="Times New Roman" w:cs="Times New Roman"/>
        </w:rPr>
        <w:t xml:space="preserve"> supply faced by </w:t>
      </w:r>
      <w:r w:rsidR="00A751F2" w:rsidRPr="00F60507">
        <w:rPr>
          <w:rFonts w:ascii="Times New Roman" w:hAnsi="Times New Roman" w:cs="Times New Roman"/>
        </w:rPr>
        <w:t>firms. The</w:t>
      </w:r>
      <w:r w:rsidRPr="00F60507">
        <w:rPr>
          <w:rFonts w:ascii="Times New Roman" w:hAnsi="Times New Roman" w:cs="Times New Roman"/>
        </w:rPr>
        <w:t xml:space="preserve"> following </w:t>
      </w:r>
      <w:r w:rsidR="00A751F2" w:rsidRPr="00F60507">
        <w:rPr>
          <w:rFonts w:ascii="Times New Roman" w:hAnsi="Times New Roman" w:cs="Times New Roman"/>
        </w:rPr>
        <w:t>empirical and theoretical approaches</w:t>
      </w:r>
      <w:r w:rsidR="000E3CD2" w:rsidRPr="00F60507">
        <w:rPr>
          <w:rFonts w:ascii="Times New Roman" w:hAnsi="Times New Roman" w:cs="Times New Roman"/>
        </w:rPr>
        <w:t xml:space="preserve">, developed by Manning (2003), Falch (2010), and Langella and Manning (2021), provide a direct measure of the extent of </w:t>
      </w:r>
      <w:proofErr w:type="spellStart"/>
      <w:r w:rsidR="000E3CD2" w:rsidRPr="00F60507">
        <w:rPr>
          <w:rFonts w:ascii="Times New Roman" w:hAnsi="Times New Roman" w:cs="Times New Roman"/>
        </w:rPr>
        <w:t>labour</w:t>
      </w:r>
      <w:proofErr w:type="spellEnd"/>
      <w:r w:rsidR="000E3CD2" w:rsidRPr="00F60507">
        <w:rPr>
          <w:rFonts w:ascii="Times New Roman" w:hAnsi="Times New Roman" w:cs="Times New Roman"/>
        </w:rPr>
        <w:t xml:space="preserve"> market imperfection</w:t>
      </w:r>
      <w:r w:rsidR="009065BD" w:rsidRPr="00F60507">
        <w:rPr>
          <w:rFonts w:ascii="Times New Roman" w:hAnsi="Times New Roman" w:cs="Times New Roman"/>
        </w:rPr>
        <w:t xml:space="preserve">.  A lower </w:t>
      </w:r>
      <w:proofErr w:type="spellStart"/>
      <w:r w:rsidR="009065BD" w:rsidRPr="00F60507">
        <w:rPr>
          <w:rFonts w:ascii="Times New Roman" w:hAnsi="Times New Roman" w:cs="Times New Roman"/>
        </w:rPr>
        <w:t>labour</w:t>
      </w:r>
      <w:proofErr w:type="spellEnd"/>
      <w:r w:rsidR="009065BD" w:rsidRPr="00F60507">
        <w:rPr>
          <w:rFonts w:ascii="Times New Roman" w:hAnsi="Times New Roman" w:cs="Times New Roman"/>
        </w:rPr>
        <w:t xml:space="preserve"> supply elasticity implies stronger monopsony power, as workers exhibit limited responsiveness to changes in wages.</w:t>
      </w:r>
    </w:p>
    <w:p w14:paraId="3F52CC1C" w14:textId="251317EF" w:rsidR="00F763A3" w:rsidRPr="00F60507" w:rsidRDefault="003F0237" w:rsidP="00F60507">
      <w:pPr>
        <w:spacing w:line="276" w:lineRule="auto"/>
        <w:jc w:val="both"/>
        <w:rPr>
          <w:rFonts w:ascii="Times New Roman" w:hAnsi="Times New Roman" w:cs="Times New Roman"/>
        </w:rPr>
      </w:pPr>
      <w:r w:rsidRPr="00F60507">
        <w:rPr>
          <w:rFonts w:ascii="Times New Roman" w:hAnsi="Times New Roman" w:cs="Times New Roman"/>
        </w:rPr>
        <w:t xml:space="preserve">In a standard monopsony model, </w:t>
      </w:r>
      <w:r w:rsidR="00F342AA" w:rsidRPr="00F60507">
        <w:rPr>
          <w:rFonts w:ascii="Times New Roman" w:hAnsi="Times New Roman" w:cs="Times New Roman"/>
        </w:rPr>
        <w:t xml:space="preserve">the firms face </w:t>
      </w:r>
      <w:r w:rsidR="00A751F2" w:rsidRPr="00F60507">
        <w:rPr>
          <w:rFonts w:ascii="Times New Roman" w:hAnsi="Times New Roman" w:cs="Times New Roman"/>
        </w:rPr>
        <w:t xml:space="preserve">a sloping </w:t>
      </w:r>
      <w:proofErr w:type="spellStart"/>
      <w:r w:rsidR="00A751F2" w:rsidRPr="00F60507">
        <w:rPr>
          <w:rFonts w:ascii="Times New Roman" w:hAnsi="Times New Roman" w:cs="Times New Roman"/>
        </w:rPr>
        <w:t>labour</w:t>
      </w:r>
      <w:proofErr w:type="spellEnd"/>
      <w:r w:rsidR="00A751F2" w:rsidRPr="00F60507">
        <w:rPr>
          <w:rFonts w:ascii="Times New Roman" w:hAnsi="Times New Roman" w:cs="Times New Roman"/>
        </w:rPr>
        <w:t xml:space="preserve"> supply </w:t>
      </w:r>
      <w:r w:rsidR="0087111A" w:rsidRPr="00F60507">
        <w:rPr>
          <w:rFonts w:ascii="Times New Roman" w:hAnsi="Times New Roman" w:cs="Times New Roman"/>
        </w:rPr>
        <w:t>curve. F</w:t>
      </w:r>
      <w:r w:rsidR="00A751F2" w:rsidRPr="00F60507">
        <w:rPr>
          <w:rFonts w:ascii="Times New Roman" w:hAnsi="Times New Roman" w:cs="Times New Roman"/>
        </w:rPr>
        <w:t xml:space="preserve"> (</w:t>
      </w:r>
      <w:r w:rsidR="00BB1ABF" w:rsidRPr="00F60507">
        <w:rPr>
          <w:rFonts w:ascii="Times New Roman" w:hAnsi="Times New Roman" w:cs="Times New Roman"/>
        </w:rPr>
        <w:t>N)</w:t>
      </w:r>
      <w:r w:rsidR="00A751F2" w:rsidRPr="00F60507">
        <w:rPr>
          <w:rFonts w:ascii="Times New Roman" w:hAnsi="Times New Roman" w:cs="Times New Roman"/>
        </w:rPr>
        <w:t xml:space="preserve"> is upward sloping and chooses employment N to </w:t>
      </w:r>
      <w:proofErr w:type="spellStart"/>
      <w:r w:rsidR="000E3CD2" w:rsidRPr="00F60507">
        <w:rPr>
          <w:rFonts w:ascii="Times New Roman" w:hAnsi="Times New Roman" w:cs="Times New Roman"/>
        </w:rPr>
        <w:t>maximise</w:t>
      </w:r>
      <w:proofErr w:type="spellEnd"/>
      <w:r w:rsidR="00942A30" w:rsidRPr="00F60507">
        <w:rPr>
          <w:rFonts w:ascii="Times New Roman" w:hAnsi="Times New Roman" w:cs="Times New Roman"/>
        </w:rPr>
        <w:t xml:space="preserve"> profit given a revenue function F (N).  </w:t>
      </w:r>
      <w:r w:rsidR="00F763A3" w:rsidRPr="00F60507">
        <w:rPr>
          <w:rFonts w:ascii="Times New Roman" w:eastAsia="Times New Roman" w:hAnsi="Times New Roman" w:cs="Times New Roman"/>
          <w:kern w:val="0"/>
          <w14:ligatures w14:val="none"/>
        </w:rPr>
        <w:t xml:space="preserve">The first-order requirement for profit </w:t>
      </w:r>
      <w:proofErr w:type="spellStart"/>
      <w:r w:rsidR="00604C16" w:rsidRPr="00F60507">
        <w:rPr>
          <w:rFonts w:ascii="Times New Roman" w:eastAsia="Times New Roman" w:hAnsi="Times New Roman" w:cs="Times New Roman"/>
          <w:kern w:val="0"/>
          <w14:ligatures w14:val="none"/>
        </w:rPr>
        <w:t>maximisation</w:t>
      </w:r>
      <w:proofErr w:type="spellEnd"/>
      <w:r w:rsidR="00F763A3" w:rsidRPr="00F60507">
        <w:rPr>
          <w:rFonts w:ascii="Times New Roman" w:eastAsia="Times New Roman" w:hAnsi="Times New Roman" w:cs="Times New Roman"/>
          <w:kern w:val="0"/>
          <w14:ligatures w14:val="none"/>
        </w:rPr>
        <w:t xml:space="preserve">, based on </w:t>
      </w:r>
      <w:proofErr w:type="spellStart"/>
      <w:r w:rsidR="00F763A3" w:rsidRPr="00F60507">
        <w:rPr>
          <w:rFonts w:ascii="Times New Roman" w:eastAsia="Times New Roman" w:hAnsi="Times New Roman" w:cs="Times New Roman"/>
          <w:kern w:val="0"/>
          <w14:ligatures w14:val="none"/>
        </w:rPr>
        <w:t>Langella</w:t>
      </w:r>
      <w:proofErr w:type="spellEnd"/>
      <w:r w:rsidR="00F763A3" w:rsidRPr="00F60507">
        <w:rPr>
          <w:rFonts w:ascii="Times New Roman" w:eastAsia="Times New Roman" w:hAnsi="Times New Roman" w:cs="Times New Roman"/>
          <w:kern w:val="0"/>
          <w14:ligatures w14:val="none"/>
        </w:rPr>
        <w:t xml:space="preserve"> and Manning (2021)</w:t>
      </w:r>
    </w:p>
    <w:p w14:paraId="5F9843E9" w14:textId="66E69A7E" w:rsidR="00AC0851" w:rsidRPr="00F60507" w:rsidRDefault="00AC0851" w:rsidP="00F60507">
      <w:pPr>
        <w:spacing w:line="276" w:lineRule="auto"/>
        <w:jc w:val="both"/>
        <w:rPr>
          <w:rFonts w:ascii="Times New Roman" w:eastAsia="Times New Roman" w:hAnsi="Times New Roman" w:cs="Times New Roman"/>
          <w:kern w:val="0"/>
          <w14:ligatures w14:val="none"/>
        </w:rPr>
      </w:pPr>
      <w:r w:rsidRPr="00F60507">
        <w:rPr>
          <w:rFonts w:ascii="Times New Roman" w:eastAsia="Times New Roman" w:hAnsi="Times New Roman" w:cs="Times New Roman"/>
          <w:kern w:val="0"/>
          <w14:ligatures w14:val="none"/>
        </w:rPr>
        <w:t>(F’(N)-W)/W = 1/</w:t>
      </w:r>
      <w:r w:rsidR="0087111A" w:rsidRPr="00F60507">
        <w:rPr>
          <w:rFonts w:ascii="Times New Roman" w:eastAsia="Times New Roman" w:hAnsi="Times New Roman" w:cs="Times New Roman"/>
          <w:kern w:val="0"/>
          <w14:ligatures w14:val="none"/>
        </w:rPr>
        <w:t xml:space="preserve"> </w:t>
      </w:r>
      <w:proofErr w:type="spellStart"/>
      <w:r w:rsidRPr="00F60507">
        <w:rPr>
          <w:rFonts w:ascii="Times New Roman" w:eastAsia="Times New Roman" w:hAnsi="Times New Roman" w:cs="Times New Roman"/>
          <w:kern w:val="0"/>
          <w14:ligatures w14:val="none"/>
        </w:rPr>
        <w:t>ƐNw</w:t>
      </w:r>
      <w:proofErr w:type="spellEnd"/>
      <w:r w:rsidRPr="00F60507">
        <w:rPr>
          <w:rFonts w:ascii="Times New Roman" w:eastAsia="Times New Roman" w:hAnsi="Times New Roman" w:cs="Times New Roman"/>
          <w:kern w:val="0"/>
          <w14:ligatures w14:val="none"/>
        </w:rPr>
        <w:t xml:space="preserve"> (1)</w:t>
      </w:r>
    </w:p>
    <w:p w14:paraId="0C1D14F3" w14:textId="048652E4" w:rsidR="00F763A3" w:rsidRPr="00F60507" w:rsidRDefault="00F763A3" w:rsidP="00F60507">
      <w:pPr>
        <w:spacing w:line="276" w:lineRule="auto"/>
        <w:jc w:val="both"/>
        <w:rPr>
          <w:rFonts w:ascii="Times New Roman" w:hAnsi="Times New Roman" w:cs="Times New Roman"/>
        </w:rPr>
      </w:pPr>
      <w:r w:rsidRPr="00F60507">
        <w:rPr>
          <w:rFonts w:ascii="Times New Roman" w:hAnsi="Times New Roman" w:cs="Times New Roman"/>
        </w:rPr>
        <w:lastRenderedPageBreak/>
        <w:t xml:space="preserve">Where F (N) is the marginal revenue product of </w:t>
      </w:r>
      <w:proofErr w:type="spellStart"/>
      <w:r w:rsidR="003B3896" w:rsidRPr="00F60507">
        <w:rPr>
          <w:rFonts w:ascii="Times New Roman" w:hAnsi="Times New Roman" w:cs="Times New Roman"/>
        </w:rPr>
        <w:t>labour</w:t>
      </w:r>
      <w:proofErr w:type="spellEnd"/>
      <w:r w:rsidR="00604C16" w:rsidRPr="00F60507">
        <w:rPr>
          <w:rFonts w:ascii="Times New Roman" w:hAnsi="Times New Roman" w:cs="Times New Roman"/>
        </w:rPr>
        <w:t xml:space="preserve">, the wage rate, and </w:t>
      </w:r>
      <w:proofErr w:type="spellStart"/>
      <w:r w:rsidR="00604C16" w:rsidRPr="00F60507">
        <w:rPr>
          <w:rFonts w:ascii="Times New Roman" w:hAnsi="Times New Roman" w:cs="Times New Roman"/>
        </w:rPr>
        <w:t>ƐNw</w:t>
      </w:r>
      <w:proofErr w:type="spellEnd"/>
      <w:r w:rsidR="00604C16" w:rsidRPr="00F60507">
        <w:rPr>
          <w:rFonts w:ascii="Times New Roman" w:hAnsi="Times New Roman" w:cs="Times New Roman"/>
        </w:rPr>
        <w:t xml:space="preserve"> </w:t>
      </w:r>
      <w:r w:rsidRPr="00F60507">
        <w:rPr>
          <w:rFonts w:ascii="Times New Roman" w:hAnsi="Times New Roman" w:cs="Times New Roman"/>
        </w:rPr>
        <w:t xml:space="preserve">denotes the elasticity of the </w:t>
      </w:r>
      <w:proofErr w:type="spellStart"/>
      <w:r w:rsidRPr="00F60507">
        <w:rPr>
          <w:rFonts w:ascii="Times New Roman" w:hAnsi="Times New Roman" w:cs="Times New Roman"/>
        </w:rPr>
        <w:t>labour</w:t>
      </w:r>
      <w:proofErr w:type="spellEnd"/>
      <w:r w:rsidRPr="00F60507">
        <w:rPr>
          <w:rFonts w:ascii="Times New Roman" w:hAnsi="Times New Roman" w:cs="Times New Roman"/>
        </w:rPr>
        <w:t xml:space="preserve"> supply curve faced by the firm. Directly estimat</w:t>
      </w:r>
      <w:r w:rsidR="00E4778A" w:rsidRPr="00F60507">
        <w:rPr>
          <w:rFonts w:ascii="Times New Roman" w:hAnsi="Times New Roman" w:cs="Times New Roman"/>
        </w:rPr>
        <w:t xml:space="preserve">ing marginal revenue product is often </w:t>
      </w:r>
      <w:r w:rsidR="007E1404" w:rsidRPr="00F60507">
        <w:rPr>
          <w:rFonts w:ascii="Times New Roman" w:hAnsi="Times New Roman" w:cs="Times New Roman"/>
        </w:rPr>
        <w:t>infeasible</w:t>
      </w:r>
      <w:r w:rsidR="00604C16" w:rsidRPr="00F60507">
        <w:rPr>
          <w:rFonts w:ascii="Times New Roman" w:hAnsi="Times New Roman" w:cs="Times New Roman"/>
        </w:rPr>
        <w:t>; therefore, empirical work mainly focuses on estimating the right-hand side of the equation by modelling workers'</w:t>
      </w:r>
      <w:r w:rsidR="00E4778A" w:rsidRPr="00F60507">
        <w:rPr>
          <w:rFonts w:ascii="Times New Roman" w:hAnsi="Times New Roman" w:cs="Times New Roman"/>
        </w:rPr>
        <w:t xml:space="preserve"> </w:t>
      </w:r>
      <w:proofErr w:type="spellStart"/>
      <w:r w:rsidR="00E4778A" w:rsidRPr="00F60507">
        <w:rPr>
          <w:rFonts w:ascii="Times New Roman" w:hAnsi="Times New Roman" w:cs="Times New Roman"/>
        </w:rPr>
        <w:t>labour</w:t>
      </w:r>
      <w:proofErr w:type="spellEnd"/>
      <w:r w:rsidR="00E4778A" w:rsidRPr="00F60507">
        <w:rPr>
          <w:rFonts w:ascii="Times New Roman" w:hAnsi="Times New Roman" w:cs="Times New Roman"/>
        </w:rPr>
        <w:t xml:space="preserve"> supply to wages. </w:t>
      </w:r>
      <w:proofErr w:type="spellStart"/>
      <w:r w:rsidR="00E4778A" w:rsidRPr="00F60507">
        <w:rPr>
          <w:rFonts w:ascii="Times New Roman" w:hAnsi="Times New Roman" w:cs="Times New Roman"/>
        </w:rPr>
        <w:t>Labour</w:t>
      </w:r>
      <w:proofErr w:type="spellEnd"/>
      <w:r w:rsidR="00E4778A" w:rsidRPr="00F60507">
        <w:rPr>
          <w:rFonts w:ascii="Times New Roman" w:hAnsi="Times New Roman" w:cs="Times New Roman"/>
        </w:rPr>
        <w:t xml:space="preserve"> supply elasticity thus </w:t>
      </w:r>
      <w:r w:rsidR="007E1404" w:rsidRPr="00F60507">
        <w:rPr>
          <w:rFonts w:ascii="Times New Roman" w:hAnsi="Times New Roman" w:cs="Times New Roman"/>
        </w:rPr>
        <w:t>serves</w:t>
      </w:r>
      <w:r w:rsidR="00E4778A" w:rsidRPr="00F60507">
        <w:rPr>
          <w:rFonts w:ascii="Times New Roman" w:hAnsi="Times New Roman" w:cs="Times New Roman"/>
        </w:rPr>
        <w:t xml:space="preserve"> as an indirect but robust measure of monopsony power.</w:t>
      </w:r>
    </w:p>
    <w:p w14:paraId="56FDB039" w14:textId="4EF57546" w:rsidR="00AC0851" w:rsidRPr="00F60507" w:rsidRDefault="00AC0851" w:rsidP="00F60507">
      <w:pPr>
        <w:spacing w:line="276" w:lineRule="auto"/>
        <w:jc w:val="both"/>
        <w:rPr>
          <w:rFonts w:ascii="Times New Roman" w:hAnsi="Times New Roman" w:cs="Times New Roman"/>
        </w:rPr>
      </w:pPr>
      <w:r w:rsidRPr="00F60507">
        <w:rPr>
          <w:rFonts w:ascii="Times New Roman" w:hAnsi="Times New Roman" w:cs="Times New Roman"/>
        </w:rPr>
        <w:t xml:space="preserve">Accordingly, following Manning (2003) and Falch (2010), we estimate the following linear regression model to estimate the elasticity of the </w:t>
      </w:r>
      <w:proofErr w:type="spellStart"/>
      <w:r w:rsidR="000E3CD2" w:rsidRPr="00F60507">
        <w:rPr>
          <w:rFonts w:ascii="Times New Roman" w:hAnsi="Times New Roman" w:cs="Times New Roman"/>
        </w:rPr>
        <w:t>labour</w:t>
      </w:r>
      <w:proofErr w:type="spellEnd"/>
      <w:r w:rsidRPr="00F60507">
        <w:rPr>
          <w:rFonts w:ascii="Times New Roman" w:hAnsi="Times New Roman" w:cs="Times New Roman"/>
        </w:rPr>
        <w:t xml:space="preserve"> supply of workers in the coir industry</w:t>
      </w:r>
    </w:p>
    <w:p w14:paraId="7CB764A3" w14:textId="038C3B8D" w:rsidR="00AC0851" w:rsidRPr="00F60507" w:rsidRDefault="00AC0851" w:rsidP="00F60507">
      <w:pPr>
        <w:spacing w:line="276" w:lineRule="auto"/>
        <w:jc w:val="both"/>
        <w:rPr>
          <w:rFonts w:ascii="Times New Roman" w:hAnsi="Times New Roman" w:cs="Times New Roman"/>
        </w:rPr>
      </w:pPr>
      <w:r w:rsidRPr="00F60507">
        <w:rPr>
          <w:rFonts w:ascii="Times New Roman" w:hAnsi="Times New Roman" w:cs="Times New Roman"/>
        </w:rPr>
        <w:t xml:space="preserve">Hours Worked = </w:t>
      </w:r>
      <w:proofErr w:type="spellStart"/>
      <w:r w:rsidRPr="00F60507">
        <w:rPr>
          <w:rFonts w:ascii="Times New Roman" w:hAnsi="Times New Roman" w:cs="Times New Roman"/>
        </w:rPr>
        <w:t>a+bwi+ui</w:t>
      </w:r>
      <w:proofErr w:type="spellEnd"/>
    </w:p>
    <w:p w14:paraId="0440B0A9" w14:textId="443AD5E4" w:rsidR="00AC0851" w:rsidRPr="00F60507" w:rsidRDefault="00AC0851" w:rsidP="00F60507">
      <w:pPr>
        <w:spacing w:line="276" w:lineRule="auto"/>
        <w:jc w:val="both"/>
        <w:rPr>
          <w:rFonts w:ascii="Times New Roman" w:hAnsi="Times New Roman" w:cs="Times New Roman"/>
        </w:rPr>
      </w:pPr>
      <w:r w:rsidRPr="00F60507">
        <w:rPr>
          <w:rFonts w:ascii="Times New Roman" w:hAnsi="Times New Roman" w:cs="Times New Roman"/>
        </w:rPr>
        <w:t>In the model</w:t>
      </w:r>
      <w:r w:rsidR="00604C16" w:rsidRPr="00F60507">
        <w:rPr>
          <w:rFonts w:ascii="Times New Roman" w:hAnsi="Times New Roman" w:cs="Times New Roman"/>
        </w:rPr>
        <w:t xml:space="preserve">, b measures the </w:t>
      </w:r>
      <w:proofErr w:type="spellStart"/>
      <w:r w:rsidR="00604C16" w:rsidRPr="00F60507">
        <w:rPr>
          <w:rFonts w:ascii="Times New Roman" w:hAnsi="Times New Roman" w:cs="Times New Roman"/>
        </w:rPr>
        <w:t>labour</w:t>
      </w:r>
      <w:proofErr w:type="spellEnd"/>
      <w:r w:rsidR="00604C16" w:rsidRPr="00F60507">
        <w:rPr>
          <w:rFonts w:ascii="Times New Roman" w:hAnsi="Times New Roman" w:cs="Times New Roman"/>
        </w:rPr>
        <w:t xml:space="preserve"> supply elasticity</w:t>
      </w:r>
      <w:r w:rsidRPr="00F60507">
        <w:rPr>
          <w:rFonts w:ascii="Times New Roman" w:hAnsi="Times New Roman" w:cs="Times New Roman"/>
        </w:rPr>
        <w:t xml:space="preserve"> and </w:t>
      </w:r>
      <w:proofErr w:type="spellStart"/>
      <w:r w:rsidRPr="00F60507">
        <w:rPr>
          <w:rFonts w:ascii="Times New Roman" w:hAnsi="Times New Roman" w:cs="Times New Roman"/>
        </w:rPr>
        <w:t>ui</w:t>
      </w:r>
      <w:proofErr w:type="spellEnd"/>
      <w:r w:rsidRPr="00F60507">
        <w:rPr>
          <w:rFonts w:ascii="Times New Roman" w:hAnsi="Times New Roman" w:cs="Times New Roman"/>
        </w:rPr>
        <w:t xml:space="preserve"> is a white noise error term.</w:t>
      </w:r>
    </w:p>
    <w:p w14:paraId="5101CAFE" w14:textId="684F4D47" w:rsidR="00E4778A" w:rsidRPr="00F60507" w:rsidRDefault="00E4778A" w:rsidP="00F60507">
      <w:pPr>
        <w:spacing w:line="276" w:lineRule="auto"/>
        <w:jc w:val="both"/>
        <w:rPr>
          <w:rFonts w:ascii="Times New Roman" w:hAnsi="Times New Roman" w:cs="Times New Roman"/>
          <w:b/>
          <w:bCs/>
        </w:rPr>
      </w:pPr>
      <w:r w:rsidRPr="00F60507">
        <w:rPr>
          <w:rFonts w:ascii="Times New Roman" w:hAnsi="Times New Roman" w:cs="Times New Roman"/>
          <w:b/>
          <w:bCs/>
        </w:rPr>
        <w:t xml:space="preserve">Model </w:t>
      </w:r>
      <w:r w:rsidR="00C907F4" w:rsidRPr="00F60507">
        <w:rPr>
          <w:rFonts w:ascii="Times New Roman" w:hAnsi="Times New Roman" w:cs="Times New Roman"/>
          <w:b/>
          <w:bCs/>
        </w:rPr>
        <w:t xml:space="preserve">specification </w:t>
      </w:r>
    </w:p>
    <w:p w14:paraId="77A20B02" w14:textId="09DE30D8" w:rsidR="00C20804" w:rsidRPr="00F60507" w:rsidRDefault="00C20804" w:rsidP="00F60507">
      <w:pPr>
        <w:spacing w:line="276" w:lineRule="auto"/>
        <w:jc w:val="both"/>
        <w:rPr>
          <w:rFonts w:ascii="Times New Roman" w:hAnsi="Times New Roman" w:cs="Times New Roman"/>
        </w:rPr>
      </w:pPr>
      <w:r w:rsidRPr="00F60507">
        <w:rPr>
          <w:rFonts w:ascii="Times New Roman" w:hAnsi="Times New Roman" w:cs="Times New Roman"/>
        </w:rPr>
        <w:t xml:space="preserve">The wage elasticity of </w:t>
      </w:r>
      <w:proofErr w:type="spellStart"/>
      <w:r w:rsidRPr="00F60507">
        <w:rPr>
          <w:rFonts w:ascii="Times New Roman" w:hAnsi="Times New Roman" w:cs="Times New Roman"/>
        </w:rPr>
        <w:t>labour</w:t>
      </w:r>
      <w:proofErr w:type="spellEnd"/>
      <w:r w:rsidRPr="00F60507">
        <w:rPr>
          <w:rFonts w:ascii="Times New Roman" w:hAnsi="Times New Roman" w:cs="Times New Roman"/>
        </w:rPr>
        <w:t xml:space="preserve"> supply for coir workers is estimated using the following panel regression model </w:t>
      </w:r>
    </w:p>
    <w:p w14:paraId="00D657F5" w14:textId="79F85586" w:rsidR="00C20804" w:rsidRPr="00F60507" w:rsidRDefault="00AC0851" w:rsidP="00F60507">
      <w:pPr>
        <w:pStyle w:val="NormalWeb"/>
        <w:spacing w:before="0" w:beforeAutospacing="0" w:after="0" w:afterAutospacing="0" w:line="276" w:lineRule="auto"/>
        <w:jc w:val="both"/>
        <w:rPr>
          <w:color w:val="0E101A"/>
        </w:rPr>
      </w:pPr>
      <w:r w:rsidRPr="00F60507">
        <w:rPr>
          <w:color w:val="0E101A"/>
        </w:rPr>
        <w:t xml:space="preserve">           </w:t>
      </w:r>
      <w:r w:rsidR="0087111A" w:rsidRPr="00F60507">
        <w:rPr>
          <w:color w:val="0E101A"/>
        </w:rPr>
        <w:t xml:space="preserve"> </w:t>
      </w:r>
      <w:r w:rsidR="00C20804" w:rsidRPr="00F60507">
        <w:rPr>
          <w:color w:val="0E101A"/>
        </w:rPr>
        <w:t>SL it =α1+β</w:t>
      </w:r>
      <w:r w:rsidR="00604C16" w:rsidRPr="00F60507">
        <w:rPr>
          <w:color w:val="0E101A"/>
        </w:rPr>
        <w:t>1</w:t>
      </w:r>
      <w:r w:rsidR="00C20804" w:rsidRPr="00F60507">
        <w:rPr>
          <w:color w:val="0E101A"/>
        </w:rPr>
        <w:t xml:space="preserve">i Wit +β2 Bit + </w:t>
      </w:r>
      <w:proofErr w:type="spellStart"/>
      <w:r w:rsidR="00C20804" w:rsidRPr="00F60507">
        <w:rPr>
          <w:color w:val="0E101A"/>
        </w:rPr>
        <w:t>Uit</w:t>
      </w:r>
      <w:proofErr w:type="spellEnd"/>
    </w:p>
    <w:p w14:paraId="527BDA9B" w14:textId="48DB78E9" w:rsidR="00C20804" w:rsidRPr="00F60507" w:rsidRDefault="00C20804" w:rsidP="00F60507">
      <w:pPr>
        <w:pStyle w:val="NormalWeb"/>
        <w:spacing w:before="0" w:beforeAutospacing="0" w:after="0" w:afterAutospacing="0" w:line="276" w:lineRule="auto"/>
        <w:ind w:firstLine="720"/>
        <w:jc w:val="both"/>
        <w:rPr>
          <w:color w:val="0E101A"/>
        </w:rPr>
      </w:pPr>
      <w:r w:rsidRPr="00F60507">
        <w:rPr>
          <w:color w:val="0E101A"/>
        </w:rPr>
        <w:t xml:space="preserve">SL it = Supply of </w:t>
      </w:r>
      <w:proofErr w:type="spellStart"/>
      <w:r w:rsidR="00A751F2" w:rsidRPr="00F60507">
        <w:rPr>
          <w:color w:val="0E101A"/>
        </w:rPr>
        <w:t>Labour</w:t>
      </w:r>
      <w:proofErr w:type="spellEnd"/>
      <w:r w:rsidRPr="00F60507">
        <w:rPr>
          <w:color w:val="0E101A"/>
        </w:rPr>
        <w:t xml:space="preserve"> in </w:t>
      </w:r>
      <w:r w:rsidR="00735C67" w:rsidRPr="00F60507">
        <w:rPr>
          <w:color w:val="0E101A"/>
        </w:rPr>
        <w:t>the</w:t>
      </w:r>
      <w:r w:rsidRPr="00F60507">
        <w:rPr>
          <w:color w:val="0E101A"/>
        </w:rPr>
        <w:t xml:space="preserve"> society at t time </w:t>
      </w:r>
    </w:p>
    <w:p w14:paraId="747E4D90" w14:textId="0315559F" w:rsidR="00C20804" w:rsidRPr="00F60507" w:rsidRDefault="00AE0F98" w:rsidP="00F60507">
      <w:pPr>
        <w:pStyle w:val="NormalWeb"/>
        <w:spacing w:before="0" w:beforeAutospacing="0" w:after="0" w:afterAutospacing="0" w:line="276" w:lineRule="auto"/>
        <w:jc w:val="both"/>
        <w:rPr>
          <w:color w:val="0E101A"/>
        </w:rPr>
      </w:pPr>
      <w:r w:rsidRPr="00F60507">
        <w:rPr>
          <w:color w:val="0E101A"/>
        </w:rPr>
        <w:t xml:space="preserve">            </w:t>
      </w:r>
      <w:r w:rsidR="00C20804" w:rsidRPr="00F60507">
        <w:rPr>
          <w:color w:val="0E101A"/>
        </w:rPr>
        <w:t xml:space="preserve">Wit = </w:t>
      </w:r>
      <w:r w:rsidR="00AC0851" w:rsidRPr="00F60507">
        <w:rPr>
          <w:color w:val="0E101A"/>
        </w:rPr>
        <w:t>Wage in</w:t>
      </w:r>
      <w:r w:rsidR="00C20804" w:rsidRPr="00F60507">
        <w:rPr>
          <w:color w:val="0E101A"/>
        </w:rPr>
        <w:t xml:space="preserve"> </w:t>
      </w:r>
      <w:proofErr w:type="spellStart"/>
      <w:r w:rsidR="00C20804" w:rsidRPr="00F60507">
        <w:rPr>
          <w:color w:val="0E101A"/>
        </w:rPr>
        <w:t>i</w:t>
      </w:r>
      <w:proofErr w:type="spellEnd"/>
      <w:r w:rsidR="00C20804" w:rsidRPr="00F60507">
        <w:rPr>
          <w:color w:val="0E101A"/>
        </w:rPr>
        <w:t xml:space="preserve"> </w:t>
      </w:r>
      <w:proofErr w:type="spellStart"/>
      <w:r w:rsidR="00C20804" w:rsidRPr="00F60507">
        <w:rPr>
          <w:color w:val="0E101A"/>
        </w:rPr>
        <w:t>th</w:t>
      </w:r>
      <w:proofErr w:type="spellEnd"/>
      <w:r w:rsidR="00C20804" w:rsidRPr="00F60507">
        <w:rPr>
          <w:color w:val="0E101A"/>
        </w:rPr>
        <w:t xml:space="preserve"> society at </w:t>
      </w:r>
      <w:r w:rsidR="00735C67" w:rsidRPr="00F60507">
        <w:rPr>
          <w:color w:val="0E101A"/>
        </w:rPr>
        <w:t>t</w:t>
      </w:r>
      <w:r w:rsidR="00C20804" w:rsidRPr="00F60507">
        <w:rPr>
          <w:color w:val="0E101A"/>
        </w:rPr>
        <w:t xml:space="preserve"> time period</w:t>
      </w:r>
    </w:p>
    <w:p w14:paraId="2C7284AD" w14:textId="4943A946" w:rsidR="00C20804" w:rsidRPr="00F60507" w:rsidRDefault="00C20804" w:rsidP="00F60507">
      <w:pPr>
        <w:pStyle w:val="NormalWeb"/>
        <w:spacing w:before="0" w:beforeAutospacing="0" w:after="0" w:afterAutospacing="0" w:line="276" w:lineRule="auto"/>
        <w:ind w:firstLine="720"/>
        <w:jc w:val="both"/>
        <w:rPr>
          <w:color w:val="0E101A"/>
        </w:rPr>
      </w:pPr>
      <w:r w:rsidRPr="00F60507">
        <w:rPr>
          <w:color w:val="0E101A"/>
        </w:rPr>
        <w:t> </w:t>
      </w:r>
      <w:bookmarkStart w:id="2" w:name="_Hlk215241250"/>
      <w:r w:rsidRPr="00F60507">
        <w:rPr>
          <w:color w:val="0E101A"/>
        </w:rPr>
        <w:t>β1</w:t>
      </w:r>
      <w:bookmarkEnd w:id="2"/>
      <w:r w:rsidRPr="00F60507">
        <w:rPr>
          <w:color w:val="0E101A"/>
        </w:rPr>
        <w:t xml:space="preserve">= Wage elasticity of </w:t>
      </w:r>
      <w:proofErr w:type="spellStart"/>
      <w:r w:rsidR="000E3CD2" w:rsidRPr="00F60507">
        <w:rPr>
          <w:color w:val="0E101A"/>
        </w:rPr>
        <w:t>labour</w:t>
      </w:r>
      <w:proofErr w:type="spellEnd"/>
      <w:r w:rsidRPr="00F60507">
        <w:rPr>
          <w:color w:val="0E101A"/>
        </w:rPr>
        <w:t xml:space="preserve"> supply</w:t>
      </w:r>
    </w:p>
    <w:p w14:paraId="4058A1F6" w14:textId="6CEFF9D5" w:rsidR="00C20804" w:rsidRPr="00F60507" w:rsidRDefault="0087111A" w:rsidP="00F60507">
      <w:pPr>
        <w:pStyle w:val="NormalWeb"/>
        <w:spacing w:before="0" w:beforeAutospacing="0" w:after="0" w:afterAutospacing="0" w:line="276" w:lineRule="auto"/>
        <w:ind w:firstLine="720"/>
        <w:jc w:val="both"/>
        <w:rPr>
          <w:color w:val="0E101A"/>
        </w:rPr>
      </w:pPr>
      <w:r w:rsidRPr="00F60507">
        <w:rPr>
          <w:color w:val="0E101A"/>
        </w:rPr>
        <w:t xml:space="preserve"> </w:t>
      </w:r>
      <w:r w:rsidR="003B3896" w:rsidRPr="00F60507">
        <w:rPr>
          <w:color w:val="0E101A"/>
        </w:rPr>
        <w:t>β2</w:t>
      </w:r>
      <w:r w:rsidR="00C20804" w:rsidRPr="00F60507">
        <w:rPr>
          <w:color w:val="0E101A"/>
        </w:rPr>
        <w:t xml:space="preserve">= </w:t>
      </w:r>
      <w:r w:rsidR="00AC0851" w:rsidRPr="00F60507">
        <w:rPr>
          <w:color w:val="0E101A"/>
        </w:rPr>
        <w:t>Responsiveness</w:t>
      </w:r>
      <w:r w:rsidR="00C20804" w:rsidRPr="00F60507">
        <w:rPr>
          <w:color w:val="0E101A"/>
        </w:rPr>
        <w:t xml:space="preserve"> of </w:t>
      </w:r>
      <w:proofErr w:type="spellStart"/>
      <w:r w:rsidR="00C20804" w:rsidRPr="00F60507">
        <w:rPr>
          <w:color w:val="0E101A"/>
        </w:rPr>
        <w:t>labou</w:t>
      </w:r>
      <w:r w:rsidR="003B3896" w:rsidRPr="00F60507">
        <w:rPr>
          <w:color w:val="0E101A"/>
        </w:rPr>
        <w:t>r</w:t>
      </w:r>
      <w:proofErr w:type="spellEnd"/>
      <w:r w:rsidR="00C20804" w:rsidRPr="00F60507">
        <w:rPr>
          <w:color w:val="0E101A"/>
        </w:rPr>
        <w:t xml:space="preserve"> supply to Bonus  </w:t>
      </w:r>
    </w:p>
    <w:p w14:paraId="549FEFD8" w14:textId="77777777" w:rsidR="00C20804" w:rsidRPr="00F60507" w:rsidRDefault="00C20804" w:rsidP="00F60507">
      <w:pPr>
        <w:pStyle w:val="NormalWeb"/>
        <w:spacing w:before="0" w:beforeAutospacing="0" w:after="0" w:afterAutospacing="0" w:line="276" w:lineRule="auto"/>
        <w:ind w:firstLine="720"/>
        <w:jc w:val="both"/>
        <w:rPr>
          <w:color w:val="0E101A"/>
        </w:rPr>
      </w:pPr>
    </w:p>
    <w:p w14:paraId="338D9CCF" w14:textId="17371E60" w:rsidR="00222E52" w:rsidRPr="00F60507" w:rsidRDefault="00222E52" w:rsidP="00F60507">
      <w:pPr>
        <w:pStyle w:val="NormalWeb"/>
        <w:spacing w:before="0" w:beforeAutospacing="0" w:after="0" w:afterAutospacing="0" w:line="276" w:lineRule="auto"/>
        <w:jc w:val="both"/>
        <w:rPr>
          <w:color w:val="0E101A"/>
        </w:rPr>
      </w:pPr>
      <w:r w:rsidRPr="00F60507">
        <w:rPr>
          <w:color w:val="0E101A"/>
        </w:rPr>
        <w:t xml:space="preserve">Given the potential simultaneity between wages and </w:t>
      </w:r>
      <w:proofErr w:type="spellStart"/>
      <w:r w:rsidRPr="00F60507">
        <w:rPr>
          <w:color w:val="0E101A"/>
        </w:rPr>
        <w:t>la</w:t>
      </w:r>
      <w:r w:rsidR="003B3896" w:rsidRPr="00F60507">
        <w:rPr>
          <w:color w:val="0E101A"/>
        </w:rPr>
        <w:t>bour</w:t>
      </w:r>
      <w:proofErr w:type="spellEnd"/>
      <w:r w:rsidRPr="00F60507">
        <w:rPr>
          <w:color w:val="0E101A"/>
        </w:rPr>
        <w:t xml:space="preserve"> supply, </w:t>
      </w:r>
      <w:r w:rsidR="00AE0F98" w:rsidRPr="00F60507">
        <w:rPr>
          <w:color w:val="0E101A"/>
        </w:rPr>
        <w:t>the Two Stage Least Squares</w:t>
      </w:r>
      <w:r w:rsidRPr="00F60507">
        <w:rPr>
          <w:color w:val="0E101A"/>
        </w:rPr>
        <w:t xml:space="preserve"> </w:t>
      </w:r>
      <w:r w:rsidR="003A65DE" w:rsidRPr="00F60507">
        <w:rPr>
          <w:color w:val="0E101A"/>
        </w:rPr>
        <w:t>(2</w:t>
      </w:r>
      <w:r w:rsidRPr="00F60507">
        <w:rPr>
          <w:color w:val="0E101A"/>
        </w:rPr>
        <w:t>SLS) method is used. Lagged wage bonus variables</w:t>
      </w:r>
      <w:r w:rsidR="00291AC5" w:rsidRPr="00F60507">
        <w:rPr>
          <w:color w:val="0E101A"/>
        </w:rPr>
        <w:t>, along with financial assistance (</w:t>
      </w:r>
      <w:r w:rsidR="003B3896" w:rsidRPr="00F60507">
        <w:rPr>
          <w:color w:val="0E101A"/>
        </w:rPr>
        <w:t>Income Support Scheme</w:t>
      </w:r>
      <w:r w:rsidR="00291AC5" w:rsidRPr="00F60507">
        <w:rPr>
          <w:color w:val="0E101A"/>
        </w:rPr>
        <w:t>),</w:t>
      </w:r>
      <w:r w:rsidRPr="00F60507">
        <w:rPr>
          <w:color w:val="0E101A"/>
        </w:rPr>
        <w:t xml:space="preserve"> serve as Instruments. </w:t>
      </w:r>
      <w:r w:rsidR="00291AC5" w:rsidRPr="00F60507">
        <w:rPr>
          <w:color w:val="0E101A"/>
        </w:rPr>
        <w:t>The dataset covers 40 coir primary societies with 440 total observations</w:t>
      </w:r>
      <w:r w:rsidRPr="00F60507">
        <w:rPr>
          <w:color w:val="0E101A"/>
        </w:rPr>
        <w:t xml:space="preserve"> (2010 -2024)</w:t>
      </w:r>
      <w:r w:rsidR="00C52873" w:rsidRPr="00F60507">
        <w:rPr>
          <w:color w:val="0E101A"/>
        </w:rPr>
        <w:t>.</w:t>
      </w:r>
      <w:r w:rsidR="003B3896" w:rsidRPr="00F60507">
        <w:rPr>
          <w:color w:val="0E101A"/>
        </w:rPr>
        <w:t xml:space="preserve"> </w:t>
      </w:r>
      <w:r w:rsidR="0087111A" w:rsidRPr="00F60507">
        <w:rPr>
          <w:color w:val="0E101A"/>
        </w:rPr>
        <w:t>Alappuzha</w:t>
      </w:r>
      <w:r w:rsidR="00C52873" w:rsidRPr="00F60507">
        <w:rPr>
          <w:color w:val="0E101A"/>
        </w:rPr>
        <w:t xml:space="preserve">, </w:t>
      </w:r>
      <w:r w:rsidR="003B3896" w:rsidRPr="00F60507">
        <w:rPr>
          <w:color w:val="0E101A"/>
        </w:rPr>
        <w:t xml:space="preserve">the Coir hub of Kerala, was selected for data collection due to the </w:t>
      </w:r>
      <w:r w:rsidR="00C52873" w:rsidRPr="00F60507">
        <w:rPr>
          <w:color w:val="0E101A"/>
        </w:rPr>
        <w:t>high concentration of coir spinning and homogeneous workers.</w:t>
      </w:r>
    </w:p>
    <w:p w14:paraId="1A1D299C" w14:textId="719BBA21" w:rsidR="00C52873" w:rsidRPr="00F60507" w:rsidRDefault="00C52873" w:rsidP="00F60507">
      <w:pPr>
        <w:pStyle w:val="NormalWeb"/>
        <w:spacing w:before="0" w:beforeAutospacing="0" w:after="0" w:afterAutospacing="0" w:line="276" w:lineRule="auto"/>
        <w:jc w:val="both"/>
        <w:rPr>
          <w:color w:val="0E101A"/>
        </w:rPr>
      </w:pPr>
      <w:r w:rsidRPr="00F60507">
        <w:rPr>
          <w:color w:val="0E101A"/>
        </w:rPr>
        <w:t xml:space="preserve">Descriptive analysis </w:t>
      </w:r>
      <w:r w:rsidR="003B3896" w:rsidRPr="00F60507">
        <w:rPr>
          <w:color w:val="0E101A"/>
        </w:rPr>
        <w:t>reveals that average annual wages and bonuses vary across societies</w:t>
      </w:r>
      <w:r w:rsidR="00A751F2" w:rsidRPr="00F60507">
        <w:rPr>
          <w:color w:val="0E101A"/>
        </w:rPr>
        <w:t>, indicating</w:t>
      </w:r>
      <w:r w:rsidRPr="00F60507">
        <w:rPr>
          <w:color w:val="0E101A"/>
        </w:rPr>
        <w:t xml:space="preserve"> differences in productivity and cooperative performance. However</w:t>
      </w:r>
      <w:r w:rsidR="00A751F2" w:rsidRPr="00F60507">
        <w:rPr>
          <w:color w:val="0E101A"/>
        </w:rPr>
        <w:t xml:space="preserve">, the composition of gender, age profile and skill is relatively uniform, </w:t>
      </w:r>
      <w:r w:rsidR="00AE0F98" w:rsidRPr="00F60507">
        <w:rPr>
          <w:color w:val="0E101A"/>
        </w:rPr>
        <w:t>minimizing</w:t>
      </w:r>
      <w:r w:rsidR="00A751F2" w:rsidRPr="00F60507">
        <w:rPr>
          <w:color w:val="0E101A"/>
        </w:rPr>
        <w:t xml:space="preserve"> heterogeneity</w:t>
      </w:r>
      <w:r w:rsidRPr="00F60507">
        <w:rPr>
          <w:color w:val="0E101A"/>
        </w:rPr>
        <w:t xml:space="preserve"> bias.</w:t>
      </w:r>
    </w:p>
    <w:p w14:paraId="67C3E451" w14:textId="30979CE3" w:rsidR="00C52873" w:rsidRPr="00F60507" w:rsidRDefault="00B87C44" w:rsidP="00F60507">
      <w:pPr>
        <w:pStyle w:val="NormalWeb"/>
        <w:spacing w:before="0" w:beforeAutospacing="0" w:after="0" w:afterAutospacing="0" w:line="276" w:lineRule="auto"/>
        <w:jc w:val="both"/>
        <w:rPr>
          <w:b/>
          <w:bCs/>
          <w:color w:val="0E101A"/>
        </w:rPr>
      </w:pPr>
      <w:r w:rsidRPr="00F60507">
        <w:rPr>
          <w:b/>
          <w:bCs/>
          <w:color w:val="0E101A"/>
        </w:rPr>
        <w:t xml:space="preserve">4.  </w:t>
      </w:r>
      <w:r w:rsidR="00C52873" w:rsidRPr="00F60507">
        <w:rPr>
          <w:b/>
          <w:bCs/>
          <w:color w:val="0E101A"/>
        </w:rPr>
        <w:t xml:space="preserve">Results and Discussion </w:t>
      </w:r>
    </w:p>
    <w:p w14:paraId="21581663" w14:textId="77777777" w:rsidR="00E57887" w:rsidRPr="00F60507" w:rsidRDefault="00E57887" w:rsidP="00F60507">
      <w:pPr>
        <w:spacing w:line="276" w:lineRule="auto"/>
        <w:jc w:val="both"/>
        <w:rPr>
          <w:rFonts w:ascii="Times New Roman" w:hAnsi="Times New Roman" w:cs="Times New Roman"/>
          <w:b/>
          <w:bCs/>
        </w:rPr>
      </w:pPr>
      <w:r w:rsidRPr="00F60507">
        <w:rPr>
          <w:rFonts w:ascii="Times New Roman" w:hAnsi="Times New Roman" w:cs="Times New Roman"/>
          <w:b/>
          <w:bCs/>
        </w:rPr>
        <w:t>Baseline Regression Results</w:t>
      </w:r>
    </w:p>
    <w:p w14:paraId="2C0A4001" w14:textId="35D53F6E" w:rsidR="00291AC5" w:rsidRPr="00F60507" w:rsidRDefault="00E57887"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The initial estimation was carried out using a log–log OLS model to obtain preliminary elasticity estimates.</w:t>
      </w:r>
    </w:p>
    <w:p w14:paraId="36710559" w14:textId="28CD9281" w:rsidR="00974660" w:rsidRPr="00F60507" w:rsidRDefault="00291AC5" w:rsidP="00F60507">
      <w:pPr>
        <w:spacing w:after="200" w:line="276" w:lineRule="auto"/>
        <w:jc w:val="both"/>
        <w:rPr>
          <w:rFonts w:ascii="Times New Roman" w:eastAsia="MS Mincho" w:hAnsi="Times New Roman" w:cs="Times New Roman"/>
          <w:b/>
          <w:bCs/>
          <w:kern w:val="0"/>
          <w:lang w:bidi="ar-SA"/>
          <w14:ligatures w14:val="none"/>
        </w:rPr>
      </w:pPr>
      <w:r w:rsidRPr="00F60507">
        <w:rPr>
          <w:rFonts w:ascii="Times New Roman" w:eastAsia="MS Mincho" w:hAnsi="Times New Roman" w:cs="Times New Roman"/>
          <w:b/>
          <w:bCs/>
          <w:kern w:val="0"/>
          <w:lang w:bidi="ar-SA"/>
          <w14:ligatures w14:val="none"/>
        </w:rPr>
        <w:t>Table 1: Baseline Regression Results</w:t>
      </w:r>
    </w:p>
    <w:tbl>
      <w:tblPr>
        <w:tblStyle w:val="TableGrid"/>
        <w:tblW w:w="0" w:type="auto"/>
        <w:tblLook w:val="04A0" w:firstRow="1" w:lastRow="0" w:firstColumn="1" w:lastColumn="0" w:noHBand="0" w:noVBand="1"/>
      </w:tblPr>
      <w:tblGrid>
        <w:gridCol w:w="1803"/>
        <w:gridCol w:w="1803"/>
        <w:gridCol w:w="1803"/>
        <w:gridCol w:w="1803"/>
      </w:tblGrid>
      <w:tr w:rsidR="00291AC5" w:rsidRPr="00F60507" w14:paraId="5140047B" w14:textId="77777777" w:rsidTr="00B612CB">
        <w:tc>
          <w:tcPr>
            <w:tcW w:w="1803" w:type="dxa"/>
          </w:tcPr>
          <w:p w14:paraId="2E8201B1" w14:textId="77777777"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 xml:space="preserve">Variable </w:t>
            </w:r>
          </w:p>
        </w:tc>
        <w:tc>
          <w:tcPr>
            <w:tcW w:w="1803" w:type="dxa"/>
          </w:tcPr>
          <w:p w14:paraId="4C87C010" w14:textId="77777777"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 xml:space="preserve">Coefficient </w:t>
            </w:r>
          </w:p>
        </w:tc>
        <w:tc>
          <w:tcPr>
            <w:tcW w:w="1803" w:type="dxa"/>
          </w:tcPr>
          <w:p w14:paraId="0EDFFAB6" w14:textId="77777777"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 xml:space="preserve">t- Value </w:t>
            </w:r>
          </w:p>
        </w:tc>
        <w:tc>
          <w:tcPr>
            <w:tcW w:w="1803" w:type="dxa"/>
          </w:tcPr>
          <w:p w14:paraId="41A1C3E0" w14:textId="77777777"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 xml:space="preserve">P- Value </w:t>
            </w:r>
          </w:p>
        </w:tc>
      </w:tr>
      <w:tr w:rsidR="00291AC5" w:rsidRPr="00F60507" w14:paraId="2BD81FBB" w14:textId="77777777" w:rsidTr="00B612CB">
        <w:tc>
          <w:tcPr>
            <w:tcW w:w="1803" w:type="dxa"/>
          </w:tcPr>
          <w:p w14:paraId="1FF8B0D6" w14:textId="39C7B4D0" w:rsidR="00291AC5" w:rsidRPr="00F60507" w:rsidRDefault="003A65DE"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In (</w:t>
            </w:r>
            <w:r w:rsidR="00291AC5" w:rsidRPr="00F60507">
              <w:rPr>
                <w:rFonts w:ascii="Times New Roman" w:eastAsia="MS Mincho" w:hAnsi="Times New Roman" w:cs="Times New Roman"/>
                <w:kern w:val="0"/>
                <w:lang w:bidi="ar-SA"/>
                <w14:ligatures w14:val="none"/>
              </w:rPr>
              <w:t>Wage)</w:t>
            </w:r>
          </w:p>
        </w:tc>
        <w:tc>
          <w:tcPr>
            <w:tcW w:w="1803" w:type="dxa"/>
          </w:tcPr>
          <w:p w14:paraId="22A4C687" w14:textId="77777777"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0.838</w:t>
            </w:r>
          </w:p>
        </w:tc>
        <w:tc>
          <w:tcPr>
            <w:tcW w:w="1803" w:type="dxa"/>
          </w:tcPr>
          <w:p w14:paraId="2660F925" w14:textId="77777777"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40.32</w:t>
            </w:r>
          </w:p>
        </w:tc>
        <w:tc>
          <w:tcPr>
            <w:tcW w:w="1803" w:type="dxa"/>
          </w:tcPr>
          <w:p w14:paraId="7142BA95" w14:textId="287C1C95"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0.000***</w:t>
            </w:r>
          </w:p>
        </w:tc>
      </w:tr>
      <w:tr w:rsidR="00291AC5" w:rsidRPr="00F60507" w14:paraId="65DFD787" w14:textId="77777777" w:rsidTr="00B612CB">
        <w:tc>
          <w:tcPr>
            <w:tcW w:w="1803" w:type="dxa"/>
          </w:tcPr>
          <w:p w14:paraId="1D46191C" w14:textId="00505C09" w:rsidR="00291AC5" w:rsidRPr="00F60507" w:rsidRDefault="003A65DE"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In (Bonus</w:t>
            </w:r>
            <w:r w:rsidR="00291AC5" w:rsidRPr="00F60507">
              <w:rPr>
                <w:rFonts w:ascii="Times New Roman" w:eastAsia="MS Mincho" w:hAnsi="Times New Roman" w:cs="Times New Roman"/>
                <w:kern w:val="0"/>
                <w:lang w:bidi="ar-SA"/>
                <w14:ligatures w14:val="none"/>
              </w:rPr>
              <w:t>)</w:t>
            </w:r>
          </w:p>
        </w:tc>
        <w:tc>
          <w:tcPr>
            <w:tcW w:w="1803" w:type="dxa"/>
          </w:tcPr>
          <w:p w14:paraId="253E0849" w14:textId="77777777"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0.100</w:t>
            </w:r>
          </w:p>
        </w:tc>
        <w:tc>
          <w:tcPr>
            <w:tcW w:w="1803" w:type="dxa"/>
          </w:tcPr>
          <w:p w14:paraId="57D0AC70" w14:textId="77777777"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4.90</w:t>
            </w:r>
          </w:p>
        </w:tc>
        <w:tc>
          <w:tcPr>
            <w:tcW w:w="1803" w:type="dxa"/>
          </w:tcPr>
          <w:p w14:paraId="7B742F4F" w14:textId="72451C5F"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0.000***</w:t>
            </w:r>
          </w:p>
        </w:tc>
      </w:tr>
      <w:tr w:rsidR="00291AC5" w:rsidRPr="00F60507" w14:paraId="49357259" w14:textId="77777777" w:rsidTr="00B612CB">
        <w:tc>
          <w:tcPr>
            <w:tcW w:w="1803" w:type="dxa"/>
          </w:tcPr>
          <w:p w14:paraId="575C3966" w14:textId="77777777"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Constant</w:t>
            </w:r>
          </w:p>
        </w:tc>
        <w:tc>
          <w:tcPr>
            <w:tcW w:w="1803" w:type="dxa"/>
          </w:tcPr>
          <w:p w14:paraId="0812D25A" w14:textId="77777777"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-2.372</w:t>
            </w:r>
          </w:p>
        </w:tc>
        <w:tc>
          <w:tcPr>
            <w:tcW w:w="1803" w:type="dxa"/>
          </w:tcPr>
          <w:p w14:paraId="551C876F" w14:textId="77777777"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-12.22</w:t>
            </w:r>
          </w:p>
        </w:tc>
        <w:tc>
          <w:tcPr>
            <w:tcW w:w="1803" w:type="dxa"/>
          </w:tcPr>
          <w:p w14:paraId="428484C4" w14:textId="5F342F2C" w:rsidR="00291AC5" w:rsidRPr="00F60507" w:rsidRDefault="00291AC5"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0.000***</w:t>
            </w:r>
          </w:p>
        </w:tc>
      </w:tr>
    </w:tbl>
    <w:p w14:paraId="5710820C" w14:textId="77777777" w:rsidR="00E57887" w:rsidRPr="00F60507" w:rsidRDefault="00E57887" w:rsidP="00F60507">
      <w:pPr>
        <w:spacing w:after="200" w:line="276" w:lineRule="auto"/>
        <w:jc w:val="both"/>
        <w:rPr>
          <w:rFonts w:ascii="Times New Roman" w:eastAsia="MS Mincho" w:hAnsi="Times New Roman" w:cs="Times New Roman"/>
          <w:kern w:val="0"/>
          <w:lang w:bidi="ar-SA"/>
          <w14:ligatures w14:val="none"/>
        </w:rPr>
      </w:pPr>
      <w:bookmarkStart w:id="3" w:name="_Hlk215387289"/>
      <w:r w:rsidRPr="00F60507">
        <w:rPr>
          <w:rFonts w:ascii="Times New Roman" w:eastAsia="MS Mincho" w:hAnsi="Times New Roman" w:cs="Times New Roman"/>
          <w:kern w:val="0"/>
          <w:lang w:bidi="ar-SA"/>
          <w14:ligatures w14:val="none"/>
        </w:rPr>
        <w:t xml:space="preserve">Source: Author's estimation using society-level data 2010 -2014.  </w:t>
      </w:r>
    </w:p>
    <w:bookmarkEnd w:id="3"/>
    <w:p w14:paraId="2F59FBC6" w14:textId="56E89979" w:rsidR="00E57887" w:rsidRPr="00F60507" w:rsidRDefault="00E57887" w:rsidP="00F60507">
      <w:pPr>
        <w:pStyle w:val="NormalWeb"/>
        <w:spacing w:line="276" w:lineRule="auto"/>
        <w:jc w:val="both"/>
      </w:pPr>
      <w:r w:rsidRPr="00F60507">
        <w:lastRenderedPageBreak/>
        <w:t xml:space="preserve">The baseline regression results derived from the log–log OLS estimation provide a crucial first step in understanding the responsiveness of </w:t>
      </w:r>
      <w:proofErr w:type="spellStart"/>
      <w:r w:rsidR="00507265" w:rsidRPr="00F60507">
        <w:t>labour</w:t>
      </w:r>
      <w:proofErr w:type="spellEnd"/>
      <w:r w:rsidRPr="00F60507">
        <w:t xml:space="preserve"> supply to changes in wage and bonus levels in the coir spinning sector. Both explanatory variables</w:t>
      </w:r>
      <w:r w:rsidR="00507265" w:rsidRPr="00F60507">
        <w:t>, wage and bonus,</w:t>
      </w:r>
      <w:r w:rsidRPr="00F60507">
        <w:rPr>
          <w:b/>
          <w:bCs/>
        </w:rPr>
        <w:t xml:space="preserve"> </w:t>
      </w:r>
      <w:r w:rsidRPr="00F60507">
        <w:t>exhibit positive and statistically significant coefficients, suggesting that improvements in monetary compensation directly influence workers’ participation and effort decisions.</w:t>
      </w:r>
    </w:p>
    <w:p w14:paraId="2A1CA69C" w14:textId="5C5C1ED4" w:rsidR="00E57887" w:rsidRPr="00F60507" w:rsidRDefault="00E57887" w:rsidP="00F60507">
      <w:pPr>
        <w:pStyle w:val="NormalWeb"/>
        <w:spacing w:line="276" w:lineRule="auto"/>
        <w:jc w:val="both"/>
      </w:pPr>
      <w:r w:rsidRPr="00F60507">
        <w:t xml:space="preserve">The estimated </w:t>
      </w:r>
      <w:r w:rsidRPr="00F60507">
        <w:rPr>
          <w:rStyle w:val="Strong"/>
          <w:rFonts w:eastAsiaTheme="majorEastAsia"/>
          <w:b w:val="0"/>
          <w:bCs w:val="0"/>
        </w:rPr>
        <w:t>wage elasticity of 0.838</w:t>
      </w:r>
      <w:r w:rsidRPr="00F60507">
        <w:t xml:space="preserve"> </w:t>
      </w:r>
      <w:r w:rsidR="00507265" w:rsidRPr="00F60507">
        <w:t xml:space="preserve">indicates that a one per cent increase in wages results in approximately a 0.84 per cent increase in </w:t>
      </w:r>
      <w:proofErr w:type="spellStart"/>
      <w:r w:rsidR="00507265" w:rsidRPr="00F60507">
        <w:t>labour</w:t>
      </w:r>
      <w:proofErr w:type="spellEnd"/>
      <w:r w:rsidR="00507265" w:rsidRPr="00F60507">
        <w:t xml:space="preserve"> supply, assuming other factors remain </w:t>
      </w:r>
      <w:r w:rsidRPr="00F60507">
        <w:t xml:space="preserve">constant. Although this relationship is strongly positive, the elasticity value being </w:t>
      </w:r>
      <w:r w:rsidRPr="00F60507">
        <w:rPr>
          <w:rStyle w:val="Strong"/>
          <w:rFonts w:eastAsiaTheme="majorEastAsia"/>
          <w:b w:val="0"/>
          <w:bCs w:val="0"/>
        </w:rPr>
        <w:t>less than unity</w:t>
      </w:r>
      <w:r w:rsidRPr="00F60507">
        <w:t xml:space="preserve"> signifies that </w:t>
      </w:r>
      <w:proofErr w:type="spellStart"/>
      <w:r w:rsidR="00507265" w:rsidRPr="00F60507">
        <w:t>labour</w:t>
      </w:r>
      <w:proofErr w:type="spellEnd"/>
      <w:r w:rsidRPr="00F60507">
        <w:t xml:space="preserve"> supply is </w:t>
      </w:r>
      <w:r w:rsidRPr="00F60507">
        <w:rPr>
          <w:rStyle w:val="Strong"/>
          <w:rFonts w:eastAsiaTheme="majorEastAsia"/>
          <w:b w:val="0"/>
          <w:bCs w:val="0"/>
        </w:rPr>
        <w:t>inelastic</w:t>
      </w:r>
      <w:r w:rsidRPr="00F60507">
        <w:t xml:space="preserve">. In practical terms, workers’ responsiveness to wage changes is limited, which can be attributed to the structural features of the coir spinning </w:t>
      </w:r>
      <w:proofErr w:type="spellStart"/>
      <w:r w:rsidR="00507265" w:rsidRPr="00F60507">
        <w:t>labour</w:t>
      </w:r>
      <w:proofErr w:type="spellEnd"/>
      <w:r w:rsidRPr="00F60507">
        <w:t xml:space="preserve"> market. The sector is characterized by </w:t>
      </w:r>
      <w:r w:rsidRPr="00F60507">
        <w:rPr>
          <w:rStyle w:val="Strong"/>
          <w:rFonts w:eastAsiaTheme="majorEastAsia"/>
          <w:b w:val="0"/>
          <w:bCs w:val="0"/>
        </w:rPr>
        <w:t>low mobility, limited alternative employment options</w:t>
      </w:r>
      <w:r w:rsidRPr="00F60507">
        <w:rPr>
          <w:b/>
          <w:bCs/>
        </w:rPr>
        <w:t xml:space="preserve">, </w:t>
      </w:r>
      <w:r w:rsidRPr="00F60507">
        <w:t>and a predominantly</w:t>
      </w:r>
      <w:r w:rsidRPr="00F60507">
        <w:rPr>
          <w:b/>
          <w:bCs/>
        </w:rPr>
        <w:t xml:space="preserve"> </w:t>
      </w:r>
      <w:r w:rsidRPr="00F60507">
        <w:rPr>
          <w:rStyle w:val="Strong"/>
          <w:rFonts w:eastAsiaTheme="majorEastAsia"/>
          <w:b w:val="0"/>
          <w:bCs w:val="0"/>
        </w:rPr>
        <w:t>female and economically dependent workforce</w:t>
      </w:r>
      <w:r w:rsidRPr="00F60507">
        <w:t xml:space="preserve">, especially in rural and semi-rural regions. Such structural rigidities constrain workers’ ability to shift between occupations or negotiate higher wages, resulting in a form of </w:t>
      </w:r>
      <w:proofErr w:type="spellStart"/>
      <w:r w:rsidRPr="00F60507">
        <w:rPr>
          <w:rStyle w:val="Strong"/>
          <w:rFonts w:eastAsiaTheme="majorEastAsia"/>
          <w:b w:val="0"/>
          <w:bCs w:val="0"/>
        </w:rPr>
        <w:t>monopsonistic</w:t>
      </w:r>
      <w:proofErr w:type="spellEnd"/>
      <w:r w:rsidRPr="00F60507">
        <w:rPr>
          <w:rStyle w:val="Strong"/>
          <w:rFonts w:eastAsiaTheme="majorEastAsia"/>
          <w:b w:val="0"/>
          <w:bCs w:val="0"/>
        </w:rPr>
        <w:t xml:space="preserve"> </w:t>
      </w:r>
      <w:proofErr w:type="spellStart"/>
      <w:r w:rsidR="00AE0F98" w:rsidRPr="00F60507">
        <w:rPr>
          <w:rStyle w:val="Strong"/>
          <w:rFonts w:eastAsiaTheme="majorEastAsia"/>
          <w:b w:val="0"/>
          <w:bCs w:val="0"/>
        </w:rPr>
        <w:t>labour</w:t>
      </w:r>
      <w:proofErr w:type="spellEnd"/>
      <w:r w:rsidR="00AE0F98" w:rsidRPr="00F60507">
        <w:rPr>
          <w:rStyle w:val="Strong"/>
          <w:rFonts w:eastAsiaTheme="majorEastAsia"/>
          <w:b w:val="0"/>
          <w:bCs w:val="0"/>
        </w:rPr>
        <w:t xml:space="preserve"> control, where employers or cooperative societies exercise substantial influence over wages</w:t>
      </w:r>
      <w:r w:rsidR="009C75E1" w:rsidRPr="00F60507">
        <w:t>.</w:t>
      </w:r>
      <w:r w:rsidR="00AE0F98" w:rsidRPr="00F60507">
        <w:t xml:space="preserve"> </w:t>
      </w:r>
      <w:r w:rsidRPr="00F60507">
        <w:t>The coefficient for</w:t>
      </w:r>
      <w:r w:rsidRPr="00F60507">
        <w:rPr>
          <w:b/>
          <w:bCs/>
        </w:rPr>
        <w:t xml:space="preserve"> </w:t>
      </w:r>
      <w:r w:rsidRPr="00F60507">
        <w:rPr>
          <w:rStyle w:val="Strong"/>
          <w:rFonts w:eastAsiaTheme="majorEastAsia"/>
          <w:b w:val="0"/>
          <w:bCs w:val="0"/>
        </w:rPr>
        <w:t>bonus payments (0.100</w:t>
      </w:r>
      <w:r w:rsidRPr="00F60507">
        <w:rPr>
          <w:rStyle w:val="Strong"/>
          <w:rFonts w:eastAsiaTheme="majorEastAsia"/>
        </w:rPr>
        <w:t>)</w:t>
      </w:r>
      <w:r w:rsidRPr="00F60507">
        <w:t xml:space="preserve"> is also positive and statistically significant, </w:t>
      </w:r>
      <w:r w:rsidR="00AE0F98" w:rsidRPr="00F60507">
        <w:t>although it is</w:t>
      </w:r>
      <w:r w:rsidRPr="00F60507">
        <w:t xml:space="preserve"> much smaller in magnitude. This finding suggests that </w:t>
      </w:r>
      <w:r w:rsidRPr="00F60507">
        <w:rPr>
          <w:rStyle w:val="Strong"/>
          <w:rFonts w:eastAsiaTheme="majorEastAsia"/>
          <w:b w:val="0"/>
          <w:bCs w:val="0"/>
        </w:rPr>
        <w:t>non-wage incentives</w:t>
      </w:r>
      <w:r w:rsidRPr="00F60507">
        <w:t xml:space="preserve"> such as festival bonuses, productivity-linked payments, or welfare allowances have a </w:t>
      </w:r>
      <w:r w:rsidRPr="00F60507">
        <w:rPr>
          <w:rStyle w:val="Strong"/>
          <w:rFonts w:eastAsiaTheme="majorEastAsia"/>
          <w:b w:val="0"/>
          <w:bCs w:val="0"/>
        </w:rPr>
        <w:t>modest but meaningful</w:t>
      </w:r>
      <w:r w:rsidRPr="00F60507">
        <w:rPr>
          <w:rStyle w:val="Strong"/>
          <w:rFonts w:eastAsiaTheme="majorEastAsia"/>
        </w:rPr>
        <w:t xml:space="preserve"> </w:t>
      </w:r>
      <w:r w:rsidRPr="00F60507">
        <w:rPr>
          <w:rStyle w:val="Strong"/>
          <w:rFonts w:eastAsiaTheme="majorEastAsia"/>
          <w:b w:val="0"/>
          <w:bCs w:val="0"/>
        </w:rPr>
        <w:t>impact</w:t>
      </w:r>
      <w:r w:rsidRPr="00F60507">
        <w:t xml:space="preserve"> on </w:t>
      </w:r>
      <w:proofErr w:type="spellStart"/>
      <w:r w:rsidR="00AE0F98" w:rsidRPr="00F60507">
        <w:t>labour</w:t>
      </w:r>
      <w:proofErr w:type="spellEnd"/>
      <w:r w:rsidRPr="00F60507">
        <w:t xml:space="preserve"> supply. While the elasticity is only 0.10, implying that a one </w:t>
      </w:r>
      <w:r w:rsidR="00AE0F98" w:rsidRPr="00F60507">
        <w:t xml:space="preserve">per cent increase in bonuses leads to a 0.10 per cent rise in </w:t>
      </w:r>
      <w:proofErr w:type="spellStart"/>
      <w:r w:rsidR="00AE0F98" w:rsidRPr="00F60507">
        <w:t>labour</w:t>
      </w:r>
      <w:proofErr w:type="spellEnd"/>
      <w:r w:rsidRPr="00F60507">
        <w:t xml:space="preserve"> supply, this still highlights the motivational role of supplementary earnings in encouraging continued participation and improving morale among workers. However, the comparatively weaker effect of bonuses, relative to base wages, underscores that in the coir industry context, </w:t>
      </w:r>
      <w:r w:rsidRPr="00F60507">
        <w:rPr>
          <w:rStyle w:val="Strong"/>
          <w:rFonts w:eastAsiaTheme="majorEastAsia"/>
          <w:b w:val="0"/>
          <w:bCs w:val="0"/>
        </w:rPr>
        <w:t xml:space="preserve">regular and stable earnings remain the primary determinant of </w:t>
      </w:r>
      <w:proofErr w:type="spellStart"/>
      <w:r w:rsidRPr="00F60507">
        <w:rPr>
          <w:rStyle w:val="Strong"/>
          <w:rFonts w:eastAsiaTheme="majorEastAsia"/>
          <w:b w:val="0"/>
          <w:bCs w:val="0"/>
        </w:rPr>
        <w:t>labo</w:t>
      </w:r>
      <w:r w:rsidR="00AE0F98" w:rsidRPr="00F60507">
        <w:rPr>
          <w:rStyle w:val="Strong"/>
          <w:rFonts w:eastAsiaTheme="majorEastAsia"/>
          <w:b w:val="0"/>
          <w:bCs w:val="0"/>
        </w:rPr>
        <w:t>u</w:t>
      </w:r>
      <w:r w:rsidRPr="00F60507">
        <w:rPr>
          <w:rStyle w:val="Strong"/>
          <w:rFonts w:eastAsiaTheme="majorEastAsia"/>
          <w:b w:val="0"/>
          <w:bCs w:val="0"/>
        </w:rPr>
        <w:t>r</w:t>
      </w:r>
      <w:proofErr w:type="spellEnd"/>
      <w:r w:rsidRPr="00F60507">
        <w:rPr>
          <w:rStyle w:val="Strong"/>
          <w:rFonts w:eastAsiaTheme="majorEastAsia"/>
          <w:b w:val="0"/>
          <w:bCs w:val="0"/>
        </w:rPr>
        <w:t xml:space="preserve"> decisions</w:t>
      </w:r>
      <w:r w:rsidRPr="00F60507">
        <w:rPr>
          <w:b/>
          <w:bCs/>
        </w:rPr>
        <w:t xml:space="preserve">, </w:t>
      </w:r>
      <w:r w:rsidRPr="00F60507">
        <w:t xml:space="preserve">while bonuses function mainly as secondary motivators rather than as drivers of </w:t>
      </w:r>
      <w:proofErr w:type="spellStart"/>
      <w:r w:rsidR="00507265" w:rsidRPr="00F60507">
        <w:t>labour</w:t>
      </w:r>
      <w:proofErr w:type="spellEnd"/>
      <w:r w:rsidRPr="00F60507">
        <w:t xml:space="preserve"> allocation</w:t>
      </w:r>
      <w:r w:rsidR="004D30A4" w:rsidRPr="00F60507">
        <w:t xml:space="preserve"> </w:t>
      </w:r>
      <w:r w:rsidRPr="00F60507">
        <w:t>termination.</w:t>
      </w:r>
    </w:p>
    <w:p w14:paraId="216BE57A" w14:textId="797896BA" w:rsidR="009C75E1" w:rsidRPr="00F60507" w:rsidRDefault="009C75E1" w:rsidP="00F60507">
      <w:pPr>
        <w:pStyle w:val="NormalWeb"/>
        <w:spacing w:line="276" w:lineRule="auto"/>
        <w:jc w:val="both"/>
        <w:rPr>
          <w:b/>
          <w:bCs/>
        </w:rPr>
      </w:pPr>
      <w:r w:rsidRPr="00F60507">
        <w:rPr>
          <w:b/>
          <w:bCs/>
        </w:rPr>
        <w:t>Two-Stage Least Squares (2SLS) Estimation</w:t>
      </w:r>
    </w:p>
    <w:p w14:paraId="16B22BD8" w14:textId="2CBC982B" w:rsidR="009C75E1" w:rsidRPr="00F60507" w:rsidRDefault="003741CD" w:rsidP="00F60507">
      <w:pPr>
        <w:pStyle w:val="NormalWeb"/>
        <w:spacing w:line="276" w:lineRule="auto"/>
        <w:jc w:val="both"/>
        <w:rPr>
          <w:b/>
          <w:bCs/>
        </w:rPr>
      </w:pPr>
      <w:r w:rsidRPr="00F60507">
        <w:t xml:space="preserve">Given that wages and </w:t>
      </w:r>
      <w:r w:rsidR="00291AC5" w:rsidRPr="00F60507">
        <w:t>bonuses may be endogenous, the 2SLS method was applied to obtain unbiased</w:t>
      </w:r>
      <w:r w:rsidRPr="00F60507">
        <w:t xml:space="preserve"> estimates</w:t>
      </w:r>
      <w:r w:rsidRPr="00F60507">
        <w:rPr>
          <w:b/>
          <w:bCs/>
        </w:rPr>
        <w:t>.</w:t>
      </w:r>
    </w:p>
    <w:p w14:paraId="57424C22" w14:textId="74C68A89" w:rsidR="00291AC5" w:rsidRPr="00F60507" w:rsidRDefault="00291AC5" w:rsidP="00F60507">
      <w:pPr>
        <w:pStyle w:val="NormalWeb"/>
        <w:spacing w:line="276" w:lineRule="auto"/>
        <w:jc w:val="both"/>
        <w:rPr>
          <w:b/>
          <w:bCs/>
        </w:rPr>
      </w:pPr>
      <w:r w:rsidRPr="00F60507">
        <w:rPr>
          <w:b/>
          <w:bCs/>
        </w:rPr>
        <w:t>Table 2: 2SLS Results</w:t>
      </w:r>
    </w:p>
    <w:tbl>
      <w:tblPr>
        <w:tblStyle w:val="TableGrid"/>
        <w:tblW w:w="0" w:type="auto"/>
        <w:tblLook w:val="04A0" w:firstRow="1" w:lastRow="0" w:firstColumn="1" w:lastColumn="0" w:noHBand="0" w:noVBand="1"/>
      </w:tblPr>
      <w:tblGrid>
        <w:gridCol w:w="1803"/>
        <w:gridCol w:w="1803"/>
        <w:gridCol w:w="1803"/>
        <w:gridCol w:w="1803"/>
        <w:gridCol w:w="1804"/>
      </w:tblGrid>
      <w:tr w:rsidR="0096463D" w:rsidRPr="00F60507" w14:paraId="79368468" w14:textId="77777777" w:rsidTr="0096463D">
        <w:tc>
          <w:tcPr>
            <w:tcW w:w="1803" w:type="dxa"/>
          </w:tcPr>
          <w:p w14:paraId="742F78F6" w14:textId="4A7EA71E" w:rsidR="0096463D" w:rsidRPr="00F60507" w:rsidRDefault="0096463D" w:rsidP="00F60507">
            <w:pPr>
              <w:pStyle w:val="NormalWeb"/>
              <w:spacing w:line="276" w:lineRule="auto"/>
              <w:jc w:val="both"/>
            </w:pPr>
            <w:r w:rsidRPr="00F60507">
              <w:t xml:space="preserve">Variable </w:t>
            </w:r>
          </w:p>
        </w:tc>
        <w:tc>
          <w:tcPr>
            <w:tcW w:w="1803" w:type="dxa"/>
          </w:tcPr>
          <w:p w14:paraId="5C406F80" w14:textId="74DD92A6" w:rsidR="0096463D" w:rsidRPr="00F60507" w:rsidRDefault="0096463D" w:rsidP="00F60507">
            <w:pPr>
              <w:pStyle w:val="NormalWeb"/>
              <w:spacing w:line="276" w:lineRule="auto"/>
              <w:jc w:val="both"/>
            </w:pPr>
            <w:r w:rsidRPr="00F60507">
              <w:t xml:space="preserve">Coefficient </w:t>
            </w:r>
          </w:p>
        </w:tc>
        <w:tc>
          <w:tcPr>
            <w:tcW w:w="1803" w:type="dxa"/>
          </w:tcPr>
          <w:p w14:paraId="2F025E56" w14:textId="2FCFB174" w:rsidR="0096463D" w:rsidRPr="00F60507" w:rsidRDefault="0096463D" w:rsidP="00F60507">
            <w:pPr>
              <w:pStyle w:val="NormalWeb"/>
              <w:spacing w:line="276" w:lineRule="auto"/>
              <w:jc w:val="both"/>
            </w:pPr>
            <w:r w:rsidRPr="00F60507">
              <w:t xml:space="preserve">Robust St. Error </w:t>
            </w:r>
          </w:p>
        </w:tc>
        <w:tc>
          <w:tcPr>
            <w:tcW w:w="1803" w:type="dxa"/>
          </w:tcPr>
          <w:p w14:paraId="08E9E51C" w14:textId="34A12336" w:rsidR="0096463D" w:rsidRPr="00F60507" w:rsidRDefault="0096463D" w:rsidP="00F60507">
            <w:pPr>
              <w:pStyle w:val="NormalWeb"/>
              <w:spacing w:line="276" w:lineRule="auto"/>
              <w:jc w:val="both"/>
            </w:pPr>
            <w:r w:rsidRPr="00F60507">
              <w:t>Z</w:t>
            </w:r>
          </w:p>
        </w:tc>
        <w:tc>
          <w:tcPr>
            <w:tcW w:w="1804" w:type="dxa"/>
          </w:tcPr>
          <w:p w14:paraId="10070AD0" w14:textId="1127DBE1" w:rsidR="0096463D" w:rsidRPr="00F60507" w:rsidRDefault="0096463D" w:rsidP="00F60507">
            <w:pPr>
              <w:pStyle w:val="NormalWeb"/>
              <w:spacing w:line="276" w:lineRule="auto"/>
              <w:jc w:val="both"/>
            </w:pPr>
            <w:r w:rsidRPr="00F60507">
              <w:t>p-value</w:t>
            </w:r>
          </w:p>
        </w:tc>
      </w:tr>
      <w:tr w:rsidR="0096463D" w:rsidRPr="00F60507" w14:paraId="7676608A" w14:textId="77777777" w:rsidTr="0096463D">
        <w:tc>
          <w:tcPr>
            <w:tcW w:w="1803" w:type="dxa"/>
          </w:tcPr>
          <w:p w14:paraId="3B82887C" w14:textId="2DC07589" w:rsidR="0096463D" w:rsidRPr="00F60507" w:rsidRDefault="008D1AA7" w:rsidP="00F60507">
            <w:pPr>
              <w:pStyle w:val="NormalWeb"/>
              <w:spacing w:line="276" w:lineRule="auto"/>
              <w:jc w:val="both"/>
            </w:pPr>
            <w:r w:rsidRPr="00F60507">
              <w:t>ln (</w:t>
            </w:r>
            <w:r w:rsidR="0096463D" w:rsidRPr="00F60507">
              <w:t>Wage)</w:t>
            </w:r>
          </w:p>
        </w:tc>
        <w:tc>
          <w:tcPr>
            <w:tcW w:w="1803" w:type="dxa"/>
          </w:tcPr>
          <w:p w14:paraId="19BADCE2" w14:textId="2DBC7158" w:rsidR="0096463D" w:rsidRPr="00F60507" w:rsidRDefault="0096463D" w:rsidP="00F60507">
            <w:pPr>
              <w:pStyle w:val="NormalWeb"/>
              <w:spacing w:line="276" w:lineRule="auto"/>
              <w:jc w:val="both"/>
            </w:pPr>
            <w:r w:rsidRPr="00F60507">
              <w:t>1.502718</w:t>
            </w:r>
          </w:p>
        </w:tc>
        <w:tc>
          <w:tcPr>
            <w:tcW w:w="1803" w:type="dxa"/>
          </w:tcPr>
          <w:p w14:paraId="30B889CB" w14:textId="0FEFB852" w:rsidR="0096463D" w:rsidRPr="00F60507" w:rsidRDefault="0096463D" w:rsidP="00F60507">
            <w:pPr>
              <w:pStyle w:val="NormalWeb"/>
              <w:spacing w:line="276" w:lineRule="auto"/>
              <w:jc w:val="both"/>
            </w:pPr>
            <w:r w:rsidRPr="00F60507">
              <w:t>0.1978204</w:t>
            </w:r>
          </w:p>
        </w:tc>
        <w:tc>
          <w:tcPr>
            <w:tcW w:w="1803" w:type="dxa"/>
          </w:tcPr>
          <w:p w14:paraId="328AF35C" w14:textId="218B1404" w:rsidR="0096463D" w:rsidRPr="00F60507" w:rsidRDefault="0096463D" w:rsidP="00F60507">
            <w:pPr>
              <w:pStyle w:val="NormalWeb"/>
              <w:spacing w:line="276" w:lineRule="auto"/>
              <w:jc w:val="both"/>
            </w:pPr>
            <w:r w:rsidRPr="00F60507">
              <w:t>7.60</w:t>
            </w:r>
          </w:p>
        </w:tc>
        <w:tc>
          <w:tcPr>
            <w:tcW w:w="1804" w:type="dxa"/>
          </w:tcPr>
          <w:p w14:paraId="17A6D642" w14:textId="298BC8E8" w:rsidR="0096463D" w:rsidRPr="00F60507" w:rsidRDefault="0096463D" w:rsidP="00F60507">
            <w:pPr>
              <w:pStyle w:val="NormalWeb"/>
              <w:spacing w:line="276" w:lineRule="auto"/>
              <w:jc w:val="both"/>
            </w:pPr>
            <w:r w:rsidRPr="00F60507">
              <w:t>0.000</w:t>
            </w:r>
          </w:p>
        </w:tc>
      </w:tr>
      <w:tr w:rsidR="0096463D" w:rsidRPr="00F60507" w14:paraId="49E13A1A" w14:textId="77777777" w:rsidTr="0096463D">
        <w:tc>
          <w:tcPr>
            <w:tcW w:w="1803" w:type="dxa"/>
          </w:tcPr>
          <w:p w14:paraId="366281AC" w14:textId="2B05CE36" w:rsidR="0096463D" w:rsidRPr="00F60507" w:rsidRDefault="0096463D" w:rsidP="00F60507">
            <w:pPr>
              <w:pStyle w:val="NormalWeb"/>
              <w:spacing w:line="276" w:lineRule="auto"/>
              <w:jc w:val="both"/>
            </w:pPr>
            <w:r w:rsidRPr="00F60507">
              <w:t>ln (Bonus)</w:t>
            </w:r>
          </w:p>
        </w:tc>
        <w:tc>
          <w:tcPr>
            <w:tcW w:w="1803" w:type="dxa"/>
          </w:tcPr>
          <w:p w14:paraId="7C1580EB" w14:textId="44835493" w:rsidR="0096463D" w:rsidRPr="00F60507" w:rsidRDefault="0096463D" w:rsidP="00F60507">
            <w:pPr>
              <w:pStyle w:val="NormalWeb"/>
              <w:spacing w:line="276" w:lineRule="auto"/>
              <w:jc w:val="both"/>
            </w:pPr>
            <w:r w:rsidRPr="00F60507">
              <w:t>-0.3812</w:t>
            </w:r>
            <w:r w:rsidR="00651C22" w:rsidRPr="00F60507">
              <w:t>541</w:t>
            </w:r>
          </w:p>
        </w:tc>
        <w:tc>
          <w:tcPr>
            <w:tcW w:w="1803" w:type="dxa"/>
          </w:tcPr>
          <w:p w14:paraId="5FFFA49D" w14:textId="1B84CB37" w:rsidR="0096463D" w:rsidRPr="00F60507" w:rsidRDefault="00651C22" w:rsidP="00F60507">
            <w:pPr>
              <w:pStyle w:val="NormalWeb"/>
              <w:spacing w:line="276" w:lineRule="auto"/>
              <w:jc w:val="both"/>
            </w:pPr>
            <w:r w:rsidRPr="00F60507">
              <w:t>0.1365</w:t>
            </w:r>
          </w:p>
        </w:tc>
        <w:tc>
          <w:tcPr>
            <w:tcW w:w="1803" w:type="dxa"/>
          </w:tcPr>
          <w:p w14:paraId="6D5B14F1" w14:textId="24E72FD7" w:rsidR="0096463D" w:rsidRPr="00F60507" w:rsidRDefault="00651C22" w:rsidP="00F60507">
            <w:pPr>
              <w:pStyle w:val="NormalWeb"/>
              <w:spacing w:line="276" w:lineRule="auto"/>
              <w:jc w:val="both"/>
            </w:pPr>
            <w:r w:rsidRPr="00F60507">
              <w:t>-.79</w:t>
            </w:r>
          </w:p>
        </w:tc>
        <w:tc>
          <w:tcPr>
            <w:tcW w:w="1804" w:type="dxa"/>
          </w:tcPr>
          <w:p w14:paraId="5A3F4FB2" w14:textId="2E705C21" w:rsidR="0096463D" w:rsidRPr="00F60507" w:rsidRDefault="00651C22" w:rsidP="00F60507">
            <w:pPr>
              <w:pStyle w:val="NormalWeb"/>
              <w:spacing w:line="276" w:lineRule="auto"/>
              <w:jc w:val="both"/>
            </w:pPr>
            <w:r w:rsidRPr="00F60507">
              <w:t>0.005</w:t>
            </w:r>
          </w:p>
        </w:tc>
      </w:tr>
      <w:tr w:rsidR="0096463D" w:rsidRPr="00F60507" w14:paraId="20FCC1CA" w14:textId="77777777" w:rsidTr="0096463D">
        <w:tc>
          <w:tcPr>
            <w:tcW w:w="1803" w:type="dxa"/>
          </w:tcPr>
          <w:p w14:paraId="24AE1431" w14:textId="046EF008" w:rsidR="0096463D" w:rsidRPr="00F60507" w:rsidRDefault="0096463D" w:rsidP="00F60507">
            <w:pPr>
              <w:pStyle w:val="NormalWeb"/>
              <w:spacing w:line="276" w:lineRule="auto"/>
              <w:jc w:val="both"/>
            </w:pPr>
            <w:r w:rsidRPr="00F60507">
              <w:t xml:space="preserve">Constant </w:t>
            </w:r>
          </w:p>
        </w:tc>
        <w:tc>
          <w:tcPr>
            <w:tcW w:w="1803" w:type="dxa"/>
          </w:tcPr>
          <w:p w14:paraId="454958A4" w14:textId="77777777" w:rsidR="0096463D" w:rsidRPr="00F60507" w:rsidRDefault="0096463D" w:rsidP="00F60507">
            <w:pPr>
              <w:pStyle w:val="NormalWeb"/>
              <w:spacing w:line="276" w:lineRule="auto"/>
              <w:jc w:val="both"/>
            </w:pPr>
          </w:p>
        </w:tc>
        <w:tc>
          <w:tcPr>
            <w:tcW w:w="1803" w:type="dxa"/>
          </w:tcPr>
          <w:p w14:paraId="29DA784D" w14:textId="2AD2C5C3" w:rsidR="0096463D" w:rsidRPr="00F60507" w:rsidRDefault="00651C22" w:rsidP="00F60507">
            <w:pPr>
              <w:pStyle w:val="NormalWeb"/>
              <w:spacing w:line="276" w:lineRule="auto"/>
              <w:jc w:val="both"/>
            </w:pPr>
            <w:r w:rsidRPr="00F60507">
              <w:t>---</w:t>
            </w:r>
          </w:p>
        </w:tc>
        <w:tc>
          <w:tcPr>
            <w:tcW w:w="1803" w:type="dxa"/>
          </w:tcPr>
          <w:p w14:paraId="3D45EAF4" w14:textId="412C8EB5" w:rsidR="0096463D" w:rsidRPr="00F60507" w:rsidRDefault="00651C22" w:rsidP="00F60507">
            <w:pPr>
              <w:pStyle w:val="NormalWeb"/>
              <w:spacing w:line="276" w:lineRule="auto"/>
              <w:jc w:val="both"/>
            </w:pPr>
            <w:r w:rsidRPr="00F60507">
              <w:t>---</w:t>
            </w:r>
          </w:p>
        </w:tc>
        <w:tc>
          <w:tcPr>
            <w:tcW w:w="1804" w:type="dxa"/>
          </w:tcPr>
          <w:p w14:paraId="3E536955" w14:textId="514D7098" w:rsidR="0096463D" w:rsidRPr="00F60507" w:rsidRDefault="00651C22" w:rsidP="00F60507">
            <w:pPr>
              <w:pStyle w:val="NormalWeb"/>
              <w:spacing w:line="276" w:lineRule="auto"/>
              <w:jc w:val="both"/>
            </w:pPr>
            <w:r w:rsidRPr="00F60507">
              <w:t>---</w:t>
            </w:r>
          </w:p>
        </w:tc>
      </w:tr>
    </w:tbl>
    <w:p w14:paraId="22740D61" w14:textId="790C4C8A" w:rsidR="002C369F" w:rsidRPr="00F60507" w:rsidRDefault="00651C22"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 xml:space="preserve">Source: Author's estimation using society-level data 2010 -2014.  </w:t>
      </w:r>
    </w:p>
    <w:p w14:paraId="2FFA9D67" w14:textId="792BBB61" w:rsidR="002C369F" w:rsidRPr="00F60507" w:rsidRDefault="003741CD" w:rsidP="00F60507">
      <w:pPr>
        <w:pStyle w:val="NormalWeb"/>
        <w:spacing w:line="276" w:lineRule="auto"/>
        <w:jc w:val="both"/>
      </w:pPr>
      <w:r w:rsidRPr="00F60507">
        <w:t xml:space="preserve">After correcting for </w:t>
      </w:r>
      <w:r w:rsidR="004D30A4" w:rsidRPr="00F60507">
        <w:t>endogeneity,</w:t>
      </w:r>
      <w:r w:rsidRPr="00F60507">
        <w:t xml:space="preserve"> the wage elasticity rises to 1.50, suggesting that OLS underestimated </w:t>
      </w:r>
      <w:r w:rsidR="00291AC5" w:rsidRPr="00F60507">
        <w:t>workers'</w:t>
      </w:r>
      <w:r w:rsidRPr="00F60507">
        <w:t xml:space="preserve"> true responsiveness to wage changes.</w:t>
      </w:r>
      <w:r w:rsidR="00A751F2" w:rsidRPr="00F60507">
        <w:t xml:space="preserve"> </w:t>
      </w:r>
      <w:r w:rsidRPr="00F60507">
        <w:t xml:space="preserve">Interestingly, the elasticity of bonus turns negative and significant (-0.38), implying that higher bonuses may be associated </w:t>
      </w:r>
      <w:r w:rsidRPr="00F60507">
        <w:lastRenderedPageBreak/>
        <w:t xml:space="preserve">with reduced </w:t>
      </w:r>
      <w:proofErr w:type="spellStart"/>
      <w:r w:rsidRPr="00F60507">
        <w:t>labour</w:t>
      </w:r>
      <w:proofErr w:type="spellEnd"/>
      <w:r w:rsidRPr="00F60507">
        <w:t xml:space="preserve"> supply in the short run, possibly due to income e</w:t>
      </w:r>
      <w:r w:rsidR="003A2A1E" w:rsidRPr="00F60507">
        <w:t>ffects, where workers reduce hours once additional earnings are secured</w:t>
      </w:r>
      <w:r w:rsidR="00291AC5" w:rsidRPr="00F60507">
        <w:t>.</w:t>
      </w:r>
    </w:p>
    <w:p w14:paraId="79846F99" w14:textId="5860A3C4" w:rsidR="00291AC5" w:rsidRPr="00F60507" w:rsidRDefault="00291AC5" w:rsidP="00F60507">
      <w:pPr>
        <w:pStyle w:val="NormalWeb"/>
        <w:spacing w:line="276" w:lineRule="auto"/>
        <w:jc w:val="both"/>
        <w:rPr>
          <w:b/>
          <w:bCs/>
        </w:rPr>
      </w:pPr>
      <w:r w:rsidRPr="00F60507">
        <w:rPr>
          <w:b/>
          <w:bCs/>
        </w:rPr>
        <w:t>Table 3: Results of diagnostic tests</w:t>
      </w:r>
    </w:p>
    <w:tbl>
      <w:tblPr>
        <w:tblStyle w:val="TableGrid"/>
        <w:tblW w:w="0" w:type="auto"/>
        <w:tblLook w:val="04A0" w:firstRow="1" w:lastRow="0" w:firstColumn="1" w:lastColumn="0" w:noHBand="0" w:noVBand="1"/>
      </w:tblPr>
      <w:tblGrid>
        <w:gridCol w:w="2254"/>
        <w:gridCol w:w="2254"/>
        <w:gridCol w:w="2254"/>
      </w:tblGrid>
      <w:tr w:rsidR="00291AC5" w:rsidRPr="00F60507" w14:paraId="3E54321F" w14:textId="77777777" w:rsidTr="002C369F">
        <w:tc>
          <w:tcPr>
            <w:tcW w:w="2254" w:type="dxa"/>
          </w:tcPr>
          <w:p w14:paraId="4BF5D3F9" w14:textId="5EC5C69B" w:rsidR="00291AC5" w:rsidRPr="00F60507" w:rsidRDefault="00291AC5" w:rsidP="00F60507">
            <w:pPr>
              <w:pStyle w:val="NormalWeb"/>
              <w:spacing w:line="276" w:lineRule="auto"/>
              <w:jc w:val="both"/>
              <w:rPr>
                <w:b/>
                <w:bCs/>
              </w:rPr>
            </w:pPr>
            <w:r w:rsidRPr="00F60507">
              <w:rPr>
                <w:b/>
                <w:bCs/>
              </w:rPr>
              <w:t xml:space="preserve">Test </w:t>
            </w:r>
          </w:p>
        </w:tc>
        <w:tc>
          <w:tcPr>
            <w:tcW w:w="2254" w:type="dxa"/>
          </w:tcPr>
          <w:p w14:paraId="30D1C575" w14:textId="36B0AF11" w:rsidR="00291AC5" w:rsidRPr="00F60507" w:rsidRDefault="009B2876" w:rsidP="00F60507">
            <w:pPr>
              <w:pStyle w:val="NormalWeb"/>
              <w:spacing w:line="276" w:lineRule="auto"/>
              <w:jc w:val="both"/>
              <w:rPr>
                <w:b/>
                <w:bCs/>
              </w:rPr>
            </w:pPr>
            <w:r w:rsidRPr="00F60507">
              <w:rPr>
                <w:b/>
                <w:bCs/>
              </w:rPr>
              <w:t>Statistic</w:t>
            </w:r>
            <w:r w:rsidR="00291AC5" w:rsidRPr="00F60507">
              <w:rPr>
                <w:b/>
                <w:bCs/>
              </w:rPr>
              <w:t xml:space="preserve"> </w:t>
            </w:r>
          </w:p>
        </w:tc>
        <w:tc>
          <w:tcPr>
            <w:tcW w:w="2254" w:type="dxa"/>
          </w:tcPr>
          <w:p w14:paraId="7A90F6B6" w14:textId="4F0698E3" w:rsidR="00291AC5" w:rsidRPr="00F60507" w:rsidRDefault="00291AC5" w:rsidP="00F60507">
            <w:pPr>
              <w:pStyle w:val="NormalWeb"/>
              <w:spacing w:line="276" w:lineRule="auto"/>
              <w:jc w:val="both"/>
              <w:rPr>
                <w:b/>
                <w:bCs/>
              </w:rPr>
            </w:pPr>
            <w:r w:rsidRPr="00F60507">
              <w:rPr>
                <w:b/>
                <w:bCs/>
              </w:rPr>
              <w:t xml:space="preserve">P- Value </w:t>
            </w:r>
          </w:p>
        </w:tc>
      </w:tr>
      <w:tr w:rsidR="00291AC5" w:rsidRPr="00F60507" w14:paraId="6113F412" w14:textId="77777777" w:rsidTr="002C369F">
        <w:tc>
          <w:tcPr>
            <w:tcW w:w="2254" w:type="dxa"/>
          </w:tcPr>
          <w:p w14:paraId="3F13B550" w14:textId="3670A2CC" w:rsidR="00291AC5" w:rsidRPr="00F60507" w:rsidRDefault="00291AC5" w:rsidP="00F60507">
            <w:pPr>
              <w:pStyle w:val="NormalWeb"/>
              <w:spacing w:line="276" w:lineRule="auto"/>
              <w:jc w:val="both"/>
              <w:rPr>
                <w:b/>
                <w:bCs/>
              </w:rPr>
            </w:pPr>
            <w:proofErr w:type="spellStart"/>
            <w:r w:rsidRPr="00F60507">
              <w:t>Kleibergen</w:t>
            </w:r>
            <w:proofErr w:type="spellEnd"/>
            <w:r w:rsidRPr="00F60507">
              <w:t>–</w:t>
            </w:r>
            <w:proofErr w:type="spellStart"/>
            <w:r w:rsidRPr="00F60507">
              <w:t>Paap</w:t>
            </w:r>
            <w:proofErr w:type="spellEnd"/>
            <w:r w:rsidRPr="00F60507">
              <w:t xml:space="preserve"> LM test</w:t>
            </w:r>
          </w:p>
        </w:tc>
        <w:tc>
          <w:tcPr>
            <w:tcW w:w="2254" w:type="dxa"/>
          </w:tcPr>
          <w:p w14:paraId="721FA709" w14:textId="1C550CC7" w:rsidR="00291AC5" w:rsidRPr="00F60507" w:rsidRDefault="00291AC5" w:rsidP="00F60507">
            <w:pPr>
              <w:pStyle w:val="NormalWeb"/>
              <w:spacing w:line="276" w:lineRule="auto"/>
              <w:jc w:val="both"/>
            </w:pPr>
            <w:r w:rsidRPr="00F60507">
              <w:t>12.347</w:t>
            </w:r>
          </w:p>
        </w:tc>
        <w:tc>
          <w:tcPr>
            <w:tcW w:w="2254" w:type="dxa"/>
          </w:tcPr>
          <w:p w14:paraId="4357F077" w14:textId="32204A33" w:rsidR="00291AC5" w:rsidRPr="00F60507" w:rsidRDefault="00291AC5" w:rsidP="00F60507">
            <w:pPr>
              <w:pStyle w:val="NormalWeb"/>
              <w:spacing w:line="276" w:lineRule="auto"/>
              <w:jc w:val="both"/>
            </w:pPr>
            <w:r w:rsidRPr="00F60507">
              <w:t>0.0004</w:t>
            </w:r>
          </w:p>
        </w:tc>
      </w:tr>
      <w:tr w:rsidR="00291AC5" w:rsidRPr="00F60507" w14:paraId="5DB087DD" w14:textId="77777777" w:rsidTr="002C369F">
        <w:tc>
          <w:tcPr>
            <w:tcW w:w="2254" w:type="dxa"/>
          </w:tcPr>
          <w:p w14:paraId="558733D3" w14:textId="657B1E04" w:rsidR="00291AC5" w:rsidRPr="00F60507" w:rsidRDefault="00291AC5" w:rsidP="00F60507">
            <w:pPr>
              <w:pStyle w:val="NormalWeb"/>
              <w:spacing w:line="276" w:lineRule="auto"/>
              <w:jc w:val="both"/>
              <w:rPr>
                <w:b/>
                <w:bCs/>
              </w:rPr>
            </w:pPr>
            <w:r w:rsidRPr="00F60507">
              <w:t>Cragg–Donald F statistic</w:t>
            </w:r>
          </w:p>
        </w:tc>
        <w:tc>
          <w:tcPr>
            <w:tcW w:w="2254" w:type="dxa"/>
          </w:tcPr>
          <w:p w14:paraId="3EDC04F6" w14:textId="13F8AF50" w:rsidR="00291AC5" w:rsidRPr="00F60507" w:rsidRDefault="00291AC5" w:rsidP="00F60507">
            <w:pPr>
              <w:pStyle w:val="NormalWeb"/>
              <w:spacing w:line="276" w:lineRule="auto"/>
              <w:jc w:val="both"/>
            </w:pPr>
            <w:r w:rsidRPr="00F60507">
              <w:t>111.17</w:t>
            </w:r>
          </w:p>
        </w:tc>
        <w:tc>
          <w:tcPr>
            <w:tcW w:w="2254" w:type="dxa"/>
          </w:tcPr>
          <w:p w14:paraId="19B72D02" w14:textId="57513737" w:rsidR="00291AC5" w:rsidRPr="00F60507" w:rsidRDefault="003A65DE" w:rsidP="00F60507">
            <w:pPr>
              <w:pStyle w:val="NormalWeb"/>
              <w:spacing w:line="276" w:lineRule="auto"/>
              <w:jc w:val="both"/>
            </w:pPr>
            <w:r w:rsidRPr="00F60507">
              <w:t>-</w:t>
            </w:r>
          </w:p>
        </w:tc>
      </w:tr>
      <w:tr w:rsidR="00291AC5" w:rsidRPr="00F60507" w14:paraId="1D4449E9" w14:textId="77777777" w:rsidTr="002C369F">
        <w:tc>
          <w:tcPr>
            <w:tcW w:w="2254" w:type="dxa"/>
          </w:tcPr>
          <w:p w14:paraId="58590080" w14:textId="0D9424CA" w:rsidR="00291AC5" w:rsidRPr="00F60507" w:rsidRDefault="00291AC5" w:rsidP="00F60507">
            <w:pPr>
              <w:pStyle w:val="NormalWeb"/>
              <w:spacing w:line="276" w:lineRule="auto"/>
              <w:jc w:val="both"/>
              <w:rPr>
                <w:b/>
                <w:bCs/>
              </w:rPr>
            </w:pPr>
            <w:proofErr w:type="spellStart"/>
            <w:r w:rsidRPr="00F60507">
              <w:t>Kleibergen</w:t>
            </w:r>
            <w:proofErr w:type="spellEnd"/>
            <w:r w:rsidRPr="00F60507">
              <w:t>–</w:t>
            </w:r>
            <w:proofErr w:type="spellStart"/>
            <w:r w:rsidRPr="00F60507">
              <w:t>Paap</w:t>
            </w:r>
            <w:proofErr w:type="spellEnd"/>
            <w:r w:rsidRPr="00F60507">
              <w:t xml:space="preserve"> Wald F</w:t>
            </w:r>
          </w:p>
        </w:tc>
        <w:tc>
          <w:tcPr>
            <w:tcW w:w="2254" w:type="dxa"/>
          </w:tcPr>
          <w:p w14:paraId="697518D2" w14:textId="1738F128" w:rsidR="00291AC5" w:rsidRPr="00F60507" w:rsidRDefault="00291AC5" w:rsidP="00F60507">
            <w:pPr>
              <w:pStyle w:val="NormalWeb"/>
              <w:spacing w:line="276" w:lineRule="auto"/>
              <w:jc w:val="both"/>
            </w:pPr>
            <w:r w:rsidRPr="00F60507">
              <w:t>18.33</w:t>
            </w:r>
          </w:p>
        </w:tc>
        <w:tc>
          <w:tcPr>
            <w:tcW w:w="2254" w:type="dxa"/>
          </w:tcPr>
          <w:p w14:paraId="4C4626D3" w14:textId="61C01657" w:rsidR="00291AC5" w:rsidRPr="00F60507" w:rsidRDefault="003A65DE" w:rsidP="00F60507">
            <w:pPr>
              <w:pStyle w:val="NormalWeb"/>
              <w:spacing w:line="276" w:lineRule="auto"/>
              <w:jc w:val="both"/>
            </w:pPr>
            <w:r w:rsidRPr="00F60507">
              <w:t>-</w:t>
            </w:r>
          </w:p>
        </w:tc>
      </w:tr>
      <w:tr w:rsidR="00291AC5" w:rsidRPr="00F60507" w14:paraId="1C16E66E" w14:textId="77777777" w:rsidTr="002C369F">
        <w:tc>
          <w:tcPr>
            <w:tcW w:w="2254" w:type="dxa"/>
          </w:tcPr>
          <w:p w14:paraId="401A38D2" w14:textId="7089038D" w:rsidR="00291AC5" w:rsidRPr="00F60507" w:rsidRDefault="00291AC5" w:rsidP="00F60507">
            <w:pPr>
              <w:pStyle w:val="NormalWeb"/>
              <w:spacing w:line="276" w:lineRule="auto"/>
              <w:jc w:val="both"/>
              <w:rPr>
                <w:b/>
                <w:bCs/>
              </w:rPr>
            </w:pPr>
            <w:r w:rsidRPr="00F60507">
              <w:t>Hansen J statistic</w:t>
            </w:r>
          </w:p>
        </w:tc>
        <w:tc>
          <w:tcPr>
            <w:tcW w:w="2254" w:type="dxa"/>
          </w:tcPr>
          <w:p w14:paraId="4902A449" w14:textId="506E96F2" w:rsidR="00291AC5" w:rsidRPr="00F60507" w:rsidRDefault="00291AC5" w:rsidP="00F60507">
            <w:pPr>
              <w:pStyle w:val="NormalWeb"/>
              <w:spacing w:line="276" w:lineRule="auto"/>
              <w:jc w:val="both"/>
            </w:pPr>
            <w:r w:rsidRPr="00F60507">
              <w:t>0.000</w:t>
            </w:r>
          </w:p>
        </w:tc>
        <w:tc>
          <w:tcPr>
            <w:tcW w:w="2254" w:type="dxa"/>
          </w:tcPr>
          <w:p w14:paraId="05654FC0" w14:textId="6633EBFB" w:rsidR="00291AC5" w:rsidRPr="00F60507" w:rsidRDefault="003A65DE" w:rsidP="00F60507">
            <w:pPr>
              <w:pStyle w:val="NormalWeb"/>
              <w:spacing w:line="276" w:lineRule="auto"/>
              <w:jc w:val="both"/>
            </w:pPr>
            <w:r w:rsidRPr="00F60507">
              <w:t xml:space="preserve">Exactly identified </w:t>
            </w:r>
          </w:p>
        </w:tc>
      </w:tr>
    </w:tbl>
    <w:p w14:paraId="11B47F78" w14:textId="246F3108" w:rsidR="00651C22" w:rsidRPr="00F60507" w:rsidRDefault="00651C22" w:rsidP="00F60507">
      <w:pPr>
        <w:spacing w:after="200" w:line="276" w:lineRule="auto"/>
        <w:jc w:val="both"/>
        <w:rPr>
          <w:rFonts w:ascii="Times New Roman" w:eastAsia="MS Mincho" w:hAnsi="Times New Roman" w:cs="Times New Roman"/>
          <w:kern w:val="0"/>
          <w:lang w:bidi="ar-SA"/>
          <w14:ligatures w14:val="none"/>
        </w:rPr>
      </w:pPr>
      <w:r w:rsidRPr="00F60507">
        <w:rPr>
          <w:rFonts w:ascii="Times New Roman" w:eastAsia="MS Mincho" w:hAnsi="Times New Roman" w:cs="Times New Roman"/>
          <w:kern w:val="0"/>
          <w:lang w:bidi="ar-SA"/>
          <w14:ligatures w14:val="none"/>
        </w:rPr>
        <w:t xml:space="preserve">Source: Author's estimation using society-level data 2010 -2014.  </w:t>
      </w:r>
    </w:p>
    <w:p w14:paraId="770500DA" w14:textId="072AFBF0" w:rsidR="003741CD" w:rsidRPr="00F60507" w:rsidRDefault="003A2A1E" w:rsidP="00F60507">
      <w:pPr>
        <w:pStyle w:val="NormalWeb"/>
        <w:spacing w:line="276" w:lineRule="auto"/>
        <w:jc w:val="both"/>
      </w:pPr>
      <w:r w:rsidRPr="00F60507">
        <w:t xml:space="preserve">All diagnostic tests confirm that the selected instruments are valid, strong, and </w:t>
      </w:r>
      <w:r w:rsidR="00A751F2" w:rsidRPr="00F60507">
        <w:t>relevant. Hence</w:t>
      </w:r>
      <w:r w:rsidR="00124D80" w:rsidRPr="00F60507">
        <w:t xml:space="preserve">, </w:t>
      </w:r>
      <w:r w:rsidR="00651C22" w:rsidRPr="00F60507">
        <w:t>the 2</w:t>
      </w:r>
      <w:r w:rsidR="00124D80" w:rsidRPr="00F60507">
        <w:t>SLS results</w:t>
      </w:r>
      <w:r w:rsidRPr="00F60507">
        <w:t xml:space="preserve"> are statistically valid and free from identification issues.</w:t>
      </w:r>
    </w:p>
    <w:p w14:paraId="045D3745" w14:textId="7DB47E4A" w:rsidR="00C20804" w:rsidRPr="00F60507" w:rsidRDefault="00B87C44" w:rsidP="00F60507">
      <w:pPr>
        <w:pStyle w:val="NormalWeb"/>
        <w:spacing w:before="0" w:beforeAutospacing="0" w:after="0" w:afterAutospacing="0" w:line="276" w:lineRule="auto"/>
        <w:jc w:val="both"/>
        <w:rPr>
          <w:b/>
          <w:bCs/>
          <w:color w:val="0E101A"/>
        </w:rPr>
      </w:pPr>
      <w:r w:rsidRPr="00F60507">
        <w:rPr>
          <w:b/>
          <w:bCs/>
          <w:color w:val="0E101A"/>
        </w:rPr>
        <w:t>5</w:t>
      </w:r>
      <w:r w:rsidR="003B3896" w:rsidRPr="00F60507">
        <w:rPr>
          <w:b/>
          <w:bCs/>
          <w:color w:val="0E101A"/>
        </w:rPr>
        <w:t>.</w:t>
      </w:r>
      <w:r w:rsidR="003B3896" w:rsidRPr="00F60507">
        <w:rPr>
          <w:color w:val="0E101A"/>
        </w:rPr>
        <w:t xml:space="preserve"> </w:t>
      </w:r>
      <w:r w:rsidR="00124D80" w:rsidRPr="00F60507">
        <w:rPr>
          <w:b/>
          <w:bCs/>
          <w:color w:val="0E101A"/>
        </w:rPr>
        <w:t xml:space="preserve">Conclusion </w:t>
      </w:r>
    </w:p>
    <w:p w14:paraId="65337D79" w14:textId="5CCFA0A8" w:rsidR="006A5C73" w:rsidRPr="00F60507" w:rsidRDefault="00014F51" w:rsidP="00F60507">
      <w:pPr>
        <w:pStyle w:val="NormalWeb"/>
        <w:spacing w:before="0" w:beforeAutospacing="0" w:after="0" w:afterAutospacing="0" w:line="276" w:lineRule="auto"/>
        <w:jc w:val="both"/>
        <w:rPr>
          <w:color w:val="0E101A"/>
        </w:rPr>
      </w:pPr>
      <w:r w:rsidRPr="00F60507">
        <w:rPr>
          <w:color w:val="0E101A"/>
        </w:rPr>
        <w:t>This paper exami</w:t>
      </w:r>
      <w:r w:rsidR="00291AC5" w:rsidRPr="00F60507">
        <w:rPr>
          <w:color w:val="0E101A"/>
        </w:rPr>
        <w:t>ne</w:t>
      </w:r>
      <w:r w:rsidRPr="00F60507">
        <w:rPr>
          <w:color w:val="0E101A"/>
        </w:rPr>
        <w:t>d</w:t>
      </w:r>
      <w:r w:rsidR="00DC194F" w:rsidRPr="00F60507">
        <w:rPr>
          <w:color w:val="0E101A"/>
        </w:rPr>
        <w:t xml:space="preserve"> the structure of </w:t>
      </w:r>
      <w:r w:rsidR="00291AC5" w:rsidRPr="00F60507">
        <w:rPr>
          <w:color w:val="0E101A"/>
        </w:rPr>
        <w:t xml:space="preserve">the coir spinning </w:t>
      </w:r>
      <w:proofErr w:type="spellStart"/>
      <w:r w:rsidR="00291AC5" w:rsidRPr="00F60507">
        <w:rPr>
          <w:color w:val="0E101A"/>
        </w:rPr>
        <w:t>labour</w:t>
      </w:r>
      <w:proofErr w:type="spellEnd"/>
      <w:r w:rsidR="00291AC5" w:rsidRPr="00F60507">
        <w:rPr>
          <w:color w:val="0E101A"/>
        </w:rPr>
        <w:t xml:space="preserve"> market in Kerala in the context</w:t>
      </w:r>
      <w:r w:rsidR="00DC194F" w:rsidRPr="00F60507">
        <w:rPr>
          <w:color w:val="0E101A"/>
        </w:rPr>
        <w:t xml:space="preserve"> of </w:t>
      </w:r>
      <w:r w:rsidR="00D41C6D" w:rsidRPr="00F60507">
        <w:rPr>
          <w:color w:val="0E101A"/>
        </w:rPr>
        <w:t>imperfection. For</w:t>
      </w:r>
      <w:r w:rsidR="00DC194F" w:rsidRPr="00F60507">
        <w:rPr>
          <w:color w:val="0E101A"/>
        </w:rPr>
        <w:t xml:space="preserve"> this researcher</w:t>
      </w:r>
      <w:r w:rsidR="00291AC5" w:rsidRPr="00F60507">
        <w:rPr>
          <w:color w:val="0E101A"/>
        </w:rPr>
        <w:t xml:space="preserve">, the use of panel data </w:t>
      </w:r>
      <w:r w:rsidR="00507265" w:rsidRPr="00F60507">
        <w:rPr>
          <w:color w:val="0E101A"/>
        </w:rPr>
        <w:t xml:space="preserve">on 40 </w:t>
      </w:r>
      <w:r w:rsidR="002B7EB2" w:rsidRPr="00F60507">
        <w:rPr>
          <w:color w:val="0E101A"/>
        </w:rPr>
        <w:t>primary</w:t>
      </w:r>
      <w:r w:rsidR="00291AC5" w:rsidRPr="00F60507">
        <w:rPr>
          <w:color w:val="0E101A"/>
        </w:rPr>
        <w:t xml:space="preserve"> societies over</w:t>
      </w:r>
      <w:r w:rsidR="00DC194F" w:rsidRPr="00F60507">
        <w:rPr>
          <w:color w:val="0E101A"/>
        </w:rPr>
        <w:t xml:space="preserve"> the period of 2010 to 2024. The empirical finding shows that the coir spinning </w:t>
      </w:r>
      <w:proofErr w:type="spellStart"/>
      <w:r w:rsidR="00DC194F" w:rsidRPr="00F60507">
        <w:rPr>
          <w:color w:val="0E101A"/>
        </w:rPr>
        <w:t>labour</w:t>
      </w:r>
      <w:proofErr w:type="spellEnd"/>
      <w:r w:rsidR="00DC194F" w:rsidRPr="00F60507">
        <w:rPr>
          <w:color w:val="0E101A"/>
        </w:rPr>
        <w:t xml:space="preserve"> market in Kerala </w:t>
      </w:r>
      <w:r w:rsidR="00383A71" w:rsidRPr="00F60507">
        <w:rPr>
          <w:color w:val="0E101A"/>
        </w:rPr>
        <w:t>continues</w:t>
      </w:r>
      <w:r w:rsidR="00D41C6D" w:rsidRPr="00F60507">
        <w:rPr>
          <w:color w:val="0E101A"/>
        </w:rPr>
        <w:t xml:space="preserve"> to operate under monopsonistic conditions</w:t>
      </w:r>
      <w:r w:rsidR="00595B3B" w:rsidRPr="00F60507">
        <w:rPr>
          <w:color w:val="0E101A"/>
        </w:rPr>
        <w:t>.</w:t>
      </w:r>
      <w:r w:rsidR="00291AC5" w:rsidRPr="00F60507">
        <w:rPr>
          <w:color w:val="0E101A"/>
        </w:rPr>
        <w:t xml:space="preserve"> </w:t>
      </w:r>
      <w:r w:rsidR="00595B3B" w:rsidRPr="00F60507">
        <w:rPr>
          <w:color w:val="0E101A"/>
        </w:rPr>
        <w:t xml:space="preserve">This is reflected in the low inelastic </w:t>
      </w:r>
      <w:proofErr w:type="spellStart"/>
      <w:r w:rsidR="00595B3B" w:rsidRPr="00F60507">
        <w:rPr>
          <w:color w:val="0E101A"/>
        </w:rPr>
        <w:t>labour</w:t>
      </w:r>
      <w:proofErr w:type="spellEnd"/>
      <w:r w:rsidR="00595B3B" w:rsidRPr="00F60507">
        <w:rPr>
          <w:color w:val="0E101A"/>
        </w:rPr>
        <w:t xml:space="preserve"> supply found in the OLS model and substantially higher elasticity </w:t>
      </w:r>
      <w:r w:rsidR="00ED3F76" w:rsidRPr="00F60507">
        <w:rPr>
          <w:color w:val="0E101A"/>
        </w:rPr>
        <w:t xml:space="preserve">revealed by the 2SLS estimation after correcting for </w:t>
      </w:r>
      <w:r w:rsidR="003B3896" w:rsidRPr="00F60507">
        <w:rPr>
          <w:color w:val="0E101A"/>
        </w:rPr>
        <w:t>endogeneity. These</w:t>
      </w:r>
      <w:r w:rsidR="00291AC5" w:rsidRPr="00F60507">
        <w:rPr>
          <w:color w:val="0E101A"/>
        </w:rPr>
        <w:t xml:space="preserve"> results reveal that workers have limited mobility and weak bargaining power due to structural constraints</w:t>
      </w:r>
      <w:r w:rsidR="00507265" w:rsidRPr="00F60507">
        <w:rPr>
          <w:color w:val="0E101A"/>
        </w:rPr>
        <w:t xml:space="preserve">, including gendered </w:t>
      </w:r>
      <w:proofErr w:type="spellStart"/>
      <w:r w:rsidR="00507265" w:rsidRPr="00F60507">
        <w:rPr>
          <w:color w:val="0E101A"/>
        </w:rPr>
        <w:t>labour</w:t>
      </w:r>
      <w:proofErr w:type="spellEnd"/>
      <w:r w:rsidR="00507265" w:rsidRPr="00F60507">
        <w:rPr>
          <w:color w:val="0E101A"/>
        </w:rPr>
        <w:t xml:space="preserve"> segmentation, low alternative employment opportunities, and the </w:t>
      </w:r>
      <w:r w:rsidR="00291AC5" w:rsidRPr="00F60507">
        <w:rPr>
          <w:color w:val="0E101A"/>
        </w:rPr>
        <w:t>dominance</w:t>
      </w:r>
      <w:r w:rsidR="006A5C73" w:rsidRPr="00F60507">
        <w:rPr>
          <w:color w:val="0E101A"/>
        </w:rPr>
        <w:t xml:space="preserve"> of cooperative societies in wage determination. </w:t>
      </w:r>
      <w:r w:rsidR="00383A71" w:rsidRPr="00F60507">
        <w:rPr>
          <w:color w:val="0E101A"/>
        </w:rPr>
        <w:t xml:space="preserve">Furthermore, the negative bonus elasticity suggests that in low-wage situations, </w:t>
      </w:r>
      <w:r w:rsidR="003B3896" w:rsidRPr="00F60507">
        <w:rPr>
          <w:color w:val="0E101A"/>
        </w:rPr>
        <w:t>a temporary increase in earnings reduces</w:t>
      </w:r>
      <w:r w:rsidR="00E9560A" w:rsidRPr="00F60507">
        <w:rPr>
          <w:color w:val="0E101A"/>
        </w:rPr>
        <w:t xml:space="preserve"> the need </w:t>
      </w:r>
      <w:r w:rsidR="003B3896" w:rsidRPr="00F60507">
        <w:rPr>
          <w:color w:val="0E101A"/>
        </w:rPr>
        <w:t>for additional</w:t>
      </w:r>
      <w:r w:rsidR="00E9560A" w:rsidRPr="00F60507">
        <w:rPr>
          <w:color w:val="0E101A"/>
        </w:rPr>
        <w:t xml:space="preserve"> </w:t>
      </w:r>
      <w:proofErr w:type="spellStart"/>
      <w:r w:rsidR="00E9560A" w:rsidRPr="00F60507">
        <w:rPr>
          <w:color w:val="0E101A"/>
        </w:rPr>
        <w:t>labour</w:t>
      </w:r>
      <w:proofErr w:type="spellEnd"/>
      <w:r w:rsidR="00E9560A" w:rsidRPr="00F60507">
        <w:rPr>
          <w:color w:val="0E101A"/>
        </w:rPr>
        <w:t xml:space="preserve"> </w:t>
      </w:r>
      <w:r w:rsidR="003B3896" w:rsidRPr="00F60507">
        <w:rPr>
          <w:color w:val="0E101A"/>
        </w:rPr>
        <w:t xml:space="preserve">supply. </w:t>
      </w:r>
      <w:r w:rsidR="00383A71" w:rsidRPr="00F60507">
        <w:rPr>
          <w:color w:val="0E101A"/>
        </w:rPr>
        <w:t xml:space="preserve">Finally, these findings underscore the need for targeted </w:t>
      </w:r>
      <w:r w:rsidR="00507265" w:rsidRPr="00F60507">
        <w:rPr>
          <w:color w:val="0E101A"/>
        </w:rPr>
        <w:t xml:space="preserve">interventions to reduce </w:t>
      </w:r>
      <w:proofErr w:type="spellStart"/>
      <w:r w:rsidR="00507265" w:rsidRPr="00F60507">
        <w:rPr>
          <w:color w:val="0E101A"/>
        </w:rPr>
        <w:t>labour</w:t>
      </w:r>
      <w:proofErr w:type="spellEnd"/>
      <w:r w:rsidR="00507265" w:rsidRPr="00F60507">
        <w:rPr>
          <w:color w:val="0E101A"/>
        </w:rPr>
        <w:t xml:space="preserve"> market imperfections and </w:t>
      </w:r>
      <w:r w:rsidR="00383A71" w:rsidRPr="00F60507">
        <w:rPr>
          <w:color w:val="0E101A"/>
        </w:rPr>
        <w:t>strengthen workers'</w:t>
      </w:r>
      <w:r w:rsidR="00E9560A" w:rsidRPr="00F60507">
        <w:rPr>
          <w:color w:val="0E101A"/>
        </w:rPr>
        <w:t xml:space="preserve"> </w:t>
      </w:r>
      <w:r w:rsidR="003B3896" w:rsidRPr="00F60507">
        <w:rPr>
          <w:color w:val="0E101A"/>
        </w:rPr>
        <w:t>welfare. Policy</w:t>
      </w:r>
      <w:r w:rsidR="00C22AD0" w:rsidRPr="00F60507">
        <w:rPr>
          <w:color w:val="0E101A"/>
        </w:rPr>
        <w:t xml:space="preserve"> </w:t>
      </w:r>
      <w:r w:rsidR="00383A71" w:rsidRPr="00F60507">
        <w:rPr>
          <w:color w:val="0E101A"/>
        </w:rPr>
        <w:t xml:space="preserve">measures </w:t>
      </w:r>
      <w:r w:rsidR="00507265" w:rsidRPr="00F60507">
        <w:rPr>
          <w:color w:val="0E101A"/>
        </w:rPr>
        <w:t>include improving the wage structure through fair wage policies, ensuring timely welfare payments,</w:t>
      </w:r>
      <w:r w:rsidR="00C22AD0" w:rsidRPr="00F60507">
        <w:rPr>
          <w:color w:val="0E101A"/>
        </w:rPr>
        <w:t xml:space="preserve"> </w:t>
      </w:r>
      <w:r w:rsidR="006B507B" w:rsidRPr="00F60507">
        <w:rPr>
          <w:color w:val="0E101A"/>
        </w:rPr>
        <w:t xml:space="preserve">and </w:t>
      </w:r>
      <w:r w:rsidR="003B3896" w:rsidRPr="00F60507">
        <w:rPr>
          <w:color w:val="0E101A"/>
        </w:rPr>
        <w:t>strengthening</w:t>
      </w:r>
      <w:r w:rsidR="006B507B" w:rsidRPr="00F60507">
        <w:rPr>
          <w:color w:val="0E101A"/>
        </w:rPr>
        <w:t xml:space="preserve"> the financial performance of coir </w:t>
      </w:r>
      <w:r w:rsidR="003B3896" w:rsidRPr="00F60507">
        <w:rPr>
          <w:color w:val="0E101A"/>
        </w:rPr>
        <w:t>cooperatives. In</w:t>
      </w:r>
      <w:r w:rsidR="006B507B" w:rsidRPr="00F60507">
        <w:rPr>
          <w:color w:val="0E101A"/>
        </w:rPr>
        <w:t xml:space="preserve"> addition</w:t>
      </w:r>
      <w:r w:rsidR="003B3896" w:rsidRPr="00F60507">
        <w:rPr>
          <w:color w:val="0E101A"/>
        </w:rPr>
        <w:t xml:space="preserve">, </w:t>
      </w:r>
      <w:r w:rsidR="00383A71" w:rsidRPr="00F60507">
        <w:rPr>
          <w:color w:val="0E101A"/>
        </w:rPr>
        <w:t xml:space="preserve">promoting alternative employment, diversifying livelihood options, and placing </w:t>
      </w:r>
      <w:r w:rsidR="003B3896" w:rsidRPr="00F60507">
        <w:rPr>
          <w:color w:val="0E101A"/>
        </w:rPr>
        <w:t>greater emphasis on skill development can reduce the monopsony</w:t>
      </w:r>
      <w:r w:rsidR="006B507B" w:rsidRPr="00F60507">
        <w:rPr>
          <w:color w:val="0E101A"/>
        </w:rPr>
        <w:t xml:space="preserve"> power in the </w:t>
      </w:r>
      <w:r w:rsidR="0053206A" w:rsidRPr="00F60507">
        <w:rPr>
          <w:color w:val="0E101A"/>
        </w:rPr>
        <w:t xml:space="preserve">coir spinning </w:t>
      </w:r>
      <w:proofErr w:type="spellStart"/>
      <w:r w:rsidR="0053206A" w:rsidRPr="00F60507">
        <w:rPr>
          <w:color w:val="0E101A"/>
        </w:rPr>
        <w:t>labour</w:t>
      </w:r>
      <w:proofErr w:type="spellEnd"/>
      <w:r w:rsidR="0053206A" w:rsidRPr="00F60507">
        <w:rPr>
          <w:color w:val="0E101A"/>
        </w:rPr>
        <w:t xml:space="preserve"> market.</w:t>
      </w:r>
    </w:p>
    <w:p w14:paraId="064367C3" w14:textId="77777777" w:rsidR="00C20804" w:rsidRPr="00F60507" w:rsidRDefault="00C20804" w:rsidP="00F60507">
      <w:pPr>
        <w:spacing w:line="276" w:lineRule="auto"/>
        <w:jc w:val="both"/>
        <w:rPr>
          <w:rFonts w:ascii="Times New Roman" w:hAnsi="Times New Roman" w:cs="Times New Roman"/>
          <w:b/>
          <w:bCs/>
        </w:rPr>
      </w:pPr>
    </w:p>
    <w:p w14:paraId="055F784A" w14:textId="3296459A" w:rsidR="0027556A" w:rsidRPr="00F60507" w:rsidRDefault="00124D80" w:rsidP="00F60507">
      <w:pPr>
        <w:spacing w:line="276" w:lineRule="auto"/>
        <w:jc w:val="both"/>
        <w:rPr>
          <w:rFonts w:ascii="Times New Roman" w:hAnsi="Times New Roman" w:cs="Times New Roman"/>
          <w:b/>
          <w:bCs/>
        </w:rPr>
      </w:pPr>
      <w:r w:rsidRPr="00F60507">
        <w:rPr>
          <w:rFonts w:ascii="Times New Roman" w:hAnsi="Times New Roman" w:cs="Times New Roman"/>
          <w:b/>
          <w:bCs/>
        </w:rPr>
        <w:t>References</w:t>
      </w:r>
    </w:p>
    <w:p w14:paraId="0D0863F6" w14:textId="054E6D01" w:rsidR="00604C16" w:rsidRPr="00F639D7" w:rsidRDefault="003D42AB" w:rsidP="00F639D7">
      <w:pPr>
        <w:spacing w:line="276" w:lineRule="auto"/>
        <w:ind w:left="360"/>
        <w:jc w:val="both"/>
        <w:rPr>
          <w:rFonts w:ascii="Times New Roman" w:hAnsi="Times New Roman" w:cs="Times New Roman"/>
        </w:rPr>
      </w:pPr>
      <w:r w:rsidRPr="00F639D7">
        <w:rPr>
          <w:rFonts w:ascii="Times New Roman" w:hAnsi="Times New Roman" w:cs="Times New Roman"/>
        </w:rPr>
        <w:t xml:space="preserve">Anandan, </w:t>
      </w:r>
      <w:r w:rsidR="00604C16" w:rsidRPr="00F639D7">
        <w:rPr>
          <w:rFonts w:ascii="Times New Roman" w:hAnsi="Times New Roman" w:cs="Times New Roman"/>
        </w:rPr>
        <w:t>A.</w:t>
      </w:r>
      <w:r w:rsidRPr="00F639D7">
        <w:rPr>
          <w:rFonts w:ascii="Times New Roman" w:hAnsi="Times New Roman" w:cs="Times New Roman"/>
        </w:rPr>
        <w:t xml:space="preserve"> (2009)</w:t>
      </w:r>
      <w:r w:rsidR="00713AD6" w:rsidRPr="00F639D7">
        <w:rPr>
          <w:rFonts w:ascii="Times New Roman" w:hAnsi="Times New Roman" w:cs="Times New Roman"/>
        </w:rPr>
        <w:t>.</w:t>
      </w:r>
      <w:r w:rsidRPr="00F639D7">
        <w:rPr>
          <w:rFonts w:ascii="Times New Roman" w:hAnsi="Times New Roman" w:cs="Times New Roman"/>
        </w:rPr>
        <w:t xml:space="preserve"> Need Comprehensive Cure, </w:t>
      </w:r>
      <w:r w:rsidRPr="00F639D7">
        <w:rPr>
          <w:rFonts w:ascii="Times New Roman" w:hAnsi="Times New Roman" w:cs="Times New Roman"/>
          <w:i/>
        </w:rPr>
        <w:t xml:space="preserve">KERALA CALLING, </w:t>
      </w:r>
      <w:r w:rsidRPr="00F639D7">
        <w:rPr>
          <w:rFonts w:ascii="Times New Roman" w:hAnsi="Times New Roman" w:cs="Times New Roman"/>
        </w:rPr>
        <w:t>October 009, pp.22-24</w:t>
      </w:r>
    </w:p>
    <w:p w14:paraId="0C6FA552" w14:textId="651A090B" w:rsidR="00FF1B9D" w:rsidRPr="00F639D7" w:rsidRDefault="00FF1B9D" w:rsidP="00F639D7">
      <w:pPr>
        <w:spacing w:line="276" w:lineRule="auto"/>
        <w:ind w:left="360"/>
        <w:rPr>
          <w:rFonts w:ascii="Times New Roman" w:hAnsi="Times New Roman" w:cs="Times New Roman"/>
        </w:rPr>
      </w:pPr>
      <w:r w:rsidRPr="00F639D7">
        <w:rPr>
          <w:rFonts w:ascii="Times New Roman" w:hAnsi="Times New Roman" w:cs="Times New Roman"/>
        </w:rPr>
        <w:lastRenderedPageBreak/>
        <w:t xml:space="preserve">Ashenfelter, O., Doran, K., &amp; Schaller, B. (2010). A Shred of Credible Evidence on the Long‐run Elasticity of </w:t>
      </w:r>
      <w:proofErr w:type="spellStart"/>
      <w:r w:rsidRPr="00F639D7">
        <w:rPr>
          <w:rFonts w:ascii="Times New Roman" w:hAnsi="Times New Roman" w:cs="Times New Roman"/>
        </w:rPr>
        <w:t>Labour</w:t>
      </w:r>
      <w:proofErr w:type="spellEnd"/>
      <w:r w:rsidRPr="00F639D7">
        <w:rPr>
          <w:rFonts w:ascii="Times New Roman" w:hAnsi="Times New Roman" w:cs="Times New Roman"/>
        </w:rPr>
        <w:t xml:space="preserve"> Supply. Economica, 77(308), 637-650. </w:t>
      </w:r>
      <w:hyperlink r:id="rId7" w:history="1">
        <w:r w:rsidRPr="00F639D7">
          <w:rPr>
            <w:rStyle w:val="Hyperlink"/>
            <w:rFonts w:ascii="Times New Roman" w:hAnsi="Times New Roman" w:cs="Times New Roman"/>
          </w:rPr>
          <w:t>https://doi.org/10.1111/j.1468-0335.2010.00858.x</w:t>
        </w:r>
      </w:hyperlink>
    </w:p>
    <w:p w14:paraId="58DB0029" w14:textId="59DA3E01" w:rsidR="00FF1B9D" w:rsidRPr="00F639D7" w:rsidRDefault="00FF1B9D" w:rsidP="00F639D7">
      <w:pPr>
        <w:spacing w:line="276" w:lineRule="auto"/>
        <w:ind w:left="360"/>
        <w:rPr>
          <w:rFonts w:ascii="Times New Roman" w:hAnsi="Times New Roman" w:cs="Times New Roman"/>
        </w:rPr>
      </w:pPr>
      <w:r w:rsidRPr="00F639D7">
        <w:rPr>
          <w:rFonts w:ascii="Times New Roman" w:hAnsi="Times New Roman" w:cs="Times New Roman"/>
        </w:rPr>
        <w:t xml:space="preserve">Bordoloi, S. (2017). The Rural Nonfarm Sector in Flexible Capitalism: The Coir Industry in Kerala, India. Human Geography, 10(1), 50–66. </w:t>
      </w:r>
      <w:hyperlink r:id="rId8" w:history="1">
        <w:r w:rsidRPr="00F639D7">
          <w:rPr>
            <w:rStyle w:val="Hyperlink"/>
            <w:rFonts w:ascii="Times New Roman" w:hAnsi="Times New Roman" w:cs="Times New Roman"/>
          </w:rPr>
          <w:t>https://doi.org/10.1177/194277861701000105</w:t>
        </w:r>
      </w:hyperlink>
    </w:p>
    <w:p w14:paraId="60C9BEAA" w14:textId="5072A2C3" w:rsidR="00BB1ABF" w:rsidRPr="00F639D7" w:rsidRDefault="00BB1ABF" w:rsidP="00F639D7">
      <w:pPr>
        <w:spacing w:line="276" w:lineRule="auto"/>
        <w:ind w:left="360"/>
        <w:rPr>
          <w:rFonts w:ascii="Times New Roman" w:hAnsi="Times New Roman" w:cs="Times New Roman"/>
        </w:rPr>
      </w:pPr>
      <w:r w:rsidRPr="00F639D7">
        <w:rPr>
          <w:rFonts w:ascii="Times New Roman" w:hAnsi="Times New Roman" w:cs="Times New Roman"/>
        </w:rPr>
        <w:t xml:space="preserve">Indu, K (2015) Understanding Institutional Change and its Outcomes in A Traditional Industry: The Case of Coir in Kerala. An unpublished doctoral thesis submitted to Centre for Development Studies, Thiruvananthapuram. </w:t>
      </w:r>
    </w:p>
    <w:p w14:paraId="3F376EFC" w14:textId="504B6D7D" w:rsidR="00FF1B9D" w:rsidRPr="00F639D7" w:rsidRDefault="00FF1B9D" w:rsidP="00F639D7">
      <w:pPr>
        <w:spacing w:line="276" w:lineRule="auto"/>
        <w:ind w:left="360"/>
        <w:jc w:val="both"/>
        <w:rPr>
          <w:rFonts w:ascii="Times New Roman" w:hAnsi="Times New Roman" w:cs="Times New Roman"/>
        </w:rPr>
      </w:pPr>
      <w:r w:rsidRPr="00F639D7">
        <w:rPr>
          <w:rFonts w:ascii="Times New Roman" w:hAnsi="Times New Roman" w:cs="Times New Roman"/>
        </w:rPr>
        <w:t xml:space="preserve">Isaac, T. M. T. (1990). Evolution of </w:t>
      </w:r>
      <w:proofErr w:type="spellStart"/>
      <w:r w:rsidRPr="00F639D7">
        <w:rPr>
          <w:rFonts w:ascii="Times New Roman" w:hAnsi="Times New Roman" w:cs="Times New Roman"/>
        </w:rPr>
        <w:t>organisation</w:t>
      </w:r>
      <w:proofErr w:type="spellEnd"/>
      <w:r w:rsidRPr="00F639D7">
        <w:rPr>
          <w:rFonts w:ascii="Times New Roman" w:hAnsi="Times New Roman" w:cs="Times New Roman"/>
        </w:rPr>
        <w:t xml:space="preserve"> of production in coir yarn spinning industry (Working Paper No. 236). Centre for Development Studies. </w:t>
      </w:r>
      <w:hyperlink r:id="rId9" w:history="1">
        <w:r w:rsidRPr="00F639D7">
          <w:rPr>
            <w:rStyle w:val="Hyperlink"/>
            <w:rFonts w:ascii="Times New Roman" w:hAnsi="Times New Roman" w:cs="Times New Roman"/>
          </w:rPr>
          <w:t>https://www.cds.edu/outreach/publications/working-papers</w:t>
        </w:r>
      </w:hyperlink>
    </w:p>
    <w:p w14:paraId="068F2489" w14:textId="2F4000E6" w:rsidR="00FF1B9D" w:rsidRPr="00F639D7" w:rsidRDefault="00FF1B9D" w:rsidP="00F639D7">
      <w:pPr>
        <w:spacing w:line="276" w:lineRule="auto"/>
        <w:ind w:left="360"/>
        <w:jc w:val="both"/>
        <w:rPr>
          <w:rFonts w:ascii="Times New Roman" w:hAnsi="Times New Roman" w:cs="Times New Roman"/>
        </w:rPr>
      </w:pPr>
      <w:r w:rsidRPr="00F639D7">
        <w:rPr>
          <w:rFonts w:ascii="Times New Roman" w:hAnsi="Times New Roman" w:cs="Times New Roman"/>
        </w:rPr>
        <w:t xml:space="preserve">Isaac, T. M. T. (1985). From Caste Consciousness to Class Consciousness Alleppey Coir Workers during Inter-War Period. Economic and Political Weekly, 20(4), PE5–PE18. </w:t>
      </w:r>
      <w:hyperlink r:id="rId10" w:history="1">
        <w:r w:rsidRPr="00F639D7">
          <w:rPr>
            <w:rStyle w:val="Hyperlink"/>
            <w:rFonts w:ascii="Times New Roman" w:hAnsi="Times New Roman" w:cs="Times New Roman"/>
          </w:rPr>
          <w:t>https://www.epw.in/journal/1985/04/review-political-economy/caste-consciousness-class-consciousness-alleppey-coir.html</w:t>
        </w:r>
      </w:hyperlink>
    </w:p>
    <w:p w14:paraId="78F5F516" w14:textId="6A055004" w:rsidR="00FF1B9D" w:rsidRPr="00F639D7" w:rsidRDefault="00FF1B9D" w:rsidP="00F639D7">
      <w:pPr>
        <w:spacing w:line="276" w:lineRule="auto"/>
        <w:ind w:left="360"/>
        <w:jc w:val="both"/>
        <w:rPr>
          <w:rFonts w:ascii="Times New Roman" w:hAnsi="Times New Roman" w:cs="Times New Roman"/>
        </w:rPr>
      </w:pPr>
      <w:r w:rsidRPr="00F639D7">
        <w:rPr>
          <w:rFonts w:ascii="Times New Roman" w:hAnsi="Times New Roman" w:cs="Times New Roman"/>
        </w:rPr>
        <w:t xml:space="preserve">Isaac, T. M. T. (1990). Evolution of </w:t>
      </w:r>
      <w:proofErr w:type="spellStart"/>
      <w:r w:rsidRPr="00F639D7">
        <w:rPr>
          <w:rFonts w:ascii="Times New Roman" w:hAnsi="Times New Roman" w:cs="Times New Roman"/>
        </w:rPr>
        <w:t>Organisation</w:t>
      </w:r>
      <w:proofErr w:type="spellEnd"/>
      <w:r w:rsidRPr="00F639D7">
        <w:rPr>
          <w:rFonts w:ascii="Times New Roman" w:hAnsi="Times New Roman" w:cs="Times New Roman"/>
        </w:rPr>
        <w:t xml:space="preserve"> of Production in Coir Yarn Spinning Industry. Centre for Development Studies, Working Paper 236. </w:t>
      </w:r>
      <w:hyperlink r:id="rId11" w:history="1">
        <w:r w:rsidRPr="00F639D7">
          <w:rPr>
            <w:rStyle w:val="Hyperlink"/>
            <w:rFonts w:ascii="Times New Roman" w:hAnsi="Times New Roman" w:cs="Times New Roman"/>
          </w:rPr>
          <w:t>https://www.cds.edu/outreach/publications/working-papers</w:t>
        </w:r>
      </w:hyperlink>
    </w:p>
    <w:p w14:paraId="2B1FFE11" w14:textId="72D88F14" w:rsidR="00604C16" w:rsidRPr="00F639D7" w:rsidRDefault="00604C16" w:rsidP="00F639D7">
      <w:pPr>
        <w:spacing w:line="276" w:lineRule="auto"/>
        <w:ind w:left="360"/>
        <w:jc w:val="both"/>
        <w:rPr>
          <w:rFonts w:ascii="Times New Roman" w:hAnsi="Times New Roman" w:cs="Times New Roman"/>
        </w:rPr>
      </w:pPr>
      <w:proofErr w:type="spellStart"/>
      <w:r w:rsidRPr="00F639D7">
        <w:rPr>
          <w:rFonts w:ascii="Times New Roman" w:hAnsi="Times New Roman" w:cs="Times New Roman"/>
        </w:rPr>
        <w:t>Issac</w:t>
      </w:r>
      <w:proofErr w:type="spellEnd"/>
      <w:r w:rsidRPr="00F639D7">
        <w:rPr>
          <w:rFonts w:ascii="Times New Roman" w:hAnsi="Times New Roman" w:cs="Times New Roman"/>
        </w:rPr>
        <w:t xml:space="preserve">, </w:t>
      </w:r>
      <w:r w:rsidR="001D780C" w:rsidRPr="00F639D7">
        <w:rPr>
          <w:rFonts w:ascii="Times New Roman" w:hAnsi="Times New Roman" w:cs="Times New Roman"/>
        </w:rPr>
        <w:t>T.M.T.</w:t>
      </w:r>
      <w:r w:rsidRPr="00F639D7">
        <w:rPr>
          <w:rFonts w:ascii="Times New Roman" w:hAnsi="Times New Roman" w:cs="Times New Roman"/>
        </w:rPr>
        <w:t xml:space="preserve">; </w:t>
      </w:r>
      <w:proofErr w:type="spellStart"/>
      <w:r w:rsidRPr="00F639D7">
        <w:rPr>
          <w:rFonts w:ascii="Times New Roman" w:hAnsi="Times New Roman" w:cs="Times New Roman"/>
        </w:rPr>
        <w:t>Stuijve</w:t>
      </w:r>
      <w:r w:rsidR="001D780C" w:rsidRPr="00F639D7">
        <w:rPr>
          <w:rFonts w:ascii="Times New Roman" w:hAnsi="Times New Roman" w:cs="Times New Roman"/>
        </w:rPr>
        <w:t>n</w:t>
      </w:r>
      <w:r w:rsidRPr="00F639D7">
        <w:rPr>
          <w:rFonts w:ascii="Times New Roman" w:hAnsi="Times New Roman" w:cs="Times New Roman"/>
        </w:rPr>
        <w:t>berg</w:t>
      </w:r>
      <w:proofErr w:type="spellEnd"/>
      <w:r w:rsidRPr="00F639D7">
        <w:rPr>
          <w:rFonts w:ascii="Times New Roman" w:hAnsi="Times New Roman" w:cs="Times New Roman"/>
        </w:rPr>
        <w:t xml:space="preserve">, </w:t>
      </w:r>
      <w:r w:rsidR="001D780C" w:rsidRPr="00F639D7">
        <w:rPr>
          <w:rFonts w:ascii="Times New Roman" w:hAnsi="Times New Roman" w:cs="Times New Roman"/>
        </w:rPr>
        <w:t>P.A.V.</w:t>
      </w:r>
      <w:r w:rsidRPr="00F639D7">
        <w:rPr>
          <w:rFonts w:ascii="Times New Roman" w:hAnsi="Times New Roman" w:cs="Times New Roman"/>
        </w:rPr>
        <w:t xml:space="preserve"> and Nair, </w:t>
      </w:r>
      <w:r w:rsidR="001D780C" w:rsidRPr="00F639D7">
        <w:rPr>
          <w:rFonts w:ascii="Times New Roman" w:hAnsi="Times New Roman" w:cs="Times New Roman"/>
        </w:rPr>
        <w:t>K.N.</w:t>
      </w:r>
      <w:r w:rsidRPr="00F639D7">
        <w:rPr>
          <w:rFonts w:ascii="Times New Roman" w:hAnsi="Times New Roman" w:cs="Times New Roman"/>
        </w:rPr>
        <w:t xml:space="preserve"> (1992)</w:t>
      </w:r>
      <w:r w:rsidR="001D780C" w:rsidRPr="00F639D7">
        <w:rPr>
          <w:rFonts w:ascii="Times New Roman" w:hAnsi="Times New Roman" w:cs="Times New Roman"/>
        </w:rPr>
        <w:t>.</w:t>
      </w:r>
      <w:r w:rsidRPr="00F639D7">
        <w:rPr>
          <w:rFonts w:ascii="Times New Roman" w:hAnsi="Times New Roman" w:cs="Times New Roman"/>
        </w:rPr>
        <w:t xml:space="preserve"> </w:t>
      </w:r>
      <w:proofErr w:type="spellStart"/>
      <w:r w:rsidRPr="00F639D7">
        <w:rPr>
          <w:rFonts w:ascii="Times New Roman" w:hAnsi="Times New Roman" w:cs="Times New Roman"/>
        </w:rPr>
        <w:t>Modernisation</w:t>
      </w:r>
      <w:proofErr w:type="spellEnd"/>
      <w:r w:rsidRPr="00F639D7">
        <w:rPr>
          <w:rFonts w:ascii="Times New Roman" w:hAnsi="Times New Roman" w:cs="Times New Roman"/>
        </w:rPr>
        <w:t xml:space="preserve"> and Employment: The Coir Industry in Kerala, SAGE Publications Pvt. Ltd</w:t>
      </w:r>
    </w:p>
    <w:p w14:paraId="5659074C" w14:textId="77777777" w:rsidR="00FF1B9D" w:rsidRPr="00F639D7" w:rsidRDefault="00FF1B9D" w:rsidP="00F639D7">
      <w:pPr>
        <w:spacing w:line="276" w:lineRule="auto"/>
        <w:ind w:left="360"/>
        <w:rPr>
          <w:rFonts w:ascii="Times New Roman" w:hAnsi="Times New Roman" w:cs="Times New Roman"/>
        </w:rPr>
      </w:pPr>
      <w:r w:rsidRPr="00F639D7">
        <w:rPr>
          <w:rFonts w:ascii="Times New Roman" w:hAnsi="Times New Roman" w:cs="Times New Roman"/>
        </w:rPr>
        <w:t xml:space="preserve">Isaac, T. M. T., &amp; Mathai, A. (2019). Coir Kerala: The agenda for </w:t>
      </w:r>
      <w:proofErr w:type="spellStart"/>
      <w:r w:rsidRPr="00F639D7">
        <w:rPr>
          <w:rFonts w:ascii="Times New Roman" w:hAnsi="Times New Roman" w:cs="Times New Roman"/>
        </w:rPr>
        <w:t>modernisation</w:t>
      </w:r>
      <w:proofErr w:type="spellEnd"/>
      <w:r w:rsidRPr="00F639D7">
        <w:rPr>
          <w:rFonts w:ascii="Times New Roman" w:hAnsi="Times New Roman" w:cs="Times New Roman"/>
        </w:rPr>
        <w:t>. National Coir Research &amp; Management Institute.</w:t>
      </w:r>
    </w:p>
    <w:p w14:paraId="08F03505" w14:textId="73E5EA43" w:rsidR="00EE2E95" w:rsidRPr="00F639D7" w:rsidRDefault="00EE2E95" w:rsidP="00F639D7">
      <w:pPr>
        <w:spacing w:line="276" w:lineRule="auto"/>
        <w:ind w:left="360"/>
        <w:rPr>
          <w:rFonts w:ascii="Times New Roman" w:hAnsi="Times New Roman" w:cs="Times New Roman"/>
        </w:rPr>
      </w:pPr>
      <w:r w:rsidRPr="00F639D7">
        <w:rPr>
          <w:rFonts w:ascii="Times New Roman" w:hAnsi="Times New Roman" w:cs="Times New Roman"/>
        </w:rPr>
        <w:t xml:space="preserve">Jose, </w:t>
      </w:r>
      <w:r w:rsidR="00D04496" w:rsidRPr="00F639D7">
        <w:rPr>
          <w:rFonts w:ascii="Times New Roman" w:hAnsi="Times New Roman" w:cs="Times New Roman"/>
        </w:rPr>
        <w:t>V.</w:t>
      </w:r>
      <w:r w:rsidRPr="00F639D7">
        <w:rPr>
          <w:rFonts w:ascii="Times New Roman" w:hAnsi="Times New Roman" w:cs="Times New Roman"/>
        </w:rPr>
        <w:t xml:space="preserve"> (2002)</w:t>
      </w:r>
      <w:r w:rsidR="001C5218" w:rsidRPr="00F639D7">
        <w:rPr>
          <w:rFonts w:ascii="Times New Roman" w:hAnsi="Times New Roman" w:cs="Times New Roman"/>
        </w:rPr>
        <w:t>.</w:t>
      </w:r>
      <w:r w:rsidRPr="00F639D7">
        <w:rPr>
          <w:rFonts w:ascii="Times New Roman" w:hAnsi="Times New Roman" w:cs="Times New Roman"/>
        </w:rPr>
        <w:t xml:space="preserve"> A study of Coir </w:t>
      </w:r>
      <w:proofErr w:type="spellStart"/>
      <w:r w:rsidRPr="00F639D7">
        <w:rPr>
          <w:rFonts w:ascii="Times New Roman" w:hAnsi="Times New Roman" w:cs="Times New Roman"/>
        </w:rPr>
        <w:t>Vyavasaya</w:t>
      </w:r>
      <w:proofErr w:type="spellEnd"/>
      <w:r w:rsidRPr="00F639D7">
        <w:rPr>
          <w:rFonts w:ascii="Times New Roman" w:hAnsi="Times New Roman" w:cs="Times New Roman"/>
        </w:rPr>
        <w:t xml:space="preserve"> Cooperative Societies in Kerala performance problems and prospects. An unpublished doctoral thesis submitted to </w:t>
      </w:r>
      <w:r w:rsidR="00507265" w:rsidRPr="00F639D7">
        <w:rPr>
          <w:rFonts w:ascii="Times New Roman" w:hAnsi="Times New Roman" w:cs="Times New Roman"/>
        </w:rPr>
        <w:t xml:space="preserve">the Department of Applied Economics, Cochin University of Science and </w:t>
      </w:r>
      <w:r w:rsidRPr="00F639D7">
        <w:rPr>
          <w:rFonts w:ascii="Times New Roman" w:hAnsi="Times New Roman" w:cs="Times New Roman"/>
        </w:rPr>
        <w:t xml:space="preserve">Technology, Cochin. </w:t>
      </w:r>
      <w:hyperlink r:id="rId12" w:history="1">
        <w:r w:rsidRPr="00F639D7">
          <w:rPr>
            <w:rFonts w:ascii="Times New Roman" w:hAnsi="Times New Roman" w:cs="Times New Roman"/>
            <w:color w:val="0563C1" w:themeColor="hyperlink"/>
            <w:u w:val="single"/>
          </w:rPr>
          <w:t>http://hdl.handle.net/10603/6029</w:t>
        </w:r>
      </w:hyperlink>
    </w:p>
    <w:p w14:paraId="73C9A7CD" w14:textId="5FCE7E70" w:rsidR="00FF1B9D" w:rsidRPr="00F639D7" w:rsidRDefault="00FF1B9D" w:rsidP="00F639D7">
      <w:pPr>
        <w:spacing w:line="276" w:lineRule="auto"/>
        <w:ind w:left="360"/>
        <w:jc w:val="both"/>
        <w:rPr>
          <w:rFonts w:ascii="Times New Roman" w:hAnsi="Times New Roman" w:cs="Times New Roman"/>
        </w:rPr>
      </w:pPr>
      <w:r w:rsidRPr="00F639D7">
        <w:rPr>
          <w:rFonts w:ascii="Times New Roman" w:hAnsi="Times New Roman" w:cs="Times New Roman"/>
        </w:rPr>
        <w:t xml:space="preserve">Pillai, T. S. N. (2016). Current Status of the Coir Industry in Kerala: A Critique. Kerala Institute of Labor and Employment. </w:t>
      </w:r>
      <w:hyperlink r:id="rId13" w:history="1">
        <w:r w:rsidRPr="00F639D7">
          <w:rPr>
            <w:rStyle w:val="Hyperlink"/>
            <w:rFonts w:ascii="Times New Roman" w:hAnsi="Times New Roman" w:cs="Times New Roman"/>
          </w:rPr>
          <w:t>https://kile.kerala.gov.in/wp-content/uploads/2018/09/TSN-PIllai.pdf</w:t>
        </w:r>
      </w:hyperlink>
    </w:p>
    <w:p w14:paraId="60F965E4" w14:textId="38356753" w:rsidR="00BA01F4" w:rsidRPr="00F639D7" w:rsidRDefault="00BA01F4" w:rsidP="00F639D7">
      <w:pPr>
        <w:spacing w:line="276" w:lineRule="auto"/>
        <w:ind w:left="360"/>
        <w:jc w:val="both"/>
        <w:rPr>
          <w:rFonts w:ascii="Times New Roman" w:hAnsi="Times New Roman" w:cs="Times New Roman"/>
        </w:rPr>
      </w:pPr>
      <w:r w:rsidRPr="00F639D7">
        <w:rPr>
          <w:rFonts w:ascii="Times New Roman" w:hAnsi="Times New Roman" w:cs="Times New Roman"/>
        </w:rPr>
        <w:t xml:space="preserve">Kerala State Industrial Development Corporation Ltd (2004) Sector Study Report on Coir Industry, </w:t>
      </w:r>
      <w:proofErr w:type="spellStart"/>
      <w:r w:rsidRPr="00F639D7">
        <w:rPr>
          <w:rFonts w:ascii="Times New Roman" w:hAnsi="Times New Roman" w:cs="Times New Roman"/>
        </w:rPr>
        <w:t>Thiruvanthapuram</w:t>
      </w:r>
      <w:proofErr w:type="spellEnd"/>
      <w:r w:rsidRPr="00F639D7">
        <w:rPr>
          <w:rFonts w:ascii="Times New Roman" w:hAnsi="Times New Roman" w:cs="Times New Roman"/>
        </w:rPr>
        <w:t xml:space="preserve"> </w:t>
      </w:r>
    </w:p>
    <w:p w14:paraId="5A4B5F64" w14:textId="661D2328" w:rsidR="00FF1B9D" w:rsidRPr="00F639D7" w:rsidRDefault="00FF1B9D" w:rsidP="00F639D7">
      <w:pPr>
        <w:spacing w:line="276" w:lineRule="auto"/>
        <w:ind w:left="360"/>
        <w:rPr>
          <w:rFonts w:ascii="Times New Roman" w:hAnsi="Times New Roman" w:cs="Times New Roman"/>
        </w:rPr>
      </w:pPr>
      <w:r w:rsidRPr="00F639D7">
        <w:rPr>
          <w:rFonts w:ascii="Times New Roman" w:hAnsi="Times New Roman" w:cs="Times New Roman"/>
        </w:rPr>
        <w:t xml:space="preserve">Langella, M., &amp; Manning, A. (2021). Marshall Lecture 2020: The measure of monopsony. Journal of the European Economic Association, 19(6), 2929–2957. </w:t>
      </w:r>
      <w:hyperlink r:id="rId14" w:history="1">
        <w:r w:rsidRPr="00F639D7">
          <w:rPr>
            <w:rStyle w:val="Hyperlink"/>
            <w:rFonts w:ascii="Times New Roman" w:hAnsi="Times New Roman" w:cs="Times New Roman"/>
          </w:rPr>
          <w:t>https://doi.org/10.1093/jeea/jvab039</w:t>
        </w:r>
      </w:hyperlink>
    </w:p>
    <w:p w14:paraId="58A3793F" w14:textId="5512C48A" w:rsidR="00FF1B9D" w:rsidRPr="00F639D7" w:rsidRDefault="00FF1B9D" w:rsidP="00F639D7">
      <w:pPr>
        <w:spacing w:line="276" w:lineRule="auto"/>
        <w:ind w:left="360"/>
        <w:rPr>
          <w:rFonts w:ascii="Times New Roman" w:hAnsi="Times New Roman" w:cs="Times New Roman"/>
        </w:rPr>
      </w:pPr>
      <w:r w:rsidRPr="00F639D7">
        <w:rPr>
          <w:rFonts w:ascii="Times New Roman" w:hAnsi="Times New Roman" w:cs="Times New Roman"/>
        </w:rPr>
        <w:t xml:space="preserve">Manning, A. (2003). Monopsony in Motion: Imperfect Competition in Labor Markets. Princeton University Press. </w:t>
      </w:r>
      <w:hyperlink r:id="rId15" w:history="1">
        <w:r w:rsidRPr="00F639D7">
          <w:rPr>
            <w:rStyle w:val="Hyperlink"/>
            <w:rFonts w:ascii="Times New Roman" w:hAnsi="Times New Roman" w:cs="Times New Roman"/>
          </w:rPr>
          <w:t>https://press.princeton.edu/books/paperback/9780691123288/monopsony-in-motion</w:t>
        </w:r>
      </w:hyperlink>
    </w:p>
    <w:p w14:paraId="111B4B27" w14:textId="4DDE1CA6" w:rsidR="00FF1B9D" w:rsidRPr="00F639D7" w:rsidRDefault="00FF1B9D" w:rsidP="00F639D7">
      <w:pPr>
        <w:spacing w:line="276" w:lineRule="auto"/>
        <w:ind w:left="360"/>
        <w:jc w:val="both"/>
        <w:rPr>
          <w:rFonts w:ascii="Times New Roman" w:hAnsi="Times New Roman" w:cs="Times New Roman"/>
        </w:rPr>
      </w:pPr>
      <w:r w:rsidRPr="00F639D7">
        <w:rPr>
          <w:rFonts w:ascii="Times New Roman" w:hAnsi="Times New Roman" w:cs="Times New Roman"/>
        </w:rPr>
        <w:lastRenderedPageBreak/>
        <w:t xml:space="preserve">Manning, A. (2011). Imperfect Competition in the Labor Market. In D. Card &amp; O. C. Ashenfelter (Eds.), Handbook of Labor Economics Volume 4, Part B (pp. 973-1041). Elsevier. </w:t>
      </w:r>
      <w:hyperlink r:id="rId16" w:history="1">
        <w:r w:rsidRPr="00F639D7">
          <w:rPr>
            <w:rStyle w:val="Hyperlink"/>
            <w:rFonts w:ascii="Times New Roman" w:hAnsi="Times New Roman" w:cs="Times New Roman"/>
          </w:rPr>
          <w:t>https://doi.org/10.1016/S0169-7218(11)02409-9</w:t>
        </w:r>
      </w:hyperlink>
    </w:p>
    <w:p w14:paraId="3A120259" w14:textId="1B736CD2" w:rsidR="00FF1B9D" w:rsidRPr="00F639D7" w:rsidRDefault="00FF1B9D" w:rsidP="00F639D7">
      <w:pPr>
        <w:spacing w:after="200" w:line="276" w:lineRule="auto"/>
        <w:ind w:left="360"/>
        <w:rPr>
          <w:rFonts w:ascii="Times New Roman" w:eastAsia="Calibri" w:hAnsi="Times New Roman" w:cs="Times New Roman"/>
          <w:kern w:val="0"/>
          <w:lang w:bidi="ar-SA"/>
          <w14:ligatures w14:val="none"/>
        </w:rPr>
      </w:pPr>
      <w:r w:rsidRPr="00F639D7">
        <w:rPr>
          <w:rFonts w:ascii="Times New Roman" w:hAnsi="Times New Roman" w:cs="Times New Roman"/>
        </w:rPr>
        <w:t xml:space="preserve">Manning, A. (2021). Monopsony in labor markets: A review. ILR Review, 74(1), 3–26. </w:t>
      </w:r>
      <w:hyperlink r:id="rId17" w:history="1">
        <w:r w:rsidRPr="00F639D7">
          <w:rPr>
            <w:rStyle w:val="Hyperlink"/>
            <w:rFonts w:ascii="Times New Roman" w:hAnsi="Times New Roman" w:cs="Times New Roman"/>
          </w:rPr>
          <w:t>https://doi.org/10.1177/0019793920922499</w:t>
        </w:r>
      </w:hyperlink>
    </w:p>
    <w:p w14:paraId="66963DB4" w14:textId="4667BF70" w:rsidR="00FF1B9D" w:rsidRPr="00F639D7" w:rsidRDefault="00FF1B9D" w:rsidP="00F639D7">
      <w:pPr>
        <w:spacing w:line="276" w:lineRule="auto"/>
        <w:ind w:left="360"/>
        <w:jc w:val="both"/>
        <w:rPr>
          <w:rFonts w:ascii="Times New Roman" w:hAnsi="Times New Roman" w:cs="Times New Roman"/>
        </w:rPr>
      </w:pPr>
      <w:r w:rsidRPr="00F639D7">
        <w:rPr>
          <w:rFonts w:ascii="Times New Roman" w:eastAsia="Calibri" w:hAnsi="Times New Roman" w:cs="Times New Roman"/>
          <w:kern w:val="0"/>
          <w:lang w:bidi="ar-SA"/>
          <w14:ligatures w14:val="none"/>
        </w:rPr>
        <w:t xml:space="preserve">Mukherjee, S. (2018). Challenges to Indian micro small scale and medium enterprises in the era of globalization. Journal of Global Entrepreneurship Research, 8(28), 1-19. </w:t>
      </w:r>
      <w:hyperlink r:id="rId18" w:history="1">
        <w:r w:rsidRPr="00F639D7">
          <w:rPr>
            <w:rStyle w:val="Hyperlink"/>
            <w:rFonts w:ascii="Times New Roman" w:eastAsia="Calibri" w:hAnsi="Times New Roman" w:cs="Times New Roman"/>
            <w:kern w:val="0"/>
            <w:lang w:bidi="ar-SA"/>
            <w14:ligatures w14:val="none"/>
          </w:rPr>
          <w:t>https://doi.org/10.1186/s40497-018-0115-5</w:t>
        </w:r>
      </w:hyperlink>
    </w:p>
    <w:p w14:paraId="6D89F52A" w14:textId="075C1421" w:rsidR="00FF1B9D" w:rsidRPr="00F639D7" w:rsidRDefault="00FF1B9D" w:rsidP="00F639D7">
      <w:pPr>
        <w:spacing w:line="276" w:lineRule="auto"/>
        <w:ind w:left="360"/>
        <w:rPr>
          <w:rFonts w:ascii="Times New Roman" w:hAnsi="Times New Roman" w:cs="Times New Roman"/>
        </w:rPr>
      </w:pPr>
      <w:r w:rsidRPr="00F639D7">
        <w:rPr>
          <w:rFonts w:ascii="Times New Roman" w:hAnsi="Times New Roman" w:cs="Times New Roman"/>
        </w:rPr>
        <w:t xml:space="preserve">Rammohan, K. T., &amp; Sundaresan, R. (2003). Socially embedding the commodity chain: An exercise in relation to coir yarn spinning in Southern India. World Development, 31(5), 903–923. </w:t>
      </w:r>
      <w:hyperlink r:id="rId19" w:history="1">
        <w:r w:rsidRPr="00F639D7">
          <w:rPr>
            <w:rStyle w:val="Hyperlink"/>
            <w:rFonts w:ascii="Times New Roman" w:hAnsi="Times New Roman" w:cs="Times New Roman"/>
          </w:rPr>
          <w:t>https://doi.org/10.1016/S0305-750X(03)00012-3</w:t>
        </w:r>
      </w:hyperlink>
    </w:p>
    <w:p w14:paraId="79994BCD" w14:textId="47348081" w:rsidR="00FF1B9D" w:rsidRPr="00F639D7" w:rsidRDefault="00FF1B9D" w:rsidP="00F639D7">
      <w:pPr>
        <w:spacing w:line="276" w:lineRule="auto"/>
        <w:ind w:left="360"/>
        <w:rPr>
          <w:rFonts w:ascii="Times New Roman" w:hAnsi="Times New Roman" w:cs="Times New Roman"/>
          <w:lang w:val="en-IN"/>
        </w:rPr>
      </w:pPr>
      <w:r w:rsidRPr="00F639D7">
        <w:rPr>
          <w:rFonts w:ascii="Times New Roman" w:hAnsi="Times New Roman" w:cs="Times New Roman"/>
        </w:rPr>
        <w:t xml:space="preserve">Kannan, K. P. (1998). Political Economy of </w:t>
      </w:r>
      <w:proofErr w:type="spellStart"/>
      <w:r w:rsidRPr="00F639D7">
        <w:rPr>
          <w:rFonts w:ascii="Times New Roman" w:hAnsi="Times New Roman" w:cs="Times New Roman"/>
        </w:rPr>
        <w:t>Labour</w:t>
      </w:r>
      <w:proofErr w:type="spellEnd"/>
      <w:r w:rsidRPr="00F639D7">
        <w:rPr>
          <w:rFonts w:ascii="Times New Roman" w:hAnsi="Times New Roman" w:cs="Times New Roman"/>
        </w:rPr>
        <w:t xml:space="preserve"> and Development in Kerala. Economic and Political Weekly, 33(52), L61-L70. </w:t>
      </w:r>
      <w:hyperlink r:id="rId20" w:history="1">
        <w:r w:rsidRPr="00F639D7">
          <w:rPr>
            <w:rStyle w:val="Hyperlink"/>
            <w:rFonts w:ascii="Times New Roman" w:hAnsi="Times New Roman" w:cs="Times New Roman"/>
          </w:rPr>
          <w:t>https://www.epw.in/journal/1998/52/review-labour/political-economy-labour-and-development-kerala.html</w:t>
        </w:r>
      </w:hyperlink>
    </w:p>
    <w:p w14:paraId="0509C7CC" w14:textId="76848AA1" w:rsidR="00FF1B9D" w:rsidRPr="00F639D7" w:rsidRDefault="00FF1B9D" w:rsidP="00F639D7">
      <w:pPr>
        <w:spacing w:line="276" w:lineRule="auto"/>
        <w:ind w:left="360"/>
        <w:rPr>
          <w:rFonts w:ascii="Times New Roman" w:hAnsi="Times New Roman" w:cs="Times New Roman"/>
          <w:color w:val="353C3F"/>
          <w:shd w:val="clear" w:color="auto" w:fill="FFFFFF"/>
        </w:rPr>
      </w:pPr>
      <w:r w:rsidRPr="00F639D7">
        <w:rPr>
          <w:rFonts w:ascii="Times New Roman" w:hAnsi="Times New Roman" w:cs="Times New Roman"/>
        </w:rPr>
        <w:t xml:space="preserve">Wiltshire, J. C. (2022). Walmart Supercenters and Monopsony Power: How a Large, Low-Wage Employer Impacts Local Labor Markets. Washington Center for Equitable Growth. </w:t>
      </w:r>
      <w:hyperlink r:id="rId21" w:history="1">
        <w:r w:rsidRPr="00F639D7">
          <w:rPr>
            <w:rStyle w:val="Hyperlink"/>
            <w:rFonts w:ascii="Times New Roman" w:hAnsi="Times New Roman" w:cs="Times New Roman"/>
          </w:rPr>
          <w:t>https://equitablegrowth.org/working-paper/walmart-supercenters-and-monopsony-power-how-a-large-low-wage-employer-impacts-local-labor-markets/</w:t>
        </w:r>
      </w:hyperlink>
    </w:p>
    <w:p w14:paraId="3F80D652" w14:textId="41364495" w:rsidR="00DA605E" w:rsidRPr="00F639D7" w:rsidRDefault="00FF1B9D" w:rsidP="00F639D7">
      <w:pPr>
        <w:spacing w:line="276" w:lineRule="auto"/>
        <w:ind w:left="360"/>
        <w:rPr>
          <w:rFonts w:ascii="Times New Roman" w:hAnsi="Times New Roman" w:cs="Times New Roman"/>
          <w:color w:val="353C3F"/>
          <w:shd w:val="clear" w:color="auto" w:fill="FFFFFF"/>
        </w:rPr>
      </w:pPr>
      <w:r w:rsidRPr="00F639D7">
        <w:rPr>
          <w:rFonts w:ascii="Times New Roman" w:hAnsi="Times New Roman" w:cs="Times New Roman"/>
        </w:rPr>
        <w:t xml:space="preserve">Yeh, C., Macaluso, C., &amp; </w:t>
      </w:r>
      <w:proofErr w:type="spellStart"/>
      <w:r w:rsidRPr="00F639D7">
        <w:rPr>
          <w:rFonts w:ascii="Times New Roman" w:hAnsi="Times New Roman" w:cs="Times New Roman"/>
        </w:rPr>
        <w:t>Hershbein</w:t>
      </w:r>
      <w:proofErr w:type="spellEnd"/>
      <w:r w:rsidRPr="00F639D7">
        <w:rPr>
          <w:rFonts w:ascii="Times New Roman" w:hAnsi="Times New Roman" w:cs="Times New Roman"/>
        </w:rPr>
        <w:t>, B. (2022). Monopsony in the US Labor Market. American Economic Review, 112(7), 2099–2138. https://doi.org/10.1257/aer.20200025</w:t>
      </w:r>
    </w:p>
    <w:p w14:paraId="4CAAD9AF" w14:textId="77777777" w:rsidR="00DA605E" w:rsidRPr="00F60507" w:rsidRDefault="00DA605E" w:rsidP="00F60507">
      <w:pPr>
        <w:spacing w:line="276" w:lineRule="auto"/>
        <w:rPr>
          <w:rFonts w:ascii="Times New Roman" w:hAnsi="Times New Roman" w:cs="Times New Roman"/>
          <w:color w:val="353C3F"/>
          <w:shd w:val="clear" w:color="auto" w:fill="FFFFFF"/>
        </w:rPr>
      </w:pPr>
    </w:p>
    <w:p w14:paraId="075905A2" w14:textId="77777777" w:rsidR="00DA605E" w:rsidRPr="00F60507" w:rsidRDefault="00DA605E" w:rsidP="00F60507">
      <w:pPr>
        <w:spacing w:line="276" w:lineRule="auto"/>
        <w:rPr>
          <w:rFonts w:ascii="Times New Roman" w:hAnsi="Times New Roman" w:cs="Times New Roman"/>
        </w:rPr>
      </w:pPr>
    </w:p>
    <w:p w14:paraId="19286F26" w14:textId="77777777" w:rsidR="00EE2E95" w:rsidRPr="00F60507" w:rsidRDefault="00EE2E95" w:rsidP="00F60507">
      <w:pPr>
        <w:spacing w:line="276" w:lineRule="auto"/>
        <w:jc w:val="both"/>
        <w:rPr>
          <w:rFonts w:ascii="Times New Roman" w:hAnsi="Times New Roman" w:cs="Times New Roman"/>
        </w:rPr>
      </w:pPr>
    </w:p>
    <w:sectPr w:rsidR="00EE2E95" w:rsidRPr="00F60507" w:rsidSect="00137B5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83840" w14:textId="77777777" w:rsidR="00222F36" w:rsidRDefault="00222F36" w:rsidP="004E1C87">
      <w:pPr>
        <w:spacing w:after="0" w:line="240" w:lineRule="auto"/>
      </w:pPr>
      <w:r>
        <w:separator/>
      </w:r>
    </w:p>
  </w:endnote>
  <w:endnote w:type="continuationSeparator" w:id="0">
    <w:p w14:paraId="5A2C3F9A" w14:textId="77777777" w:rsidR="00222F36" w:rsidRDefault="00222F36" w:rsidP="004E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CB26" w14:textId="77777777" w:rsidR="00566116" w:rsidRDefault="00566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BA3B" w14:textId="77777777" w:rsidR="00566116" w:rsidRDefault="00566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1130" w14:textId="77777777" w:rsidR="00566116" w:rsidRDefault="00566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0BA71" w14:textId="77777777" w:rsidR="00222F36" w:rsidRDefault="00222F36" w:rsidP="004E1C87">
      <w:pPr>
        <w:spacing w:after="0" w:line="240" w:lineRule="auto"/>
      </w:pPr>
      <w:r>
        <w:separator/>
      </w:r>
    </w:p>
  </w:footnote>
  <w:footnote w:type="continuationSeparator" w:id="0">
    <w:p w14:paraId="0A73F610" w14:textId="77777777" w:rsidR="00222F36" w:rsidRDefault="00222F36" w:rsidP="004E1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0AC1" w14:textId="6E6627D5" w:rsidR="00566116" w:rsidRDefault="00566116">
    <w:pPr>
      <w:pStyle w:val="Header"/>
    </w:pPr>
    <w:r>
      <w:rPr>
        <w:noProof/>
      </w:rPr>
      <w:pict w14:anchorId="306A0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54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00865" w14:textId="4CA7B956" w:rsidR="00566116" w:rsidRDefault="00566116">
    <w:pPr>
      <w:pStyle w:val="Header"/>
    </w:pPr>
    <w:r>
      <w:rPr>
        <w:noProof/>
      </w:rPr>
      <w:pict w14:anchorId="7781E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54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82DD" w14:textId="2F0E07CB" w:rsidR="00566116" w:rsidRDefault="00566116">
    <w:pPr>
      <w:pStyle w:val="Header"/>
    </w:pPr>
    <w:r>
      <w:rPr>
        <w:noProof/>
      </w:rPr>
      <w:pict w14:anchorId="3B831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54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7EA6"/>
    <w:multiLevelType w:val="hybridMultilevel"/>
    <w:tmpl w:val="FA764C72"/>
    <w:lvl w:ilvl="0" w:tplc="CEF65A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87A97"/>
    <w:multiLevelType w:val="hybridMultilevel"/>
    <w:tmpl w:val="D78A5D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03606"/>
    <w:multiLevelType w:val="hybridMultilevel"/>
    <w:tmpl w:val="A02AF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17F44"/>
    <w:multiLevelType w:val="hybridMultilevel"/>
    <w:tmpl w:val="8B4096D6"/>
    <w:lvl w:ilvl="0" w:tplc="6BFAC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85215"/>
    <w:multiLevelType w:val="hybridMultilevel"/>
    <w:tmpl w:val="DA383F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8261D"/>
    <w:multiLevelType w:val="hybridMultilevel"/>
    <w:tmpl w:val="F8766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75A30"/>
    <w:multiLevelType w:val="hybridMultilevel"/>
    <w:tmpl w:val="10AC1AE8"/>
    <w:lvl w:ilvl="0" w:tplc="0C22D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D3282"/>
    <w:multiLevelType w:val="hybridMultilevel"/>
    <w:tmpl w:val="C6A0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57524"/>
    <w:multiLevelType w:val="hybridMultilevel"/>
    <w:tmpl w:val="36B298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F4A81"/>
    <w:multiLevelType w:val="hybridMultilevel"/>
    <w:tmpl w:val="5A18A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BB0E1C"/>
    <w:multiLevelType w:val="hybridMultilevel"/>
    <w:tmpl w:val="100A9632"/>
    <w:lvl w:ilvl="0" w:tplc="651AEB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A66138"/>
    <w:multiLevelType w:val="hybridMultilevel"/>
    <w:tmpl w:val="F24E578E"/>
    <w:lvl w:ilvl="0" w:tplc="A356C18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0"/>
  </w:num>
  <w:num w:numId="4">
    <w:abstractNumId w:val="8"/>
  </w:num>
  <w:num w:numId="5">
    <w:abstractNumId w:val="4"/>
  </w:num>
  <w:num w:numId="6">
    <w:abstractNumId w:val="7"/>
  </w:num>
  <w:num w:numId="7">
    <w:abstractNumId w:val="6"/>
  </w:num>
  <w:num w:numId="8">
    <w:abstractNumId w:val="3"/>
  </w:num>
  <w:num w:numId="9">
    <w:abstractNumId w:val="1"/>
  </w:num>
  <w:num w:numId="10">
    <w:abstractNumId w:val="2"/>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AD"/>
    <w:rsid w:val="0000435C"/>
    <w:rsid w:val="00014F51"/>
    <w:rsid w:val="00041F99"/>
    <w:rsid w:val="00056F2E"/>
    <w:rsid w:val="00064F67"/>
    <w:rsid w:val="000915C0"/>
    <w:rsid w:val="000B0293"/>
    <w:rsid w:val="000B77DA"/>
    <w:rsid w:val="000C069C"/>
    <w:rsid w:val="000C0D11"/>
    <w:rsid w:val="000D1C92"/>
    <w:rsid w:val="000D782E"/>
    <w:rsid w:val="000E3CD2"/>
    <w:rsid w:val="00114D78"/>
    <w:rsid w:val="00116A3B"/>
    <w:rsid w:val="00124D80"/>
    <w:rsid w:val="00137B5F"/>
    <w:rsid w:val="0014443B"/>
    <w:rsid w:val="001C09C6"/>
    <w:rsid w:val="001C5218"/>
    <w:rsid w:val="001D17F5"/>
    <w:rsid w:val="001D780C"/>
    <w:rsid w:val="001D7953"/>
    <w:rsid w:val="001F7CA0"/>
    <w:rsid w:val="00217628"/>
    <w:rsid w:val="00222E52"/>
    <w:rsid w:val="00222F36"/>
    <w:rsid w:val="002305EE"/>
    <w:rsid w:val="00231156"/>
    <w:rsid w:val="0027556A"/>
    <w:rsid w:val="00291AC5"/>
    <w:rsid w:val="00292F64"/>
    <w:rsid w:val="002A7834"/>
    <w:rsid w:val="002B7EB2"/>
    <w:rsid w:val="002C369F"/>
    <w:rsid w:val="002C45AA"/>
    <w:rsid w:val="002D7904"/>
    <w:rsid w:val="002E2436"/>
    <w:rsid w:val="002E4544"/>
    <w:rsid w:val="002E5B10"/>
    <w:rsid w:val="0032284D"/>
    <w:rsid w:val="00323BFF"/>
    <w:rsid w:val="00347A07"/>
    <w:rsid w:val="00350BAD"/>
    <w:rsid w:val="00355AC9"/>
    <w:rsid w:val="00361EC7"/>
    <w:rsid w:val="00370217"/>
    <w:rsid w:val="003741CD"/>
    <w:rsid w:val="00383A71"/>
    <w:rsid w:val="00384475"/>
    <w:rsid w:val="003A2A1E"/>
    <w:rsid w:val="003A65DE"/>
    <w:rsid w:val="003B3896"/>
    <w:rsid w:val="003B5D56"/>
    <w:rsid w:val="003D42AB"/>
    <w:rsid w:val="003D5C2E"/>
    <w:rsid w:val="003F0237"/>
    <w:rsid w:val="004008A7"/>
    <w:rsid w:val="00443350"/>
    <w:rsid w:val="0044558B"/>
    <w:rsid w:val="004B4272"/>
    <w:rsid w:val="004C1168"/>
    <w:rsid w:val="004D30A4"/>
    <w:rsid w:val="004E1C87"/>
    <w:rsid w:val="00507265"/>
    <w:rsid w:val="00524B40"/>
    <w:rsid w:val="00525B32"/>
    <w:rsid w:val="00526790"/>
    <w:rsid w:val="0053206A"/>
    <w:rsid w:val="005563DE"/>
    <w:rsid w:val="00562A2B"/>
    <w:rsid w:val="00566116"/>
    <w:rsid w:val="0058328F"/>
    <w:rsid w:val="00595B3B"/>
    <w:rsid w:val="005C1507"/>
    <w:rsid w:val="00604C16"/>
    <w:rsid w:val="006155B9"/>
    <w:rsid w:val="00620E09"/>
    <w:rsid w:val="00651C22"/>
    <w:rsid w:val="00657B56"/>
    <w:rsid w:val="0066480C"/>
    <w:rsid w:val="006734EB"/>
    <w:rsid w:val="00680398"/>
    <w:rsid w:val="006A5C73"/>
    <w:rsid w:val="006A64BE"/>
    <w:rsid w:val="006B054A"/>
    <w:rsid w:val="006B45A3"/>
    <w:rsid w:val="006B507B"/>
    <w:rsid w:val="006D250E"/>
    <w:rsid w:val="006E1B19"/>
    <w:rsid w:val="006F749F"/>
    <w:rsid w:val="0070738A"/>
    <w:rsid w:val="00713AD6"/>
    <w:rsid w:val="00735C67"/>
    <w:rsid w:val="007524B6"/>
    <w:rsid w:val="007906CC"/>
    <w:rsid w:val="00791123"/>
    <w:rsid w:val="007930DC"/>
    <w:rsid w:val="007A4785"/>
    <w:rsid w:val="007C4535"/>
    <w:rsid w:val="007E1404"/>
    <w:rsid w:val="0080663B"/>
    <w:rsid w:val="00813343"/>
    <w:rsid w:val="00817761"/>
    <w:rsid w:val="0082757A"/>
    <w:rsid w:val="008452E8"/>
    <w:rsid w:val="00850F4F"/>
    <w:rsid w:val="00854BE9"/>
    <w:rsid w:val="00863E00"/>
    <w:rsid w:val="0087111A"/>
    <w:rsid w:val="008A1CC2"/>
    <w:rsid w:val="008C3487"/>
    <w:rsid w:val="008D1AA7"/>
    <w:rsid w:val="008E3A4D"/>
    <w:rsid w:val="009065BD"/>
    <w:rsid w:val="00927D25"/>
    <w:rsid w:val="00942A30"/>
    <w:rsid w:val="0096463D"/>
    <w:rsid w:val="00972F2A"/>
    <w:rsid w:val="00974660"/>
    <w:rsid w:val="00982EE4"/>
    <w:rsid w:val="009836FD"/>
    <w:rsid w:val="009B2876"/>
    <w:rsid w:val="009C75E1"/>
    <w:rsid w:val="009D55FA"/>
    <w:rsid w:val="009E52FC"/>
    <w:rsid w:val="009E7960"/>
    <w:rsid w:val="00A51D45"/>
    <w:rsid w:val="00A538DA"/>
    <w:rsid w:val="00A606A5"/>
    <w:rsid w:val="00A62C60"/>
    <w:rsid w:val="00A751F2"/>
    <w:rsid w:val="00A80547"/>
    <w:rsid w:val="00A90BAD"/>
    <w:rsid w:val="00A95C3C"/>
    <w:rsid w:val="00AA032C"/>
    <w:rsid w:val="00AC0851"/>
    <w:rsid w:val="00AE0F98"/>
    <w:rsid w:val="00B04033"/>
    <w:rsid w:val="00B12197"/>
    <w:rsid w:val="00B55DD7"/>
    <w:rsid w:val="00B5776E"/>
    <w:rsid w:val="00B67F34"/>
    <w:rsid w:val="00B87C44"/>
    <w:rsid w:val="00BA01F4"/>
    <w:rsid w:val="00BA711C"/>
    <w:rsid w:val="00BB1ABF"/>
    <w:rsid w:val="00C10170"/>
    <w:rsid w:val="00C14298"/>
    <w:rsid w:val="00C1498A"/>
    <w:rsid w:val="00C20804"/>
    <w:rsid w:val="00C22AD0"/>
    <w:rsid w:val="00C22CE5"/>
    <w:rsid w:val="00C24F30"/>
    <w:rsid w:val="00C333D7"/>
    <w:rsid w:val="00C4102C"/>
    <w:rsid w:val="00C52873"/>
    <w:rsid w:val="00C7268D"/>
    <w:rsid w:val="00C907F4"/>
    <w:rsid w:val="00CC208E"/>
    <w:rsid w:val="00CD5FA2"/>
    <w:rsid w:val="00CE44BA"/>
    <w:rsid w:val="00D04496"/>
    <w:rsid w:val="00D41C6D"/>
    <w:rsid w:val="00D7230C"/>
    <w:rsid w:val="00D90986"/>
    <w:rsid w:val="00D910EC"/>
    <w:rsid w:val="00D94835"/>
    <w:rsid w:val="00DA06CF"/>
    <w:rsid w:val="00DA576F"/>
    <w:rsid w:val="00DA605E"/>
    <w:rsid w:val="00DB17C7"/>
    <w:rsid w:val="00DC194F"/>
    <w:rsid w:val="00DF44C4"/>
    <w:rsid w:val="00E00412"/>
    <w:rsid w:val="00E06D9B"/>
    <w:rsid w:val="00E23E0C"/>
    <w:rsid w:val="00E4778A"/>
    <w:rsid w:val="00E57887"/>
    <w:rsid w:val="00E6403B"/>
    <w:rsid w:val="00E83044"/>
    <w:rsid w:val="00E857D9"/>
    <w:rsid w:val="00E9560A"/>
    <w:rsid w:val="00EB10F9"/>
    <w:rsid w:val="00ED21F5"/>
    <w:rsid w:val="00ED3F76"/>
    <w:rsid w:val="00EE0A9B"/>
    <w:rsid w:val="00EE0AD1"/>
    <w:rsid w:val="00EE2E95"/>
    <w:rsid w:val="00F2395A"/>
    <w:rsid w:val="00F302DB"/>
    <w:rsid w:val="00F342AA"/>
    <w:rsid w:val="00F50599"/>
    <w:rsid w:val="00F60507"/>
    <w:rsid w:val="00F639D7"/>
    <w:rsid w:val="00F70B67"/>
    <w:rsid w:val="00F763A3"/>
    <w:rsid w:val="00F81328"/>
    <w:rsid w:val="00F90E78"/>
    <w:rsid w:val="00F9492B"/>
    <w:rsid w:val="00FA1AA8"/>
    <w:rsid w:val="00FF1B9D"/>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A30128"/>
  <w15:chartTrackingRefBased/>
  <w15:docId w15:val="{0CF227EA-429B-4E15-BD98-D1C49826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ml-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0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0B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0B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0B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0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B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0B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B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0B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0B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0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BAD"/>
    <w:rPr>
      <w:rFonts w:eastAsiaTheme="majorEastAsia" w:cstheme="majorBidi"/>
      <w:color w:val="272727" w:themeColor="text1" w:themeTint="D8"/>
    </w:rPr>
  </w:style>
  <w:style w:type="paragraph" w:styleId="Title">
    <w:name w:val="Title"/>
    <w:basedOn w:val="Normal"/>
    <w:next w:val="Normal"/>
    <w:link w:val="TitleChar"/>
    <w:uiPriority w:val="10"/>
    <w:qFormat/>
    <w:rsid w:val="00A90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BAD"/>
    <w:pPr>
      <w:spacing w:before="160"/>
      <w:jc w:val="center"/>
    </w:pPr>
    <w:rPr>
      <w:i/>
      <w:iCs/>
      <w:color w:val="404040" w:themeColor="text1" w:themeTint="BF"/>
    </w:rPr>
  </w:style>
  <w:style w:type="character" w:customStyle="1" w:styleId="QuoteChar">
    <w:name w:val="Quote Char"/>
    <w:basedOn w:val="DefaultParagraphFont"/>
    <w:link w:val="Quote"/>
    <w:uiPriority w:val="29"/>
    <w:rsid w:val="00A90BAD"/>
    <w:rPr>
      <w:i/>
      <w:iCs/>
      <w:color w:val="404040" w:themeColor="text1" w:themeTint="BF"/>
    </w:rPr>
  </w:style>
  <w:style w:type="paragraph" w:styleId="ListParagraph">
    <w:name w:val="List Paragraph"/>
    <w:basedOn w:val="Normal"/>
    <w:uiPriority w:val="34"/>
    <w:qFormat/>
    <w:rsid w:val="00A90BAD"/>
    <w:pPr>
      <w:ind w:left="720"/>
      <w:contextualSpacing/>
    </w:pPr>
  </w:style>
  <w:style w:type="character" w:styleId="IntenseEmphasis">
    <w:name w:val="Intense Emphasis"/>
    <w:basedOn w:val="DefaultParagraphFont"/>
    <w:uiPriority w:val="21"/>
    <w:qFormat/>
    <w:rsid w:val="00A90BAD"/>
    <w:rPr>
      <w:i/>
      <w:iCs/>
      <w:color w:val="2F5496" w:themeColor="accent1" w:themeShade="BF"/>
    </w:rPr>
  </w:style>
  <w:style w:type="paragraph" w:styleId="IntenseQuote">
    <w:name w:val="Intense Quote"/>
    <w:basedOn w:val="Normal"/>
    <w:next w:val="Normal"/>
    <w:link w:val="IntenseQuoteChar"/>
    <w:uiPriority w:val="30"/>
    <w:qFormat/>
    <w:rsid w:val="00A90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BAD"/>
    <w:rPr>
      <w:i/>
      <w:iCs/>
      <w:color w:val="2F5496" w:themeColor="accent1" w:themeShade="BF"/>
    </w:rPr>
  </w:style>
  <w:style w:type="character" w:styleId="IntenseReference">
    <w:name w:val="Intense Reference"/>
    <w:basedOn w:val="DefaultParagraphFont"/>
    <w:uiPriority w:val="32"/>
    <w:qFormat/>
    <w:rsid w:val="00A90BAD"/>
    <w:rPr>
      <w:b/>
      <w:bCs/>
      <w:smallCaps/>
      <w:color w:val="2F5496" w:themeColor="accent1" w:themeShade="BF"/>
      <w:spacing w:val="5"/>
    </w:rPr>
  </w:style>
  <w:style w:type="paragraph" w:styleId="Header">
    <w:name w:val="header"/>
    <w:basedOn w:val="Normal"/>
    <w:link w:val="HeaderChar"/>
    <w:uiPriority w:val="99"/>
    <w:unhideWhenUsed/>
    <w:rsid w:val="004E1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C87"/>
  </w:style>
  <w:style w:type="paragraph" w:styleId="Footer">
    <w:name w:val="footer"/>
    <w:basedOn w:val="Normal"/>
    <w:link w:val="FooterChar"/>
    <w:uiPriority w:val="99"/>
    <w:unhideWhenUsed/>
    <w:rsid w:val="004E1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C87"/>
  </w:style>
  <w:style w:type="paragraph" w:styleId="NormalWeb">
    <w:name w:val="Normal (Web)"/>
    <w:basedOn w:val="Normal"/>
    <w:uiPriority w:val="99"/>
    <w:unhideWhenUsed/>
    <w:rsid w:val="000B77D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20804"/>
    <w:rPr>
      <w:b/>
      <w:bCs/>
    </w:rPr>
  </w:style>
  <w:style w:type="table" w:styleId="TableGrid">
    <w:name w:val="Table Grid"/>
    <w:basedOn w:val="TableNormal"/>
    <w:uiPriority w:val="39"/>
    <w:rsid w:val="00E57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4C16"/>
    <w:rPr>
      <w:color w:val="0563C1" w:themeColor="hyperlink"/>
      <w:u w:val="single"/>
    </w:rPr>
  </w:style>
  <w:style w:type="character" w:styleId="UnresolvedMention">
    <w:name w:val="Unresolved Mention"/>
    <w:basedOn w:val="DefaultParagraphFont"/>
    <w:uiPriority w:val="99"/>
    <w:semiHidden/>
    <w:unhideWhenUsed/>
    <w:rsid w:val="00604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94277861701000105" TargetMode="External"/><Relationship Id="rId13" Type="http://schemas.openxmlformats.org/officeDocument/2006/relationships/hyperlink" Target="https://kile.kerala.gov.in/wp-content/uploads/2018/09/TSN-PIllai.pdf" TargetMode="External"/><Relationship Id="rId18" Type="http://schemas.openxmlformats.org/officeDocument/2006/relationships/hyperlink" Target="https://doi.org/10.1186/s40497-018-0115-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equitablegrowth.org/working-paper/walmart-supercenters-and-monopsony-power-how-a-large-low-wage-employer-impacts-local-labor-markets/" TargetMode="External"/><Relationship Id="rId7" Type="http://schemas.openxmlformats.org/officeDocument/2006/relationships/hyperlink" Target="https://doi.org/10.1111/j.1468-0335.2010.00858.x" TargetMode="External"/><Relationship Id="rId12" Type="http://schemas.openxmlformats.org/officeDocument/2006/relationships/hyperlink" Target="http://hdl.handle.net/10603/6029" TargetMode="External"/><Relationship Id="rId17" Type="http://schemas.openxmlformats.org/officeDocument/2006/relationships/hyperlink" Target="https://doi.org/10.1177/001979392092249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S0169-7218(11)02409-9" TargetMode="External"/><Relationship Id="rId20" Type="http://schemas.openxmlformats.org/officeDocument/2006/relationships/hyperlink" Target="https://www.epw.in/journal/1998/52/review-labour/political-economy-labour-and-development-kerala.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s.edu/outreach/publications/working-paper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ress.princeton.edu/books/paperback/9780691123288/monopsony-in-mo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pw.in/journal/1985/04/review-political-economy/caste-consciousness-class-consciousness-alleppey-coir.html" TargetMode="External"/><Relationship Id="rId19" Type="http://schemas.openxmlformats.org/officeDocument/2006/relationships/hyperlink" Target="https://doi.org/10.1016/S0305-750X(03)00012-3" TargetMode="External"/><Relationship Id="rId4" Type="http://schemas.openxmlformats.org/officeDocument/2006/relationships/webSettings" Target="webSettings.xml"/><Relationship Id="rId9" Type="http://schemas.openxmlformats.org/officeDocument/2006/relationships/hyperlink" Target="https://www.cds.edu/outreach/publications/working-papers" TargetMode="External"/><Relationship Id="rId14" Type="http://schemas.openxmlformats.org/officeDocument/2006/relationships/hyperlink" Target="https://doi.org/10.1093/jeea/jvab03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3347</Words>
  <Characters>19079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Anandhu Ps</dc:creator>
  <cp:keywords/>
  <dc:description/>
  <cp:lastModifiedBy>SDI 1084</cp:lastModifiedBy>
  <cp:revision>6</cp:revision>
  <dcterms:created xsi:type="dcterms:W3CDTF">2025-12-19T16:53:00Z</dcterms:created>
  <dcterms:modified xsi:type="dcterms:W3CDTF">2025-12-20T13:22:00Z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45358b36-bfca-467d-816b-67245ead1f29</vt:lpwstr>
  </property>
</Properties>
</file>