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CA0A3" w14:textId="7EE606E8" w:rsidR="00E128E1" w:rsidRDefault="00E128E1" w:rsidP="007B366E">
      <w:pPr>
        <w:spacing w:after="0" w:line="276" w:lineRule="auto"/>
        <w:ind w:left="-5" w:right="375"/>
        <w:jc w:val="center"/>
        <w:rPr>
          <w:b/>
          <w:bCs/>
          <w:color w:val="auto"/>
          <w:sz w:val="22"/>
        </w:rPr>
      </w:pPr>
      <w:r w:rsidRPr="00E128E1">
        <w:rPr>
          <w:b/>
          <w:bCs/>
          <w:color w:val="auto"/>
          <w:sz w:val="22"/>
        </w:rPr>
        <w:t>Original Research Article</w:t>
      </w:r>
    </w:p>
    <w:p w14:paraId="04644A39" w14:textId="35076864" w:rsidR="007B366E" w:rsidRPr="004D3C0E" w:rsidRDefault="007B366E" w:rsidP="007B366E">
      <w:pPr>
        <w:spacing w:after="0" w:line="276" w:lineRule="auto"/>
        <w:ind w:left="-5" w:right="375"/>
        <w:jc w:val="center"/>
        <w:rPr>
          <w:b/>
          <w:bCs/>
          <w:color w:val="auto"/>
          <w:sz w:val="22"/>
        </w:rPr>
      </w:pPr>
      <w:r w:rsidRPr="004D3C0E">
        <w:rPr>
          <w:b/>
          <w:bCs/>
          <w:color w:val="auto"/>
          <w:sz w:val="22"/>
        </w:rPr>
        <w:t xml:space="preserve">Value Added Tax and Revenue </w:t>
      </w:r>
      <w:proofErr w:type="spellStart"/>
      <w:r w:rsidRPr="004D3C0E">
        <w:rPr>
          <w:b/>
          <w:bCs/>
          <w:color w:val="auto"/>
          <w:sz w:val="22"/>
        </w:rPr>
        <w:t>Mobilisation</w:t>
      </w:r>
      <w:proofErr w:type="spellEnd"/>
      <w:r w:rsidRPr="004D3C0E">
        <w:rPr>
          <w:b/>
          <w:bCs/>
          <w:color w:val="auto"/>
          <w:sz w:val="22"/>
        </w:rPr>
        <w:t xml:space="preserve"> in Ghana: An Empirical Assessment of Its Contribution</w:t>
      </w:r>
      <w:r w:rsidR="00AB4516" w:rsidRPr="004D3C0E">
        <w:rPr>
          <w:b/>
          <w:bCs/>
          <w:color w:val="auto"/>
          <w:sz w:val="22"/>
        </w:rPr>
        <w:t>s</w:t>
      </w:r>
      <w:r w:rsidRPr="004D3C0E">
        <w:rPr>
          <w:b/>
          <w:bCs/>
          <w:color w:val="auto"/>
          <w:sz w:val="22"/>
        </w:rPr>
        <w:t xml:space="preserve"> to Total Tax Revenue (2013–2023)</w:t>
      </w:r>
    </w:p>
    <w:p w14:paraId="4EB51E72" w14:textId="77777777" w:rsidR="00800413" w:rsidRDefault="00800413" w:rsidP="007B366E">
      <w:pPr>
        <w:spacing w:after="0" w:line="276" w:lineRule="auto"/>
        <w:ind w:left="-5" w:right="375"/>
        <w:jc w:val="center"/>
        <w:rPr>
          <w:b/>
          <w:bCs/>
          <w:color w:val="auto"/>
          <w:sz w:val="22"/>
        </w:rPr>
      </w:pPr>
    </w:p>
    <w:p w14:paraId="4ACD0EDA" w14:textId="77777777" w:rsidR="00470E39" w:rsidRPr="004D3C0E" w:rsidRDefault="00470E39" w:rsidP="00470E39">
      <w:pPr>
        <w:spacing w:after="0" w:line="276" w:lineRule="auto"/>
        <w:ind w:left="-5" w:right="375"/>
        <w:jc w:val="center"/>
        <w:rPr>
          <w:bCs/>
          <w:color w:val="auto"/>
          <w:sz w:val="22"/>
        </w:rPr>
      </w:pPr>
    </w:p>
    <w:p w14:paraId="00A1AD9E" w14:textId="77777777" w:rsidR="007B366E" w:rsidRDefault="007B366E" w:rsidP="007B366E">
      <w:pPr>
        <w:spacing w:after="0" w:line="276" w:lineRule="auto"/>
        <w:ind w:left="-5" w:right="375"/>
        <w:rPr>
          <w:b/>
          <w:bCs/>
          <w:color w:val="auto"/>
          <w:sz w:val="22"/>
        </w:rPr>
      </w:pPr>
      <w:bookmarkStart w:id="0" w:name="_GoBack"/>
      <w:bookmarkEnd w:id="0"/>
    </w:p>
    <w:p w14:paraId="605B93ED" w14:textId="77777777" w:rsidR="00D16833" w:rsidRDefault="00D16833" w:rsidP="007B366E">
      <w:pPr>
        <w:spacing w:after="0" w:line="276" w:lineRule="auto"/>
        <w:ind w:left="-5" w:right="375"/>
        <w:rPr>
          <w:b/>
          <w:bCs/>
          <w:color w:val="auto"/>
          <w:sz w:val="22"/>
        </w:rPr>
      </w:pPr>
    </w:p>
    <w:p w14:paraId="4FCF5210" w14:textId="77777777" w:rsidR="00D16833" w:rsidRPr="00D16833" w:rsidRDefault="00D16833" w:rsidP="00D16833">
      <w:pPr>
        <w:spacing w:after="0" w:line="360" w:lineRule="auto"/>
        <w:ind w:left="-5" w:right="375"/>
        <w:rPr>
          <w:b/>
          <w:bCs/>
          <w:color w:val="auto"/>
          <w:sz w:val="22"/>
          <w:lang w:val="en-GB"/>
        </w:rPr>
      </w:pPr>
      <w:r w:rsidRPr="00D16833">
        <w:rPr>
          <w:b/>
          <w:bCs/>
          <w:color w:val="auto"/>
          <w:sz w:val="22"/>
          <w:lang w:val="en-GB"/>
        </w:rPr>
        <w:t>Abstract</w:t>
      </w:r>
    </w:p>
    <w:p w14:paraId="26B4BB1F" w14:textId="2DB1424E" w:rsidR="00D16833" w:rsidRPr="00D16833" w:rsidRDefault="00D16833" w:rsidP="00D16833">
      <w:pPr>
        <w:spacing w:after="0" w:line="276" w:lineRule="auto"/>
        <w:ind w:left="-5" w:right="375"/>
        <w:rPr>
          <w:color w:val="auto"/>
          <w:sz w:val="22"/>
          <w:lang w:val="en-GB"/>
        </w:rPr>
      </w:pPr>
      <w:r w:rsidRPr="00D16833">
        <w:rPr>
          <w:color w:val="auto"/>
          <w:sz w:val="22"/>
          <w:lang w:val="en-GB"/>
        </w:rPr>
        <w:t>Value Added Tax (VAT) has become a central pillar of domestic revenue mobilisation in Ghana, yet persistent administrative and compliance challenges continue to constrain its full revenue potential. This study empirically examines the contribution of VAT to total tax revenue and its implications for tax administration efficiency in Ghana over the period 2013 to 2023. Using a mixed methods approach, the study combines time series data on VAT and total tax revenue with primary survey data collected from Ghana Revenue Authority officials in Accra Central and Accra West. Descriptive statistics, trend analysis, correlation, and regression techniques were employed to analyse revenue performance, administrative challenges, and compliance dynamics.</w:t>
      </w:r>
      <w:r>
        <w:rPr>
          <w:color w:val="auto"/>
          <w:sz w:val="22"/>
          <w:lang w:val="en-GB"/>
        </w:rPr>
        <w:t xml:space="preserve"> </w:t>
      </w:r>
      <w:r w:rsidRPr="00D16833">
        <w:rPr>
          <w:color w:val="auto"/>
          <w:sz w:val="22"/>
          <w:lang w:val="en-GB"/>
        </w:rPr>
        <w:t>The findings reveal a strong and statistically significant positive relationship between VAT revenue and total tax revenue, with a correlation coefficient of 0.93 and an R squared value of 0.87, indicating that variations in VAT revenue explain a substantial proportion of changes in overall tax revenue. Trend analysis shows that VAT revenue experienced notable fluctuations over the study period, reflecting macroeconomic conditions, policy changes, and administrative efficiency, with particularly strong growth observed between 2021 and 2023. Survey results further indicate that operational inefficiencies, limited automation, inadequate staff training, informal sector non-compliance, policy instability, and weak enforcement of penalties significantly undermine VAT administration. The study concludes that while VAT remains a critical driver of revenue mobilisation in Ghana, its effectiveness is heavily dependent on administrative capacity, policy consistency, and taxpayer compliance. Strengthening digital tax systems, expanding the tax net to include informal sector actors, enhancing staff capacity, and promoting taxpayer education are essential to improving VAT performance and sustaining long term revenue growth. The findings contribute to public finance literature by providing empirical evidence on the link between VAT performance and tax administration efficiency in a developing country context.</w:t>
      </w:r>
    </w:p>
    <w:p w14:paraId="1D7634E6" w14:textId="77777777" w:rsidR="00D16833" w:rsidRDefault="00D16833" w:rsidP="007B366E">
      <w:pPr>
        <w:spacing w:after="0" w:line="276" w:lineRule="auto"/>
        <w:ind w:left="-5" w:right="375"/>
        <w:rPr>
          <w:b/>
          <w:bCs/>
          <w:color w:val="auto"/>
          <w:sz w:val="22"/>
        </w:rPr>
      </w:pPr>
    </w:p>
    <w:p w14:paraId="325762F2" w14:textId="77777777" w:rsidR="00D16833" w:rsidRDefault="00D16833" w:rsidP="007B366E">
      <w:pPr>
        <w:spacing w:after="0" w:line="276" w:lineRule="auto"/>
        <w:ind w:left="-5" w:right="375"/>
        <w:rPr>
          <w:b/>
          <w:bCs/>
          <w:color w:val="auto"/>
          <w:sz w:val="22"/>
        </w:rPr>
      </w:pPr>
    </w:p>
    <w:p w14:paraId="6A0F4948" w14:textId="77777777" w:rsidR="00D16833" w:rsidRPr="004D3C0E" w:rsidRDefault="00D16833" w:rsidP="007B366E">
      <w:pPr>
        <w:spacing w:after="0" w:line="276" w:lineRule="auto"/>
        <w:ind w:left="-5" w:right="375"/>
        <w:rPr>
          <w:b/>
          <w:bCs/>
          <w:color w:val="auto"/>
          <w:sz w:val="22"/>
        </w:rPr>
      </w:pPr>
    </w:p>
    <w:p w14:paraId="558E475C" w14:textId="77777777" w:rsidR="007B366E" w:rsidRPr="00800413" w:rsidRDefault="007B366E" w:rsidP="007B366E">
      <w:pPr>
        <w:spacing w:after="0" w:line="276" w:lineRule="auto"/>
        <w:ind w:left="-5" w:right="375"/>
        <w:rPr>
          <w:b/>
          <w:bCs/>
          <w:color w:val="auto"/>
          <w:szCs w:val="24"/>
        </w:rPr>
      </w:pPr>
      <w:r w:rsidRPr="00800413">
        <w:rPr>
          <w:b/>
          <w:bCs/>
          <w:color w:val="auto"/>
          <w:szCs w:val="24"/>
        </w:rPr>
        <w:t>1. Introduction</w:t>
      </w:r>
    </w:p>
    <w:p w14:paraId="1ADCDD89" w14:textId="29DD06E4" w:rsidR="007B366E" w:rsidRPr="004D3C0E" w:rsidRDefault="007B366E" w:rsidP="00E4617B">
      <w:pPr>
        <w:spacing w:after="0" w:line="276" w:lineRule="auto"/>
        <w:ind w:left="-5" w:right="375"/>
        <w:rPr>
          <w:color w:val="auto"/>
          <w:sz w:val="22"/>
        </w:rPr>
      </w:pPr>
      <w:r w:rsidRPr="004D3C0E">
        <w:rPr>
          <w:color w:val="auto"/>
          <w:sz w:val="22"/>
        </w:rPr>
        <w:t xml:space="preserve">Value Added Tax (VAT) is one of the most significant forms of indirect taxation worldwide, accounting for a substantial portion of government revenue in many countries. Introduced in Ghana in 1998, VAT was designed to diversify the country’s tax base and reduce reliance on direct taxes, such as income tax, which had been challenging to collect and administer. Over time, VAT has become an essential tool for revenue </w:t>
      </w:r>
      <w:proofErr w:type="spellStart"/>
      <w:r w:rsidRPr="004D3C0E">
        <w:rPr>
          <w:color w:val="auto"/>
          <w:sz w:val="22"/>
        </w:rPr>
        <w:t>mobilisation</w:t>
      </w:r>
      <w:proofErr w:type="spellEnd"/>
      <w:r w:rsidRPr="004D3C0E">
        <w:rPr>
          <w:color w:val="auto"/>
          <w:sz w:val="22"/>
        </w:rPr>
        <w:t>, accounting for a considerable share of Ghana’s national income (</w:t>
      </w:r>
      <w:proofErr w:type="spellStart"/>
      <w:r w:rsidRPr="004D3C0E">
        <w:rPr>
          <w:color w:val="auto"/>
          <w:sz w:val="22"/>
        </w:rPr>
        <w:t>Abubakari</w:t>
      </w:r>
      <w:proofErr w:type="spellEnd"/>
      <w:r w:rsidRPr="004D3C0E">
        <w:rPr>
          <w:color w:val="auto"/>
          <w:sz w:val="22"/>
        </w:rPr>
        <w:t xml:space="preserve"> et al., 2024). The VAT system in Ghana is structured with multiple rates, including a standard rate of 15% and various exemptions and zero-rated categories (Ghana Revenue Authority, 2025). The role of VAT in tax administration is crucial, especially as countries strive to enhance their fiscal capacity in the face of economic challenges. In Ghana, VAT significantly contributes to the public purse; however, its administration has been marred by difficulties such as tax evasion, non-compliance, </w:t>
      </w:r>
      <w:r w:rsidRPr="004D3C0E">
        <w:rPr>
          <w:color w:val="auto"/>
          <w:sz w:val="22"/>
        </w:rPr>
        <w:lastRenderedPageBreak/>
        <w:t xml:space="preserve">and inefficiencies in collection (Boakye &amp; </w:t>
      </w:r>
      <w:proofErr w:type="spellStart"/>
      <w:r w:rsidRPr="004D3C0E">
        <w:rPr>
          <w:color w:val="auto"/>
          <w:sz w:val="22"/>
        </w:rPr>
        <w:t>Anaman</w:t>
      </w:r>
      <w:proofErr w:type="spellEnd"/>
      <w:r w:rsidRPr="004D3C0E">
        <w:rPr>
          <w:color w:val="auto"/>
          <w:sz w:val="22"/>
        </w:rPr>
        <w:t xml:space="preserve">, 2018). According to the GRA (2023), despite various reforms, VAT collection remains below its potential, partly due to gaps in enforcement and a lack of public understanding of the tax system. </w:t>
      </w:r>
    </w:p>
    <w:p w14:paraId="6FE76643" w14:textId="42F7E7AC" w:rsidR="007B366E" w:rsidRPr="004D3C0E" w:rsidRDefault="007B366E" w:rsidP="00800413">
      <w:pPr>
        <w:spacing w:before="240" w:after="161" w:line="276" w:lineRule="auto"/>
        <w:ind w:left="-5" w:right="375"/>
        <w:rPr>
          <w:color w:val="auto"/>
          <w:sz w:val="22"/>
        </w:rPr>
      </w:pPr>
      <w:r w:rsidRPr="004D3C0E">
        <w:rPr>
          <w:color w:val="auto"/>
          <w:sz w:val="22"/>
        </w:rPr>
        <w:t>Recent studies indicate that VAT remains a central component of Ghana’s tax policy and revenue generation strategy (</w:t>
      </w:r>
      <w:bookmarkStart w:id="1" w:name="_Hlk213410599"/>
      <w:proofErr w:type="spellStart"/>
      <w:r w:rsidRPr="004D3C0E">
        <w:rPr>
          <w:color w:val="auto"/>
          <w:sz w:val="22"/>
        </w:rPr>
        <w:t>Kamasa</w:t>
      </w:r>
      <w:proofErr w:type="spellEnd"/>
      <w:r w:rsidRPr="004D3C0E">
        <w:rPr>
          <w:color w:val="auto"/>
          <w:sz w:val="22"/>
        </w:rPr>
        <w:t xml:space="preserve"> et al., 2025</w:t>
      </w:r>
      <w:bookmarkEnd w:id="1"/>
      <w:r w:rsidRPr="004D3C0E">
        <w:rPr>
          <w:color w:val="auto"/>
          <w:sz w:val="22"/>
        </w:rPr>
        <w:t xml:space="preserve">; </w:t>
      </w:r>
      <w:proofErr w:type="spellStart"/>
      <w:r w:rsidRPr="004D3C0E">
        <w:rPr>
          <w:color w:val="auto"/>
          <w:sz w:val="22"/>
        </w:rPr>
        <w:t>Bekoe</w:t>
      </w:r>
      <w:proofErr w:type="spellEnd"/>
      <w:r w:rsidRPr="004D3C0E">
        <w:rPr>
          <w:color w:val="auto"/>
          <w:sz w:val="22"/>
        </w:rPr>
        <w:t xml:space="preserve"> et al., 2016). However, the efficiency of VAT administration is often hindered by factors such as inadequate taxpayer education, lack of enforcement mechanisms, and the informal nature of many businesses (</w:t>
      </w:r>
      <w:proofErr w:type="spellStart"/>
      <w:r w:rsidRPr="004D3C0E">
        <w:rPr>
          <w:color w:val="auto"/>
          <w:sz w:val="22"/>
        </w:rPr>
        <w:t>Ackom</w:t>
      </w:r>
      <w:proofErr w:type="spellEnd"/>
      <w:r w:rsidRPr="004D3C0E">
        <w:rPr>
          <w:color w:val="auto"/>
          <w:sz w:val="22"/>
        </w:rPr>
        <w:t xml:space="preserve"> et al., 2025). The informal sector, which represents a significant portion of the Ghanaian economy, poses a unique challenge for VAT collection, as businesses in this sector often evade registration and reporting (</w:t>
      </w:r>
      <w:proofErr w:type="spellStart"/>
      <w:r w:rsidRPr="004D3C0E">
        <w:rPr>
          <w:color w:val="auto"/>
          <w:sz w:val="22"/>
        </w:rPr>
        <w:t>Adu</w:t>
      </w:r>
      <w:proofErr w:type="spellEnd"/>
      <w:r w:rsidRPr="004D3C0E">
        <w:rPr>
          <w:color w:val="auto"/>
          <w:sz w:val="22"/>
        </w:rPr>
        <w:t xml:space="preserve"> &amp; </w:t>
      </w:r>
      <w:proofErr w:type="spellStart"/>
      <w:r w:rsidRPr="004D3C0E">
        <w:rPr>
          <w:color w:val="auto"/>
          <w:sz w:val="22"/>
        </w:rPr>
        <w:t>Mbeah</w:t>
      </w:r>
      <w:proofErr w:type="spellEnd"/>
      <w:r w:rsidRPr="004D3C0E">
        <w:rPr>
          <w:color w:val="auto"/>
          <w:sz w:val="22"/>
        </w:rPr>
        <w:t xml:space="preserve">, 2020). While VAT has succeeded in </w:t>
      </w:r>
      <w:proofErr w:type="spellStart"/>
      <w:r w:rsidRPr="004D3C0E">
        <w:rPr>
          <w:color w:val="auto"/>
          <w:sz w:val="22"/>
        </w:rPr>
        <w:t>mobilising</w:t>
      </w:r>
      <w:proofErr w:type="spellEnd"/>
      <w:r w:rsidRPr="004D3C0E">
        <w:rPr>
          <w:color w:val="auto"/>
          <w:sz w:val="22"/>
        </w:rPr>
        <w:t xml:space="preserve"> revenue, its impact on the broader tax administration system in Ghana requires further investigation (</w:t>
      </w:r>
      <w:proofErr w:type="spellStart"/>
      <w:r w:rsidRPr="004D3C0E">
        <w:rPr>
          <w:color w:val="auto"/>
          <w:sz w:val="22"/>
        </w:rPr>
        <w:t>Kamasa</w:t>
      </w:r>
      <w:proofErr w:type="spellEnd"/>
      <w:r w:rsidRPr="004D3C0E">
        <w:rPr>
          <w:color w:val="auto"/>
          <w:sz w:val="22"/>
        </w:rPr>
        <w:t xml:space="preserve"> et al., 2025; </w:t>
      </w:r>
      <w:proofErr w:type="spellStart"/>
      <w:r w:rsidRPr="004D3C0E">
        <w:rPr>
          <w:color w:val="auto"/>
          <w:sz w:val="22"/>
        </w:rPr>
        <w:t>Bekoe</w:t>
      </w:r>
      <w:proofErr w:type="spellEnd"/>
      <w:r w:rsidRPr="004D3C0E">
        <w:rPr>
          <w:color w:val="auto"/>
          <w:sz w:val="22"/>
        </w:rPr>
        <w:t xml:space="preserve"> et al., 2016).</w:t>
      </w:r>
      <w:r w:rsidRPr="004D3C0E">
        <w:rPr>
          <w:rFonts w:eastAsia="Calibri"/>
          <w:color w:val="auto"/>
          <w:sz w:val="22"/>
        </w:rPr>
        <w:t xml:space="preserve"> </w:t>
      </w:r>
      <w:r w:rsidRPr="004D3C0E">
        <w:rPr>
          <w:color w:val="auto"/>
          <w:sz w:val="22"/>
        </w:rPr>
        <w:t>Understanding how VAT influences tax administration can offer valuable insights into improving efficiency and reducing the challenges faced by tax authorities (</w:t>
      </w:r>
      <w:proofErr w:type="spellStart"/>
      <w:r w:rsidRPr="004D3C0E">
        <w:rPr>
          <w:color w:val="auto"/>
          <w:sz w:val="22"/>
        </w:rPr>
        <w:t>Yordanova</w:t>
      </w:r>
      <w:proofErr w:type="spellEnd"/>
      <w:r w:rsidRPr="004D3C0E">
        <w:rPr>
          <w:color w:val="auto"/>
          <w:sz w:val="22"/>
        </w:rPr>
        <w:t xml:space="preserve">, 2024; </w:t>
      </w:r>
      <w:proofErr w:type="spellStart"/>
      <w:r w:rsidRPr="004D3C0E">
        <w:rPr>
          <w:color w:val="auto"/>
          <w:sz w:val="22"/>
        </w:rPr>
        <w:t>Idrus</w:t>
      </w:r>
      <w:proofErr w:type="spellEnd"/>
      <w:r w:rsidRPr="004D3C0E">
        <w:rPr>
          <w:color w:val="auto"/>
          <w:sz w:val="22"/>
        </w:rPr>
        <w:t xml:space="preserve">, 2024). A time series analysis of VAT revenue contributions and administrative performance over the fiscal periods from 2013 to 2023 will help assess trends, identify challenges, and evaluate the effectiveness of VAT reforms implemented during this period. </w:t>
      </w:r>
    </w:p>
    <w:p w14:paraId="27D48275" w14:textId="05B0D7DF" w:rsidR="007B366E" w:rsidRPr="004D3C0E" w:rsidRDefault="007B366E" w:rsidP="00ED1465">
      <w:pPr>
        <w:spacing w:after="190" w:line="276" w:lineRule="auto"/>
        <w:ind w:left="-5" w:right="375"/>
        <w:rPr>
          <w:color w:val="auto"/>
          <w:sz w:val="22"/>
        </w:rPr>
      </w:pPr>
      <w:r w:rsidRPr="004D3C0E">
        <w:rPr>
          <w:color w:val="auto"/>
          <w:sz w:val="22"/>
        </w:rPr>
        <w:t xml:space="preserve">The study focused on evaluating the relationship between VAT revenue and tax administration efficiency, providing a comprehensive analysis of VAT’s role in Ghana’s fiscal policy. By examining the period from 2013 to 2023, the research will capture both the long-term trends in VAT administration and any short-term disruptions or improvements resulting from policy changes, enforcement strategies, or external factors such as the COVID-19 pandemic and its economic impact. Value Added Tax (VAT) has become a crucial source of revenue for the Ghanaian government, yet its administration continues to face significant challenges that undermine its full potential. Since its introduction in 1998, VAT has been a cornerstone of Ghana’s tax system, contributing a substantial portion of national revenue (GRA, 2020). However, despite its importance, VAT collection and enforcement mechanisms have been hindered by inefficiencies, tax evasion, inadequate public awareness, and challenges in </w:t>
      </w:r>
      <w:r w:rsidR="00ED1465" w:rsidRPr="004D3C0E">
        <w:rPr>
          <w:color w:val="auto"/>
          <w:sz w:val="22"/>
        </w:rPr>
        <w:t>formalizing</w:t>
      </w:r>
      <w:r w:rsidRPr="004D3C0E">
        <w:rPr>
          <w:color w:val="auto"/>
          <w:sz w:val="22"/>
        </w:rPr>
        <w:t xml:space="preserve"> the informal sector (Mpofu, 2023; Joshi et al., 2013). These issues have created persistent gaps in VAT revenue generation, hampering the effectiveness of tax administration in the country (</w:t>
      </w:r>
      <w:proofErr w:type="spellStart"/>
      <w:r w:rsidRPr="004D3C0E">
        <w:rPr>
          <w:color w:val="auto"/>
          <w:sz w:val="22"/>
        </w:rPr>
        <w:t>Ansong</w:t>
      </w:r>
      <w:proofErr w:type="spellEnd"/>
      <w:r w:rsidRPr="004D3C0E">
        <w:rPr>
          <w:color w:val="auto"/>
          <w:sz w:val="22"/>
        </w:rPr>
        <w:t xml:space="preserve"> et al., 2024). </w:t>
      </w:r>
    </w:p>
    <w:p w14:paraId="1E9D7F7F" w14:textId="77777777" w:rsidR="007B366E" w:rsidRPr="004D3C0E" w:rsidRDefault="007B366E" w:rsidP="007B366E">
      <w:pPr>
        <w:spacing w:after="281" w:line="276" w:lineRule="auto"/>
        <w:ind w:left="-5" w:right="375"/>
        <w:rPr>
          <w:color w:val="auto"/>
          <w:sz w:val="22"/>
        </w:rPr>
      </w:pPr>
      <w:r w:rsidRPr="004D3C0E">
        <w:rPr>
          <w:color w:val="auto"/>
          <w:sz w:val="22"/>
        </w:rPr>
        <w:t>Theoretically, the challenges associated with VAT administration highlight a critical gap in understanding its operational dynamics and its influence on tax administration efficiency. Existing research has primarily focused on VAT compliance and revenue performance but has not adequately addressed the broader systemic inefficiencies within tax administration frameworks (</w:t>
      </w:r>
      <w:proofErr w:type="spellStart"/>
      <w:r w:rsidRPr="004D3C0E">
        <w:rPr>
          <w:color w:val="auto"/>
          <w:sz w:val="22"/>
        </w:rPr>
        <w:t>Adu</w:t>
      </w:r>
      <w:proofErr w:type="spellEnd"/>
      <w:r w:rsidRPr="004D3C0E">
        <w:rPr>
          <w:color w:val="auto"/>
          <w:sz w:val="22"/>
        </w:rPr>
        <w:t xml:space="preserve"> &amp; </w:t>
      </w:r>
      <w:proofErr w:type="spellStart"/>
      <w:r w:rsidRPr="004D3C0E">
        <w:rPr>
          <w:color w:val="auto"/>
          <w:sz w:val="22"/>
        </w:rPr>
        <w:t>Mbeah</w:t>
      </w:r>
      <w:proofErr w:type="spellEnd"/>
      <w:r w:rsidRPr="004D3C0E">
        <w:rPr>
          <w:color w:val="auto"/>
          <w:sz w:val="22"/>
        </w:rPr>
        <w:t xml:space="preserve">, 2020). Furthermore, the limited exploration of the interplay between VAT administration practices and the operational efficiency of tax authorities suggests a gap in the literature, which necessitates further investigation (Mascagni et al., 2023). This study contributes to the theoretical discourse by evaluating the relationship between VAT administration challenges and tax administration efficiency, offering insights into systemic improvements. </w:t>
      </w:r>
    </w:p>
    <w:p w14:paraId="1B30FF6F" w14:textId="77777777" w:rsidR="007B366E" w:rsidRPr="004D3C0E" w:rsidRDefault="007B366E" w:rsidP="007B366E">
      <w:pPr>
        <w:spacing w:after="3" w:line="276" w:lineRule="auto"/>
        <w:ind w:right="375"/>
        <w:rPr>
          <w:color w:val="auto"/>
          <w:sz w:val="22"/>
        </w:rPr>
      </w:pPr>
      <w:r w:rsidRPr="004D3C0E">
        <w:rPr>
          <w:color w:val="auto"/>
          <w:sz w:val="22"/>
        </w:rPr>
        <w:t>Practically, VAT non-compliance remains a significant hurdle, often attributed to the complexities of the system, such as multiple rates and exemptions (</w:t>
      </w:r>
      <w:proofErr w:type="spellStart"/>
      <w:r w:rsidRPr="004D3C0E">
        <w:rPr>
          <w:color w:val="auto"/>
          <w:sz w:val="22"/>
        </w:rPr>
        <w:t>Brockmeyer</w:t>
      </w:r>
      <w:proofErr w:type="spellEnd"/>
      <w:r w:rsidRPr="004D3C0E">
        <w:rPr>
          <w:color w:val="auto"/>
          <w:sz w:val="22"/>
        </w:rPr>
        <w:t xml:space="preserve"> et al., 2024; Obeng, 2018). Many businesses, particularly in the informal sector, evade VAT registration and reporting, resulting in </w:t>
      </w:r>
      <w:r w:rsidRPr="004D3C0E">
        <w:rPr>
          <w:color w:val="auto"/>
          <w:sz w:val="22"/>
        </w:rPr>
        <w:lastRenderedPageBreak/>
        <w:t>significant revenue losses (</w:t>
      </w:r>
      <w:proofErr w:type="spellStart"/>
      <w:r w:rsidRPr="004D3C0E">
        <w:rPr>
          <w:color w:val="auto"/>
          <w:sz w:val="22"/>
        </w:rPr>
        <w:t>Ameyaw</w:t>
      </w:r>
      <w:proofErr w:type="spellEnd"/>
      <w:r w:rsidRPr="004D3C0E">
        <w:rPr>
          <w:color w:val="auto"/>
          <w:sz w:val="22"/>
        </w:rPr>
        <w:t xml:space="preserve"> et al., 2016; </w:t>
      </w:r>
      <w:proofErr w:type="spellStart"/>
      <w:r w:rsidRPr="004D3C0E">
        <w:rPr>
          <w:color w:val="auto"/>
          <w:sz w:val="22"/>
        </w:rPr>
        <w:t>Peprah</w:t>
      </w:r>
      <w:proofErr w:type="spellEnd"/>
      <w:r w:rsidRPr="004D3C0E">
        <w:rPr>
          <w:color w:val="auto"/>
          <w:sz w:val="22"/>
        </w:rPr>
        <w:t xml:space="preserve"> et al., 2020). The informal sector, which accounts for approximately 70% of Ghana's economy, operates largely outside the formal tax system, posing unique challenges for VAT enforcement (</w:t>
      </w:r>
      <w:proofErr w:type="spellStart"/>
      <w:r w:rsidRPr="004D3C0E">
        <w:rPr>
          <w:color w:val="auto"/>
          <w:sz w:val="22"/>
        </w:rPr>
        <w:t>Ameyaw</w:t>
      </w:r>
      <w:proofErr w:type="spellEnd"/>
      <w:r w:rsidRPr="004D3C0E">
        <w:rPr>
          <w:color w:val="auto"/>
          <w:sz w:val="22"/>
        </w:rPr>
        <w:t xml:space="preserve"> et al., 2015; Owusu-Gyimah, 2015). Additionally, administrative weaknesses, including inadequate tax audits, inconsistent enforcement mechanisms, and limited taxpayer education, have eroded public trust in the VAT system, compounding non-compliance issues (Frimpong, 2021; Nsubuga et al., 2017). Despite various efforts by the Ghana Revenue Authority (GRA), including reforms like the VAT flat-rate scheme and the adoption of digital tools for tax collection, these challenges persist (</w:t>
      </w:r>
      <w:proofErr w:type="spellStart"/>
      <w:r w:rsidRPr="004D3C0E">
        <w:rPr>
          <w:color w:val="auto"/>
          <w:sz w:val="22"/>
        </w:rPr>
        <w:t>Asiedu</w:t>
      </w:r>
      <w:proofErr w:type="spellEnd"/>
      <w:r w:rsidRPr="004D3C0E">
        <w:rPr>
          <w:color w:val="auto"/>
          <w:sz w:val="22"/>
        </w:rPr>
        <w:t xml:space="preserve"> et al., 2022; </w:t>
      </w:r>
      <w:proofErr w:type="spellStart"/>
      <w:r w:rsidRPr="004D3C0E">
        <w:rPr>
          <w:color w:val="auto"/>
          <w:sz w:val="22"/>
        </w:rPr>
        <w:t>Awunyo-Vitor</w:t>
      </w:r>
      <w:proofErr w:type="spellEnd"/>
      <w:r w:rsidRPr="004D3C0E">
        <w:rPr>
          <w:color w:val="auto"/>
          <w:sz w:val="22"/>
        </w:rPr>
        <w:t xml:space="preserve"> &amp; </w:t>
      </w:r>
      <w:proofErr w:type="spellStart"/>
      <w:r w:rsidRPr="004D3C0E">
        <w:rPr>
          <w:color w:val="auto"/>
          <w:sz w:val="22"/>
        </w:rPr>
        <w:t>Mbawuni</w:t>
      </w:r>
      <w:proofErr w:type="spellEnd"/>
      <w:r w:rsidRPr="004D3C0E">
        <w:rPr>
          <w:color w:val="auto"/>
          <w:sz w:val="22"/>
        </w:rPr>
        <w:t>, 2015). As a result, VAT revenues remain suboptimal, and the efficiency of tax administration continues to be undermined (</w:t>
      </w:r>
      <w:proofErr w:type="spellStart"/>
      <w:r w:rsidRPr="004D3C0E">
        <w:rPr>
          <w:color w:val="auto"/>
          <w:sz w:val="22"/>
        </w:rPr>
        <w:t>Andoh</w:t>
      </w:r>
      <w:proofErr w:type="spellEnd"/>
      <w:r w:rsidRPr="004D3C0E">
        <w:rPr>
          <w:color w:val="auto"/>
          <w:sz w:val="22"/>
        </w:rPr>
        <w:t xml:space="preserve"> et al., 2019; </w:t>
      </w:r>
      <w:proofErr w:type="spellStart"/>
      <w:r w:rsidRPr="004D3C0E">
        <w:rPr>
          <w:color w:val="auto"/>
          <w:sz w:val="22"/>
        </w:rPr>
        <w:t>Bekoe</w:t>
      </w:r>
      <w:proofErr w:type="spellEnd"/>
      <w:r w:rsidRPr="004D3C0E">
        <w:rPr>
          <w:color w:val="auto"/>
          <w:sz w:val="22"/>
        </w:rPr>
        <w:t xml:space="preserve"> et al., 2016).</w:t>
      </w:r>
    </w:p>
    <w:p w14:paraId="18296B42" w14:textId="77777777" w:rsidR="007B366E" w:rsidRPr="004D3C0E" w:rsidRDefault="007B366E" w:rsidP="00800413">
      <w:pPr>
        <w:spacing w:before="240" w:after="3" w:line="276" w:lineRule="auto"/>
        <w:ind w:right="375"/>
        <w:rPr>
          <w:color w:val="auto"/>
          <w:sz w:val="22"/>
        </w:rPr>
      </w:pPr>
      <w:r w:rsidRPr="004D3C0E">
        <w:rPr>
          <w:color w:val="auto"/>
          <w:sz w:val="22"/>
        </w:rPr>
        <w:t>This study aimed to bridge the gap between theoretical understanding and practical challenges by examining the impact of VAT on the overall efficiency of tax administration in Ghana. It examined trends in VAT revenue from 2013 to 2023, assessed the relationship between VAT revenue collection and total tax revenue in Ghana during the fiscal periods from 2013 to 2023 and explored how VAT influences the performance and efficiency of the tax administration system in Ghana. Through a time series analysis, this study provides a comprehensive assessment of VAT's role in enhancing or inhibiting effective tax administration, offering insights to inform future policy reforms.</w:t>
      </w:r>
    </w:p>
    <w:p w14:paraId="0804757B" w14:textId="77777777" w:rsidR="007B366E" w:rsidRPr="004D3C0E" w:rsidRDefault="007B366E" w:rsidP="007B366E">
      <w:pPr>
        <w:spacing w:after="190" w:line="276" w:lineRule="auto"/>
        <w:ind w:left="-5" w:right="375"/>
        <w:rPr>
          <w:color w:val="auto"/>
          <w:sz w:val="22"/>
        </w:rPr>
      </w:pPr>
    </w:p>
    <w:p w14:paraId="77C1D15F" w14:textId="77777777" w:rsidR="007B366E" w:rsidRPr="004D3C0E" w:rsidRDefault="007B366E" w:rsidP="00E4617B">
      <w:pPr>
        <w:pStyle w:val="NoSpacing"/>
      </w:pPr>
    </w:p>
    <w:p w14:paraId="618A193A" w14:textId="77777777" w:rsidR="007B366E" w:rsidRPr="004D3C0E" w:rsidRDefault="007B366E" w:rsidP="007B366E">
      <w:pPr>
        <w:spacing w:after="190" w:line="276" w:lineRule="auto"/>
        <w:ind w:left="-5" w:right="375"/>
        <w:rPr>
          <w:b/>
          <w:bCs/>
          <w:color w:val="auto"/>
          <w:sz w:val="22"/>
        </w:rPr>
      </w:pPr>
      <w:r w:rsidRPr="004D3C0E">
        <w:rPr>
          <w:b/>
          <w:bCs/>
          <w:color w:val="auto"/>
          <w:sz w:val="22"/>
        </w:rPr>
        <w:t>2. Literature Review</w:t>
      </w:r>
    </w:p>
    <w:p w14:paraId="09F6BFAF" w14:textId="59A49B6A" w:rsidR="007B366E" w:rsidRPr="00800413" w:rsidRDefault="007B366E" w:rsidP="007B366E">
      <w:pPr>
        <w:spacing w:line="276" w:lineRule="auto"/>
        <w:rPr>
          <w:b/>
          <w:bCs/>
          <w:color w:val="auto"/>
          <w:sz w:val="22"/>
        </w:rPr>
      </w:pPr>
      <w:r w:rsidRPr="00800413">
        <w:rPr>
          <w:b/>
          <w:bCs/>
          <w:color w:val="auto"/>
          <w:sz w:val="22"/>
        </w:rPr>
        <w:t xml:space="preserve">2.1 The Value Added Tax (VAT) </w:t>
      </w:r>
    </w:p>
    <w:p w14:paraId="3CFD8175" w14:textId="64E7C0D1" w:rsidR="007B366E" w:rsidRPr="004D3C0E" w:rsidRDefault="007B366E" w:rsidP="007347EB">
      <w:pPr>
        <w:spacing w:after="161" w:line="276" w:lineRule="auto"/>
        <w:ind w:left="-5" w:right="4" w:firstLine="5"/>
        <w:rPr>
          <w:color w:val="auto"/>
          <w:sz w:val="22"/>
        </w:rPr>
      </w:pPr>
      <w:bookmarkStart w:id="2" w:name="_Toc211545646"/>
      <w:r w:rsidRPr="004D3C0E">
        <w:rPr>
          <w:color w:val="auto"/>
          <w:sz w:val="22"/>
        </w:rPr>
        <w:t xml:space="preserve">Value Added Tax (VAT) is a consumption-based levy critical to modern tax systems. This is vital for ensuring a sustainable revenue framework. It provides governments with a steady source of funding for public goods and services, contributing significantly to economic development. Adhikari (2020) specified that Value Added Tax (VAT) is an indirect tax imposed on the value added to goods and services at each stage in the production and distribution chain. It forms part of the final price the consumer pays for goods or services. Unlike income taxes, VAT ensures neutrality by taxing consumption rather than income, which promotes broader compliance and efficiency (Chan et al., 2017; </w:t>
      </w:r>
      <w:proofErr w:type="spellStart"/>
      <w:r w:rsidRPr="004D3C0E">
        <w:rPr>
          <w:color w:val="auto"/>
          <w:sz w:val="22"/>
        </w:rPr>
        <w:t>Sok</w:t>
      </w:r>
      <w:proofErr w:type="spellEnd"/>
      <w:r w:rsidRPr="004D3C0E">
        <w:rPr>
          <w:color w:val="auto"/>
          <w:sz w:val="22"/>
        </w:rPr>
        <w:t xml:space="preserve">-Gee et al., 2021). Ghana adopted VAT in 1998 to replace the sales tax, aiming to enhance revenue </w:t>
      </w:r>
      <w:proofErr w:type="spellStart"/>
      <w:r w:rsidRPr="004D3C0E">
        <w:rPr>
          <w:color w:val="auto"/>
          <w:sz w:val="22"/>
        </w:rPr>
        <w:t>mobilisation</w:t>
      </w:r>
      <w:proofErr w:type="spellEnd"/>
      <w:r w:rsidRPr="004D3C0E">
        <w:rPr>
          <w:color w:val="auto"/>
          <w:sz w:val="22"/>
        </w:rPr>
        <w:t xml:space="preserve"> and broaden the tax base (</w:t>
      </w:r>
      <w:proofErr w:type="spellStart"/>
      <w:r w:rsidRPr="004D3C0E">
        <w:rPr>
          <w:color w:val="auto"/>
          <w:sz w:val="22"/>
        </w:rPr>
        <w:t>Bekoe</w:t>
      </w:r>
      <w:proofErr w:type="spellEnd"/>
      <w:r w:rsidRPr="004D3C0E">
        <w:rPr>
          <w:color w:val="auto"/>
          <w:sz w:val="22"/>
        </w:rPr>
        <w:t xml:space="preserve"> et al., 2016; Owusu-Gyimah, 2015).</w:t>
      </w:r>
      <w:r w:rsidR="00E4617B">
        <w:rPr>
          <w:color w:val="auto"/>
          <w:sz w:val="22"/>
        </w:rPr>
        <w:t xml:space="preserve"> </w:t>
      </w:r>
      <w:r w:rsidRPr="004D3C0E">
        <w:rPr>
          <w:color w:val="auto"/>
          <w:sz w:val="22"/>
        </w:rPr>
        <w:t xml:space="preserve">The tax's design allows businesses to claim input tax credits on VAT paid during production, ensuring the tax applies only to the value added. This reduces cascading effects and promotes fair competition among businesses (Obeng, 2018; </w:t>
      </w:r>
      <w:proofErr w:type="spellStart"/>
      <w:r w:rsidRPr="004D3C0E">
        <w:rPr>
          <w:color w:val="auto"/>
          <w:sz w:val="22"/>
        </w:rPr>
        <w:t>Orisadare</w:t>
      </w:r>
      <w:proofErr w:type="spellEnd"/>
      <w:r w:rsidRPr="004D3C0E">
        <w:rPr>
          <w:color w:val="auto"/>
          <w:sz w:val="22"/>
        </w:rPr>
        <w:t xml:space="preserve"> &amp; </w:t>
      </w:r>
      <w:proofErr w:type="spellStart"/>
      <w:r w:rsidRPr="004D3C0E">
        <w:rPr>
          <w:color w:val="auto"/>
          <w:sz w:val="22"/>
        </w:rPr>
        <w:t>Fasoye</w:t>
      </w:r>
      <w:proofErr w:type="spellEnd"/>
      <w:r w:rsidRPr="004D3C0E">
        <w:rPr>
          <w:color w:val="auto"/>
          <w:sz w:val="22"/>
        </w:rPr>
        <w:t>, 2022). Ghana's VAT framework has proven to be a robust mechanism for raising funds, accounting for a significant portion of domestic revenue (</w:t>
      </w:r>
      <w:proofErr w:type="spellStart"/>
      <w:r w:rsidRPr="004D3C0E">
        <w:rPr>
          <w:color w:val="auto"/>
          <w:sz w:val="22"/>
        </w:rPr>
        <w:t>Andoh</w:t>
      </w:r>
      <w:proofErr w:type="spellEnd"/>
      <w:r w:rsidRPr="004D3C0E">
        <w:rPr>
          <w:color w:val="auto"/>
          <w:sz w:val="22"/>
        </w:rPr>
        <w:t xml:space="preserve"> et al., 2019; </w:t>
      </w:r>
      <w:proofErr w:type="spellStart"/>
      <w:r w:rsidRPr="004D3C0E">
        <w:rPr>
          <w:color w:val="auto"/>
          <w:sz w:val="22"/>
        </w:rPr>
        <w:t>Takumah</w:t>
      </w:r>
      <w:proofErr w:type="spellEnd"/>
      <w:r w:rsidRPr="004D3C0E">
        <w:rPr>
          <w:color w:val="auto"/>
          <w:sz w:val="22"/>
        </w:rPr>
        <w:t xml:space="preserve"> &amp; </w:t>
      </w:r>
      <w:proofErr w:type="spellStart"/>
      <w:r w:rsidRPr="004D3C0E">
        <w:rPr>
          <w:color w:val="auto"/>
          <w:sz w:val="22"/>
        </w:rPr>
        <w:t>Iyke</w:t>
      </w:r>
      <w:proofErr w:type="spellEnd"/>
      <w:r w:rsidRPr="004D3C0E">
        <w:rPr>
          <w:color w:val="auto"/>
          <w:sz w:val="22"/>
        </w:rPr>
        <w:t>, 2017). However, VAT administration faces challenges, including compliance issues and resistance from some informal sector participants, which hinder optimal revenue generation (</w:t>
      </w:r>
      <w:proofErr w:type="spellStart"/>
      <w:r w:rsidRPr="004D3C0E">
        <w:rPr>
          <w:color w:val="auto"/>
          <w:sz w:val="22"/>
        </w:rPr>
        <w:t>Ameyaw</w:t>
      </w:r>
      <w:proofErr w:type="spellEnd"/>
      <w:r w:rsidRPr="004D3C0E">
        <w:rPr>
          <w:color w:val="auto"/>
          <w:sz w:val="22"/>
        </w:rPr>
        <w:t xml:space="preserve"> et al., 2016; </w:t>
      </w:r>
      <w:proofErr w:type="spellStart"/>
      <w:r w:rsidRPr="004D3C0E">
        <w:rPr>
          <w:color w:val="auto"/>
          <w:sz w:val="22"/>
        </w:rPr>
        <w:t>Peprah</w:t>
      </w:r>
      <w:proofErr w:type="spellEnd"/>
      <w:r w:rsidRPr="004D3C0E">
        <w:rPr>
          <w:color w:val="auto"/>
          <w:sz w:val="22"/>
        </w:rPr>
        <w:t xml:space="preserve"> et al., 2020). Addressing these issues is crucial for sustaining the tax system's effectiveness and long-term contribution to Ghana's economy (Frimpong, 2021; Nsubuga et al., 2017).</w:t>
      </w:r>
    </w:p>
    <w:p w14:paraId="645C391F" w14:textId="77777777" w:rsidR="007B366E" w:rsidRPr="004D3C0E" w:rsidRDefault="007B366E" w:rsidP="00DF2984">
      <w:pPr>
        <w:pStyle w:val="NoSpacing"/>
      </w:pPr>
    </w:p>
    <w:p w14:paraId="71F2681B" w14:textId="77777777" w:rsidR="007B366E" w:rsidRPr="004D3C0E" w:rsidRDefault="007B366E" w:rsidP="00E04118">
      <w:pPr>
        <w:pStyle w:val="NoSpacing"/>
      </w:pPr>
      <w:bookmarkStart w:id="3" w:name="_Toc211545647"/>
      <w:bookmarkEnd w:id="2"/>
    </w:p>
    <w:p w14:paraId="0A1598E0" w14:textId="352A529A" w:rsidR="007B366E" w:rsidRPr="007347EB" w:rsidRDefault="007B366E" w:rsidP="007B366E">
      <w:pPr>
        <w:spacing w:line="276" w:lineRule="auto"/>
        <w:rPr>
          <w:b/>
          <w:bCs/>
          <w:color w:val="auto"/>
          <w:sz w:val="22"/>
        </w:rPr>
      </w:pPr>
      <w:bookmarkStart w:id="4" w:name="_Toc211545648"/>
      <w:bookmarkEnd w:id="3"/>
      <w:r w:rsidRPr="007347EB">
        <w:rPr>
          <w:b/>
          <w:bCs/>
          <w:color w:val="auto"/>
          <w:sz w:val="22"/>
        </w:rPr>
        <w:t>2.</w:t>
      </w:r>
      <w:r w:rsidR="00E04118">
        <w:rPr>
          <w:b/>
          <w:bCs/>
          <w:color w:val="auto"/>
          <w:sz w:val="22"/>
        </w:rPr>
        <w:t>2</w:t>
      </w:r>
      <w:r w:rsidRPr="007347EB">
        <w:rPr>
          <w:b/>
          <w:bCs/>
          <w:color w:val="auto"/>
          <w:sz w:val="22"/>
        </w:rPr>
        <w:t xml:space="preserve"> Concept of Tax Administration</w:t>
      </w:r>
      <w:bookmarkEnd w:id="4"/>
      <w:r w:rsidRPr="007347EB">
        <w:rPr>
          <w:b/>
          <w:bCs/>
          <w:color w:val="auto"/>
          <w:sz w:val="22"/>
        </w:rPr>
        <w:t xml:space="preserve"> </w:t>
      </w:r>
    </w:p>
    <w:p w14:paraId="79967428" w14:textId="77777777" w:rsidR="007B366E" w:rsidRPr="004D3C0E" w:rsidRDefault="007B366E" w:rsidP="005A699F">
      <w:pPr>
        <w:spacing w:after="161" w:line="276" w:lineRule="auto"/>
        <w:ind w:left="-5" w:right="4"/>
        <w:rPr>
          <w:color w:val="auto"/>
          <w:sz w:val="22"/>
        </w:rPr>
      </w:pPr>
      <w:r w:rsidRPr="004D3C0E">
        <w:rPr>
          <w:color w:val="auto"/>
          <w:sz w:val="22"/>
        </w:rPr>
        <w:lastRenderedPageBreak/>
        <w:t xml:space="preserve">Tax administration refers to the </w:t>
      </w:r>
      <w:proofErr w:type="spellStart"/>
      <w:r w:rsidRPr="004D3C0E">
        <w:rPr>
          <w:color w:val="auto"/>
          <w:sz w:val="22"/>
        </w:rPr>
        <w:t>organised</w:t>
      </w:r>
      <w:proofErr w:type="spellEnd"/>
      <w:r w:rsidRPr="004D3C0E">
        <w:rPr>
          <w:color w:val="auto"/>
          <w:sz w:val="22"/>
        </w:rPr>
        <w:t xml:space="preserve"> processes, institutional structures, and mechanisms established by the government to assess, collect, and enforce tax laws. It serves as the operational arm of tax policy implementation, playing a critical role in ensuring that the objectives of taxation revenue generation, equity, and economic regulation are achieved. A sound tax administration system is key to promoting voluntary compliance, reducing tax evasion, and enhancing domestic revenue </w:t>
      </w:r>
      <w:proofErr w:type="spellStart"/>
      <w:r w:rsidRPr="004D3C0E">
        <w:rPr>
          <w:color w:val="auto"/>
          <w:sz w:val="22"/>
        </w:rPr>
        <w:t>mobilisation</w:t>
      </w:r>
      <w:proofErr w:type="spellEnd"/>
      <w:r w:rsidRPr="004D3C0E">
        <w:rPr>
          <w:color w:val="auto"/>
          <w:sz w:val="22"/>
        </w:rPr>
        <w:t xml:space="preserve"> (Bird, 2015; Frimpong, 2021). Effective tax administration involves a range of activities, including taxpayer registration, assessment, collection, auditing, enforcement, and dispute resolution (</w:t>
      </w:r>
      <w:proofErr w:type="spellStart"/>
      <w:r w:rsidRPr="004D3C0E">
        <w:rPr>
          <w:color w:val="auto"/>
          <w:sz w:val="22"/>
        </w:rPr>
        <w:t>Abiahu</w:t>
      </w:r>
      <w:proofErr w:type="spellEnd"/>
      <w:r w:rsidRPr="004D3C0E">
        <w:rPr>
          <w:color w:val="auto"/>
          <w:sz w:val="22"/>
        </w:rPr>
        <w:t xml:space="preserve"> et al., 2021).</w:t>
      </w:r>
    </w:p>
    <w:p w14:paraId="1BF317DF" w14:textId="77777777" w:rsidR="007B366E" w:rsidRPr="004D3C0E" w:rsidRDefault="007B366E" w:rsidP="005A699F">
      <w:pPr>
        <w:spacing w:after="161" w:line="276" w:lineRule="auto"/>
        <w:ind w:left="-5" w:right="4"/>
        <w:rPr>
          <w:color w:val="auto"/>
          <w:sz w:val="22"/>
        </w:rPr>
      </w:pPr>
      <w:r w:rsidRPr="004D3C0E">
        <w:rPr>
          <w:color w:val="auto"/>
          <w:sz w:val="22"/>
        </w:rPr>
        <w:t xml:space="preserve">According to Bird (2015), efficient tax administration should be guided by core principles, including transparency, fairness, efficiency, and accountability. These principles ensure that tax systems are not only effective but also promote public trust and </w:t>
      </w:r>
      <w:proofErr w:type="spellStart"/>
      <w:r w:rsidRPr="004D3C0E">
        <w:rPr>
          <w:color w:val="auto"/>
          <w:sz w:val="22"/>
        </w:rPr>
        <w:t>minimise</w:t>
      </w:r>
      <w:proofErr w:type="spellEnd"/>
      <w:r w:rsidRPr="004D3C0E">
        <w:rPr>
          <w:color w:val="auto"/>
          <w:sz w:val="22"/>
        </w:rPr>
        <w:t xml:space="preserve"> administrative costs. A transparent and accountable tax system improves taxpayer morale and encourages compliance, while fairness ensures that taxpayers are treated equitably under the law (Ibrahim et al., 2015; </w:t>
      </w:r>
      <w:proofErr w:type="spellStart"/>
      <w:r w:rsidRPr="004D3C0E">
        <w:rPr>
          <w:color w:val="auto"/>
          <w:sz w:val="22"/>
        </w:rPr>
        <w:t>Tafa</w:t>
      </w:r>
      <w:proofErr w:type="spellEnd"/>
      <w:r w:rsidRPr="004D3C0E">
        <w:rPr>
          <w:color w:val="auto"/>
          <w:sz w:val="22"/>
        </w:rPr>
        <w:t xml:space="preserve">, 2020). Efficiency in administration </w:t>
      </w:r>
      <w:proofErr w:type="spellStart"/>
      <w:r w:rsidRPr="004D3C0E">
        <w:rPr>
          <w:color w:val="auto"/>
          <w:sz w:val="22"/>
        </w:rPr>
        <w:t>minimises</w:t>
      </w:r>
      <w:proofErr w:type="spellEnd"/>
      <w:r w:rsidRPr="004D3C0E">
        <w:rPr>
          <w:color w:val="auto"/>
          <w:sz w:val="22"/>
        </w:rPr>
        <w:t xml:space="preserve"> leakages, reduces the cost of collection, and </w:t>
      </w:r>
      <w:proofErr w:type="spellStart"/>
      <w:r w:rsidRPr="004D3C0E">
        <w:rPr>
          <w:color w:val="auto"/>
          <w:sz w:val="22"/>
        </w:rPr>
        <w:t>maximises</w:t>
      </w:r>
      <w:proofErr w:type="spellEnd"/>
      <w:r w:rsidRPr="004D3C0E">
        <w:rPr>
          <w:color w:val="auto"/>
          <w:sz w:val="22"/>
        </w:rPr>
        <w:t xml:space="preserve"> the government's ability to raise revenue (</w:t>
      </w:r>
      <w:proofErr w:type="spellStart"/>
      <w:r w:rsidRPr="004D3C0E">
        <w:rPr>
          <w:color w:val="auto"/>
          <w:sz w:val="22"/>
        </w:rPr>
        <w:t>Cevik</w:t>
      </w:r>
      <w:proofErr w:type="spellEnd"/>
      <w:r w:rsidRPr="004D3C0E">
        <w:rPr>
          <w:color w:val="auto"/>
          <w:sz w:val="22"/>
        </w:rPr>
        <w:t xml:space="preserve"> et al., 2019; De la Feria &amp; Schoeman, 2019). Hence, a well-functioning tax system anchors its governance arrangements in law, highlighting that robust legal design is essential for ensuring fairness, transparency, and efficiency in tax administration (</w:t>
      </w:r>
      <w:proofErr w:type="spellStart"/>
      <w:r w:rsidRPr="004D3C0E">
        <w:rPr>
          <w:color w:val="auto"/>
          <w:sz w:val="22"/>
        </w:rPr>
        <w:t>Abiahu</w:t>
      </w:r>
      <w:proofErr w:type="spellEnd"/>
      <w:r w:rsidRPr="004D3C0E">
        <w:rPr>
          <w:color w:val="auto"/>
          <w:sz w:val="22"/>
        </w:rPr>
        <w:t xml:space="preserve"> et al., 2021; </w:t>
      </w:r>
      <w:proofErr w:type="spellStart"/>
      <w:r w:rsidRPr="004D3C0E">
        <w:rPr>
          <w:color w:val="auto"/>
          <w:sz w:val="22"/>
        </w:rPr>
        <w:t>Amidu</w:t>
      </w:r>
      <w:proofErr w:type="spellEnd"/>
      <w:r w:rsidRPr="004D3C0E">
        <w:rPr>
          <w:color w:val="auto"/>
          <w:sz w:val="22"/>
        </w:rPr>
        <w:t xml:space="preserve"> et al., 2024).</w:t>
      </w:r>
    </w:p>
    <w:p w14:paraId="57E78ADF" w14:textId="77777777" w:rsidR="007B366E" w:rsidRPr="004D3C0E" w:rsidRDefault="007B366E" w:rsidP="005A699F">
      <w:pPr>
        <w:spacing w:after="161" w:line="276" w:lineRule="auto"/>
        <w:ind w:left="-5" w:right="4"/>
        <w:rPr>
          <w:color w:val="auto"/>
          <w:sz w:val="22"/>
        </w:rPr>
      </w:pPr>
      <w:r w:rsidRPr="004D3C0E">
        <w:rPr>
          <w:color w:val="auto"/>
          <w:sz w:val="22"/>
        </w:rPr>
        <w:t>In Ghana, tax administration is the responsibility of the Ghana Revenue Authority (GRA), which was established under the Ghana Revenue Authority Act, 2009 (Act 791). The GRA consolidates the operations of the Internal Revenue Service, the Customs, Excise and Preventive Service (CEPS), and the VAT Service into a single entity. It administers various taxes, including income tax, corporate tax, customs duties, and Value Added Tax (VAT) (</w:t>
      </w:r>
      <w:proofErr w:type="spellStart"/>
      <w:r w:rsidRPr="004D3C0E">
        <w:rPr>
          <w:color w:val="auto"/>
          <w:sz w:val="22"/>
        </w:rPr>
        <w:t>Bekoe</w:t>
      </w:r>
      <w:proofErr w:type="spellEnd"/>
      <w:r w:rsidRPr="004D3C0E">
        <w:rPr>
          <w:color w:val="auto"/>
          <w:sz w:val="22"/>
        </w:rPr>
        <w:t xml:space="preserve"> et al., 2016; </w:t>
      </w:r>
      <w:proofErr w:type="spellStart"/>
      <w:r w:rsidRPr="004D3C0E">
        <w:rPr>
          <w:color w:val="auto"/>
          <w:sz w:val="22"/>
        </w:rPr>
        <w:t>Ohemeng</w:t>
      </w:r>
      <w:proofErr w:type="spellEnd"/>
      <w:r w:rsidRPr="004D3C0E">
        <w:rPr>
          <w:color w:val="auto"/>
          <w:sz w:val="22"/>
        </w:rPr>
        <w:t xml:space="preserve"> &amp; Owusu, 2015). Through its Domestic Tax Revenue Division (DTRD) and Customs Division, the GRA is tasked with enforcing tax laws, collecting taxes, educating taxpayers, and addressing tax-related grievances (</w:t>
      </w:r>
      <w:proofErr w:type="spellStart"/>
      <w:r w:rsidRPr="004D3C0E">
        <w:rPr>
          <w:color w:val="auto"/>
          <w:sz w:val="22"/>
        </w:rPr>
        <w:t>Abubakari</w:t>
      </w:r>
      <w:proofErr w:type="spellEnd"/>
      <w:r w:rsidRPr="004D3C0E">
        <w:rPr>
          <w:color w:val="auto"/>
          <w:sz w:val="22"/>
        </w:rPr>
        <w:t xml:space="preserve"> et al., 2024; Frimpong, 2021).</w:t>
      </w:r>
    </w:p>
    <w:p w14:paraId="44572FA7" w14:textId="7C4EFE25" w:rsidR="007B366E" w:rsidRPr="004D3C0E" w:rsidRDefault="007B366E" w:rsidP="005A699F">
      <w:pPr>
        <w:spacing w:after="161" w:line="276" w:lineRule="auto"/>
        <w:ind w:left="-5" w:right="4"/>
        <w:rPr>
          <w:color w:val="auto"/>
          <w:sz w:val="22"/>
        </w:rPr>
      </w:pPr>
      <w:r w:rsidRPr="004D3C0E">
        <w:rPr>
          <w:color w:val="auto"/>
          <w:sz w:val="22"/>
        </w:rPr>
        <w:t>However, tax administration in Ghana faces several challenges. These include limited technological infrastructure, low taxpayer compliance, weak enforcement mechanisms, and inadequate capacity to manage a growing and increasingly complex tax base (Agyei-</w:t>
      </w:r>
      <w:proofErr w:type="spellStart"/>
      <w:r w:rsidRPr="004D3C0E">
        <w:rPr>
          <w:color w:val="auto"/>
          <w:sz w:val="22"/>
        </w:rPr>
        <w:t>Ababio</w:t>
      </w:r>
      <w:proofErr w:type="spellEnd"/>
      <w:r w:rsidRPr="004D3C0E">
        <w:rPr>
          <w:color w:val="auto"/>
          <w:sz w:val="22"/>
        </w:rPr>
        <w:t xml:space="preserve"> et al., 2023; Nsubuga et al., 2017). Additionally, the large informal sector presents significant barriers to effective VAT administration, as many businesses operate outside the formal tax net (</w:t>
      </w:r>
      <w:proofErr w:type="spellStart"/>
      <w:r w:rsidRPr="004D3C0E">
        <w:rPr>
          <w:color w:val="auto"/>
          <w:sz w:val="22"/>
        </w:rPr>
        <w:t>Ameyaw</w:t>
      </w:r>
      <w:proofErr w:type="spellEnd"/>
      <w:r w:rsidRPr="004D3C0E">
        <w:rPr>
          <w:color w:val="auto"/>
          <w:sz w:val="22"/>
        </w:rPr>
        <w:t xml:space="preserve"> et al., 2015; </w:t>
      </w:r>
      <w:proofErr w:type="spellStart"/>
      <w:r w:rsidRPr="004D3C0E">
        <w:rPr>
          <w:color w:val="auto"/>
          <w:sz w:val="22"/>
        </w:rPr>
        <w:t>Peprah</w:t>
      </w:r>
      <w:proofErr w:type="spellEnd"/>
      <w:r w:rsidRPr="004D3C0E">
        <w:rPr>
          <w:color w:val="auto"/>
          <w:sz w:val="22"/>
        </w:rPr>
        <w:t xml:space="preserve"> et al., 2020). Addressing these challenges requires reforms that </w:t>
      </w:r>
      <w:proofErr w:type="spellStart"/>
      <w:r w:rsidRPr="004D3C0E">
        <w:rPr>
          <w:color w:val="auto"/>
          <w:sz w:val="22"/>
        </w:rPr>
        <w:t>emphasise</w:t>
      </w:r>
      <w:proofErr w:type="spellEnd"/>
      <w:r w:rsidRPr="004D3C0E">
        <w:rPr>
          <w:color w:val="auto"/>
          <w:sz w:val="22"/>
        </w:rPr>
        <w:t xml:space="preserve"> </w:t>
      </w:r>
      <w:proofErr w:type="spellStart"/>
      <w:r w:rsidRPr="004D3C0E">
        <w:rPr>
          <w:color w:val="auto"/>
          <w:sz w:val="22"/>
        </w:rPr>
        <w:t>digitalisation</w:t>
      </w:r>
      <w:proofErr w:type="spellEnd"/>
      <w:r w:rsidRPr="004D3C0E">
        <w:rPr>
          <w:color w:val="auto"/>
          <w:sz w:val="22"/>
        </w:rPr>
        <w:t>, taxpayer education, and capacity building among GRA staff (</w:t>
      </w:r>
      <w:proofErr w:type="spellStart"/>
      <w:r w:rsidRPr="004D3C0E">
        <w:rPr>
          <w:color w:val="auto"/>
          <w:sz w:val="22"/>
        </w:rPr>
        <w:t>Abubakari</w:t>
      </w:r>
      <w:proofErr w:type="spellEnd"/>
      <w:r w:rsidRPr="004D3C0E">
        <w:rPr>
          <w:color w:val="auto"/>
          <w:sz w:val="22"/>
        </w:rPr>
        <w:t xml:space="preserve"> et al., 2024; Mohammed et al., 2023).</w:t>
      </w:r>
      <w:r w:rsidR="007347EB">
        <w:rPr>
          <w:color w:val="auto"/>
          <w:sz w:val="22"/>
        </w:rPr>
        <w:t xml:space="preserve"> </w:t>
      </w:r>
      <w:r w:rsidRPr="004D3C0E">
        <w:rPr>
          <w:color w:val="auto"/>
          <w:sz w:val="22"/>
        </w:rPr>
        <w:t xml:space="preserve">Understanding the concept and function of tax administration is essential to evaluating the effectiveness of VAT implementation in Ghana. Since VAT plays a major role in domestic revenue </w:t>
      </w:r>
      <w:proofErr w:type="spellStart"/>
      <w:r w:rsidRPr="004D3C0E">
        <w:rPr>
          <w:color w:val="auto"/>
          <w:sz w:val="22"/>
        </w:rPr>
        <w:t>mobilisation</w:t>
      </w:r>
      <w:proofErr w:type="spellEnd"/>
      <w:r w:rsidRPr="004D3C0E">
        <w:rPr>
          <w:color w:val="auto"/>
          <w:sz w:val="22"/>
        </w:rPr>
        <w:t>, the performance of the GRA in administering this tax directly influences the overall efficiency of the country's tax system (</w:t>
      </w:r>
      <w:proofErr w:type="spellStart"/>
      <w:r w:rsidRPr="004D3C0E">
        <w:rPr>
          <w:color w:val="auto"/>
          <w:sz w:val="22"/>
        </w:rPr>
        <w:t>Andoh</w:t>
      </w:r>
      <w:proofErr w:type="spellEnd"/>
      <w:r w:rsidRPr="004D3C0E">
        <w:rPr>
          <w:color w:val="auto"/>
          <w:sz w:val="22"/>
        </w:rPr>
        <w:t xml:space="preserve"> et al., 2019; </w:t>
      </w:r>
      <w:proofErr w:type="spellStart"/>
      <w:r w:rsidRPr="004D3C0E">
        <w:rPr>
          <w:color w:val="auto"/>
          <w:sz w:val="22"/>
        </w:rPr>
        <w:t>Wawire</w:t>
      </w:r>
      <w:proofErr w:type="spellEnd"/>
      <w:r w:rsidRPr="004D3C0E">
        <w:rPr>
          <w:color w:val="auto"/>
          <w:sz w:val="22"/>
        </w:rPr>
        <w:t>, 2017). As such, an assessment of VAT's impact on tax administration must consider not only policy design but also the institutional capability of the authority tasked with its implementation (</w:t>
      </w:r>
      <w:proofErr w:type="spellStart"/>
      <w:r w:rsidRPr="004D3C0E">
        <w:rPr>
          <w:color w:val="auto"/>
          <w:sz w:val="22"/>
        </w:rPr>
        <w:t>Ohemeng</w:t>
      </w:r>
      <w:proofErr w:type="spellEnd"/>
      <w:r w:rsidRPr="004D3C0E">
        <w:rPr>
          <w:color w:val="auto"/>
          <w:sz w:val="22"/>
        </w:rPr>
        <w:t xml:space="preserve"> &amp; Owusu, 2015; </w:t>
      </w:r>
      <w:proofErr w:type="spellStart"/>
      <w:r w:rsidRPr="004D3C0E">
        <w:rPr>
          <w:color w:val="auto"/>
          <w:sz w:val="22"/>
        </w:rPr>
        <w:t>Tafa</w:t>
      </w:r>
      <w:proofErr w:type="spellEnd"/>
      <w:r w:rsidRPr="004D3C0E">
        <w:rPr>
          <w:color w:val="auto"/>
          <w:sz w:val="22"/>
        </w:rPr>
        <w:t xml:space="preserve">, 2020). </w:t>
      </w:r>
    </w:p>
    <w:p w14:paraId="26A66FAF" w14:textId="1BF8BB40" w:rsidR="007B366E" w:rsidRPr="007347EB" w:rsidRDefault="007B366E" w:rsidP="007B366E">
      <w:pPr>
        <w:spacing w:line="276" w:lineRule="auto"/>
        <w:rPr>
          <w:b/>
          <w:bCs/>
          <w:color w:val="auto"/>
          <w:sz w:val="22"/>
        </w:rPr>
      </w:pPr>
      <w:r w:rsidRPr="007347EB">
        <w:rPr>
          <w:b/>
          <w:bCs/>
          <w:color w:val="auto"/>
          <w:sz w:val="22"/>
        </w:rPr>
        <w:t>2.</w:t>
      </w:r>
      <w:r w:rsidR="00210B70" w:rsidRPr="007347EB">
        <w:rPr>
          <w:b/>
          <w:bCs/>
          <w:color w:val="auto"/>
          <w:sz w:val="22"/>
        </w:rPr>
        <w:t>3</w:t>
      </w:r>
      <w:r w:rsidRPr="007347EB">
        <w:rPr>
          <w:b/>
          <w:bCs/>
          <w:color w:val="auto"/>
          <w:sz w:val="22"/>
        </w:rPr>
        <w:t xml:space="preserve"> VAT Structure and Collection Trends in Ghana</w:t>
      </w:r>
    </w:p>
    <w:p w14:paraId="06AE1790" w14:textId="77777777" w:rsidR="00227C49" w:rsidRPr="007347EB" w:rsidRDefault="00227C49" w:rsidP="00227C49">
      <w:pPr>
        <w:spacing w:line="276" w:lineRule="auto"/>
        <w:rPr>
          <w:color w:val="auto"/>
          <w:sz w:val="22"/>
          <w:lang w:val="en-GB"/>
        </w:rPr>
      </w:pPr>
      <w:bookmarkStart w:id="5" w:name="_Toc211545661"/>
      <w:r w:rsidRPr="007347EB">
        <w:rPr>
          <w:color w:val="auto"/>
          <w:sz w:val="22"/>
          <w:lang w:val="en-GB"/>
        </w:rPr>
        <w:t>Ghana’s Value Added Tax (VAT) system operates under a multi-rate structure designed to balance revenue mobilisation with equity considerations. The standard VAT rate of 12.5%, when combined with the National Health Insurance Levy (2.5%) and the Ghana Education Trust Fund Levy (2.5%), results in an effective rate of 17.5% (</w:t>
      </w:r>
      <w:proofErr w:type="spellStart"/>
      <w:r w:rsidRPr="007347EB">
        <w:rPr>
          <w:color w:val="auto"/>
          <w:sz w:val="22"/>
          <w:lang w:val="en-GB"/>
        </w:rPr>
        <w:t>Andoh</w:t>
      </w:r>
      <w:proofErr w:type="spellEnd"/>
      <w:r w:rsidRPr="007347EB">
        <w:rPr>
          <w:color w:val="auto"/>
          <w:sz w:val="22"/>
          <w:lang w:val="en-GB"/>
        </w:rPr>
        <w:t xml:space="preserve"> et al., 2019; </w:t>
      </w:r>
      <w:proofErr w:type="spellStart"/>
      <w:r w:rsidRPr="007347EB">
        <w:rPr>
          <w:color w:val="auto"/>
          <w:sz w:val="22"/>
          <w:lang w:val="en-GB"/>
        </w:rPr>
        <w:t>Bekoe</w:t>
      </w:r>
      <w:proofErr w:type="spellEnd"/>
      <w:r w:rsidRPr="007347EB">
        <w:rPr>
          <w:color w:val="auto"/>
          <w:sz w:val="22"/>
          <w:lang w:val="en-GB"/>
        </w:rPr>
        <w:t xml:space="preserve"> et al., 2016). Reduced and zero-rated provisions apply primarily to essential goods and services such as food, education, healthcare, and exports, thereby </w:t>
      </w:r>
      <w:r w:rsidRPr="007347EB">
        <w:rPr>
          <w:color w:val="auto"/>
          <w:sz w:val="22"/>
          <w:lang w:val="en-GB"/>
        </w:rPr>
        <w:lastRenderedPageBreak/>
        <w:t>supporting affordability for low-income households and enhancing export competitiveness through input tax refunds (</w:t>
      </w:r>
      <w:proofErr w:type="spellStart"/>
      <w:r w:rsidRPr="007347EB">
        <w:rPr>
          <w:color w:val="auto"/>
          <w:sz w:val="22"/>
          <w:lang w:val="en-GB"/>
        </w:rPr>
        <w:t>Andoh</w:t>
      </w:r>
      <w:proofErr w:type="spellEnd"/>
      <w:r w:rsidRPr="007347EB">
        <w:rPr>
          <w:color w:val="auto"/>
          <w:sz w:val="22"/>
          <w:lang w:val="en-GB"/>
        </w:rPr>
        <w:t xml:space="preserve"> &amp; Nkrumah, 2022; Obeng, 2018; Oppong &amp; James, 2016).</w:t>
      </w:r>
    </w:p>
    <w:p w14:paraId="7CC8460F" w14:textId="781AA4F8" w:rsidR="00227C49" w:rsidRPr="007347EB" w:rsidRDefault="00227C49" w:rsidP="00227C49">
      <w:pPr>
        <w:spacing w:line="276" w:lineRule="auto"/>
        <w:rPr>
          <w:color w:val="auto"/>
          <w:sz w:val="22"/>
          <w:lang w:val="en-GB"/>
        </w:rPr>
      </w:pPr>
      <w:r w:rsidRPr="007347EB">
        <w:rPr>
          <w:color w:val="auto"/>
          <w:sz w:val="22"/>
          <w:lang w:val="en-GB"/>
        </w:rPr>
        <w:t>In recent years, administrative reforms, particularly the digitalisation of VAT processes through platforms such as the Ghana Integrated Tax Application System (GITAS) have improved efficiency, compliance monitoring, and revenue transparency. These reforms have streamlined filing procedures, reduced administrative burdens, and strengthened audit capabilities, contributing to improved VAT performance (</w:t>
      </w:r>
      <w:proofErr w:type="spellStart"/>
      <w:r w:rsidRPr="007347EB">
        <w:rPr>
          <w:color w:val="auto"/>
          <w:sz w:val="22"/>
          <w:lang w:val="en-GB"/>
        </w:rPr>
        <w:t>Abubakari</w:t>
      </w:r>
      <w:proofErr w:type="spellEnd"/>
      <w:r w:rsidRPr="007347EB">
        <w:rPr>
          <w:color w:val="auto"/>
          <w:sz w:val="22"/>
          <w:lang w:val="en-GB"/>
        </w:rPr>
        <w:t xml:space="preserve"> et al., 2024; Agyei-</w:t>
      </w:r>
      <w:proofErr w:type="spellStart"/>
      <w:r w:rsidRPr="007347EB">
        <w:rPr>
          <w:color w:val="auto"/>
          <w:sz w:val="22"/>
          <w:lang w:val="en-GB"/>
        </w:rPr>
        <w:t>Ababio</w:t>
      </w:r>
      <w:proofErr w:type="spellEnd"/>
      <w:r w:rsidRPr="007347EB">
        <w:rPr>
          <w:color w:val="auto"/>
          <w:sz w:val="22"/>
          <w:lang w:val="en-GB"/>
        </w:rPr>
        <w:t xml:space="preserve"> et al., 2023). VAT revenue trends mirror Ghana’s broader economic and institutional developments. Between 2013 and 2019, VAT collections grew steadily, driven by economic expansion and enhanced enforcement mechanisms (</w:t>
      </w:r>
      <w:proofErr w:type="spellStart"/>
      <w:r w:rsidRPr="007347EB">
        <w:rPr>
          <w:color w:val="auto"/>
          <w:sz w:val="22"/>
          <w:lang w:val="en-GB"/>
        </w:rPr>
        <w:t>Andoh</w:t>
      </w:r>
      <w:proofErr w:type="spellEnd"/>
      <w:r w:rsidRPr="007347EB">
        <w:rPr>
          <w:color w:val="auto"/>
          <w:sz w:val="22"/>
          <w:lang w:val="en-GB"/>
        </w:rPr>
        <w:t xml:space="preserve"> et al., 2019; Ofori et al., 2021). This upward trajectory was temporarily disrupted in 2020 due to the COVID-19 pandemic, which reduced consumption and economic activity (</w:t>
      </w:r>
      <w:proofErr w:type="spellStart"/>
      <w:r w:rsidRPr="007347EB">
        <w:rPr>
          <w:color w:val="auto"/>
          <w:sz w:val="22"/>
          <w:lang w:val="en-GB"/>
        </w:rPr>
        <w:t>Abane</w:t>
      </w:r>
      <w:proofErr w:type="spellEnd"/>
      <w:r w:rsidRPr="007347EB">
        <w:rPr>
          <w:color w:val="auto"/>
          <w:sz w:val="22"/>
          <w:lang w:val="en-GB"/>
        </w:rPr>
        <w:t xml:space="preserve"> et al., 2023; </w:t>
      </w:r>
      <w:proofErr w:type="spellStart"/>
      <w:r w:rsidRPr="007347EB">
        <w:rPr>
          <w:color w:val="auto"/>
          <w:sz w:val="22"/>
          <w:lang w:val="en-GB"/>
        </w:rPr>
        <w:t>Omodero</w:t>
      </w:r>
      <w:proofErr w:type="spellEnd"/>
      <w:r w:rsidRPr="007347EB">
        <w:rPr>
          <w:color w:val="auto"/>
          <w:sz w:val="22"/>
          <w:lang w:val="en-GB"/>
        </w:rPr>
        <w:t>, 2022). Post-pandemic recovery, supported by strengthened audits, VAT withholding arrangements, and digital compliance tools, has restored growth in VAT revenues. By 2023, VAT accounted for approximately 20% of Ghana’s total tax revenue, highlighting its central role in domestic revenue mobilisation (</w:t>
      </w:r>
      <w:proofErr w:type="spellStart"/>
      <w:r w:rsidRPr="007347EB">
        <w:rPr>
          <w:color w:val="auto"/>
          <w:sz w:val="22"/>
          <w:lang w:val="en-GB"/>
        </w:rPr>
        <w:t>Takumah</w:t>
      </w:r>
      <w:proofErr w:type="spellEnd"/>
      <w:r w:rsidRPr="007347EB">
        <w:rPr>
          <w:color w:val="auto"/>
          <w:sz w:val="22"/>
          <w:lang w:val="en-GB"/>
        </w:rPr>
        <w:t xml:space="preserve"> &amp; </w:t>
      </w:r>
      <w:proofErr w:type="spellStart"/>
      <w:r w:rsidRPr="007347EB">
        <w:rPr>
          <w:color w:val="auto"/>
          <w:sz w:val="22"/>
          <w:lang w:val="en-GB"/>
        </w:rPr>
        <w:t>Iyke</w:t>
      </w:r>
      <w:proofErr w:type="spellEnd"/>
      <w:r w:rsidRPr="007347EB">
        <w:rPr>
          <w:color w:val="auto"/>
          <w:sz w:val="22"/>
          <w:lang w:val="en-GB"/>
        </w:rPr>
        <w:t>, 2017).</w:t>
      </w:r>
    </w:p>
    <w:p w14:paraId="2A34A82F" w14:textId="71A19895" w:rsidR="00227C49" w:rsidRPr="007347EB" w:rsidRDefault="00227C49" w:rsidP="00227C49">
      <w:pPr>
        <w:spacing w:line="276" w:lineRule="auto"/>
        <w:rPr>
          <w:color w:val="auto"/>
          <w:sz w:val="22"/>
          <w:lang w:val="en-GB"/>
        </w:rPr>
      </w:pPr>
      <w:r w:rsidRPr="007347EB">
        <w:rPr>
          <w:color w:val="auto"/>
          <w:sz w:val="22"/>
          <w:lang w:val="en-GB"/>
        </w:rPr>
        <w:t>Despite these improvements, persistent challenges remain. Compliance within the informal sector continues to constrain revenue potential, while inefficiencies in refund processing affect business liquidity and taxpayer confidence (</w:t>
      </w:r>
      <w:proofErr w:type="spellStart"/>
      <w:r w:rsidRPr="007347EB">
        <w:rPr>
          <w:color w:val="auto"/>
          <w:sz w:val="22"/>
          <w:lang w:val="en-GB"/>
        </w:rPr>
        <w:t>Ameyaw</w:t>
      </w:r>
      <w:proofErr w:type="spellEnd"/>
      <w:r w:rsidRPr="007347EB">
        <w:rPr>
          <w:color w:val="auto"/>
          <w:sz w:val="22"/>
          <w:lang w:val="en-GB"/>
        </w:rPr>
        <w:t xml:space="preserve"> et al., 2016; </w:t>
      </w:r>
      <w:proofErr w:type="spellStart"/>
      <w:r w:rsidRPr="007347EB">
        <w:rPr>
          <w:color w:val="auto"/>
          <w:sz w:val="22"/>
          <w:lang w:val="en-GB"/>
        </w:rPr>
        <w:t>Yesegat</w:t>
      </w:r>
      <w:proofErr w:type="spellEnd"/>
      <w:r w:rsidRPr="007347EB">
        <w:rPr>
          <w:color w:val="auto"/>
          <w:sz w:val="22"/>
          <w:lang w:val="en-GB"/>
        </w:rPr>
        <w:t xml:space="preserve"> &amp; Joseph, 2017). Addressing these issues through targeted reforms, particularly those tailored to informal economic actors and refund administration</w:t>
      </w:r>
      <w:r w:rsidR="007347EB" w:rsidRPr="007347EB">
        <w:rPr>
          <w:color w:val="auto"/>
          <w:sz w:val="22"/>
          <w:lang w:val="en-GB"/>
        </w:rPr>
        <w:t xml:space="preserve"> </w:t>
      </w:r>
      <w:r w:rsidRPr="007347EB">
        <w:rPr>
          <w:color w:val="auto"/>
          <w:sz w:val="22"/>
          <w:lang w:val="en-GB"/>
        </w:rPr>
        <w:t>remains critical to enhancing the effectiveness and sustainability of Ghana’s VAT system (</w:t>
      </w:r>
      <w:proofErr w:type="spellStart"/>
      <w:r w:rsidRPr="007347EB">
        <w:rPr>
          <w:color w:val="auto"/>
          <w:sz w:val="22"/>
          <w:lang w:val="en-GB"/>
        </w:rPr>
        <w:t>Brockmeyer</w:t>
      </w:r>
      <w:proofErr w:type="spellEnd"/>
      <w:r w:rsidRPr="007347EB">
        <w:rPr>
          <w:color w:val="auto"/>
          <w:sz w:val="22"/>
          <w:lang w:val="en-GB"/>
        </w:rPr>
        <w:t xml:space="preserve"> et al., 2024; De la Feria &amp; Schoeman, 2019).</w:t>
      </w:r>
    </w:p>
    <w:p w14:paraId="60679672" w14:textId="77777777" w:rsidR="007B366E" w:rsidRPr="004D3C0E" w:rsidRDefault="007B366E" w:rsidP="007B366E">
      <w:pPr>
        <w:spacing w:line="276" w:lineRule="auto"/>
        <w:rPr>
          <w:color w:val="auto"/>
          <w:sz w:val="22"/>
        </w:rPr>
      </w:pPr>
    </w:p>
    <w:p w14:paraId="2FCB1A83" w14:textId="1C83876D" w:rsidR="007B366E" w:rsidRPr="007347EB" w:rsidRDefault="007B366E" w:rsidP="007B366E">
      <w:pPr>
        <w:spacing w:line="276" w:lineRule="auto"/>
        <w:rPr>
          <w:b/>
          <w:bCs/>
          <w:color w:val="auto"/>
          <w:sz w:val="22"/>
        </w:rPr>
      </w:pPr>
      <w:bookmarkStart w:id="6" w:name="_Toc211545663"/>
      <w:bookmarkEnd w:id="5"/>
      <w:r w:rsidRPr="007347EB">
        <w:rPr>
          <w:b/>
          <w:bCs/>
          <w:color w:val="auto"/>
          <w:sz w:val="22"/>
        </w:rPr>
        <w:t>2.</w:t>
      </w:r>
      <w:r w:rsidR="007347EB" w:rsidRPr="007347EB">
        <w:rPr>
          <w:b/>
          <w:bCs/>
          <w:color w:val="auto"/>
          <w:sz w:val="22"/>
        </w:rPr>
        <w:t>4</w:t>
      </w:r>
      <w:r w:rsidRPr="007347EB">
        <w:rPr>
          <w:b/>
          <w:bCs/>
          <w:color w:val="auto"/>
          <w:sz w:val="22"/>
        </w:rPr>
        <w:t xml:space="preserve"> VAT Administration and Efficiency</w:t>
      </w:r>
      <w:bookmarkEnd w:id="6"/>
      <w:r w:rsidRPr="007347EB">
        <w:rPr>
          <w:b/>
          <w:bCs/>
          <w:color w:val="auto"/>
          <w:sz w:val="22"/>
        </w:rPr>
        <w:t xml:space="preserve"> </w:t>
      </w:r>
    </w:p>
    <w:p w14:paraId="1DC4E530" w14:textId="77777777" w:rsidR="007B366E" w:rsidRPr="004D3C0E" w:rsidRDefault="007B366E" w:rsidP="00DC2780">
      <w:pPr>
        <w:spacing w:after="161" w:line="276" w:lineRule="auto"/>
        <w:ind w:left="-5" w:right="4"/>
        <w:rPr>
          <w:color w:val="auto"/>
          <w:sz w:val="22"/>
        </w:rPr>
      </w:pPr>
      <w:r w:rsidRPr="004D3C0E">
        <w:rPr>
          <w:color w:val="auto"/>
          <w:sz w:val="22"/>
        </w:rPr>
        <w:t xml:space="preserve">VAT administration is a cornerstone of Ghana's tax system, significantly contributing to revenue generation and economic governance. Effective VAT administration relies on robust frameworks that encompass policy formulation, compliance enforcement, and technological systems. The efficiency of VAT administration directly affects revenue </w:t>
      </w:r>
      <w:proofErr w:type="spellStart"/>
      <w:r w:rsidRPr="004D3C0E">
        <w:rPr>
          <w:color w:val="auto"/>
          <w:sz w:val="22"/>
        </w:rPr>
        <w:t>mobilisation</w:t>
      </w:r>
      <w:proofErr w:type="spellEnd"/>
      <w:r w:rsidRPr="004D3C0E">
        <w:rPr>
          <w:color w:val="auto"/>
          <w:sz w:val="22"/>
        </w:rPr>
        <w:t xml:space="preserve">, compliance rates, and public trust in the tax system (Bird, 2015; Frimpong, 2021). Efficient VAT administration </w:t>
      </w:r>
      <w:proofErr w:type="spellStart"/>
      <w:r w:rsidRPr="004D3C0E">
        <w:rPr>
          <w:color w:val="auto"/>
          <w:sz w:val="22"/>
        </w:rPr>
        <w:t>minimises</w:t>
      </w:r>
      <w:proofErr w:type="spellEnd"/>
      <w:r w:rsidRPr="004D3C0E">
        <w:rPr>
          <w:color w:val="auto"/>
          <w:sz w:val="22"/>
        </w:rPr>
        <w:t xml:space="preserve"> administrative costs while </w:t>
      </w:r>
      <w:proofErr w:type="spellStart"/>
      <w:r w:rsidRPr="004D3C0E">
        <w:rPr>
          <w:color w:val="auto"/>
          <w:sz w:val="22"/>
        </w:rPr>
        <w:t>maximising</w:t>
      </w:r>
      <w:proofErr w:type="spellEnd"/>
      <w:r w:rsidRPr="004D3C0E">
        <w:rPr>
          <w:color w:val="auto"/>
          <w:sz w:val="22"/>
        </w:rPr>
        <w:t xml:space="preserve"> revenue collection. For instance, the Ghana Revenue Authority (GRA) has adopted technology-driven initiatives, such as the Ghana Integrated Tax Application System (GITAS), to streamline tax collection processes and reduce inefficiencies (</w:t>
      </w:r>
      <w:proofErr w:type="spellStart"/>
      <w:r w:rsidRPr="004D3C0E">
        <w:rPr>
          <w:color w:val="auto"/>
          <w:sz w:val="22"/>
        </w:rPr>
        <w:t>Abubakari</w:t>
      </w:r>
      <w:proofErr w:type="spellEnd"/>
      <w:r w:rsidRPr="004D3C0E">
        <w:rPr>
          <w:color w:val="auto"/>
          <w:sz w:val="22"/>
        </w:rPr>
        <w:t xml:space="preserve"> et al., 2024; Agyei-</w:t>
      </w:r>
      <w:proofErr w:type="spellStart"/>
      <w:r w:rsidRPr="004D3C0E">
        <w:rPr>
          <w:color w:val="auto"/>
          <w:sz w:val="22"/>
        </w:rPr>
        <w:t>Ababio</w:t>
      </w:r>
      <w:proofErr w:type="spellEnd"/>
      <w:r w:rsidRPr="004D3C0E">
        <w:rPr>
          <w:color w:val="auto"/>
          <w:sz w:val="22"/>
        </w:rPr>
        <w:t xml:space="preserve"> et al., 2023). Furthermore, these systems have enabled real-time monitoring of taxpayer activities, reducing instances of fraud and tax evasion (De la Feria &amp; Schoeman, 2019; Mohammed et al., 2023).</w:t>
      </w:r>
    </w:p>
    <w:p w14:paraId="259934DC" w14:textId="77777777" w:rsidR="007B366E" w:rsidRPr="004D3C0E" w:rsidRDefault="007B366E" w:rsidP="00DC2780">
      <w:pPr>
        <w:spacing w:after="161" w:line="276" w:lineRule="auto"/>
        <w:ind w:left="-5" w:right="4"/>
        <w:rPr>
          <w:color w:val="auto"/>
          <w:sz w:val="22"/>
        </w:rPr>
      </w:pPr>
      <w:r w:rsidRPr="004D3C0E">
        <w:rPr>
          <w:color w:val="auto"/>
          <w:sz w:val="22"/>
        </w:rPr>
        <w:t>The administrative cost-to-revenue ratio for VAT in Ghana demonstrates notable efficiency. Studies indicate that in recent years, VAT accounted for approximately 19-20% of total tax revenue, while maintaining a low cost-to-revenue ratio, which significantly outperformed other forms of taxation (</w:t>
      </w:r>
      <w:proofErr w:type="spellStart"/>
      <w:r w:rsidRPr="004D3C0E">
        <w:rPr>
          <w:color w:val="auto"/>
          <w:sz w:val="22"/>
        </w:rPr>
        <w:t>Andoh</w:t>
      </w:r>
      <w:proofErr w:type="spellEnd"/>
      <w:r w:rsidRPr="004D3C0E">
        <w:rPr>
          <w:color w:val="auto"/>
          <w:sz w:val="22"/>
        </w:rPr>
        <w:t xml:space="preserve"> et al., 2019; Ofori et al., 2021). Despite these achievements, challenges persist, particularly in addressing the informal sector and ensuring timely VAT refunds to businesses (</w:t>
      </w:r>
      <w:proofErr w:type="spellStart"/>
      <w:r w:rsidRPr="004D3C0E">
        <w:rPr>
          <w:color w:val="auto"/>
          <w:sz w:val="22"/>
        </w:rPr>
        <w:t>Ameyaw</w:t>
      </w:r>
      <w:proofErr w:type="spellEnd"/>
      <w:r w:rsidRPr="004D3C0E">
        <w:rPr>
          <w:color w:val="auto"/>
          <w:sz w:val="22"/>
        </w:rPr>
        <w:t xml:space="preserve"> et al., 2016; </w:t>
      </w:r>
      <w:proofErr w:type="spellStart"/>
      <w:r w:rsidRPr="004D3C0E">
        <w:rPr>
          <w:color w:val="auto"/>
          <w:sz w:val="22"/>
        </w:rPr>
        <w:t>Yesegat</w:t>
      </w:r>
      <w:proofErr w:type="spellEnd"/>
      <w:r w:rsidRPr="004D3C0E">
        <w:rPr>
          <w:color w:val="auto"/>
          <w:sz w:val="22"/>
        </w:rPr>
        <w:t xml:space="preserve"> &amp; Joseph, 2017). The efficiency of VAT administration is also closely tied to policy stability. Frequent changes to VAT rates or exemptions can disrupt compliance and revenue collection (</w:t>
      </w:r>
      <w:proofErr w:type="spellStart"/>
      <w:r w:rsidRPr="004D3C0E">
        <w:rPr>
          <w:color w:val="auto"/>
          <w:sz w:val="22"/>
        </w:rPr>
        <w:t>Brockmeyer</w:t>
      </w:r>
      <w:proofErr w:type="spellEnd"/>
      <w:r w:rsidRPr="004D3C0E">
        <w:rPr>
          <w:color w:val="auto"/>
          <w:sz w:val="22"/>
        </w:rPr>
        <w:t xml:space="preserve"> et al., 2024; Obeng, 2018). Consequently, consistent and transparent policies, coupled with taxpayer education programs, are critical to fostering a culture of compliance (Nsubuga et al., 2017; </w:t>
      </w:r>
      <w:proofErr w:type="spellStart"/>
      <w:r w:rsidRPr="004D3C0E">
        <w:rPr>
          <w:color w:val="auto"/>
          <w:sz w:val="22"/>
        </w:rPr>
        <w:t>Tafa</w:t>
      </w:r>
      <w:proofErr w:type="spellEnd"/>
      <w:r w:rsidRPr="004D3C0E">
        <w:rPr>
          <w:color w:val="auto"/>
          <w:sz w:val="22"/>
        </w:rPr>
        <w:t>, 2020).</w:t>
      </w:r>
    </w:p>
    <w:p w14:paraId="018DAE46" w14:textId="77777777" w:rsidR="007B366E" w:rsidRPr="004D3C0E" w:rsidRDefault="007B366E" w:rsidP="007B366E">
      <w:pPr>
        <w:spacing w:after="190" w:line="276" w:lineRule="auto"/>
        <w:ind w:left="-5" w:right="375"/>
        <w:rPr>
          <w:color w:val="auto"/>
          <w:sz w:val="22"/>
        </w:rPr>
      </w:pPr>
    </w:p>
    <w:p w14:paraId="33635872" w14:textId="77777777" w:rsidR="007B366E" w:rsidRPr="004D3C0E" w:rsidRDefault="007B366E" w:rsidP="007B366E">
      <w:pPr>
        <w:spacing w:line="276" w:lineRule="auto"/>
        <w:rPr>
          <w:b/>
          <w:bCs/>
          <w:color w:val="auto"/>
          <w:sz w:val="22"/>
        </w:rPr>
      </w:pPr>
      <w:r w:rsidRPr="004D3C0E">
        <w:rPr>
          <w:b/>
          <w:bCs/>
          <w:color w:val="auto"/>
          <w:sz w:val="22"/>
        </w:rPr>
        <w:lastRenderedPageBreak/>
        <w:t>3. Methodology</w:t>
      </w:r>
    </w:p>
    <w:p w14:paraId="3DDBD7A2" w14:textId="145F900B" w:rsidR="007B366E" w:rsidRPr="004D3C0E" w:rsidRDefault="007B366E" w:rsidP="00DC2780">
      <w:pPr>
        <w:spacing w:after="161" w:line="276" w:lineRule="auto"/>
        <w:ind w:left="-5" w:right="4"/>
        <w:rPr>
          <w:color w:val="auto"/>
          <w:sz w:val="22"/>
        </w:rPr>
      </w:pPr>
      <w:r w:rsidRPr="004D3C0E">
        <w:rPr>
          <w:color w:val="auto"/>
          <w:sz w:val="22"/>
        </w:rPr>
        <w:t xml:space="preserve">This study employed a causal research design to assess the impact of VAT on tax administration in Ghana during the fiscal periods from 2013 to 2023. This design enabled the study to explore and quantify the specific effects of VAT policies on the efficiency and effectiveness of tax administration processes over the specified period. The study’s </w:t>
      </w:r>
      <w:r w:rsidRPr="00DC2780">
        <w:rPr>
          <w:color w:val="auto"/>
          <w:sz w:val="22"/>
          <w:lang w:val="en-GB"/>
        </w:rPr>
        <w:t>objective</w:t>
      </w:r>
      <w:r w:rsidRPr="004D3C0E">
        <w:rPr>
          <w:color w:val="auto"/>
          <w:sz w:val="22"/>
        </w:rPr>
        <w:t xml:space="preserve"> guided the choice of this design to establish a clear causal relationship between VAT and its administrative outcomes. The study area comprises Accra Central and Accra West, which are the bustling economic and administrative hubs of Ghana. These areas serve as a focal point for the GRA in implementing tax policies and collecting Value Added Tax (VAT) from businesses and individuals. The study population comprises officials (Operations Staff) from 10 Ghana Revenue Authority (GRA) Domestic Tax Division Offices stationed at various offices in Accra Central and West Areas. The study employed a simple random sampling technique to select a sample of 175 officials </w:t>
      </w:r>
      <w:r w:rsidRPr="00DC2780">
        <w:rPr>
          <w:color w:val="auto"/>
          <w:sz w:val="22"/>
          <w:lang w:val="en-GB"/>
        </w:rPr>
        <w:t>from</w:t>
      </w:r>
      <w:r w:rsidRPr="004D3C0E">
        <w:rPr>
          <w:color w:val="auto"/>
          <w:sz w:val="22"/>
        </w:rPr>
        <w:t xml:space="preserve"> the Operations Department of the Ghana Revenue Authority (GRA) at its offices in Accra Central and Accra West. To safeguard the privacy of participants, no identifying information was collected in the questionnaires. Data </w:t>
      </w:r>
      <w:r w:rsidR="00213F28" w:rsidRPr="004D3C0E">
        <w:rPr>
          <w:color w:val="auto"/>
          <w:sz w:val="22"/>
        </w:rPr>
        <w:t>was</w:t>
      </w:r>
      <w:r w:rsidRPr="004D3C0E">
        <w:rPr>
          <w:color w:val="auto"/>
          <w:sz w:val="22"/>
        </w:rPr>
        <w:t xml:space="preserve"> </w:t>
      </w:r>
      <w:r w:rsidR="006D280A" w:rsidRPr="004D3C0E">
        <w:rPr>
          <w:color w:val="auto"/>
          <w:sz w:val="22"/>
        </w:rPr>
        <w:t>anonymized</w:t>
      </w:r>
      <w:r w:rsidRPr="004D3C0E">
        <w:rPr>
          <w:color w:val="auto"/>
          <w:sz w:val="22"/>
        </w:rPr>
        <w:t xml:space="preserve"> to ensure that individual responses could not be traced back to specific participants. Formal approval to conduct the study was obtained from the Ghana Revenue Authority (GRA) management, ensuring compliance with </w:t>
      </w:r>
      <w:proofErr w:type="spellStart"/>
      <w:r w:rsidRPr="004D3C0E">
        <w:rPr>
          <w:color w:val="auto"/>
          <w:sz w:val="22"/>
        </w:rPr>
        <w:t>organisational</w:t>
      </w:r>
      <w:proofErr w:type="spellEnd"/>
      <w:r w:rsidRPr="004D3C0E">
        <w:rPr>
          <w:color w:val="auto"/>
          <w:sz w:val="22"/>
        </w:rPr>
        <w:t xml:space="preserve"> policies and procedures. </w:t>
      </w:r>
    </w:p>
    <w:p w14:paraId="35EC4326" w14:textId="77777777" w:rsidR="007B366E" w:rsidRPr="004D3C0E" w:rsidRDefault="007B366E" w:rsidP="007B366E">
      <w:pPr>
        <w:spacing w:line="276" w:lineRule="auto"/>
        <w:rPr>
          <w:color w:val="auto"/>
          <w:sz w:val="22"/>
        </w:rPr>
      </w:pPr>
    </w:p>
    <w:p w14:paraId="43D8CA24" w14:textId="77777777" w:rsidR="007B366E" w:rsidRDefault="007B366E" w:rsidP="007B366E">
      <w:pPr>
        <w:spacing w:line="276" w:lineRule="auto"/>
        <w:rPr>
          <w:b/>
          <w:bCs/>
          <w:color w:val="auto"/>
          <w:sz w:val="22"/>
        </w:rPr>
      </w:pPr>
      <w:r w:rsidRPr="004D3C0E">
        <w:rPr>
          <w:b/>
          <w:bCs/>
          <w:color w:val="auto"/>
          <w:sz w:val="22"/>
        </w:rPr>
        <w:t>4. Results and Discussion</w:t>
      </w:r>
    </w:p>
    <w:p w14:paraId="227988A8" w14:textId="43BB00B9" w:rsidR="00C10ACB" w:rsidRPr="00C10ACB" w:rsidRDefault="00C10ACB" w:rsidP="00DC2780">
      <w:pPr>
        <w:spacing w:after="161" w:line="276" w:lineRule="auto"/>
        <w:ind w:left="-5" w:right="4"/>
        <w:rPr>
          <w:color w:val="auto"/>
          <w:sz w:val="22"/>
          <w:lang w:val="en-GB"/>
        </w:rPr>
      </w:pPr>
      <w:r w:rsidRPr="00C10ACB">
        <w:rPr>
          <w:color w:val="auto"/>
          <w:sz w:val="22"/>
          <w:lang w:val="en-GB"/>
        </w:rPr>
        <w:t>Table 1 summarises the demographic characteristics of the respondents. The sample shows a relatively balanced gender distribution, with males constituting 56.8% and females 43.2%. Most respondents fall within the economically active age groups of 36–45 years (33.3%) and 46–55 years (29.5%), indicating a predominantly mid-career workforce.</w:t>
      </w:r>
      <w:r w:rsidR="00DC2780">
        <w:rPr>
          <w:color w:val="auto"/>
          <w:sz w:val="22"/>
          <w:lang w:val="en-GB"/>
        </w:rPr>
        <w:t xml:space="preserve"> </w:t>
      </w:r>
      <w:r w:rsidRPr="00C10ACB">
        <w:rPr>
          <w:color w:val="auto"/>
          <w:sz w:val="22"/>
          <w:lang w:val="en-GB"/>
        </w:rPr>
        <w:t>The respondents are generally well qualified, with the majority holding Bachelor’s (34.8%) and Master’s degrees (36.8%) and possessing between 5 and 15 years of work experience. The sample includes staff across multiple professional grades, with senior and middle-level officers forming the largest proportion. Most respondents are based in Taxpayer Service Centres and Regional Offices, ensuring representation from both operational and customer-facing units within the tax administration system.</w:t>
      </w:r>
    </w:p>
    <w:p w14:paraId="4CAA7323" w14:textId="77777777" w:rsidR="008A2264" w:rsidRPr="004D3C0E" w:rsidRDefault="008A2264" w:rsidP="007B366E">
      <w:pPr>
        <w:spacing w:line="276" w:lineRule="auto"/>
        <w:rPr>
          <w:b/>
          <w:bCs/>
          <w:color w:val="auto"/>
          <w:sz w:val="22"/>
        </w:rPr>
      </w:pPr>
    </w:p>
    <w:p w14:paraId="46AA5149" w14:textId="3F50F2E0" w:rsidR="007B366E" w:rsidRPr="004D3C0E" w:rsidRDefault="007B366E" w:rsidP="007B366E">
      <w:pPr>
        <w:keepNext/>
        <w:keepLines/>
        <w:spacing w:after="0" w:line="276" w:lineRule="auto"/>
        <w:ind w:right="5"/>
        <w:outlineLvl w:val="1"/>
        <w:rPr>
          <w:b/>
          <w:color w:val="auto"/>
          <w:sz w:val="22"/>
        </w:rPr>
      </w:pPr>
      <w:bookmarkStart w:id="7" w:name="_Toc211545686"/>
      <w:r w:rsidRPr="004D3C0E">
        <w:rPr>
          <w:b/>
          <w:color w:val="auto"/>
          <w:sz w:val="22"/>
        </w:rPr>
        <w:t>4</w:t>
      </w:r>
      <w:r w:rsidRPr="004D3C0E">
        <w:rPr>
          <w:b/>
          <w:i/>
          <w:iCs/>
          <w:color w:val="auto"/>
          <w:sz w:val="22"/>
        </w:rPr>
        <w:t>.</w:t>
      </w:r>
      <w:r w:rsidR="00E51CD3">
        <w:rPr>
          <w:b/>
          <w:i/>
          <w:iCs/>
          <w:color w:val="auto"/>
          <w:sz w:val="22"/>
        </w:rPr>
        <w:t>1</w:t>
      </w:r>
      <w:r w:rsidRPr="004D3C0E">
        <w:rPr>
          <w:b/>
          <w:i/>
          <w:iCs/>
          <w:color w:val="auto"/>
          <w:sz w:val="22"/>
        </w:rPr>
        <w:t xml:space="preserve"> Reliability Testing</w:t>
      </w:r>
      <w:bookmarkEnd w:id="7"/>
      <w:r w:rsidRPr="004D3C0E">
        <w:rPr>
          <w:b/>
          <w:color w:val="auto"/>
          <w:sz w:val="22"/>
        </w:rPr>
        <w:t xml:space="preserve"> </w:t>
      </w:r>
    </w:p>
    <w:p w14:paraId="0EFD2814" w14:textId="77777777" w:rsidR="007B366E" w:rsidRPr="004D3C0E" w:rsidRDefault="007B366E" w:rsidP="007B366E">
      <w:pPr>
        <w:spacing w:after="0" w:line="276" w:lineRule="auto"/>
        <w:rPr>
          <w:iCs/>
          <w:color w:val="auto"/>
          <w:sz w:val="22"/>
        </w:rPr>
      </w:pPr>
      <w:bookmarkStart w:id="8" w:name="_Toc211544244"/>
      <w:r w:rsidRPr="004D3C0E">
        <w:rPr>
          <w:iCs/>
          <w:color w:val="auto"/>
          <w:sz w:val="22"/>
        </w:rPr>
        <w:t>Table 1 Scale Reliability</w:t>
      </w:r>
      <w:bookmarkEnd w:id="8"/>
      <w:r w:rsidRPr="004D3C0E">
        <w:rPr>
          <w:iCs/>
          <w:color w:val="auto"/>
          <w:sz w:val="22"/>
        </w:rPr>
        <w:t xml:space="preserve"> </w:t>
      </w:r>
    </w:p>
    <w:tbl>
      <w:tblPr>
        <w:tblStyle w:val="TableGrid0"/>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2199"/>
        <w:gridCol w:w="1800"/>
      </w:tblGrid>
      <w:tr w:rsidR="007B366E" w:rsidRPr="004D3C0E" w14:paraId="2FA8E589" w14:textId="77777777" w:rsidTr="0040604A">
        <w:trPr>
          <w:trHeight w:val="179"/>
        </w:trPr>
        <w:tc>
          <w:tcPr>
            <w:tcW w:w="3695" w:type="dxa"/>
            <w:tcBorders>
              <w:top w:val="single" w:sz="4" w:space="0" w:color="auto"/>
              <w:bottom w:val="single" w:sz="4" w:space="0" w:color="auto"/>
            </w:tcBorders>
          </w:tcPr>
          <w:p w14:paraId="20F7307A" w14:textId="77777777" w:rsidR="007B366E" w:rsidRPr="004D3C0E" w:rsidRDefault="007B366E" w:rsidP="0040604A">
            <w:pPr>
              <w:spacing w:after="46" w:line="276" w:lineRule="auto"/>
              <w:ind w:left="0" w:right="375" w:firstLine="0"/>
              <w:rPr>
                <w:color w:val="auto"/>
                <w:sz w:val="22"/>
              </w:rPr>
            </w:pPr>
          </w:p>
        </w:tc>
        <w:tc>
          <w:tcPr>
            <w:tcW w:w="2199" w:type="dxa"/>
            <w:tcBorders>
              <w:top w:val="single" w:sz="4" w:space="0" w:color="auto"/>
              <w:bottom w:val="single" w:sz="4" w:space="0" w:color="auto"/>
            </w:tcBorders>
            <w:vAlign w:val="center"/>
          </w:tcPr>
          <w:p w14:paraId="460B8E6A"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Cronbach’s Alpha</w:t>
            </w:r>
          </w:p>
        </w:tc>
        <w:tc>
          <w:tcPr>
            <w:tcW w:w="1800" w:type="dxa"/>
            <w:tcBorders>
              <w:top w:val="single" w:sz="4" w:space="0" w:color="auto"/>
              <w:bottom w:val="single" w:sz="4" w:space="0" w:color="auto"/>
            </w:tcBorders>
            <w:vAlign w:val="center"/>
          </w:tcPr>
          <w:p w14:paraId="44634708"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No. of Items</w:t>
            </w:r>
          </w:p>
        </w:tc>
      </w:tr>
      <w:tr w:rsidR="007B366E" w:rsidRPr="004D3C0E" w14:paraId="7AF7F665" w14:textId="77777777" w:rsidTr="0040604A">
        <w:tc>
          <w:tcPr>
            <w:tcW w:w="3695" w:type="dxa"/>
            <w:tcBorders>
              <w:top w:val="single" w:sz="4" w:space="0" w:color="auto"/>
            </w:tcBorders>
          </w:tcPr>
          <w:p w14:paraId="7D7A7442" w14:textId="77777777" w:rsidR="007B366E" w:rsidRPr="004D3C0E" w:rsidRDefault="007B366E" w:rsidP="0040604A">
            <w:pPr>
              <w:spacing w:after="46" w:line="276" w:lineRule="auto"/>
              <w:ind w:left="0" w:right="375" w:firstLine="0"/>
              <w:rPr>
                <w:color w:val="auto"/>
                <w:sz w:val="22"/>
              </w:rPr>
            </w:pPr>
            <w:r w:rsidRPr="004D3C0E">
              <w:rPr>
                <w:color w:val="auto"/>
                <w:sz w:val="22"/>
              </w:rPr>
              <w:t xml:space="preserve">VAT Revenue </w:t>
            </w:r>
          </w:p>
        </w:tc>
        <w:tc>
          <w:tcPr>
            <w:tcW w:w="2199" w:type="dxa"/>
            <w:tcBorders>
              <w:top w:val="single" w:sz="4" w:space="0" w:color="auto"/>
            </w:tcBorders>
            <w:vAlign w:val="center"/>
          </w:tcPr>
          <w:p w14:paraId="5DCB10B8"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0.815</w:t>
            </w:r>
          </w:p>
        </w:tc>
        <w:tc>
          <w:tcPr>
            <w:tcW w:w="1800" w:type="dxa"/>
            <w:tcBorders>
              <w:top w:val="single" w:sz="4" w:space="0" w:color="auto"/>
            </w:tcBorders>
            <w:vAlign w:val="center"/>
          </w:tcPr>
          <w:p w14:paraId="524D4FB7"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11</w:t>
            </w:r>
          </w:p>
        </w:tc>
      </w:tr>
      <w:tr w:rsidR="007B366E" w:rsidRPr="004D3C0E" w14:paraId="391C7325" w14:textId="77777777" w:rsidTr="0040604A">
        <w:tc>
          <w:tcPr>
            <w:tcW w:w="3695" w:type="dxa"/>
          </w:tcPr>
          <w:p w14:paraId="15B47582" w14:textId="77777777" w:rsidR="007B366E" w:rsidRPr="004D3C0E" w:rsidRDefault="007B366E" w:rsidP="0040604A">
            <w:pPr>
              <w:spacing w:after="46" w:line="276" w:lineRule="auto"/>
              <w:ind w:left="0" w:right="375" w:firstLine="0"/>
              <w:rPr>
                <w:color w:val="auto"/>
                <w:sz w:val="22"/>
              </w:rPr>
            </w:pPr>
            <w:r w:rsidRPr="004D3C0E">
              <w:rPr>
                <w:color w:val="auto"/>
                <w:sz w:val="22"/>
              </w:rPr>
              <w:t xml:space="preserve">Total Tax Revenue </w:t>
            </w:r>
          </w:p>
        </w:tc>
        <w:tc>
          <w:tcPr>
            <w:tcW w:w="2199" w:type="dxa"/>
            <w:vAlign w:val="center"/>
          </w:tcPr>
          <w:p w14:paraId="470CB698"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0.774</w:t>
            </w:r>
          </w:p>
        </w:tc>
        <w:tc>
          <w:tcPr>
            <w:tcW w:w="1800" w:type="dxa"/>
            <w:vAlign w:val="center"/>
          </w:tcPr>
          <w:p w14:paraId="4DC5D22A"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11</w:t>
            </w:r>
          </w:p>
        </w:tc>
      </w:tr>
      <w:tr w:rsidR="007B366E" w:rsidRPr="004D3C0E" w14:paraId="5ECB7F08" w14:textId="77777777" w:rsidTr="0040604A">
        <w:tc>
          <w:tcPr>
            <w:tcW w:w="3695" w:type="dxa"/>
          </w:tcPr>
          <w:p w14:paraId="137A1CC6" w14:textId="77777777" w:rsidR="007B366E" w:rsidRPr="004D3C0E" w:rsidRDefault="007B366E" w:rsidP="0040604A">
            <w:pPr>
              <w:spacing w:after="46" w:line="276" w:lineRule="auto"/>
              <w:ind w:left="0" w:right="375" w:firstLine="0"/>
              <w:rPr>
                <w:color w:val="auto"/>
                <w:sz w:val="22"/>
              </w:rPr>
            </w:pPr>
            <w:r w:rsidRPr="004D3C0E">
              <w:rPr>
                <w:color w:val="auto"/>
                <w:sz w:val="22"/>
              </w:rPr>
              <w:t xml:space="preserve">Operational Challenges </w:t>
            </w:r>
          </w:p>
        </w:tc>
        <w:tc>
          <w:tcPr>
            <w:tcW w:w="2199" w:type="dxa"/>
            <w:vAlign w:val="center"/>
          </w:tcPr>
          <w:p w14:paraId="4EAE9299"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0.662</w:t>
            </w:r>
          </w:p>
        </w:tc>
        <w:tc>
          <w:tcPr>
            <w:tcW w:w="1800" w:type="dxa"/>
            <w:vAlign w:val="center"/>
          </w:tcPr>
          <w:p w14:paraId="1A3ADA0A"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4</w:t>
            </w:r>
          </w:p>
        </w:tc>
      </w:tr>
      <w:tr w:rsidR="007B366E" w:rsidRPr="004D3C0E" w14:paraId="20F33462" w14:textId="77777777" w:rsidTr="0040604A">
        <w:tc>
          <w:tcPr>
            <w:tcW w:w="3695" w:type="dxa"/>
          </w:tcPr>
          <w:p w14:paraId="3FD54819" w14:textId="77777777" w:rsidR="007B366E" w:rsidRPr="004D3C0E" w:rsidRDefault="007B366E" w:rsidP="0040604A">
            <w:pPr>
              <w:spacing w:after="46" w:line="276" w:lineRule="auto"/>
              <w:ind w:left="0" w:right="375" w:firstLine="0"/>
              <w:rPr>
                <w:color w:val="auto"/>
                <w:sz w:val="22"/>
              </w:rPr>
            </w:pPr>
            <w:r w:rsidRPr="004D3C0E">
              <w:rPr>
                <w:color w:val="auto"/>
                <w:sz w:val="22"/>
              </w:rPr>
              <w:t xml:space="preserve">Tax Compliance Challenges </w:t>
            </w:r>
          </w:p>
        </w:tc>
        <w:tc>
          <w:tcPr>
            <w:tcW w:w="2199" w:type="dxa"/>
            <w:vAlign w:val="center"/>
          </w:tcPr>
          <w:p w14:paraId="743BBA06"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0.711</w:t>
            </w:r>
          </w:p>
        </w:tc>
        <w:tc>
          <w:tcPr>
            <w:tcW w:w="1800" w:type="dxa"/>
            <w:vAlign w:val="center"/>
          </w:tcPr>
          <w:p w14:paraId="325C7B4E"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4</w:t>
            </w:r>
          </w:p>
        </w:tc>
      </w:tr>
      <w:tr w:rsidR="007B366E" w:rsidRPr="004D3C0E" w14:paraId="2ED13FD2" w14:textId="77777777" w:rsidTr="0040604A">
        <w:tc>
          <w:tcPr>
            <w:tcW w:w="3695" w:type="dxa"/>
          </w:tcPr>
          <w:p w14:paraId="2D2D4D4C" w14:textId="77777777" w:rsidR="007B366E" w:rsidRPr="004D3C0E" w:rsidRDefault="007B366E" w:rsidP="0040604A">
            <w:pPr>
              <w:spacing w:after="46" w:line="276" w:lineRule="auto"/>
              <w:ind w:left="0" w:right="375" w:firstLine="0"/>
              <w:rPr>
                <w:color w:val="auto"/>
                <w:sz w:val="22"/>
              </w:rPr>
            </w:pPr>
            <w:r w:rsidRPr="004D3C0E">
              <w:rPr>
                <w:color w:val="auto"/>
                <w:sz w:val="22"/>
              </w:rPr>
              <w:t xml:space="preserve">Policy and Governance Challenges </w:t>
            </w:r>
          </w:p>
        </w:tc>
        <w:tc>
          <w:tcPr>
            <w:tcW w:w="2199" w:type="dxa"/>
            <w:vAlign w:val="center"/>
          </w:tcPr>
          <w:p w14:paraId="3DFB3134"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0.684</w:t>
            </w:r>
          </w:p>
        </w:tc>
        <w:tc>
          <w:tcPr>
            <w:tcW w:w="1800" w:type="dxa"/>
            <w:vAlign w:val="center"/>
          </w:tcPr>
          <w:p w14:paraId="689B7480"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4</w:t>
            </w:r>
          </w:p>
        </w:tc>
      </w:tr>
      <w:tr w:rsidR="007B366E" w:rsidRPr="004D3C0E" w14:paraId="1BAB3EAB" w14:textId="77777777" w:rsidTr="0040604A">
        <w:tc>
          <w:tcPr>
            <w:tcW w:w="3695" w:type="dxa"/>
          </w:tcPr>
          <w:p w14:paraId="2C8A35A7" w14:textId="77777777" w:rsidR="007B366E" w:rsidRPr="004D3C0E" w:rsidRDefault="007B366E" w:rsidP="0040604A">
            <w:pPr>
              <w:spacing w:after="46" w:line="276" w:lineRule="auto"/>
              <w:ind w:left="0" w:right="375" w:firstLine="0"/>
              <w:rPr>
                <w:color w:val="auto"/>
                <w:sz w:val="22"/>
              </w:rPr>
            </w:pPr>
            <w:r w:rsidRPr="004D3C0E">
              <w:rPr>
                <w:color w:val="auto"/>
                <w:sz w:val="22"/>
              </w:rPr>
              <w:t xml:space="preserve">External Factors </w:t>
            </w:r>
          </w:p>
        </w:tc>
        <w:tc>
          <w:tcPr>
            <w:tcW w:w="2199" w:type="dxa"/>
            <w:vAlign w:val="center"/>
          </w:tcPr>
          <w:p w14:paraId="4D3923C1"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0.656</w:t>
            </w:r>
          </w:p>
        </w:tc>
        <w:tc>
          <w:tcPr>
            <w:tcW w:w="1800" w:type="dxa"/>
            <w:vAlign w:val="center"/>
          </w:tcPr>
          <w:p w14:paraId="241D8605" w14:textId="77777777" w:rsidR="007B366E" w:rsidRPr="004D3C0E" w:rsidRDefault="007B366E" w:rsidP="0040604A">
            <w:pPr>
              <w:spacing w:after="46" w:line="276" w:lineRule="auto"/>
              <w:ind w:left="0" w:right="375" w:firstLine="0"/>
              <w:jc w:val="center"/>
              <w:rPr>
                <w:color w:val="auto"/>
                <w:sz w:val="22"/>
              </w:rPr>
            </w:pPr>
            <w:r w:rsidRPr="004D3C0E">
              <w:rPr>
                <w:color w:val="auto"/>
                <w:sz w:val="22"/>
              </w:rPr>
              <w:t>4</w:t>
            </w:r>
          </w:p>
        </w:tc>
      </w:tr>
    </w:tbl>
    <w:p w14:paraId="138FD93A" w14:textId="77777777" w:rsidR="007B366E" w:rsidRPr="004D3C0E" w:rsidRDefault="007B366E" w:rsidP="007B366E">
      <w:pPr>
        <w:spacing w:after="46" w:line="276" w:lineRule="auto"/>
        <w:ind w:left="-5" w:right="375"/>
        <w:rPr>
          <w:color w:val="auto"/>
          <w:sz w:val="22"/>
        </w:rPr>
      </w:pPr>
    </w:p>
    <w:p w14:paraId="108D34E7" w14:textId="77777777" w:rsidR="007B366E" w:rsidRPr="004D3C0E" w:rsidRDefault="007B366E" w:rsidP="00DC2780">
      <w:pPr>
        <w:spacing w:after="161" w:line="276" w:lineRule="auto"/>
        <w:ind w:left="-5" w:right="4"/>
        <w:rPr>
          <w:color w:val="auto"/>
          <w:sz w:val="22"/>
        </w:rPr>
      </w:pPr>
      <w:r w:rsidRPr="004D3C0E">
        <w:rPr>
          <w:color w:val="auto"/>
          <w:sz w:val="22"/>
        </w:rPr>
        <w:t xml:space="preserve">Cronbach’s alpha is a measure of reliability. More specifically, alpha is a lower constraint on the real reliability of a survey. The general consistency of the scale is assessed by this coefficient assessment (Hair et al., 2012). The generally accepted lower limit for the alpha value is 0.70; however, a lower limit of 0.60 </w:t>
      </w:r>
      <w:r w:rsidRPr="004D3C0E">
        <w:rPr>
          <w:color w:val="auto"/>
          <w:sz w:val="22"/>
        </w:rPr>
        <w:lastRenderedPageBreak/>
        <w:t xml:space="preserve">is also acceptable (Hair et al., 2012). The lowest value attained for these variables under examination is 0.656, while the maximum value obtained is 0.815. This implies that most of the study’s contributing variables were reliable. This is seen in Table 1 above. </w:t>
      </w:r>
    </w:p>
    <w:p w14:paraId="1433498D" w14:textId="77777777" w:rsidR="007B366E" w:rsidRPr="004D3C0E" w:rsidRDefault="007B366E" w:rsidP="007B366E">
      <w:pPr>
        <w:spacing w:after="46" w:line="276" w:lineRule="auto"/>
        <w:ind w:left="-5" w:right="375"/>
        <w:rPr>
          <w:color w:val="auto"/>
          <w:sz w:val="22"/>
        </w:rPr>
      </w:pPr>
    </w:p>
    <w:p w14:paraId="0E997294" w14:textId="77777777" w:rsidR="007B366E" w:rsidRPr="004D3C0E" w:rsidRDefault="007B366E" w:rsidP="007B366E">
      <w:pPr>
        <w:keepNext/>
        <w:keepLines/>
        <w:spacing w:after="0" w:line="276" w:lineRule="auto"/>
        <w:ind w:right="5"/>
        <w:outlineLvl w:val="1"/>
        <w:rPr>
          <w:b/>
          <w:i/>
          <w:iCs/>
          <w:color w:val="auto"/>
          <w:sz w:val="22"/>
        </w:rPr>
      </w:pPr>
      <w:bookmarkStart w:id="9" w:name="_Toc211545687"/>
      <w:r w:rsidRPr="004D3C0E">
        <w:rPr>
          <w:b/>
          <w:i/>
          <w:iCs/>
          <w:color w:val="auto"/>
          <w:sz w:val="22"/>
        </w:rPr>
        <w:t>4.3 Normality Testing</w:t>
      </w:r>
      <w:bookmarkEnd w:id="9"/>
      <w:r w:rsidRPr="004D3C0E">
        <w:rPr>
          <w:b/>
          <w:i/>
          <w:iCs/>
          <w:color w:val="auto"/>
          <w:sz w:val="22"/>
        </w:rPr>
        <w:t xml:space="preserve"> </w:t>
      </w:r>
    </w:p>
    <w:p w14:paraId="2FCD4EC4" w14:textId="77777777" w:rsidR="007B366E" w:rsidRPr="004D3C0E" w:rsidRDefault="007B366E" w:rsidP="007B366E">
      <w:pPr>
        <w:spacing w:after="200" w:line="276" w:lineRule="auto"/>
        <w:rPr>
          <w:iCs/>
          <w:color w:val="auto"/>
          <w:sz w:val="22"/>
        </w:rPr>
      </w:pPr>
      <w:bookmarkStart w:id="10" w:name="_Toc211544245"/>
      <w:r w:rsidRPr="004D3C0E">
        <w:rPr>
          <w:iCs/>
          <w:color w:val="auto"/>
          <w:sz w:val="22"/>
        </w:rPr>
        <w:t>Table 2 Skewness and Kurtosis</w:t>
      </w:r>
      <w:bookmarkEnd w:id="10"/>
      <w:r w:rsidRPr="004D3C0E">
        <w:rPr>
          <w:iCs/>
          <w:color w:val="auto"/>
          <w:sz w:val="22"/>
        </w:rPr>
        <w:t xml:space="preserve"> </w:t>
      </w:r>
    </w:p>
    <w:tbl>
      <w:tblPr>
        <w:tblStyle w:val="TableGrid"/>
        <w:tblW w:w="8269" w:type="dxa"/>
        <w:tblInd w:w="108" w:type="dxa"/>
        <w:tblBorders>
          <w:top w:val="single" w:sz="4" w:space="0" w:color="auto"/>
          <w:bottom w:val="single" w:sz="4" w:space="0" w:color="auto"/>
        </w:tblBorders>
        <w:tblLook w:val="04A0" w:firstRow="1" w:lastRow="0" w:firstColumn="1" w:lastColumn="0" w:noHBand="0" w:noVBand="1"/>
      </w:tblPr>
      <w:tblGrid>
        <w:gridCol w:w="3132"/>
        <w:gridCol w:w="1596"/>
        <w:gridCol w:w="1294"/>
        <w:gridCol w:w="1306"/>
        <w:gridCol w:w="941"/>
      </w:tblGrid>
      <w:tr w:rsidR="007B366E" w:rsidRPr="004D3C0E" w14:paraId="3C07088F" w14:textId="77777777" w:rsidTr="0040604A">
        <w:trPr>
          <w:trHeight w:val="268"/>
        </w:trPr>
        <w:tc>
          <w:tcPr>
            <w:tcW w:w="3132" w:type="dxa"/>
            <w:tcBorders>
              <w:top w:val="single" w:sz="4" w:space="0" w:color="auto"/>
              <w:bottom w:val="single" w:sz="4" w:space="0" w:color="auto"/>
            </w:tcBorders>
          </w:tcPr>
          <w:p w14:paraId="7253751D" w14:textId="77777777" w:rsidR="007B366E" w:rsidRPr="004D3C0E" w:rsidRDefault="007B366E" w:rsidP="0040604A">
            <w:pPr>
              <w:spacing w:after="0" w:line="240" w:lineRule="auto"/>
              <w:ind w:left="0" w:firstLine="0"/>
              <w:jc w:val="left"/>
              <w:rPr>
                <w:color w:val="auto"/>
              </w:rPr>
            </w:pPr>
          </w:p>
        </w:tc>
        <w:tc>
          <w:tcPr>
            <w:tcW w:w="1596" w:type="dxa"/>
            <w:tcBorders>
              <w:top w:val="single" w:sz="4" w:space="0" w:color="auto"/>
              <w:bottom w:val="single" w:sz="4" w:space="0" w:color="auto"/>
            </w:tcBorders>
          </w:tcPr>
          <w:p w14:paraId="06C0D76B" w14:textId="77777777" w:rsidR="007B366E" w:rsidRPr="004D3C0E" w:rsidRDefault="007B366E" w:rsidP="0040604A">
            <w:pPr>
              <w:spacing w:after="0" w:line="240" w:lineRule="auto"/>
              <w:ind w:left="0" w:firstLine="0"/>
              <w:jc w:val="left"/>
              <w:rPr>
                <w:color w:val="auto"/>
              </w:rPr>
            </w:pPr>
            <w:r w:rsidRPr="004D3C0E">
              <w:rPr>
                <w:b/>
                <w:color w:val="auto"/>
              </w:rPr>
              <w:t>No. of Items</w:t>
            </w:r>
            <w:r w:rsidRPr="004D3C0E">
              <w:rPr>
                <w:color w:val="auto"/>
              </w:rPr>
              <w:t xml:space="preserve"> </w:t>
            </w:r>
          </w:p>
        </w:tc>
        <w:tc>
          <w:tcPr>
            <w:tcW w:w="1294" w:type="dxa"/>
            <w:tcBorders>
              <w:top w:val="single" w:sz="4" w:space="0" w:color="auto"/>
              <w:bottom w:val="single" w:sz="4" w:space="0" w:color="auto"/>
            </w:tcBorders>
          </w:tcPr>
          <w:p w14:paraId="2F14DD58" w14:textId="77777777" w:rsidR="007B366E" w:rsidRPr="004D3C0E" w:rsidRDefault="007B366E" w:rsidP="0040604A">
            <w:pPr>
              <w:spacing w:after="0" w:line="240" w:lineRule="auto"/>
              <w:ind w:left="187" w:firstLine="0"/>
              <w:jc w:val="left"/>
              <w:rPr>
                <w:color w:val="auto"/>
              </w:rPr>
            </w:pPr>
            <w:r w:rsidRPr="004D3C0E">
              <w:rPr>
                <w:b/>
                <w:color w:val="auto"/>
              </w:rPr>
              <w:t>Mean</w:t>
            </w:r>
            <w:r w:rsidRPr="004D3C0E">
              <w:rPr>
                <w:color w:val="auto"/>
              </w:rPr>
              <w:t xml:space="preserve"> </w:t>
            </w:r>
          </w:p>
        </w:tc>
        <w:tc>
          <w:tcPr>
            <w:tcW w:w="1306" w:type="dxa"/>
            <w:tcBorders>
              <w:top w:val="single" w:sz="4" w:space="0" w:color="auto"/>
              <w:bottom w:val="single" w:sz="4" w:space="0" w:color="auto"/>
            </w:tcBorders>
          </w:tcPr>
          <w:p w14:paraId="4E7C38A8" w14:textId="77777777" w:rsidR="007B366E" w:rsidRPr="004D3C0E" w:rsidRDefault="007B366E" w:rsidP="0040604A">
            <w:pPr>
              <w:spacing w:after="0" w:line="240" w:lineRule="auto"/>
              <w:ind w:left="0" w:firstLine="0"/>
              <w:jc w:val="left"/>
              <w:rPr>
                <w:color w:val="auto"/>
              </w:rPr>
            </w:pPr>
            <w:r w:rsidRPr="004D3C0E">
              <w:rPr>
                <w:b/>
                <w:color w:val="auto"/>
              </w:rPr>
              <w:t>Skewness</w:t>
            </w:r>
            <w:r w:rsidRPr="004D3C0E">
              <w:rPr>
                <w:color w:val="auto"/>
              </w:rPr>
              <w:t xml:space="preserve"> </w:t>
            </w:r>
          </w:p>
        </w:tc>
        <w:tc>
          <w:tcPr>
            <w:tcW w:w="941" w:type="dxa"/>
            <w:tcBorders>
              <w:top w:val="single" w:sz="4" w:space="0" w:color="auto"/>
              <w:bottom w:val="single" w:sz="4" w:space="0" w:color="auto"/>
            </w:tcBorders>
          </w:tcPr>
          <w:p w14:paraId="0E966E02" w14:textId="77777777" w:rsidR="007B366E" w:rsidRPr="004D3C0E" w:rsidRDefault="007B366E" w:rsidP="0040604A">
            <w:pPr>
              <w:spacing w:after="0" w:line="240" w:lineRule="auto"/>
              <w:ind w:left="0" w:firstLine="0"/>
              <w:rPr>
                <w:color w:val="auto"/>
              </w:rPr>
            </w:pPr>
            <w:r w:rsidRPr="004D3C0E">
              <w:rPr>
                <w:b/>
                <w:color w:val="auto"/>
              </w:rPr>
              <w:t>Kurtosis</w:t>
            </w:r>
            <w:r w:rsidRPr="004D3C0E">
              <w:rPr>
                <w:color w:val="auto"/>
              </w:rPr>
              <w:t xml:space="preserve"> </w:t>
            </w:r>
          </w:p>
        </w:tc>
      </w:tr>
      <w:tr w:rsidR="007B366E" w:rsidRPr="004D3C0E" w14:paraId="5B099950" w14:textId="77777777" w:rsidTr="0040604A">
        <w:trPr>
          <w:trHeight w:val="179"/>
        </w:trPr>
        <w:tc>
          <w:tcPr>
            <w:tcW w:w="3132" w:type="dxa"/>
            <w:tcBorders>
              <w:top w:val="single" w:sz="4" w:space="0" w:color="auto"/>
            </w:tcBorders>
            <w:vAlign w:val="center"/>
          </w:tcPr>
          <w:p w14:paraId="74E03AE0" w14:textId="77777777" w:rsidR="007B366E" w:rsidRPr="004D3C0E" w:rsidRDefault="007B366E" w:rsidP="0040604A">
            <w:pPr>
              <w:spacing w:after="0" w:line="240" w:lineRule="auto"/>
              <w:ind w:left="0" w:firstLine="0"/>
              <w:jc w:val="left"/>
              <w:rPr>
                <w:color w:val="auto"/>
              </w:rPr>
            </w:pPr>
            <w:r w:rsidRPr="004D3C0E">
              <w:rPr>
                <w:color w:val="auto"/>
              </w:rPr>
              <w:t>VAT Revenue</w:t>
            </w:r>
          </w:p>
        </w:tc>
        <w:tc>
          <w:tcPr>
            <w:tcW w:w="1596" w:type="dxa"/>
            <w:tcBorders>
              <w:top w:val="single" w:sz="4" w:space="0" w:color="auto"/>
            </w:tcBorders>
          </w:tcPr>
          <w:p w14:paraId="593F96EA" w14:textId="77777777" w:rsidR="007B366E" w:rsidRPr="004D3C0E" w:rsidRDefault="007B366E" w:rsidP="0040604A">
            <w:pPr>
              <w:spacing w:after="0" w:line="240" w:lineRule="auto"/>
              <w:ind w:left="502" w:firstLine="0"/>
              <w:jc w:val="left"/>
              <w:rPr>
                <w:color w:val="auto"/>
              </w:rPr>
            </w:pPr>
            <w:r w:rsidRPr="004D3C0E">
              <w:rPr>
                <w:color w:val="auto"/>
              </w:rPr>
              <w:t xml:space="preserve">11 </w:t>
            </w:r>
          </w:p>
        </w:tc>
        <w:tc>
          <w:tcPr>
            <w:tcW w:w="1294" w:type="dxa"/>
            <w:tcBorders>
              <w:top w:val="single" w:sz="4" w:space="0" w:color="auto"/>
            </w:tcBorders>
          </w:tcPr>
          <w:p w14:paraId="778D6C71" w14:textId="77777777" w:rsidR="007B366E" w:rsidRPr="004D3C0E" w:rsidRDefault="007B366E" w:rsidP="0040604A">
            <w:pPr>
              <w:spacing w:after="0" w:line="240" w:lineRule="auto"/>
              <w:ind w:left="0" w:firstLine="0"/>
              <w:jc w:val="left"/>
              <w:rPr>
                <w:color w:val="auto"/>
              </w:rPr>
            </w:pPr>
            <w:r w:rsidRPr="004D3C0E">
              <w:rPr>
                <w:color w:val="auto"/>
              </w:rPr>
              <w:t xml:space="preserve">10,287.58 </w:t>
            </w:r>
          </w:p>
        </w:tc>
        <w:tc>
          <w:tcPr>
            <w:tcW w:w="1306" w:type="dxa"/>
            <w:tcBorders>
              <w:top w:val="single" w:sz="4" w:space="0" w:color="auto"/>
            </w:tcBorders>
          </w:tcPr>
          <w:p w14:paraId="0786184D" w14:textId="77777777" w:rsidR="007B366E" w:rsidRPr="004D3C0E" w:rsidRDefault="007B366E" w:rsidP="0040604A">
            <w:pPr>
              <w:spacing w:after="0" w:line="240" w:lineRule="auto"/>
              <w:ind w:left="216" w:firstLine="0"/>
              <w:jc w:val="left"/>
              <w:rPr>
                <w:color w:val="auto"/>
              </w:rPr>
            </w:pPr>
            <w:r w:rsidRPr="004D3C0E">
              <w:rPr>
                <w:color w:val="auto"/>
              </w:rPr>
              <w:t xml:space="preserve">1.133 </w:t>
            </w:r>
          </w:p>
        </w:tc>
        <w:tc>
          <w:tcPr>
            <w:tcW w:w="941" w:type="dxa"/>
            <w:tcBorders>
              <w:top w:val="single" w:sz="4" w:space="0" w:color="auto"/>
            </w:tcBorders>
          </w:tcPr>
          <w:p w14:paraId="3E5EEF28" w14:textId="77777777" w:rsidR="007B366E" w:rsidRPr="004D3C0E" w:rsidRDefault="007B366E" w:rsidP="0040604A">
            <w:pPr>
              <w:spacing w:after="0" w:line="240" w:lineRule="auto"/>
              <w:ind w:left="170" w:firstLine="0"/>
              <w:jc w:val="left"/>
              <w:rPr>
                <w:color w:val="auto"/>
              </w:rPr>
            </w:pPr>
            <w:r w:rsidRPr="004D3C0E">
              <w:rPr>
                <w:color w:val="auto"/>
              </w:rPr>
              <w:t xml:space="preserve">3.021 </w:t>
            </w:r>
          </w:p>
        </w:tc>
      </w:tr>
      <w:tr w:rsidR="007B366E" w:rsidRPr="004D3C0E" w14:paraId="48D40F4C" w14:textId="77777777" w:rsidTr="0040604A">
        <w:trPr>
          <w:trHeight w:val="108"/>
        </w:trPr>
        <w:tc>
          <w:tcPr>
            <w:tcW w:w="3132" w:type="dxa"/>
            <w:vAlign w:val="center"/>
          </w:tcPr>
          <w:p w14:paraId="1A4B6C5B" w14:textId="77777777" w:rsidR="007B366E" w:rsidRPr="004D3C0E" w:rsidRDefault="007B366E" w:rsidP="0040604A">
            <w:pPr>
              <w:spacing w:after="0" w:line="240" w:lineRule="auto"/>
              <w:ind w:left="0" w:firstLine="0"/>
              <w:jc w:val="left"/>
              <w:rPr>
                <w:color w:val="auto"/>
              </w:rPr>
            </w:pPr>
            <w:r w:rsidRPr="004D3C0E">
              <w:rPr>
                <w:color w:val="auto"/>
              </w:rPr>
              <w:t>Total Tax Revenue</w:t>
            </w:r>
          </w:p>
        </w:tc>
        <w:tc>
          <w:tcPr>
            <w:tcW w:w="1596" w:type="dxa"/>
          </w:tcPr>
          <w:p w14:paraId="5A888DD0" w14:textId="77777777" w:rsidR="007B366E" w:rsidRPr="004D3C0E" w:rsidRDefault="007B366E" w:rsidP="0040604A">
            <w:pPr>
              <w:spacing w:after="0" w:line="240" w:lineRule="auto"/>
              <w:ind w:left="502" w:firstLine="0"/>
              <w:jc w:val="left"/>
              <w:rPr>
                <w:color w:val="auto"/>
              </w:rPr>
            </w:pPr>
            <w:r w:rsidRPr="004D3C0E">
              <w:rPr>
                <w:color w:val="auto"/>
              </w:rPr>
              <w:t xml:space="preserve">11 </w:t>
            </w:r>
          </w:p>
        </w:tc>
        <w:tc>
          <w:tcPr>
            <w:tcW w:w="1294" w:type="dxa"/>
          </w:tcPr>
          <w:p w14:paraId="43B54B97" w14:textId="77777777" w:rsidR="007B366E" w:rsidRPr="004D3C0E" w:rsidRDefault="007B366E" w:rsidP="0040604A">
            <w:pPr>
              <w:spacing w:after="0" w:line="240" w:lineRule="auto"/>
              <w:ind w:left="0" w:firstLine="0"/>
              <w:jc w:val="left"/>
              <w:rPr>
                <w:color w:val="auto"/>
              </w:rPr>
            </w:pPr>
            <w:r w:rsidRPr="004D3C0E">
              <w:rPr>
                <w:color w:val="auto"/>
              </w:rPr>
              <w:t xml:space="preserve">42,148.63 </w:t>
            </w:r>
          </w:p>
        </w:tc>
        <w:tc>
          <w:tcPr>
            <w:tcW w:w="1306" w:type="dxa"/>
          </w:tcPr>
          <w:p w14:paraId="1D21B055" w14:textId="77777777" w:rsidR="007B366E" w:rsidRPr="004D3C0E" w:rsidRDefault="007B366E" w:rsidP="0040604A">
            <w:pPr>
              <w:spacing w:after="0" w:line="240" w:lineRule="auto"/>
              <w:ind w:left="216" w:firstLine="0"/>
              <w:jc w:val="left"/>
              <w:rPr>
                <w:color w:val="auto"/>
              </w:rPr>
            </w:pPr>
            <w:r w:rsidRPr="004D3C0E">
              <w:rPr>
                <w:color w:val="auto"/>
              </w:rPr>
              <w:t xml:space="preserve">1.215 </w:t>
            </w:r>
          </w:p>
        </w:tc>
        <w:tc>
          <w:tcPr>
            <w:tcW w:w="941" w:type="dxa"/>
          </w:tcPr>
          <w:p w14:paraId="30766381" w14:textId="77777777" w:rsidR="007B366E" w:rsidRPr="004D3C0E" w:rsidRDefault="007B366E" w:rsidP="0040604A">
            <w:pPr>
              <w:spacing w:after="0" w:line="240" w:lineRule="auto"/>
              <w:ind w:left="170" w:firstLine="0"/>
              <w:jc w:val="left"/>
              <w:rPr>
                <w:color w:val="auto"/>
              </w:rPr>
            </w:pPr>
            <w:r w:rsidRPr="004D3C0E">
              <w:rPr>
                <w:color w:val="auto"/>
              </w:rPr>
              <w:t xml:space="preserve">3.456 </w:t>
            </w:r>
          </w:p>
        </w:tc>
      </w:tr>
      <w:tr w:rsidR="007B366E" w:rsidRPr="004D3C0E" w14:paraId="5ABAF288" w14:textId="77777777" w:rsidTr="0040604A">
        <w:trPr>
          <w:trHeight w:val="306"/>
        </w:trPr>
        <w:tc>
          <w:tcPr>
            <w:tcW w:w="3132" w:type="dxa"/>
            <w:vAlign w:val="center"/>
          </w:tcPr>
          <w:p w14:paraId="0A5BC2BC" w14:textId="77777777" w:rsidR="007B366E" w:rsidRPr="004D3C0E" w:rsidRDefault="007B366E" w:rsidP="0040604A">
            <w:pPr>
              <w:spacing w:after="0" w:line="240" w:lineRule="auto"/>
              <w:ind w:left="0" w:firstLine="0"/>
              <w:jc w:val="left"/>
              <w:rPr>
                <w:color w:val="auto"/>
              </w:rPr>
            </w:pPr>
            <w:r w:rsidRPr="004D3C0E">
              <w:rPr>
                <w:color w:val="auto"/>
              </w:rPr>
              <w:t>Operational Challenges</w:t>
            </w:r>
          </w:p>
        </w:tc>
        <w:tc>
          <w:tcPr>
            <w:tcW w:w="1596" w:type="dxa"/>
            <w:vAlign w:val="center"/>
          </w:tcPr>
          <w:p w14:paraId="7D4A5DE4" w14:textId="77777777" w:rsidR="007B366E" w:rsidRPr="004D3C0E" w:rsidRDefault="007B366E" w:rsidP="0040604A">
            <w:pPr>
              <w:spacing w:after="0" w:line="240" w:lineRule="auto"/>
              <w:ind w:left="442" w:firstLine="0"/>
              <w:jc w:val="left"/>
              <w:rPr>
                <w:color w:val="auto"/>
              </w:rPr>
            </w:pPr>
            <w:r w:rsidRPr="004D3C0E">
              <w:rPr>
                <w:color w:val="auto"/>
              </w:rPr>
              <w:t xml:space="preserve">132 </w:t>
            </w:r>
          </w:p>
        </w:tc>
        <w:tc>
          <w:tcPr>
            <w:tcW w:w="1294" w:type="dxa"/>
            <w:vAlign w:val="center"/>
          </w:tcPr>
          <w:p w14:paraId="2900EB7E" w14:textId="77777777" w:rsidR="007B366E" w:rsidRPr="004D3C0E" w:rsidRDefault="007B366E" w:rsidP="0040604A">
            <w:pPr>
              <w:spacing w:after="0" w:line="240" w:lineRule="auto"/>
              <w:ind w:left="149" w:firstLine="0"/>
              <w:jc w:val="left"/>
              <w:rPr>
                <w:color w:val="auto"/>
              </w:rPr>
            </w:pPr>
            <w:r w:rsidRPr="004D3C0E">
              <w:rPr>
                <w:color w:val="auto"/>
              </w:rPr>
              <w:t xml:space="preserve">7.3769 </w:t>
            </w:r>
          </w:p>
        </w:tc>
        <w:tc>
          <w:tcPr>
            <w:tcW w:w="1306" w:type="dxa"/>
            <w:vAlign w:val="center"/>
          </w:tcPr>
          <w:p w14:paraId="2356F766" w14:textId="77777777" w:rsidR="007B366E" w:rsidRPr="004D3C0E" w:rsidRDefault="007B366E" w:rsidP="0040604A">
            <w:pPr>
              <w:spacing w:after="0" w:line="240" w:lineRule="auto"/>
              <w:ind w:left="216" w:firstLine="0"/>
              <w:jc w:val="left"/>
              <w:rPr>
                <w:color w:val="auto"/>
              </w:rPr>
            </w:pPr>
            <w:r w:rsidRPr="004D3C0E">
              <w:rPr>
                <w:color w:val="auto"/>
              </w:rPr>
              <w:t xml:space="preserve">0.450 </w:t>
            </w:r>
          </w:p>
        </w:tc>
        <w:tc>
          <w:tcPr>
            <w:tcW w:w="941" w:type="dxa"/>
            <w:vAlign w:val="center"/>
          </w:tcPr>
          <w:p w14:paraId="5A5DC77D" w14:textId="77777777" w:rsidR="007B366E" w:rsidRPr="004D3C0E" w:rsidRDefault="007B366E" w:rsidP="0040604A">
            <w:pPr>
              <w:spacing w:after="0" w:line="240" w:lineRule="auto"/>
              <w:ind w:left="130" w:firstLine="0"/>
              <w:jc w:val="left"/>
              <w:rPr>
                <w:color w:val="auto"/>
              </w:rPr>
            </w:pPr>
            <w:r w:rsidRPr="004D3C0E">
              <w:rPr>
                <w:color w:val="auto"/>
              </w:rPr>
              <w:t xml:space="preserve">-0.239 </w:t>
            </w:r>
          </w:p>
        </w:tc>
      </w:tr>
      <w:tr w:rsidR="007B366E" w:rsidRPr="004D3C0E" w14:paraId="2F4E142F" w14:textId="77777777" w:rsidTr="0040604A">
        <w:trPr>
          <w:trHeight w:val="360"/>
        </w:trPr>
        <w:tc>
          <w:tcPr>
            <w:tcW w:w="3132" w:type="dxa"/>
            <w:vAlign w:val="center"/>
          </w:tcPr>
          <w:p w14:paraId="50F7295E" w14:textId="77777777" w:rsidR="007B366E" w:rsidRPr="004D3C0E" w:rsidRDefault="007B366E" w:rsidP="0040604A">
            <w:pPr>
              <w:spacing w:after="0" w:line="240" w:lineRule="auto"/>
              <w:ind w:left="0" w:firstLine="0"/>
              <w:jc w:val="left"/>
              <w:rPr>
                <w:color w:val="auto"/>
              </w:rPr>
            </w:pPr>
            <w:r w:rsidRPr="004D3C0E">
              <w:rPr>
                <w:color w:val="auto"/>
              </w:rPr>
              <w:t>Tax Compliance Challenges</w:t>
            </w:r>
          </w:p>
        </w:tc>
        <w:tc>
          <w:tcPr>
            <w:tcW w:w="1596" w:type="dxa"/>
            <w:vAlign w:val="center"/>
          </w:tcPr>
          <w:p w14:paraId="34FACC72" w14:textId="77777777" w:rsidR="007B366E" w:rsidRPr="004D3C0E" w:rsidRDefault="007B366E" w:rsidP="0040604A">
            <w:pPr>
              <w:spacing w:after="0" w:line="240" w:lineRule="auto"/>
              <w:ind w:left="442" w:firstLine="0"/>
              <w:jc w:val="left"/>
              <w:rPr>
                <w:color w:val="auto"/>
              </w:rPr>
            </w:pPr>
            <w:r w:rsidRPr="004D3C0E">
              <w:rPr>
                <w:color w:val="auto"/>
              </w:rPr>
              <w:t xml:space="preserve">132 </w:t>
            </w:r>
          </w:p>
        </w:tc>
        <w:tc>
          <w:tcPr>
            <w:tcW w:w="1294" w:type="dxa"/>
            <w:vAlign w:val="center"/>
          </w:tcPr>
          <w:p w14:paraId="14820E54" w14:textId="77777777" w:rsidR="007B366E" w:rsidRPr="004D3C0E" w:rsidRDefault="007B366E" w:rsidP="0040604A">
            <w:pPr>
              <w:spacing w:after="0" w:line="240" w:lineRule="auto"/>
              <w:ind w:left="149" w:firstLine="0"/>
              <w:jc w:val="left"/>
              <w:rPr>
                <w:color w:val="auto"/>
              </w:rPr>
            </w:pPr>
            <w:r w:rsidRPr="004D3C0E">
              <w:rPr>
                <w:color w:val="auto"/>
              </w:rPr>
              <w:t xml:space="preserve">6.8617 </w:t>
            </w:r>
          </w:p>
        </w:tc>
        <w:tc>
          <w:tcPr>
            <w:tcW w:w="1306" w:type="dxa"/>
            <w:vAlign w:val="center"/>
          </w:tcPr>
          <w:p w14:paraId="5C6C68FB" w14:textId="77777777" w:rsidR="007B366E" w:rsidRPr="004D3C0E" w:rsidRDefault="007B366E" w:rsidP="0040604A">
            <w:pPr>
              <w:spacing w:after="0" w:line="240" w:lineRule="auto"/>
              <w:ind w:left="216" w:firstLine="0"/>
              <w:jc w:val="left"/>
              <w:rPr>
                <w:color w:val="auto"/>
              </w:rPr>
            </w:pPr>
            <w:r w:rsidRPr="004D3C0E">
              <w:rPr>
                <w:color w:val="auto"/>
              </w:rPr>
              <w:t xml:space="preserve">0.425 </w:t>
            </w:r>
          </w:p>
        </w:tc>
        <w:tc>
          <w:tcPr>
            <w:tcW w:w="941" w:type="dxa"/>
            <w:vAlign w:val="center"/>
          </w:tcPr>
          <w:p w14:paraId="4604556D" w14:textId="77777777" w:rsidR="007B366E" w:rsidRPr="004D3C0E" w:rsidRDefault="007B366E" w:rsidP="0040604A">
            <w:pPr>
              <w:spacing w:after="0" w:line="240" w:lineRule="auto"/>
              <w:ind w:left="170" w:firstLine="0"/>
              <w:jc w:val="left"/>
              <w:rPr>
                <w:color w:val="auto"/>
              </w:rPr>
            </w:pPr>
            <w:r w:rsidRPr="004D3C0E">
              <w:rPr>
                <w:color w:val="auto"/>
              </w:rPr>
              <w:t xml:space="preserve">0.604 </w:t>
            </w:r>
          </w:p>
        </w:tc>
      </w:tr>
      <w:tr w:rsidR="007B366E" w:rsidRPr="004D3C0E" w14:paraId="0C0B2AE9" w14:textId="77777777" w:rsidTr="0040604A">
        <w:trPr>
          <w:trHeight w:val="90"/>
        </w:trPr>
        <w:tc>
          <w:tcPr>
            <w:tcW w:w="3132" w:type="dxa"/>
            <w:vAlign w:val="center"/>
          </w:tcPr>
          <w:p w14:paraId="616923E4" w14:textId="77777777" w:rsidR="007B366E" w:rsidRPr="004D3C0E" w:rsidRDefault="007B366E" w:rsidP="0040604A">
            <w:pPr>
              <w:spacing w:after="0" w:line="240" w:lineRule="auto"/>
              <w:ind w:left="0" w:firstLine="0"/>
              <w:jc w:val="left"/>
              <w:rPr>
                <w:color w:val="auto"/>
              </w:rPr>
            </w:pPr>
            <w:r w:rsidRPr="004D3C0E">
              <w:rPr>
                <w:color w:val="auto"/>
              </w:rPr>
              <w:t>Policy and Governance Challenges</w:t>
            </w:r>
          </w:p>
        </w:tc>
        <w:tc>
          <w:tcPr>
            <w:tcW w:w="1596" w:type="dxa"/>
            <w:vAlign w:val="center"/>
          </w:tcPr>
          <w:p w14:paraId="1992D359" w14:textId="77777777" w:rsidR="007B366E" w:rsidRPr="004D3C0E" w:rsidRDefault="007B366E" w:rsidP="0040604A">
            <w:pPr>
              <w:spacing w:after="0" w:line="240" w:lineRule="auto"/>
              <w:ind w:left="442" w:firstLine="0"/>
              <w:jc w:val="left"/>
              <w:rPr>
                <w:color w:val="auto"/>
              </w:rPr>
            </w:pPr>
            <w:r w:rsidRPr="004D3C0E">
              <w:rPr>
                <w:color w:val="auto"/>
              </w:rPr>
              <w:t xml:space="preserve">132 </w:t>
            </w:r>
          </w:p>
        </w:tc>
        <w:tc>
          <w:tcPr>
            <w:tcW w:w="1294" w:type="dxa"/>
            <w:vAlign w:val="center"/>
          </w:tcPr>
          <w:p w14:paraId="30C2B7ED" w14:textId="77777777" w:rsidR="007B366E" w:rsidRPr="004D3C0E" w:rsidRDefault="007B366E" w:rsidP="0040604A">
            <w:pPr>
              <w:spacing w:after="0" w:line="240" w:lineRule="auto"/>
              <w:ind w:left="149" w:firstLine="0"/>
              <w:jc w:val="left"/>
              <w:rPr>
                <w:color w:val="auto"/>
              </w:rPr>
            </w:pPr>
            <w:r w:rsidRPr="004D3C0E">
              <w:rPr>
                <w:color w:val="auto"/>
              </w:rPr>
              <w:t xml:space="preserve">7.3314 </w:t>
            </w:r>
          </w:p>
        </w:tc>
        <w:tc>
          <w:tcPr>
            <w:tcW w:w="1306" w:type="dxa"/>
            <w:vAlign w:val="center"/>
          </w:tcPr>
          <w:p w14:paraId="3916DA96" w14:textId="77777777" w:rsidR="007B366E" w:rsidRPr="004D3C0E" w:rsidRDefault="007B366E" w:rsidP="0040604A">
            <w:pPr>
              <w:spacing w:after="0" w:line="240" w:lineRule="auto"/>
              <w:ind w:left="216" w:firstLine="0"/>
              <w:jc w:val="left"/>
              <w:rPr>
                <w:color w:val="auto"/>
              </w:rPr>
            </w:pPr>
            <w:r w:rsidRPr="004D3C0E">
              <w:rPr>
                <w:color w:val="auto"/>
              </w:rPr>
              <w:t xml:space="preserve">0.596 </w:t>
            </w:r>
          </w:p>
        </w:tc>
        <w:tc>
          <w:tcPr>
            <w:tcW w:w="941" w:type="dxa"/>
            <w:vAlign w:val="center"/>
          </w:tcPr>
          <w:p w14:paraId="3CCC7E04" w14:textId="77777777" w:rsidR="007B366E" w:rsidRPr="004D3C0E" w:rsidRDefault="007B366E" w:rsidP="0040604A">
            <w:pPr>
              <w:spacing w:after="0" w:line="240" w:lineRule="auto"/>
              <w:ind w:left="170" w:firstLine="0"/>
              <w:jc w:val="left"/>
              <w:rPr>
                <w:color w:val="auto"/>
              </w:rPr>
            </w:pPr>
            <w:r w:rsidRPr="004D3C0E">
              <w:rPr>
                <w:color w:val="auto"/>
              </w:rPr>
              <w:t xml:space="preserve">0.398 </w:t>
            </w:r>
          </w:p>
        </w:tc>
      </w:tr>
      <w:tr w:rsidR="007B366E" w:rsidRPr="004D3C0E" w14:paraId="2FDF72EA" w14:textId="77777777" w:rsidTr="0040604A">
        <w:trPr>
          <w:trHeight w:val="198"/>
        </w:trPr>
        <w:tc>
          <w:tcPr>
            <w:tcW w:w="3132" w:type="dxa"/>
            <w:vAlign w:val="center"/>
          </w:tcPr>
          <w:p w14:paraId="2379DCC0" w14:textId="77777777" w:rsidR="007B366E" w:rsidRPr="004D3C0E" w:rsidRDefault="007B366E" w:rsidP="0040604A">
            <w:pPr>
              <w:spacing w:after="0" w:line="240" w:lineRule="auto"/>
              <w:ind w:left="0" w:firstLine="0"/>
              <w:jc w:val="left"/>
              <w:rPr>
                <w:color w:val="auto"/>
              </w:rPr>
            </w:pPr>
            <w:r w:rsidRPr="004D3C0E">
              <w:rPr>
                <w:color w:val="auto"/>
              </w:rPr>
              <w:t>External Factors</w:t>
            </w:r>
          </w:p>
        </w:tc>
        <w:tc>
          <w:tcPr>
            <w:tcW w:w="1596" w:type="dxa"/>
            <w:vAlign w:val="bottom"/>
          </w:tcPr>
          <w:p w14:paraId="15167CC2" w14:textId="77777777" w:rsidR="007B366E" w:rsidRPr="004D3C0E" w:rsidRDefault="007B366E" w:rsidP="0040604A">
            <w:pPr>
              <w:spacing w:after="0" w:line="240" w:lineRule="auto"/>
              <w:ind w:left="442" w:firstLine="0"/>
              <w:jc w:val="left"/>
              <w:rPr>
                <w:color w:val="auto"/>
              </w:rPr>
            </w:pPr>
            <w:r w:rsidRPr="004D3C0E">
              <w:rPr>
                <w:color w:val="auto"/>
              </w:rPr>
              <w:t xml:space="preserve">132 </w:t>
            </w:r>
          </w:p>
        </w:tc>
        <w:tc>
          <w:tcPr>
            <w:tcW w:w="1294" w:type="dxa"/>
            <w:vAlign w:val="bottom"/>
          </w:tcPr>
          <w:p w14:paraId="1ABCCB23" w14:textId="77777777" w:rsidR="007B366E" w:rsidRPr="004D3C0E" w:rsidRDefault="007B366E" w:rsidP="0040604A">
            <w:pPr>
              <w:spacing w:after="0" w:line="240" w:lineRule="auto"/>
              <w:ind w:left="149" w:firstLine="0"/>
              <w:jc w:val="left"/>
              <w:rPr>
                <w:color w:val="auto"/>
              </w:rPr>
            </w:pPr>
            <w:r w:rsidRPr="004D3C0E">
              <w:rPr>
                <w:color w:val="auto"/>
              </w:rPr>
              <w:t xml:space="preserve">7.0928 </w:t>
            </w:r>
          </w:p>
        </w:tc>
        <w:tc>
          <w:tcPr>
            <w:tcW w:w="1306" w:type="dxa"/>
            <w:vAlign w:val="bottom"/>
          </w:tcPr>
          <w:p w14:paraId="57C9BB14" w14:textId="77777777" w:rsidR="007B366E" w:rsidRPr="004D3C0E" w:rsidRDefault="007B366E" w:rsidP="0040604A">
            <w:pPr>
              <w:spacing w:after="0" w:line="240" w:lineRule="auto"/>
              <w:ind w:left="216" w:firstLine="0"/>
              <w:jc w:val="left"/>
              <w:rPr>
                <w:color w:val="auto"/>
              </w:rPr>
            </w:pPr>
            <w:r w:rsidRPr="004D3C0E">
              <w:rPr>
                <w:color w:val="auto"/>
              </w:rPr>
              <w:t xml:space="preserve">0.888 </w:t>
            </w:r>
          </w:p>
        </w:tc>
        <w:tc>
          <w:tcPr>
            <w:tcW w:w="941" w:type="dxa"/>
            <w:vAlign w:val="bottom"/>
          </w:tcPr>
          <w:p w14:paraId="711AE566" w14:textId="77777777" w:rsidR="007B366E" w:rsidRPr="004D3C0E" w:rsidRDefault="007B366E" w:rsidP="0040604A">
            <w:pPr>
              <w:spacing w:after="0" w:line="240" w:lineRule="auto"/>
              <w:ind w:left="170" w:firstLine="0"/>
              <w:jc w:val="left"/>
              <w:rPr>
                <w:color w:val="auto"/>
              </w:rPr>
            </w:pPr>
            <w:r w:rsidRPr="004D3C0E">
              <w:rPr>
                <w:color w:val="auto"/>
              </w:rPr>
              <w:t xml:space="preserve">1.452 </w:t>
            </w:r>
          </w:p>
        </w:tc>
      </w:tr>
    </w:tbl>
    <w:p w14:paraId="2A485466" w14:textId="77777777" w:rsidR="007B366E" w:rsidRPr="004D3C0E" w:rsidRDefault="007B366E" w:rsidP="007B366E">
      <w:pPr>
        <w:spacing w:after="5" w:line="276" w:lineRule="auto"/>
        <w:ind w:left="-14" w:firstLine="0"/>
        <w:jc w:val="left"/>
        <w:rPr>
          <w:color w:val="auto"/>
          <w:sz w:val="22"/>
        </w:rPr>
      </w:pPr>
    </w:p>
    <w:p w14:paraId="33DA9B48" w14:textId="77777777" w:rsidR="007B366E" w:rsidRPr="004D3C0E" w:rsidRDefault="007B366E" w:rsidP="007B366E">
      <w:pPr>
        <w:spacing w:after="0" w:line="276" w:lineRule="auto"/>
        <w:ind w:left="0" w:firstLine="0"/>
        <w:jc w:val="left"/>
        <w:rPr>
          <w:color w:val="auto"/>
          <w:sz w:val="22"/>
        </w:rPr>
      </w:pPr>
      <w:r w:rsidRPr="004D3C0E">
        <w:rPr>
          <w:color w:val="auto"/>
          <w:sz w:val="22"/>
        </w:rPr>
        <w:t xml:space="preserve"> </w:t>
      </w:r>
    </w:p>
    <w:p w14:paraId="6483E4E8" w14:textId="77777777" w:rsidR="007B366E" w:rsidRPr="004D3C0E" w:rsidRDefault="007B366E" w:rsidP="00DC2780">
      <w:pPr>
        <w:spacing w:after="161" w:line="276" w:lineRule="auto"/>
        <w:ind w:left="-5" w:right="4"/>
        <w:rPr>
          <w:color w:val="auto"/>
          <w:sz w:val="22"/>
        </w:rPr>
      </w:pPr>
      <w:r w:rsidRPr="004D3C0E">
        <w:rPr>
          <w:color w:val="auto"/>
          <w:sz w:val="22"/>
        </w:rPr>
        <w:t>To test for the normality of the distribution, techniques that can be employed include kurtosis and skewness. Skewness measures a distribution’s symmetry, whilst kurtosis measures how flat a distribution is in comparison with a normal distribution (</w:t>
      </w:r>
      <w:proofErr w:type="spellStart"/>
      <w:r w:rsidRPr="004D3C0E">
        <w:rPr>
          <w:color w:val="auto"/>
          <w:sz w:val="22"/>
        </w:rPr>
        <w:t>Commey</w:t>
      </w:r>
      <w:proofErr w:type="spellEnd"/>
      <w:r w:rsidRPr="004D3C0E">
        <w:rPr>
          <w:color w:val="auto"/>
          <w:sz w:val="22"/>
        </w:rPr>
        <w:t xml:space="preserve"> &amp; </w:t>
      </w:r>
      <w:proofErr w:type="spellStart"/>
      <w:r w:rsidRPr="004D3C0E">
        <w:rPr>
          <w:color w:val="auto"/>
          <w:sz w:val="22"/>
        </w:rPr>
        <w:t>Adom</w:t>
      </w:r>
      <w:proofErr w:type="spellEnd"/>
      <w:r w:rsidRPr="004D3C0E">
        <w:rPr>
          <w:color w:val="auto"/>
          <w:sz w:val="22"/>
        </w:rPr>
        <w:t xml:space="preserve">, 2020). The range for measuring skewness lies between -1 and +1, and for kurtosis, between -3 and +3. As shown in Table 2, the values displayed for skewness and kurtosis indicate a normal distribution of the variables. </w:t>
      </w:r>
    </w:p>
    <w:p w14:paraId="775FD6A4" w14:textId="76247ACD" w:rsidR="007B366E" w:rsidRPr="004D3C0E" w:rsidRDefault="007B366E" w:rsidP="00DC2780">
      <w:pPr>
        <w:spacing w:after="161" w:line="276" w:lineRule="auto"/>
        <w:ind w:left="-5" w:right="4"/>
        <w:rPr>
          <w:color w:val="auto"/>
          <w:sz w:val="22"/>
        </w:rPr>
      </w:pPr>
      <w:r w:rsidRPr="004D3C0E">
        <w:rPr>
          <w:color w:val="auto"/>
          <w:sz w:val="22"/>
        </w:rPr>
        <w:t>According to the findings, VAT Revenue (1.133) and Total Tax Revenue (1.215) exceed the acceptable threshold of ±1, indicating a moderate right skewness. This suggests that these variables have a few extremely high values influencing their distributions, potentially due to fluctuations in tax collections. On the other hand, Operational Challenges (0.450), Tax Compliance Challenges</w:t>
      </w:r>
      <w:r w:rsidR="00DC2780">
        <w:rPr>
          <w:color w:val="auto"/>
          <w:sz w:val="22"/>
        </w:rPr>
        <w:t xml:space="preserve"> </w:t>
      </w:r>
      <w:r w:rsidRPr="004D3C0E">
        <w:rPr>
          <w:color w:val="auto"/>
          <w:sz w:val="22"/>
        </w:rPr>
        <w:t xml:space="preserve">(0.425), and Policy and Governance Challenges (0.596) all fall within the normal range, indicating an approximately symmetric distribution. External Factors (0.888), though within the acceptable range, is closer to the upper limit, showing a slight right-skewed tendency. </w:t>
      </w:r>
    </w:p>
    <w:p w14:paraId="32BA4C76" w14:textId="6CE13045" w:rsidR="007B366E" w:rsidRPr="004D3C0E" w:rsidRDefault="007B366E" w:rsidP="00DC2780">
      <w:pPr>
        <w:spacing w:after="161" w:line="276" w:lineRule="auto"/>
        <w:ind w:left="-5" w:right="4"/>
        <w:rPr>
          <w:color w:val="auto"/>
          <w:sz w:val="22"/>
        </w:rPr>
      </w:pPr>
      <w:r w:rsidRPr="004D3C0E">
        <w:rPr>
          <w:color w:val="auto"/>
          <w:sz w:val="22"/>
        </w:rPr>
        <w:t>Kurtosis, which measures the “</w:t>
      </w:r>
      <w:proofErr w:type="spellStart"/>
      <w:r w:rsidRPr="004D3C0E">
        <w:rPr>
          <w:color w:val="auto"/>
          <w:sz w:val="22"/>
        </w:rPr>
        <w:t>tailedness</w:t>
      </w:r>
      <w:proofErr w:type="spellEnd"/>
      <w:r w:rsidRPr="004D3C0E">
        <w:rPr>
          <w:color w:val="auto"/>
          <w:sz w:val="22"/>
        </w:rPr>
        <w:t>” of a distribution, helps determine the presence of extreme values. A kurtosis value of three represents a normal (</w:t>
      </w:r>
      <w:proofErr w:type="spellStart"/>
      <w:r w:rsidRPr="004D3C0E">
        <w:rPr>
          <w:color w:val="auto"/>
          <w:sz w:val="22"/>
        </w:rPr>
        <w:t>mesokurtic</w:t>
      </w:r>
      <w:proofErr w:type="spellEnd"/>
      <w:r w:rsidRPr="004D3C0E">
        <w:rPr>
          <w:color w:val="auto"/>
          <w:sz w:val="22"/>
        </w:rPr>
        <w:t xml:space="preserve">) distribution, while values above three suggest a leptokurtic distribution with heavy tails, and values below three indicate a platykurtic distribution with lighter tails. VAT Revenue (3.021) and Total Tax Revenue (3.456) exhibit slightly leptokurtic tendencies, suggesting that their distributions have more extreme values than a normal distribution, which highlights the variability in tax revenue collections. In contrast, Operational Challenges (-0.239) exhibits platykurtic </w:t>
      </w:r>
      <w:proofErr w:type="spellStart"/>
      <w:r w:rsidR="00DC2780" w:rsidRPr="004D3C0E">
        <w:rPr>
          <w:color w:val="auto"/>
          <w:sz w:val="22"/>
        </w:rPr>
        <w:t>behaviours</w:t>
      </w:r>
      <w:proofErr w:type="spellEnd"/>
      <w:r w:rsidRPr="004D3C0E">
        <w:rPr>
          <w:color w:val="auto"/>
          <w:sz w:val="22"/>
        </w:rPr>
        <w:t xml:space="preserve">, indicating a flatter distribution with fewer extreme values. Tax Compliance Challenges (0.604), Policy and Governance Challenges (0.398), and External Factors (1.452) are also platykurtic but closer to normality, indicating a more evenly spread distribution. </w:t>
      </w:r>
    </w:p>
    <w:p w14:paraId="30142083" w14:textId="77777777" w:rsidR="007B366E" w:rsidRPr="004D3C0E" w:rsidRDefault="007B366E" w:rsidP="00DC2780">
      <w:pPr>
        <w:spacing w:after="161" w:line="276" w:lineRule="auto"/>
        <w:ind w:left="-5" w:right="4"/>
        <w:rPr>
          <w:color w:val="auto"/>
          <w:sz w:val="22"/>
        </w:rPr>
      </w:pPr>
      <w:r w:rsidRPr="004D3C0E">
        <w:rPr>
          <w:color w:val="auto"/>
          <w:sz w:val="22"/>
        </w:rPr>
        <w:t xml:space="preserve">In conclusion, VAT Revenue and Total Tax Revenue deviate from normality due to their moderate right skewness and slightly high kurtosis, which suggests the presence of a few extremely high values affecting their distributions. However, the other variables demonstrate an approximately normal distribution, with some exhibiting slight right skewness or platykurtic tendencies. Based on these findings, parametric </w:t>
      </w:r>
      <w:r w:rsidRPr="004D3C0E">
        <w:rPr>
          <w:color w:val="auto"/>
          <w:sz w:val="22"/>
        </w:rPr>
        <w:lastRenderedPageBreak/>
        <w:t xml:space="preserve">statistical techniques are likely to be appropriate for most variables. However, VAT and Total Tax Revenue may require transformations, such as logarithmic conversion, or the application of non-parametric methods to meet normality assumptions in further statistical analysis. </w:t>
      </w:r>
    </w:p>
    <w:p w14:paraId="0F300CAC" w14:textId="77777777" w:rsidR="007B366E" w:rsidRPr="004D3C0E" w:rsidRDefault="007B366E" w:rsidP="007B366E">
      <w:pPr>
        <w:spacing w:after="161" w:line="276" w:lineRule="auto"/>
        <w:ind w:left="-5" w:right="375"/>
        <w:rPr>
          <w:color w:val="auto"/>
          <w:sz w:val="22"/>
        </w:rPr>
      </w:pPr>
    </w:p>
    <w:p w14:paraId="4162D61C" w14:textId="77777777" w:rsidR="007B366E" w:rsidRPr="004D3C0E" w:rsidRDefault="007B366E" w:rsidP="007B366E">
      <w:pPr>
        <w:keepNext/>
        <w:keepLines/>
        <w:spacing w:after="0" w:line="276" w:lineRule="auto"/>
        <w:ind w:right="5"/>
        <w:outlineLvl w:val="1"/>
        <w:rPr>
          <w:b/>
          <w:i/>
          <w:iCs/>
          <w:color w:val="auto"/>
          <w:sz w:val="22"/>
        </w:rPr>
      </w:pPr>
      <w:bookmarkStart w:id="11" w:name="_Toc211545688"/>
      <w:r w:rsidRPr="004D3C0E">
        <w:rPr>
          <w:b/>
          <w:i/>
          <w:iCs/>
          <w:color w:val="auto"/>
          <w:sz w:val="22"/>
        </w:rPr>
        <w:t>4.4 Descriptive Statistics</w:t>
      </w:r>
      <w:bookmarkEnd w:id="11"/>
      <w:r w:rsidRPr="004D3C0E">
        <w:rPr>
          <w:b/>
          <w:i/>
          <w:iCs/>
          <w:color w:val="auto"/>
          <w:sz w:val="22"/>
        </w:rPr>
        <w:t xml:space="preserve"> </w:t>
      </w:r>
    </w:p>
    <w:p w14:paraId="07BCCFC9" w14:textId="77777777" w:rsidR="007B366E" w:rsidRPr="004D3C0E" w:rsidRDefault="007B366E" w:rsidP="007B366E">
      <w:pPr>
        <w:spacing w:after="0" w:line="276" w:lineRule="auto"/>
        <w:jc w:val="left"/>
        <w:rPr>
          <w:i/>
          <w:iCs/>
          <w:color w:val="auto"/>
          <w:sz w:val="22"/>
        </w:rPr>
      </w:pPr>
      <w:bookmarkStart w:id="12" w:name="_Toc211544246"/>
      <w:r w:rsidRPr="004D3C0E">
        <w:rPr>
          <w:iCs/>
          <w:color w:val="auto"/>
          <w:sz w:val="22"/>
        </w:rPr>
        <w:t>Table 3 Descriptive Statistics</w:t>
      </w:r>
      <w:bookmarkEnd w:id="12"/>
    </w:p>
    <w:tbl>
      <w:tblPr>
        <w:tblStyle w:val="TableGrid"/>
        <w:tblpPr w:vertAnchor="text" w:tblpY="139"/>
        <w:tblOverlap w:val="never"/>
        <w:tblW w:w="9806" w:type="dxa"/>
        <w:tblInd w:w="0" w:type="dxa"/>
        <w:tblBorders>
          <w:top w:val="single" w:sz="4" w:space="0" w:color="auto"/>
          <w:bottom w:val="single" w:sz="4" w:space="0" w:color="auto"/>
        </w:tblBorders>
        <w:tblLook w:val="04A0" w:firstRow="1" w:lastRow="0" w:firstColumn="1" w:lastColumn="0" w:noHBand="0" w:noVBand="1"/>
      </w:tblPr>
      <w:tblGrid>
        <w:gridCol w:w="805"/>
        <w:gridCol w:w="4150"/>
        <w:gridCol w:w="649"/>
        <w:gridCol w:w="1078"/>
        <w:gridCol w:w="1118"/>
        <w:gridCol w:w="960"/>
        <w:gridCol w:w="1046"/>
      </w:tblGrid>
      <w:tr w:rsidR="007B366E" w:rsidRPr="004D3C0E" w14:paraId="01476674" w14:textId="77777777" w:rsidTr="006F22CF">
        <w:trPr>
          <w:trHeight w:val="171"/>
        </w:trPr>
        <w:tc>
          <w:tcPr>
            <w:tcW w:w="810" w:type="dxa"/>
            <w:tcBorders>
              <w:top w:val="single" w:sz="4" w:space="0" w:color="auto"/>
            </w:tcBorders>
          </w:tcPr>
          <w:p w14:paraId="717BFCCD" w14:textId="77777777" w:rsidR="007B366E" w:rsidRPr="004D3C0E" w:rsidRDefault="007B366E" w:rsidP="00491259">
            <w:pPr>
              <w:spacing w:after="0" w:line="240" w:lineRule="auto"/>
              <w:ind w:left="0" w:firstLine="0"/>
              <w:jc w:val="left"/>
              <w:rPr>
                <w:color w:val="auto"/>
              </w:rPr>
            </w:pPr>
            <w:r w:rsidRPr="004D3C0E">
              <w:rPr>
                <w:b/>
                <w:color w:val="auto"/>
              </w:rPr>
              <w:t xml:space="preserve"> </w:t>
            </w:r>
          </w:p>
        </w:tc>
        <w:tc>
          <w:tcPr>
            <w:tcW w:w="4230" w:type="dxa"/>
            <w:tcBorders>
              <w:top w:val="single" w:sz="4" w:space="0" w:color="auto"/>
              <w:bottom w:val="single" w:sz="4" w:space="0" w:color="auto"/>
            </w:tcBorders>
          </w:tcPr>
          <w:p w14:paraId="3C9E39D0" w14:textId="77777777" w:rsidR="007B366E" w:rsidRPr="004D3C0E" w:rsidRDefault="007B366E" w:rsidP="00491259">
            <w:pPr>
              <w:spacing w:after="0" w:line="240" w:lineRule="auto"/>
              <w:ind w:left="0" w:firstLine="0"/>
              <w:jc w:val="left"/>
              <w:rPr>
                <w:color w:val="auto"/>
              </w:rPr>
            </w:pPr>
            <w:r w:rsidRPr="004D3C0E">
              <w:rPr>
                <w:b/>
                <w:color w:val="auto"/>
              </w:rPr>
              <w:t xml:space="preserve"> </w:t>
            </w:r>
          </w:p>
        </w:tc>
        <w:tc>
          <w:tcPr>
            <w:tcW w:w="659" w:type="dxa"/>
            <w:tcBorders>
              <w:top w:val="single" w:sz="4" w:space="0" w:color="auto"/>
              <w:bottom w:val="single" w:sz="4" w:space="0" w:color="auto"/>
            </w:tcBorders>
            <w:vAlign w:val="center"/>
          </w:tcPr>
          <w:p w14:paraId="1D1CA56D" w14:textId="77777777" w:rsidR="007B366E" w:rsidRPr="004D3C0E" w:rsidRDefault="007B366E" w:rsidP="00491259">
            <w:pPr>
              <w:spacing w:after="0" w:line="240" w:lineRule="auto"/>
              <w:ind w:left="79" w:firstLine="0"/>
              <w:jc w:val="center"/>
              <w:rPr>
                <w:color w:val="auto"/>
              </w:rPr>
            </w:pPr>
            <w:r w:rsidRPr="004D3C0E">
              <w:rPr>
                <w:b/>
                <w:color w:val="auto"/>
              </w:rPr>
              <w:t>N</w:t>
            </w:r>
          </w:p>
        </w:tc>
        <w:tc>
          <w:tcPr>
            <w:tcW w:w="1080" w:type="dxa"/>
            <w:tcBorders>
              <w:top w:val="single" w:sz="4" w:space="0" w:color="auto"/>
              <w:bottom w:val="single" w:sz="4" w:space="0" w:color="auto"/>
            </w:tcBorders>
            <w:vAlign w:val="center"/>
          </w:tcPr>
          <w:p w14:paraId="6F02F74C" w14:textId="77777777" w:rsidR="007B366E" w:rsidRPr="004D3C0E" w:rsidRDefault="007B366E" w:rsidP="00491259">
            <w:pPr>
              <w:spacing w:after="0" w:line="240" w:lineRule="auto"/>
              <w:ind w:left="0" w:firstLine="0"/>
              <w:jc w:val="center"/>
              <w:rPr>
                <w:color w:val="auto"/>
              </w:rPr>
            </w:pPr>
            <w:r w:rsidRPr="004D3C0E">
              <w:rPr>
                <w:b/>
                <w:color w:val="auto"/>
              </w:rPr>
              <w:t>Minimum</w:t>
            </w:r>
          </w:p>
        </w:tc>
        <w:tc>
          <w:tcPr>
            <w:tcW w:w="1080" w:type="dxa"/>
            <w:tcBorders>
              <w:top w:val="single" w:sz="4" w:space="0" w:color="auto"/>
              <w:bottom w:val="single" w:sz="4" w:space="0" w:color="auto"/>
            </w:tcBorders>
            <w:vAlign w:val="center"/>
          </w:tcPr>
          <w:p w14:paraId="5FD6215C" w14:textId="77777777" w:rsidR="007B366E" w:rsidRPr="004D3C0E" w:rsidRDefault="007B366E" w:rsidP="00491259">
            <w:pPr>
              <w:spacing w:after="0" w:line="240" w:lineRule="auto"/>
              <w:ind w:left="0" w:firstLine="0"/>
              <w:jc w:val="center"/>
              <w:rPr>
                <w:color w:val="auto"/>
              </w:rPr>
            </w:pPr>
            <w:r w:rsidRPr="004D3C0E">
              <w:rPr>
                <w:b/>
                <w:color w:val="auto"/>
              </w:rPr>
              <w:t>Maximum</w:t>
            </w:r>
          </w:p>
        </w:tc>
        <w:tc>
          <w:tcPr>
            <w:tcW w:w="900" w:type="dxa"/>
            <w:tcBorders>
              <w:top w:val="single" w:sz="4" w:space="0" w:color="auto"/>
              <w:bottom w:val="single" w:sz="4" w:space="0" w:color="auto"/>
            </w:tcBorders>
            <w:vAlign w:val="center"/>
          </w:tcPr>
          <w:p w14:paraId="34CA9EEA" w14:textId="77777777" w:rsidR="007B366E" w:rsidRPr="004D3C0E" w:rsidRDefault="007B366E" w:rsidP="00491259">
            <w:pPr>
              <w:spacing w:after="0" w:line="240" w:lineRule="auto"/>
              <w:ind w:left="149" w:firstLine="0"/>
              <w:jc w:val="center"/>
              <w:rPr>
                <w:color w:val="auto"/>
              </w:rPr>
            </w:pPr>
            <w:r w:rsidRPr="004D3C0E">
              <w:rPr>
                <w:b/>
                <w:color w:val="auto"/>
              </w:rPr>
              <w:t>Mean</w:t>
            </w:r>
          </w:p>
        </w:tc>
        <w:tc>
          <w:tcPr>
            <w:tcW w:w="1047" w:type="dxa"/>
            <w:tcBorders>
              <w:top w:val="single" w:sz="4" w:space="0" w:color="auto"/>
              <w:bottom w:val="single" w:sz="4" w:space="0" w:color="auto"/>
            </w:tcBorders>
            <w:vAlign w:val="center"/>
          </w:tcPr>
          <w:p w14:paraId="5C3F3E57" w14:textId="77777777" w:rsidR="007B366E" w:rsidRPr="004D3C0E" w:rsidRDefault="007B366E" w:rsidP="00491259">
            <w:pPr>
              <w:spacing w:after="0" w:line="240" w:lineRule="auto"/>
              <w:ind w:left="0" w:firstLine="0"/>
              <w:jc w:val="center"/>
              <w:rPr>
                <w:color w:val="auto"/>
              </w:rPr>
            </w:pPr>
            <w:r w:rsidRPr="004D3C0E">
              <w:rPr>
                <w:b/>
                <w:color w:val="auto"/>
              </w:rPr>
              <w:t>Deviation</w:t>
            </w:r>
          </w:p>
        </w:tc>
      </w:tr>
      <w:tr w:rsidR="007B366E" w:rsidRPr="004D3C0E" w14:paraId="7951798C" w14:textId="77777777" w:rsidTr="0040604A">
        <w:trPr>
          <w:trHeight w:val="50"/>
        </w:trPr>
        <w:tc>
          <w:tcPr>
            <w:tcW w:w="810" w:type="dxa"/>
            <w:vAlign w:val="center"/>
          </w:tcPr>
          <w:p w14:paraId="2B321143" w14:textId="77777777" w:rsidR="007B366E" w:rsidRPr="004D3C0E" w:rsidRDefault="007B366E" w:rsidP="00491259">
            <w:pPr>
              <w:spacing w:after="0" w:line="240" w:lineRule="auto"/>
              <w:ind w:left="0" w:firstLine="0"/>
              <w:jc w:val="left"/>
              <w:rPr>
                <w:color w:val="auto"/>
              </w:rPr>
            </w:pPr>
            <w:r w:rsidRPr="004D3C0E">
              <w:rPr>
                <w:color w:val="auto"/>
              </w:rPr>
              <w:t xml:space="preserve">SD1 </w:t>
            </w:r>
          </w:p>
        </w:tc>
        <w:tc>
          <w:tcPr>
            <w:tcW w:w="4230" w:type="dxa"/>
            <w:tcBorders>
              <w:top w:val="single" w:sz="4" w:space="0" w:color="auto"/>
            </w:tcBorders>
            <w:vAlign w:val="center"/>
          </w:tcPr>
          <w:p w14:paraId="3ACCF5C2" w14:textId="77777777" w:rsidR="007B366E" w:rsidRPr="004D3C0E" w:rsidRDefault="007B366E" w:rsidP="00491259">
            <w:pPr>
              <w:spacing w:after="0" w:line="240" w:lineRule="auto"/>
              <w:ind w:left="60" w:firstLine="0"/>
              <w:rPr>
                <w:color w:val="auto"/>
              </w:rPr>
            </w:pPr>
            <w:r w:rsidRPr="004D3C0E">
              <w:rPr>
                <w:color w:val="auto"/>
              </w:rPr>
              <w:t xml:space="preserve">VAT Revenue </w:t>
            </w:r>
          </w:p>
        </w:tc>
        <w:tc>
          <w:tcPr>
            <w:tcW w:w="659" w:type="dxa"/>
            <w:tcBorders>
              <w:top w:val="single" w:sz="4" w:space="0" w:color="auto"/>
            </w:tcBorders>
            <w:vAlign w:val="center"/>
          </w:tcPr>
          <w:p w14:paraId="63FCDE37" w14:textId="77777777" w:rsidR="007B366E" w:rsidRPr="004D3C0E" w:rsidRDefault="007B366E" w:rsidP="00491259">
            <w:pPr>
              <w:spacing w:after="0" w:line="240" w:lineRule="auto"/>
              <w:ind w:left="55" w:firstLine="0"/>
              <w:jc w:val="center"/>
              <w:rPr>
                <w:color w:val="auto"/>
              </w:rPr>
            </w:pPr>
            <w:r w:rsidRPr="004D3C0E">
              <w:rPr>
                <w:color w:val="auto"/>
              </w:rPr>
              <w:t>11</w:t>
            </w:r>
          </w:p>
        </w:tc>
        <w:tc>
          <w:tcPr>
            <w:tcW w:w="1080" w:type="dxa"/>
            <w:tcBorders>
              <w:top w:val="single" w:sz="4" w:space="0" w:color="auto"/>
            </w:tcBorders>
            <w:vAlign w:val="center"/>
          </w:tcPr>
          <w:p w14:paraId="76E5D81E" w14:textId="77777777" w:rsidR="007B366E" w:rsidRPr="004D3C0E" w:rsidRDefault="007B366E" w:rsidP="00491259">
            <w:pPr>
              <w:spacing w:after="0" w:line="240" w:lineRule="auto"/>
              <w:ind w:left="127" w:firstLine="0"/>
              <w:jc w:val="center"/>
              <w:rPr>
                <w:color w:val="auto"/>
              </w:rPr>
            </w:pPr>
            <w:r w:rsidRPr="004D3C0E">
              <w:rPr>
                <w:color w:val="auto"/>
              </w:rPr>
              <w:t>4,697.50</w:t>
            </w:r>
          </w:p>
        </w:tc>
        <w:tc>
          <w:tcPr>
            <w:tcW w:w="1080" w:type="dxa"/>
            <w:tcBorders>
              <w:top w:val="single" w:sz="4" w:space="0" w:color="auto"/>
            </w:tcBorders>
            <w:vAlign w:val="center"/>
          </w:tcPr>
          <w:p w14:paraId="6AA0E591" w14:textId="77777777" w:rsidR="007B366E" w:rsidRPr="004D3C0E" w:rsidRDefault="007B366E" w:rsidP="00491259">
            <w:pPr>
              <w:spacing w:after="0" w:line="240" w:lineRule="auto"/>
              <w:ind w:left="94" w:firstLine="0"/>
              <w:jc w:val="center"/>
              <w:rPr>
                <w:color w:val="auto"/>
              </w:rPr>
            </w:pPr>
            <w:r w:rsidRPr="004D3C0E">
              <w:rPr>
                <w:color w:val="auto"/>
              </w:rPr>
              <w:t>26,197.99</w:t>
            </w:r>
          </w:p>
        </w:tc>
        <w:tc>
          <w:tcPr>
            <w:tcW w:w="900" w:type="dxa"/>
            <w:tcBorders>
              <w:top w:val="single" w:sz="4" w:space="0" w:color="auto"/>
            </w:tcBorders>
            <w:vAlign w:val="center"/>
          </w:tcPr>
          <w:p w14:paraId="3993D074" w14:textId="77777777" w:rsidR="007B366E" w:rsidRPr="004D3C0E" w:rsidRDefault="007B366E" w:rsidP="00491259">
            <w:pPr>
              <w:spacing w:after="0" w:line="240" w:lineRule="auto"/>
              <w:ind w:left="0" w:firstLine="0"/>
              <w:jc w:val="center"/>
              <w:rPr>
                <w:color w:val="auto"/>
              </w:rPr>
            </w:pPr>
            <w:r w:rsidRPr="004D3C0E">
              <w:rPr>
                <w:color w:val="auto"/>
              </w:rPr>
              <w:t>10,287.58</w:t>
            </w:r>
          </w:p>
        </w:tc>
        <w:tc>
          <w:tcPr>
            <w:tcW w:w="1047" w:type="dxa"/>
            <w:tcBorders>
              <w:top w:val="single" w:sz="4" w:space="0" w:color="auto"/>
            </w:tcBorders>
            <w:vAlign w:val="center"/>
          </w:tcPr>
          <w:p w14:paraId="76B0D7BE" w14:textId="77777777" w:rsidR="007B366E" w:rsidRPr="004D3C0E" w:rsidRDefault="007B366E" w:rsidP="00491259">
            <w:pPr>
              <w:spacing w:after="0" w:line="240" w:lineRule="auto"/>
              <w:ind w:left="108" w:firstLine="0"/>
              <w:jc w:val="center"/>
              <w:rPr>
                <w:color w:val="auto"/>
              </w:rPr>
            </w:pPr>
            <w:r w:rsidRPr="004D3C0E">
              <w:rPr>
                <w:color w:val="auto"/>
              </w:rPr>
              <w:t>6,126.24</w:t>
            </w:r>
          </w:p>
        </w:tc>
      </w:tr>
      <w:tr w:rsidR="007B366E" w:rsidRPr="004D3C0E" w14:paraId="028BA9D3" w14:textId="77777777" w:rsidTr="0040604A">
        <w:trPr>
          <w:trHeight w:val="60"/>
        </w:trPr>
        <w:tc>
          <w:tcPr>
            <w:tcW w:w="810" w:type="dxa"/>
            <w:vAlign w:val="center"/>
          </w:tcPr>
          <w:p w14:paraId="45B0F4DB" w14:textId="77777777" w:rsidR="007B366E" w:rsidRPr="004D3C0E" w:rsidRDefault="007B366E" w:rsidP="00491259">
            <w:pPr>
              <w:spacing w:after="0" w:line="240" w:lineRule="auto"/>
              <w:ind w:left="0" w:firstLine="0"/>
              <w:jc w:val="left"/>
              <w:rPr>
                <w:color w:val="auto"/>
              </w:rPr>
            </w:pPr>
            <w:r w:rsidRPr="004D3C0E">
              <w:rPr>
                <w:color w:val="auto"/>
              </w:rPr>
              <w:t xml:space="preserve">SD2 </w:t>
            </w:r>
          </w:p>
        </w:tc>
        <w:tc>
          <w:tcPr>
            <w:tcW w:w="4230" w:type="dxa"/>
            <w:vAlign w:val="center"/>
          </w:tcPr>
          <w:p w14:paraId="30AE5F49" w14:textId="77777777" w:rsidR="007B366E" w:rsidRPr="004D3C0E" w:rsidRDefault="007B366E" w:rsidP="00491259">
            <w:pPr>
              <w:spacing w:after="0" w:line="240" w:lineRule="auto"/>
              <w:ind w:left="60" w:firstLine="0"/>
              <w:rPr>
                <w:color w:val="auto"/>
              </w:rPr>
            </w:pPr>
            <w:r w:rsidRPr="004D3C0E">
              <w:rPr>
                <w:color w:val="auto"/>
              </w:rPr>
              <w:t xml:space="preserve">Total Tax Revenue </w:t>
            </w:r>
          </w:p>
        </w:tc>
        <w:tc>
          <w:tcPr>
            <w:tcW w:w="659" w:type="dxa"/>
            <w:vAlign w:val="center"/>
          </w:tcPr>
          <w:p w14:paraId="2C8A3250" w14:textId="77777777" w:rsidR="007B366E" w:rsidRPr="004D3C0E" w:rsidRDefault="007B366E" w:rsidP="00491259">
            <w:pPr>
              <w:spacing w:after="0" w:line="240" w:lineRule="auto"/>
              <w:ind w:left="55" w:firstLine="0"/>
              <w:jc w:val="center"/>
              <w:rPr>
                <w:color w:val="auto"/>
              </w:rPr>
            </w:pPr>
            <w:r w:rsidRPr="004D3C0E">
              <w:rPr>
                <w:color w:val="auto"/>
              </w:rPr>
              <w:t>11</w:t>
            </w:r>
          </w:p>
        </w:tc>
        <w:tc>
          <w:tcPr>
            <w:tcW w:w="1080" w:type="dxa"/>
            <w:vAlign w:val="center"/>
          </w:tcPr>
          <w:p w14:paraId="4CB8E2C8" w14:textId="77777777" w:rsidR="007B366E" w:rsidRPr="004D3C0E" w:rsidRDefault="007B366E" w:rsidP="00491259">
            <w:pPr>
              <w:spacing w:after="0" w:line="240" w:lineRule="auto"/>
              <w:ind w:left="72" w:firstLine="0"/>
              <w:jc w:val="center"/>
              <w:rPr>
                <w:color w:val="auto"/>
              </w:rPr>
            </w:pPr>
            <w:r w:rsidRPr="004D3C0E">
              <w:rPr>
                <w:color w:val="auto"/>
              </w:rPr>
              <w:t>19,399.90</w:t>
            </w:r>
          </w:p>
        </w:tc>
        <w:tc>
          <w:tcPr>
            <w:tcW w:w="1080" w:type="dxa"/>
            <w:vAlign w:val="center"/>
          </w:tcPr>
          <w:p w14:paraId="6BE0E394" w14:textId="77777777" w:rsidR="007B366E" w:rsidRPr="004D3C0E" w:rsidRDefault="007B366E" w:rsidP="00491259">
            <w:pPr>
              <w:spacing w:after="0" w:line="240" w:lineRule="auto"/>
              <w:ind w:left="38" w:firstLine="0"/>
              <w:jc w:val="center"/>
              <w:rPr>
                <w:color w:val="auto"/>
              </w:rPr>
            </w:pPr>
            <w:r w:rsidRPr="004D3C0E">
              <w:rPr>
                <w:color w:val="auto"/>
              </w:rPr>
              <w:t>107,648.60</w:t>
            </w:r>
          </w:p>
        </w:tc>
        <w:tc>
          <w:tcPr>
            <w:tcW w:w="900" w:type="dxa"/>
            <w:vAlign w:val="center"/>
          </w:tcPr>
          <w:p w14:paraId="2D878533" w14:textId="77777777" w:rsidR="007B366E" w:rsidRPr="004D3C0E" w:rsidRDefault="007B366E" w:rsidP="00491259">
            <w:pPr>
              <w:spacing w:after="0" w:line="240" w:lineRule="auto"/>
              <w:ind w:left="0" w:firstLine="0"/>
              <w:jc w:val="center"/>
              <w:rPr>
                <w:color w:val="auto"/>
              </w:rPr>
            </w:pPr>
            <w:r w:rsidRPr="004D3C0E">
              <w:rPr>
                <w:color w:val="auto"/>
              </w:rPr>
              <w:t>42,148.63</w:t>
            </w:r>
          </w:p>
        </w:tc>
        <w:tc>
          <w:tcPr>
            <w:tcW w:w="1047" w:type="dxa"/>
            <w:vAlign w:val="center"/>
          </w:tcPr>
          <w:p w14:paraId="430DC6AD" w14:textId="77777777" w:rsidR="007B366E" w:rsidRPr="004D3C0E" w:rsidRDefault="007B366E" w:rsidP="00491259">
            <w:pPr>
              <w:spacing w:after="0" w:line="240" w:lineRule="auto"/>
              <w:ind w:left="53" w:firstLine="0"/>
              <w:jc w:val="center"/>
              <w:rPr>
                <w:color w:val="auto"/>
              </w:rPr>
            </w:pPr>
            <w:r w:rsidRPr="004D3C0E">
              <w:rPr>
                <w:color w:val="auto"/>
              </w:rPr>
              <w:t>27,899.07</w:t>
            </w:r>
          </w:p>
        </w:tc>
      </w:tr>
      <w:tr w:rsidR="007B366E" w:rsidRPr="004D3C0E" w14:paraId="0F8FFAB5" w14:textId="77777777" w:rsidTr="0040604A">
        <w:trPr>
          <w:trHeight w:val="118"/>
        </w:trPr>
        <w:tc>
          <w:tcPr>
            <w:tcW w:w="810" w:type="dxa"/>
            <w:vAlign w:val="center"/>
          </w:tcPr>
          <w:p w14:paraId="42FEC85D" w14:textId="77777777" w:rsidR="007B366E" w:rsidRPr="004D3C0E" w:rsidRDefault="007B366E" w:rsidP="00491259">
            <w:pPr>
              <w:spacing w:after="0" w:line="240" w:lineRule="auto"/>
              <w:ind w:left="60" w:firstLine="0"/>
              <w:jc w:val="left"/>
              <w:rPr>
                <w:color w:val="auto"/>
              </w:rPr>
            </w:pPr>
            <w:r w:rsidRPr="004D3C0E">
              <w:rPr>
                <w:color w:val="auto"/>
              </w:rPr>
              <w:t xml:space="preserve">OP1 </w:t>
            </w:r>
          </w:p>
        </w:tc>
        <w:tc>
          <w:tcPr>
            <w:tcW w:w="4230" w:type="dxa"/>
            <w:vAlign w:val="center"/>
          </w:tcPr>
          <w:p w14:paraId="435960EB" w14:textId="77777777" w:rsidR="007B366E" w:rsidRPr="004D3C0E" w:rsidRDefault="007B366E" w:rsidP="00491259">
            <w:pPr>
              <w:spacing w:after="0" w:line="240" w:lineRule="auto"/>
              <w:ind w:left="60" w:right="593" w:firstLine="0"/>
              <w:rPr>
                <w:color w:val="auto"/>
              </w:rPr>
            </w:pPr>
            <w:r w:rsidRPr="004D3C0E">
              <w:rPr>
                <w:color w:val="auto"/>
              </w:rPr>
              <w:t xml:space="preserve">What is the primary challenge affecting the efficiency of VAT collection? </w:t>
            </w:r>
          </w:p>
        </w:tc>
        <w:tc>
          <w:tcPr>
            <w:tcW w:w="659" w:type="dxa"/>
            <w:vAlign w:val="center"/>
          </w:tcPr>
          <w:p w14:paraId="56E7ECA3"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1080" w:type="dxa"/>
            <w:vAlign w:val="center"/>
          </w:tcPr>
          <w:p w14:paraId="1A6E1E2E"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0D8892F2"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4B7A0549" w14:textId="77777777" w:rsidR="007B366E" w:rsidRPr="004D3C0E" w:rsidRDefault="007B366E" w:rsidP="00491259">
            <w:pPr>
              <w:spacing w:after="0" w:line="240" w:lineRule="auto"/>
              <w:ind w:left="139" w:firstLine="0"/>
              <w:jc w:val="center"/>
              <w:rPr>
                <w:color w:val="auto"/>
              </w:rPr>
            </w:pPr>
            <w:r w:rsidRPr="004D3C0E">
              <w:rPr>
                <w:color w:val="auto"/>
              </w:rPr>
              <w:t>2.2424</w:t>
            </w:r>
          </w:p>
        </w:tc>
        <w:tc>
          <w:tcPr>
            <w:tcW w:w="1047" w:type="dxa"/>
            <w:vAlign w:val="center"/>
          </w:tcPr>
          <w:p w14:paraId="2329A447" w14:textId="77777777" w:rsidR="007B366E" w:rsidRPr="004D3C0E" w:rsidRDefault="007B366E" w:rsidP="00491259">
            <w:pPr>
              <w:spacing w:after="0" w:line="240" w:lineRule="auto"/>
              <w:ind w:left="134" w:firstLine="0"/>
              <w:jc w:val="center"/>
              <w:rPr>
                <w:color w:val="auto"/>
              </w:rPr>
            </w:pPr>
            <w:r w:rsidRPr="004D3C0E">
              <w:rPr>
                <w:color w:val="auto"/>
              </w:rPr>
              <w:t>1.06378</w:t>
            </w:r>
          </w:p>
        </w:tc>
      </w:tr>
      <w:tr w:rsidR="007B366E" w:rsidRPr="004D3C0E" w14:paraId="740F8BE8" w14:textId="77777777" w:rsidTr="0040604A">
        <w:trPr>
          <w:trHeight w:val="253"/>
        </w:trPr>
        <w:tc>
          <w:tcPr>
            <w:tcW w:w="810" w:type="dxa"/>
            <w:vAlign w:val="center"/>
          </w:tcPr>
          <w:p w14:paraId="2191AD19" w14:textId="77777777" w:rsidR="007B366E" w:rsidRPr="004D3C0E" w:rsidRDefault="007B366E" w:rsidP="00491259">
            <w:pPr>
              <w:spacing w:after="0" w:line="240" w:lineRule="auto"/>
              <w:ind w:left="60" w:firstLine="0"/>
              <w:jc w:val="left"/>
              <w:rPr>
                <w:color w:val="auto"/>
              </w:rPr>
            </w:pPr>
            <w:r w:rsidRPr="004D3C0E">
              <w:rPr>
                <w:color w:val="auto"/>
              </w:rPr>
              <w:t xml:space="preserve">OP2 </w:t>
            </w:r>
          </w:p>
        </w:tc>
        <w:tc>
          <w:tcPr>
            <w:tcW w:w="4230" w:type="dxa"/>
            <w:vAlign w:val="center"/>
          </w:tcPr>
          <w:p w14:paraId="6CAA6C86" w14:textId="77777777" w:rsidR="007B366E" w:rsidRPr="004D3C0E" w:rsidRDefault="007B366E" w:rsidP="00491259">
            <w:pPr>
              <w:spacing w:after="0" w:line="240" w:lineRule="auto"/>
              <w:ind w:left="60" w:right="559" w:firstLine="0"/>
              <w:rPr>
                <w:color w:val="auto"/>
              </w:rPr>
            </w:pPr>
            <w:r w:rsidRPr="004D3C0E">
              <w:rPr>
                <w:color w:val="auto"/>
              </w:rPr>
              <w:t xml:space="preserve">What type of training do GRA officials require to improve VAT collection? </w:t>
            </w:r>
          </w:p>
        </w:tc>
        <w:tc>
          <w:tcPr>
            <w:tcW w:w="659" w:type="dxa"/>
            <w:vAlign w:val="center"/>
          </w:tcPr>
          <w:p w14:paraId="611245B7"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1080" w:type="dxa"/>
            <w:vAlign w:val="center"/>
          </w:tcPr>
          <w:p w14:paraId="15097332"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2695065B"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3E218595" w14:textId="77777777" w:rsidR="007B366E" w:rsidRPr="004D3C0E" w:rsidRDefault="007B366E" w:rsidP="00491259">
            <w:pPr>
              <w:spacing w:after="0" w:line="240" w:lineRule="auto"/>
              <w:ind w:left="139" w:firstLine="0"/>
              <w:jc w:val="center"/>
              <w:rPr>
                <w:color w:val="auto"/>
              </w:rPr>
            </w:pPr>
            <w:r w:rsidRPr="004D3C0E">
              <w:rPr>
                <w:color w:val="auto"/>
              </w:rPr>
              <w:t>2.1667</w:t>
            </w:r>
          </w:p>
        </w:tc>
        <w:tc>
          <w:tcPr>
            <w:tcW w:w="1047" w:type="dxa"/>
            <w:vAlign w:val="center"/>
          </w:tcPr>
          <w:p w14:paraId="270E8BA2" w14:textId="77777777" w:rsidR="007B366E" w:rsidRPr="004D3C0E" w:rsidRDefault="007B366E" w:rsidP="00491259">
            <w:pPr>
              <w:spacing w:after="0" w:line="240" w:lineRule="auto"/>
              <w:ind w:left="134" w:firstLine="0"/>
              <w:jc w:val="center"/>
              <w:rPr>
                <w:color w:val="auto"/>
              </w:rPr>
            </w:pPr>
            <w:r w:rsidRPr="004D3C0E">
              <w:rPr>
                <w:color w:val="auto"/>
              </w:rPr>
              <w:t>1.04966</w:t>
            </w:r>
          </w:p>
        </w:tc>
      </w:tr>
      <w:tr w:rsidR="007B366E" w:rsidRPr="004D3C0E" w14:paraId="6481106C" w14:textId="77777777" w:rsidTr="0040604A">
        <w:trPr>
          <w:trHeight w:val="180"/>
        </w:trPr>
        <w:tc>
          <w:tcPr>
            <w:tcW w:w="810" w:type="dxa"/>
            <w:vAlign w:val="center"/>
          </w:tcPr>
          <w:p w14:paraId="13773D1E" w14:textId="77777777" w:rsidR="007B366E" w:rsidRPr="004D3C0E" w:rsidRDefault="007B366E" w:rsidP="00491259">
            <w:pPr>
              <w:spacing w:after="0" w:line="240" w:lineRule="auto"/>
              <w:ind w:left="60" w:firstLine="0"/>
              <w:jc w:val="left"/>
              <w:rPr>
                <w:color w:val="auto"/>
              </w:rPr>
            </w:pPr>
            <w:r w:rsidRPr="004D3C0E">
              <w:rPr>
                <w:color w:val="auto"/>
              </w:rPr>
              <w:t xml:space="preserve">OP3 </w:t>
            </w:r>
          </w:p>
        </w:tc>
        <w:tc>
          <w:tcPr>
            <w:tcW w:w="4230" w:type="dxa"/>
            <w:vAlign w:val="center"/>
          </w:tcPr>
          <w:p w14:paraId="607068DC" w14:textId="77777777" w:rsidR="007B366E" w:rsidRPr="004D3C0E" w:rsidRDefault="007B366E" w:rsidP="00491259">
            <w:pPr>
              <w:spacing w:after="0" w:line="240" w:lineRule="auto"/>
              <w:ind w:left="60" w:right="185" w:firstLine="0"/>
              <w:jc w:val="left"/>
              <w:rPr>
                <w:color w:val="auto"/>
              </w:rPr>
            </w:pPr>
            <w:r w:rsidRPr="004D3C0E">
              <w:rPr>
                <w:color w:val="auto"/>
              </w:rPr>
              <w:t xml:space="preserve">What is the current state of GRA’s technological infrastructure for VAT administration? </w:t>
            </w:r>
          </w:p>
        </w:tc>
        <w:tc>
          <w:tcPr>
            <w:tcW w:w="659" w:type="dxa"/>
            <w:vAlign w:val="center"/>
          </w:tcPr>
          <w:p w14:paraId="5373AC44" w14:textId="77777777" w:rsidR="007B366E" w:rsidRPr="004D3C0E" w:rsidRDefault="007B366E" w:rsidP="00491259">
            <w:pPr>
              <w:spacing w:after="0" w:line="240" w:lineRule="auto"/>
              <w:ind w:left="0" w:firstLine="0"/>
              <w:jc w:val="left"/>
              <w:rPr>
                <w:color w:val="auto"/>
              </w:rPr>
            </w:pPr>
            <w:r w:rsidRPr="004D3C0E">
              <w:rPr>
                <w:color w:val="auto"/>
              </w:rPr>
              <w:t>132</w:t>
            </w:r>
          </w:p>
        </w:tc>
        <w:tc>
          <w:tcPr>
            <w:tcW w:w="1080" w:type="dxa"/>
            <w:vAlign w:val="center"/>
          </w:tcPr>
          <w:p w14:paraId="17A49F92"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218A68FA"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55E9F67E" w14:textId="77777777" w:rsidR="007B366E" w:rsidRPr="004D3C0E" w:rsidRDefault="007B366E" w:rsidP="00491259">
            <w:pPr>
              <w:spacing w:after="0" w:line="240" w:lineRule="auto"/>
              <w:ind w:left="139" w:firstLine="0"/>
              <w:jc w:val="center"/>
              <w:rPr>
                <w:color w:val="auto"/>
              </w:rPr>
            </w:pPr>
            <w:r w:rsidRPr="004D3C0E">
              <w:rPr>
                <w:color w:val="auto"/>
              </w:rPr>
              <w:t>2.4242</w:t>
            </w:r>
          </w:p>
        </w:tc>
        <w:tc>
          <w:tcPr>
            <w:tcW w:w="1047" w:type="dxa"/>
            <w:vAlign w:val="center"/>
          </w:tcPr>
          <w:p w14:paraId="0BA2180B" w14:textId="77777777" w:rsidR="007B366E" w:rsidRPr="004D3C0E" w:rsidRDefault="007B366E" w:rsidP="00491259">
            <w:pPr>
              <w:spacing w:after="0" w:line="240" w:lineRule="auto"/>
              <w:ind w:left="0" w:right="60" w:firstLine="0"/>
              <w:jc w:val="center"/>
              <w:rPr>
                <w:color w:val="auto"/>
              </w:rPr>
            </w:pPr>
            <w:r w:rsidRPr="004D3C0E">
              <w:rPr>
                <w:color w:val="auto"/>
              </w:rPr>
              <w:t>.93385</w:t>
            </w:r>
          </w:p>
        </w:tc>
      </w:tr>
      <w:tr w:rsidR="007B366E" w:rsidRPr="004D3C0E" w14:paraId="7263C0A6" w14:textId="77777777" w:rsidTr="0040604A">
        <w:trPr>
          <w:trHeight w:val="90"/>
        </w:trPr>
        <w:tc>
          <w:tcPr>
            <w:tcW w:w="810" w:type="dxa"/>
            <w:vAlign w:val="center"/>
          </w:tcPr>
          <w:p w14:paraId="465FE270" w14:textId="77777777" w:rsidR="007B366E" w:rsidRPr="004D3C0E" w:rsidRDefault="007B366E" w:rsidP="00491259">
            <w:pPr>
              <w:spacing w:after="0" w:line="240" w:lineRule="auto"/>
              <w:ind w:left="60" w:firstLine="0"/>
              <w:jc w:val="left"/>
              <w:rPr>
                <w:color w:val="auto"/>
              </w:rPr>
            </w:pPr>
            <w:r w:rsidRPr="004D3C0E">
              <w:rPr>
                <w:color w:val="auto"/>
              </w:rPr>
              <w:t xml:space="preserve">OP4 </w:t>
            </w:r>
          </w:p>
        </w:tc>
        <w:tc>
          <w:tcPr>
            <w:tcW w:w="4230" w:type="dxa"/>
            <w:vAlign w:val="center"/>
          </w:tcPr>
          <w:p w14:paraId="677ECF68" w14:textId="77777777" w:rsidR="007B366E" w:rsidRPr="004D3C0E" w:rsidRDefault="007B366E" w:rsidP="00491259">
            <w:pPr>
              <w:spacing w:after="0" w:line="240" w:lineRule="auto"/>
              <w:ind w:left="60" w:firstLine="0"/>
              <w:jc w:val="left"/>
              <w:rPr>
                <w:color w:val="auto"/>
              </w:rPr>
            </w:pPr>
            <w:r w:rsidRPr="004D3C0E">
              <w:rPr>
                <w:color w:val="auto"/>
              </w:rPr>
              <w:t xml:space="preserve">What hinders the full implementation of automated systems for VAT collection? </w:t>
            </w:r>
          </w:p>
        </w:tc>
        <w:tc>
          <w:tcPr>
            <w:tcW w:w="659" w:type="dxa"/>
            <w:vAlign w:val="center"/>
          </w:tcPr>
          <w:p w14:paraId="06E7B821" w14:textId="77777777" w:rsidR="007B366E" w:rsidRPr="004D3C0E" w:rsidRDefault="007B366E" w:rsidP="00491259">
            <w:pPr>
              <w:spacing w:after="0" w:line="240" w:lineRule="auto"/>
              <w:ind w:left="0" w:firstLine="0"/>
              <w:jc w:val="left"/>
              <w:rPr>
                <w:color w:val="auto"/>
              </w:rPr>
            </w:pPr>
            <w:r w:rsidRPr="004D3C0E">
              <w:rPr>
                <w:color w:val="auto"/>
              </w:rPr>
              <w:t>132</w:t>
            </w:r>
          </w:p>
        </w:tc>
        <w:tc>
          <w:tcPr>
            <w:tcW w:w="1080" w:type="dxa"/>
            <w:vAlign w:val="center"/>
          </w:tcPr>
          <w:p w14:paraId="028F7A52"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55545555"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1F5A8AE7" w14:textId="77777777" w:rsidR="007B366E" w:rsidRPr="004D3C0E" w:rsidRDefault="007B366E" w:rsidP="00491259">
            <w:pPr>
              <w:spacing w:after="0" w:line="240" w:lineRule="auto"/>
              <w:ind w:left="139" w:firstLine="0"/>
              <w:jc w:val="center"/>
              <w:rPr>
                <w:color w:val="auto"/>
              </w:rPr>
            </w:pPr>
            <w:r w:rsidRPr="004D3C0E">
              <w:rPr>
                <w:color w:val="auto"/>
              </w:rPr>
              <w:t>2.1742</w:t>
            </w:r>
          </w:p>
        </w:tc>
        <w:tc>
          <w:tcPr>
            <w:tcW w:w="1047" w:type="dxa"/>
            <w:vAlign w:val="center"/>
          </w:tcPr>
          <w:p w14:paraId="6F8F9569" w14:textId="77777777" w:rsidR="007B366E" w:rsidRPr="004D3C0E" w:rsidRDefault="007B366E" w:rsidP="00491259">
            <w:pPr>
              <w:spacing w:after="0" w:line="240" w:lineRule="auto"/>
              <w:ind w:left="134" w:firstLine="0"/>
              <w:jc w:val="center"/>
              <w:rPr>
                <w:color w:val="auto"/>
              </w:rPr>
            </w:pPr>
            <w:r w:rsidRPr="004D3C0E">
              <w:rPr>
                <w:color w:val="auto"/>
              </w:rPr>
              <w:t>1.05928</w:t>
            </w:r>
          </w:p>
        </w:tc>
      </w:tr>
      <w:tr w:rsidR="007B366E" w:rsidRPr="004D3C0E" w14:paraId="2D0C47E4" w14:textId="77777777" w:rsidTr="0040604A">
        <w:trPr>
          <w:trHeight w:val="288"/>
        </w:trPr>
        <w:tc>
          <w:tcPr>
            <w:tcW w:w="810" w:type="dxa"/>
            <w:vAlign w:val="center"/>
          </w:tcPr>
          <w:p w14:paraId="77E28288" w14:textId="77777777" w:rsidR="007B366E" w:rsidRPr="004D3C0E" w:rsidRDefault="007B366E" w:rsidP="00491259">
            <w:pPr>
              <w:spacing w:after="0" w:line="240" w:lineRule="auto"/>
              <w:ind w:left="60" w:firstLine="0"/>
              <w:jc w:val="left"/>
              <w:rPr>
                <w:color w:val="auto"/>
              </w:rPr>
            </w:pPr>
            <w:r w:rsidRPr="004D3C0E">
              <w:rPr>
                <w:color w:val="auto"/>
              </w:rPr>
              <w:t xml:space="preserve">TCC1 </w:t>
            </w:r>
          </w:p>
        </w:tc>
        <w:tc>
          <w:tcPr>
            <w:tcW w:w="4230" w:type="dxa"/>
            <w:vAlign w:val="center"/>
          </w:tcPr>
          <w:p w14:paraId="47B6A0B4" w14:textId="77777777" w:rsidR="007B366E" w:rsidRPr="004D3C0E" w:rsidRDefault="007B366E" w:rsidP="00491259">
            <w:pPr>
              <w:spacing w:after="0" w:line="240" w:lineRule="auto"/>
              <w:ind w:left="60" w:right="433" w:firstLine="0"/>
              <w:jc w:val="left"/>
              <w:rPr>
                <w:color w:val="auto"/>
              </w:rPr>
            </w:pPr>
            <w:r w:rsidRPr="004D3C0E">
              <w:rPr>
                <w:color w:val="auto"/>
              </w:rPr>
              <w:t xml:space="preserve">What is the most common reason for non-compliance with VAT regulations among businesses? </w:t>
            </w:r>
          </w:p>
        </w:tc>
        <w:tc>
          <w:tcPr>
            <w:tcW w:w="659" w:type="dxa"/>
            <w:vAlign w:val="center"/>
          </w:tcPr>
          <w:p w14:paraId="443FF8A0" w14:textId="77777777" w:rsidR="007B366E" w:rsidRPr="004D3C0E" w:rsidRDefault="007B366E" w:rsidP="00491259">
            <w:pPr>
              <w:spacing w:after="0" w:line="240" w:lineRule="auto"/>
              <w:ind w:left="0" w:firstLine="0"/>
              <w:jc w:val="left"/>
              <w:rPr>
                <w:color w:val="auto"/>
              </w:rPr>
            </w:pPr>
            <w:r w:rsidRPr="004D3C0E">
              <w:rPr>
                <w:color w:val="auto"/>
              </w:rPr>
              <w:t>132</w:t>
            </w:r>
          </w:p>
        </w:tc>
        <w:tc>
          <w:tcPr>
            <w:tcW w:w="1080" w:type="dxa"/>
            <w:vAlign w:val="center"/>
          </w:tcPr>
          <w:p w14:paraId="6531E6CB"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466FDD53"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4C8AA25A" w14:textId="77777777" w:rsidR="007B366E" w:rsidRPr="004D3C0E" w:rsidRDefault="007B366E" w:rsidP="00491259">
            <w:pPr>
              <w:spacing w:after="0" w:line="240" w:lineRule="auto"/>
              <w:ind w:left="139" w:firstLine="0"/>
              <w:jc w:val="center"/>
              <w:rPr>
                <w:color w:val="auto"/>
              </w:rPr>
            </w:pPr>
            <w:r w:rsidRPr="004D3C0E">
              <w:rPr>
                <w:color w:val="auto"/>
              </w:rPr>
              <w:t>2.1439</w:t>
            </w:r>
          </w:p>
        </w:tc>
        <w:tc>
          <w:tcPr>
            <w:tcW w:w="1047" w:type="dxa"/>
            <w:vAlign w:val="center"/>
          </w:tcPr>
          <w:p w14:paraId="7D83316E" w14:textId="77777777" w:rsidR="007B366E" w:rsidRPr="004D3C0E" w:rsidRDefault="007B366E" w:rsidP="00491259">
            <w:pPr>
              <w:spacing w:after="0" w:line="240" w:lineRule="auto"/>
              <w:ind w:left="134" w:firstLine="0"/>
              <w:jc w:val="center"/>
              <w:rPr>
                <w:color w:val="auto"/>
              </w:rPr>
            </w:pPr>
            <w:r w:rsidRPr="004D3C0E">
              <w:rPr>
                <w:color w:val="auto"/>
              </w:rPr>
              <w:t>1.07101</w:t>
            </w:r>
          </w:p>
        </w:tc>
      </w:tr>
      <w:tr w:rsidR="007B366E" w:rsidRPr="004D3C0E" w14:paraId="1E0E4F33" w14:textId="77777777" w:rsidTr="0040604A">
        <w:trPr>
          <w:trHeight w:val="81"/>
        </w:trPr>
        <w:tc>
          <w:tcPr>
            <w:tcW w:w="810" w:type="dxa"/>
            <w:vAlign w:val="center"/>
          </w:tcPr>
          <w:p w14:paraId="4B2EC447" w14:textId="77777777" w:rsidR="007B366E" w:rsidRPr="004D3C0E" w:rsidRDefault="007B366E" w:rsidP="00491259">
            <w:pPr>
              <w:spacing w:after="0" w:line="240" w:lineRule="auto"/>
              <w:ind w:left="60" w:firstLine="0"/>
              <w:jc w:val="left"/>
              <w:rPr>
                <w:color w:val="auto"/>
              </w:rPr>
            </w:pPr>
            <w:r w:rsidRPr="004D3C0E">
              <w:rPr>
                <w:color w:val="auto"/>
              </w:rPr>
              <w:t xml:space="preserve">TCC2 </w:t>
            </w:r>
          </w:p>
        </w:tc>
        <w:tc>
          <w:tcPr>
            <w:tcW w:w="4230" w:type="dxa"/>
            <w:vAlign w:val="center"/>
          </w:tcPr>
          <w:p w14:paraId="5C2CB873" w14:textId="77777777" w:rsidR="007B366E" w:rsidRPr="004D3C0E" w:rsidRDefault="007B366E" w:rsidP="00491259">
            <w:pPr>
              <w:spacing w:after="0" w:line="240" w:lineRule="auto"/>
              <w:ind w:left="60" w:right="181" w:firstLine="0"/>
              <w:jc w:val="left"/>
              <w:rPr>
                <w:color w:val="auto"/>
              </w:rPr>
            </w:pPr>
            <w:r w:rsidRPr="004D3C0E">
              <w:rPr>
                <w:color w:val="auto"/>
              </w:rPr>
              <w:t xml:space="preserve">Which group of businesses is most likely to evade VAT payment? </w:t>
            </w:r>
          </w:p>
        </w:tc>
        <w:tc>
          <w:tcPr>
            <w:tcW w:w="659" w:type="dxa"/>
            <w:vAlign w:val="center"/>
          </w:tcPr>
          <w:p w14:paraId="3AACF9C1" w14:textId="77777777" w:rsidR="007B366E" w:rsidRPr="004D3C0E" w:rsidRDefault="007B366E" w:rsidP="00491259">
            <w:pPr>
              <w:spacing w:after="0" w:line="240" w:lineRule="auto"/>
              <w:ind w:left="0" w:firstLine="0"/>
              <w:jc w:val="left"/>
              <w:rPr>
                <w:color w:val="auto"/>
              </w:rPr>
            </w:pPr>
            <w:r w:rsidRPr="004D3C0E">
              <w:rPr>
                <w:color w:val="auto"/>
              </w:rPr>
              <w:t>132</w:t>
            </w:r>
          </w:p>
        </w:tc>
        <w:tc>
          <w:tcPr>
            <w:tcW w:w="1080" w:type="dxa"/>
            <w:vAlign w:val="center"/>
          </w:tcPr>
          <w:p w14:paraId="18F6431F"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3A79C637"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6CB61088" w14:textId="77777777" w:rsidR="007B366E" w:rsidRPr="004D3C0E" w:rsidRDefault="007B366E" w:rsidP="00491259">
            <w:pPr>
              <w:spacing w:after="0" w:line="240" w:lineRule="auto"/>
              <w:ind w:left="139" w:firstLine="0"/>
              <w:jc w:val="center"/>
              <w:rPr>
                <w:color w:val="auto"/>
              </w:rPr>
            </w:pPr>
            <w:r w:rsidRPr="004D3C0E">
              <w:rPr>
                <w:color w:val="auto"/>
              </w:rPr>
              <w:t>2.0985</w:t>
            </w:r>
          </w:p>
        </w:tc>
        <w:tc>
          <w:tcPr>
            <w:tcW w:w="1047" w:type="dxa"/>
            <w:vAlign w:val="center"/>
          </w:tcPr>
          <w:p w14:paraId="1FA52878" w14:textId="77777777" w:rsidR="007B366E" w:rsidRPr="004D3C0E" w:rsidRDefault="007B366E" w:rsidP="00491259">
            <w:pPr>
              <w:spacing w:after="0" w:line="240" w:lineRule="auto"/>
              <w:ind w:left="134" w:firstLine="0"/>
              <w:jc w:val="center"/>
              <w:rPr>
                <w:color w:val="auto"/>
              </w:rPr>
            </w:pPr>
            <w:r w:rsidRPr="004D3C0E">
              <w:rPr>
                <w:color w:val="auto"/>
              </w:rPr>
              <w:t>1.01033</w:t>
            </w:r>
          </w:p>
        </w:tc>
      </w:tr>
      <w:tr w:rsidR="007B366E" w:rsidRPr="004D3C0E" w14:paraId="4B8DA1CB" w14:textId="77777777" w:rsidTr="0040604A">
        <w:trPr>
          <w:trHeight w:val="198"/>
        </w:trPr>
        <w:tc>
          <w:tcPr>
            <w:tcW w:w="810" w:type="dxa"/>
            <w:vAlign w:val="center"/>
          </w:tcPr>
          <w:p w14:paraId="26011592" w14:textId="77777777" w:rsidR="007B366E" w:rsidRPr="004D3C0E" w:rsidRDefault="007B366E" w:rsidP="00491259">
            <w:pPr>
              <w:spacing w:after="0" w:line="240" w:lineRule="auto"/>
              <w:ind w:left="60" w:firstLine="0"/>
              <w:jc w:val="left"/>
              <w:rPr>
                <w:color w:val="auto"/>
              </w:rPr>
            </w:pPr>
            <w:r w:rsidRPr="004D3C0E">
              <w:rPr>
                <w:color w:val="auto"/>
              </w:rPr>
              <w:t xml:space="preserve">TCC3 </w:t>
            </w:r>
          </w:p>
        </w:tc>
        <w:tc>
          <w:tcPr>
            <w:tcW w:w="4230" w:type="dxa"/>
            <w:vAlign w:val="center"/>
          </w:tcPr>
          <w:p w14:paraId="12A544CE" w14:textId="77777777" w:rsidR="007B366E" w:rsidRPr="004D3C0E" w:rsidRDefault="007B366E" w:rsidP="00491259">
            <w:pPr>
              <w:spacing w:after="0" w:line="240" w:lineRule="auto"/>
              <w:ind w:left="60" w:right="681" w:firstLine="0"/>
              <w:jc w:val="left"/>
              <w:rPr>
                <w:color w:val="auto"/>
              </w:rPr>
            </w:pPr>
            <w:r w:rsidRPr="004D3C0E">
              <w:rPr>
                <w:color w:val="auto"/>
              </w:rPr>
              <w:t xml:space="preserve">What is the main deterrent to VAT compliance for taxpayers? </w:t>
            </w:r>
          </w:p>
        </w:tc>
        <w:tc>
          <w:tcPr>
            <w:tcW w:w="659" w:type="dxa"/>
            <w:vAlign w:val="center"/>
          </w:tcPr>
          <w:p w14:paraId="694D403E" w14:textId="77777777" w:rsidR="007B366E" w:rsidRPr="004D3C0E" w:rsidRDefault="007B366E" w:rsidP="00491259">
            <w:pPr>
              <w:spacing w:after="0" w:line="240" w:lineRule="auto"/>
              <w:ind w:left="0" w:firstLine="0"/>
              <w:jc w:val="left"/>
              <w:rPr>
                <w:color w:val="auto"/>
              </w:rPr>
            </w:pPr>
            <w:r w:rsidRPr="004D3C0E">
              <w:rPr>
                <w:color w:val="auto"/>
              </w:rPr>
              <w:t>132</w:t>
            </w:r>
          </w:p>
        </w:tc>
        <w:tc>
          <w:tcPr>
            <w:tcW w:w="1080" w:type="dxa"/>
            <w:vAlign w:val="center"/>
          </w:tcPr>
          <w:p w14:paraId="53A66735"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31D2508B"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6C68BABC" w14:textId="77777777" w:rsidR="007B366E" w:rsidRPr="004D3C0E" w:rsidRDefault="007B366E" w:rsidP="00491259">
            <w:pPr>
              <w:spacing w:after="0" w:line="240" w:lineRule="auto"/>
              <w:ind w:left="139" w:firstLine="0"/>
              <w:jc w:val="center"/>
              <w:rPr>
                <w:color w:val="auto"/>
              </w:rPr>
            </w:pPr>
            <w:r w:rsidRPr="004D3C0E">
              <w:rPr>
                <w:color w:val="auto"/>
              </w:rPr>
              <w:t>2.0909</w:t>
            </w:r>
          </w:p>
        </w:tc>
        <w:tc>
          <w:tcPr>
            <w:tcW w:w="1047" w:type="dxa"/>
            <w:vAlign w:val="center"/>
          </w:tcPr>
          <w:p w14:paraId="08D0C120" w14:textId="77777777" w:rsidR="007B366E" w:rsidRPr="004D3C0E" w:rsidRDefault="007B366E" w:rsidP="00491259">
            <w:pPr>
              <w:spacing w:after="0" w:line="240" w:lineRule="auto"/>
              <w:ind w:left="0" w:right="60" w:firstLine="0"/>
              <w:jc w:val="center"/>
              <w:rPr>
                <w:color w:val="auto"/>
              </w:rPr>
            </w:pPr>
            <w:r w:rsidRPr="004D3C0E">
              <w:rPr>
                <w:color w:val="auto"/>
              </w:rPr>
              <w:t>.96863</w:t>
            </w:r>
          </w:p>
        </w:tc>
      </w:tr>
      <w:tr w:rsidR="007B366E" w:rsidRPr="004D3C0E" w14:paraId="146E27CD" w14:textId="77777777" w:rsidTr="0040604A">
        <w:trPr>
          <w:trHeight w:val="60"/>
        </w:trPr>
        <w:tc>
          <w:tcPr>
            <w:tcW w:w="810" w:type="dxa"/>
            <w:vAlign w:val="center"/>
          </w:tcPr>
          <w:p w14:paraId="1384D94B" w14:textId="77777777" w:rsidR="007B366E" w:rsidRPr="004D3C0E" w:rsidRDefault="007B366E" w:rsidP="00491259">
            <w:pPr>
              <w:spacing w:after="0" w:line="240" w:lineRule="auto"/>
              <w:ind w:left="60" w:firstLine="0"/>
              <w:jc w:val="left"/>
              <w:rPr>
                <w:color w:val="auto"/>
              </w:rPr>
            </w:pPr>
            <w:r w:rsidRPr="004D3C0E">
              <w:rPr>
                <w:color w:val="auto"/>
              </w:rPr>
              <w:t xml:space="preserve">TCC4 </w:t>
            </w:r>
          </w:p>
        </w:tc>
        <w:tc>
          <w:tcPr>
            <w:tcW w:w="4230" w:type="dxa"/>
            <w:vAlign w:val="center"/>
          </w:tcPr>
          <w:p w14:paraId="6A90BEFA" w14:textId="77777777" w:rsidR="007B366E" w:rsidRPr="004D3C0E" w:rsidRDefault="007B366E" w:rsidP="00491259">
            <w:pPr>
              <w:spacing w:after="0" w:line="240" w:lineRule="auto"/>
              <w:ind w:left="60" w:right="62" w:firstLine="0"/>
              <w:jc w:val="left"/>
              <w:rPr>
                <w:color w:val="auto"/>
              </w:rPr>
            </w:pPr>
            <w:r w:rsidRPr="004D3C0E">
              <w:rPr>
                <w:color w:val="auto"/>
              </w:rPr>
              <w:t xml:space="preserve">How do taxpayers typically respond to VAT enforcement measures? </w:t>
            </w:r>
          </w:p>
        </w:tc>
        <w:tc>
          <w:tcPr>
            <w:tcW w:w="659" w:type="dxa"/>
            <w:vAlign w:val="center"/>
          </w:tcPr>
          <w:p w14:paraId="4DFB6785" w14:textId="77777777" w:rsidR="007B366E" w:rsidRPr="004D3C0E" w:rsidRDefault="007B366E" w:rsidP="00491259">
            <w:pPr>
              <w:spacing w:after="0" w:line="240" w:lineRule="auto"/>
              <w:ind w:left="0" w:firstLine="0"/>
              <w:jc w:val="left"/>
              <w:rPr>
                <w:color w:val="auto"/>
              </w:rPr>
            </w:pPr>
            <w:r w:rsidRPr="004D3C0E">
              <w:rPr>
                <w:color w:val="auto"/>
              </w:rPr>
              <w:t>132</w:t>
            </w:r>
          </w:p>
        </w:tc>
        <w:tc>
          <w:tcPr>
            <w:tcW w:w="1080" w:type="dxa"/>
            <w:vAlign w:val="center"/>
          </w:tcPr>
          <w:p w14:paraId="40BF25F8"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Align w:val="center"/>
          </w:tcPr>
          <w:p w14:paraId="00206DF8"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Align w:val="center"/>
          </w:tcPr>
          <w:p w14:paraId="77277285" w14:textId="77777777" w:rsidR="007B366E" w:rsidRPr="004D3C0E" w:rsidRDefault="007B366E" w:rsidP="00491259">
            <w:pPr>
              <w:spacing w:after="0" w:line="240" w:lineRule="auto"/>
              <w:ind w:left="139" w:firstLine="0"/>
              <w:jc w:val="center"/>
              <w:rPr>
                <w:color w:val="auto"/>
              </w:rPr>
            </w:pPr>
            <w:r w:rsidRPr="004D3C0E">
              <w:rPr>
                <w:color w:val="auto"/>
              </w:rPr>
              <w:t>2.1136</w:t>
            </w:r>
          </w:p>
        </w:tc>
        <w:tc>
          <w:tcPr>
            <w:tcW w:w="1047" w:type="dxa"/>
            <w:vAlign w:val="center"/>
          </w:tcPr>
          <w:p w14:paraId="3F6157B2" w14:textId="77777777" w:rsidR="007B366E" w:rsidRPr="004D3C0E" w:rsidRDefault="007B366E" w:rsidP="00491259">
            <w:pPr>
              <w:spacing w:after="0" w:line="240" w:lineRule="auto"/>
              <w:ind w:left="0" w:right="60" w:firstLine="0"/>
              <w:jc w:val="center"/>
              <w:rPr>
                <w:color w:val="auto"/>
              </w:rPr>
            </w:pPr>
            <w:r w:rsidRPr="004D3C0E">
              <w:rPr>
                <w:color w:val="auto"/>
              </w:rPr>
              <w:t>.95428</w:t>
            </w:r>
          </w:p>
        </w:tc>
      </w:tr>
      <w:tr w:rsidR="007B366E" w:rsidRPr="004D3C0E" w14:paraId="76E9F570" w14:textId="77777777" w:rsidTr="0040604A">
        <w:trPr>
          <w:trHeight w:val="60"/>
        </w:trPr>
        <w:tc>
          <w:tcPr>
            <w:tcW w:w="810" w:type="dxa"/>
            <w:vAlign w:val="center"/>
          </w:tcPr>
          <w:p w14:paraId="60F998AC" w14:textId="77777777" w:rsidR="007B366E" w:rsidRPr="004D3C0E" w:rsidRDefault="007B366E" w:rsidP="00491259">
            <w:pPr>
              <w:spacing w:after="160" w:line="240" w:lineRule="auto"/>
              <w:ind w:left="0" w:firstLine="0"/>
              <w:jc w:val="left"/>
              <w:rPr>
                <w:color w:val="auto"/>
              </w:rPr>
            </w:pPr>
          </w:p>
        </w:tc>
        <w:tc>
          <w:tcPr>
            <w:tcW w:w="4230" w:type="dxa"/>
            <w:vAlign w:val="center"/>
          </w:tcPr>
          <w:p w14:paraId="6262D6F9" w14:textId="77777777" w:rsidR="007B366E" w:rsidRPr="004D3C0E" w:rsidRDefault="007B366E" w:rsidP="00491259">
            <w:pPr>
              <w:spacing w:after="0" w:line="240" w:lineRule="auto"/>
              <w:ind w:left="60" w:firstLine="0"/>
              <w:jc w:val="left"/>
              <w:rPr>
                <w:color w:val="auto"/>
              </w:rPr>
            </w:pPr>
            <w:r w:rsidRPr="004D3C0E">
              <w:rPr>
                <w:color w:val="auto"/>
              </w:rPr>
              <w:t xml:space="preserve">How do frequent changes in </w:t>
            </w:r>
          </w:p>
        </w:tc>
        <w:tc>
          <w:tcPr>
            <w:tcW w:w="659" w:type="dxa"/>
            <w:vMerge w:val="restart"/>
            <w:vAlign w:val="center"/>
          </w:tcPr>
          <w:p w14:paraId="04DDFC28" w14:textId="77777777" w:rsidR="007B366E" w:rsidRPr="004D3C0E" w:rsidRDefault="007B366E" w:rsidP="00491259">
            <w:pPr>
              <w:spacing w:after="0" w:line="240" w:lineRule="auto"/>
              <w:ind w:left="0" w:firstLine="0"/>
              <w:jc w:val="left"/>
              <w:rPr>
                <w:color w:val="auto"/>
              </w:rPr>
            </w:pPr>
            <w:r w:rsidRPr="004D3C0E">
              <w:rPr>
                <w:color w:val="auto"/>
              </w:rPr>
              <w:t>132</w:t>
            </w:r>
          </w:p>
        </w:tc>
        <w:tc>
          <w:tcPr>
            <w:tcW w:w="1080" w:type="dxa"/>
            <w:vMerge w:val="restart"/>
            <w:vAlign w:val="center"/>
          </w:tcPr>
          <w:p w14:paraId="531F3B02"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vMerge w:val="restart"/>
            <w:vAlign w:val="center"/>
          </w:tcPr>
          <w:p w14:paraId="7027A992"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vMerge w:val="restart"/>
            <w:vAlign w:val="center"/>
          </w:tcPr>
          <w:p w14:paraId="3CA12AD1" w14:textId="77777777" w:rsidR="007B366E" w:rsidRPr="004D3C0E" w:rsidRDefault="007B366E" w:rsidP="00491259">
            <w:pPr>
              <w:spacing w:after="0" w:line="240" w:lineRule="auto"/>
              <w:ind w:left="139" w:firstLine="0"/>
              <w:jc w:val="center"/>
              <w:rPr>
                <w:color w:val="auto"/>
              </w:rPr>
            </w:pPr>
            <w:r w:rsidRPr="004D3C0E">
              <w:rPr>
                <w:color w:val="auto"/>
              </w:rPr>
              <w:t>2.3409</w:t>
            </w:r>
          </w:p>
        </w:tc>
        <w:tc>
          <w:tcPr>
            <w:tcW w:w="1047" w:type="dxa"/>
            <w:vMerge w:val="restart"/>
            <w:vAlign w:val="center"/>
          </w:tcPr>
          <w:p w14:paraId="0DF4799B" w14:textId="77777777" w:rsidR="007B366E" w:rsidRPr="004D3C0E" w:rsidRDefault="007B366E" w:rsidP="00491259">
            <w:pPr>
              <w:spacing w:after="0" w:line="240" w:lineRule="auto"/>
              <w:ind w:left="134" w:firstLine="0"/>
              <w:jc w:val="center"/>
              <w:rPr>
                <w:color w:val="auto"/>
              </w:rPr>
            </w:pPr>
            <w:r w:rsidRPr="004D3C0E">
              <w:rPr>
                <w:color w:val="auto"/>
              </w:rPr>
              <w:t>1.05447</w:t>
            </w:r>
          </w:p>
        </w:tc>
      </w:tr>
      <w:tr w:rsidR="007B366E" w:rsidRPr="004D3C0E" w14:paraId="1687AD8C" w14:textId="77777777" w:rsidTr="0040604A">
        <w:trPr>
          <w:trHeight w:val="60"/>
        </w:trPr>
        <w:tc>
          <w:tcPr>
            <w:tcW w:w="5040" w:type="dxa"/>
            <w:gridSpan w:val="2"/>
            <w:vAlign w:val="center"/>
          </w:tcPr>
          <w:p w14:paraId="0879CA7E" w14:textId="77777777" w:rsidR="007B366E" w:rsidRPr="004D3C0E" w:rsidRDefault="007B366E" w:rsidP="00491259">
            <w:pPr>
              <w:spacing w:after="0" w:line="240" w:lineRule="auto"/>
              <w:ind w:left="871" w:hanging="811"/>
              <w:jc w:val="left"/>
              <w:rPr>
                <w:color w:val="auto"/>
              </w:rPr>
            </w:pPr>
            <w:r w:rsidRPr="004D3C0E">
              <w:rPr>
                <w:color w:val="auto"/>
              </w:rPr>
              <w:t xml:space="preserve">PACC1 VAT policies affect collection efficiency? </w:t>
            </w:r>
          </w:p>
        </w:tc>
        <w:tc>
          <w:tcPr>
            <w:tcW w:w="659" w:type="dxa"/>
            <w:vMerge/>
            <w:vAlign w:val="center"/>
          </w:tcPr>
          <w:p w14:paraId="435A008A" w14:textId="77777777" w:rsidR="007B366E" w:rsidRPr="004D3C0E" w:rsidRDefault="007B366E" w:rsidP="00491259">
            <w:pPr>
              <w:spacing w:after="160" w:line="240" w:lineRule="auto"/>
              <w:ind w:left="0" w:firstLine="0"/>
              <w:jc w:val="left"/>
              <w:rPr>
                <w:color w:val="auto"/>
              </w:rPr>
            </w:pPr>
          </w:p>
        </w:tc>
        <w:tc>
          <w:tcPr>
            <w:tcW w:w="1080" w:type="dxa"/>
            <w:vMerge/>
          </w:tcPr>
          <w:p w14:paraId="6ED393E2" w14:textId="77777777" w:rsidR="007B366E" w:rsidRPr="004D3C0E" w:rsidRDefault="007B366E" w:rsidP="00491259">
            <w:pPr>
              <w:spacing w:after="160" w:line="240" w:lineRule="auto"/>
              <w:ind w:left="0" w:firstLine="0"/>
              <w:jc w:val="left"/>
              <w:rPr>
                <w:color w:val="auto"/>
              </w:rPr>
            </w:pPr>
          </w:p>
        </w:tc>
        <w:tc>
          <w:tcPr>
            <w:tcW w:w="1080" w:type="dxa"/>
            <w:vMerge/>
          </w:tcPr>
          <w:p w14:paraId="45DD3891" w14:textId="77777777" w:rsidR="007B366E" w:rsidRPr="004D3C0E" w:rsidRDefault="007B366E" w:rsidP="00491259">
            <w:pPr>
              <w:spacing w:after="160" w:line="240" w:lineRule="auto"/>
              <w:ind w:left="0" w:firstLine="0"/>
              <w:jc w:val="left"/>
              <w:rPr>
                <w:color w:val="auto"/>
              </w:rPr>
            </w:pPr>
          </w:p>
        </w:tc>
        <w:tc>
          <w:tcPr>
            <w:tcW w:w="900" w:type="dxa"/>
            <w:vMerge/>
          </w:tcPr>
          <w:p w14:paraId="52CFE911" w14:textId="77777777" w:rsidR="007B366E" w:rsidRPr="004D3C0E" w:rsidRDefault="007B366E" w:rsidP="00491259">
            <w:pPr>
              <w:spacing w:after="160" w:line="240" w:lineRule="auto"/>
              <w:ind w:left="0" w:firstLine="0"/>
              <w:jc w:val="left"/>
              <w:rPr>
                <w:color w:val="auto"/>
              </w:rPr>
            </w:pPr>
          </w:p>
        </w:tc>
        <w:tc>
          <w:tcPr>
            <w:tcW w:w="0" w:type="auto"/>
            <w:vMerge/>
          </w:tcPr>
          <w:p w14:paraId="0D2D1B94" w14:textId="77777777" w:rsidR="007B366E" w:rsidRPr="004D3C0E" w:rsidRDefault="007B366E" w:rsidP="00491259">
            <w:pPr>
              <w:spacing w:after="160" w:line="240" w:lineRule="auto"/>
              <w:ind w:left="0" w:firstLine="0"/>
              <w:jc w:val="left"/>
              <w:rPr>
                <w:color w:val="auto"/>
              </w:rPr>
            </w:pPr>
          </w:p>
        </w:tc>
      </w:tr>
      <w:tr w:rsidR="007B366E" w:rsidRPr="004D3C0E" w14:paraId="38F8DD9A" w14:textId="77777777" w:rsidTr="006F22CF">
        <w:trPr>
          <w:trHeight w:val="842"/>
        </w:trPr>
        <w:tc>
          <w:tcPr>
            <w:tcW w:w="5040" w:type="dxa"/>
            <w:gridSpan w:val="2"/>
            <w:tcBorders>
              <w:bottom w:val="nil"/>
            </w:tcBorders>
            <w:vAlign w:val="center"/>
          </w:tcPr>
          <w:p w14:paraId="6E1990D9" w14:textId="77777777" w:rsidR="007B366E" w:rsidRPr="004D3C0E" w:rsidRDefault="007B366E" w:rsidP="00491259">
            <w:pPr>
              <w:spacing w:after="0" w:line="240" w:lineRule="auto"/>
              <w:ind w:left="871" w:firstLine="0"/>
              <w:jc w:val="left"/>
              <w:rPr>
                <w:color w:val="auto"/>
              </w:rPr>
            </w:pPr>
            <w:r w:rsidRPr="004D3C0E">
              <w:rPr>
                <w:color w:val="auto"/>
              </w:rPr>
              <w:t xml:space="preserve">What administrative challenge </w:t>
            </w:r>
          </w:p>
          <w:p w14:paraId="65D6CF7D" w14:textId="77777777" w:rsidR="007B366E" w:rsidRPr="004D3C0E" w:rsidRDefault="007B366E" w:rsidP="00491259">
            <w:pPr>
              <w:spacing w:after="0" w:line="240" w:lineRule="auto"/>
              <w:ind w:left="871" w:hanging="811"/>
              <w:jc w:val="left"/>
              <w:rPr>
                <w:color w:val="auto"/>
              </w:rPr>
            </w:pPr>
            <w:r w:rsidRPr="004D3C0E">
              <w:rPr>
                <w:color w:val="auto"/>
              </w:rPr>
              <w:t xml:space="preserve">PACC2 most affects VAT revenue collection? </w:t>
            </w:r>
          </w:p>
        </w:tc>
        <w:tc>
          <w:tcPr>
            <w:tcW w:w="659" w:type="dxa"/>
            <w:tcBorders>
              <w:bottom w:val="nil"/>
            </w:tcBorders>
            <w:vAlign w:val="center"/>
          </w:tcPr>
          <w:p w14:paraId="7CE2D595"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1080" w:type="dxa"/>
            <w:tcBorders>
              <w:bottom w:val="nil"/>
            </w:tcBorders>
            <w:vAlign w:val="center"/>
          </w:tcPr>
          <w:p w14:paraId="2528B9E7" w14:textId="77777777" w:rsidR="007B366E" w:rsidRPr="004D3C0E" w:rsidRDefault="007B366E" w:rsidP="00491259">
            <w:pPr>
              <w:spacing w:after="0" w:line="240" w:lineRule="auto"/>
              <w:ind w:left="322" w:firstLine="0"/>
              <w:jc w:val="center"/>
              <w:rPr>
                <w:color w:val="auto"/>
              </w:rPr>
            </w:pPr>
            <w:r w:rsidRPr="004D3C0E">
              <w:rPr>
                <w:color w:val="auto"/>
              </w:rPr>
              <w:t>1.00</w:t>
            </w:r>
          </w:p>
        </w:tc>
        <w:tc>
          <w:tcPr>
            <w:tcW w:w="1080" w:type="dxa"/>
            <w:tcBorders>
              <w:bottom w:val="nil"/>
            </w:tcBorders>
            <w:vAlign w:val="center"/>
          </w:tcPr>
          <w:p w14:paraId="2670A7AA" w14:textId="77777777" w:rsidR="007B366E" w:rsidRPr="004D3C0E" w:rsidRDefault="007B366E" w:rsidP="00491259">
            <w:pPr>
              <w:spacing w:after="0" w:line="240" w:lineRule="auto"/>
              <w:ind w:left="341" w:firstLine="0"/>
              <w:jc w:val="center"/>
              <w:rPr>
                <w:color w:val="auto"/>
              </w:rPr>
            </w:pPr>
            <w:r w:rsidRPr="004D3C0E">
              <w:rPr>
                <w:color w:val="auto"/>
              </w:rPr>
              <w:t>4.00</w:t>
            </w:r>
          </w:p>
        </w:tc>
        <w:tc>
          <w:tcPr>
            <w:tcW w:w="900" w:type="dxa"/>
            <w:tcBorders>
              <w:bottom w:val="nil"/>
            </w:tcBorders>
            <w:vAlign w:val="center"/>
          </w:tcPr>
          <w:p w14:paraId="4ADCE8F1" w14:textId="77777777" w:rsidR="007B366E" w:rsidRPr="004D3C0E" w:rsidRDefault="007B366E" w:rsidP="00491259">
            <w:pPr>
              <w:spacing w:after="0" w:line="240" w:lineRule="auto"/>
              <w:ind w:left="139" w:firstLine="0"/>
              <w:jc w:val="center"/>
              <w:rPr>
                <w:color w:val="auto"/>
              </w:rPr>
            </w:pPr>
            <w:r w:rsidRPr="004D3C0E">
              <w:rPr>
                <w:color w:val="auto"/>
              </w:rPr>
              <w:t>2.2576</w:t>
            </w:r>
          </w:p>
        </w:tc>
        <w:tc>
          <w:tcPr>
            <w:tcW w:w="1047" w:type="dxa"/>
            <w:tcBorders>
              <w:bottom w:val="nil"/>
            </w:tcBorders>
            <w:vAlign w:val="center"/>
          </w:tcPr>
          <w:p w14:paraId="17E14AA2" w14:textId="77777777" w:rsidR="007B366E" w:rsidRPr="004D3C0E" w:rsidRDefault="007B366E" w:rsidP="00491259">
            <w:pPr>
              <w:spacing w:after="0" w:line="240" w:lineRule="auto"/>
              <w:ind w:left="134" w:firstLine="0"/>
              <w:jc w:val="center"/>
              <w:rPr>
                <w:color w:val="auto"/>
              </w:rPr>
            </w:pPr>
            <w:r w:rsidRPr="004D3C0E">
              <w:rPr>
                <w:color w:val="auto"/>
              </w:rPr>
              <w:t>1.03098</w:t>
            </w:r>
          </w:p>
        </w:tc>
      </w:tr>
    </w:tbl>
    <w:p w14:paraId="3E5A31FD" w14:textId="77777777" w:rsidR="007B366E" w:rsidRPr="004D3C0E" w:rsidRDefault="007B366E" w:rsidP="007B366E">
      <w:pPr>
        <w:spacing w:after="0" w:line="276" w:lineRule="auto"/>
        <w:ind w:left="871" w:firstLine="0"/>
        <w:jc w:val="left"/>
        <w:rPr>
          <w:color w:val="auto"/>
          <w:sz w:val="22"/>
        </w:rPr>
      </w:pPr>
      <w:r w:rsidRPr="004D3C0E">
        <w:rPr>
          <w:color w:val="auto"/>
          <w:sz w:val="22"/>
        </w:rPr>
        <w:t xml:space="preserve">How effective are the penalties </w:t>
      </w:r>
    </w:p>
    <w:tbl>
      <w:tblPr>
        <w:tblStyle w:val="TableGrid"/>
        <w:tblW w:w="9895" w:type="dxa"/>
        <w:tblInd w:w="60" w:type="dxa"/>
        <w:tblLook w:val="04A0" w:firstRow="1" w:lastRow="0" w:firstColumn="1" w:lastColumn="0" w:noHBand="0" w:noVBand="1"/>
      </w:tblPr>
      <w:tblGrid>
        <w:gridCol w:w="811"/>
        <w:gridCol w:w="3239"/>
        <w:gridCol w:w="1141"/>
        <w:gridCol w:w="777"/>
        <w:gridCol w:w="661"/>
        <w:gridCol w:w="1046"/>
        <w:gridCol w:w="282"/>
        <w:gridCol w:w="888"/>
        <w:gridCol w:w="270"/>
        <w:gridCol w:w="780"/>
      </w:tblGrid>
      <w:tr w:rsidR="007B366E" w:rsidRPr="004D3C0E" w14:paraId="27DDB436" w14:textId="77777777" w:rsidTr="0040604A">
        <w:trPr>
          <w:trHeight w:val="60"/>
        </w:trPr>
        <w:tc>
          <w:tcPr>
            <w:tcW w:w="4052" w:type="dxa"/>
            <w:gridSpan w:val="2"/>
            <w:tcBorders>
              <w:top w:val="nil"/>
              <w:left w:val="nil"/>
              <w:bottom w:val="nil"/>
              <w:right w:val="nil"/>
            </w:tcBorders>
            <w:vAlign w:val="center"/>
          </w:tcPr>
          <w:p w14:paraId="253C96F8" w14:textId="77777777" w:rsidR="007B366E" w:rsidRPr="004D3C0E" w:rsidRDefault="007B366E" w:rsidP="00491259">
            <w:pPr>
              <w:spacing w:after="0" w:line="240" w:lineRule="auto"/>
              <w:ind w:left="811" w:right="906" w:hanging="811"/>
              <w:jc w:val="left"/>
              <w:rPr>
                <w:color w:val="auto"/>
              </w:rPr>
            </w:pPr>
            <w:r w:rsidRPr="004D3C0E">
              <w:rPr>
                <w:color w:val="auto"/>
              </w:rPr>
              <w:t xml:space="preserve">PACC3 for VAT non-compliance? </w:t>
            </w:r>
          </w:p>
        </w:tc>
        <w:tc>
          <w:tcPr>
            <w:tcW w:w="1143" w:type="dxa"/>
            <w:tcBorders>
              <w:top w:val="nil"/>
              <w:left w:val="nil"/>
              <w:bottom w:val="nil"/>
              <w:right w:val="nil"/>
            </w:tcBorders>
            <w:vAlign w:val="center"/>
          </w:tcPr>
          <w:p w14:paraId="20787CB1"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778" w:type="dxa"/>
            <w:tcBorders>
              <w:top w:val="nil"/>
              <w:left w:val="nil"/>
              <w:bottom w:val="nil"/>
              <w:right w:val="nil"/>
            </w:tcBorders>
            <w:vAlign w:val="center"/>
          </w:tcPr>
          <w:p w14:paraId="4954488C" w14:textId="77777777" w:rsidR="007B366E" w:rsidRPr="004D3C0E" w:rsidRDefault="007B366E" w:rsidP="00491259">
            <w:pPr>
              <w:spacing w:after="0" w:line="240" w:lineRule="auto"/>
              <w:ind w:left="0" w:firstLine="0"/>
              <w:jc w:val="center"/>
              <w:rPr>
                <w:color w:val="auto"/>
              </w:rPr>
            </w:pPr>
            <w:r w:rsidRPr="004D3C0E">
              <w:rPr>
                <w:color w:val="auto"/>
              </w:rPr>
              <w:t>1.00</w:t>
            </w:r>
          </w:p>
        </w:tc>
        <w:tc>
          <w:tcPr>
            <w:tcW w:w="662" w:type="dxa"/>
            <w:tcBorders>
              <w:top w:val="nil"/>
              <w:left w:val="nil"/>
              <w:bottom w:val="nil"/>
              <w:right w:val="nil"/>
            </w:tcBorders>
            <w:vAlign w:val="center"/>
          </w:tcPr>
          <w:p w14:paraId="4170102E" w14:textId="77777777" w:rsidR="007B366E" w:rsidRPr="004D3C0E" w:rsidRDefault="007B366E" w:rsidP="00491259">
            <w:pPr>
              <w:spacing w:after="160" w:line="240" w:lineRule="auto"/>
              <w:ind w:left="0" w:firstLine="0"/>
              <w:jc w:val="center"/>
              <w:rPr>
                <w:color w:val="auto"/>
              </w:rPr>
            </w:pPr>
          </w:p>
        </w:tc>
        <w:tc>
          <w:tcPr>
            <w:tcW w:w="1047" w:type="dxa"/>
            <w:tcBorders>
              <w:top w:val="nil"/>
              <w:left w:val="nil"/>
              <w:bottom w:val="nil"/>
              <w:right w:val="nil"/>
            </w:tcBorders>
            <w:vAlign w:val="center"/>
          </w:tcPr>
          <w:p w14:paraId="03298F14" w14:textId="77777777" w:rsidR="007B366E" w:rsidRPr="004D3C0E" w:rsidRDefault="007B366E" w:rsidP="00491259">
            <w:pPr>
              <w:spacing w:after="0" w:line="240" w:lineRule="auto"/>
              <w:ind w:left="0" w:firstLine="0"/>
              <w:jc w:val="center"/>
              <w:rPr>
                <w:color w:val="auto"/>
              </w:rPr>
            </w:pPr>
            <w:r w:rsidRPr="004D3C0E">
              <w:rPr>
                <w:color w:val="auto"/>
              </w:rPr>
              <w:t>4.00</w:t>
            </w:r>
          </w:p>
        </w:tc>
        <w:tc>
          <w:tcPr>
            <w:tcW w:w="283" w:type="dxa"/>
            <w:tcBorders>
              <w:top w:val="nil"/>
              <w:left w:val="nil"/>
              <w:bottom w:val="nil"/>
              <w:right w:val="nil"/>
            </w:tcBorders>
            <w:vAlign w:val="center"/>
          </w:tcPr>
          <w:p w14:paraId="6C62A7FD" w14:textId="77777777" w:rsidR="007B366E" w:rsidRPr="004D3C0E" w:rsidRDefault="007B366E" w:rsidP="00491259">
            <w:pPr>
              <w:spacing w:after="160" w:line="240" w:lineRule="auto"/>
              <w:ind w:left="0" w:firstLine="0"/>
              <w:jc w:val="center"/>
              <w:rPr>
                <w:color w:val="auto"/>
              </w:rPr>
            </w:pPr>
          </w:p>
        </w:tc>
        <w:tc>
          <w:tcPr>
            <w:tcW w:w="888" w:type="dxa"/>
            <w:tcBorders>
              <w:top w:val="nil"/>
              <w:left w:val="nil"/>
              <w:bottom w:val="nil"/>
              <w:right w:val="nil"/>
            </w:tcBorders>
            <w:vAlign w:val="center"/>
          </w:tcPr>
          <w:p w14:paraId="1FD377D2" w14:textId="77777777" w:rsidR="007B366E" w:rsidRPr="004D3C0E" w:rsidRDefault="007B366E" w:rsidP="00491259">
            <w:pPr>
              <w:spacing w:after="0" w:line="240" w:lineRule="auto"/>
              <w:ind w:left="0" w:firstLine="0"/>
              <w:jc w:val="center"/>
              <w:rPr>
                <w:color w:val="auto"/>
              </w:rPr>
            </w:pPr>
            <w:r w:rsidRPr="004D3C0E">
              <w:rPr>
                <w:color w:val="auto"/>
              </w:rPr>
              <w:t>2.1970</w:t>
            </w:r>
          </w:p>
        </w:tc>
        <w:tc>
          <w:tcPr>
            <w:tcW w:w="271" w:type="dxa"/>
            <w:tcBorders>
              <w:top w:val="nil"/>
              <w:left w:val="nil"/>
              <w:bottom w:val="nil"/>
              <w:right w:val="nil"/>
            </w:tcBorders>
            <w:vAlign w:val="center"/>
          </w:tcPr>
          <w:p w14:paraId="0EA874DB" w14:textId="77777777" w:rsidR="007B366E" w:rsidRPr="004D3C0E" w:rsidRDefault="007B366E" w:rsidP="00491259">
            <w:pPr>
              <w:spacing w:after="160" w:line="240" w:lineRule="auto"/>
              <w:ind w:left="0" w:firstLine="0"/>
              <w:jc w:val="center"/>
              <w:rPr>
                <w:color w:val="auto"/>
              </w:rPr>
            </w:pPr>
          </w:p>
        </w:tc>
        <w:tc>
          <w:tcPr>
            <w:tcW w:w="771" w:type="dxa"/>
            <w:tcBorders>
              <w:top w:val="nil"/>
              <w:left w:val="nil"/>
              <w:bottom w:val="nil"/>
              <w:right w:val="nil"/>
            </w:tcBorders>
            <w:vAlign w:val="center"/>
          </w:tcPr>
          <w:p w14:paraId="6F97A68F" w14:textId="77777777" w:rsidR="007B366E" w:rsidRPr="004D3C0E" w:rsidRDefault="007B366E" w:rsidP="00491259">
            <w:pPr>
              <w:spacing w:after="0" w:line="240" w:lineRule="auto"/>
              <w:ind w:left="0" w:firstLine="0"/>
              <w:jc w:val="center"/>
              <w:rPr>
                <w:color w:val="auto"/>
              </w:rPr>
            </w:pPr>
            <w:r w:rsidRPr="004D3C0E">
              <w:rPr>
                <w:color w:val="auto"/>
              </w:rPr>
              <w:t>1.02219</w:t>
            </w:r>
          </w:p>
        </w:tc>
      </w:tr>
      <w:tr w:rsidR="007B366E" w:rsidRPr="004D3C0E" w14:paraId="30EF6DBC" w14:textId="77777777" w:rsidTr="0040604A">
        <w:trPr>
          <w:trHeight w:val="60"/>
        </w:trPr>
        <w:tc>
          <w:tcPr>
            <w:tcW w:w="4052" w:type="dxa"/>
            <w:gridSpan w:val="2"/>
            <w:tcBorders>
              <w:top w:val="nil"/>
              <w:left w:val="nil"/>
              <w:bottom w:val="nil"/>
              <w:right w:val="nil"/>
            </w:tcBorders>
            <w:vAlign w:val="center"/>
          </w:tcPr>
          <w:p w14:paraId="7F57439F" w14:textId="77777777" w:rsidR="007B366E" w:rsidRPr="004D3C0E" w:rsidRDefault="007B366E" w:rsidP="00491259">
            <w:pPr>
              <w:spacing w:after="0" w:line="240" w:lineRule="auto"/>
              <w:ind w:left="0" w:right="33" w:firstLine="811"/>
              <w:jc w:val="left"/>
              <w:rPr>
                <w:color w:val="auto"/>
              </w:rPr>
            </w:pPr>
            <w:r w:rsidRPr="004D3C0E">
              <w:rPr>
                <w:color w:val="auto"/>
              </w:rPr>
              <w:t xml:space="preserve">What is the most significant PACC4 gap in VAT policy </w:t>
            </w:r>
          </w:p>
        </w:tc>
        <w:tc>
          <w:tcPr>
            <w:tcW w:w="1143" w:type="dxa"/>
            <w:vMerge w:val="restart"/>
            <w:tcBorders>
              <w:top w:val="nil"/>
              <w:left w:val="nil"/>
              <w:bottom w:val="nil"/>
              <w:right w:val="nil"/>
            </w:tcBorders>
            <w:vAlign w:val="center"/>
          </w:tcPr>
          <w:p w14:paraId="51CA19F4"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778" w:type="dxa"/>
            <w:vMerge w:val="restart"/>
            <w:tcBorders>
              <w:top w:val="nil"/>
              <w:left w:val="nil"/>
              <w:bottom w:val="nil"/>
              <w:right w:val="nil"/>
            </w:tcBorders>
            <w:vAlign w:val="center"/>
          </w:tcPr>
          <w:p w14:paraId="515294C2" w14:textId="77777777" w:rsidR="007B366E" w:rsidRPr="004D3C0E" w:rsidRDefault="007B366E" w:rsidP="00491259">
            <w:pPr>
              <w:spacing w:after="0" w:line="240" w:lineRule="auto"/>
              <w:ind w:left="0" w:firstLine="0"/>
              <w:jc w:val="center"/>
              <w:rPr>
                <w:color w:val="auto"/>
              </w:rPr>
            </w:pPr>
            <w:r w:rsidRPr="004D3C0E">
              <w:rPr>
                <w:color w:val="auto"/>
              </w:rPr>
              <w:t>1.00</w:t>
            </w:r>
          </w:p>
        </w:tc>
        <w:tc>
          <w:tcPr>
            <w:tcW w:w="662" w:type="dxa"/>
            <w:vMerge w:val="restart"/>
            <w:tcBorders>
              <w:top w:val="nil"/>
              <w:left w:val="nil"/>
              <w:bottom w:val="nil"/>
              <w:right w:val="nil"/>
            </w:tcBorders>
            <w:vAlign w:val="center"/>
          </w:tcPr>
          <w:p w14:paraId="6821BEA0" w14:textId="77777777" w:rsidR="007B366E" w:rsidRPr="004D3C0E" w:rsidRDefault="007B366E" w:rsidP="00491259">
            <w:pPr>
              <w:spacing w:after="160" w:line="240" w:lineRule="auto"/>
              <w:ind w:left="0" w:firstLine="0"/>
              <w:jc w:val="center"/>
              <w:rPr>
                <w:color w:val="auto"/>
              </w:rPr>
            </w:pPr>
          </w:p>
        </w:tc>
        <w:tc>
          <w:tcPr>
            <w:tcW w:w="1047" w:type="dxa"/>
            <w:vMerge w:val="restart"/>
            <w:tcBorders>
              <w:top w:val="nil"/>
              <w:left w:val="nil"/>
              <w:bottom w:val="nil"/>
              <w:right w:val="nil"/>
            </w:tcBorders>
            <w:vAlign w:val="center"/>
          </w:tcPr>
          <w:p w14:paraId="719AEC65" w14:textId="77777777" w:rsidR="007B366E" w:rsidRPr="004D3C0E" w:rsidRDefault="007B366E" w:rsidP="00491259">
            <w:pPr>
              <w:spacing w:after="0" w:line="240" w:lineRule="auto"/>
              <w:ind w:left="0" w:firstLine="0"/>
              <w:jc w:val="center"/>
              <w:rPr>
                <w:color w:val="auto"/>
              </w:rPr>
            </w:pPr>
            <w:r w:rsidRPr="004D3C0E">
              <w:rPr>
                <w:color w:val="auto"/>
              </w:rPr>
              <w:t>4.00</w:t>
            </w:r>
          </w:p>
        </w:tc>
        <w:tc>
          <w:tcPr>
            <w:tcW w:w="283" w:type="dxa"/>
            <w:vMerge w:val="restart"/>
            <w:tcBorders>
              <w:top w:val="nil"/>
              <w:left w:val="nil"/>
              <w:bottom w:val="nil"/>
              <w:right w:val="nil"/>
            </w:tcBorders>
            <w:vAlign w:val="center"/>
          </w:tcPr>
          <w:p w14:paraId="5F6BCA96" w14:textId="77777777" w:rsidR="007B366E" w:rsidRPr="004D3C0E" w:rsidRDefault="007B366E" w:rsidP="00491259">
            <w:pPr>
              <w:spacing w:after="160" w:line="240" w:lineRule="auto"/>
              <w:ind w:left="0" w:firstLine="0"/>
              <w:jc w:val="center"/>
              <w:rPr>
                <w:color w:val="auto"/>
              </w:rPr>
            </w:pPr>
          </w:p>
        </w:tc>
        <w:tc>
          <w:tcPr>
            <w:tcW w:w="888" w:type="dxa"/>
            <w:vMerge w:val="restart"/>
            <w:tcBorders>
              <w:top w:val="nil"/>
              <w:left w:val="nil"/>
              <w:bottom w:val="nil"/>
              <w:right w:val="nil"/>
            </w:tcBorders>
            <w:vAlign w:val="center"/>
          </w:tcPr>
          <w:p w14:paraId="4547CBE9" w14:textId="77777777" w:rsidR="007B366E" w:rsidRPr="004D3C0E" w:rsidRDefault="007B366E" w:rsidP="00491259">
            <w:pPr>
              <w:spacing w:after="0" w:line="240" w:lineRule="auto"/>
              <w:ind w:left="0" w:firstLine="0"/>
              <w:jc w:val="center"/>
              <w:rPr>
                <w:color w:val="auto"/>
              </w:rPr>
            </w:pPr>
            <w:r w:rsidRPr="004D3C0E">
              <w:rPr>
                <w:color w:val="auto"/>
              </w:rPr>
              <w:t>2.1439</w:t>
            </w:r>
          </w:p>
        </w:tc>
        <w:tc>
          <w:tcPr>
            <w:tcW w:w="271" w:type="dxa"/>
            <w:vMerge w:val="restart"/>
            <w:tcBorders>
              <w:top w:val="nil"/>
              <w:left w:val="nil"/>
              <w:bottom w:val="nil"/>
              <w:right w:val="nil"/>
            </w:tcBorders>
            <w:vAlign w:val="center"/>
          </w:tcPr>
          <w:p w14:paraId="6E66874D" w14:textId="77777777" w:rsidR="007B366E" w:rsidRPr="004D3C0E" w:rsidRDefault="007B366E" w:rsidP="00491259">
            <w:pPr>
              <w:spacing w:after="160" w:line="240" w:lineRule="auto"/>
              <w:ind w:left="0" w:firstLine="0"/>
              <w:jc w:val="center"/>
              <w:rPr>
                <w:color w:val="auto"/>
              </w:rPr>
            </w:pPr>
          </w:p>
        </w:tc>
        <w:tc>
          <w:tcPr>
            <w:tcW w:w="771" w:type="dxa"/>
            <w:vMerge w:val="restart"/>
            <w:tcBorders>
              <w:top w:val="nil"/>
              <w:left w:val="nil"/>
              <w:bottom w:val="nil"/>
              <w:right w:val="nil"/>
            </w:tcBorders>
            <w:vAlign w:val="center"/>
          </w:tcPr>
          <w:p w14:paraId="6E61971F" w14:textId="77777777" w:rsidR="007B366E" w:rsidRPr="004D3C0E" w:rsidRDefault="007B366E" w:rsidP="00491259">
            <w:pPr>
              <w:spacing w:after="0" w:line="240" w:lineRule="auto"/>
              <w:ind w:left="0" w:firstLine="0"/>
              <w:jc w:val="center"/>
              <w:rPr>
                <w:color w:val="auto"/>
              </w:rPr>
            </w:pPr>
            <w:r w:rsidRPr="004D3C0E">
              <w:rPr>
                <w:color w:val="auto"/>
              </w:rPr>
              <w:t>1.03476</w:t>
            </w:r>
          </w:p>
        </w:tc>
      </w:tr>
      <w:tr w:rsidR="007B366E" w:rsidRPr="004D3C0E" w14:paraId="5C917C25" w14:textId="77777777" w:rsidTr="0040604A">
        <w:trPr>
          <w:trHeight w:val="60"/>
        </w:trPr>
        <w:tc>
          <w:tcPr>
            <w:tcW w:w="811" w:type="dxa"/>
            <w:tcBorders>
              <w:top w:val="nil"/>
              <w:left w:val="nil"/>
              <w:bottom w:val="nil"/>
              <w:right w:val="nil"/>
            </w:tcBorders>
            <w:vAlign w:val="center"/>
          </w:tcPr>
          <w:p w14:paraId="6C51874E" w14:textId="77777777" w:rsidR="007B366E" w:rsidRPr="004D3C0E" w:rsidRDefault="007B366E" w:rsidP="00491259">
            <w:pPr>
              <w:spacing w:after="160" w:line="240" w:lineRule="auto"/>
              <w:ind w:left="0" w:firstLine="0"/>
              <w:jc w:val="left"/>
              <w:rPr>
                <w:color w:val="auto"/>
              </w:rPr>
            </w:pPr>
          </w:p>
        </w:tc>
        <w:tc>
          <w:tcPr>
            <w:tcW w:w="3241" w:type="dxa"/>
            <w:tcBorders>
              <w:top w:val="nil"/>
              <w:left w:val="nil"/>
              <w:bottom w:val="nil"/>
              <w:right w:val="nil"/>
            </w:tcBorders>
            <w:vAlign w:val="center"/>
          </w:tcPr>
          <w:p w14:paraId="0EC0BC84" w14:textId="77777777" w:rsidR="007B366E" w:rsidRPr="004D3C0E" w:rsidRDefault="007B366E" w:rsidP="00491259">
            <w:pPr>
              <w:spacing w:after="0" w:line="240" w:lineRule="auto"/>
              <w:ind w:left="0" w:firstLine="0"/>
              <w:jc w:val="left"/>
              <w:rPr>
                <w:color w:val="auto"/>
              </w:rPr>
            </w:pPr>
            <w:r w:rsidRPr="004D3C0E">
              <w:rPr>
                <w:color w:val="auto"/>
              </w:rPr>
              <w:t xml:space="preserve">Implementation? </w:t>
            </w:r>
          </w:p>
        </w:tc>
        <w:tc>
          <w:tcPr>
            <w:tcW w:w="0" w:type="auto"/>
            <w:vMerge/>
            <w:tcBorders>
              <w:top w:val="nil"/>
              <w:left w:val="nil"/>
              <w:bottom w:val="nil"/>
              <w:right w:val="nil"/>
            </w:tcBorders>
            <w:vAlign w:val="center"/>
          </w:tcPr>
          <w:p w14:paraId="130CCD20" w14:textId="77777777" w:rsidR="007B366E" w:rsidRPr="004D3C0E" w:rsidRDefault="007B366E" w:rsidP="00491259">
            <w:pPr>
              <w:spacing w:after="160" w:line="240" w:lineRule="auto"/>
              <w:ind w:left="0" w:firstLine="0"/>
              <w:jc w:val="center"/>
              <w:rPr>
                <w:color w:val="auto"/>
              </w:rPr>
            </w:pPr>
          </w:p>
        </w:tc>
        <w:tc>
          <w:tcPr>
            <w:tcW w:w="0" w:type="auto"/>
            <w:vMerge/>
            <w:tcBorders>
              <w:top w:val="nil"/>
              <w:left w:val="nil"/>
              <w:bottom w:val="nil"/>
              <w:right w:val="nil"/>
            </w:tcBorders>
            <w:vAlign w:val="center"/>
          </w:tcPr>
          <w:p w14:paraId="6D260ECD" w14:textId="77777777" w:rsidR="007B366E" w:rsidRPr="004D3C0E" w:rsidRDefault="007B366E" w:rsidP="00491259">
            <w:pPr>
              <w:spacing w:after="160" w:line="240" w:lineRule="auto"/>
              <w:ind w:left="0" w:firstLine="0"/>
              <w:jc w:val="center"/>
              <w:rPr>
                <w:color w:val="auto"/>
              </w:rPr>
            </w:pPr>
          </w:p>
        </w:tc>
        <w:tc>
          <w:tcPr>
            <w:tcW w:w="0" w:type="auto"/>
            <w:vMerge/>
            <w:tcBorders>
              <w:top w:val="nil"/>
              <w:left w:val="nil"/>
              <w:bottom w:val="nil"/>
              <w:right w:val="nil"/>
            </w:tcBorders>
            <w:vAlign w:val="center"/>
          </w:tcPr>
          <w:p w14:paraId="6812C7EE" w14:textId="77777777" w:rsidR="007B366E" w:rsidRPr="004D3C0E" w:rsidRDefault="007B366E" w:rsidP="00491259">
            <w:pPr>
              <w:spacing w:after="160" w:line="240" w:lineRule="auto"/>
              <w:ind w:left="0" w:firstLine="0"/>
              <w:jc w:val="center"/>
              <w:rPr>
                <w:color w:val="auto"/>
              </w:rPr>
            </w:pPr>
          </w:p>
        </w:tc>
        <w:tc>
          <w:tcPr>
            <w:tcW w:w="0" w:type="auto"/>
            <w:vMerge/>
            <w:tcBorders>
              <w:top w:val="nil"/>
              <w:left w:val="nil"/>
              <w:bottom w:val="nil"/>
              <w:right w:val="nil"/>
            </w:tcBorders>
            <w:vAlign w:val="center"/>
          </w:tcPr>
          <w:p w14:paraId="338CE03C" w14:textId="77777777" w:rsidR="007B366E" w:rsidRPr="004D3C0E" w:rsidRDefault="007B366E" w:rsidP="00491259">
            <w:pPr>
              <w:spacing w:after="160" w:line="240" w:lineRule="auto"/>
              <w:ind w:left="0" w:firstLine="0"/>
              <w:jc w:val="center"/>
              <w:rPr>
                <w:color w:val="auto"/>
              </w:rPr>
            </w:pPr>
          </w:p>
        </w:tc>
        <w:tc>
          <w:tcPr>
            <w:tcW w:w="0" w:type="auto"/>
            <w:vMerge/>
            <w:tcBorders>
              <w:top w:val="nil"/>
              <w:left w:val="nil"/>
              <w:bottom w:val="nil"/>
              <w:right w:val="nil"/>
            </w:tcBorders>
            <w:vAlign w:val="center"/>
          </w:tcPr>
          <w:p w14:paraId="3E83316B" w14:textId="77777777" w:rsidR="007B366E" w:rsidRPr="004D3C0E" w:rsidRDefault="007B366E" w:rsidP="00491259">
            <w:pPr>
              <w:spacing w:after="160" w:line="240" w:lineRule="auto"/>
              <w:ind w:left="0" w:firstLine="0"/>
              <w:jc w:val="center"/>
              <w:rPr>
                <w:color w:val="auto"/>
              </w:rPr>
            </w:pPr>
          </w:p>
        </w:tc>
        <w:tc>
          <w:tcPr>
            <w:tcW w:w="0" w:type="auto"/>
            <w:vMerge/>
            <w:tcBorders>
              <w:top w:val="nil"/>
              <w:left w:val="nil"/>
              <w:bottom w:val="nil"/>
              <w:right w:val="nil"/>
            </w:tcBorders>
            <w:vAlign w:val="center"/>
          </w:tcPr>
          <w:p w14:paraId="4A0BA49F" w14:textId="77777777" w:rsidR="007B366E" w:rsidRPr="004D3C0E" w:rsidRDefault="007B366E" w:rsidP="00491259">
            <w:pPr>
              <w:spacing w:after="160" w:line="240" w:lineRule="auto"/>
              <w:ind w:left="0" w:firstLine="0"/>
              <w:jc w:val="center"/>
              <w:rPr>
                <w:color w:val="auto"/>
              </w:rPr>
            </w:pPr>
          </w:p>
        </w:tc>
        <w:tc>
          <w:tcPr>
            <w:tcW w:w="0" w:type="auto"/>
            <w:vMerge/>
            <w:tcBorders>
              <w:top w:val="nil"/>
              <w:left w:val="nil"/>
              <w:bottom w:val="nil"/>
              <w:right w:val="nil"/>
            </w:tcBorders>
            <w:vAlign w:val="center"/>
          </w:tcPr>
          <w:p w14:paraId="3BB73DEE" w14:textId="77777777" w:rsidR="007B366E" w:rsidRPr="004D3C0E" w:rsidRDefault="007B366E" w:rsidP="00491259">
            <w:pPr>
              <w:spacing w:after="160" w:line="240" w:lineRule="auto"/>
              <w:ind w:left="0" w:firstLine="0"/>
              <w:jc w:val="center"/>
              <w:rPr>
                <w:color w:val="auto"/>
              </w:rPr>
            </w:pPr>
          </w:p>
        </w:tc>
        <w:tc>
          <w:tcPr>
            <w:tcW w:w="0" w:type="auto"/>
            <w:vMerge/>
            <w:tcBorders>
              <w:top w:val="nil"/>
              <w:left w:val="nil"/>
              <w:bottom w:val="nil"/>
              <w:right w:val="nil"/>
            </w:tcBorders>
            <w:vAlign w:val="center"/>
          </w:tcPr>
          <w:p w14:paraId="7FCFA8F3" w14:textId="77777777" w:rsidR="007B366E" w:rsidRPr="004D3C0E" w:rsidRDefault="007B366E" w:rsidP="00491259">
            <w:pPr>
              <w:spacing w:after="160" w:line="240" w:lineRule="auto"/>
              <w:ind w:left="0" w:firstLine="0"/>
              <w:jc w:val="center"/>
              <w:rPr>
                <w:color w:val="auto"/>
              </w:rPr>
            </w:pPr>
          </w:p>
        </w:tc>
      </w:tr>
      <w:tr w:rsidR="007B366E" w:rsidRPr="004D3C0E" w14:paraId="7C040A34" w14:textId="77777777" w:rsidTr="0040604A">
        <w:trPr>
          <w:trHeight w:val="60"/>
        </w:trPr>
        <w:tc>
          <w:tcPr>
            <w:tcW w:w="811" w:type="dxa"/>
            <w:tcBorders>
              <w:top w:val="nil"/>
              <w:left w:val="nil"/>
              <w:bottom w:val="nil"/>
              <w:right w:val="nil"/>
            </w:tcBorders>
            <w:vAlign w:val="center"/>
          </w:tcPr>
          <w:p w14:paraId="545479AC" w14:textId="77777777" w:rsidR="007B366E" w:rsidRPr="004D3C0E" w:rsidRDefault="007B366E" w:rsidP="00491259">
            <w:pPr>
              <w:spacing w:after="0" w:line="240" w:lineRule="auto"/>
              <w:ind w:left="0" w:firstLine="0"/>
              <w:jc w:val="left"/>
              <w:rPr>
                <w:color w:val="auto"/>
              </w:rPr>
            </w:pPr>
            <w:r w:rsidRPr="004D3C0E">
              <w:rPr>
                <w:color w:val="auto"/>
              </w:rPr>
              <w:t xml:space="preserve">EF1 </w:t>
            </w:r>
          </w:p>
        </w:tc>
        <w:tc>
          <w:tcPr>
            <w:tcW w:w="3241" w:type="dxa"/>
            <w:tcBorders>
              <w:top w:val="nil"/>
              <w:left w:val="nil"/>
              <w:bottom w:val="nil"/>
              <w:right w:val="nil"/>
            </w:tcBorders>
            <w:vAlign w:val="center"/>
          </w:tcPr>
          <w:p w14:paraId="47CC9A58" w14:textId="77777777" w:rsidR="007B366E" w:rsidRPr="004D3C0E" w:rsidRDefault="007B366E" w:rsidP="00491259">
            <w:pPr>
              <w:spacing w:after="0" w:line="240" w:lineRule="auto"/>
              <w:ind w:left="0" w:firstLine="0"/>
              <w:jc w:val="left"/>
              <w:rPr>
                <w:color w:val="auto"/>
              </w:rPr>
            </w:pPr>
            <w:r w:rsidRPr="004D3C0E">
              <w:rPr>
                <w:color w:val="auto"/>
              </w:rPr>
              <w:t xml:space="preserve">How does economic instability impact VAT collection? </w:t>
            </w:r>
          </w:p>
        </w:tc>
        <w:tc>
          <w:tcPr>
            <w:tcW w:w="1143" w:type="dxa"/>
            <w:tcBorders>
              <w:top w:val="nil"/>
              <w:left w:val="nil"/>
              <w:bottom w:val="nil"/>
              <w:right w:val="nil"/>
            </w:tcBorders>
            <w:vAlign w:val="center"/>
          </w:tcPr>
          <w:p w14:paraId="0F49FA2A"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778" w:type="dxa"/>
            <w:tcBorders>
              <w:top w:val="nil"/>
              <w:left w:val="nil"/>
              <w:bottom w:val="nil"/>
              <w:right w:val="nil"/>
            </w:tcBorders>
            <w:vAlign w:val="center"/>
          </w:tcPr>
          <w:p w14:paraId="240EC8B8" w14:textId="77777777" w:rsidR="007B366E" w:rsidRPr="004D3C0E" w:rsidRDefault="007B366E" w:rsidP="00491259">
            <w:pPr>
              <w:spacing w:after="0" w:line="240" w:lineRule="auto"/>
              <w:ind w:left="0" w:firstLine="0"/>
              <w:jc w:val="center"/>
              <w:rPr>
                <w:color w:val="auto"/>
              </w:rPr>
            </w:pPr>
            <w:r w:rsidRPr="004D3C0E">
              <w:rPr>
                <w:color w:val="auto"/>
              </w:rPr>
              <w:t>1.00</w:t>
            </w:r>
          </w:p>
        </w:tc>
        <w:tc>
          <w:tcPr>
            <w:tcW w:w="662" w:type="dxa"/>
            <w:tcBorders>
              <w:top w:val="nil"/>
              <w:left w:val="nil"/>
              <w:bottom w:val="nil"/>
              <w:right w:val="nil"/>
            </w:tcBorders>
            <w:vAlign w:val="center"/>
          </w:tcPr>
          <w:p w14:paraId="6636FBCE" w14:textId="77777777" w:rsidR="007B366E" w:rsidRPr="004D3C0E" w:rsidRDefault="007B366E" w:rsidP="00491259">
            <w:pPr>
              <w:spacing w:after="160" w:line="240" w:lineRule="auto"/>
              <w:ind w:left="0" w:firstLine="0"/>
              <w:jc w:val="center"/>
              <w:rPr>
                <w:color w:val="auto"/>
              </w:rPr>
            </w:pPr>
          </w:p>
        </w:tc>
        <w:tc>
          <w:tcPr>
            <w:tcW w:w="1047" w:type="dxa"/>
            <w:tcBorders>
              <w:top w:val="nil"/>
              <w:left w:val="nil"/>
              <w:bottom w:val="nil"/>
              <w:right w:val="nil"/>
            </w:tcBorders>
            <w:vAlign w:val="center"/>
          </w:tcPr>
          <w:p w14:paraId="6666FA2E" w14:textId="77777777" w:rsidR="007B366E" w:rsidRPr="004D3C0E" w:rsidRDefault="007B366E" w:rsidP="00491259">
            <w:pPr>
              <w:spacing w:after="0" w:line="240" w:lineRule="auto"/>
              <w:ind w:left="0" w:firstLine="0"/>
              <w:jc w:val="center"/>
              <w:rPr>
                <w:color w:val="auto"/>
              </w:rPr>
            </w:pPr>
            <w:r w:rsidRPr="004D3C0E">
              <w:rPr>
                <w:color w:val="auto"/>
              </w:rPr>
              <w:t>4.00</w:t>
            </w:r>
          </w:p>
        </w:tc>
        <w:tc>
          <w:tcPr>
            <w:tcW w:w="283" w:type="dxa"/>
            <w:tcBorders>
              <w:top w:val="nil"/>
              <w:left w:val="nil"/>
              <w:bottom w:val="nil"/>
              <w:right w:val="nil"/>
            </w:tcBorders>
            <w:vAlign w:val="center"/>
          </w:tcPr>
          <w:p w14:paraId="1798A994" w14:textId="77777777" w:rsidR="007B366E" w:rsidRPr="004D3C0E" w:rsidRDefault="007B366E" w:rsidP="00491259">
            <w:pPr>
              <w:spacing w:after="160" w:line="240" w:lineRule="auto"/>
              <w:ind w:left="0" w:firstLine="0"/>
              <w:jc w:val="center"/>
              <w:rPr>
                <w:color w:val="auto"/>
              </w:rPr>
            </w:pPr>
          </w:p>
        </w:tc>
        <w:tc>
          <w:tcPr>
            <w:tcW w:w="888" w:type="dxa"/>
            <w:tcBorders>
              <w:top w:val="nil"/>
              <w:left w:val="nil"/>
              <w:bottom w:val="nil"/>
              <w:right w:val="nil"/>
            </w:tcBorders>
            <w:vAlign w:val="center"/>
          </w:tcPr>
          <w:p w14:paraId="56AE57B3" w14:textId="77777777" w:rsidR="007B366E" w:rsidRPr="004D3C0E" w:rsidRDefault="007B366E" w:rsidP="00491259">
            <w:pPr>
              <w:spacing w:after="0" w:line="240" w:lineRule="auto"/>
              <w:ind w:left="0" w:firstLine="0"/>
              <w:jc w:val="center"/>
              <w:rPr>
                <w:color w:val="auto"/>
              </w:rPr>
            </w:pPr>
            <w:r w:rsidRPr="004D3C0E">
              <w:rPr>
                <w:color w:val="auto"/>
              </w:rPr>
              <w:t>2.1136</w:t>
            </w:r>
          </w:p>
        </w:tc>
        <w:tc>
          <w:tcPr>
            <w:tcW w:w="271" w:type="dxa"/>
            <w:tcBorders>
              <w:top w:val="nil"/>
              <w:left w:val="nil"/>
              <w:bottom w:val="nil"/>
              <w:right w:val="nil"/>
            </w:tcBorders>
            <w:vAlign w:val="center"/>
          </w:tcPr>
          <w:p w14:paraId="79674C0F" w14:textId="77777777" w:rsidR="007B366E" w:rsidRPr="004D3C0E" w:rsidRDefault="007B366E" w:rsidP="00491259">
            <w:pPr>
              <w:spacing w:after="160" w:line="240" w:lineRule="auto"/>
              <w:ind w:left="0" w:firstLine="0"/>
              <w:jc w:val="center"/>
              <w:rPr>
                <w:color w:val="auto"/>
              </w:rPr>
            </w:pPr>
          </w:p>
        </w:tc>
        <w:tc>
          <w:tcPr>
            <w:tcW w:w="771" w:type="dxa"/>
            <w:tcBorders>
              <w:top w:val="nil"/>
              <w:left w:val="nil"/>
              <w:bottom w:val="nil"/>
              <w:right w:val="nil"/>
            </w:tcBorders>
            <w:vAlign w:val="center"/>
          </w:tcPr>
          <w:p w14:paraId="0ADDDA15" w14:textId="77777777" w:rsidR="007B366E" w:rsidRPr="004D3C0E" w:rsidRDefault="007B366E" w:rsidP="00491259">
            <w:pPr>
              <w:spacing w:after="0" w:line="240" w:lineRule="auto"/>
              <w:ind w:left="55" w:firstLine="0"/>
              <w:jc w:val="center"/>
              <w:rPr>
                <w:color w:val="auto"/>
              </w:rPr>
            </w:pPr>
            <w:r w:rsidRPr="004D3C0E">
              <w:rPr>
                <w:color w:val="auto"/>
              </w:rPr>
              <w:t>.90501</w:t>
            </w:r>
          </w:p>
        </w:tc>
      </w:tr>
      <w:tr w:rsidR="007B366E" w:rsidRPr="004D3C0E" w14:paraId="604C8865" w14:textId="77777777" w:rsidTr="0040604A">
        <w:trPr>
          <w:trHeight w:val="60"/>
        </w:trPr>
        <w:tc>
          <w:tcPr>
            <w:tcW w:w="811" w:type="dxa"/>
            <w:tcBorders>
              <w:top w:val="nil"/>
              <w:left w:val="nil"/>
              <w:bottom w:val="nil"/>
              <w:right w:val="nil"/>
            </w:tcBorders>
            <w:vAlign w:val="center"/>
          </w:tcPr>
          <w:p w14:paraId="42085E08" w14:textId="77777777" w:rsidR="007B366E" w:rsidRPr="004D3C0E" w:rsidRDefault="007B366E" w:rsidP="00491259">
            <w:pPr>
              <w:spacing w:after="0" w:line="240" w:lineRule="auto"/>
              <w:ind w:left="0" w:firstLine="0"/>
              <w:jc w:val="left"/>
              <w:rPr>
                <w:color w:val="auto"/>
              </w:rPr>
            </w:pPr>
            <w:r w:rsidRPr="004D3C0E">
              <w:rPr>
                <w:color w:val="auto"/>
              </w:rPr>
              <w:lastRenderedPageBreak/>
              <w:t xml:space="preserve">EF2 </w:t>
            </w:r>
          </w:p>
        </w:tc>
        <w:tc>
          <w:tcPr>
            <w:tcW w:w="3241" w:type="dxa"/>
            <w:tcBorders>
              <w:top w:val="nil"/>
              <w:left w:val="nil"/>
              <w:bottom w:val="nil"/>
              <w:right w:val="nil"/>
            </w:tcBorders>
            <w:vAlign w:val="center"/>
          </w:tcPr>
          <w:p w14:paraId="560C3D89" w14:textId="77777777" w:rsidR="007B366E" w:rsidRPr="004D3C0E" w:rsidRDefault="007B366E" w:rsidP="00491259">
            <w:pPr>
              <w:spacing w:after="0" w:line="240" w:lineRule="auto"/>
              <w:ind w:left="0" w:firstLine="0"/>
              <w:jc w:val="left"/>
              <w:rPr>
                <w:color w:val="auto"/>
              </w:rPr>
            </w:pPr>
            <w:r w:rsidRPr="004D3C0E">
              <w:rPr>
                <w:color w:val="auto"/>
              </w:rPr>
              <w:t xml:space="preserve">What role does corruption play in hindering VAT administration? </w:t>
            </w:r>
          </w:p>
        </w:tc>
        <w:tc>
          <w:tcPr>
            <w:tcW w:w="1143" w:type="dxa"/>
            <w:tcBorders>
              <w:top w:val="nil"/>
              <w:left w:val="nil"/>
              <w:bottom w:val="nil"/>
              <w:right w:val="nil"/>
            </w:tcBorders>
            <w:vAlign w:val="center"/>
          </w:tcPr>
          <w:p w14:paraId="2EA18870"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778" w:type="dxa"/>
            <w:tcBorders>
              <w:top w:val="nil"/>
              <w:left w:val="nil"/>
              <w:bottom w:val="nil"/>
              <w:right w:val="nil"/>
            </w:tcBorders>
            <w:vAlign w:val="center"/>
          </w:tcPr>
          <w:p w14:paraId="05FBF819" w14:textId="77777777" w:rsidR="007B366E" w:rsidRPr="004D3C0E" w:rsidRDefault="007B366E" w:rsidP="00491259">
            <w:pPr>
              <w:spacing w:after="0" w:line="240" w:lineRule="auto"/>
              <w:ind w:left="0" w:firstLine="0"/>
              <w:jc w:val="center"/>
              <w:rPr>
                <w:color w:val="auto"/>
              </w:rPr>
            </w:pPr>
            <w:r w:rsidRPr="004D3C0E">
              <w:rPr>
                <w:color w:val="auto"/>
              </w:rPr>
              <w:t>1.00</w:t>
            </w:r>
          </w:p>
        </w:tc>
        <w:tc>
          <w:tcPr>
            <w:tcW w:w="662" w:type="dxa"/>
            <w:tcBorders>
              <w:top w:val="nil"/>
              <w:left w:val="nil"/>
              <w:bottom w:val="nil"/>
              <w:right w:val="nil"/>
            </w:tcBorders>
            <w:vAlign w:val="center"/>
          </w:tcPr>
          <w:p w14:paraId="2E698E88" w14:textId="77777777" w:rsidR="007B366E" w:rsidRPr="004D3C0E" w:rsidRDefault="007B366E" w:rsidP="00491259">
            <w:pPr>
              <w:spacing w:after="160" w:line="240" w:lineRule="auto"/>
              <w:ind w:left="0" w:firstLine="0"/>
              <w:jc w:val="center"/>
              <w:rPr>
                <w:color w:val="auto"/>
              </w:rPr>
            </w:pPr>
          </w:p>
        </w:tc>
        <w:tc>
          <w:tcPr>
            <w:tcW w:w="1047" w:type="dxa"/>
            <w:tcBorders>
              <w:top w:val="nil"/>
              <w:left w:val="nil"/>
              <w:bottom w:val="nil"/>
              <w:right w:val="nil"/>
            </w:tcBorders>
            <w:vAlign w:val="center"/>
          </w:tcPr>
          <w:p w14:paraId="228DBAC5" w14:textId="77777777" w:rsidR="007B366E" w:rsidRPr="004D3C0E" w:rsidRDefault="007B366E" w:rsidP="00491259">
            <w:pPr>
              <w:spacing w:after="0" w:line="240" w:lineRule="auto"/>
              <w:ind w:left="0" w:firstLine="0"/>
              <w:jc w:val="center"/>
              <w:rPr>
                <w:color w:val="auto"/>
              </w:rPr>
            </w:pPr>
            <w:r w:rsidRPr="004D3C0E">
              <w:rPr>
                <w:color w:val="auto"/>
              </w:rPr>
              <w:t>4.00</w:t>
            </w:r>
          </w:p>
        </w:tc>
        <w:tc>
          <w:tcPr>
            <w:tcW w:w="283" w:type="dxa"/>
            <w:tcBorders>
              <w:top w:val="nil"/>
              <w:left w:val="nil"/>
              <w:bottom w:val="nil"/>
              <w:right w:val="nil"/>
            </w:tcBorders>
            <w:vAlign w:val="center"/>
          </w:tcPr>
          <w:p w14:paraId="3242D65C" w14:textId="77777777" w:rsidR="007B366E" w:rsidRPr="004D3C0E" w:rsidRDefault="007B366E" w:rsidP="00491259">
            <w:pPr>
              <w:spacing w:after="160" w:line="240" w:lineRule="auto"/>
              <w:ind w:left="0" w:firstLine="0"/>
              <w:jc w:val="center"/>
              <w:rPr>
                <w:color w:val="auto"/>
              </w:rPr>
            </w:pPr>
          </w:p>
        </w:tc>
        <w:tc>
          <w:tcPr>
            <w:tcW w:w="888" w:type="dxa"/>
            <w:tcBorders>
              <w:top w:val="nil"/>
              <w:left w:val="nil"/>
              <w:bottom w:val="nil"/>
              <w:right w:val="nil"/>
            </w:tcBorders>
            <w:vAlign w:val="center"/>
          </w:tcPr>
          <w:p w14:paraId="49264324" w14:textId="77777777" w:rsidR="007B366E" w:rsidRPr="004D3C0E" w:rsidRDefault="007B366E" w:rsidP="00491259">
            <w:pPr>
              <w:spacing w:after="0" w:line="240" w:lineRule="auto"/>
              <w:ind w:left="0" w:firstLine="0"/>
              <w:jc w:val="center"/>
              <w:rPr>
                <w:color w:val="auto"/>
              </w:rPr>
            </w:pPr>
            <w:r w:rsidRPr="004D3C0E">
              <w:rPr>
                <w:color w:val="auto"/>
              </w:rPr>
              <w:t>2.2045</w:t>
            </w:r>
          </w:p>
        </w:tc>
        <w:tc>
          <w:tcPr>
            <w:tcW w:w="271" w:type="dxa"/>
            <w:tcBorders>
              <w:top w:val="nil"/>
              <w:left w:val="nil"/>
              <w:bottom w:val="nil"/>
              <w:right w:val="nil"/>
            </w:tcBorders>
            <w:vAlign w:val="center"/>
          </w:tcPr>
          <w:p w14:paraId="5BEA8D00" w14:textId="77777777" w:rsidR="007B366E" w:rsidRPr="004D3C0E" w:rsidRDefault="007B366E" w:rsidP="00491259">
            <w:pPr>
              <w:spacing w:after="160" w:line="240" w:lineRule="auto"/>
              <w:ind w:left="0" w:firstLine="0"/>
              <w:jc w:val="center"/>
              <w:rPr>
                <w:color w:val="auto"/>
              </w:rPr>
            </w:pPr>
          </w:p>
        </w:tc>
        <w:tc>
          <w:tcPr>
            <w:tcW w:w="771" w:type="dxa"/>
            <w:tcBorders>
              <w:top w:val="nil"/>
              <w:left w:val="nil"/>
              <w:bottom w:val="nil"/>
              <w:right w:val="nil"/>
            </w:tcBorders>
            <w:vAlign w:val="center"/>
          </w:tcPr>
          <w:p w14:paraId="5030196F" w14:textId="77777777" w:rsidR="007B366E" w:rsidRPr="004D3C0E" w:rsidRDefault="007B366E" w:rsidP="00491259">
            <w:pPr>
              <w:spacing w:after="0" w:line="240" w:lineRule="auto"/>
              <w:ind w:left="55" w:firstLine="0"/>
              <w:jc w:val="center"/>
              <w:rPr>
                <w:color w:val="auto"/>
              </w:rPr>
            </w:pPr>
            <w:r w:rsidRPr="004D3C0E">
              <w:rPr>
                <w:color w:val="auto"/>
              </w:rPr>
              <w:t>.98646</w:t>
            </w:r>
          </w:p>
        </w:tc>
      </w:tr>
      <w:tr w:rsidR="007B366E" w:rsidRPr="004D3C0E" w14:paraId="0D7C3282" w14:textId="77777777" w:rsidTr="0040604A">
        <w:trPr>
          <w:trHeight w:val="607"/>
        </w:trPr>
        <w:tc>
          <w:tcPr>
            <w:tcW w:w="811" w:type="dxa"/>
            <w:tcBorders>
              <w:top w:val="nil"/>
              <w:left w:val="nil"/>
              <w:bottom w:val="nil"/>
              <w:right w:val="nil"/>
            </w:tcBorders>
            <w:vAlign w:val="center"/>
          </w:tcPr>
          <w:p w14:paraId="7319790F" w14:textId="77777777" w:rsidR="007B366E" w:rsidRPr="004D3C0E" w:rsidRDefault="007B366E" w:rsidP="00491259">
            <w:pPr>
              <w:spacing w:after="0" w:line="240" w:lineRule="auto"/>
              <w:ind w:left="0" w:firstLine="0"/>
              <w:jc w:val="left"/>
              <w:rPr>
                <w:color w:val="auto"/>
              </w:rPr>
            </w:pPr>
            <w:r w:rsidRPr="004D3C0E">
              <w:rPr>
                <w:color w:val="auto"/>
              </w:rPr>
              <w:t xml:space="preserve">EF3 </w:t>
            </w:r>
          </w:p>
        </w:tc>
        <w:tc>
          <w:tcPr>
            <w:tcW w:w="3241" w:type="dxa"/>
            <w:tcBorders>
              <w:top w:val="nil"/>
              <w:left w:val="nil"/>
              <w:bottom w:val="nil"/>
              <w:right w:val="nil"/>
            </w:tcBorders>
            <w:vAlign w:val="center"/>
          </w:tcPr>
          <w:p w14:paraId="334623A5" w14:textId="77777777" w:rsidR="007B366E" w:rsidRPr="004D3C0E" w:rsidRDefault="007B366E" w:rsidP="00491259">
            <w:pPr>
              <w:spacing w:after="0" w:line="240" w:lineRule="auto"/>
              <w:ind w:left="0" w:right="8" w:firstLine="0"/>
              <w:jc w:val="left"/>
              <w:rPr>
                <w:color w:val="auto"/>
              </w:rPr>
            </w:pPr>
            <w:r w:rsidRPr="004D3C0E">
              <w:rPr>
                <w:color w:val="auto"/>
              </w:rPr>
              <w:t xml:space="preserve">How does public perception of GRA affect VAT compliance? </w:t>
            </w:r>
          </w:p>
        </w:tc>
        <w:tc>
          <w:tcPr>
            <w:tcW w:w="1143" w:type="dxa"/>
            <w:tcBorders>
              <w:top w:val="nil"/>
              <w:left w:val="nil"/>
              <w:bottom w:val="nil"/>
              <w:right w:val="nil"/>
            </w:tcBorders>
            <w:vAlign w:val="center"/>
          </w:tcPr>
          <w:p w14:paraId="24D239B3"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778" w:type="dxa"/>
            <w:tcBorders>
              <w:top w:val="nil"/>
              <w:left w:val="nil"/>
              <w:bottom w:val="nil"/>
              <w:right w:val="nil"/>
            </w:tcBorders>
            <w:vAlign w:val="center"/>
          </w:tcPr>
          <w:p w14:paraId="2FFC49D1" w14:textId="77777777" w:rsidR="007B366E" w:rsidRPr="004D3C0E" w:rsidRDefault="007B366E" w:rsidP="00491259">
            <w:pPr>
              <w:spacing w:after="0" w:line="240" w:lineRule="auto"/>
              <w:ind w:left="0" w:firstLine="0"/>
              <w:jc w:val="center"/>
              <w:rPr>
                <w:color w:val="auto"/>
              </w:rPr>
            </w:pPr>
            <w:r w:rsidRPr="004D3C0E">
              <w:rPr>
                <w:color w:val="auto"/>
              </w:rPr>
              <w:t>1.00</w:t>
            </w:r>
          </w:p>
        </w:tc>
        <w:tc>
          <w:tcPr>
            <w:tcW w:w="662" w:type="dxa"/>
            <w:tcBorders>
              <w:top w:val="nil"/>
              <w:left w:val="nil"/>
              <w:bottom w:val="nil"/>
              <w:right w:val="nil"/>
            </w:tcBorders>
            <w:vAlign w:val="center"/>
          </w:tcPr>
          <w:p w14:paraId="7CA89CD5" w14:textId="77777777" w:rsidR="007B366E" w:rsidRPr="004D3C0E" w:rsidRDefault="007B366E" w:rsidP="00491259">
            <w:pPr>
              <w:spacing w:after="160" w:line="240" w:lineRule="auto"/>
              <w:ind w:left="0" w:firstLine="0"/>
              <w:jc w:val="center"/>
              <w:rPr>
                <w:color w:val="auto"/>
              </w:rPr>
            </w:pPr>
          </w:p>
        </w:tc>
        <w:tc>
          <w:tcPr>
            <w:tcW w:w="1047" w:type="dxa"/>
            <w:tcBorders>
              <w:top w:val="nil"/>
              <w:left w:val="nil"/>
              <w:bottom w:val="nil"/>
              <w:right w:val="nil"/>
            </w:tcBorders>
            <w:vAlign w:val="center"/>
          </w:tcPr>
          <w:p w14:paraId="6B958346" w14:textId="77777777" w:rsidR="007B366E" w:rsidRPr="004D3C0E" w:rsidRDefault="007B366E" w:rsidP="00491259">
            <w:pPr>
              <w:spacing w:after="0" w:line="240" w:lineRule="auto"/>
              <w:ind w:left="0" w:firstLine="0"/>
              <w:jc w:val="center"/>
              <w:rPr>
                <w:color w:val="auto"/>
              </w:rPr>
            </w:pPr>
            <w:r w:rsidRPr="004D3C0E">
              <w:rPr>
                <w:color w:val="auto"/>
              </w:rPr>
              <w:t>4.00</w:t>
            </w:r>
          </w:p>
        </w:tc>
        <w:tc>
          <w:tcPr>
            <w:tcW w:w="283" w:type="dxa"/>
            <w:tcBorders>
              <w:top w:val="nil"/>
              <w:left w:val="nil"/>
              <w:bottom w:val="nil"/>
              <w:right w:val="nil"/>
            </w:tcBorders>
            <w:vAlign w:val="center"/>
          </w:tcPr>
          <w:p w14:paraId="61DA03D9" w14:textId="77777777" w:rsidR="007B366E" w:rsidRPr="004D3C0E" w:rsidRDefault="007B366E" w:rsidP="00491259">
            <w:pPr>
              <w:spacing w:after="160" w:line="240" w:lineRule="auto"/>
              <w:ind w:left="0" w:firstLine="0"/>
              <w:jc w:val="center"/>
              <w:rPr>
                <w:color w:val="auto"/>
              </w:rPr>
            </w:pPr>
          </w:p>
        </w:tc>
        <w:tc>
          <w:tcPr>
            <w:tcW w:w="888" w:type="dxa"/>
            <w:tcBorders>
              <w:top w:val="nil"/>
              <w:left w:val="nil"/>
              <w:bottom w:val="nil"/>
              <w:right w:val="nil"/>
            </w:tcBorders>
            <w:vAlign w:val="center"/>
          </w:tcPr>
          <w:p w14:paraId="03D27992" w14:textId="77777777" w:rsidR="007B366E" w:rsidRPr="004D3C0E" w:rsidRDefault="007B366E" w:rsidP="00491259">
            <w:pPr>
              <w:spacing w:after="0" w:line="240" w:lineRule="auto"/>
              <w:ind w:left="0" w:firstLine="0"/>
              <w:jc w:val="center"/>
              <w:rPr>
                <w:color w:val="auto"/>
              </w:rPr>
            </w:pPr>
            <w:r w:rsidRPr="004D3C0E">
              <w:rPr>
                <w:color w:val="auto"/>
              </w:rPr>
              <w:t>2.2576</w:t>
            </w:r>
          </w:p>
        </w:tc>
        <w:tc>
          <w:tcPr>
            <w:tcW w:w="271" w:type="dxa"/>
            <w:tcBorders>
              <w:top w:val="nil"/>
              <w:left w:val="nil"/>
              <w:bottom w:val="nil"/>
              <w:right w:val="nil"/>
            </w:tcBorders>
            <w:vAlign w:val="center"/>
          </w:tcPr>
          <w:p w14:paraId="3C8E926F" w14:textId="77777777" w:rsidR="007B366E" w:rsidRPr="004D3C0E" w:rsidRDefault="007B366E" w:rsidP="00491259">
            <w:pPr>
              <w:spacing w:after="160" w:line="240" w:lineRule="auto"/>
              <w:ind w:left="0" w:firstLine="0"/>
              <w:jc w:val="center"/>
              <w:rPr>
                <w:color w:val="auto"/>
              </w:rPr>
            </w:pPr>
          </w:p>
        </w:tc>
        <w:tc>
          <w:tcPr>
            <w:tcW w:w="771" w:type="dxa"/>
            <w:tcBorders>
              <w:top w:val="nil"/>
              <w:left w:val="nil"/>
              <w:bottom w:val="nil"/>
              <w:right w:val="nil"/>
            </w:tcBorders>
            <w:vAlign w:val="center"/>
          </w:tcPr>
          <w:p w14:paraId="44946F3C" w14:textId="77777777" w:rsidR="007B366E" w:rsidRPr="004D3C0E" w:rsidRDefault="007B366E" w:rsidP="00491259">
            <w:pPr>
              <w:spacing w:after="0" w:line="240" w:lineRule="auto"/>
              <w:ind w:left="0" w:firstLine="0"/>
              <w:jc w:val="center"/>
              <w:rPr>
                <w:color w:val="auto"/>
              </w:rPr>
            </w:pPr>
            <w:r w:rsidRPr="004D3C0E">
              <w:rPr>
                <w:color w:val="auto"/>
              </w:rPr>
              <w:t>1.05296</w:t>
            </w:r>
          </w:p>
        </w:tc>
      </w:tr>
      <w:tr w:rsidR="007B366E" w:rsidRPr="004D3C0E" w14:paraId="49299C05" w14:textId="77777777" w:rsidTr="006F22CF">
        <w:trPr>
          <w:trHeight w:val="874"/>
        </w:trPr>
        <w:tc>
          <w:tcPr>
            <w:tcW w:w="811" w:type="dxa"/>
            <w:tcBorders>
              <w:top w:val="nil"/>
              <w:left w:val="nil"/>
              <w:right w:val="nil"/>
            </w:tcBorders>
            <w:vAlign w:val="center"/>
          </w:tcPr>
          <w:p w14:paraId="70AA534E" w14:textId="77777777" w:rsidR="007B366E" w:rsidRPr="004D3C0E" w:rsidRDefault="007B366E" w:rsidP="00491259">
            <w:pPr>
              <w:spacing w:after="0" w:line="240" w:lineRule="auto"/>
              <w:ind w:left="0" w:firstLine="0"/>
              <w:jc w:val="left"/>
              <w:rPr>
                <w:color w:val="auto"/>
              </w:rPr>
            </w:pPr>
            <w:r w:rsidRPr="004D3C0E">
              <w:rPr>
                <w:color w:val="auto"/>
              </w:rPr>
              <w:t xml:space="preserve">EF4 </w:t>
            </w:r>
          </w:p>
        </w:tc>
        <w:tc>
          <w:tcPr>
            <w:tcW w:w="3241" w:type="dxa"/>
            <w:tcBorders>
              <w:top w:val="nil"/>
              <w:left w:val="nil"/>
              <w:right w:val="nil"/>
            </w:tcBorders>
            <w:vAlign w:val="center"/>
          </w:tcPr>
          <w:p w14:paraId="514ACC60" w14:textId="77777777" w:rsidR="007B366E" w:rsidRPr="004D3C0E" w:rsidRDefault="007B366E" w:rsidP="00491259">
            <w:pPr>
              <w:spacing w:after="0" w:line="240" w:lineRule="auto"/>
              <w:ind w:left="0" w:right="865" w:firstLine="0"/>
              <w:jc w:val="left"/>
              <w:rPr>
                <w:color w:val="auto"/>
              </w:rPr>
            </w:pPr>
            <w:r w:rsidRPr="004D3C0E">
              <w:rPr>
                <w:color w:val="auto"/>
              </w:rPr>
              <w:t xml:space="preserve">What external factors most affect the effectiveness of VAT administration? </w:t>
            </w:r>
          </w:p>
        </w:tc>
        <w:tc>
          <w:tcPr>
            <w:tcW w:w="1143" w:type="dxa"/>
            <w:tcBorders>
              <w:top w:val="nil"/>
              <w:left w:val="nil"/>
              <w:right w:val="nil"/>
            </w:tcBorders>
            <w:vAlign w:val="center"/>
          </w:tcPr>
          <w:p w14:paraId="3D8F4E39"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778" w:type="dxa"/>
            <w:tcBorders>
              <w:top w:val="nil"/>
              <w:left w:val="nil"/>
              <w:right w:val="nil"/>
            </w:tcBorders>
            <w:vAlign w:val="center"/>
          </w:tcPr>
          <w:p w14:paraId="3DB8C842" w14:textId="77777777" w:rsidR="007B366E" w:rsidRPr="004D3C0E" w:rsidRDefault="007B366E" w:rsidP="00491259">
            <w:pPr>
              <w:spacing w:after="0" w:line="240" w:lineRule="auto"/>
              <w:ind w:left="0" w:firstLine="0"/>
              <w:jc w:val="center"/>
              <w:rPr>
                <w:color w:val="auto"/>
              </w:rPr>
            </w:pPr>
            <w:r w:rsidRPr="004D3C0E">
              <w:rPr>
                <w:color w:val="auto"/>
              </w:rPr>
              <w:t>1.00</w:t>
            </w:r>
          </w:p>
        </w:tc>
        <w:tc>
          <w:tcPr>
            <w:tcW w:w="662" w:type="dxa"/>
            <w:tcBorders>
              <w:top w:val="nil"/>
              <w:left w:val="nil"/>
              <w:right w:val="nil"/>
            </w:tcBorders>
            <w:vAlign w:val="center"/>
          </w:tcPr>
          <w:p w14:paraId="74E766DD" w14:textId="77777777" w:rsidR="007B366E" w:rsidRPr="004D3C0E" w:rsidRDefault="007B366E" w:rsidP="00491259">
            <w:pPr>
              <w:spacing w:after="160" w:line="240" w:lineRule="auto"/>
              <w:ind w:left="0" w:firstLine="0"/>
              <w:jc w:val="center"/>
              <w:rPr>
                <w:color w:val="auto"/>
              </w:rPr>
            </w:pPr>
          </w:p>
        </w:tc>
        <w:tc>
          <w:tcPr>
            <w:tcW w:w="1047" w:type="dxa"/>
            <w:tcBorders>
              <w:top w:val="nil"/>
              <w:left w:val="nil"/>
              <w:right w:val="nil"/>
            </w:tcBorders>
            <w:vAlign w:val="center"/>
          </w:tcPr>
          <w:p w14:paraId="6C6212C9" w14:textId="77777777" w:rsidR="007B366E" w:rsidRPr="004D3C0E" w:rsidRDefault="007B366E" w:rsidP="00491259">
            <w:pPr>
              <w:spacing w:after="0" w:line="240" w:lineRule="auto"/>
              <w:ind w:left="0" w:firstLine="0"/>
              <w:jc w:val="center"/>
              <w:rPr>
                <w:color w:val="auto"/>
              </w:rPr>
            </w:pPr>
            <w:r w:rsidRPr="004D3C0E">
              <w:rPr>
                <w:color w:val="auto"/>
              </w:rPr>
              <w:t>4.00</w:t>
            </w:r>
          </w:p>
        </w:tc>
        <w:tc>
          <w:tcPr>
            <w:tcW w:w="283" w:type="dxa"/>
            <w:tcBorders>
              <w:top w:val="nil"/>
              <w:left w:val="nil"/>
              <w:right w:val="nil"/>
            </w:tcBorders>
            <w:vAlign w:val="center"/>
          </w:tcPr>
          <w:p w14:paraId="09779572" w14:textId="77777777" w:rsidR="007B366E" w:rsidRPr="004D3C0E" w:rsidRDefault="007B366E" w:rsidP="00491259">
            <w:pPr>
              <w:spacing w:after="160" w:line="240" w:lineRule="auto"/>
              <w:ind w:left="0" w:firstLine="0"/>
              <w:jc w:val="center"/>
              <w:rPr>
                <w:color w:val="auto"/>
              </w:rPr>
            </w:pPr>
          </w:p>
        </w:tc>
        <w:tc>
          <w:tcPr>
            <w:tcW w:w="888" w:type="dxa"/>
            <w:tcBorders>
              <w:top w:val="nil"/>
              <w:left w:val="nil"/>
              <w:right w:val="nil"/>
            </w:tcBorders>
            <w:vAlign w:val="center"/>
          </w:tcPr>
          <w:p w14:paraId="4BACE398" w14:textId="77777777" w:rsidR="007B366E" w:rsidRPr="004D3C0E" w:rsidRDefault="007B366E" w:rsidP="00491259">
            <w:pPr>
              <w:spacing w:after="0" w:line="240" w:lineRule="auto"/>
              <w:ind w:left="0" w:firstLine="0"/>
              <w:jc w:val="center"/>
              <w:rPr>
                <w:color w:val="auto"/>
              </w:rPr>
            </w:pPr>
            <w:r w:rsidRPr="004D3C0E">
              <w:rPr>
                <w:color w:val="auto"/>
              </w:rPr>
              <w:t>2.0682</w:t>
            </w:r>
          </w:p>
        </w:tc>
        <w:tc>
          <w:tcPr>
            <w:tcW w:w="271" w:type="dxa"/>
            <w:tcBorders>
              <w:top w:val="nil"/>
              <w:left w:val="nil"/>
              <w:right w:val="nil"/>
            </w:tcBorders>
            <w:vAlign w:val="center"/>
          </w:tcPr>
          <w:p w14:paraId="42A42C5D" w14:textId="77777777" w:rsidR="007B366E" w:rsidRPr="004D3C0E" w:rsidRDefault="007B366E" w:rsidP="00491259">
            <w:pPr>
              <w:spacing w:after="160" w:line="240" w:lineRule="auto"/>
              <w:ind w:left="0" w:firstLine="0"/>
              <w:jc w:val="center"/>
              <w:rPr>
                <w:color w:val="auto"/>
              </w:rPr>
            </w:pPr>
          </w:p>
        </w:tc>
        <w:tc>
          <w:tcPr>
            <w:tcW w:w="771" w:type="dxa"/>
            <w:tcBorders>
              <w:top w:val="nil"/>
              <w:left w:val="nil"/>
              <w:right w:val="nil"/>
            </w:tcBorders>
            <w:vAlign w:val="center"/>
          </w:tcPr>
          <w:p w14:paraId="2F46C613" w14:textId="77777777" w:rsidR="007B366E" w:rsidRPr="004D3C0E" w:rsidRDefault="007B366E" w:rsidP="00491259">
            <w:pPr>
              <w:spacing w:after="0" w:line="240" w:lineRule="auto"/>
              <w:ind w:left="0" w:firstLine="0"/>
              <w:jc w:val="center"/>
              <w:rPr>
                <w:color w:val="auto"/>
              </w:rPr>
            </w:pPr>
            <w:r w:rsidRPr="004D3C0E">
              <w:rPr>
                <w:color w:val="auto"/>
              </w:rPr>
              <w:t>1.02035</w:t>
            </w:r>
          </w:p>
        </w:tc>
      </w:tr>
      <w:tr w:rsidR="007B366E" w:rsidRPr="004D3C0E" w14:paraId="2CF965B2" w14:textId="77777777" w:rsidTr="006F22CF">
        <w:trPr>
          <w:trHeight w:val="332"/>
        </w:trPr>
        <w:tc>
          <w:tcPr>
            <w:tcW w:w="811" w:type="dxa"/>
            <w:tcBorders>
              <w:top w:val="nil"/>
              <w:left w:val="nil"/>
              <w:bottom w:val="single" w:sz="4" w:space="0" w:color="auto"/>
              <w:right w:val="nil"/>
            </w:tcBorders>
            <w:vAlign w:val="center"/>
          </w:tcPr>
          <w:p w14:paraId="5C5352D7" w14:textId="77777777" w:rsidR="007B366E" w:rsidRPr="004D3C0E" w:rsidRDefault="007B366E" w:rsidP="00491259">
            <w:pPr>
              <w:spacing w:after="0" w:line="240" w:lineRule="auto"/>
              <w:ind w:left="0" w:firstLine="0"/>
              <w:jc w:val="left"/>
              <w:rPr>
                <w:color w:val="auto"/>
              </w:rPr>
            </w:pPr>
            <w:r w:rsidRPr="004D3C0E">
              <w:rPr>
                <w:color w:val="auto"/>
              </w:rPr>
              <w:t xml:space="preserve"> </w:t>
            </w:r>
          </w:p>
        </w:tc>
        <w:tc>
          <w:tcPr>
            <w:tcW w:w="3241" w:type="dxa"/>
            <w:tcBorders>
              <w:top w:val="nil"/>
              <w:left w:val="nil"/>
              <w:bottom w:val="single" w:sz="4" w:space="0" w:color="auto"/>
              <w:right w:val="nil"/>
            </w:tcBorders>
            <w:vAlign w:val="center"/>
          </w:tcPr>
          <w:p w14:paraId="039DF8F2" w14:textId="77777777" w:rsidR="007B366E" w:rsidRPr="004D3C0E" w:rsidRDefault="007B366E" w:rsidP="00491259">
            <w:pPr>
              <w:spacing w:after="0" w:line="240" w:lineRule="auto"/>
              <w:ind w:left="0" w:firstLine="0"/>
              <w:jc w:val="left"/>
              <w:rPr>
                <w:color w:val="auto"/>
              </w:rPr>
            </w:pPr>
            <w:r w:rsidRPr="004D3C0E">
              <w:rPr>
                <w:color w:val="auto"/>
              </w:rPr>
              <w:t xml:space="preserve">Valid N (listwise) </w:t>
            </w:r>
          </w:p>
        </w:tc>
        <w:tc>
          <w:tcPr>
            <w:tcW w:w="1143" w:type="dxa"/>
            <w:tcBorders>
              <w:top w:val="nil"/>
              <w:left w:val="nil"/>
              <w:bottom w:val="single" w:sz="4" w:space="0" w:color="auto"/>
              <w:right w:val="nil"/>
            </w:tcBorders>
            <w:vAlign w:val="center"/>
          </w:tcPr>
          <w:p w14:paraId="5E641289" w14:textId="77777777" w:rsidR="007B366E" w:rsidRPr="004D3C0E" w:rsidRDefault="007B366E" w:rsidP="00491259">
            <w:pPr>
              <w:spacing w:after="0" w:line="240" w:lineRule="auto"/>
              <w:ind w:left="0" w:firstLine="0"/>
              <w:jc w:val="center"/>
              <w:rPr>
                <w:color w:val="auto"/>
              </w:rPr>
            </w:pPr>
            <w:r w:rsidRPr="004D3C0E">
              <w:rPr>
                <w:color w:val="auto"/>
              </w:rPr>
              <w:t>132</w:t>
            </w:r>
          </w:p>
        </w:tc>
        <w:tc>
          <w:tcPr>
            <w:tcW w:w="778" w:type="dxa"/>
            <w:tcBorders>
              <w:top w:val="nil"/>
              <w:left w:val="nil"/>
              <w:bottom w:val="single" w:sz="4" w:space="0" w:color="auto"/>
              <w:right w:val="nil"/>
            </w:tcBorders>
            <w:vAlign w:val="center"/>
          </w:tcPr>
          <w:p w14:paraId="4027FB92" w14:textId="77777777" w:rsidR="007B366E" w:rsidRPr="004D3C0E" w:rsidRDefault="007B366E" w:rsidP="00491259">
            <w:pPr>
              <w:spacing w:after="0" w:line="240" w:lineRule="auto"/>
              <w:ind w:left="192" w:firstLine="0"/>
              <w:jc w:val="center"/>
              <w:rPr>
                <w:color w:val="auto"/>
              </w:rPr>
            </w:pPr>
          </w:p>
        </w:tc>
        <w:tc>
          <w:tcPr>
            <w:tcW w:w="662" w:type="dxa"/>
            <w:tcBorders>
              <w:top w:val="nil"/>
              <w:left w:val="nil"/>
              <w:bottom w:val="single" w:sz="4" w:space="0" w:color="auto"/>
              <w:right w:val="nil"/>
            </w:tcBorders>
            <w:vAlign w:val="center"/>
          </w:tcPr>
          <w:p w14:paraId="58EAD5CC" w14:textId="77777777" w:rsidR="007B366E" w:rsidRPr="004D3C0E" w:rsidRDefault="007B366E" w:rsidP="00491259">
            <w:pPr>
              <w:spacing w:after="0" w:line="240" w:lineRule="auto"/>
              <w:ind w:left="0" w:firstLine="0"/>
              <w:jc w:val="center"/>
              <w:rPr>
                <w:color w:val="auto"/>
              </w:rPr>
            </w:pPr>
          </w:p>
        </w:tc>
        <w:tc>
          <w:tcPr>
            <w:tcW w:w="1047" w:type="dxa"/>
            <w:tcBorders>
              <w:top w:val="nil"/>
              <w:left w:val="nil"/>
              <w:bottom w:val="single" w:sz="4" w:space="0" w:color="auto"/>
              <w:right w:val="nil"/>
            </w:tcBorders>
            <w:vAlign w:val="center"/>
          </w:tcPr>
          <w:p w14:paraId="4418D112" w14:textId="77777777" w:rsidR="007B366E" w:rsidRPr="004D3C0E" w:rsidRDefault="007B366E" w:rsidP="00491259">
            <w:pPr>
              <w:spacing w:after="160" w:line="240" w:lineRule="auto"/>
              <w:ind w:left="0" w:firstLine="0"/>
              <w:jc w:val="center"/>
              <w:rPr>
                <w:color w:val="auto"/>
              </w:rPr>
            </w:pPr>
          </w:p>
        </w:tc>
        <w:tc>
          <w:tcPr>
            <w:tcW w:w="283" w:type="dxa"/>
            <w:tcBorders>
              <w:top w:val="nil"/>
              <w:left w:val="nil"/>
              <w:bottom w:val="single" w:sz="4" w:space="0" w:color="auto"/>
              <w:right w:val="nil"/>
            </w:tcBorders>
            <w:vAlign w:val="center"/>
          </w:tcPr>
          <w:p w14:paraId="071970D7" w14:textId="77777777" w:rsidR="007B366E" w:rsidRPr="004D3C0E" w:rsidRDefault="007B366E" w:rsidP="00491259">
            <w:pPr>
              <w:spacing w:after="0" w:line="240" w:lineRule="auto"/>
              <w:ind w:left="0" w:firstLine="0"/>
              <w:jc w:val="center"/>
              <w:rPr>
                <w:color w:val="auto"/>
              </w:rPr>
            </w:pPr>
          </w:p>
        </w:tc>
        <w:tc>
          <w:tcPr>
            <w:tcW w:w="888" w:type="dxa"/>
            <w:tcBorders>
              <w:top w:val="nil"/>
              <w:left w:val="nil"/>
              <w:bottom w:val="single" w:sz="4" w:space="0" w:color="auto"/>
              <w:right w:val="nil"/>
            </w:tcBorders>
            <w:vAlign w:val="center"/>
          </w:tcPr>
          <w:p w14:paraId="760A9EA6" w14:textId="77777777" w:rsidR="007B366E" w:rsidRPr="004D3C0E" w:rsidRDefault="007B366E" w:rsidP="00491259">
            <w:pPr>
              <w:spacing w:after="160" w:line="240" w:lineRule="auto"/>
              <w:ind w:left="0" w:firstLine="0"/>
              <w:jc w:val="center"/>
              <w:rPr>
                <w:color w:val="auto"/>
              </w:rPr>
            </w:pPr>
          </w:p>
        </w:tc>
        <w:tc>
          <w:tcPr>
            <w:tcW w:w="271" w:type="dxa"/>
            <w:tcBorders>
              <w:top w:val="nil"/>
              <w:left w:val="nil"/>
              <w:bottom w:val="single" w:sz="4" w:space="0" w:color="auto"/>
              <w:right w:val="nil"/>
            </w:tcBorders>
            <w:vAlign w:val="center"/>
          </w:tcPr>
          <w:p w14:paraId="10754F80" w14:textId="77777777" w:rsidR="007B366E" w:rsidRPr="004D3C0E" w:rsidRDefault="007B366E" w:rsidP="00491259">
            <w:pPr>
              <w:spacing w:after="0" w:line="240" w:lineRule="auto"/>
              <w:ind w:left="0" w:firstLine="0"/>
              <w:jc w:val="center"/>
              <w:rPr>
                <w:color w:val="auto"/>
              </w:rPr>
            </w:pPr>
          </w:p>
        </w:tc>
        <w:tc>
          <w:tcPr>
            <w:tcW w:w="771" w:type="dxa"/>
            <w:tcBorders>
              <w:top w:val="nil"/>
              <w:left w:val="nil"/>
              <w:bottom w:val="single" w:sz="4" w:space="0" w:color="auto"/>
              <w:right w:val="nil"/>
            </w:tcBorders>
            <w:vAlign w:val="center"/>
          </w:tcPr>
          <w:p w14:paraId="7F77AB73" w14:textId="77777777" w:rsidR="007B366E" w:rsidRPr="004D3C0E" w:rsidRDefault="007B366E" w:rsidP="00491259">
            <w:pPr>
              <w:spacing w:after="160" w:line="240" w:lineRule="auto"/>
              <w:ind w:left="0" w:firstLine="0"/>
              <w:jc w:val="center"/>
              <w:rPr>
                <w:color w:val="auto"/>
              </w:rPr>
            </w:pPr>
          </w:p>
        </w:tc>
      </w:tr>
    </w:tbl>
    <w:p w14:paraId="76BF2E82" w14:textId="77777777" w:rsidR="007B366E" w:rsidRPr="004D3C0E" w:rsidRDefault="007B366E" w:rsidP="007B366E">
      <w:pPr>
        <w:spacing w:after="5" w:line="276" w:lineRule="auto"/>
        <w:ind w:left="-14" w:right="-428" w:firstLine="0"/>
        <w:jc w:val="left"/>
        <w:rPr>
          <w:color w:val="auto"/>
          <w:sz w:val="22"/>
        </w:rPr>
      </w:pPr>
    </w:p>
    <w:p w14:paraId="1F68310E" w14:textId="77777777" w:rsidR="007B366E" w:rsidRPr="004D3C0E" w:rsidRDefault="007B366E" w:rsidP="007B366E">
      <w:pPr>
        <w:spacing w:after="0" w:line="276" w:lineRule="auto"/>
        <w:ind w:left="0" w:firstLine="0"/>
        <w:jc w:val="left"/>
        <w:rPr>
          <w:color w:val="auto"/>
          <w:sz w:val="22"/>
        </w:rPr>
      </w:pPr>
      <w:r w:rsidRPr="004D3C0E">
        <w:rPr>
          <w:color w:val="auto"/>
          <w:sz w:val="22"/>
        </w:rPr>
        <w:t xml:space="preserve"> </w:t>
      </w:r>
    </w:p>
    <w:p w14:paraId="6F5AD1D7" w14:textId="114EADEF" w:rsidR="0018007E" w:rsidRPr="0018007E" w:rsidRDefault="0018007E" w:rsidP="000D63F0">
      <w:pPr>
        <w:spacing w:after="161" w:line="276" w:lineRule="auto"/>
        <w:ind w:left="-5" w:right="4"/>
        <w:rPr>
          <w:color w:val="auto"/>
          <w:sz w:val="22"/>
          <w:lang w:val="en-GB"/>
        </w:rPr>
      </w:pPr>
      <w:r w:rsidRPr="0018007E">
        <w:rPr>
          <w:color w:val="auto"/>
          <w:sz w:val="22"/>
          <w:lang w:val="en-GB"/>
        </w:rPr>
        <w:t xml:space="preserve">Time series analysis from 2013 to 2023 reveals that VAT revenue averaged GHS 10,287.58 million, ranging from GHS 4,697.50 to GHS 26,197.99 million. Total tax revenue averaged GHS 42,148.63 million (maximum: GHS 107,648.60 million). The high standard deviations indicate significant revenue fluctuations driven by macroeconomic instability, compliance levels, and policy changes, consistent with </w:t>
      </w:r>
      <w:proofErr w:type="spellStart"/>
      <w:r w:rsidRPr="0018007E">
        <w:rPr>
          <w:color w:val="auto"/>
          <w:sz w:val="22"/>
          <w:lang w:val="en-GB"/>
        </w:rPr>
        <w:t>Andoh</w:t>
      </w:r>
      <w:proofErr w:type="spellEnd"/>
      <w:r w:rsidRPr="0018007E">
        <w:rPr>
          <w:color w:val="auto"/>
          <w:sz w:val="22"/>
          <w:lang w:val="en-GB"/>
        </w:rPr>
        <w:t xml:space="preserve"> et al. (2019) and Ofori et al. (2021).</w:t>
      </w:r>
      <w:r>
        <w:rPr>
          <w:color w:val="auto"/>
          <w:sz w:val="22"/>
          <w:lang w:val="en-GB"/>
        </w:rPr>
        <w:t xml:space="preserve"> </w:t>
      </w:r>
      <w:r w:rsidRPr="0018007E">
        <w:rPr>
          <w:color w:val="auto"/>
          <w:sz w:val="22"/>
          <w:lang w:val="en-GB"/>
        </w:rPr>
        <w:t xml:space="preserve">Operational and compliance challenges emerged as critical barriers to VAT efficiency. GRA officials identified limited automation, inadequate training, and technological infrastructure gaps (mean scores: 2.16-2.42), supporting findings by </w:t>
      </w:r>
      <w:proofErr w:type="spellStart"/>
      <w:r w:rsidRPr="0018007E">
        <w:rPr>
          <w:color w:val="auto"/>
          <w:sz w:val="22"/>
          <w:lang w:val="en-GB"/>
        </w:rPr>
        <w:t>Abubakari</w:t>
      </w:r>
      <w:proofErr w:type="spellEnd"/>
      <w:r w:rsidRPr="0018007E">
        <w:rPr>
          <w:color w:val="auto"/>
          <w:sz w:val="22"/>
          <w:lang w:val="en-GB"/>
        </w:rPr>
        <w:t xml:space="preserve"> et al. (2024) on digital infrastructure deficiencies. Informal sector non-compliance remains particularly problematic (mean scores: 2.09-2.14), with unregistered businesses evading VAT due to limited awareness and weak enforcement (</w:t>
      </w:r>
      <w:proofErr w:type="spellStart"/>
      <w:r w:rsidRPr="0018007E">
        <w:rPr>
          <w:color w:val="auto"/>
          <w:sz w:val="22"/>
          <w:lang w:val="en-GB"/>
        </w:rPr>
        <w:t>Ameyaw</w:t>
      </w:r>
      <w:proofErr w:type="spellEnd"/>
      <w:r w:rsidRPr="0018007E">
        <w:rPr>
          <w:color w:val="auto"/>
          <w:sz w:val="22"/>
          <w:lang w:val="en-GB"/>
        </w:rPr>
        <w:t xml:space="preserve"> et al., 2015; </w:t>
      </w:r>
      <w:proofErr w:type="spellStart"/>
      <w:r w:rsidRPr="0018007E">
        <w:rPr>
          <w:color w:val="auto"/>
          <w:sz w:val="22"/>
          <w:lang w:val="en-GB"/>
        </w:rPr>
        <w:t>Peprah</w:t>
      </w:r>
      <w:proofErr w:type="spellEnd"/>
      <w:r w:rsidRPr="0018007E">
        <w:rPr>
          <w:color w:val="auto"/>
          <w:sz w:val="22"/>
          <w:lang w:val="en-GB"/>
        </w:rPr>
        <w:t xml:space="preserve"> et al., 2020).</w:t>
      </w:r>
      <w:r>
        <w:rPr>
          <w:color w:val="auto"/>
          <w:sz w:val="22"/>
          <w:lang w:val="en-GB"/>
        </w:rPr>
        <w:t xml:space="preserve"> </w:t>
      </w:r>
      <w:r w:rsidRPr="0018007E">
        <w:rPr>
          <w:color w:val="auto"/>
          <w:sz w:val="22"/>
          <w:lang w:val="en-GB"/>
        </w:rPr>
        <w:t xml:space="preserve">Policy instability and weak enforcement compound these challenges. Frequent VAT policy changes create taxpayer confusion (mean: 2.34), while ineffective penalties fail to deter non-compliance (mean: 2.20). </w:t>
      </w:r>
      <w:proofErr w:type="spellStart"/>
      <w:r w:rsidRPr="0018007E">
        <w:rPr>
          <w:color w:val="auto"/>
          <w:sz w:val="22"/>
          <w:lang w:val="en-GB"/>
        </w:rPr>
        <w:t>Brockmeyer</w:t>
      </w:r>
      <w:proofErr w:type="spellEnd"/>
      <w:r w:rsidRPr="0018007E">
        <w:rPr>
          <w:color w:val="auto"/>
          <w:sz w:val="22"/>
          <w:lang w:val="en-GB"/>
        </w:rPr>
        <w:t xml:space="preserve"> et al. (2024) and Obeng (2018) similarly found that policy unpredictability undermines compliance.</w:t>
      </w:r>
      <w:r>
        <w:rPr>
          <w:color w:val="auto"/>
          <w:sz w:val="22"/>
          <w:lang w:val="en-GB"/>
        </w:rPr>
        <w:t xml:space="preserve"> </w:t>
      </w:r>
      <w:r w:rsidRPr="0018007E">
        <w:rPr>
          <w:color w:val="auto"/>
          <w:sz w:val="22"/>
          <w:lang w:val="en-GB"/>
        </w:rPr>
        <w:t>External factors, including economic instability, corruption, and negative public perception of the GRA, further impede VAT administration (mean scores: 2.07-2.26), eroding taxpayer trust and facilitating evasion (</w:t>
      </w:r>
      <w:proofErr w:type="spellStart"/>
      <w:r w:rsidRPr="0018007E">
        <w:rPr>
          <w:color w:val="auto"/>
          <w:sz w:val="22"/>
          <w:lang w:val="en-GB"/>
        </w:rPr>
        <w:t>Cevik</w:t>
      </w:r>
      <w:proofErr w:type="spellEnd"/>
      <w:r w:rsidRPr="0018007E">
        <w:rPr>
          <w:color w:val="auto"/>
          <w:sz w:val="22"/>
          <w:lang w:val="en-GB"/>
        </w:rPr>
        <w:t xml:space="preserve"> et al., 2019; Ibrahim et al., 2015).</w:t>
      </w:r>
    </w:p>
    <w:p w14:paraId="46A00D59" w14:textId="77777777" w:rsidR="007B366E" w:rsidRPr="004D3C0E" w:rsidRDefault="007B366E" w:rsidP="00085BB0">
      <w:pPr>
        <w:pStyle w:val="NoSpacing"/>
      </w:pPr>
    </w:p>
    <w:p w14:paraId="052CF4DD" w14:textId="77777777" w:rsidR="007B366E" w:rsidRPr="004D3C0E" w:rsidRDefault="007B366E" w:rsidP="007B366E">
      <w:pPr>
        <w:spacing w:after="0" w:line="276" w:lineRule="auto"/>
        <w:ind w:left="0" w:firstLine="0"/>
        <w:jc w:val="left"/>
        <w:rPr>
          <w:color w:val="auto"/>
          <w:sz w:val="22"/>
        </w:rPr>
      </w:pPr>
      <w:r w:rsidRPr="004D3C0E">
        <w:rPr>
          <w:b/>
          <w:color w:val="auto"/>
          <w:sz w:val="22"/>
        </w:rPr>
        <w:t xml:space="preserve"> </w:t>
      </w:r>
      <w:r w:rsidRPr="004D3C0E">
        <w:rPr>
          <w:b/>
          <w:color w:val="auto"/>
          <w:sz w:val="22"/>
        </w:rPr>
        <w:tab/>
        <w:t xml:space="preserve"> </w:t>
      </w:r>
    </w:p>
    <w:p w14:paraId="28BA7A7C" w14:textId="77777777" w:rsidR="007B366E" w:rsidRPr="00085BB0" w:rsidRDefault="007B366E" w:rsidP="007B366E">
      <w:pPr>
        <w:keepNext/>
        <w:keepLines/>
        <w:spacing w:after="0" w:line="276" w:lineRule="auto"/>
        <w:ind w:right="5"/>
        <w:outlineLvl w:val="1"/>
        <w:rPr>
          <w:b/>
          <w:color w:val="auto"/>
          <w:sz w:val="22"/>
        </w:rPr>
      </w:pPr>
      <w:bookmarkStart w:id="13" w:name="_Toc211545689"/>
      <w:r w:rsidRPr="00085BB0">
        <w:rPr>
          <w:b/>
          <w:color w:val="auto"/>
          <w:sz w:val="22"/>
        </w:rPr>
        <w:lastRenderedPageBreak/>
        <w:t>4.5 Trend Analysis</w:t>
      </w:r>
      <w:bookmarkEnd w:id="13"/>
      <w:r w:rsidRPr="00085BB0">
        <w:rPr>
          <w:b/>
          <w:color w:val="auto"/>
          <w:sz w:val="22"/>
        </w:rPr>
        <w:t xml:space="preserve">  </w:t>
      </w:r>
    </w:p>
    <w:p w14:paraId="14F9A35E" w14:textId="77777777" w:rsidR="007B366E" w:rsidRPr="004D3C0E" w:rsidRDefault="007B366E" w:rsidP="007B366E">
      <w:pPr>
        <w:keepNext/>
        <w:keepLines/>
        <w:spacing w:after="0" w:line="276" w:lineRule="auto"/>
        <w:ind w:right="5"/>
        <w:outlineLvl w:val="2"/>
        <w:rPr>
          <w:bCs/>
          <w:color w:val="auto"/>
          <w:sz w:val="22"/>
        </w:rPr>
      </w:pPr>
      <w:bookmarkStart w:id="14" w:name="_Toc211545690"/>
      <w:r w:rsidRPr="004D3C0E">
        <w:rPr>
          <w:bCs/>
          <w:color w:val="auto"/>
          <w:sz w:val="22"/>
        </w:rPr>
        <w:t>4.5.1 Trend Analysis on VAT Revenue (2013 – 2023)</w:t>
      </w:r>
      <w:bookmarkEnd w:id="14"/>
      <w:r w:rsidRPr="004D3C0E">
        <w:rPr>
          <w:bCs/>
          <w:color w:val="auto"/>
          <w:sz w:val="22"/>
        </w:rPr>
        <w:t xml:space="preserve"> </w:t>
      </w:r>
    </w:p>
    <w:p w14:paraId="47FD0917" w14:textId="090D2444" w:rsidR="007B366E" w:rsidRPr="004D3C0E" w:rsidRDefault="00FF071E" w:rsidP="007B366E">
      <w:pPr>
        <w:spacing w:after="200" w:line="276" w:lineRule="auto"/>
        <w:rPr>
          <w:iCs/>
          <w:color w:val="auto"/>
          <w:sz w:val="22"/>
        </w:rPr>
      </w:pPr>
      <w:bookmarkStart w:id="15" w:name="_Toc211544269"/>
      <w:r w:rsidRPr="004D3C0E">
        <w:rPr>
          <w:noProof/>
          <w:color w:val="auto"/>
          <w:sz w:val="22"/>
        </w:rPr>
        <w:drawing>
          <wp:anchor distT="0" distB="0" distL="114300" distR="114300" simplePos="0" relativeHeight="251658240" behindDoc="1" locked="0" layoutInCell="1" allowOverlap="1" wp14:anchorId="32C96591" wp14:editId="3271A440">
            <wp:simplePos x="0" y="0"/>
            <wp:positionH relativeFrom="column">
              <wp:posOffset>-60960</wp:posOffset>
            </wp:positionH>
            <wp:positionV relativeFrom="paragraph">
              <wp:posOffset>271145</wp:posOffset>
            </wp:positionV>
            <wp:extent cx="5760720" cy="3086100"/>
            <wp:effectExtent l="0" t="0" r="0" b="0"/>
            <wp:wrapTight wrapText="bothSides">
              <wp:wrapPolygon edited="0">
                <wp:start x="0" y="0"/>
                <wp:lineTo x="0" y="21467"/>
                <wp:lineTo x="21500" y="21467"/>
                <wp:lineTo x="21500" y="5200"/>
                <wp:lineTo x="8571" y="4267"/>
                <wp:lineTo x="8571" y="0"/>
                <wp:lineTo x="0" y="0"/>
              </wp:wrapPolygon>
            </wp:wrapTight>
            <wp:docPr id="111604" name="Picture 111604"/>
            <wp:cNvGraphicFramePr/>
            <a:graphic xmlns:a="http://schemas.openxmlformats.org/drawingml/2006/main">
              <a:graphicData uri="http://schemas.openxmlformats.org/drawingml/2006/picture">
                <pic:pic xmlns:pic="http://schemas.openxmlformats.org/drawingml/2006/picture">
                  <pic:nvPicPr>
                    <pic:cNvPr id="111604" name="Picture 11160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086100"/>
                    </a:xfrm>
                    <a:prstGeom prst="rect">
                      <a:avLst/>
                    </a:prstGeom>
                  </pic:spPr>
                </pic:pic>
              </a:graphicData>
            </a:graphic>
          </wp:anchor>
        </w:drawing>
      </w:r>
      <w:r w:rsidR="007B366E" w:rsidRPr="004D3C0E">
        <w:rPr>
          <w:iCs/>
          <w:color w:val="auto"/>
          <w:sz w:val="22"/>
        </w:rPr>
        <w:t xml:space="preserve">Figure </w:t>
      </w:r>
      <w:r w:rsidR="007B366E" w:rsidRPr="004D3C0E">
        <w:rPr>
          <w:iCs/>
          <w:color w:val="auto"/>
          <w:sz w:val="22"/>
        </w:rPr>
        <w:fldChar w:fldCharType="begin"/>
      </w:r>
      <w:r w:rsidR="007B366E" w:rsidRPr="004D3C0E">
        <w:rPr>
          <w:iCs/>
          <w:color w:val="auto"/>
          <w:sz w:val="22"/>
        </w:rPr>
        <w:instrText xml:space="preserve"> SEQ Figure \* ARABIC </w:instrText>
      </w:r>
      <w:r w:rsidR="007B366E" w:rsidRPr="004D3C0E">
        <w:rPr>
          <w:iCs/>
          <w:color w:val="auto"/>
          <w:sz w:val="22"/>
        </w:rPr>
        <w:fldChar w:fldCharType="separate"/>
      </w:r>
      <w:r w:rsidR="007B366E" w:rsidRPr="004D3C0E">
        <w:rPr>
          <w:iCs/>
          <w:noProof/>
          <w:color w:val="auto"/>
          <w:sz w:val="22"/>
        </w:rPr>
        <w:t>1</w:t>
      </w:r>
      <w:r w:rsidR="007B366E" w:rsidRPr="004D3C0E">
        <w:rPr>
          <w:iCs/>
          <w:color w:val="auto"/>
          <w:sz w:val="22"/>
        </w:rPr>
        <w:fldChar w:fldCharType="end"/>
      </w:r>
      <w:r w:rsidR="007B366E" w:rsidRPr="004D3C0E">
        <w:rPr>
          <w:iCs/>
          <w:color w:val="auto"/>
          <w:sz w:val="22"/>
        </w:rPr>
        <w:t xml:space="preserve"> Trend Analysis on VAT Revenue (2013 – 2023)</w:t>
      </w:r>
      <w:bookmarkEnd w:id="15"/>
      <w:r w:rsidR="007B366E" w:rsidRPr="004D3C0E">
        <w:rPr>
          <w:iCs/>
          <w:color w:val="auto"/>
          <w:sz w:val="22"/>
        </w:rPr>
        <w:t xml:space="preserve"> </w:t>
      </w:r>
    </w:p>
    <w:p w14:paraId="0803CF07" w14:textId="70054E05" w:rsidR="00FF071E" w:rsidRDefault="00FF071E" w:rsidP="007B366E">
      <w:pPr>
        <w:spacing w:after="145" w:line="276" w:lineRule="auto"/>
        <w:ind w:left="-352" w:right="-213" w:firstLine="0"/>
        <w:jc w:val="left"/>
        <w:rPr>
          <w:color w:val="auto"/>
          <w:sz w:val="22"/>
        </w:rPr>
      </w:pPr>
    </w:p>
    <w:p w14:paraId="08427720" w14:textId="4C267C23" w:rsidR="00FF071E" w:rsidRDefault="00FF071E" w:rsidP="007B366E">
      <w:pPr>
        <w:spacing w:after="145" w:line="276" w:lineRule="auto"/>
        <w:ind w:left="-352" w:right="-213" w:firstLine="0"/>
        <w:jc w:val="left"/>
        <w:rPr>
          <w:color w:val="auto"/>
          <w:sz w:val="22"/>
        </w:rPr>
      </w:pPr>
    </w:p>
    <w:p w14:paraId="6964E824" w14:textId="77777777" w:rsidR="007B366E" w:rsidRPr="004D3C0E" w:rsidRDefault="007B366E" w:rsidP="007B366E">
      <w:pPr>
        <w:spacing w:after="242" w:line="276" w:lineRule="auto"/>
        <w:ind w:left="-5" w:right="375"/>
        <w:rPr>
          <w:color w:val="auto"/>
          <w:sz w:val="22"/>
        </w:rPr>
      </w:pPr>
      <w:r w:rsidRPr="004D3C0E">
        <w:rPr>
          <w:b/>
          <w:color w:val="auto"/>
          <w:sz w:val="22"/>
        </w:rPr>
        <w:t>Source:</w:t>
      </w:r>
      <w:r w:rsidRPr="004D3C0E">
        <w:rPr>
          <w:color w:val="auto"/>
          <w:sz w:val="22"/>
        </w:rPr>
        <w:t xml:space="preserve"> Ministry of Finance (</w:t>
      </w:r>
      <w:proofErr w:type="spellStart"/>
      <w:r w:rsidRPr="004D3C0E">
        <w:rPr>
          <w:color w:val="auto"/>
          <w:sz w:val="22"/>
        </w:rPr>
        <w:t>MoF</w:t>
      </w:r>
      <w:proofErr w:type="spellEnd"/>
      <w:r w:rsidRPr="004D3C0E">
        <w:rPr>
          <w:color w:val="auto"/>
          <w:sz w:val="22"/>
        </w:rPr>
        <w:t xml:space="preserve">), (2023) </w:t>
      </w:r>
      <w:hyperlink r:id="rId8" w:history="1">
        <w:r w:rsidRPr="004D3C0E">
          <w:rPr>
            <w:color w:val="auto"/>
            <w:sz w:val="22"/>
            <w:u w:val="single"/>
          </w:rPr>
          <w:t>https://mofep.gov.gh/fiscal-data</w:t>
        </w:r>
      </w:hyperlink>
      <w:r w:rsidRPr="004D3C0E">
        <w:rPr>
          <w:color w:val="auto"/>
          <w:sz w:val="22"/>
        </w:rPr>
        <w:t xml:space="preserve"> </w:t>
      </w:r>
    </w:p>
    <w:p w14:paraId="5F2AA5A3" w14:textId="77777777" w:rsidR="007B366E" w:rsidRPr="004D3C0E" w:rsidRDefault="007B366E" w:rsidP="000D63F0">
      <w:pPr>
        <w:spacing w:after="161" w:line="276" w:lineRule="auto"/>
        <w:ind w:left="-5" w:right="4"/>
        <w:rPr>
          <w:color w:val="auto"/>
          <w:sz w:val="22"/>
        </w:rPr>
      </w:pPr>
      <w:r w:rsidRPr="004D3C0E">
        <w:rPr>
          <w:color w:val="auto"/>
          <w:sz w:val="22"/>
        </w:rPr>
        <w:t xml:space="preserve">Value-Added Tax (VAT) revenue is a crucial source of government income in Ghana, helping to finance essential public services, including infrastructure, healthcare, and education. The analysis of VAT revenue trends over the past decade offers valuable insights into economic performance, the effectiveness of tax policy, and the efficiency of </w:t>
      </w:r>
      <w:r w:rsidRPr="000D63F0">
        <w:rPr>
          <w:color w:val="auto"/>
          <w:sz w:val="22"/>
          <w:lang w:val="en-GB"/>
        </w:rPr>
        <w:t>revenue</w:t>
      </w:r>
      <w:r w:rsidRPr="004D3C0E">
        <w:rPr>
          <w:color w:val="auto"/>
          <w:sz w:val="22"/>
        </w:rPr>
        <w:t xml:space="preserve"> collection. The dataset from 2013 to 2023 reveals a pattern of fluctuations, with some years experiencing sharp declines and others recording remarkable growth. Understanding these trends is crucial for policymakers, businesses, and economists to make informed decisions regarding tax policies and economic planning. </w:t>
      </w:r>
    </w:p>
    <w:p w14:paraId="02214206" w14:textId="77777777" w:rsidR="007B366E" w:rsidRPr="004D3C0E" w:rsidRDefault="007B366E" w:rsidP="007B366E">
      <w:pPr>
        <w:pStyle w:val="ListParagraph"/>
        <w:numPr>
          <w:ilvl w:val="0"/>
          <w:numId w:val="3"/>
        </w:numPr>
        <w:spacing w:before="240" w:after="5" w:line="276" w:lineRule="auto"/>
        <w:ind w:right="375"/>
        <w:rPr>
          <w:color w:val="auto"/>
          <w:sz w:val="22"/>
        </w:rPr>
      </w:pPr>
      <w:r w:rsidRPr="004D3C0E">
        <w:rPr>
          <w:b/>
          <w:color w:val="auto"/>
          <w:sz w:val="22"/>
        </w:rPr>
        <w:t xml:space="preserve">Trend Overview </w:t>
      </w:r>
    </w:p>
    <w:p w14:paraId="50EE918F" w14:textId="77777777" w:rsidR="007B366E" w:rsidRPr="004D3C0E" w:rsidRDefault="007B366E" w:rsidP="000D63F0">
      <w:pPr>
        <w:spacing w:after="161" w:line="276" w:lineRule="auto"/>
        <w:ind w:left="-5" w:right="4"/>
        <w:rPr>
          <w:color w:val="auto"/>
          <w:sz w:val="22"/>
        </w:rPr>
      </w:pPr>
      <w:r w:rsidRPr="004D3C0E">
        <w:rPr>
          <w:color w:val="auto"/>
          <w:sz w:val="22"/>
        </w:rPr>
        <w:t xml:space="preserve">VAT revenue collection has not followed a steady linear growth, but has instead experienced periods of significant decline and recovery. The data shows two major revenue drops in 2014 and 2017, while substantial growth occurred in 2016 and from 2021 to 2023. The most significant increase happened between 2022 and 2023, when VAT revenue nearly </w:t>
      </w:r>
      <w:r w:rsidRPr="000D63F0">
        <w:rPr>
          <w:color w:val="auto"/>
          <w:sz w:val="22"/>
          <w:lang w:val="en-GB"/>
        </w:rPr>
        <w:t>doubled</w:t>
      </w:r>
      <w:r w:rsidRPr="004D3C0E">
        <w:rPr>
          <w:color w:val="auto"/>
          <w:sz w:val="22"/>
        </w:rPr>
        <w:t xml:space="preserve">. These variations suggest that several factors, including economic conditions, tax policy changes, and administrative efficiency in tax collection, influence revenue collection. </w:t>
      </w:r>
    </w:p>
    <w:p w14:paraId="6B52E953" w14:textId="77777777" w:rsidR="007B366E" w:rsidRPr="004D3C0E" w:rsidRDefault="007B366E" w:rsidP="00DC2780">
      <w:pPr>
        <w:pStyle w:val="ListParagraph"/>
        <w:keepNext/>
        <w:keepLines/>
        <w:numPr>
          <w:ilvl w:val="0"/>
          <w:numId w:val="3"/>
        </w:numPr>
        <w:spacing w:after="0" w:line="276" w:lineRule="auto"/>
        <w:ind w:right="10"/>
        <w:jc w:val="left"/>
        <w:outlineLvl w:val="5"/>
        <w:rPr>
          <w:b/>
          <w:color w:val="auto"/>
          <w:sz w:val="22"/>
        </w:rPr>
      </w:pPr>
      <w:r w:rsidRPr="004D3C0E">
        <w:rPr>
          <w:b/>
          <w:color w:val="auto"/>
          <w:sz w:val="22"/>
        </w:rPr>
        <w:t xml:space="preserve">Detailed Year-on-Year Analysis </w:t>
      </w:r>
    </w:p>
    <w:p w14:paraId="66CE05D8" w14:textId="77777777" w:rsidR="007B366E" w:rsidRPr="004D3C0E" w:rsidRDefault="007B366E" w:rsidP="000D63F0">
      <w:pPr>
        <w:spacing w:after="161" w:line="276" w:lineRule="auto"/>
        <w:ind w:left="-5" w:right="4"/>
        <w:rPr>
          <w:color w:val="auto"/>
          <w:sz w:val="22"/>
        </w:rPr>
      </w:pPr>
      <w:r w:rsidRPr="004D3C0E">
        <w:rPr>
          <w:color w:val="auto"/>
          <w:sz w:val="22"/>
        </w:rPr>
        <w:t xml:space="preserve">Between 2013 and 2014, VAT revenue declined from 7,061.70 million GHS to 4,697.50 million GHS, representing a 33.5% decrease in revenue. </w:t>
      </w:r>
      <w:r w:rsidRPr="000D63F0">
        <w:rPr>
          <w:color w:val="auto"/>
          <w:sz w:val="22"/>
          <w:lang w:val="en-GB"/>
        </w:rPr>
        <w:t>Economic</w:t>
      </w:r>
      <w:r w:rsidRPr="004D3C0E">
        <w:rPr>
          <w:color w:val="auto"/>
          <w:sz w:val="22"/>
        </w:rPr>
        <w:t xml:space="preserve"> slowdowns could have contributed to this sharp decline, leading to reduced business activities, tax evasion, or policy changes that negatively impacted VAT collection. However, in 2015, revenue recovered to 5,808.90 million GHS, reflecting a 23.6% increase, which may be attributed to improvements in economic activity or enhanced tax compliance measures. </w:t>
      </w:r>
    </w:p>
    <w:p w14:paraId="3E5CE0F5" w14:textId="2DC40F1A" w:rsidR="007B366E" w:rsidRPr="004D3C0E" w:rsidRDefault="007B366E" w:rsidP="000D63F0">
      <w:pPr>
        <w:spacing w:after="161" w:line="276" w:lineRule="auto"/>
        <w:ind w:left="-5" w:right="4"/>
        <w:rPr>
          <w:color w:val="auto"/>
          <w:sz w:val="22"/>
        </w:rPr>
      </w:pPr>
      <w:r w:rsidRPr="004D3C0E">
        <w:rPr>
          <w:color w:val="auto"/>
          <w:sz w:val="22"/>
        </w:rPr>
        <w:lastRenderedPageBreak/>
        <w:t xml:space="preserve">In 2016, Ghana saw a significant surge in VAT revenue, reaching 12,231.00 million GHS, more than double the amount collected in 2015. This 110.6% increase suggests the implementation of new tax policies, a broader tax base, or improvements in tax enforcement. However, this growth was not sustained, as VAT revenue dropped sharply to 6,175.50 million GHS in 2017, marking a 49.5% decline from the previous year. The reasons for this decline could include economic challenges, a reduction in taxable transactions, or government tax exemptions that reduced VAT revenue collection. From 2018 to 2020, VAT revenue showed a gradual improvement. In 2018, revenue rose slightly to 6,371.10 million GHS, representing a 3.2% increase, followed by a more substantial increase to 9,298.69 million GHS in 2019 (+45.9%). The slight decline in 2020 to 9,207.49 million GHS (1%) could be linked to the economic impact of the COVID-19 pandemic, which disrupted businesses and reduced tax revenue. </w:t>
      </w:r>
    </w:p>
    <w:p w14:paraId="0C2EE469" w14:textId="77777777" w:rsidR="007B366E" w:rsidRPr="004D3C0E" w:rsidRDefault="007B366E" w:rsidP="000D63F0">
      <w:pPr>
        <w:spacing w:after="161" w:line="276" w:lineRule="auto"/>
        <w:ind w:left="-5" w:right="4"/>
        <w:rPr>
          <w:color w:val="auto"/>
          <w:sz w:val="22"/>
        </w:rPr>
      </w:pPr>
      <w:r w:rsidRPr="004D3C0E">
        <w:rPr>
          <w:color w:val="auto"/>
          <w:sz w:val="22"/>
        </w:rPr>
        <w:t xml:space="preserve">A period of strong and consistent growth began in 2021. VAT revenue rose to 11,192.98 million GHS, marking a 21.6% increase from the previous year. This positive trend continued into 2022, with revenue climbing to 14,920.48 million GHS, reflecting a 33.2% increase. The most remarkable increase occurred in 2023, when VAT revenue surged to 26,197.99 million GHS, recording a 75.6% growth. This unprecedented rise indicates significant improvements in tax administration, economic expansion, and possibly inflationary effects, increasing the overall value of VAT collections. </w:t>
      </w:r>
    </w:p>
    <w:p w14:paraId="7DFD359B" w14:textId="77777777" w:rsidR="007B366E" w:rsidRPr="004D3C0E" w:rsidRDefault="007B366E" w:rsidP="000D63F0">
      <w:pPr>
        <w:spacing w:after="161" w:line="276" w:lineRule="auto"/>
        <w:ind w:left="-5" w:right="4"/>
        <w:rPr>
          <w:color w:val="auto"/>
          <w:sz w:val="22"/>
        </w:rPr>
      </w:pPr>
      <w:r w:rsidRPr="004D3C0E">
        <w:rPr>
          <w:color w:val="auto"/>
          <w:sz w:val="22"/>
        </w:rPr>
        <w:t xml:space="preserve">The VAT revenue trends from 2013 to 2023 highlight both the challenges and opportunities in Ghana’s tax system. While some years saw revenue declines due to economic slowdowns and policy inefficiencies, others witnessed remarkable growth, particularly in recent years. The period from 2021 to 2023 marks a strong recovery, with VAT revenue reaching record levels. This growth suggests a combination of economic resilience, improved tax administration, and inflationary effects. However, sustaining this momentum will require a balanced approach that enhances tax compliance, ensures economic stability, and </w:t>
      </w:r>
      <w:proofErr w:type="spellStart"/>
      <w:r w:rsidRPr="004D3C0E">
        <w:rPr>
          <w:color w:val="auto"/>
          <w:sz w:val="22"/>
        </w:rPr>
        <w:t>minimises</w:t>
      </w:r>
      <w:proofErr w:type="spellEnd"/>
      <w:r w:rsidRPr="004D3C0E">
        <w:rPr>
          <w:color w:val="auto"/>
          <w:sz w:val="22"/>
        </w:rPr>
        <w:t xml:space="preserve"> the burden on consumers and businesses. Effective policy implementation and strategic planning will be essential in maintaining long-term revenue growth and supporting Ghana’s economic development. </w:t>
      </w:r>
    </w:p>
    <w:p w14:paraId="75FE749D" w14:textId="77777777" w:rsidR="007B366E" w:rsidRPr="004D3C0E" w:rsidRDefault="007B366E" w:rsidP="007B366E">
      <w:pPr>
        <w:spacing w:after="0" w:line="276" w:lineRule="auto"/>
        <w:ind w:left="0" w:firstLine="0"/>
        <w:jc w:val="left"/>
        <w:rPr>
          <w:color w:val="auto"/>
          <w:sz w:val="22"/>
        </w:rPr>
      </w:pPr>
    </w:p>
    <w:p w14:paraId="3DCCAE3C" w14:textId="77777777" w:rsidR="007B366E" w:rsidRPr="004D3C0E" w:rsidRDefault="007B366E" w:rsidP="007B366E">
      <w:pPr>
        <w:keepNext/>
        <w:keepLines/>
        <w:spacing w:after="0" w:line="276" w:lineRule="auto"/>
        <w:ind w:right="5"/>
        <w:outlineLvl w:val="2"/>
        <w:rPr>
          <w:b/>
          <w:i/>
          <w:iCs/>
          <w:color w:val="auto"/>
          <w:sz w:val="22"/>
        </w:rPr>
      </w:pPr>
      <w:bookmarkStart w:id="16" w:name="_Toc211545691"/>
      <w:r w:rsidRPr="004D3C0E">
        <w:rPr>
          <w:b/>
          <w:color w:val="auto"/>
          <w:sz w:val="22"/>
        </w:rPr>
        <w:t>4</w:t>
      </w:r>
      <w:r w:rsidRPr="004D3C0E">
        <w:rPr>
          <w:b/>
          <w:i/>
          <w:iCs/>
          <w:color w:val="auto"/>
          <w:sz w:val="22"/>
        </w:rPr>
        <w:t>.5.2 Trend Analysis of VAT Revenue and Total Tax Revenue (2013 – 2023)</w:t>
      </w:r>
      <w:bookmarkEnd w:id="16"/>
      <w:r w:rsidRPr="004D3C0E">
        <w:rPr>
          <w:b/>
          <w:i/>
          <w:iCs/>
          <w:color w:val="auto"/>
          <w:sz w:val="22"/>
        </w:rPr>
        <w:t xml:space="preserve"> </w:t>
      </w:r>
    </w:p>
    <w:p w14:paraId="70450FBB" w14:textId="77777777" w:rsidR="007B366E" w:rsidRPr="004D3C0E" w:rsidRDefault="007B366E" w:rsidP="007B366E">
      <w:pPr>
        <w:spacing w:after="200" w:line="276" w:lineRule="auto"/>
        <w:rPr>
          <w:iCs/>
          <w:color w:val="auto"/>
          <w:sz w:val="22"/>
        </w:rPr>
      </w:pPr>
      <w:bookmarkStart w:id="17" w:name="_Toc211544270"/>
      <w:r w:rsidRPr="004D3C0E">
        <w:rPr>
          <w:iCs/>
          <w:color w:val="auto"/>
          <w:sz w:val="22"/>
        </w:rPr>
        <w:t xml:space="preserve">Figure </w:t>
      </w:r>
      <w:r w:rsidRPr="004D3C0E">
        <w:rPr>
          <w:iCs/>
          <w:color w:val="auto"/>
          <w:sz w:val="22"/>
        </w:rPr>
        <w:fldChar w:fldCharType="begin"/>
      </w:r>
      <w:r w:rsidRPr="004D3C0E">
        <w:rPr>
          <w:iCs/>
          <w:color w:val="auto"/>
          <w:sz w:val="22"/>
        </w:rPr>
        <w:instrText xml:space="preserve"> SEQ Figure \* ARABIC </w:instrText>
      </w:r>
      <w:r w:rsidRPr="004D3C0E">
        <w:rPr>
          <w:iCs/>
          <w:color w:val="auto"/>
          <w:sz w:val="22"/>
        </w:rPr>
        <w:fldChar w:fldCharType="separate"/>
      </w:r>
      <w:r w:rsidRPr="004D3C0E">
        <w:rPr>
          <w:iCs/>
          <w:noProof/>
          <w:color w:val="auto"/>
          <w:sz w:val="22"/>
        </w:rPr>
        <w:t>2</w:t>
      </w:r>
      <w:r w:rsidRPr="004D3C0E">
        <w:rPr>
          <w:iCs/>
          <w:color w:val="auto"/>
          <w:sz w:val="22"/>
        </w:rPr>
        <w:fldChar w:fldCharType="end"/>
      </w:r>
      <w:r w:rsidRPr="004D3C0E">
        <w:rPr>
          <w:iCs/>
          <w:color w:val="auto"/>
          <w:sz w:val="22"/>
        </w:rPr>
        <w:t xml:space="preserve"> Trend Analysis of VAT Revenue and Total Tax Revenue (2013 – 2023)</w:t>
      </w:r>
      <w:bookmarkEnd w:id="17"/>
      <w:r w:rsidRPr="004D3C0E">
        <w:rPr>
          <w:iCs/>
          <w:color w:val="auto"/>
          <w:sz w:val="22"/>
        </w:rPr>
        <w:t xml:space="preserve"> </w:t>
      </w:r>
    </w:p>
    <w:tbl>
      <w:tblPr>
        <w:tblStyle w:val="TableGrid"/>
        <w:tblW w:w="7765" w:type="dxa"/>
        <w:tblInd w:w="-61" w:type="dxa"/>
        <w:tblCellMar>
          <w:left w:w="61" w:type="dxa"/>
        </w:tblCellMar>
        <w:tblLook w:val="04A0" w:firstRow="1" w:lastRow="0" w:firstColumn="1" w:lastColumn="0" w:noHBand="0" w:noVBand="1"/>
      </w:tblPr>
      <w:tblGrid>
        <w:gridCol w:w="979"/>
        <w:gridCol w:w="2863"/>
        <w:gridCol w:w="3923"/>
      </w:tblGrid>
      <w:tr w:rsidR="007B366E" w:rsidRPr="004D3C0E" w14:paraId="753567E2" w14:textId="77777777" w:rsidTr="0040604A">
        <w:trPr>
          <w:trHeight w:val="468"/>
        </w:trPr>
        <w:tc>
          <w:tcPr>
            <w:tcW w:w="979" w:type="dxa"/>
            <w:tcBorders>
              <w:top w:val="single" w:sz="4" w:space="0" w:color="D9D9D9"/>
              <w:left w:val="single" w:sz="4" w:space="0" w:color="D9D9D9"/>
              <w:bottom w:val="single" w:sz="4" w:space="0" w:color="000000"/>
              <w:right w:val="single" w:sz="4" w:space="0" w:color="D9D9D9"/>
            </w:tcBorders>
            <w:shd w:val="clear" w:color="auto" w:fill="FCE4D6"/>
            <w:vAlign w:val="center"/>
          </w:tcPr>
          <w:p w14:paraId="24797445" w14:textId="77777777" w:rsidR="007B366E" w:rsidRPr="004D3C0E" w:rsidRDefault="007B366E" w:rsidP="0040604A">
            <w:pPr>
              <w:spacing w:after="0" w:line="240" w:lineRule="auto"/>
              <w:ind w:left="0" w:firstLine="0"/>
              <w:jc w:val="center"/>
              <w:rPr>
                <w:color w:val="auto"/>
              </w:rPr>
            </w:pPr>
            <w:r w:rsidRPr="004D3C0E">
              <w:rPr>
                <w:rFonts w:eastAsia="Book Antiqua"/>
                <w:b/>
                <w:color w:val="auto"/>
              </w:rPr>
              <w:t>YEARS</w:t>
            </w:r>
          </w:p>
        </w:tc>
        <w:tc>
          <w:tcPr>
            <w:tcW w:w="2863" w:type="dxa"/>
            <w:tcBorders>
              <w:top w:val="single" w:sz="4" w:space="0" w:color="D9D9D9"/>
              <w:left w:val="single" w:sz="4" w:space="0" w:color="D9D9D9"/>
              <w:bottom w:val="single" w:sz="4" w:space="0" w:color="000000"/>
              <w:right w:val="single" w:sz="4" w:space="0" w:color="D9D9D9"/>
            </w:tcBorders>
            <w:shd w:val="clear" w:color="auto" w:fill="FCE4D6"/>
            <w:vAlign w:val="center"/>
          </w:tcPr>
          <w:p w14:paraId="626E2DF1" w14:textId="77777777" w:rsidR="007B366E" w:rsidRPr="004D3C0E" w:rsidRDefault="007B366E" w:rsidP="0040604A">
            <w:pPr>
              <w:spacing w:after="0" w:line="240" w:lineRule="auto"/>
              <w:ind w:left="74" w:firstLine="0"/>
              <w:jc w:val="center"/>
              <w:rPr>
                <w:color w:val="auto"/>
              </w:rPr>
            </w:pPr>
            <w:r w:rsidRPr="004D3C0E">
              <w:rPr>
                <w:rFonts w:eastAsia="Book Antiqua"/>
                <w:b/>
                <w:color w:val="auto"/>
              </w:rPr>
              <w:t>VAT REVENUE (</w:t>
            </w:r>
            <w:proofErr w:type="spellStart"/>
            <w:r w:rsidRPr="004D3C0E">
              <w:rPr>
                <w:rFonts w:eastAsia="Book Antiqua"/>
                <w:b/>
                <w:color w:val="auto"/>
              </w:rPr>
              <w:t>GHS’m</w:t>
            </w:r>
            <w:proofErr w:type="spellEnd"/>
            <w:r w:rsidRPr="004D3C0E">
              <w:rPr>
                <w:rFonts w:eastAsia="Book Antiqua"/>
                <w:b/>
                <w:color w:val="auto"/>
              </w:rPr>
              <w:t>)</w:t>
            </w:r>
          </w:p>
        </w:tc>
        <w:tc>
          <w:tcPr>
            <w:tcW w:w="3923" w:type="dxa"/>
            <w:tcBorders>
              <w:top w:val="single" w:sz="4" w:space="0" w:color="D9D9D9"/>
              <w:left w:val="single" w:sz="4" w:space="0" w:color="D9D9D9"/>
              <w:bottom w:val="single" w:sz="4" w:space="0" w:color="000000"/>
              <w:right w:val="nil"/>
            </w:tcBorders>
            <w:shd w:val="clear" w:color="auto" w:fill="DDEBF7"/>
            <w:vAlign w:val="center"/>
          </w:tcPr>
          <w:p w14:paraId="37E55D34" w14:textId="77777777" w:rsidR="007B366E" w:rsidRPr="004D3C0E" w:rsidRDefault="007B366E" w:rsidP="0040604A">
            <w:pPr>
              <w:spacing w:after="0" w:line="240" w:lineRule="auto"/>
              <w:ind w:left="193" w:firstLine="0"/>
              <w:jc w:val="center"/>
              <w:rPr>
                <w:color w:val="auto"/>
              </w:rPr>
            </w:pPr>
            <w:r w:rsidRPr="004D3C0E">
              <w:rPr>
                <w:rFonts w:eastAsia="Book Antiqua"/>
                <w:b/>
                <w:color w:val="auto"/>
              </w:rPr>
              <w:t>TOTAL TAX REVENUE (</w:t>
            </w:r>
            <w:proofErr w:type="spellStart"/>
            <w:r w:rsidRPr="004D3C0E">
              <w:rPr>
                <w:rFonts w:eastAsia="Book Antiqua"/>
                <w:b/>
                <w:color w:val="auto"/>
              </w:rPr>
              <w:t>GHS’m</w:t>
            </w:r>
            <w:proofErr w:type="spellEnd"/>
            <w:r w:rsidRPr="004D3C0E">
              <w:rPr>
                <w:rFonts w:eastAsia="Book Antiqua"/>
                <w:b/>
                <w:color w:val="auto"/>
              </w:rPr>
              <w:t>)</w:t>
            </w:r>
          </w:p>
        </w:tc>
      </w:tr>
      <w:tr w:rsidR="007B366E" w:rsidRPr="004D3C0E" w14:paraId="67F78295" w14:textId="77777777" w:rsidTr="0040604A">
        <w:trPr>
          <w:trHeight w:val="407"/>
        </w:trPr>
        <w:tc>
          <w:tcPr>
            <w:tcW w:w="979" w:type="dxa"/>
            <w:tcBorders>
              <w:top w:val="single" w:sz="4" w:space="0" w:color="000000"/>
              <w:left w:val="single" w:sz="4" w:space="0" w:color="D9D9D9"/>
              <w:bottom w:val="nil"/>
              <w:right w:val="single" w:sz="4" w:space="0" w:color="D9D9D9"/>
            </w:tcBorders>
            <w:shd w:val="clear" w:color="auto" w:fill="FCE4D6"/>
            <w:vAlign w:val="center"/>
          </w:tcPr>
          <w:p w14:paraId="1CDF3AB2" w14:textId="77777777" w:rsidR="007B366E" w:rsidRPr="004D3C0E" w:rsidRDefault="007B366E" w:rsidP="0040604A">
            <w:pPr>
              <w:spacing w:after="0" w:line="240" w:lineRule="auto"/>
              <w:ind w:left="0" w:right="42" w:firstLine="0"/>
              <w:jc w:val="center"/>
              <w:rPr>
                <w:color w:val="auto"/>
              </w:rPr>
            </w:pPr>
            <w:r w:rsidRPr="004D3C0E">
              <w:rPr>
                <w:rFonts w:eastAsia="Book Antiqua"/>
                <w:b/>
                <w:color w:val="auto"/>
              </w:rPr>
              <w:t>2013</w:t>
            </w:r>
          </w:p>
        </w:tc>
        <w:tc>
          <w:tcPr>
            <w:tcW w:w="2863" w:type="dxa"/>
            <w:tcBorders>
              <w:top w:val="single" w:sz="4" w:space="0" w:color="000000"/>
              <w:left w:val="single" w:sz="4" w:space="0" w:color="D9D9D9"/>
              <w:bottom w:val="nil"/>
              <w:right w:val="single" w:sz="4" w:space="0" w:color="D9D9D9"/>
            </w:tcBorders>
            <w:shd w:val="clear" w:color="auto" w:fill="FCE4D6"/>
            <w:vAlign w:val="center"/>
          </w:tcPr>
          <w:p w14:paraId="3ADB803A"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7,061.70</w:t>
            </w:r>
          </w:p>
        </w:tc>
        <w:tc>
          <w:tcPr>
            <w:tcW w:w="3923" w:type="dxa"/>
            <w:tcBorders>
              <w:top w:val="single" w:sz="4" w:space="0" w:color="000000"/>
              <w:left w:val="single" w:sz="4" w:space="0" w:color="D9D9D9"/>
              <w:bottom w:val="nil"/>
              <w:right w:val="nil"/>
            </w:tcBorders>
            <w:shd w:val="clear" w:color="auto" w:fill="DDEBF7"/>
            <w:vAlign w:val="center"/>
          </w:tcPr>
          <w:p w14:paraId="11D30871"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20,351.10</w:t>
            </w:r>
          </w:p>
        </w:tc>
      </w:tr>
      <w:tr w:rsidR="007B366E" w:rsidRPr="004D3C0E" w14:paraId="17EF8ACD" w14:textId="77777777" w:rsidTr="0040604A">
        <w:trPr>
          <w:trHeight w:val="470"/>
        </w:trPr>
        <w:tc>
          <w:tcPr>
            <w:tcW w:w="979" w:type="dxa"/>
            <w:tcBorders>
              <w:top w:val="nil"/>
              <w:left w:val="single" w:sz="4" w:space="0" w:color="D9D9D9"/>
              <w:bottom w:val="nil"/>
              <w:right w:val="single" w:sz="4" w:space="0" w:color="D9D9D9"/>
            </w:tcBorders>
            <w:shd w:val="clear" w:color="auto" w:fill="FCE4D6"/>
            <w:vAlign w:val="center"/>
          </w:tcPr>
          <w:p w14:paraId="1D597C6D" w14:textId="77777777" w:rsidR="007B366E" w:rsidRPr="004D3C0E" w:rsidRDefault="007B366E" w:rsidP="0040604A">
            <w:pPr>
              <w:spacing w:after="0" w:line="240" w:lineRule="auto"/>
              <w:ind w:left="0" w:right="42" w:firstLine="0"/>
              <w:jc w:val="center"/>
              <w:rPr>
                <w:color w:val="auto"/>
              </w:rPr>
            </w:pPr>
            <w:r w:rsidRPr="004D3C0E">
              <w:rPr>
                <w:rFonts w:eastAsia="Book Antiqua"/>
                <w:b/>
                <w:color w:val="auto"/>
              </w:rPr>
              <w:t>2014</w:t>
            </w:r>
          </w:p>
        </w:tc>
        <w:tc>
          <w:tcPr>
            <w:tcW w:w="2863" w:type="dxa"/>
            <w:tcBorders>
              <w:top w:val="nil"/>
              <w:left w:val="single" w:sz="4" w:space="0" w:color="D9D9D9"/>
              <w:bottom w:val="nil"/>
              <w:right w:val="single" w:sz="4" w:space="0" w:color="D9D9D9"/>
            </w:tcBorders>
            <w:shd w:val="clear" w:color="auto" w:fill="FCE4D6"/>
            <w:vAlign w:val="center"/>
          </w:tcPr>
          <w:p w14:paraId="0D072377"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4,697.50</w:t>
            </w:r>
          </w:p>
        </w:tc>
        <w:tc>
          <w:tcPr>
            <w:tcW w:w="3923" w:type="dxa"/>
            <w:tcBorders>
              <w:top w:val="nil"/>
              <w:left w:val="single" w:sz="4" w:space="0" w:color="D9D9D9"/>
              <w:bottom w:val="nil"/>
              <w:right w:val="nil"/>
            </w:tcBorders>
            <w:shd w:val="clear" w:color="auto" w:fill="DDEBF7"/>
            <w:vAlign w:val="center"/>
          </w:tcPr>
          <w:p w14:paraId="65E832BE"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19,399.90</w:t>
            </w:r>
          </w:p>
        </w:tc>
      </w:tr>
      <w:tr w:rsidR="007B366E" w:rsidRPr="004D3C0E" w14:paraId="1912A4C2" w14:textId="77777777" w:rsidTr="0040604A">
        <w:trPr>
          <w:trHeight w:val="470"/>
        </w:trPr>
        <w:tc>
          <w:tcPr>
            <w:tcW w:w="979" w:type="dxa"/>
            <w:tcBorders>
              <w:top w:val="nil"/>
              <w:left w:val="single" w:sz="4" w:space="0" w:color="D9D9D9"/>
              <w:bottom w:val="nil"/>
              <w:right w:val="single" w:sz="4" w:space="0" w:color="D9D9D9"/>
            </w:tcBorders>
            <w:shd w:val="clear" w:color="auto" w:fill="FCE4D6"/>
            <w:vAlign w:val="center"/>
          </w:tcPr>
          <w:p w14:paraId="5BACA3E7" w14:textId="77777777" w:rsidR="007B366E" w:rsidRPr="004D3C0E" w:rsidRDefault="007B366E" w:rsidP="0040604A">
            <w:pPr>
              <w:spacing w:after="0" w:line="240" w:lineRule="auto"/>
              <w:ind w:left="0" w:firstLine="0"/>
              <w:jc w:val="center"/>
              <w:rPr>
                <w:color w:val="auto"/>
              </w:rPr>
            </w:pPr>
            <w:r w:rsidRPr="004D3C0E">
              <w:rPr>
                <w:rFonts w:eastAsia="Book Antiqua"/>
                <w:b/>
                <w:color w:val="auto"/>
              </w:rPr>
              <w:t>2015</w:t>
            </w:r>
          </w:p>
        </w:tc>
        <w:tc>
          <w:tcPr>
            <w:tcW w:w="2863" w:type="dxa"/>
            <w:tcBorders>
              <w:top w:val="nil"/>
              <w:left w:val="single" w:sz="4" w:space="0" w:color="D9D9D9"/>
              <w:bottom w:val="nil"/>
              <w:right w:val="single" w:sz="4" w:space="0" w:color="D9D9D9"/>
            </w:tcBorders>
            <w:shd w:val="clear" w:color="auto" w:fill="FCE4D6"/>
            <w:vAlign w:val="center"/>
          </w:tcPr>
          <w:p w14:paraId="0918AF0F"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5,808.90</w:t>
            </w:r>
          </w:p>
        </w:tc>
        <w:tc>
          <w:tcPr>
            <w:tcW w:w="3923" w:type="dxa"/>
            <w:tcBorders>
              <w:top w:val="nil"/>
              <w:left w:val="single" w:sz="4" w:space="0" w:color="D9D9D9"/>
              <w:bottom w:val="nil"/>
              <w:right w:val="nil"/>
            </w:tcBorders>
            <w:shd w:val="clear" w:color="auto" w:fill="DDEBF7"/>
            <w:vAlign w:val="center"/>
          </w:tcPr>
          <w:p w14:paraId="130099A2"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25,119.90</w:t>
            </w:r>
          </w:p>
        </w:tc>
      </w:tr>
      <w:tr w:rsidR="007B366E" w:rsidRPr="004D3C0E" w14:paraId="6C5999C0" w14:textId="77777777" w:rsidTr="0040604A">
        <w:trPr>
          <w:trHeight w:val="538"/>
        </w:trPr>
        <w:tc>
          <w:tcPr>
            <w:tcW w:w="979" w:type="dxa"/>
            <w:tcBorders>
              <w:top w:val="nil"/>
              <w:left w:val="single" w:sz="4" w:space="0" w:color="D9D9D9"/>
              <w:bottom w:val="nil"/>
              <w:right w:val="single" w:sz="4" w:space="0" w:color="D9D9D9"/>
            </w:tcBorders>
            <w:shd w:val="clear" w:color="auto" w:fill="FCE4D6"/>
            <w:vAlign w:val="center"/>
          </w:tcPr>
          <w:p w14:paraId="7B477632" w14:textId="77777777" w:rsidR="007B366E" w:rsidRPr="004D3C0E" w:rsidRDefault="007B366E" w:rsidP="0040604A">
            <w:pPr>
              <w:spacing w:after="0" w:line="240" w:lineRule="auto"/>
              <w:ind w:left="0" w:right="42" w:firstLine="0"/>
              <w:jc w:val="center"/>
              <w:rPr>
                <w:color w:val="auto"/>
              </w:rPr>
            </w:pPr>
            <w:r w:rsidRPr="004D3C0E">
              <w:rPr>
                <w:rFonts w:eastAsia="Book Antiqua"/>
                <w:b/>
                <w:color w:val="auto"/>
              </w:rPr>
              <w:t>2016</w:t>
            </w:r>
          </w:p>
        </w:tc>
        <w:tc>
          <w:tcPr>
            <w:tcW w:w="2863" w:type="dxa"/>
            <w:tcBorders>
              <w:top w:val="nil"/>
              <w:left w:val="single" w:sz="4" w:space="0" w:color="D9D9D9"/>
              <w:bottom w:val="nil"/>
              <w:right w:val="single" w:sz="4" w:space="0" w:color="D9D9D9"/>
            </w:tcBorders>
            <w:shd w:val="clear" w:color="auto" w:fill="FCE4D6"/>
            <w:vAlign w:val="center"/>
          </w:tcPr>
          <w:p w14:paraId="7F8E668E"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12,231.00</w:t>
            </w:r>
          </w:p>
        </w:tc>
        <w:tc>
          <w:tcPr>
            <w:tcW w:w="3923" w:type="dxa"/>
            <w:tcBorders>
              <w:top w:val="nil"/>
              <w:left w:val="single" w:sz="4" w:space="0" w:color="D9D9D9"/>
              <w:bottom w:val="nil"/>
              <w:right w:val="nil"/>
            </w:tcBorders>
            <w:shd w:val="clear" w:color="auto" w:fill="DDEBF7"/>
            <w:vAlign w:val="center"/>
          </w:tcPr>
          <w:p w14:paraId="1501424F"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25,729.00</w:t>
            </w:r>
          </w:p>
        </w:tc>
      </w:tr>
      <w:tr w:rsidR="007B366E" w:rsidRPr="004D3C0E" w14:paraId="07F05BDE" w14:textId="77777777" w:rsidTr="0040604A">
        <w:trPr>
          <w:trHeight w:val="471"/>
        </w:trPr>
        <w:tc>
          <w:tcPr>
            <w:tcW w:w="979" w:type="dxa"/>
            <w:tcBorders>
              <w:top w:val="nil"/>
              <w:left w:val="single" w:sz="4" w:space="0" w:color="D9D9D9"/>
              <w:bottom w:val="nil"/>
              <w:right w:val="single" w:sz="4" w:space="0" w:color="D9D9D9"/>
            </w:tcBorders>
            <w:shd w:val="clear" w:color="auto" w:fill="FCE4D6"/>
            <w:vAlign w:val="center"/>
          </w:tcPr>
          <w:p w14:paraId="446C5EC6" w14:textId="77777777" w:rsidR="007B366E" w:rsidRPr="004D3C0E" w:rsidRDefault="007B366E" w:rsidP="0040604A">
            <w:pPr>
              <w:spacing w:after="0" w:line="240" w:lineRule="auto"/>
              <w:ind w:left="0" w:firstLine="0"/>
              <w:jc w:val="center"/>
              <w:rPr>
                <w:color w:val="auto"/>
              </w:rPr>
            </w:pPr>
          </w:p>
          <w:p w14:paraId="0C7CADDF" w14:textId="77777777" w:rsidR="007B366E" w:rsidRPr="004D3C0E" w:rsidRDefault="007B366E" w:rsidP="0040604A">
            <w:pPr>
              <w:spacing w:after="0" w:line="240" w:lineRule="auto"/>
              <w:ind w:left="0" w:right="42" w:firstLine="0"/>
              <w:jc w:val="center"/>
              <w:rPr>
                <w:color w:val="auto"/>
              </w:rPr>
            </w:pPr>
            <w:r w:rsidRPr="004D3C0E">
              <w:rPr>
                <w:rFonts w:eastAsia="Book Antiqua"/>
                <w:b/>
                <w:color w:val="auto"/>
              </w:rPr>
              <w:t>2017</w:t>
            </w:r>
          </w:p>
        </w:tc>
        <w:tc>
          <w:tcPr>
            <w:tcW w:w="2863" w:type="dxa"/>
            <w:tcBorders>
              <w:top w:val="nil"/>
              <w:left w:val="single" w:sz="4" w:space="0" w:color="D9D9D9"/>
              <w:bottom w:val="nil"/>
              <w:right w:val="single" w:sz="4" w:space="0" w:color="D9D9D9"/>
            </w:tcBorders>
            <w:shd w:val="clear" w:color="auto" w:fill="FCE4D6"/>
            <w:vAlign w:val="center"/>
          </w:tcPr>
          <w:p w14:paraId="2626F29E" w14:textId="77777777" w:rsidR="007B366E" w:rsidRPr="004D3C0E" w:rsidRDefault="007B366E" w:rsidP="0040604A">
            <w:pPr>
              <w:spacing w:after="0" w:line="240" w:lineRule="auto"/>
              <w:ind w:left="0" w:right="64" w:firstLine="0"/>
              <w:jc w:val="center"/>
              <w:rPr>
                <w:color w:val="auto"/>
                <w:highlight w:val="yellow"/>
              </w:rPr>
            </w:pPr>
            <w:r w:rsidRPr="004D3C0E">
              <w:rPr>
                <w:rFonts w:eastAsia="Book Antiqua"/>
                <w:color w:val="auto"/>
                <w:highlight w:val="yellow"/>
              </w:rPr>
              <w:t>6,175.50</w:t>
            </w:r>
          </w:p>
        </w:tc>
        <w:tc>
          <w:tcPr>
            <w:tcW w:w="3923" w:type="dxa"/>
            <w:vMerge w:val="restart"/>
            <w:tcBorders>
              <w:top w:val="nil"/>
              <w:left w:val="single" w:sz="4" w:space="0" w:color="D9D9D9"/>
              <w:bottom w:val="nil"/>
              <w:right w:val="nil"/>
            </w:tcBorders>
            <w:shd w:val="clear" w:color="auto" w:fill="DDEBF7"/>
            <w:vAlign w:val="center"/>
          </w:tcPr>
          <w:p w14:paraId="3F36707D" w14:textId="77777777" w:rsidR="007B366E" w:rsidRPr="004D3C0E" w:rsidRDefault="007B366E" w:rsidP="0040604A">
            <w:pPr>
              <w:spacing w:after="172" w:line="240" w:lineRule="auto"/>
              <w:ind w:left="0" w:right="15" w:firstLine="0"/>
              <w:jc w:val="center"/>
              <w:rPr>
                <w:color w:val="auto"/>
                <w:highlight w:val="yellow"/>
              </w:rPr>
            </w:pPr>
            <w:r w:rsidRPr="004D3C0E">
              <w:rPr>
                <w:rFonts w:eastAsia="Book Antiqua"/>
                <w:color w:val="auto"/>
                <w:highlight w:val="yellow"/>
              </w:rPr>
              <w:t>22,135.60</w:t>
            </w:r>
          </w:p>
          <w:p w14:paraId="26864421" w14:textId="77777777" w:rsidR="007B366E" w:rsidRPr="004D3C0E" w:rsidRDefault="007B366E" w:rsidP="0040604A">
            <w:pPr>
              <w:spacing w:after="0" w:line="240" w:lineRule="auto"/>
              <w:ind w:left="0" w:right="15" w:firstLine="0"/>
              <w:jc w:val="center"/>
              <w:rPr>
                <w:color w:val="auto"/>
                <w:highlight w:val="yellow"/>
              </w:rPr>
            </w:pPr>
            <w:r w:rsidRPr="004D3C0E">
              <w:rPr>
                <w:rFonts w:eastAsia="Book Antiqua"/>
                <w:color w:val="auto"/>
                <w:highlight w:val="yellow"/>
              </w:rPr>
              <w:t>25,853.70</w:t>
            </w:r>
          </w:p>
        </w:tc>
      </w:tr>
      <w:tr w:rsidR="007B366E" w:rsidRPr="004D3C0E" w14:paraId="360725A9" w14:textId="77777777" w:rsidTr="0040604A">
        <w:trPr>
          <w:trHeight w:val="469"/>
        </w:trPr>
        <w:tc>
          <w:tcPr>
            <w:tcW w:w="979" w:type="dxa"/>
            <w:tcBorders>
              <w:top w:val="nil"/>
              <w:left w:val="single" w:sz="4" w:space="0" w:color="D9D9D9"/>
              <w:bottom w:val="nil"/>
              <w:right w:val="single" w:sz="4" w:space="0" w:color="D9D9D9"/>
            </w:tcBorders>
            <w:shd w:val="clear" w:color="auto" w:fill="FCE4D6"/>
            <w:vAlign w:val="center"/>
          </w:tcPr>
          <w:p w14:paraId="2B00F7C4" w14:textId="77777777" w:rsidR="007B366E" w:rsidRPr="004D3C0E" w:rsidRDefault="007B366E" w:rsidP="0040604A">
            <w:pPr>
              <w:spacing w:after="0" w:line="240" w:lineRule="auto"/>
              <w:ind w:left="0" w:firstLine="0"/>
              <w:jc w:val="center"/>
              <w:rPr>
                <w:color w:val="auto"/>
              </w:rPr>
            </w:pPr>
            <w:r w:rsidRPr="004D3C0E">
              <w:rPr>
                <w:rFonts w:eastAsia="Book Antiqua"/>
                <w:b/>
                <w:color w:val="auto"/>
              </w:rPr>
              <w:t>2018</w:t>
            </w:r>
          </w:p>
        </w:tc>
        <w:tc>
          <w:tcPr>
            <w:tcW w:w="2863" w:type="dxa"/>
            <w:tcBorders>
              <w:top w:val="nil"/>
              <w:left w:val="single" w:sz="4" w:space="0" w:color="D9D9D9"/>
              <w:bottom w:val="nil"/>
              <w:right w:val="single" w:sz="4" w:space="0" w:color="D9D9D9"/>
            </w:tcBorders>
            <w:shd w:val="clear" w:color="auto" w:fill="FCE4D6"/>
            <w:vAlign w:val="center"/>
          </w:tcPr>
          <w:p w14:paraId="5F2DE2CF"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6,371.10</w:t>
            </w:r>
          </w:p>
        </w:tc>
        <w:tc>
          <w:tcPr>
            <w:tcW w:w="0" w:type="auto"/>
            <w:vMerge/>
            <w:tcBorders>
              <w:top w:val="nil"/>
              <w:left w:val="single" w:sz="4" w:space="0" w:color="D9D9D9"/>
              <w:bottom w:val="nil"/>
              <w:right w:val="nil"/>
            </w:tcBorders>
            <w:vAlign w:val="center"/>
          </w:tcPr>
          <w:p w14:paraId="7E62F969" w14:textId="77777777" w:rsidR="007B366E" w:rsidRPr="004D3C0E" w:rsidRDefault="007B366E" w:rsidP="0040604A">
            <w:pPr>
              <w:spacing w:after="160" w:line="240" w:lineRule="auto"/>
              <w:ind w:left="0" w:firstLine="0"/>
              <w:jc w:val="center"/>
              <w:rPr>
                <w:color w:val="auto"/>
              </w:rPr>
            </w:pPr>
          </w:p>
        </w:tc>
      </w:tr>
      <w:tr w:rsidR="007B366E" w:rsidRPr="004D3C0E" w14:paraId="49F77A12" w14:textId="77777777" w:rsidTr="0040604A">
        <w:trPr>
          <w:trHeight w:val="470"/>
        </w:trPr>
        <w:tc>
          <w:tcPr>
            <w:tcW w:w="979" w:type="dxa"/>
            <w:tcBorders>
              <w:top w:val="nil"/>
              <w:left w:val="single" w:sz="4" w:space="0" w:color="D9D9D9"/>
              <w:bottom w:val="nil"/>
              <w:right w:val="single" w:sz="4" w:space="0" w:color="D9D9D9"/>
            </w:tcBorders>
            <w:shd w:val="clear" w:color="auto" w:fill="FCE4D6"/>
            <w:vAlign w:val="center"/>
          </w:tcPr>
          <w:p w14:paraId="4B3C8941" w14:textId="77777777" w:rsidR="007B366E" w:rsidRPr="004D3C0E" w:rsidRDefault="007B366E" w:rsidP="0040604A">
            <w:pPr>
              <w:spacing w:after="0" w:line="240" w:lineRule="auto"/>
              <w:ind w:left="0" w:right="42" w:firstLine="0"/>
              <w:jc w:val="center"/>
              <w:rPr>
                <w:color w:val="auto"/>
              </w:rPr>
            </w:pPr>
            <w:r w:rsidRPr="004D3C0E">
              <w:rPr>
                <w:rFonts w:eastAsia="Book Antiqua"/>
                <w:b/>
                <w:color w:val="auto"/>
              </w:rPr>
              <w:t>2019</w:t>
            </w:r>
          </w:p>
        </w:tc>
        <w:tc>
          <w:tcPr>
            <w:tcW w:w="2863" w:type="dxa"/>
            <w:tcBorders>
              <w:top w:val="nil"/>
              <w:left w:val="single" w:sz="4" w:space="0" w:color="D9D9D9"/>
              <w:bottom w:val="nil"/>
              <w:right w:val="single" w:sz="4" w:space="0" w:color="D9D9D9"/>
            </w:tcBorders>
            <w:shd w:val="clear" w:color="auto" w:fill="FCE4D6"/>
            <w:vAlign w:val="center"/>
          </w:tcPr>
          <w:p w14:paraId="6C6A59AD"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9,298.69</w:t>
            </w:r>
          </w:p>
        </w:tc>
        <w:tc>
          <w:tcPr>
            <w:tcW w:w="3923" w:type="dxa"/>
            <w:tcBorders>
              <w:top w:val="nil"/>
              <w:left w:val="single" w:sz="4" w:space="0" w:color="D9D9D9"/>
              <w:bottom w:val="nil"/>
              <w:right w:val="nil"/>
            </w:tcBorders>
            <w:shd w:val="clear" w:color="auto" w:fill="DDEBF7"/>
            <w:vAlign w:val="center"/>
          </w:tcPr>
          <w:p w14:paraId="46FF4499"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42,381.18</w:t>
            </w:r>
          </w:p>
        </w:tc>
      </w:tr>
      <w:tr w:rsidR="007B366E" w:rsidRPr="004D3C0E" w14:paraId="6239613A" w14:textId="77777777" w:rsidTr="0040604A">
        <w:trPr>
          <w:trHeight w:val="402"/>
        </w:trPr>
        <w:tc>
          <w:tcPr>
            <w:tcW w:w="979" w:type="dxa"/>
            <w:tcBorders>
              <w:top w:val="nil"/>
              <w:left w:val="single" w:sz="4" w:space="0" w:color="D9D9D9"/>
              <w:bottom w:val="nil"/>
              <w:right w:val="single" w:sz="4" w:space="0" w:color="D9D9D9"/>
            </w:tcBorders>
            <w:shd w:val="clear" w:color="auto" w:fill="FCE4D6"/>
            <w:vAlign w:val="center"/>
          </w:tcPr>
          <w:p w14:paraId="3612F23C" w14:textId="77777777" w:rsidR="007B366E" w:rsidRPr="004D3C0E" w:rsidRDefault="007B366E" w:rsidP="0040604A">
            <w:pPr>
              <w:spacing w:after="0" w:line="240" w:lineRule="auto"/>
              <w:ind w:left="0" w:right="42" w:firstLine="0"/>
              <w:jc w:val="center"/>
              <w:rPr>
                <w:color w:val="auto"/>
              </w:rPr>
            </w:pPr>
            <w:r w:rsidRPr="004D3C0E">
              <w:rPr>
                <w:rFonts w:eastAsia="Book Antiqua"/>
                <w:b/>
                <w:color w:val="auto"/>
              </w:rPr>
              <w:t>2020</w:t>
            </w:r>
          </w:p>
        </w:tc>
        <w:tc>
          <w:tcPr>
            <w:tcW w:w="2863" w:type="dxa"/>
            <w:tcBorders>
              <w:top w:val="nil"/>
              <w:left w:val="single" w:sz="4" w:space="0" w:color="D9D9D9"/>
              <w:bottom w:val="nil"/>
              <w:right w:val="single" w:sz="4" w:space="0" w:color="D9D9D9"/>
            </w:tcBorders>
            <w:shd w:val="clear" w:color="auto" w:fill="FCE4D6"/>
            <w:vAlign w:val="center"/>
          </w:tcPr>
          <w:p w14:paraId="0FE3BEA4"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9,207.49</w:t>
            </w:r>
          </w:p>
        </w:tc>
        <w:tc>
          <w:tcPr>
            <w:tcW w:w="3923" w:type="dxa"/>
            <w:tcBorders>
              <w:top w:val="nil"/>
              <w:left w:val="single" w:sz="4" w:space="0" w:color="D9D9D9"/>
              <w:bottom w:val="nil"/>
              <w:right w:val="nil"/>
            </w:tcBorders>
            <w:shd w:val="clear" w:color="auto" w:fill="DDEBF7"/>
            <w:vAlign w:val="center"/>
          </w:tcPr>
          <w:p w14:paraId="2F156110"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44,447.77</w:t>
            </w:r>
          </w:p>
        </w:tc>
      </w:tr>
      <w:tr w:rsidR="007B366E" w:rsidRPr="004D3C0E" w14:paraId="226D635A" w14:textId="77777777" w:rsidTr="0040604A">
        <w:trPr>
          <w:trHeight w:val="538"/>
        </w:trPr>
        <w:tc>
          <w:tcPr>
            <w:tcW w:w="979" w:type="dxa"/>
            <w:tcBorders>
              <w:top w:val="nil"/>
              <w:left w:val="single" w:sz="4" w:space="0" w:color="D9D9D9"/>
              <w:bottom w:val="nil"/>
              <w:right w:val="single" w:sz="4" w:space="0" w:color="D9D9D9"/>
            </w:tcBorders>
            <w:shd w:val="clear" w:color="auto" w:fill="FCE4D6"/>
            <w:vAlign w:val="center"/>
          </w:tcPr>
          <w:p w14:paraId="4E53D3AC" w14:textId="77777777" w:rsidR="007B366E" w:rsidRPr="004D3C0E" w:rsidRDefault="007B366E" w:rsidP="0040604A">
            <w:pPr>
              <w:spacing w:after="0" w:line="240" w:lineRule="auto"/>
              <w:ind w:left="0" w:firstLine="0"/>
              <w:jc w:val="center"/>
              <w:rPr>
                <w:color w:val="auto"/>
              </w:rPr>
            </w:pPr>
            <w:r w:rsidRPr="004D3C0E">
              <w:rPr>
                <w:rFonts w:eastAsia="Book Antiqua"/>
                <w:b/>
                <w:color w:val="auto"/>
              </w:rPr>
              <w:lastRenderedPageBreak/>
              <w:t>2021</w:t>
            </w:r>
          </w:p>
        </w:tc>
        <w:tc>
          <w:tcPr>
            <w:tcW w:w="2863" w:type="dxa"/>
            <w:tcBorders>
              <w:top w:val="nil"/>
              <w:left w:val="single" w:sz="4" w:space="0" w:color="D9D9D9"/>
              <w:bottom w:val="nil"/>
              <w:right w:val="single" w:sz="4" w:space="0" w:color="D9D9D9"/>
            </w:tcBorders>
            <w:shd w:val="clear" w:color="auto" w:fill="FCE4D6"/>
            <w:vAlign w:val="center"/>
          </w:tcPr>
          <w:p w14:paraId="00EC5304"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11,192.98</w:t>
            </w:r>
          </w:p>
        </w:tc>
        <w:tc>
          <w:tcPr>
            <w:tcW w:w="3923" w:type="dxa"/>
            <w:vMerge w:val="restart"/>
            <w:tcBorders>
              <w:top w:val="nil"/>
              <w:left w:val="single" w:sz="4" w:space="0" w:color="D9D9D9"/>
              <w:bottom w:val="nil"/>
              <w:right w:val="nil"/>
            </w:tcBorders>
            <w:shd w:val="clear" w:color="auto" w:fill="DDEBF7"/>
            <w:vAlign w:val="center"/>
          </w:tcPr>
          <w:p w14:paraId="053978A7" w14:textId="77777777" w:rsidR="007B366E" w:rsidRPr="004D3C0E" w:rsidRDefault="007B366E" w:rsidP="0040604A">
            <w:pPr>
              <w:spacing w:after="172" w:line="240" w:lineRule="auto"/>
              <w:ind w:left="0" w:right="15" w:firstLine="0"/>
              <w:jc w:val="center"/>
              <w:rPr>
                <w:color w:val="auto"/>
              </w:rPr>
            </w:pPr>
            <w:r w:rsidRPr="004D3C0E">
              <w:rPr>
                <w:rFonts w:eastAsia="Book Antiqua"/>
                <w:color w:val="auto"/>
              </w:rPr>
              <w:t>55,303.28</w:t>
            </w:r>
          </w:p>
          <w:p w14:paraId="08D65AFD"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75,264.88</w:t>
            </w:r>
          </w:p>
        </w:tc>
      </w:tr>
      <w:tr w:rsidR="007B366E" w:rsidRPr="004D3C0E" w14:paraId="562F7962" w14:textId="77777777" w:rsidTr="0040604A">
        <w:trPr>
          <w:trHeight w:val="470"/>
        </w:trPr>
        <w:tc>
          <w:tcPr>
            <w:tcW w:w="979" w:type="dxa"/>
            <w:tcBorders>
              <w:top w:val="nil"/>
              <w:left w:val="single" w:sz="4" w:space="0" w:color="D9D9D9"/>
              <w:bottom w:val="nil"/>
              <w:right w:val="single" w:sz="4" w:space="0" w:color="D9D9D9"/>
            </w:tcBorders>
            <w:shd w:val="clear" w:color="auto" w:fill="FCE4D6"/>
            <w:vAlign w:val="center"/>
          </w:tcPr>
          <w:p w14:paraId="59893A2F" w14:textId="77777777" w:rsidR="007B366E" w:rsidRPr="004D3C0E" w:rsidRDefault="007B366E" w:rsidP="0040604A">
            <w:pPr>
              <w:spacing w:after="0" w:line="240" w:lineRule="auto"/>
              <w:ind w:left="0" w:right="42" w:firstLine="0"/>
              <w:jc w:val="center"/>
              <w:rPr>
                <w:color w:val="auto"/>
              </w:rPr>
            </w:pPr>
            <w:r w:rsidRPr="004D3C0E">
              <w:rPr>
                <w:rFonts w:eastAsia="Book Antiqua"/>
                <w:b/>
                <w:color w:val="auto"/>
              </w:rPr>
              <w:t>2022</w:t>
            </w:r>
          </w:p>
        </w:tc>
        <w:tc>
          <w:tcPr>
            <w:tcW w:w="2863" w:type="dxa"/>
            <w:tcBorders>
              <w:top w:val="nil"/>
              <w:left w:val="single" w:sz="4" w:space="0" w:color="D9D9D9"/>
              <w:bottom w:val="nil"/>
              <w:right w:val="single" w:sz="4" w:space="0" w:color="D9D9D9"/>
            </w:tcBorders>
            <w:shd w:val="clear" w:color="auto" w:fill="FCE4D6"/>
            <w:vAlign w:val="center"/>
          </w:tcPr>
          <w:p w14:paraId="0089FBDD"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14,920.48</w:t>
            </w:r>
          </w:p>
        </w:tc>
        <w:tc>
          <w:tcPr>
            <w:tcW w:w="0" w:type="auto"/>
            <w:vMerge/>
            <w:tcBorders>
              <w:top w:val="nil"/>
              <w:left w:val="single" w:sz="4" w:space="0" w:color="D9D9D9"/>
              <w:bottom w:val="nil"/>
              <w:right w:val="nil"/>
            </w:tcBorders>
            <w:vAlign w:val="center"/>
          </w:tcPr>
          <w:p w14:paraId="488FF825" w14:textId="77777777" w:rsidR="007B366E" w:rsidRPr="004D3C0E" w:rsidRDefault="007B366E" w:rsidP="0040604A">
            <w:pPr>
              <w:spacing w:after="160" w:line="240" w:lineRule="auto"/>
              <w:ind w:left="0" w:firstLine="0"/>
              <w:jc w:val="center"/>
              <w:rPr>
                <w:color w:val="auto"/>
              </w:rPr>
            </w:pPr>
          </w:p>
        </w:tc>
      </w:tr>
      <w:tr w:rsidR="007B366E" w:rsidRPr="004D3C0E" w14:paraId="45777E0E" w14:textId="77777777" w:rsidTr="0040604A">
        <w:trPr>
          <w:trHeight w:val="451"/>
        </w:trPr>
        <w:tc>
          <w:tcPr>
            <w:tcW w:w="979" w:type="dxa"/>
            <w:tcBorders>
              <w:top w:val="nil"/>
              <w:left w:val="single" w:sz="4" w:space="0" w:color="D9D9D9"/>
              <w:bottom w:val="single" w:sz="6" w:space="0" w:color="D9D9D9"/>
              <w:right w:val="single" w:sz="4" w:space="0" w:color="D9D9D9"/>
            </w:tcBorders>
            <w:shd w:val="clear" w:color="auto" w:fill="FCE4D6"/>
            <w:vAlign w:val="center"/>
          </w:tcPr>
          <w:p w14:paraId="76509704" w14:textId="77777777" w:rsidR="007B366E" w:rsidRPr="004D3C0E" w:rsidRDefault="007B366E" w:rsidP="0040604A">
            <w:pPr>
              <w:spacing w:after="0" w:line="240" w:lineRule="auto"/>
              <w:ind w:left="0" w:firstLine="0"/>
              <w:jc w:val="center"/>
              <w:rPr>
                <w:color w:val="auto"/>
              </w:rPr>
            </w:pPr>
            <w:r w:rsidRPr="004D3C0E">
              <w:rPr>
                <w:rFonts w:eastAsia="Book Antiqua"/>
                <w:b/>
                <w:color w:val="auto"/>
              </w:rPr>
              <w:t>2023</w:t>
            </w:r>
          </w:p>
        </w:tc>
        <w:tc>
          <w:tcPr>
            <w:tcW w:w="2863" w:type="dxa"/>
            <w:tcBorders>
              <w:top w:val="nil"/>
              <w:left w:val="single" w:sz="4" w:space="0" w:color="D9D9D9"/>
              <w:bottom w:val="single" w:sz="6" w:space="0" w:color="D9D9D9"/>
              <w:right w:val="single" w:sz="4" w:space="0" w:color="D9D9D9"/>
            </w:tcBorders>
            <w:shd w:val="clear" w:color="auto" w:fill="FCE4D6"/>
            <w:vAlign w:val="center"/>
          </w:tcPr>
          <w:p w14:paraId="0CBE5C4F" w14:textId="77777777" w:rsidR="007B366E" w:rsidRPr="004D3C0E" w:rsidRDefault="007B366E" w:rsidP="0040604A">
            <w:pPr>
              <w:spacing w:after="0" w:line="240" w:lineRule="auto"/>
              <w:ind w:left="0" w:right="64" w:firstLine="0"/>
              <w:jc w:val="center"/>
              <w:rPr>
                <w:color w:val="auto"/>
              </w:rPr>
            </w:pPr>
            <w:r w:rsidRPr="004D3C0E">
              <w:rPr>
                <w:rFonts w:eastAsia="Book Antiqua"/>
                <w:color w:val="auto"/>
              </w:rPr>
              <w:t>26,197.99</w:t>
            </w:r>
          </w:p>
        </w:tc>
        <w:tc>
          <w:tcPr>
            <w:tcW w:w="3923" w:type="dxa"/>
            <w:tcBorders>
              <w:top w:val="nil"/>
              <w:left w:val="single" w:sz="4" w:space="0" w:color="D9D9D9"/>
              <w:bottom w:val="double" w:sz="5" w:space="0" w:color="D9D9D9"/>
              <w:right w:val="nil"/>
            </w:tcBorders>
            <w:shd w:val="clear" w:color="auto" w:fill="DDEBF7"/>
            <w:vAlign w:val="center"/>
          </w:tcPr>
          <w:p w14:paraId="7DE7ECE1" w14:textId="77777777" w:rsidR="007B366E" w:rsidRPr="004D3C0E" w:rsidRDefault="007B366E" w:rsidP="0040604A">
            <w:pPr>
              <w:spacing w:after="0" w:line="240" w:lineRule="auto"/>
              <w:ind w:left="0" w:right="15" w:firstLine="0"/>
              <w:jc w:val="center"/>
              <w:rPr>
                <w:color w:val="auto"/>
              </w:rPr>
            </w:pPr>
            <w:r w:rsidRPr="004D3C0E">
              <w:rPr>
                <w:rFonts w:eastAsia="Book Antiqua"/>
                <w:color w:val="auto"/>
              </w:rPr>
              <w:t>107,648.60</w:t>
            </w:r>
          </w:p>
        </w:tc>
      </w:tr>
      <w:tr w:rsidR="007B366E" w:rsidRPr="004D3C0E" w14:paraId="7A8A20BE" w14:textId="77777777" w:rsidTr="0040604A">
        <w:trPr>
          <w:trHeight w:val="4305"/>
        </w:trPr>
        <w:tc>
          <w:tcPr>
            <w:tcW w:w="7765" w:type="dxa"/>
            <w:gridSpan w:val="3"/>
            <w:tcBorders>
              <w:top w:val="double" w:sz="5" w:space="0" w:color="D9D9D9"/>
              <w:left w:val="single" w:sz="6" w:space="0" w:color="D9D9D9"/>
              <w:bottom w:val="single" w:sz="6" w:space="0" w:color="D9D9D9"/>
              <w:right w:val="single" w:sz="6" w:space="0" w:color="D9D9D9"/>
            </w:tcBorders>
            <w:shd w:val="clear" w:color="auto" w:fill="FFFFFF"/>
          </w:tcPr>
          <w:p w14:paraId="142BC4EB" w14:textId="77777777" w:rsidR="007B366E" w:rsidRPr="004D3C0E" w:rsidRDefault="007B366E" w:rsidP="0040604A">
            <w:pPr>
              <w:tabs>
                <w:tab w:val="center" w:pos="3803"/>
              </w:tabs>
              <w:spacing w:after="0" w:line="240" w:lineRule="auto"/>
              <w:ind w:left="0" w:firstLine="0"/>
              <w:jc w:val="left"/>
              <w:rPr>
                <w:color w:val="auto"/>
              </w:rPr>
            </w:pPr>
            <w:r w:rsidRPr="004D3C0E">
              <w:rPr>
                <w:color w:val="auto"/>
              </w:rPr>
              <w:t xml:space="preserve"> </w:t>
            </w:r>
            <w:r w:rsidRPr="004D3C0E">
              <w:rPr>
                <w:color w:val="auto"/>
              </w:rPr>
              <w:tab/>
            </w:r>
          </w:p>
          <w:p w14:paraId="6E2E1913" w14:textId="77777777" w:rsidR="007B366E" w:rsidRPr="004D3C0E" w:rsidRDefault="007B366E" w:rsidP="0040604A">
            <w:pPr>
              <w:tabs>
                <w:tab w:val="center" w:pos="3803"/>
              </w:tabs>
              <w:spacing w:after="0" w:line="240" w:lineRule="auto"/>
              <w:ind w:left="0" w:firstLine="0"/>
              <w:jc w:val="left"/>
              <w:rPr>
                <w:color w:val="auto"/>
              </w:rPr>
            </w:pPr>
            <w:r w:rsidRPr="004D3C0E">
              <w:rPr>
                <w:rFonts w:eastAsia="Calibri"/>
                <w:b/>
                <w:color w:val="auto"/>
              </w:rPr>
              <w:t>VAT vs. TOTAL TAX REVENUE</w:t>
            </w:r>
          </w:p>
          <w:p w14:paraId="7984E675" w14:textId="77777777" w:rsidR="007B366E" w:rsidRPr="004D3C0E" w:rsidRDefault="007B366E" w:rsidP="0040604A">
            <w:pPr>
              <w:spacing w:after="0" w:line="240" w:lineRule="auto"/>
              <w:ind w:left="0" w:firstLine="0"/>
              <w:jc w:val="left"/>
              <w:rPr>
                <w:color w:val="auto"/>
              </w:rPr>
            </w:pPr>
            <w:r w:rsidRPr="004D3C0E">
              <w:rPr>
                <w:rFonts w:eastAsia="Calibri"/>
                <w:noProof/>
                <w:color w:val="auto"/>
              </w:rPr>
              <mc:AlternateContent>
                <mc:Choice Requires="wpg">
                  <w:drawing>
                    <wp:inline distT="0" distB="0" distL="0" distR="0" wp14:anchorId="0314ADBC" wp14:editId="4B59A84A">
                      <wp:extent cx="4744200" cy="2149437"/>
                      <wp:effectExtent l="0" t="0" r="0" b="0"/>
                      <wp:docPr id="99635" name="Group 99635"/>
                      <wp:cNvGraphicFramePr/>
                      <a:graphic xmlns:a="http://schemas.openxmlformats.org/drawingml/2006/main">
                        <a:graphicData uri="http://schemas.microsoft.com/office/word/2010/wordprocessingGroup">
                          <wpg:wgp>
                            <wpg:cNvGrpSpPr/>
                            <wpg:grpSpPr>
                              <a:xfrm>
                                <a:off x="0" y="0"/>
                                <a:ext cx="4744200" cy="2149437"/>
                                <a:chOff x="0" y="0"/>
                                <a:chExt cx="4744200" cy="2149437"/>
                              </a:xfrm>
                            </wpg:grpSpPr>
                            <wps:wsp>
                              <wps:cNvPr id="5793" name="Rectangle 5793"/>
                              <wps:cNvSpPr/>
                              <wps:spPr>
                                <a:xfrm>
                                  <a:off x="0" y="93193"/>
                                  <a:ext cx="50673" cy="224380"/>
                                </a:xfrm>
                                <a:prstGeom prst="rect">
                                  <a:avLst/>
                                </a:prstGeom>
                                <a:ln>
                                  <a:noFill/>
                                </a:ln>
                              </wps:spPr>
                              <wps:txbx>
                                <w:txbxContent>
                                  <w:p w14:paraId="227B10D8" w14:textId="77777777" w:rsidR="0040604A" w:rsidRDefault="0040604A" w:rsidP="007B366E">
                                    <w:pPr>
                                      <w:spacing w:after="160" w:line="259" w:lineRule="auto"/>
                                      <w:ind w:left="0" w:firstLine="0"/>
                                      <w:jc w:val="left"/>
                                    </w:pPr>
                                    <w:r>
                                      <w:t xml:space="preserve"> </w:t>
                                    </w:r>
                                  </w:p>
                                </w:txbxContent>
                              </wps:txbx>
                              <wps:bodyPr horzOverflow="overflow" vert="horz" lIns="0" tIns="0" rIns="0" bIns="0" rtlCol="0">
                                <a:noAutofit/>
                              </wps:bodyPr>
                            </wps:wsp>
                            <wps:wsp>
                              <wps:cNvPr id="5794" name="Rectangle 5794"/>
                              <wps:cNvSpPr/>
                              <wps:spPr>
                                <a:xfrm>
                                  <a:off x="0" y="545821"/>
                                  <a:ext cx="50673" cy="224380"/>
                                </a:xfrm>
                                <a:prstGeom prst="rect">
                                  <a:avLst/>
                                </a:prstGeom>
                                <a:ln>
                                  <a:noFill/>
                                </a:ln>
                              </wps:spPr>
                              <wps:txbx>
                                <w:txbxContent>
                                  <w:p w14:paraId="0C8DC429" w14:textId="77777777" w:rsidR="0040604A" w:rsidRDefault="0040604A" w:rsidP="007B366E">
                                    <w:pPr>
                                      <w:spacing w:after="160" w:line="259" w:lineRule="auto"/>
                                      <w:ind w:left="0" w:firstLine="0"/>
                                      <w:jc w:val="left"/>
                                    </w:pPr>
                                    <w:r>
                                      <w:t xml:space="preserve"> </w:t>
                                    </w:r>
                                  </w:p>
                                </w:txbxContent>
                              </wps:txbx>
                              <wps:bodyPr horzOverflow="overflow" vert="horz" lIns="0" tIns="0" rIns="0" bIns="0" rtlCol="0">
                                <a:noAutofit/>
                              </wps:bodyPr>
                            </wps:wsp>
                            <wps:wsp>
                              <wps:cNvPr id="5795" name="Rectangle 5795"/>
                              <wps:cNvSpPr/>
                              <wps:spPr>
                                <a:xfrm>
                                  <a:off x="0" y="998449"/>
                                  <a:ext cx="50673" cy="224379"/>
                                </a:xfrm>
                                <a:prstGeom prst="rect">
                                  <a:avLst/>
                                </a:prstGeom>
                                <a:ln>
                                  <a:noFill/>
                                </a:ln>
                              </wps:spPr>
                              <wps:txbx>
                                <w:txbxContent>
                                  <w:p w14:paraId="00762E20" w14:textId="77777777" w:rsidR="0040604A" w:rsidRDefault="0040604A" w:rsidP="007B366E">
                                    <w:pPr>
                                      <w:spacing w:after="160" w:line="259" w:lineRule="auto"/>
                                      <w:ind w:left="0" w:firstLine="0"/>
                                      <w:jc w:val="left"/>
                                    </w:pPr>
                                    <w:r>
                                      <w:t xml:space="preserve"> </w:t>
                                    </w:r>
                                  </w:p>
                                </w:txbxContent>
                              </wps:txbx>
                              <wps:bodyPr horzOverflow="overflow" vert="horz" lIns="0" tIns="0" rIns="0" bIns="0" rtlCol="0">
                                <a:noAutofit/>
                              </wps:bodyPr>
                            </wps:wsp>
                            <wps:wsp>
                              <wps:cNvPr id="5796" name="Rectangle 5796"/>
                              <wps:cNvSpPr/>
                              <wps:spPr>
                                <a:xfrm>
                                  <a:off x="0" y="1449934"/>
                                  <a:ext cx="50673" cy="224380"/>
                                </a:xfrm>
                                <a:prstGeom prst="rect">
                                  <a:avLst/>
                                </a:prstGeom>
                                <a:ln>
                                  <a:noFill/>
                                </a:ln>
                              </wps:spPr>
                              <wps:txbx>
                                <w:txbxContent>
                                  <w:p w14:paraId="762BAD74" w14:textId="77777777" w:rsidR="0040604A" w:rsidRDefault="0040604A" w:rsidP="007B366E">
                                    <w:pPr>
                                      <w:spacing w:after="160" w:line="259" w:lineRule="auto"/>
                                      <w:ind w:left="0" w:firstLine="0"/>
                                      <w:jc w:val="left"/>
                                    </w:pPr>
                                    <w:r>
                                      <w:t xml:space="preserve"> </w:t>
                                    </w:r>
                                  </w:p>
                                </w:txbxContent>
                              </wps:txbx>
                              <wps:bodyPr horzOverflow="overflow" vert="horz" lIns="0" tIns="0" rIns="0" bIns="0" rtlCol="0">
                                <a:noAutofit/>
                              </wps:bodyPr>
                            </wps:wsp>
                            <wps:wsp>
                              <wps:cNvPr id="5797" name="Rectangle 5797"/>
                              <wps:cNvSpPr/>
                              <wps:spPr>
                                <a:xfrm>
                                  <a:off x="0" y="1902561"/>
                                  <a:ext cx="50673" cy="224381"/>
                                </a:xfrm>
                                <a:prstGeom prst="rect">
                                  <a:avLst/>
                                </a:prstGeom>
                                <a:ln>
                                  <a:noFill/>
                                </a:ln>
                              </wps:spPr>
                              <wps:txbx>
                                <w:txbxContent>
                                  <w:p w14:paraId="11C4AFF1" w14:textId="77777777" w:rsidR="0040604A" w:rsidRDefault="0040604A" w:rsidP="007B366E">
                                    <w:pPr>
                                      <w:spacing w:after="160" w:line="259" w:lineRule="auto"/>
                                      <w:ind w:left="0" w:firstLine="0"/>
                                      <w:jc w:val="left"/>
                                    </w:pPr>
                                    <w:r>
                                      <w:t xml:space="preserve"> </w:t>
                                    </w:r>
                                  </w:p>
                                </w:txbxContent>
                              </wps:txbx>
                              <wps:bodyPr horzOverflow="overflow" vert="horz" lIns="0" tIns="0" rIns="0" bIns="0" rtlCol="0">
                                <a:noAutofit/>
                              </wps:bodyPr>
                            </wps:wsp>
                            <wps:wsp>
                              <wps:cNvPr id="6081" name="Shape 6081"/>
                              <wps:cNvSpPr/>
                              <wps:spPr>
                                <a:xfrm>
                                  <a:off x="203784" y="1403096"/>
                                  <a:ext cx="4423664" cy="0"/>
                                </a:xfrm>
                                <a:custGeom>
                                  <a:avLst/>
                                  <a:gdLst/>
                                  <a:ahLst/>
                                  <a:cxnLst/>
                                  <a:rect l="0" t="0" r="0" b="0"/>
                                  <a:pathLst>
                                    <a:path w="4423664">
                                      <a:moveTo>
                                        <a:pt x="0" y="0"/>
                                      </a:moveTo>
                                      <a:lnTo>
                                        <a:pt x="4423664" y="0"/>
                                      </a:lnTo>
                                    </a:path>
                                  </a:pathLst>
                                </a:custGeom>
                                <a:noFill/>
                                <a:ln w="9525" cap="flat" cmpd="sng" algn="ctr">
                                  <a:solidFill>
                                    <a:srgbClr val="D9D9D9"/>
                                  </a:solidFill>
                                  <a:prstDash val="solid"/>
                                  <a:round/>
                                </a:ln>
                                <a:effectLst/>
                              </wps:spPr>
                              <wps:bodyPr/>
                            </wps:wsp>
                            <wps:wsp>
                              <wps:cNvPr id="6082" name="Shape 6082"/>
                              <wps:cNvSpPr/>
                              <wps:spPr>
                                <a:xfrm>
                                  <a:off x="203784" y="1122680"/>
                                  <a:ext cx="4423664" cy="0"/>
                                </a:xfrm>
                                <a:custGeom>
                                  <a:avLst/>
                                  <a:gdLst/>
                                  <a:ahLst/>
                                  <a:cxnLst/>
                                  <a:rect l="0" t="0" r="0" b="0"/>
                                  <a:pathLst>
                                    <a:path w="4423664">
                                      <a:moveTo>
                                        <a:pt x="0" y="0"/>
                                      </a:moveTo>
                                      <a:lnTo>
                                        <a:pt x="4423664" y="0"/>
                                      </a:lnTo>
                                    </a:path>
                                  </a:pathLst>
                                </a:custGeom>
                                <a:noFill/>
                                <a:ln w="9525" cap="flat" cmpd="sng" algn="ctr">
                                  <a:solidFill>
                                    <a:srgbClr val="D9D9D9"/>
                                  </a:solidFill>
                                  <a:prstDash val="solid"/>
                                  <a:round/>
                                </a:ln>
                                <a:effectLst/>
                              </wps:spPr>
                              <wps:bodyPr/>
                            </wps:wsp>
                            <wps:wsp>
                              <wps:cNvPr id="6083" name="Shape 6083"/>
                              <wps:cNvSpPr/>
                              <wps:spPr>
                                <a:xfrm>
                                  <a:off x="203784" y="842264"/>
                                  <a:ext cx="4423664" cy="0"/>
                                </a:xfrm>
                                <a:custGeom>
                                  <a:avLst/>
                                  <a:gdLst/>
                                  <a:ahLst/>
                                  <a:cxnLst/>
                                  <a:rect l="0" t="0" r="0" b="0"/>
                                  <a:pathLst>
                                    <a:path w="4423664">
                                      <a:moveTo>
                                        <a:pt x="0" y="0"/>
                                      </a:moveTo>
                                      <a:lnTo>
                                        <a:pt x="4423664" y="0"/>
                                      </a:lnTo>
                                    </a:path>
                                  </a:pathLst>
                                </a:custGeom>
                                <a:noFill/>
                                <a:ln w="9525" cap="flat" cmpd="sng" algn="ctr">
                                  <a:solidFill>
                                    <a:srgbClr val="D9D9D9"/>
                                  </a:solidFill>
                                  <a:prstDash val="solid"/>
                                  <a:round/>
                                </a:ln>
                                <a:effectLst/>
                              </wps:spPr>
                              <wps:bodyPr/>
                            </wps:wsp>
                            <wps:wsp>
                              <wps:cNvPr id="6084" name="Shape 6084"/>
                              <wps:cNvSpPr/>
                              <wps:spPr>
                                <a:xfrm>
                                  <a:off x="203784" y="561848"/>
                                  <a:ext cx="4423664" cy="0"/>
                                </a:xfrm>
                                <a:custGeom>
                                  <a:avLst/>
                                  <a:gdLst/>
                                  <a:ahLst/>
                                  <a:cxnLst/>
                                  <a:rect l="0" t="0" r="0" b="0"/>
                                  <a:pathLst>
                                    <a:path w="4423664">
                                      <a:moveTo>
                                        <a:pt x="0" y="0"/>
                                      </a:moveTo>
                                      <a:lnTo>
                                        <a:pt x="4423664" y="0"/>
                                      </a:lnTo>
                                    </a:path>
                                  </a:pathLst>
                                </a:custGeom>
                                <a:noFill/>
                                <a:ln w="9525" cap="flat" cmpd="sng" algn="ctr">
                                  <a:solidFill>
                                    <a:srgbClr val="D9D9D9"/>
                                  </a:solidFill>
                                  <a:prstDash val="solid"/>
                                  <a:round/>
                                </a:ln>
                                <a:effectLst/>
                              </wps:spPr>
                              <wps:bodyPr/>
                            </wps:wsp>
                            <wps:wsp>
                              <wps:cNvPr id="6085" name="Shape 6085"/>
                              <wps:cNvSpPr/>
                              <wps:spPr>
                                <a:xfrm>
                                  <a:off x="203784" y="279908"/>
                                  <a:ext cx="4423664" cy="0"/>
                                </a:xfrm>
                                <a:custGeom>
                                  <a:avLst/>
                                  <a:gdLst/>
                                  <a:ahLst/>
                                  <a:cxnLst/>
                                  <a:rect l="0" t="0" r="0" b="0"/>
                                  <a:pathLst>
                                    <a:path w="4423664">
                                      <a:moveTo>
                                        <a:pt x="0" y="0"/>
                                      </a:moveTo>
                                      <a:lnTo>
                                        <a:pt x="4423664" y="0"/>
                                      </a:lnTo>
                                    </a:path>
                                  </a:pathLst>
                                </a:custGeom>
                                <a:noFill/>
                                <a:ln w="9525" cap="flat" cmpd="sng" algn="ctr">
                                  <a:solidFill>
                                    <a:srgbClr val="D9D9D9"/>
                                  </a:solidFill>
                                  <a:prstDash val="solid"/>
                                  <a:round/>
                                </a:ln>
                                <a:effectLst/>
                              </wps:spPr>
                              <wps:bodyPr/>
                            </wps:wsp>
                            <wps:wsp>
                              <wps:cNvPr id="6086" name="Shape 6086"/>
                              <wps:cNvSpPr/>
                              <wps:spPr>
                                <a:xfrm>
                                  <a:off x="203784" y="0"/>
                                  <a:ext cx="4423664" cy="0"/>
                                </a:xfrm>
                                <a:custGeom>
                                  <a:avLst/>
                                  <a:gdLst/>
                                  <a:ahLst/>
                                  <a:cxnLst/>
                                  <a:rect l="0" t="0" r="0" b="0"/>
                                  <a:pathLst>
                                    <a:path w="4423664">
                                      <a:moveTo>
                                        <a:pt x="0" y="0"/>
                                      </a:moveTo>
                                      <a:lnTo>
                                        <a:pt x="4423664" y="0"/>
                                      </a:lnTo>
                                    </a:path>
                                  </a:pathLst>
                                </a:custGeom>
                                <a:noFill/>
                                <a:ln w="9525" cap="flat" cmpd="sng" algn="ctr">
                                  <a:solidFill>
                                    <a:srgbClr val="D9D9D9"/>
                                  </a:solidFill>
                                  <a:prstDash val="solid"/>
                                  <a:round/>
                                </a:ln>
                                <a:effectLst/>
                              </wps:spPr>
                              <wps:bodyPr/>
                            </wps:wsp>
                            <wps:wsp>
                              <wps:cNvPr id="6087" name="Shape 6087"/>
                              <wps:cNvSpPr/>
                              <wps:spPr>
                                <a:xfrm>
                                  <a:off x="203784" y="0"/>
                                  <a:ext cx="0" cy="1683639"/>
                                </a:xfrm>
                                <a:custGeom>
                                  <a:avLst/>
                                  <a:gdLst/>
                                  <a:ahLst/>
                                  <a:cxnLst/>
                                  <a:rect l="0" t="0" r="0" b="0"/>
                                  <a:pathLst>
                                    <a:path h="1683639">
                                      <a:moveTo>
                                        <a:pt x="0" y="1683639"/>
                                      </a:moveTo>
                                      <a:lnTo>
                                        <a:pt x="0" y="0"/>
                                      </a:lnTo>
                                    </a:path>
                                  </a:pathLst>
                                </a:custGeom>
                                <a:noFill/>
                                <a:ln w="9525" cap="flat" cmpd="sng" algn="ctr">
                                  <a:solidFill>
                                    <a:srgbClr val="BFBFBF"/>
                                  </a:solidFill>
                                  <a:prstDash val="solid"/>
                                  <a:round/>
                                </a:ln>
                                <a:effectLst/>
                              </wps:spPr>
                              <wps:bodyPr/>
                            </wps:wsp>
                            <wps:wsp>
                              <wps:cNvPr id="6088" name="Shape 6088"/>
                              <wps:cNvSpPr/>
                              <wps:spPr>
                                <a:xfrm>
                                  <a:off x="203784" y="1683639"/>
                                  <a:ext cx="4423664" cy="0"/>
                                </a:xfrm>
                                <a:custGeom>
                                  <a:avLst/>
                                  <a:gdLst/>
                                  <a:ahLst/>
                                  <a:cxnLst/>
                                  <a:rect l="0" t="0" r="0" b="0"/>
                                  <a:pathLst>
                                    <a:path w="4423664">
                                      <a:moveTo>
                                        <a:pt x="0" y="0"/>
                                      </a:moveTo>
                                      <a:lnTo>
                                        <a:pt x="4423664" y="0"/>
                                      </a:lnTo>
                                    </a:path>
                                  </a:pathLst>
                                </a:custGeom>
                                <a:noFill/>
                                <a:ln w="9525" cap="flat" cmpd="sng" algn="ctr">
                                  <a:solidFill>
                                    <a:srgbClr val="BFBFBF"/>
                                  </a:solidFill>
                                  <a:prstDash val="solid"/>
                                  <a:round/>
                                </a:ln>
                                <a:effectLst/>
                              </wps:spPr>
                              <wps:bodyPr/>
                            </wps:wsp>
                            <wps:wsp>
                              <wps:cNvPr id="6089" name="Shape 6089"/>
                              <wps:cNvSpPr/>
                              <wps:spPr>
                                <a:xfrm>
                                  <a:off x="572465" y="1316101"/>
                                  <a:ext cx="3686302" cy="301625"/>
                                </a:xfrm>
                                <a:custGeom>
                                  <a:avLst/>
                                  <a:gdLst/>
                                  <a:ahLst/>
                                  <a:cxnLst/>
                                  <a:rect l="0" t="0" r="0" b="0"/>
                                  <a:pathLst>
                                    <a:path w="3686302" h="301625">
                                      <a:moveTo>
                                        <a:pt x="0" y="268351"/>
                                      </a:moveTo>
                                      <a:lnTo>
                                        <a:pt x="369062" y="301625"/>
                                      </a:lnTo>
                                      <a:lnTo>
                                        <a:pt x="737870" y="286639"/>
                                      </a:lnTo>
                                      <a:lnTo>
                                        <a:pt x="1105154" y="195199"/>
                                      </a:lnTo>
                                      <a:lnTo>
                                        <a:pt x="1473962" y="280543"/>
                                      </a:lnTo>
                                      <a:lnTo>
                                        <a:pt x="1842770" y="277495"/>
                                      </a:lnTo>
                                      <a:lnTo>
                                        <a:pt x="2211578" y="236347"/>
                                      </a:lnTo>
                                      <a:lnTo>
                                        <a:pt x="2580386" y="237871"/>
                                      </a:lnTo>
                                      <a:lnTo>
                                        <a:pt x="2949194" y="210439"/>
                                      </a:lnTo>
                                      <a:lnTo>
                                        <a:pt x="3318002" y="158623"/>
                                      </a:lnTo>
                                      <a:lnTo>
                                        <a:pt x="3686302" y="0"/>
                                      </a:lnTo>
                                    </a:path>
                                  </a:pathLst>
                                </a:custGeom>
                                <a:noFill/>
                                <a:ln w="19050" cap="rnd" cmpd="sng" algn="ctr">
                                  <a:solidFill>
                                    <a:srgbClr val="70AD47"/>
                                  </a:solidFill>
                                  <a:prstDash val="solid"/>
                                  <a:round/>
                                </a:ln>
                                <a:effectLst/>
                              </wps:spPr>
                              <wps:bodyPr/>
                            </wps:wsp>
                            <wps:wsp>
                              <wps:cNvPr id="6090" name="Shape 6090"/>
                              <wps:cNvSpPr/>
                              <wps:spPr>
                                <a:xfrm>
                                  <a:off x="541096" y="1552575"/>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rnd">
                                  <a:noFill/>
                                  <a:round/>
                                </a:ln>
                                <a:effectLst/>
                              </wps:spPr>
                              <wps:bodyPr/>
                            </wps:wsp>
                            <wps:wsp>
                              <wps:cNvPr id="6091" name="Shape 6091"/>
                              <wps:cNvSpPr/>
                              <wps:spPr>
                                <a:xfrm>
                                  <a:off x="541096" y="1552575"/>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092" name="Shape 6092"/>
                              <wps:cNvSpPr/>
                              <wps:spPr>
                                <a:xfrm>
                                  <a:off x="909904" y="158610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093" name="Shape 6093"/>
                              <wps:cNvSpPr/>
                              <wps:spPr>
                                <a:xfrm>
                                  <a:off x="909904" y="158610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094" name="Shape 6094"/>
                              <wps:cNvSpPr/>
                              <wps:spPr>
                                <a:xfrm>
                                  <a:off x="1278712" y="157086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095" name="Shape 6095"/>
                              <wps:cNvSpPr/>
                              <wps:spPr>
                                <a:xfrm>
                                  <a:off x="1278712" y="157086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096" name="Shape 6096"/>
                              <wps:cNvSpPr/>
                              <wps:spPr>
                                <a:xfrm>
                                  <a:off x="1645996" y="147942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097" name="Shape 6097"/>
                              <wps:cNvSpPr/>
                              <wps:spPr>
                                <a:xfrm>
                                  <a:off x="1645996" y="147942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098" name="Shape 6098"/>
                              <wps:cNvSpPr/>
                              <wps:spPr>
                                <a:xfrm>
                                  <a:off x="2014804" y="1564767"/>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solidFill>
                                  <a:srgbClr val="70AD47"/>
                                </a:solidFill>
                                <a:ln w="0" cap="flat">
                                  <a:noFill/>
                                  <a:round/>
                                </a:ln>
                                <a:effectLst/>
                              </wps:spPr>
                              <wps:bodyPr/>
                            </wps:wsp>
                            <wps:wsp>
                              <wps:cNvPr id="6099" name="Shape 6099"/>
                              <wps:cNvSpPr/>
                              <wps:spPr>
                                <a:xfrm>
                                  <a:off x="2014804" y="1564767"/>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noFill/>
                                <a:ln w="9144" cap="flat" cmpd="sng" algn="ctr">
                                  <a:solidFill>
                                    <a:srgbClr val="70AD47"/>
                                  </a:solidFill>
                                  <a:prstDash val="solid"/>
                                  <a:round/>
                                </a:ln>
                                <a:effectLst/>
                              </wps:spPr>
                              <wps:bodyPr/>
                            </wps:wsp>
                            <wps:wsp>
                              <wps:cNvPr id="6100" name="Shape 6100"/>
                              <wps:cNvSpPr/>
                              <wps:spPr>
                                <a:xfrm>
                                  <a:off x="2383612" y="1561719"/>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solidFill>
                                  <a:srgbClr val="70AD47"/>
                                </a:solidFill>
                                <a:ln w="0" cap="flat">
                                  <a:noFill/>
                                  <a:round/>
                                </a:ln>
                                <a:effectLst/>
                              </wps:spPr>
                              <wps:bodyPr/>
                            </wps:wsp>
                            <wps:wsp>
                              <wps:cNvPr id="6101" name="Shape 6101"/>
                              <wps:cNvSpPr/>
                              <wps:spPr>
                                <a:xfrm>
                                  <a:off x="2383612" y="1561719"/>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noFill/>
                                <a:ln w="9144" cap="flat" cmpd="sng" algn="ctr">
                                  <a:solidFill>
                                    <a:srgbClr val="70AD47"/>
                                  </a:solidFill>
                                  <a:prstDash val="solid"/>
                                  <a:round/>
                                </a:ln>
                                <a:effectLst/>
                              </wps:spPr>
                              <wps:bodyPr/>
                            </wps:wsp>
                            <wps:wsp>
                              <wps:cNvPr id="6102" name="Shape 6102"/>
                              <wps:cNvSpPr/>
                              <wps:spPr>
                                <a:xfrm>
                                  <a:off x="2752420" y="152057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103" name="Shape 6103"/>
                              <wps:cNvSpPr/>
                              <wps:spPr>
                                <a:xfrm>
                                  <a:off x="2752420" y="152057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104" name="Shape 6104"/>
                              <wps:cNvSpPr/>
                              <wps:spPr>
                                <a:xfrm>
                                  <a:off x="3121228" y="1522095"/>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105" name="Shape 6105"/>
                              <wps:cNvSpPr/>
                              <wps:spPr>
                                <a:xfrm>
                                  <a:off x="3121228" y="1522095"/>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106" name="Shape 6106"/>
                              <wps:cNvSpPr/>
                              <wps:spPr>
                                <a:xfrm>
                                  <a:off x="3490036" y="149466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107" name="Shape 6107"/>
                              <wps:cNvSpPr/>
                              <wps:spPr>
                                <a:xfrm>
                                  <a:off x="3490036" y="149466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108" name="Shape 6108"/>
                              <wps:cNvSpPr/>
                              <wps:spPr>
                                <a:xfrm>
                                  <a:off x="3858844" y="1442847"/>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109" name="Shape 6109"/>
                              <wps:cNvSpPr/>
                              <wps:spPr>
                                <a:xfrm>
                                  <a:off x="3858844" y="1442847"/>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110" name="Shape 6110"/>
                              <wps:cNvSpPr/>
                              <wps:spPr>
                                <a:xfrm>
                                  <a:off x="4227652" y="128435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flat">
                                  <a:noFill/>
                                  <a:round/>
                                </a:ln>
                                <a:effectLst/>
                              </wps:spPr>
                              <wps:bodyPr/>
                            </wps:wsp>
                            <wps:wsp>
                              <wps:cNvPr id="6111" name="Shape 6111"/>
                              <wps:cNvSpPr/>
                              <wps:spPr>
                                <a:xfrm>
                                  <a:off x="4227652" y="128435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70AD47"/>
                                  </a:solidFill>
                                  <a:prstDash val="solid"/>
                                  <a:round/>
                                </a:ln>
                                <a:effectLst/>
                              </wps:spPr>
                              <wps:bodyPr/>
                            </wps:wsp>
                            <wps:wsp>
                              <wps:cNvPr id="6112" name="Shape 6112"/>
                              <wps:cNvSpPr/>
                              <wps:spPr>
                                <a:xfrm>
                                  <a:off x="572465" y="173228"/>
                                  <a:ext cx="3686302" cy="1238250"/>
                                </a:xfrm>
                                <a:custGeom>
                                  <a:avLst/>
                                  <a:gdLst/>
                                  <a:ahLst/>
                                  <a:cxnLst/>
                                  <a:rect l="0" t="0" r="0" b="0"/>
                                  <a:pathLst>
                                    <a:path w="3686302" h="1238250">
                                      <a:moveTo>
                                        <a:pt x="0" y="1225296"/>
                                      </a:moveTo>
                                      <a:lnTo>
                                        <a:pt x="369062" y="1238250"/>
                                      </a:lnTo>
                                      <a:lnTo>
                                        <a:pt x="737870" y="1158240"/>
                                      </a:lnTo>
                                      <a:lnTo>
                                        <a:pt x="1105154" y="1149096"/>
                                      </a:lnTo>
                                      <a:lnTo>
                                        <a:pt x="1473962" y="1199388"/>
                                      </a:lnTo>
                                      <a:lnTo>
                                        <a:pt x="1842770" y="1147572"/>
                                      </a:lnTo>
                                      <a:lnTo>
                                        <a:pt x="2211578" y="915924"/>
                                      </a:lnTo>
                                      <a:lnTo>
                                        <a:pt x="2580386" y="886968"/>
                                      </a:lnTo>
                                      <a:lnTo>
                                        <a:pt x="2949194" y="734568"/>
                                      </a:lnTo>
                                      <a:lnTo>
                                        <a:pt x="3318002" y="454152"/>
                                      </a:lnTo>
                                      <a:lnTo>
                                        <a:pt x="3686302" y="0"/>
                                      </a:lnTo>
                                    </a:path>
                                  </a:pathLst>
                                </a:custGeom>
                                <a:noFill/>
                                <a:ln w="19050" cap="rnd" cmpd="sng" algn="ctr">
                                  <a:solidFill>
                                    <a:srgbClr val="4472C4"/>
                                  </a:solidFill>
                                  <a:prstDash val="solid"/>
                                  <a:round/>
                                </a:ln>
                                <a:effectLst/>
                              </wps:spPr>
                              <wps:bodyPr/>
                            </wps:wsp>
                            <wps:wsp>
                              <wps:cNvPr id="6113" name="Shape 6113"/>
                              <wps:cNvSpPr/>
                              <wps:spPr>
                                <a:xfrm>
                                  <a:off x="541096" y="1366647"/>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rnd">
                                  <a:noFill/>
                                  <a:round/>
                                </a:ln>
                                <a:effectLst/>
                              </wps:spPr>
                              <wps:bodyPr/>
                            </wps:wsp>
                            <wps:wsp>
                              <wps:cNvPr id="6114" name="Shape 6114"/>
                              <wps:cNvSpPr/>
                              <wps:spPr>
                                <a:xfrm>
                                  <a:off x="541096" y="1366647"/>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15" name="Shape 6115"/>
                              <wps:cNvSpPr/>
                              <wps:spPr>
                                <a:xfrm>
                                  <a:off x="909904" y="137883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16" name="Shape 6116"/>
                              <wps:cNvSpPr/>
                              <wps:spPr>
                                <a:xfrm>
                                  <a:off x="909904" y="137883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17" name="Shape 6117"/>
                              <wps:cNvSpPr/>
                              <wps:spPr>
                                <a:xfrm>
                                  <a:off x="1278712" y="1299591"/>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solidFill>
                                  <a:srgbClr val="4472C4"/>
                                </a:solidFill>
                                <a:ln w="0" cap="flat">
                                  <a:noFill/>
                                  <a:round/>
                                </a:ln>
                                <a:effectLst/>
                              </wps:spPr>
                              <wps:bodyPr/>
                            </wps:wsp>
                            <wps:wsp>
                              <wps:cNvPr id="6118" name="Shape 6118"/>
                              <wps:cNvSpPr/>
                              <wps:spPr>
                                <a:xfrm>
                                  <a:off x="1278712" y="1299591"/>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noFill/>
                                <a:ln w="9144" cap="flat" cmpd="sng" algn="ctr">
                                  <a:solidFill>
                                    <a:srgbClr val="4472C4"/>
                                  </a:solidFill>
                                  <a:prstDash val="solid"/>
                                  <a:round/>
                                </a:ln>
                                <a:effectLst/>
                              </wps:spPr>
                              <wps:bodyPr/>
                            </wps:wsp>
                            <wps:wsp>
                              <wps:cNvPr id="6119" name="Shape 6119"/>
                              <wps:cNvSpPr/>
                              <wps:spPr>
                                <a:xfrm>
                                  <a:off x="1645996" y="1290447"/>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20" name="Shape 6120"/>
                              <wps:cNvSpPr/>
                              <wps:spPr>
                                <a:xfrm>
                                  <a:off x="1645996" y="1290447"/>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21" name="Shape 6121"/>
                              <wps:cNvSpPr/>
                              <wps:spPr>
                                <a:xfrm>
                                  <a:off x="2014804" y="134073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22" name="Shape 6122"/>
                              <wps:cNvSpPr/>
                              <wps:spPr>
                                <a:xfrm>
                                  <a:off x="2014804" y="134073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23" name="Shape 6123"/>
                              <wps:cNvSpPr/>
                              <wps:spPr>
                                <a:xfrm>
                                  <a:off x="2383612" y="128892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24" name="Shape 6124"/>
                              <wps:cNvSpPr/>
                              <wps:spPr>
                                <a:xfrm>
                                  <a:off x="2383612" y="128892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25" name="Shape 6125"/>
                              <wps:cNvSpPr/>
                              <wps:spPr>
                                <a:xfrm>
                                  <a:off x="2752420" y="1057275"/>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26" name="Shape 6126"/>
                              <wps:cNvSpPr/>
                              <wps:spPr>
                                <a:xfrm>
                                  <a:off x="2752420" y="1057275"/>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27" name="Shape 6127"/>
                              <wps:cNvSpPr/>
                              <wps:spPr>
                                <a:xfrm>
                                  <a:off x="3121228" y="102831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28" name="Shape 6128"/>
                              <wps:cNvSpPr/>
                              <wps:spPr>
                                <a:xfrm>
                                  <a:off x="3121228" y="102831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29" name="Shape 6129"/>
                              <wps:cNvSpPr/>
                              <wps:spPr>
                                <a:xfrm>
                                  <a:off x="3490036" y="875919"/>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30" name="Shape 6130"/>
                              <wps:cNvSpPr/>
                              <wps:spPr>
                                <a:xfrm>
                                  <a:off x="3490036" y="875919"/>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31" name="Shape 6131"/>
                              <wps:cNvSpPr/>
                              <wps:spPr>
                                <a:xfrm>
                                  <a:off x="3858844" y="595503"/>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32" name="Shape 6132"/>
                              <wps:cNvSpPr/>
                              <wps:spPr>
                                <a:xfrm>
                                  <a:off x="3858844" y="595503"/>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33" name="Shape 6133"/>
                              <wps:cNvSpPr/>
                              <wps:spPr>
                                <a:xfrm>
                                  <a:off x="4227652" y="14135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6134" name="Shape 6134"/>
                              <wps:cNvSpPr/>
                              <wps:spPr>
                                <a:xfrm>
                                  <a:off x="4227652" y="14135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144" cap="flat" cmpd="sng" algn="ctr">
                                  <a:solidFill>
                                    <a:srgbClr val="4472C4"/>
                                  </a:solidFill>
                                  <a:prstDash val="solid"/>
                                  <a:round/>
                                </a:ln>
                                <a:effectLst/>
                              </wps:spPr>
                              <wps:bodyPr/>
                            </wps:wsp>
                            <wps:wsp>
                              <wps:cNvPr id="6135" name="Rectangle 6135"/>
                              <wps:cNvSpPr/>
                              <wps:spPr>
                                <a:xfrm>
                                  <a:off x="88087" y="1779778"/>
                                  <a:ext cx="308143" cy="154840"/>
                                </a:xfrm>
                                <a:prstGeom prst="rect">
                                  <a:avLst/>
                                </a:prstGeom>
                                <a:ln>
                                  <a:noFill/>
                                </a:ln>
                              </wps:spPr>
                              <wps:txbx>
                                <w:txbxContent>
                                  <w:p w14:paraId="77756F6C" w14:textId="77777777" w:rsidR="0040604A" w:rsidRDefault="0040604A" w:rsidP="007B366E">
                                    <w:pPr>
                                      <w:spacing w:after="160" w:line="259" w:lineRule="auto"/>
                                      <w:ind w:left="0" w:firstLine="0"/>
                                      <w:jc w:val="left"/>
                                    </w:pPr>
                                    <w:r>
                                      <w:rPr>
                                        <w:rFonts w:ascii="Calibri" w:eastAsia="Calibri" w:hAnsi="Calibri" w:cs="Calibri"/>
                                        <w:color w:val="595959"/>
                                        <w:sz w:val="18"/>
                                      </w:rPr>
                                      <w:t>2012</w:t>
                                    </w:r>
                                  </w:p>
                                </w:txbxContent>
                              </wps:txbx>
                              <wps:bodyPr horzOverflow="overflow" vert="horz" lIns="0" tIns="0" rIns="0" bIns="0" rtlCol="0">
                                <a:noAutofit/>
                              </wps:bodyPr>
                            </wps:wsp>
                            <wps:wsp>
                              <wps:cNvPr id="6136" name="Rectangle 6136"/>
                              <wps:cNvSpPr/>
                              <wps:spPr>
                                <a:xfrm>
                                  <a:off x="825703" y="1779778"/>
                                  <a:ext cx="308142" cy="154840"/>
                                </a:xfrm>
                                <a:prstGeom prst="rect">
                                  <a:avLst/>
                                </a:prstGeom>
                                <a:ln>
                                  <a:noFill/>
                                </a:ln>
                              </wps:spPr>
                              <wps:txbx>
                                <w:txbxContent>
                                  <w:p w14:paraId="195FEE6F" w14:textId="77777777" w:rsidR="0040604A" w:rsidRDefault="0040604A" w:rsidP="007B366E">
                                    <w:pPr>
                                      <w:spacing w:after="160" w:line="259" w:lineRule="auto"/>
                                      <w:ind w:left="0" w:firstLine="0"/>
                                      <w:jc w:val="left"/>
                                    </w:pPr>
                                    <w:r>
                                      <w:rPr>
                                        <w:rFonts w:ascii="Calibri" w:eastAsia="Calibri" w:hAnsi="Calibri" w:cs="Calibri"/>
                                        <w:color w:val="595959"/>
                                        <w:sz w:val="18"/>
                                      </w:rPr>
                                      <w:t>2014</w:t>
                                    </w:r>
                                  </w:p>
                                </w:txbxContent>
                              </wps:txbx>
                              <wps:bodyPr horzOverflow="overflow" vert="horz" lIns="0" tIns="0" rIns="0" bIns="0" rtlCol="0">
                                <a:noAutofit/>
                              </wps:bodyPr>
                            </wps:wsp>
                            <wps:wsp>
                              <wps:cNvPr id="6137" name="Rectangle 6137"/>
                              <wps:cNvSpPr/>
                              <wps:spPr>
                                <a:xfrm>
                                  <a:off x="1563065" y="1779778"/>
                                  <a:ext cx="308142" cy="154840"/>
                                </a:xfrm>
                                <a:prstGeom prst="rect">
                                  <a:avLst/>
                                </a:prstGeom>
                                <a:ln>
                                  <a:noFill/>
                                </a:ln>
                              </wps:spPr>
                              <wps:txbx>
                                <w:txbxContent>
                                  <w:p w14:paraId="2239B4F9" w14:textId="77777777" w:rsidR="0040604A" w:rsidRDefault="0040604A" w:rsidP="007B366E">
                                    <w:pPr>
                                      <w:spacing w:after="160" w:line="259" w:lineRule="auto"/>
                                      <w:ind w:left="0" w:firstLine="0"/>
                                      <w:jc w:val="left"/>
                                    </w:pPr>
                                    <w:r>
                                      <w:rPr>
                                        <w:rFonts w:ascii="Calibri" w:eastAsia="Calibri" w:hAnsi="Calibri" w:cs="Calibri"/>
                                        <w:color w:val="595959"/>
                                        <w:sz w:val="18"/>
                                      </w:rPr>
                                      <w:t>2016</w:t>
                                    </w:r>
                                  </w:p>
                                </w:txbxContent>
                              </wps:txbx>
                              <wps:bodyPr horzOverflow="overflow" vert="horz" lIns="0" tIns="0" rIns="0" bIns="0" rtlCol="0">
                                <a:noAutofit/>
                              </wps:bodyPr>
                            </wps:wsp>
                            <wps:wsp>
                              <wps:cNvPr id="6138" name="Rectangle 6138"/>
                              <wps:cNvSpPr/>
                              <wps:spPr>
                                <a:xfrm>
                                  <a:off x="2300300" y="1779778"/>
                                  <a:ext cx="308143" cy="154840"/>
                                </a:xfrm>
                                <a:prstGeom prst="rect">
                                  <a:avLst/>
                                </a:prstGeom>
                                <a:ln>
                                  <a:noFill/>
                                </a:ln>
                              </wps:spPr>
                              <wps:txbx>
                                <w:txbxContent>
                                  <w:p w14:paraId="2F533E3D" w14:textId="77777777" w:rsidR="0040604A" w:rsidRDefault="0040604A" w:rsidP="007B366E">
                                    <w:pPr>
                                      <w:spacing w:after="160" w:line="259" w:lineRule="auto"/>
                                      <w:ind w:left="0" w:firstLine="0"/>
                                      <w:jc w:val="left"/>
                                    </w:pPr>
                                    <w:r>
                                      <w:rPr>
                                        <w:rFonts w:ascii="Calibri" w:eastAsia="Calibri" w:hAnsi="Calibri" w:cs="Calibri"/>
                                        <w:color w:val="595959"/>
                                        <w:sz w:val="18"/>
                                      </w:rPr>
                                      <w:t>2018</w:t>
                                    </w:r>
                                  </w:p>
                                </w:txbxContent>
                              </wps:txbx>
                              <wps:bodyPr horzOverflow="overflow" vert="horz" lIns="0" tIns="0" rIns="0" bIns="0" rtlCol="0">
                                <a:noAutofit/>
                              </wps:bodyPr>
                            </wps:wsp>
                            <wps:wsp>
                              <wps:cNvPr id="6139" name="Rectangle 6139"/>
                              <wps:cNvSpPr/>
                              <wps:spPr>
                                <a:xfrm>
                                  <a:off x="3037916" y="1779778"/>
                                  <a:ext cx="308143" cy="154840"/>
                                </a:xfrm>
                                <a:prstGeom prst="rect">
                                  <a:avLst/>
                                </a:prstGeom>
                                <a:ln>
                                  <a:noFill/>
                                </a:ln>
                              </wps:spPr>
                              <wps:txbx>
                                <w:txbxContent>
                                  <w:p w14:paraId="10EBF333" w14:textId="77777777" w:rsidR="0040604A" w:rsidRDefault="0040604A" w:rsidP="007B366E">
                                    <w:pPr>
                                      <w:spacing w:after="160" w:line="259" w:lineRule="auto"/>
                                      <w:ind w:left="0" w:firstLine="0"/>
                                      <w:jc w:val="left"/>
                                    </w:pPr>
                                    <w:r>
                                      <w:rPr>
                                        <w:rFonts w:ascii="Calibri" w:eastAsia="Calibri" w:hAnsi="Calibri" w:cs="Calibri"/>
                                        <w:color w:val="595959"/>
                                        <w:sz w:val="18"/>
                                      </w:rPr>
                                      <w:t>2020</w:t>
                                    </w:r>
                                  </w:p>
                                </w:txbxContent>
                              </wps:txbx>
                              <wps:bodyPr horzOverflow="overflow" vert="horz" lIns="0" tIns="0" rIns="0" bIns="0" rtlCol="0">
                                <a:noAutofit/>
                              </wps:bodyPr>
                            </wps:wsp>
                            <wps:wsp>
                              <wps:cNvPr id="6140" name="Rectangle 6140"/>
                              <wps:cNvSpPr/>
                              <wps:spPr>
                                <a:xfrm>
                                  <a:off x="3775278" y="1779778"/>
                                  <a:ext cx="308143" cy="154840"/>
                                </a:xfrm>
                                <a:prstGeom prst="rect">
                                  <a:avLst/>
                                </a:prstGeom>
                                <a:ln>
                                  <a:noFill/>
                                </a:ln>
                              </wps:spPr>
                              <wps:txbx>
                                <w:txbxContent>
                                  <w:p w14:paraId="3E04883A" w14:textId="77777777" w:rsidR="0040604A" w:rsidRDefault="0040604A" w:rsidP="007B366E">
                                    <w:pPr>
                                      <w:spacing w:after="160" w:line="259" w:lineRule="auto"/>
                                      <w:ind w:left="0" w:firstLine="0"/>
                                      <w:jc w:val="left"/>
                                    </w:pPr>
                                    <w:r>
                                      <w:rPr>
                                        <w:rFonts w:ascii="Calibri" w:eastAsia="Calibri" w:hAnsi="Calibri" w:cs="Calibri"/>
                                        <w:color w:val="595959"/>
                                        <w:sz w:val="18"/>
                                      </w:rPr>
                                      <w:t>2022</w:t>
                                    </w:r>
                                  </w:p>
                                </w:txbxContent>
                              </wps:txbx>
                              <wps:bodyPr horzOverflow="overflow" vert="horz" lIns="0" tIns="0" rIns="0" bIns="0" rtlCol="0">
                                <a:noAutofit/>
                              </wps:bodyPr>
                            </wps:wsp>
                            <wps:wsp>
                              <wps:cNvPr id="6141" name="Rectangle 6141"/>
                              <wps:cNvSpPr/>
                              <wps:spPr>
                                <a:xfrm>
                                  <a:off x="4512513" y="1779778"/>
                                  <a:ext cx="308143" cy="154840"/>
                                </a:xfrm>
                                <a:prstGeom prst="rect">
                                  <a:avLst/>
                                </a:prstGeom>
                                <a:ln>
                                  <a:noFill/>
                                </a:ln>
                              </wps:spPr>
                              <wps:txbx>
                                <w:txbxContent>
                                  <w:p w14:paraId="262529F0" w14:textId="77777777" w:rsidR="0040604A" w:rsidRDefault="0040604A" w:rsidP="007B366E">
                                    <w:pPr>
                                      <w:spacing w:after="160" w:line="259" w:lineRule="auto"/>
                                      <w:ind w:left="0" w:firstLine="0"/>
                                      <w:jc w:val="left"/>
                                    </w:pPr>
                                    <w:r>
                                      <w:rPr>
                                        <w:rFonts w:ascii="Calibri" w:eastAsia="Calibri" w:hAnsi="Calibri" w:cs="Calibri"/>
                                        <w:color w:val="595959"/>
                                        <w:sz w:val="18"/>
                                      </w:rPr>
                                      <w:t>2024</w:t>
                                    </w:r>
                                  </w:p>
                                </w:txbxContent>
                              </wps:txbx>
                              <wps:bodyPr horzOverflow="overflow" vert="horz" lIns="0" tIns="0" rIns="0" bIns="0" rtlCol="0">
                                <a:noAutofit/>
                              </wps:bodyPr>
                            </wps:wsp>
                            <wps:wsp>
                              <wps:cNvPr id="6143" name="Shape 6143"/>
                              <wps:cNvSpPr/>
                              <wps:spPr>
                                <a:xfrm>
                                  <a:off x="795604" y="2085467"/>
                                  <a:ext cx="243840" cy="0"/>
                                </a:xfrm>
                                <a:custGeom>
                                  <a:avLst/>
                                  <a:gdLst/>
                                  <a:ahLst/>
                                  <a:cxnLst/>
                                  <a:rect l="0" t="0" r="0" b="0"/>
                                  <a:pathLst>
                                    <a:path w="243840">
                                      <a:moveTo>
                                        <a:pt x="0" y="0"/>
                                      </a:moveTo>
                                      <a:lnTo>
                                        <a:pt x="243840" y="0"/>
                                      </a:lnTo>
                                    </a:path>
                                  </a:pathLst>
                                </a:custGeom>
                                <a:noFill/>
                                <a:ln w="19050" cap="rnd" cmpd="sng" algn="ctr">
                                  <a:solidFill>
                                    <a:srgbClr val="70AD47"/>
                                  </a:solidFill>
                                  <a:prstDash val="solid"/>
                                  <a:round/>
                                </a:ln>
                                <a:effectLst/>
                              </wps:spPr>
                              <wps:bodyPr/>
                            </wps:wsp>
                            <wps:wsp>
                              <wps:cNvPr id="6144" name="Shape 6144"/>
                              <wps:cNvSpPr/>
                              <wps:spPr>
                                <a:xfrm>
                                  <a:off x="885139" y="205232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70AD47"/>
                                </a:solidFill>
                                <a:ln w="0" cap="rnd">
                                  <a:noFill/>
                                  <a:round/>
                                </a:ln>
                                <a:effectLst/>
                              </wps:spPr>
                              <wps:bodyPr/>
                            </wps:wsp>
                            <wps:wsp>
                              <wps:cNvPr id="6145" name="Shape 6145"/>
                              <wps:cNvSpPr/>
                              <wps:spPr>
                                <a:xfrm>
                                  <a:off x="885139" y="205232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70AD47"/>
                                  </a:solidFill>
                                  <a:prstDash val="solid"/>
                                  <a:round/>
                                </a:ln>
                                <a:effectLst/>
                              </wps:spPr>
                              <wps:bodyPr/>
                            </wps:wsp>
                            <wps:wsp>
                              <wps:cNvPr id="6146" name="Rectangle 6146"/>
                              <wps:cNvSpPr/>
                              <wps:spPr>
                                <a:xfrm>
                                  <a:off x="1065606" y="2033016"/>
                                  <a:ext cx="1430955" cy="154840"/>
                                </a:xfrm>
                                <a:prstGeom prst="rect">
                                  <a:avLst/>
                                </a:prstGeom>
                                <a:ln>
                                  <a:noFill/>
                                </a:ln>
                              </wps:spPr>
                              <wps:txbx>
                                <w:txbxContent>
                                  <w:p w14:paraId="343C3C79" w14:textId="77777777" w:rsidR="0040604A" w:rsidRDefault="0040604A" w:rsidP="007B366E">
                                    <w:pPr>
                                      <w:spacing w:after="160" w:line="259" w:lineRule="auto"/>
                                      <w:ind w:left="0" w:firstLine="0"/>
                                      <w:jc w:val="left"/>
                                    </w:pPr>
                                    <w:r>
                                      <w:rPr>
                                        <w:rFonts w:ascii="Calibri" w:eastAsia="Calibri" w:hAnsi="Calibri" w:cs="Calibri"/>
                                        <w:sz w:val="18"/>
                                      </w:rPr>
                                      <w:t>VAT REVENUE (M-GHS)</w:t>
                                    </w:r>
                                  </w:p>
                                </w:txbxContent>
                              </wps:txbx>
                              <wps:bodyPr horzOverflow="overflow" vert="horz" lIns="0" tIns="0" rIns="0" bIns="0" rtlCol="0">
                                <a:noAutofit/>
                              </wps:bodyPr>
                            </wps:wsp>
                            <wps:wsp>
                              <wps:cNvPr id="6147" name="Shape 6147"/>
                              <wps:cNvSpPr/>
                              <wps:spPr>
                                <a:xfrm>
                                  <a:off x="2385644" y="2085467"/>
                                  <a:ext cx="243840" cy="0"/>
                                </a:xfrm>
                                <a:custGeom>
                                  <a:avLst/>
                                  <a:gdLst/>
                                  <a:ahLst/>
                                  <a:cxnLst/>
                                  <a:rect l="0" t="0" r="0" b="0"/>
                                  <a:pathLst>
                                    <a:path w="243840">
                                      <a:moveTo>
                                        <a:pt x="0" y="0"/>
                                      </a:moveTo>
                                      <a:lnTo>
                                        <a:pt x="243840" y="0"/>
                                      </a:lnTo>
                                    </a:path>
                                  </a:pathLst>
                                </a:custGeom>
                                <a:noFill/>
                                <a:ln w="19050" cap="rnd" cmpd="sng" algn="ctr">
                                  <a:solidFill>
                                    <a:srgbClr val="4472C4"/>
                                  </a:solidFill>
                                  <a:prstDash val="solid"/>
                                  <a:round/>
                                </a:ln>
                                <a:effectLst/>
                              </wps:spPr>
                              <wps:bodyPr/>
                            </wps:wsp>
                            <wps:wsp>
                              <wps:cNvPr id="6148" name="Shape 6148"/>
                              <wps:cNvSpPr/>
                              <wps:spPr>
                                <a:xfrm>
                                  <a:off x="2474671" y="205232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rnd">
                                  <a:noFill/>
                                  <a:round/>
                                </a:ln>
                                <a:effectLst/>
                              </wps:spPr>
                              <wps:bodyPr/>
                            </wps:wsp>
                            <wps:wsp>
                              <wps:cNvPr id="6149" name="Shape 6149"/>
                              <wps:cNvSpPr/>
                              <wps:spPr>
                                <a:xfrm>
                                  <a:off x="2474671" y="205232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6150" name="Rectangle 6150"/>
                              <wps:cNvSpPr/>
                              <wps:spPr>
                                <a:xfrm>
                                  <a:off x="2656027" y="2033016"/>
                                  <a:ext cx="1892789" cy="154840"/>
                                </a:xfrm>
                                <a:prstGeom prst="rect">
                                  <a:avLst/>
                                </a:prstGeom>
                                <a:ln>
                                  <a:noFill/>
                                </a:ln>
                              </wps:spPr>
                              <wps:txbx>
                                <w:txbxContent>
                                  <w:p w14:paraId="4F70A155" w14:textId="77777777" w:rsidR="0040604A" w:rsidRDefault="0040604A" w:rsidP="007B366E">
                                    <w:pPr>
                                      <w:spacing w:after="160" w:line="259" w:lineRule="auto"/>
                                      <w:ind w:left="0" w:firstLine="0"/>
                                      <w:jc w:val="left"/>
                                    </w:pPr>
                                    <w:r>
                                      <w:rPr>
                                        <w:rFonts w:ascii="Calibri" w:eastAsia="Calibri" w:hAnsi="Calibri" w:cs="Calibri"/>
                                        <w:sz w:val="18"/>
                                      </w:rPr>
                                      <w:t>TOTAL TAX REVENUE (M-GHS)</w:t>
                                    </w:r>
                                  </w:p>
                                </w:txbxContent>
                              </wps:txbx>
                              <wps:bodyPr horzOverflow="overflow" vert="horz" lIns="0" tIns="0" rIns="0" bIns="0" rtlCol="0">
                                <a:noAutofit/>
                              </wps:bodyPr>
                            </wps:wsp>
                          </wpg:wgp>
                        </a:graphicData>
                      </a:graphic>
                    </wp:inline>
                  </w:drawing>
                </mc:Choice>
                <mc:Fallback>
                  <w:pict>
                    <v:group w14:anchorId="0314ADBC" id="Group 99635" o:spid="_x0000_s1026" style="width:373.55pt;height:169.25pt;mso-position-horizontal-relative:char;mso-position-vertical-relative:line" coordsize="47442,2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">
                      <v:rect id="Rectangle 5793" o:spid="_x0000_s1027" style="position:absolute;top:93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" filled="f" stroked="f">
                        <v:textbox inset="0,0,0,0">
                          <w:txbxContent>
                            <w:p w14:paraId="227B10D8" w14:textId="77777777" w:rsidR="0040604A" w:rsidRDefault="0040604A" w:rsidP="007B366E">
                              <w:pPr>
                                <w:spacing w:after="160" w:line="259" w:lineRule="auto"/>
                                <w:ind w:left="0" w:firstLine="0"/>
                                <w:jc w:val="left"/>
                              </w:pPr>
                              <w:r>
                                <w:t xml:space="preserve"> </w:t>
                              </w:r>
                            </w:p>
                          </w:txbxContent>
                        </v:textbox>
                      </v:rect>
                      <v:rect id="Rectangle 5794" o:spid="_x0000_s1028" style="position:absolute;top:545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" filled="f" stroked="f">
                        <v:textbox inset="0,0,0,0">
                          <w:txbxContent>
                            <w:p w14:paraId="0C8DC429" w14:textId="77777777" w:rsidR="0040604A" w:rsidRDefault="0040604A" w:rsidP="007B366E">
                              <w:pPr>
                                <w:spacing w:after="160" w:line="259" w:lineRule="auto"/>
                                <w:ind w:left="0" w:firstLine="0"/>
                                <w:jc w:val="left"/>
                              </w:pPr>
                              <w:r>
                                <w:t xml:space="preserve"> </w:t>
                              </w:r>
                            </w:p>
                          </w:txbxContent>
                        </v:textbox>
                      </v:rect>
                      <v:rect id="Rectangle 5795" o:spid="_x0000_s1029" style="position:absolute;top:998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" filled="f" stroked="f">
                        <v:textbox inset="0,0,0,0">
                          <w:txbxContent>
                            <w:p w14:paraId="00762E20" w14:textId="77777777" w:rsidR="0040604A" w:rsidRDefault="0040604A" w:rsidP="007B366E">
                              <w:pPr>
                                <w:spacing w:after="160" w:line="259" w:lineRule="auto"/>
                                <w:ind w:left="0" w:firstLine="0"/>
                                <w:jc w:val="left"/>
                              </w:pPr>
                              <w:r>
                                <w:t xml:space="preserve"> </w:t>
                              </w:r>
                            </w:p>
                          </w:txbxContent>
                        </v:textbox>
                      </v:rect>
                      <v:rect id="Rectangle 5796" o:spid="_x0000_s1030" style="position:absolute;top:1449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" filled="f" stroked="f">
                        <v:textbox inset="0,0,0,0">
                          <w:txbxContent>
                            <w:p w14:paraId="762BAD74" w14:textId="77777777" w:rsidR="0040604A" w:rsidRDefault="0040604A" w:rsidP="007B366E">
                              <w:pPr>
                                <w:spacing w:after="160" w:line="259" w:lineRule="auto"/>
                                <w:ind w:left="0" w:firstLine="0"/>
                                <w:jc w:val="left"/>
                              </w:pPr>
                              <w:r>
                                <w:t xml:space="preserve"> </w:t>
                              </w:r>
                            </w:p>
                          </w:txbxContent>
                        </v:textbox>
                      </v:rect>
                      <v:rect id="Rectangle 5797" o:spid="_x0000_s1031" style="position:absolute;top:1902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" filled="f" stroked="f">
                        <v:textbox inset="0,0,0,0">
                          <w:txbxContent>
                            <w:p w14:paraId="11C4AFF1" w14:textId="77777777" w:rsidR="0040604A" w:rsidRDefault="0040604A" w:rsidP="007B366E">
                              <w:pPr>
                                <w:spacing w:after="160" w:line="259" w:lineRule="auto"/>
                                <w:ind w:left="0" w:firstLine="0"/>
                                <w:jc w:val="left"/>
                              </w:pPr>
                              <w:r>
                                <w:t xml:space="preserve"> </w:t>
                              </w:r>
                            </w:p>
                          </w:txbxContent>
                        </v:textbox>
                      </v:rect>
                      <v:shape id="Shape 6081" o:spid="_x0000_s1032" style="position:absolute;left:2037;top:14030;width:44237;height:0;visibility:visible;mso-wrap-style:square;v-text-anchor:top" coordsize="442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" path="m,l4423664,e" filled="f" strokecolor="#d9d9d9">
                        <v:path arrowok="t" textboxrect="0,0,4423664,0"/>
                      </v:shape>
                      <v:shape id="Shape 6082" o:spid="_x0000_s1033" style="position:absolute;left:2037;top:11226;width:44237;height:0;visibility:visible;mso-wrap-style:square;v-text-anchor:top" coordsize="442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" path="m,l4423664,e" filled="f" strokecolor="#d9d9d9">
                        <v:path arrowok="t" textboxrect="0,0,4423664,0"/>
                      </v:shape>
                      <v:shape id="Shape 6083" o:spid="_x0000_s1034" style="position:absolute;left:2037;top:8422;width:44237;height:0;visibility:visible;mso-wrap-style:square;v-text-anchor:top" coordsize="442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" path="m,l4423664,e" filled="f" strokecolor="#d9d9d9">
                        <v:path arrowok="t" textboxrect="0,0,4423664,0"/>
                      </v:shape>
                      <v:shape id="Shape 6084" o:spid="_x0000_s1035" style="position:absolute;left:2037;top:5618;width:44237;height:0;visibility:visible;mso-wrap-style:square;v-text-anchor:top" coordsize="442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" path="m,l4423664,e" filled="f" strokecolor="#d9d9d9">
                        <v:path arrowok="t" textboxrect="0,0,4423664,0"/>
                      </v:shape>
                      <v:shape id="Shape 6085" o:spid="_x0000_s1036" style="position:absolute;left:2037;top:2799;width:44237;height:0;visibility:visible;mso-wrap-style:square;v-text-anchor:top" coordsize="442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" path="m,l4423664,e" filled="f" strokecolor="#d9d9d9">
                        <v:path arrowok="t" textboxrect="0,0,4423664,0"/>
                      </v:shape>
                      <v:shape id="Shape 6086" o:spid="_x0000_s1037" style="position:absolute;left:2037;width:44237;height:0;visibility:visible;mso-wrap-style:square;v-text-anchor:top" coordsize="442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" path="m,l4423664,e" filled="f" strokecolor="#d9d9d9">
                        <v:path arrowok="t" textboxrect="0,0,4423664,0"/>
                      </v:shape>
                      <v:shape id="Shape 6087" o:spid="_x0000_s1038" style="position:absolute;left:2037;width:0;height:16836;visibility:visible;mso-wrap-style:square;v-text-anchor:top" coordsize="0,168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" path="m,1683639l,e" filled="f" strokecolor="#bfbfbf">
                        <v:path arrowok="t" textboxrect="0,0,0,1683639"/>
                      </v:shape>
                      <v:shape id="Shape 6088" o:spid="_x0000_s1039" style="position:absolute;left:2037;top:16836;width:44237;height:0;visibility:visible;mso-wrap-style:square;v-text-anchor:top" coordsize="4423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" path="m,l4423664,e" filled="f" strokecolor="#bfbfbf">
                        <v:path arrowok="t" textboxrect="0,0,4423664,0"/>
                      </v:shape>
                      <v:shape id="Shape 6089" o:spid="_x0000_s1040" style="position:absolute;left:5724;top:13161;width:36863;height:3016;visibility:visible;mso-wrap-style:square;v-text-anchor:top" coordsize="3686302,30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" path="m,268351r369062,33274l737870,286639r367284,-91440l1473962,280543r368808,-3048l2211578,236347r368808,1524l2949194,210439r368808,-51816l3686302,e" filled="f" strokecolor="#70ad47" strokeweight="1.5pt">
                        <v:stroke endcap="round"/>
                        <v:path arrowok="t" textboxrect="0,0,3686302,301625"/>
                      </v:shape>
                      <v:shape id="Shape 6090" o:spid="_x0000_s1041" style="position:absolute;left:5410;top:15525;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" path="m32004,c49657,,64008,14351,64008,32004v,17653,-14351,32004,-32004,32004c14351,64008,,49657,,32004,,14351,14351,,32004,xe" fillcolor="#70ad47" stroked="f" strokeweight="0">
                        <v:stroke endcap="round"/>
                        <v:path arrowok="t" textboxrect="0,0,64008,64008"/>
                      </v:shape>
                      <v:shape id="Shape 6091" o:spid="_x0000_s1042" style="position:absolute;left:5410;top:15525;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" path="m64008,32004v,17653,-14351,32004,-32004,32004c14351,64008,,49657,,32004,,14351,14351,,32004,,49657,,64008,14351,64008,32004xe" filled="f" strokecolor="#70ad47" strokeweight=".72pt">
                        <v:path arrowok="t" textboxrect="0,0,64008,64008"/>
                      </v:shape>
                      <v:shape id="Shape 6092" o:spid="_x0000_s1043" style="position:absolute;left:9099;top:1586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" path="m32004,c49657,,64008,14351,64008,32004v,17653,-14351,32004,-32004,32004c14351,64008,,49657,,32004,,14351,14351,,32004,xe" fillcolor="#70ad47" stroked="f" strokeweight="0">
                        <v:path arrowok="t" textboxrect="0,0,64008,64008"/>
                      </v:shape>
                      <v:shape id="Shape 6093" o:spid="_x0000_s1044" style="position:absolute;left:9099;top:1586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" path="m64008,32004v,17653,-14351,32004,-32004,32004c14351,64008,,49657,,32004,,14351,14351,,32004,,49657,,64008,14351,64008,32004xe" filled="f" strokecolor="#70ad47" strokeweight=".72pt">
                        <v:path arrowok="t" textboxrect="0,0,64008,64008"/>
                      </v:shape>
                      <v:shape id="Shape 6094" o:spid="_x0000_s1045" style="position:absolute;left:12787;top:1570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" path="m32004,c49657,,64008,14351,64008,32004v,17653,-14351,32004,-32004,32004c14351,64008,,49657,,32004,,14351,14351,,32004,xe" fillcolor="#70ad47" stroked="f" strokeweight="0">
                        <v:path arrowok="t" textboxrect="0,0,64008,64008"/>
                      </v:shape>
                      <v:shape id="Shape 6095" o:spid="_x0000_s1046" style="position:absolute;left:12787;top:1570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" path="m64008,32004v,17653,-14351,32004,-32004,32004c14351,64008,,49657,,32004,,14351,14351,,32004,,49657,,64008,14351,64008,32004xe" filled="f" strokecolor="#70ad47" strokeweight=".72pt">
                        <v:path arrowok="t" textboxrect="0,0,64008,64008"/>
                      </v:shape>
                      <v:shape id="Shape 6096" o:spid="_x0000_s1047" style="position:absolute;left:16459;top:14794;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" path="m32004,c49657,,64008,14351,64008,32004v,17653,-14351,32004,-32004,32004c14351,64008,,49657,,32004,,14351,14351,,32004,xe" fillcolor="#70ad47" stroked="f" strokeweight="0">
                        <v:path arrowok="t" textboxrect="0,0,64008,64008"/>
                      </v:shape>
                      <v:shape id="Shape 6097" o:spid="_x0000_s1048" style="position:absolute;left:16459;top:14794;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" path="m64008,32004v,17653,-14351,32004,-32004,32004c14351,64008,,49657,,32004,,14351,14351,,32004,,49657,,64008,14351,64008,32004xe" filled="f" strokecolor="#70ad47" strokeweight=".72pt">
                        <v:path arrowok="t" textboxrect="0,0,64008,64008"/>
                      </v:shape>
                      <v:shape id="Shape 6098" o:spid="_x0000_s1049" style="position:absolute;left:20148;top:1564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" path="m32004,c49657,,64008,14351,64008,32003v,17654,-14351,32005,-32004,32005c14351,64008,,49657,,32003,,14351,14351,,32004,xe" fillcolor="#70ad47" stroked="f" strokeweight="0">
                        <v:path arrowok="t" textboxrect="0,0,64008,64008"/>
                      </v:shape>
                      <v:shape id="Shape 6099" o:spid="_x0000_s1050" style="position:absolute;left:20148;top:1564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" path="m64008,32003v,17654,-14351,32005,-32004,32005c14351,64008,,49657,,32003,,14351,14351,,32004,,49657,,64008,14351,64008,32003xe" filled="f" strokecolor="#70ad47" strokeweight=".72pt">
                        <v:path arrowok="t" textboxrect="0,0,64008,64008"/>
                      </v:shape>
                      <v:shape id="Shape 6100" o:spid="_x0000_s1051" style="position:absolute;left:23836;top:1561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" path="m32004,c49657,,64008,14350,64008,32003v,17654,-14351,32005,-32004,32005c14351,64008,,49657,,32003,,14350,14351,,32004,xe" fillcolor="#70ad47" stroked="f" strokeweight="0">
                        <v:path arrowok="t" textboxrect="0,0,64008,64008"/>
                      </v:shape>
                      <v:shape id="Shape 6101" o:spid="_x0000_s1052" style="position:absolute;left:23836;top:1561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" path="m64008,32003v,17654,-14351,32005,-32004,32005c14351,64008,,49657,,32003,,14350,14351,,32004,,49657,,64008,14350,64008,32003xe" filled="f" strokecolor="#70ad47" strokeweight=".72pt">
                        <v:path arrowok="t" textboxrect="0,0,64008,64008"/>
                      </v:shape>
                      <v:shape id="Shape 6102" o:spid="_x0000_s1053" style="position:absolute;left:27524;top:1520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" path="m32004,c49657,,64008,14351,64008,32004v,17653,-14351,32004,-32004,32004c14351,64008,,49657,,32004,,14351,14351,,32004,xe" fillcolor="#70ad47" stroked="f" strokeweight="0">
                        <v:path arrowok="t" textboxrect="0,0,64008,64008"/>
                      </v:shape>
                      <v:shape id="Shape 6103" o:spid="_x0000_s1054" style="position:absolute;left:27524;top:1520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" path="m64008,32004v,17653,-14351,32004,-32004,32004c14351,64008,,49657,,32004,,14351,14351,,32004,,49657,,64008,14351,64008,32004xe" filled="f" strokecolor="#70ad47" strokeweight=".72pt">
                        <v:path arrowok="t" textboxrect="0,0,64008,64008"/>
                      </v:shape>
                      <v:shape id="Shape 6104" o:spid="_x0000_s1055" style="position:absolute;left:31212;top:15220;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" path="m32004,c49657,,64008,14351,64008,32004v,17653,-14351,32004,-32004,32004c14351,64008,,49657,,32004,,14351,14351,,32004,xe" fillcolor="#70ad47" stroked="f" strokeweight="0">
                        <v:path arrowok="t" textboxrect="0,0,64008,64008"/>
                      </v:shape>
                      <v:shape id="Shape 6105" o:spid="_x0000_s1056" style="position:absolute;left:31212;top:15220;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" path="m64008,32004v,17653,-14351,32004,-32004,32004c14351,64008,,49657,,32004,,14351,14351,,32004,,49657,,64008,14351,64008,32004xe" filled="f" strokecolor="#70ad47" strokeweight=".72pt">
                        <v:path arrowok="t" textboxrect="0,0,64008,64008"/>
                      </v:shape>
                      <v:shape id="Shape 6106" o:spid="_x0000_s1057" style="position:absolute;left:34900;top:1494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" path="m32004,c49657,,64008,14351,64008,32004v,17653,-14351,32004,-32004,32004c14351,64008,,49657,,32004,,14351,14351,,32004,xe" fillcolor="#70ad47" stroked="f" strokeweight="0">
                        <v:path arrowok="t" textboxrect="0,0,64008,64008"/>
                      </v:shape>
                      <v:shape id="Shape 6107" o:spid="_x0000_s1058" style="position:absolute;left:34900;top:1494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" path="m64008,32004v,17653,-14351,32004,-32004,32004c14351,64008,,49657,,32004,,14351,14351,,32004,,49657,,64008,14351,64008,32004xe" filled="f" strokecolor="#70ad47" strokeweight=".72pt">
                        <v:path arrowok="t" textboxrect="0,0,64008,64008"/>
                      </v:shape>
                      <v:shape id="Shape 6108" o:spid="_x0000_s1059" style="position:absolute;left:38588;top:1442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" path="m32004,c49657,,64008,14351,64008,32004v,17653,-14351,32004,-32004,32004c14351,64008,,49657,,32004,,14351,14351,,32004,xe" fillcolor="#70ad47" stroked="f" strokeweight="0">
                        <v:path arrowok="t" textboxrect="0,0,64008,64008"/>
                      </v:shape>
                      <v:shape id="Shape 6109" o:spid="_x0000_s1060" style="position:absolute;left:38588;top:1442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" path="m64008,32004v,17653,-14351,32004,-32004,32004c14351,64008,,49657,,32004,,14351,14351,,32004,,49657,,64008,14351,64008,32004xe" filled="f" strokecolor="#70ad47" strokeweight=".72pt">
                        <v:path arrowok="t" textboxrect="0,0,64008,64008"/>
                      </v:shape>
                      <v:shape id="Shape 6110" o:spid="_x0000_s1061" style="position:absolute;left:42276;top:1284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" path="m32004,c49657,,64008,14351,64008,32004v,17653,-14351,32004,-32004,32004c14351,64008,,49657,,32004,,14351,14351,,32004,xe" fillcolor="#70ad47" stroked="f" strokeweight="0">
                        <v:path arrowok="t" textboxrect="0,0,64008,64008"/>
                      </v:shape>
                      <v:shape id="Shape 6111" o:spid="_x0000_s1062" style="position:absolute;left:42276;top:1284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" path="m64008,32004v,17653,-14351,32004,-32004,32004c14351,64008,,49657,,32004,,14351,14351,,32004,,49657,,64008,14351,64008,32004xe" filled="f" strokecolor="#70ad47" strokeweight=".72pt">
                        <v:path arrowok="t" textboxrect="0,0,64008,64008"/>
                      </v:shape>
                      <v:shape id="Shape 6112" o:spid="_x0000_s1063" style="position:absolute;left:5724;top:1732;width:36863;height:12382;visibility:visible;mso-wrap-style:square;v-text-anchor:top" coordsize="3686302,123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" path="m,1225296r369062,12954l737870,1158240r367284,-9144l1473962,1199388r368808,-51816l2211578,915924r368808,-28956l2949194,734568,3318002,454152,3686302,e" filled="f" strokecolor="#4472c4" strokeweight="1.5pt">
                        <v:stroke endcap="round"/>
                        <v:path arrowok="t" textboxrect="0,0,3686302,1238250"/>
                      </v:shape>
                      <v:shape id="Shape 6113" o:spid="_x0000_s1064" style="position:absolute;left:5410;top:13666;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" path="m32004,c49657,,64008,14351,64008,32004v,17653,-14351,32004,-32004,32004c14351,64008,,49657,,32004,,14351,14351,,32004,xe" fillcolor="#4472c4" stroked="f" strokeweight="0">
                        <v:stroke endcap="round"/>
                        <v:path arrowok="t" textboxrect="0,0,64008,64008"/>
                      </v:shape>
                      <v:shape id="Shape 6114" o:spid="_x0000_s1065" style="position:absolute;left:5410;top:13666;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" path="m64008,32004v,17653,-14351,32004,-32004,32004c14351,64008,,49657,,32004,,14351,14351,,32004,,49657,,64008,14351,64008,32004xe" filled="f" strokecolor="#4472c4" strokeweight=".72pt">
                        <v:path arrowok="t" textboxrect="0,0,64008,64008"/>
                      </v:shape>
                      <v:shape id="Shape 6115" o:spid="_x0000_s1066" style="position:absolute;left:9099;top:1378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6116" o:spid="_x0000_s1067" style="position:absolute;left:9099;top:1378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" path="m64008,32004v,17653,-14351,32004,-32004,32004c14351,64008,,49657,,32004,,14351,14351,,32004,,49657,,64008,14351,64008,32004xe" filled="f" strokecolor="#4472c4" strokeweight=".72pt">
                        <v:path arrowok="t" textboxrect="0,0,64008,64008"/>
                      </v:shape>
                      <v:shape id="Shape 6117" o:spid="_x0000_s1068" style="position:absolute;left:12787;top:1299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" path="m32004,c49657,,64008,14351,64008,32003v,17654,-14351,32005,-32004,32005c14351,64008,,49657,,32003,,14351,14351,,32004,xe" fillcolor="#4472c4" stroked="f" strokeweight="0">
                        <v:path arrowok="t" textboxrect="0,0,64008,64008"/>
                      </v:shape>
                      <v:shape id="Shape 6118" o:spid="_x0000_s1069" style="position:absolute;left:12787;top:1299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" path="m64008,32003v,17654,-14351,32005,-32004,32005c14351,64008,,49657,,32003,,14351,14351,,32004,,49657,,64008,14351,64008,32003xe" filled="f" strokecolor="#4472c4" strokeweight=".72pt">
                        <v:path arrowok="t" textboxrect="0,0,64008,64008"/>
                      </v:shape>
                      <v:shape id="Shape 6119" o:spid="_x0000_s1070" style="position:absolute;left:16459;top:12904;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6120" o:spid="_x0000_s1071" style="position:absolute;left:16459;top:12904;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" path="m64008,32004v,17653,-14351,32004,-32004,32004c14351,64008,,49657,,32004,,14351,14351,,32004,,49657,,64008,14351,64008,32004xe" filled="f" strokecolor="#4472c4" strokeweight=".72pt">
                        <v:path arrowok="t" textboxrect="0,0,64008,64008"/>
                      </v:shape>
                      <v:shape id="Shape 6121" o:spid="_x0000_s1072" style="position:absolute;left:20148;top:1340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6122" o:spid="_x0000_s1073" style="position:absolute;left:20148;top:1340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" path="m64008,32004v,17653,-14351,32004,-32004,32004c14351,64008,,49657,,32004,,14351,14351,,32004,,49657,,64008,14351,64008,32004xe" filled="f" strokecolor="#4472c4" strokeweight=".72pt">
                        <v:path arrowok="t" textboxrect="0,0,64008,64008"/>
                      </v:shape>
                      <v:shape id="Shape 6123" o:spid="_x0000_s1074" style="position:absolute;left:23836;top:1288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6124" o:spid="_x0000_s1075" style="position:absolute;left:23836;top:1288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" path="m64008,32004v,17653,-14351,32004,-32004,32004c14351,64008,,49657,,32004,,14351,14351,,32004,,49657,,64008,14351,64008,32004xe" filled="f" strokecolor="#4472c4" strokeweight=".72pt">
                        <v:path arrowok="t" textboxrect="0,0,64008,64008"/>
                      </v:shape>
                      <v:shape id="Shape 6125" o:spid="_x0000_s1076" style="position:absolute;left:27524;top:1057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6126" o:spid="_x0000_s1077" style="position:absolute;left:27524;top:1057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" path="m64008,32004v,17653,-14351,32004,-32004,32004c14351,64008,,49657,,32004,,14351,14351,,32004,,49657,,64008,14351,64008,32004xe" filled="f" strokecolor="#4472c4" strokeweight=".72pt">
                        <v:path arrowok="t" textboxrect="0,0,64008,64008"/>
                      </v:shape>
                      <v:shape id="Shape 6127" o:spid="_x0000_s1078" style="position:absolute;left:31212;top:1028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6128" o:spid="_x0000_s1079" style="position:absolute;left:31212;top:1028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" path="m64008,32004v,17653,-14351,32004,-32004,32004c14351,64008,,49657,,32004,,14351,14351,,32004,,49657,,64008,14351,64008,32004xe" filled="f" strokecolor="#4472c4" strokeweight=".72pt">
                        <v:path arrowok="t" textboxrect="0,0,64008,64008"/>
                      </v:shape>
                      <v:shape id="Shape 6129" o:spid="_x0000_s1080" style="position:absolute;left:34900;top:875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6130" o:spid="_x0000_s1081" style="position:absolute;left:34900;top:875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" path="m64008,32004v,17653,-14351,32004,-32004,32004c14351,64008,,49657,,32004,,14351,14351,,32004,,49657,,64008,14351,64008,32004xe" filled="f" strokecolor="#4472c4" strokeweight=".72pt">
                        <v:path arrowok="t" textboxrect="0,0,64008,64008"/>
                      </v:shape>
                      <v:shape id="Shape 6131" o:spid="_x0000_s1082" style="position:absolute;left:38588;top:595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6132" o:spid="_x0000_s1083" style="position:absolute;left:38588;top:595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" path="m64008,32004v,17653,-14351,32004,-32004,32004c14351,64008,,49657,,32004,,14351,14351,,32004,,49657,,64008,14351,64008,32004xe" filled="f" strokecolor="#4472c4" strokeweight=".72pt">
                        <v:path arrowok="t" textboxrect="0,0,64008,64008"/>
                      </v:shape>
                      <v:shape id="Shape 6133" o:spid="_x0000_s1084" style="position:absolute;left:42276;top:141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6134" o:spid="_x0000_s1085" style="position:absolute;left:42276;top:141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" path="m64008,32004v,17653,-14351,32004,-32004,32004c14351,64008,,49657,,32004,,14351,14351,,32004,,49657,,64008,14351,64008,32004xe" filled="f" strokecolor="#4472c4" strokeweight=".72pt">
                        <v:path arrowok="t" textboxrect="0,0,64008,64008"/>
                      </v:shape>
                      <v:rect id="Rectangle 6135" o:spid="_x0000_s1086" style="position:absolute;left:880;top:17797;width:308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" filled="f" stroked="f">
                        <v:textbox inset="0,0,0,0">
                          <w:txbxContent>
                            <w:p w14:paraId="77756F6C" w14:textId="77777777" w:rsidR="0040604A" w:rsidRDefault="0040604A" w:rsidP="007B366E">
                              <w:pPr>
                                <w:spacing w:after="160" w:line="259" w:lineRule="auto"/>
                                <w:ind w:left="0" w:firstLine="0"/>
                                <w:jc w:val="left"/>
                              </w:pPr>
                              <w:r>
                                <w:rPr>
                                  <w:rFonts w:ascii="Calibri" w:eastAsia="Calibri" w:hAnsi="Calibri" w:cs="Calibri"/>
                                  <w:color w:val="595959"/>
                                  <w:sz w:val="18"/>
                                </w:rPr>
                                <w:t>2012</w:t>
                              </w:r>
                            </w:p>
                          </w:txbxContent>
                        </v:textbox>
                      </v:rect>
                      <v:rect id="Rectangle 6136" o:spid="_x0000_s1087" style="position:absolute;left:8257;top:17797;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" filled="f" stroked="f">
                        <v:textbox inset="0,0,0,0">
                          <w:txbxContent>
                            <w:p w14:paraId="195FEE6F" w14:textId="77777777" w:rsidR="0040604A" w:rsidRDefault="0040604A" w:rsidP="007B366E">
                              <w:pPr>
                                <w:spacing w:after="160" w:line="259" w:lineRule="auto"/>
                                <w:ind w:left="0" w:firstLine="0"/>
                                <w:jc w:val="left"/>
                              </w:pPr>
                              <w:r>
                                <w:rPr>
                                  <w:rFonts w:ascii="Calibri" w:eastAsia="Calibri" w:hAnsi="Calibri" w:cs="Calibri"/>
                                  <w:color w:val="595959"/>
                                  <w:sz w:val="18"/>
                                </w:rPr>
                                <w:t>2014</w:t>
                              </w:r>
                            </w:p>
                          </w:txbxContent>
                        </v:textbox>
                      </v:rect>
                      <v:rect id="Rectangle 6137" o:spid="_x0000_s1088" style="position:absolute;left:15630;top:17797;width:308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" filled="f" stroked="f">
                        <v:textbox inset="0,0,0,0">
                          <w:txbxContent>
                            <w:p w14:paraId="2239B4F9" w14:textId="77777777" w:rsidR="0040604A" w:rsidRDefault="0040604A" w:rsidP="007B366E">
                              <w:pPr>
                                <w:spacing w:after="160" w:line="259" w:lineRule="auto"/>
                                <w:ind w:left="0" w:firstLine="0"/>
                                <w:jc w:val="left"/>
                              </w:pPr>
                              <w:r>
                                <w:rPr>
                                  <w:rFonts w:ascii="Calibri" w:eastAsia="Calibri" w:hAnsi="Calibri" w:cs="Calibri"/>
                                  <w:color w:val="595959"/>
                                  <w:sz w:val="18"/>
                                </w:rPr>
                                <w:t>2016</w:t>
                              </w:r>
                            </w:p>
                          </w:txbxContent>
                        </v:textbox>
                      </v:rect>
                      <v:rect id="Rectangle 6138" o:spid="_x0000_s1089" style="position:absolute;left:23003;top:17797;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" filled="f" stroked="f">
                        <v:textbox inset="0,0,0,0">
                          <w:txbxContent>
                            <w:p w14:paraId="2F533E3D" w14:textId="77777777" w:rsidR="0040604A" w:rsidRDefault="0040604A" w:rsidP="007B366E">
                              <w:pPr>
                                <w:spacing w:after="160" w:line="259" w:lineRule="auto"/>
                                <w:ind w:left="0" w:firstLine="0"/>
                                <w:jc w:val="left"/>
                              </w:pPr>
                              <w:r>
                                <w:rPr>
                                  <w:rFonts w:ascii="Calibri" w:eastAsia="Calibri" w:hAnsi="Calibri" w:cs="Calibri"/>
                                  <w:color w:val="595959"/>
                                  <w:sz w:val="18"/>
                                </w:rPr>
                                <w:t>2018</w:t>
                              </w:r>
                            </w:p>
                          </w:txbxContent>
                        </v:textbox>
                      </v:rect>
                      <v:rect id="Rectangle 6139" o:spid="_x0000_s1090" style="position:absolute;left:30379;top:17797;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" filled="f" stroked="f">
                        <v:textbox inset="0,0,0,0">
                          <w:txbxContent>
                            <w:p w14:paraId="10EBF333" w14:textId="77777777" w:rsidR="0040604A" w:rsidRDefault="0040604A" w:rsidP="007B366E">
                              <w:pPr>
                                <w:spacing w:after="160" w:line="259" w:lineRule="auto"/>
                                <w:ind w:left="0" w:firstLine="0"/>
                                <w:jc w:val="left"/>
                              </w:pPr>
                              <w:r>
                                <w:rPr>
                                  <w:rFonts w:ascii="Calibri" w:eastAsia="Calibri" w:hAnsi="Calibri" w:cs="Calibri"/>
                                  <w:color w:val="595959"/>
                                  <w:sz w:val="18"/>
                                </w:rPr>
                                <w:t>2020</w:t>
                              </w:r>
                            </w:p>
                          </w:txbxContent>
                        </v:textbox>
                      </v:rect>
                      <v:rect id="Rectangle 6140" o:spid="_x0000_s1091" style="position:absolute;left:37752;top:17797;width:308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" filled="f" stroked="f">
                        <v:textbox inset="0,0,0,0">
                          <w:txbxContent>
                            <w:p w14:paraId="3E04883A" w14:textId="77777777" w:rsidR="0040604A" w:rsidRDefault="0040604A" w:rsidP="007B366E">
                              <w:pPr>
                                <w:spacing w:after="160" w:line="259" w:lineRule="auto"/>
                                <w:ind w:left="0" w:firstLine="0"/>
                                <w:jc w:val="left"/>
                              </w:pPr>
                              <w:r>
                                <w:rPr>
                                  <w:rFonts w:ascii="Calibri" w:eastAsia="Calibri" w:hAnsi="Calibri" w:cs="Calibri"/>
                                  <w:color w:val="595959"/>
                                  <w:sz w:val="18"/>
                                </w:rPr>
                                <w:t>2022</w:t>
                              </w:r>
                            </w:p>
                          </w:txbxContent>
                        </v:textbox>
                      </v:rect>
                      <v:rect id="Rectangle 6141" o:spid="_x0000_s1092" style="position:absolute;left:45125;top:17797;width:308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" filled="f" stroked="f">
                        <v:textbox inset="0,0,0,0">
                          <w:txbxContent>
                            <w:p w14:paraId="262529F0" w14:textId="77777777" w:rsidR="0040604A" w:rsidRDefault="0040604A" w:rsidP="007B366E">
                              <w:pPr>
                                <w:spacing w:after="160" w:line="259" w:lineRule="auto"/>
                                <w:ind w:left="0" w:firstLine="0"/>
                                <w:jc w:val="left"/>
                              </w:pPr>
                              <w:r>
                                <w:rPr>
                                  <w:rFonts w:ascii="Calibri" w:eastAsia="Calibri" w:hAnsi="Calibri" w:cs="Calibri"/>
                                  <w:color w:val="595959"/>
                                  <w:sz w:val="18"/>
                                </w:rPr>
                                <w:t>2024</w:t>
                              </w:r>
                            </w:p>
                          </w:txbxContent>
                        </v:textbox>
                      </v:rect>
                      <v:shape id="Shape 6143" o:spid="_x0000_s1093" style="position:absolute;left:7956;top:20854;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" path="m,l243840,e" filled="f" strokecolor="#70ad47" strokeweight="1.5pt">
                        <v:stroke endcap="round"/>
                        <v:path arrowok="t" textboxrect="0,0,243840,0"/>
                      </v:shape>
                      <v:shape id="Shape 6144" o:spid="_x0000_s1094" style="position:absolute;left:8851;top:2052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" path="m32004,c49657,,64008,14351,64008,32004v,17653,-14351,32004,-32004,32004c14351,64008,,49657,,32004,,14351,14351,,32004,xe" fillcolor="#70ad47" stroked="f" strokeweight="0">
                        <v:stroke endcap="round"/>
                        <v:path arrowok="t" textboxrect="0,0,64008,64008"/>
                      </v:shape>
                      <v:shape id="Shape 6145" o:spid="_x0000_s1095" style="position:absolute;left:8851;top:2052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" path="m64008,32004v,17653,-14351,32004,-32004,32004c14351,64008,,49657,,32004,,14351,14351,,32004,,49657,,64008,14351,64008,32004xe" filled="f" strokecolor="#70ad47">
                        <v:path arrowok="t" textboxrect="0,0,64008,64008"/>
                      </v:shape>
                      <v:rect id="Rectangle 6146" o:spid="_x0000_s1096" style="position:absolute;left:10656;top:20330;width:1430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" filled="f" stroked="f">
                        <v:textbox inset="0,0,0,0">
                          <w:txbxContent>
                            <w:p w14:paraId="343C3C79" w14:textId="77777777" w:rsidR="0040604A" w:rsidRDefault="0040604A" w:rsidP="007B366E">
                              <w:pPr>
                                <w:spacing w:after="160" w:line="259" w:lineRule="auto"/>
                                <w:ind w:left="0" w:firstLine="0"/>
                                <w:jc w:val="left"/>
                              </w:pPr>
                              <w:r>
                                <w:rPr>
                                  <w:rFonts w:ascii="Calibri" w:eastAsia="Calibri" w:hAnsi="Calibri" w:cs="Calibri"/>
                                  <w:sz w:val="18"/>
                                </w:rPr>
                                <w:t>VAT REVENUE (M-GHS)</w:t>
                              </w:r>
                            </w:p>
                          </w:txbxContent>
                        </v:textbox>
                      </v:rect>
                      <v:shape id="Shape 6147" o:spid="_x0000_s1097" style="position:absolute;left:23856;top:20854;width:2438;height:0;visibility:visible;mso-wrap-style:square;v-text-anchor:top" coordsize="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" path="m,l243840,e" filled="f" strokecolor="#4472c4" strokeweight="1.5pt">
                        <v:stroke endcap="round"/>
                        <v:path arrowok="t" textboxrect="0,0,243840,0"/>
                      </v:shape>
                      <v:shape id="Shape 6148" o:spid="_x0000_s1098" style="position:absolute;left:24746;top:2052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" path="m32004,c49657,,64008,14351,64008,32004v,17653,-14351,32004,-32004,32004c14351,64008,,49657,,32004,,14351,14351,,32004,xe" fillcolor="#4472c4" stroked="f" strokeweight="0">
                        <v:stroke endcap="round"/>
                        <v:path arrowok="t" textboxrect="0,0,64008,64008"/>
                      </v:shape>
                      <v:shape id="Shape 6149" o:spid="_x0000_s1099" style="position:absolute;left:24746;top:2052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" path="m64008,32004v,17653,-14351,32004,-32004,32004c14351,64008,,49657,,32004,,14351,14351,,32004,,49657,,64008,14351,64008,32004xe" filled="f" strokecolor="#4472c4">
                        <v:path arrowok="t" textboxrect="0,0,64008,64008"/>
                      </v:shape>
                      <v:rect id="Rectangle 6150" o:spid="_x0000_s1100" style="position:absolute;left:26560;top:20330;width:1892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" filled="f" stroked="f">
                        <v:textbox inset="0,0,0,0">
                          <w:txbxContent>
                            <w:p w14:paraId="4F70A155" w14:textId="77777777" w:rsidR="0040604A" w:rsidRDefault="0040604A" w:rsidP="007B366E">
                              <w:pPr>
                                <w:spacing w:after="160" w:line="259" w:lineRule="auto"/>
                                <w:ind w:left="0" w:firstLine="0"/>
                                <w:jc w:val="left"/>
                              </w:pPr>
                              <w:r>
                                <w:rPr>
                                  <w:rFonts w:ascii="Calibri" w:eastAsia="Calibri" w:hAnsi="Calibri" w:cs="Calibri"/>
                                  <w:sz w:val="18"/>
                                </w:rPr>
                                <w:t>TOTAL TAX REVENUE (M-GHS)</w:t>
                              </w:r>
                            </w:p>
                          </w:txbxContent>
                        </v:textbox>
                      </v:rect>
                      <w10:anchorlock/>
                    </v:group>
                  </w:pict>
                </mc:Fallback>
              </mc:AlternateContent>
            </w:r>
          </w:p>
        </w:tc>
      </w:tr>
    </w:tbl>
    <w:p w14:paraId="20171E2C" w14:textId="77777777" w:rsidR="007B366E" w:rsidRPr="004D3C0E" w:rsidRDefault="007B366E" w:rsidP="007B366E">
      <w:pPr>
        <w:spacing w:after="276" w:line="276" w:lineRule="auto"/>
        <w:ind w:left="-5" w:right="375"/>
        <w:rPr>
          <w:color w:val="auto"/>
          <w:sz w:val="22"/>
        </w:rPr>
      </w:pPr>
      <w:r w:rsidRPr="004D3C0E">
        <w:rPr>
          <w:b/>
          <w:color w:val="auto"/>
          <w:sz w:val="22"/>
        </w:rPr>
        <w:t>Source</w:t>
      </w:r>
      <w:r w:rsidRPr="004D3C0E">
        <w:rPr>
          <w:color w:val="auto"/>
          <w:sz w:val="22"/>
        </w:rPr>
        <w:t>: Ministry of Finance (</w:t>
      </w:r>
      <w:proofErr w:type="spellStart"/>
      <w:r w:rsidRPr="004D3C0E">
        <w:rPr>
          <w:color w:val="auto"/>
          <w:sz w:val="22"/>
        </w:rPr>
        <w:t>MoF</w:t>
      </w:r>
      <w:proofErr w:type="spellEnd"/>
      <w:r w:rsidRPr="004D3C0E">
        <w:rPr>
          <w:color w:val="auto"/>
          <w:sz w:val="22"/>
        </w:rPr>
        <w:t xml:space="preserve">), (2023) </w:t>
      </w:r>
      <w:hyperlink r:id="rId9" w:history="1">
        <w:r w:rsidRPr="004D3C0E">
          <w:rPr>
            <w:color w:val="auto"/>
            <w:sz w:val="22"/>
            <w:u w:val="single"/>
          </w:rPr>
          <w:t>https://mofep.gov.gh/fiscal-data</w:t>
        </w:r>
      </w:hyperlink>
      <w:r w:rsidRPr="004D3C0E">
        <w:rPr>
          <w:color w:val="auto"/>
          <w:sz w:val="22"/>
        </w:rPr>
        <w:t xml:space="preserve"> </w:t>
      </w:r>
    </w:p>
    <w:p w14:paraId="1D67152D" w14:textId="3D63A0DD" w:rsidR="00C031C5" w:rsidRPr="00C031C5" w:rsidRDefault="00C031C5" w:rsidP="00C031C5">
      <w:pPr>
        <w:spacing w:after="161" w:line="276" w:lineRule="auto"/>
        <w:ind w:left="-5" w:right="4"/>
        <w:rPr>
          <w:color w:val="auto"/>
          <w:sz w:val="22"/>
          <w:lang w:val="en-GB"/>
        </w:rPr>
      </w:pPr>
      <w:bookmarkStart w:id="18" w:name="_Toc211545692"/>
      <w:r w:rsidRPr="00C031C5">
        <w:rPr>
          <w:color w:val="auto"/>
          <w:sz w:val="22"/>
          <w:lang w:val="en-GB"/>
        </w:rPr>
        <w:t xml:space="preserve">VAT revenue is a significant component of Ghana's total tax revenue. </w:t>
      </w:r>
      <w:proofErr w:type="spellStart"/>
      <w:r w:rsidRPr="00C031C5">
        <w:rPr>
          <w:color w:val="auto"/>
          <w:sz w:val="22"/>
          <w:lang w:val="en-GB"/>
        </w:rPr>
        <w:t>Analyzing</w:t>
      </w:r>
      <w:proofErr w:type="spellEnd"/>
      <w:r w:rsidRPr="00C031C5">
        <w:rPr>
          <w:color w:val="auto"/>
          <w:sz w:val="22"/>
          <w:lang w:val="en-GB"/>
        </w:rPr>
        <w:t xml:space="preserve"> trends from 2013 to 2023 reveals insights into economic performance, policy effectiveness, and revenue collection efficiency. Both VAT and total tax revenue exhibited fluctuating yet upward trajectories, with notable surges in recent years.</w:t>
      </w:r>
      <w:r w:rsidR="00FF071E">
        <w:rPr>
          <w:color w:val="auto"/>
          <w:sz w:val="22"/>
          <w:lang w:val="en-GB"/>
        </w:rPr>
        <w:t xml:space="preserve"> </w:t>
      </w:r>
      <w:r w:rsidRPr="00C031C5">
        <w:rPr>
          <w:color w:val="auto"/>
          <w:sz w:val="22"/>
          <w:lang w:val="en-GB"/>
        </w:rPr>
        <w:t>Between 2013 and 2016, VAT revenue showed mixed performance. In 2013, VAT revenue was GHS 7,061.70 million while total tax revenue stood at GHS 20,351.10 million. Both declined in 2014 to GHS 4,697.50 million and GHS 19,399.90 million respectively, likely due to reduced economic activity, policy changes, or administrative inefficiencies. In 2015, VAT revenue rebounded to GHS 5,808.90 million while total tax revenue increased to GHS 25,119.90 million. The most notable growth occurred in 2016, when VAT revenue more than doubled to GHS 12,231.00 million, suggesting improved enforcement measures and economic recovery.</w:t>
      </w:r>
    </w:p>
    <w:p w14:paraId="16A40F3B" w14:textId="77777777" w:rsidR="00C031C5" w:rsidRPr="00C031C5" w:rsidRDefault="00C031C5" w:rsidP="00C031C5">
      <w:pPr>
        <w:spacing w:after="161" w:line="276" w:lineRule="auto"/>
        <w:ind w:left="-5" w:right="4"/>
        <w:rPr>
          <w:color w:val="auto"/>
          <w:sz w:val="22"/>
          <w:lang w:val="en-GB"/>
        </w:rPr>
      </w:pPr>
      <w:r w:rsidRPr="00C031C5">
        <w:rPr>
          <w:color w:val="auto"/>
          <w:sz w:val="22"/>
          <w:lang w:val="en-GB"/>
        </w:rPr>
        <w:t>Despite this growth, VAT revenue declined in 2017 to GHS 6,175.50 million, while total tax revenue decreased to GHS 22,135.60 million, likely due to tax exemptions, lower consumer spending, or administrative challenges. In 2018, VAT revenue improved to GHS 6,371.10 million while total tax revenue rebounded to GHS 25,853.70 million, indicating improving economic conditions and collection efforts.</w:t>
      </w:r>
    </w:p>
    <w:p w14:paraId="2EE90088" w14:textId="77777777" w:rsidR="00C031C5" w:rsidRPr="00C031C5" w:rsidRDefault="00C031C5" w:rsidP="00C031C5">
      <w:pPr>
        <w:spacing w:after="161" w:line="276" w:lineRule="auto"/>
        <w:ind w:left="-5" w:right="4"/>
        <w:rPr>
          <w:color w:val="auto"/>
          <w:sz w:val="22"/>
          <w:lang w:val="en-GB"/>
        </w:rPr>
      </w:pPr>
      <w:r w:rsidRPr="00C031C5">
        <w:rPr>
          <w:color w:val="auto"/>
          <w:sz w:val="22"/>
          <w:lang w:val="en-GB"/>
        </w:rPr>
        <w:t xml:space="preserve">From 2019 onwards, both revenues exhibited significant growth. In 2019, VAT revenue rose to GHS 9,298.69 million while total tax revenue surged to GHS 42,381.18 million. The upward trend continued in 2020, with total tax revenue reaching GHS 44,447.77 million while VAT revenue remained stable at GHS 9,207.49 million. Between 2021 and 2023, both revenues increased substantially, reflecting improved collection mechanisms, economic expansion, and inflationary effects. VAT revenue grew from GHS 11,192.98 million in 2021 to GHS 14,920.48 million in 2022, then nearly doubled to GHS 26,197.99 million </w:t>
      </w:r>
      <w:r w:rsidRPr="00C031C5">
        <w:rPr>
          <w:color w:val="auto"/>
          <w:sz w:val="22"/>
          <w:lang w:val="en-GB"/>
        </w:rPr>
        <w:lastRenderedPageBreak/>
        <w:t>in 2023. Total tax revenue rose from GHS 55,303.28 million in 2021 to GHS 75,264.88 million in 2022, reaching a record GHS 107,648.60 million in 2023.</w:t>
      </w:r>
    </w:p>
    <w:p w14:paraId="1C51CAD6" w14:textId="4F5BEA5F" w:rsidR="00C031C5" w:rsidRPr="00C031C5" w:rsidRDefault="00C031C5" w:rsidP="00C031C5">
      <w:pPr>
        <w:spacing w:after="161" w:line="276" w:lineRule="auto"/>
        <w:ind w:left="-5" w:right="4"/>
        <w:rPr>
          <w:color w:val="auto"/>
          <w:sz w:val="22"/>
          <w:lang w:val="en-GB"/>
        </w:rPr>
      </w:pPr>
      <w:r w:rsidRPr="00C031C5">
        <w:rPr>
          <w:color w:val="auto"/>
          <w:sz w:val="22"/>
          <w:lang w:val="en-GB"/>
        </w:rPr>
        <w:t>The declines in 2014 and 2017 highlight tax revenue's vulnerability to economic conditions and policy changes. To ensure stability, the government must diversify tax sources and strengthen enforcement mechanisms.</w:t>
      </w:r>
      <w:r>
        <w:rPr>
          <w:color w:val="auto"/>
          <w:sz w:val="22"/>
          <w:lang w:val="en-GB"/>
        </w:rPr>
        <w:t xml:space="preserve"> </w:t>
      </w:r>
      <w:r w:rsidRPr="00C031C5">
        <w:rPr>
          <w:color w:val="auto"/>
          <w:sz w:val="22"/>
          <w:lang w:val="en-GB"/>
        </w:rPr>
        <w:t>Total tax revenue increased faster than VAT revenue, particularly after 2019, suggesting that corporate income tax, import duties, and personal income tax played crucial roles in revenue growth. The government should continue expanding the tax base by improving compliance while ensuring fair and sustainable taxation policies.</w:t>
      </w:r>
      <w:r w:rsidR="00FF071E">
        <w:rPr>
          <w:color w:val="auto"/>
          <w:sz w:val="22"/>
          <w:lang w:val="en-GB"/>
        </w:rPr>
        <w:t xml:space="preserve"> </w:t>
      </w:r>
      <w:r w:rsidRPr="00C031C5">
        <w:rPr>
          <w:color w:val="auto"/>
          <w:sz w:val="22"/>
          <w:lang w:val="en-GB"/>
        </w:rPr>
        <w:t>The sharp VAT revenue increase from 2021 to 2023 suggests improvements in tax administration and compliance through digital collection systems, taxpayer education, and stricter enforcement. However, the government must ensure policies do not burden businesses and consumers excessively, as rapid VAT growth could indicate inflationary pressures.</w:t>
      </w:r>
    </w:p>
    <w:p w14:paraId="78CA2925" w14:textId="581F2B8E" w:rsidR="00C031C5" w:rsidRDefault="00C031C5" w:rsidP="00C031C5">
      <w:pPr>
        <w:spacing w:after="161" w:line="276" w:lineRule="auto"/>
        <w:ind w:left="-5" w:right="4"/>
        <w:rPr>
          <w:color w:val="auto"/>
          <w:sz w:val="22"/>
          <w:lang w:val="en-GB"/>
        </w:rPr>
      </w:pPr>
      <w:r w:rsidRPr="00C031C5">
        <w:rPr>
          <w:color w:val="auto"/>
          <w:sz w:val="22"/>
          <w:lang w:val="en-GB"/>
        </w:rPr>
        <w:t>Sustaining revenue growth requires expanding the formal economy, enhancing tax incentives, and promoting voluntary compliance through education and digital platforms. Addressing administrative inefficiencies, reducing corruption, and minimizing loopholes will maintain steady revenue streams. The government should periodically review tax rates to ensure alignment with economic conditions.</w:t>
      </w:r>
      <w:r w:rsidR="00FF071E">
        <w:rPr>
          <w:color w:val="auto"/>
          <w:sz w:val="22"/>
          <w:lang w:val="en-GB"/>
        </w:rPr>
        <w:t xml:space="preserve"> </w:t>
      </w:r>
      <w:r w:rsidRPr="00C031C5">
        <w:rPr>
          <w:color w:val="auto"/>
          <w:sz w:val="22"/>
          <w:lang w:val="en-GB"/>
        </w:rPr>
        <w:t>The trend analysis reveals fluctuations, challenges, and remarkable growth. While revenue declined in certain years, strong recovery and sustained growth occurred from 2019 onwards. To ensure sustained growth and stability, the government must adopt a balanced approach that promotes compliance, reduces volatility, and strengthens the tax system, securing a robust revenue base for Ghana's long-term development goals.</w:t>
      </w:r>
    </w:p>
    <w:p w14:paraId="2D62CED5" w14:textId="77777777" w:rsidR="00C031C5" w:rsidRPr="00C031C5" w:rsidRDefault="00C031C5" w:rsidP="00C031C5">
      <w:pPr>
        <w:spacing w:after="161" w:line="276" w:lineRule="auto"/>
        <w:ind w:left="-5" w:right="4"/>
        <w:rPr>
          <w:color w:val="auto"/>
          <w:sz w:val="22"/>
          <w:lang w:val="en-GB"/>
        </w:rPr>
      </w:pPr>
    </w:p>
    <w:p w14:paraId="1DAC30D0" w14:textId="77777777" w:rsidR="007B366E" w:rsidRPr="004D3C0E" w:rsidRDefault="007B366E" w:rsidP="007B366E">
      <w:pPr>
        <w:keepNext/>
        <w:keepLines/>
        <w:spacing w:before="240" w:after="0" w:line="276" w:lineRule="auto"/>
        <w:ind w:right="5"/>
        <w:outlineLvl w:val="1"/>
        <w:rPr>
          <w:b/>
          <w:i/>
          <w:iCs/>
          <w:color w:val="auto"/>
          <w:sz w:val="22"/>
        </w:rPr>
      </w:pPr>
      <w:r w:rsidRPr="004D3C0E">
        <w:rPr>
          <w:b/>
          <w:i/>
          <w:iCs/>
          <w:color w:val="auto"/>
          <w:sz w:val="22"/>
        </w:rPr>
        <w:t>4.6 Correlation (VAT Revenue and Total Tax Revenue)</w:t>
      </w:r>
      <w:bookmarkEnd w:id="18"/>
      <w:r w:rsidRPr="004D3C0E">
        <w:rPr>
          <w:b/>
          <w:i/>
          <w:iCs/>
          <w:color w:val="auto"/>
          <w:sz w:val="22"/>
        </w:rPr>
        <w:t xml:space="preserve"> </w:t>
      </w:r>
    </w:p>
    <w:p w14:paraId="71D96357" w14:textId="77777777" w:rsidR="007B366E" w:rsidRPr="004D3C0E" w:rsidRDefault="007B366E" w:rsidP="007B366E">
      <w:pPr>
        <w:spacing w:after="184" w:line="276" w:lineRule="auto"/>
        <w:ind w:left="-5" w:right="375"/>
        <w:rPr>
          <w:color w:val="auto"/>
          <w:sz w:val="22"/>
        </w:rPr>
      </w:pPr>
      <w:r w:rsidRPr="004D3C0E">
        <w:rPr>
          <w:color w:val="auto"/>
          <w:sz w:val="22"/>
        </w:rPr>
        <w:t>The correlation coefficient (</w:t>
      </w:r>
      <w:r w:rsidRPr="004D3C0E">
        <w:rPr>
          <w:b/>
          <w:color w:val="auto"/>
          <w:sz w:val="22"/>
        </w:rPr>
        <w:t>r</w:t>
      </w:r>
      <w:r w:rsidRPr="004D3C0E">
        <w:rPr>
          <w:color w:val="auto"/>
          <w:sz w:val="22"/>
        </w:rPr>
        <w:t xml:space="preserve">) is </w:t>
      </w:r>
      <w:r w:rsidRPr="004D3C0E">
        <w:rPr>
          <w:b/>
          <w:color w:val="auto"/>
          <w:sz w:val="22"/>
        </w:rPr>
        <w:t>0.93</w:t>
      </w:r>
      <w:r w:rsidRPr="004D3C0E">
        <w:rPr>
          <w:color w:val="auto"/>
          <w:sz w:val="22"/>
        </w:rPr>
        <w:t xml:space="preserve">, indicating a strong positive relationship between VAT Revenue and Total Tax Revenue. </w:t>
      </w:r>
    </w:p>
    <w:p w14:paraId="3BC50142" w14:textId="77777777" w:rsidR="007B366E" w:rsidRPr="004D3C0E" w:rsidRDefault="007B366E" w:rsidP="007B366E">
      <w:pPr>
        <w:spacing w:after="200" w:line="276" w:lineRule="auto"/>
        <w:rPr>
          <w:b/>
          <w:bCs/>
          <w:iCs/>
          <w:color w:val="auto"/>
          <w:sz w:val="22"/>
        </w:rPr>
      </w:pPr>
      <w:bookmarkStart w:id="19" w:name="_Toc211544247"/>
      <w:r w:rsidRPr="004D3C0E">
        <w:rPr>
          <w:b/>
          <w:bCs/>
          <w:iCs/>
          <w:color w:val="auto"/>
          <w:sz w:val="22"/>
        </w:rPr>
        <w:t>Table 4 Correlation (VAT Revenue and Total Tax Revenue)</w:t>
      </w:r>
      <w:bookmarkEnd w:id="19"/>
    </w:p>
    <w:tbl>
      <w:tblPr>
        <w:tblStyle w:val="TableGrid0"/>
        <w:tblW w:w="95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510"/>
        <w:gridCol w:w="2160"/>
        <w:gridCol w:w="1791"/>
      </w:tblGrid>
      <w:tr w:rsidR="007B366E" w:rsidRPr="004D3C0E" w14:paraId="34110152" w14:textId="77777777" w:rsidTr="0040604A">
        <w:trPr>
          <w:trHeight w:val="60"/>
        </w:trPr>
        <w:tc>
          <w:tcPr>
            <w:tcW w:w="2070" w:type="dxa"/>
            <w:tcBorders>
              <w:top w:val="single" w:sz="4" w:space="0" w:color="auto"/>
              <w:bottom w:val="nil"/>
            </w:tcBorders>
            <w:vAlign w:val="center"/>
          </w:tcPr>
          <w:p w14:paraId="0FCE162C" w14:textId="77777777" w:rsidR="007B366E" w:rsidRPr="004D3C0E" w:rsidRDefault="007B366E" w:rsidP="0040604A">
            <w:pPr>
              <w:spacing w:after="0" w:line="240" w:lineRule="auto"/>
              <w:ind w:left="14" w:firstLine="0"/>
              <w:jc w:val="center"/>
              <w:rPr>
                <w:b/>
                <w:bCs/>
                <w:color w:val="auto"/>
                <w:sz w:val="22"/>
              </w:rPr>
            </w:pPr>
          </w:p>
        </w:tc>
        <w:tc>
          <w:tcPr>
            <w:tcW w:w="3510" w:type="dxa"/>
            <w:tcBorders>
              <w:top w:val="single" w:sz="4" w:space="0" w:color="auto"/>
              <w:bottom w:val="nil"/>
            </w:tcBorders>
            <w:vAlign w:val="center"/>
          </w:tcPr>
          <w:p w14:paraId="70355D9D" w14:textId="77777777" w:rsidR="007B366E" w:rsidRPr="004D3C0E" w:rsidRDefault="007B366E" w:rsidP="0040604A">
            <w:pPr>
              <w:spacing w:after="160" w:line="240" w:lineRule="auto"/>
              <w:ind w:left="0" w:firstLine="0"/>
              <w:jc w:val="center"/>
              <w:rPr>
                <w:b/>
                <w:bCs/>
                <w:color w:val="auto"/>
                <w:sz w:val="22"/>
              </w:rPr>
            </w:pPr>
          </w:p>
        </w:tc>
        <w:tc>
          <w:tcPr>
            <w:tcW w:w="2160" w:type="dxa"/>
            <w:tcBorders>
              <w:top w:val="single" w:sz="4" w:space="0" w:color="auto"/>
              <w:bottom w:val="nil"/>
            </w:tcBorders>
            <w:vAlign w:val="center"/>
          </w:tcPr>
          <w:p w14:paraId="4A5542C0" w14:textId="77777777" w:rsidR="007B366E" w:rsidRPr="004D3C0E" w:rsidRDefault="007B366E" w:rsidP="0040604A">
            <w:pPr>
              <w:spacing w:after="0" w:line="240" w:lineRule="auto"/>
              <w:ind w:left="50" w:hanging="50"/>
              <w:jc w:val="center"/>
              <w:rPr>
                <w:b/>
                <w:bCs/>
                <w:color w:val="auto"/>
                <w:sz w:val="22"/>
              </w:rPr>
            </w:pPr>
            <w:r w:rsidRPr="004D3C0E">
              <w:rPr>
                <w:b/>
                <w:bCs/>
                <w:color w:val="auto"/>
                <w:sz w:val="22"/>
              </w:rPr>
              <w:t>Total Tax Revenue</w:t>
            </w:r>
          </w:p>
        </w:tc>
        <w:tc>
          <w:tcPr>
            <w:tcW w:w="1791" w:type="dxa"/>
            <w:tcBorders>
              <w:top w:val="single" w:sz="4" w:space="0" w:color="auto"/>
              <w:bottom w:val="nil"/>
            </w:tcBorders>
            <w:vAlign w:val="center"/>
          </w:tcPr>
          <w:p w14:paraId="43EE9D30" w14:textId="77777777" w:rsidR="007B366E" w:rsidRPr="004D3C0E" w:rsidRDefault="007B366E" w:rsidP="0040604A">
            <w:pPr>
              <w:spacing w:after="0" w:line="240" w:lineRule="auto"/>
              <w:ind w:left="0" w:firstLine="0"/>
              <w:jc w:val="center"/>
              <w:rPr>
                <w:b/>
                <w:bCs/>
                <w:color w:val="auto"/>
                <w:sz w:val="22"/>
              </w:rPr>
            </w:pPr>
            <w:r w:rsidRPr="004D3C0E">
              <w:rPr>
                <w:b/>
                <w:bCs/>
                <w:color w:val="auto"/>
                <w:sz w:val="22"/>
              </w:rPr>
              <w:t>VAT Revenue</w:t>
            </w:r>
          </w:p>
        </w:tc>
      </w:tr>
      <w:tr w:rsidR="007B366E" w:rsidRPr="004D3C0E" w14:paraId="1527AE78" w14:textId="77777777" w:rsidTr="0040604A">
        <w:trPr>
          <w:trHeight w:val="90"/>
        </w:trPr>
        <w:tc>
          <w:tcPr>
            <w:tcW w:w="2070" w:type="dxa"/>
            <w:tcBorders>
              <w:top w:val="nil"/>
              <w:bottom w:val="nil"/>
            </w:tcBorders>
          </w:tcPr>
          <w:p w14:paraId="0B6C7A30" w14:textId="77777777" w:rsidR="007B366E" w:rsidRPr="004D3C0E" w:rsidRDefault="007B366E" w:rsidP="0040604A">
            <w:pPr>
              <w:spacing w:after="0" w:line="240" w:lineRule="auto"/>
              <w:ind w:left="74" w:firstLine="0"/>
              <w:jc w:val="left"/>
              <w:rPr>
                <w:color w:val="auto"/>
                <w:sz w:val="22"/>
              </w:rPr>
            </w:pPr>
            <w:r w:rsidRPr="004D3C0E">
              <w:rPr>
                <w:color w:val="auto"/>
                <w:sz w:val="22"/>
              </w:rPr>
              <w:t xml:space="preserve">Total Tax Revenue </w:t>
            </w:r>
          </w:p>
        </w:tc>
        <w:tc>
          <w:tcPr>
            <w:tcW w:w="3510" w:type="dxa"/>
            <w:tcBorders>
              <w:top w:val="nil"/>
              <w:bottom w:val="nil"/>
            </w:tcBorders>
          </w:tcPr>
          <w:p w14:paraId="5B983D48" w14:textId="77777777" w:rsidR="007B366E" w:rsidRPr="004D3C0E" w:rsidRDefault="007B366E" w:rsidP="0040604A">
            <w:pPr>
              <w:spacing w:after="136" w:line="240" w:lineRule="auto"/>
              <w:ind w:left="0" w:firstLine="0"/>
              <w:jc w:val="left"/>
              <w:rPr>
                <w:color w:val="auto"/>
                <w:sz w:val="22"/>
              </w:rPr>
            </w:pPr>
            <w:r w:rsidRPr="004D3C0E">
              <w:rPr>
                <w:color w:val="auto"/>
                <w:sz w:val="22"/>
              </w:rPr>
              <w:t xml:space="preserve">Pearson Correlation Sig. (2-tailed) </w:t>
            </w:r>
          </w:p>
        </w:tc>
        <w:tc>
          <w:tcPr>
            <w:tcW w:w="2160" w:type="dxa"/>
            <w:tcBorders>
              <w:top w:val="nil"/>
              <w:bottom w:val="nil"/>
            </w:tcBorders>
            <w:vAlign w:val="center"/>
          </w:tcPr>
          <w:p w14:paraId="7A73D5AF" w14:textId="77777777" w:rsidR="007B366E" w:rsidRPr="004D3C0E" w:rsidRDefault="007B366E" w:rsidP="0040604A">
            <w:pPr>
              <w:spacing w:after="136" w:line="240" w:lineRule="auto"/>
              <w:ind w:left="410" w:firstLine="0"/>
              <w:jc w:val="center"/>
              <w:rPr>
                <w:color w:val="auto"/>
                <w:sz w:val="22"/>
              </w:rPr>
            </w:pPr>
            <w:r w:rsidRPr="004D3C0E">
              <w:rPr>
                <w:color w:val="auto"/>
                <w:sz w:val="22"/>
              </w:rPr>
              <w:t>1</w:t>
            </w:r>
          </w:p>
          <w:p w14:paraId="48D9954E" w14:textId="77777777" w:rsidR="007B366E" w:rsidRPr="004D3C0E" w:rsidRDefault="007B366E" w:rsidP="0040604A">
            <w:pPr>
              <w:spacing w:after="0" w:line="240" w:lineRule="auto"/>
              <w:ind w:left="470" w:firstLine="0"/>
              <w:jc w:val="center"/>
              <w:rPr>
                <w:color w:val="auto"/>
                <w:sz w:val="22"/>
              </w:rPr>
            </w:pPr>
          </w:p>
        </w:tc>
        <w:tc>
          <w:tcPr>
            <w:tcW w:w="1791" w:type="dxa"/>
            <w:tcBorders>
              <w:top w:val="nil"/>
              <w:bottom w:val="nil"/>
            </w:tcBorders>
            <w:vAlign w:val="center"/>
          </w:tcPr>
          <w:p w14:paraId="5E41BF8E" w14:textId="77777777" w:rsidR="007B366E" w:rsidRPr="004D3C0E" w:rsidRDefault="007B366E" w:rsidP="0040604A">
            <w:pPr>
              <w:spacing w:after="136" w:line="240" w:lineRule="auto"/>
              <w:ind w:left="696" w:firstLine="0"/>
              <w:jc w:val="center"/>
              <w:rPr>
                <w:color w:val="auto"/>
                <w:sz w:val="22"/>
              </w:rPr>
            </w:pPr>
          </w:p>
          <w:p w14:paraId="1B5E8BD8" w14:textId="77777777" w:rsidR="007B366E" w:rsidRPr="004D3C0E" w:rsidRDefault="007B366E" w:rsidP="0040604A">
            <w:pPr>
              <w:spacing w:after="0" w:line="240" w:lineRule="auto"/>
              <w:ind w:left="696" w:firstLine="0"/>
              <w:jc w:val="center"/>
              <w:rPr>
                <w:color w:val="auto"/>
                <w:sz w:val="22"/>
              </w:rPr>
            </w:pPr>
          </w:p>
        </w:tc>
      </w:tr>
      <w:tr w:rsidR="007B366E" w:rsidRPr="004D3C0E" w14:paraId="654DD62E" w14:textId="77777777" w:rsidTr="0040604A">
        <w:trPr>
          <w:trHeight w:val="60"/>
        </w:trPr>
        <w:tc>
          <w:tcPr>
            <w:tcW w:w="2070" w:type="dxa"/>
            <w:tcBorders>
              <w:top w:val="nil"/>
              <w:bottom w:val="nil"/>
            </w:tcBorders>
          </w:tcPr>
          <w:p w14:paraId="2E5CF2A2" w14:textId="77777777" w:rsidR="007B366E" w:rsidRPr="004D3C0E" w:rsidRDefault="007B366E" w:rsidP="0040604A">
            <w:pPr>
              <w:spacing w:after="160" w:line="240" w:lineRule="auto"/>
              <w:ind w:left="0" w:firstLine="0"/>
              <w:jc w:val="left"/>
              <w:rPr>
                <w:color w:val="auto"/>
                <w:sz w:val="22"/>
              </w:rPr>
            </w:pPr>
          </w:p>
        </w:tc>
        <w:tc>
          <w:tcPr>
            <w:tcW w:w="3510" w:type="dxa"/>
            <w:tcBorders>
              <w:top w:val="nil"/>
              <w:bottom w:val="nil"/>
            </w:tcBorders>
          </w:tcPr>
          <w:p w14:paraId="3ED4FDCE" w14:textId="77777777" w:rsidR="007B366E" w:rsidRPr="004D3C0E" w:rsidRDefault="007B366E" w:rsidP="0040604A">
            <w:pPr>
              <w:spacing w:after="0" w:line="240" w:lineRule="auto"/>
              <w:ind w:left="0" w:firstLine="0"/>
              <w:jc w:val="left"/>
              <w:rPr>
                <w:color w:val="auto"/>
                <w:sz w:val="22"/>
              </w:rPr>
            </w:pPr>
            <w:r w:rsidRPr="004D3C0E">
              <w:rPr>
                <w:color w:val="auto"/>
                <w:sz w:val="22"/>
              </w:rPr>
              <w:t xml:space="preserve">N </w:t>
            </w:r>
          </w:p>
        </w:tc>
        <w:tc>
          <w:tcPr>
            <w:tcW w:w="2160" w:type="dxa"/>
            <w:tcBorders>
              <w:top w:val="nil"/>
              <w:bottom w:val="nil"/>
            </w:tcBorders>
            <w:vAlign w:val="center"/>
          </w:tcPr>
          <w:p w14:paraId="0C199038" w14:textId="77777777" w:rsidR="007B366E" w:rsidRPr="004D3C0E" w:rsidRDefault="007B366E" w:rsidP="0040604A">
            <w:pPr>
              <w:spacing w:after="0" w:line="240" w:lineRule="auto"/>
              <w:ind w:left="350" w:firstLine="0"/>
              <w:jc w:val="center"/>
              <w:rPr>
                <w:color w:val="auto"/>
                <w:sz w:val="22"/>
              </w:rPr>
            </w:pPr>
            <w:r w:rsidRPr="004D3C0E">
              <w:rPr>
                <w:color w:val="auto"/>
                <w:sz w:val="22"/>
              </w:rPr>
              <w:t>11</w:t>
            </w:r>
          </w:p>
        </w:tc>
        <w:tc>
          <w:tcPr>
            <w:tcW w:w="1791" w:type="dxa"/>
            <w:tcBorders>
              <w:top w:val="nil"/>
              <w:bottom w:val="nil"/>
            </w:tcBorders>
            <w:vAlign w:val="center"/>
          </w:tcPr>
          <w:p w14:paraId="4BBE79A7" w14:textId="77777777" w:rsidR="007B366E" w:rsidRPr="004D3C0E" w:rsidRDefault="007B366E" w:rsidP="0040604A">
            <w:pPr>
              <w:spacing w:after="0" w:line="240" w:lineRule="auto"/>
              <w:ind w:left="696" w:firstLine="0"/>
              <w:jc w:val="center"/>
              <w:rPr>
                <w:color w:val="auto"/>
                <w:sz w:val="22"/>
              </w:rPr>
            </w:pPr>
          </w:p>
        </w:tc>
      </w:tr>
      <w:tr w:rsidR="007B366E" w:rsidRPr="004D3C0E" w14:paraId="7204A91E" w14:textId="77777777" w:rsidTr="0040604A">
        <w:trPr>
          <w:trHeight w:val="60"/>
        </w:trPr>
        <w:tc>
          <w:tcPr>
            <w:tcW w:w="2070" w:type="dxa"/>
            <w:tcBorders>
              <w:top w:val="nil"/>
              <w:bottom w:val="nil"/>
            </w:tcBorders>
          </w:tcPr>
          <w:p w14:paraId="761E8CBB" w14:textId="77777777" w:rsidR="007B366E" w:rsidRPr="004D3C0E" w:rsidRDefault="007B366E" w:rsidP="0040604A">
            <w:pPr>
              <w:spacing w:after="0" w:line="240" w:lineRule="auto"/>
              <w:ind w:left="74" w:firstLine="0"/>
              <w:jc w:val="left"/>
              <w:rPr>
                <w:color w:val="auto"/>
                <w:sz w:val="22"/>
              </w:rPr>
            </w:pPr>
            <w:r w:rsidRPr="004D3C0E">
              <w:rPr>
                <w:color w:val="auto"/>
                <w:sz w:val="22"/>
              </w:rPr>
              <w:t xml:space="preserve">VAT Revenue </w:t>
            </w:r>
          </w:p>
        </w:tc>
        <w:tc>
          <w:tcPr>
            <w:tcW w:w="3510" w:type="dxa"/>
            <w:tcBorders>
              <w:top w:val="nil"/>
              <w:bottom w:val="nil"/>
            </w:tcBorders>
          </w:tcPr>
          <w:p w14:paraId="0D09E2F7" w14:textId="77777777" w:rsidR="007B366E" w:rsidRPr="004D3C0E" w:rsidRDefault="007B366E" w:rsidP="0040604A">
            <w:pPr>
              <w:spacing w:after="137" w:line="240" w:lineRule="auto"/>
              <w:ind w:left="0" w:firstLine="0"/>
              <w:jc w:val="left"/>
              <w:rPr>
                <w:color w:val="auto"/>
                <w:sz w:val="22"/>
              </w:rPr>
            </w:pPr>
            <w:r w:rsidRPr="004D3C0E">
              <w:rPr>
                <w:color w:val="auto"/>
                <w:sz w:val="22"/>
              </w:rPr>
              <w:t xml:space="preserve">Pearson Correlation Sig. (2-tailed) </w:t>
            </w:r>
          </w:p>
        </w:tc>
        <w:tc>
          <w:tcPr>
            <w:tcW w:w="2160" w:type="dxa"/>
            <w:tcBorders>
              <w:top w:val="nil"/>
              <w:bottom w:val="nil"/>
            </w:tcBorders>
            <w:vAlign w:val="center"/>
          </w:tcPr>
          <w:p w14:paraId="4F54C91D" w14:textId="77777777" w:rsidR="007B366E" w:rsidRPr="004D3C0E" w:rsidRDefault="007B366E" w:rsidP="0040604A">
            <w:pPr>
              <w:spacing w:after="137" w:line="240" w:lineRule="auto"/>
              <w:ind w:left="202" w:firstLine="0"/>
              <w:jc w:val="center"/>
              <w:rPr>
                <w:color w:val="auto"/>
                <w:sz w:val="22"/>
              </w:rPr>
            </w:pPr>
            <w:r w:rsidRPr="004D3C0E">
              <w:rPr>
                <w:color w:val="auto"/>
                <w:sz w:val="22"/>
              </w:rPr>
              <w:t>.93**</w:t>
            </w:r>
          </w:p>
          <w:p w14:paraId="02B43DE6" w14:textId="77777777" w:rsidR="007B366E" w:rsidRPr="004D3C0E" w:rsidRDefault="007B366E" w:rsidP="0040604A">
            <w:pPr>
              <w:spacing w:after="0" w:line="240" w:lineRule="auto"/>
              <w:ind w:left="202" w:firstLine="0"/>
              <w:jc w:val="center"/>
              <w:rPr>
                <w:color w:val="auto"/>
                <w:sz w:val="22"/>
              </w:rPr>
            </w:pPr>
            <w:r w:rsidRPr="004D3C0E">
              <w:rPr>
                <w:color w:val="auto"/>
                <w:sz w:val="22"/>
              </w:rPr>
              <w:t>.0003</w:t>
            </w:r>
          </w:p>
        </w:tc>
        <w:tc>
          <w:tcPr>
            <w:tcW w:w="1791" w:type="dxa"/>
            <w:tcBorders>
              <w:top w:val="nil"/>
              <w:bottom w:val="nil"/>
            </w:tcBorders>
            <w:vAlign w:val="center"/>
          </w:tcPr>
          <w:p w14:paraId="57B7444B" w14:textId="77777777" w:rsidR="007B366E" w:rsidRPr="004D3C0E" w:rsidRDefault="007B366E" w:rsidP="0040604A">
            <w:pPr>
              <w:spacing w:after="137" w:line="240" w:lineRule="auto"/>
              <w:ind w:left="636" w:firstLine="0"/>
              <w:jc w:val="center"/>
              <w:rPr>
                <w:color w:val="auto"/>
                <w:sz w:val="22"/>
              </w:rPr>
            </w:pPr>
            <w:r w:rsidRPr="004D3C0E">
              <w:rPr>
                <w:color w:val="auto"/>
                <w:sz w:val="22"/>
              </w:rPr>
              <w:t>1</w:t>
            </w:r>
          </w:p>
          <w:p w14:paraId="2CC3E3BE" w14:textId="77777777" w:rsidR="007B366E" w:rsidRPr="004D3C0E" w:rsidRDefault="007B366E" w:rsidP="0040604A">
            <w:pPr>
              <w:spacing w:after="0" w:line="240" w:lineRule="auto"/>
              <w:ind w:left="696" w:firstLine="0"/>
              <w:jc w:val="center"/>
              <w:rPr>
                <w:color w:val="auto"/>
                <w:sz w:val="22"/>
              </w:rPr>
            </w:pPr>
          </w:p>
        </w:tc>
      </w:tr>
      <w:tr w:rsidR="007B366E" w:rsidRPr="004D3C0E" w14:paraId="2DFB3CB1" w14:textId="77777777" w:rsidTr="0040604A">
        <w:trPr>
          <w:trHeight w:val="521"/>
        </w:trPr>
        <w:tc>
          <w:tcPr>
            <w:tcW w:w="2070" w:type="dxa"/>
            <w:tcBorders>
              <w:top w:val="nil"/>
              <w:bottom w:val="single" w:sz="4" w:space="0" w:color="auto"/>
            </w:tcBorders>
          </w:tcPr>
          <w:p w14:paraId="37D8CD79" w14:textId="77777777" w:rsidR="007B366E" w:rsidRPr="004D3C0E" w:rsidRDefault="007B366E" w:rsidP="0040604A">
            <w:pPr>
              <w:spacing w:after="160" w:line="240" w:lineRule="auto"/>
              <w:ind w:left="0" w:firstLine="0"/>
              <w:jc w:val="left"/>
              <w:rPr>
                <w:color w:val="auto"/>
                <w:sz w:val="22"/>
              </w:rPr>
            </w:pPr>
          </w:p>
        </w:tc>
        <w:tc>
          <w:tcPr>
            <w:tcW w:w="3510" w:type="dxa"/>
            <w:tcBorders>
              <w:top w:val="nil"/>
              <w:bottom w:val="single" w:sz="4" w:space="0" w:color="auto"/>
            </w:tcBorders>
          </w:tcPr>
          <w:p w14:paraId="134F7240" w14:textId="77777777" w:rsidR="007B366E" w:rsidRPr="004D3C0E" w:rsidRDefault="007B366E" w:rsidP="0040604A">
            <w:pPr>
              <w:spacing w:after="0" w:line="240" w:lineRule="auto"/>
              <w:ind w:left="0" w:firstLine="0"/>
              <w:jc w:val="left"/>
              <w:rPr>
                <w:color w:val="auto"/>
                <w:sz w:val="22"/>
              </w:rPr>
            </w:pPr>
            <w:r w:rsidRPr="004D3C0E">
              <w:rPr>
                <w:color w:val="auto"/>
                <w:sz w:val="22"/>
              </w:rPr>
              <w:t xml:space="preserve">N </w:t>
            </w:r>
          </w:p>
        </w:tc>
        <w:tc>
          <w:tcPr>
            <w:tcW w:w="2160" w:type="dxa"/>
            <w:tcBorders>
              <w:top w:val="nil"/>
              <w:bottom w:val="single" w:sz="4" w:space="0" w:color="auto"/>
            </w:tcBorders>
            <w:vAlign w:val="center"/>
          </w:tcPr>
          <w:p w14:paraId="69DECC2D" w14:textId="77777777" w:rsidR="007B366E" w:rsidRPr="004D3C0E" w:rsidRDefault="007B366E" w:rsidP="0040604A">
            <w:pPr>
              <w:spacing w:after="0" w:line="240" w:lineRule="auto"/>
              <w:ind w:left="350" w:firstLine="0"/>
              <w:jc w:val="center"/>
              <w:rPr>
                <w:color w:val="auto"/>
                <w:sz w:val="22"/>
              </w:rPr>
            </w:pPr>
            <w:r w:rsidRPr="004D3C0E">
              <w:rPr>
                <w:color w:val="auto"/>
                <w:sz w:val="22"/>
              </w:rPr>
              <w:t>11</w:t>
            </w:r>
          </w:p>
        </w:tc>
        <w:tc>
          <w:tcPr>
            <w:tcW w:w="1791" w:type="dxa"/>
            <w:tcBorders>
              <w:top w:val="nil"/>
              <w:bottom w:val="single" w:sz="4" w:space="0" w:color="auto"/>
            </w:tcBorders>
            <w:vAlign w:val="center"/>
          </w:tcPr>
          <w:p w14:paraId="234BCCC4" w14:textId="77777777" w:rsidR="007B366E" w:rsidRPr="004D3C0E" w:rsidRDefault="007B366E" w:rsidP="0040604A">
            <w:pPr>
              <w:spacing w:after="0" w:line="240" w:lineRule="auto"/>
              <w:ind w:left="576" w:firstLine="0"/>
              <w:jc w:val="center"/>
              <w:rPr>
                <w:color w:val="auto"/>
                <w:sz w:val="22"/>
              </w:rPr>
            </w:pPr>
            <w:r w:rsidRPr="004D3C0E">
              <w:rPr>
                <w:color w:val="auto"/>
                <w:sz w:val="22"/>
              </w:rPr>
              <w:t>11</w:t>
            </w:r>
          </w:p>
        </w:tc>
      </w:tr>
    </w:tbl>
    <w:p w14:paraId="1A5422B4" w14:textId="77777777" w:rsidR="007B366E" w:rsidRPr="004D3C0E" w:rsidRDefault="007B366E" w:rsidP="007B366E">
      <w:pPr>
        <w:spacing w:after="0" w:line="240" w:lineRule="auto"/>
        <w:ind w:left="74" w:firstLine="0"/>
        <w:jc w:val="left"/>
        <w:rPr>
          <w:color w:val="auto"/>
          <w:sz w:val="20"/>
          <w:szCs w:val="20"/>
        </w:rPr>
      </w:pPr>
      <w:r w:rsidRPr="004D3C0E">
        <w:rPr>
          <w:color w:val="auto"/>
          <w:sz w:val="20"/>
          <w:szCs w:val="20"/>
        </w:rPr>
        <w:t xml:space="preserve">**. Correlation is significant at the 0.01 level (2-tailed). </w:t>
      </w:r>
    </w:p>
    <w:p w14:paraId="28C4030C" w14:textId="77777777" w:rsidR="007B366E" w:rsidRPr="004D3C0E" w:rsidRDefault="007B366E" w:rsidP="007B366E">
      <w:pPr>
        <w:tabs>
          <w:tab w:val="left" w:pos="5688"/>
          <w:tab w:val="left" w:pos="7848"/>
        </w:tabs>
        <w:spacing w:after="0" w:line="240" w:lineRule="auto"/>
        <w:ind w:left="108" w:firstLine="0"/>
        <w:jc w:val="left"/>
        <w:rPr>
          <w:color w:val="auto"/>
          <w:sz w:val="20"/>
          <w:szCs w:val="20"/>
        </w:rPr>
      </w:pPr>
      <w:r w:rsidRPr="004D3C0E">
        <w:rPr>
          <w:color w:val="auto"/>
          <w:sz w:val="20"/>
          <w:szCs w:val="20"/>
        </w:rPr>
        <w:t xml:space="preserve">*. Correlation is significant at the 0.05 level (2-tailed). </w:t>
      </w:r>
      <w:r w:rsidRPr="004D3C0E">
        <w:rPr>
          <w:color w:val="auto"/>
          <w:sz w:val="20"/>
          <w:szCs w:val="20"/>
        </w:rPr>
        <w:tab/>
      </w:r>
      <w:r w:rsidRPr="004D3C0E">
        <w:rPr>
          <w:color w:val="auto"/>
          <w:sz w:val="20"/>
          <w:szCs w:val="20"/>
        </w:rPr>
        <w:tab/>
      </w:r>
    </w:p>
    <w:p w14:paraId="02B5AAEC" w14:textId="77777777" w:rsidR="007B366E" w:rsidRPr="004D3C0E" w:rsidRDefault="007B366E" w:rsidP="007B366E">
      <w:pPr>
        <w:spacing w:after="0" w:line="276" w:lineRule="auto"/>
        <w:ind w:left="0" w:firstLine="0"/>
        <w:jc w:val="left"/>
        <w:rPr>
          <w:color w:val="auto"/>
          <w:sz w:val="22"/>
        </w:rPr>
      </w:pPr>
      <w:r w:rsidRPr="004D3C0E">
        <w:rPr>
          <w:color w:val="auto"/>
          <w:sz w:val="22"/>
        </w:rPr>
        <w:t xml:space="preserve"> </w:t>
      </w:r>
    </w:p>
    <w:p w14:paraId="0E6ABEC2" w14:textId="77777777" w:rsidR="007B366E" w:rsidRPr="004D3C0E" w:rsidRDefault="007B366E" w:rsidP="0079393C">
      <w:pPr>
        <w:spacing w:after="161" w:line="276" w:lineRule="auto"/>
        <w:ind w:left="-5" w:right="4"/>
        <w:rPr>
          <w:color w:val="auto"/>
          <w:sz w:val="22"/>
        </w:rPr>
      </w:pPr>
      <w:r w:rsidRPr="004D3C0E">
        <w:rPr>
          <w:color w:val="auto"/>
          <w:sz w:val="22"/>
        </w:rPr>
        <w:t xml:space="preserve">Table 4 above presents a correlation between the VAT Revenue and Total Tax Revenue. According to Donald and Pamela (2013), correlations reach statistical significance when p&lt;.05, and the strength of the relationship is considered small when r = .10 to .29, medium when r = .30 to .49, and large when r = .50 to 1.0. </w:t>
      </w:r>
    </w:p>
    <w:p w14:paraId="3024D399" w14:textId="77777777" w:rsidR="007B366E" w:rsidRPr="004D3C0E" w:rsidRDefault="007B366E" w:rsidP="0079393C">
      <w:pPr>
        <w:spacing w:after="161" w:line="276" w:lineRule="auto"/>
        <w:ind w:left="-5" w:right="4"/>
        <w:rPr>
          <w:color w:val="auto"/>
          <w:sz w:val="22"/>
        </w:rPr>
      </w:pPr>
      <w:r w:rsidRPr="004D3C0E">
        <w:rPr>
          <w:color w:val="auto"/>
          <w:sz w:val="22"/>
        </w:rPr>
        <w:lastRenderedPageBreak/>
        <w:t xml:space="preserve">The correlation coefficient between VAT Revenue and Total Tax Revenue is 0.93, which indicates a strong positive relationship between the two variables. This means that as VAT Revenue increases, Total Tax Revenue also tends to increase. The significance value (Sig. 2-tailed) for this correlation is 0.0003, which is well below the 0.01 significance level. This suggests that the correlation is statistically significant at the 1% level, indicating strong evidence that the relationship between VAT Revenue and Total Tax Revenue is not due to random chance. Since the correlation is significant at the 0.01 level, it implies a high level of confidence in the association between VAT Revenue and Total Tax Revenue. This result suggests that VAT Revenue is a substantial contributor to Total Tax Revenue, and any fluctuations in VAT Revenue could significantly impact overall tax revenue. </w:t>
      </w:r>
    </w:p>
    <w:p w14:paraId="2FD87C99" w14:textId="3903F40F" w:rsidR="007B366E" w:rsidRPr="004D3C0E" w:rsidRDefault="007B366E" w:rsidP="0079393C">
      <w:pPr>
        <w:spacing w:after="161" w:line="276" w:lineRule="auto"/>
        <w:ind w:left="-5" w:right="4"/>
        <w:rPr>
          <w:color w:val="auto"/>
          <w:sz w:val="22"/>
        </w:rPr>
      </w:pPr>
      <w:r w:rsidRPr="004D3C0E">
        <w:rPr>
          <w:color w:val="auto"/>
          <w:sz w:val="22"/>
        </w:rPr>
        <w:t xml:space="preserve">The observed strong positive correlation (r = 0.93) between VAT Revenue and Total Tax Revenue aligns with findings from various studies examining the relationship between VAT and overall tax revenues. For instance, a study focusing on Nepal demonstrated that VAT significantly contributes to government revenue, with more than 99% of the variation in total tax revenue attributed to VAT (Shrestha, 2020). Similarly, research </w:t>
      </w:r>
      <w:proofErr w:type="spellStart"/>
      <w:r w:rsidRPr="004D3C0E">
        <w:rPr>
          <w:color w:val="auto"/>
          <w:sz w:val="22"/>
        </w:rPr>
        <w:t>analysing</w:t>
      </w:r>
      <w:proofErr w:type="spellEnd"/>
      <w:r w:rsidRPr="004D3C0E">
        <w:rPr>
          <w:color w:val="auto"/>
          <w:sz w:val="22"/>
        </w:rPr>
        <w:t xml:space="preserve"> VAT revenue elasticities highlighted that fluctuations in VAT revenue have a substantial automatic impact on total tax revenue, underscoring the importance of VAT as a revenue source (</w:t>
      </w:r>
      <w:proofErr w:type="spellStart"/>
      <w:r w:rsidRPr="004D3C0E">
        <w:rPr>
          <w:color w:val="auto"/>
          <w:sz w:val="22"/>
        </w:rPr>
        <w:t>Gemmel</w:t>
      </w:r>
      <w:proofErr w:type="spellEnd"/>
      <w:r w:rsidRPr="004D3C0E">
        <w:rPr>
          <w:color w:val="auto"/>
          <w:sz w:val="22"/>
        </w:rPr>
        <w:t xml:space="preserve"> &amp; Morrissey, 2021). These studies collectively reinforce the notion that VAT is a critical component of a nation’s tax system, with its performance closely linked to the overall tax revenue. The significant correlation observed suggests that effective VAT policies and administration can substantially influence the total tax revenue, highlighting the importance of efficient VAT collection and compliance mechanisms. </w:t>
      </w:r>
    </w:p>
    <w:p w14:paraId="1F30C87C" w14:textId="77777777" w:rsidR="007B366E" w:rsidRPr="004D3C0E" w:rsidRDefault="007B366E" w:rsidP="007B366E">
      <w:pPr>
        <w:spacing w:after="0" w:line="276" w:lineRule="auto"/>
        <w:ind w:left="0" w:firstLine="0"/>
        <w:jc w:val="left"/>
        <w:rPr>
          <w:color w:val="auto"/>
          <w:sz w:val="22"/>
        </w:rPr>
      </w:pPr>
    </w:p>
    <w:p w14:paraId="2D87FACA" w14:textId="77777777" w:rsidR="007B366E" w:rsidRPr="004D3C0E" w:rsidRDefault="007B366E" w:rsidP="007B366E">
      <w:pPr>
        <w:keepNext/>
        <w:keepLines/>
        <w:spacing w:before="240" w:after="0" w:line="276" w:lineRule="auto"/>
        <w:ind w:right="5"/>
        <w:outlineLvl w:val="1"/>
        <w:rPr>
          <w:b/>
          <w:i/>
          <w:iCs/>
          <w:color w:val="auto"/>
          <w:sz w:val="22"/>
        </w:rPr>
      </w:pPr>
      <w:bookmarkStart w:id="20" w:name="_Toc211545693"/>
      <w:r w:rsidRPr="004D3C0E">
        <w:rPr>
          <w:b/>
          <w:i/>
          <w:iCs/>
          <w:color w:val="auto"/>
          <w:sz w:val="22"/>
        </w:rPr>
        <w:t>4.7 Regression (VAT and Total Tax Revenue)</w:t>
      </w:r>
      <w:bookmarkEnd w:id="20"/>
      <w:r w:rsidRPr="004D3C0E">
        <w:rPr>
          <w:b/>
          <w:i/>
          <w:iCs/>
          <w:color w:val="auto"/>
          <w:sz w:val="22"/>
        </w:rPr>
        <w:t xml:space="preserve"> </w:t>
      </w:r>
    </w:p>
    <w:p w14:paraId="54ACE4A2" w14:textId="77777777" w:rsidR="007B366E" w:rsidRPr="004D3C0E" w:rsidRDefault="007B366E" w:rsidP="0079393C">
      <w:pPr>
        <w:spacing w:after="161" w:line="276" w:lineRule="auto"/>
        <w:ind w:left="-5" w:right="4"/>
        <w:rPr>
          <w:color w:val="auto"/>
          <w:sz w:val="22"/>
        </w:rPr>
      </w:pPr>
      <w:r w:rsidRPr="004D3C0E">
        <w:rPr>
          <w:color w:val="auto"/>
          <w:sz w:val="22"/>
        </w:rPr>
        <w:t>In this analysis, data sourced from the Ministry of Finance, Ghana Revenue Reports and Government of Ghana Financial Data from the fiscal periods of 2013-2023 have been used. This information was tested using a one-hypothesis stated in its null form with a 5% level of significance. The results obtained have been used to draw conclusions and make recommendations.  The hypothesis was:</w:t>
      </w:r>
    </w:p>
    <w:p w14:paraId="07CBFF1C" w14:textId="77777777" w:rsidR="007B366E" w:rsidRPr="004D3C0E" w:rsidRDefault="007B366E" w:rsidP="007B366E">
      <w:pPr>
        <w:spacing w:after="263" w:line="276" w:lineRule="auto"/>
        <w:ind w:left="-5" w:right="375"/>
        <w:rPr>
          <w:color w:val="auto"/>
          <w:sz w:val="22"/>
        </w:rPr>
      </w:pPr>
      <w:r w:rsidRPr="004D3C0E">
        <w:rPr>
          <w:color w:val="auto"/>
          <w:sz w:val="22"/>
        </w:rPr>
        <w:t>H</w:t>
      </w:r>
      <w:r w:rsidRPr="004D3C0E">
        <w:rPr>
          <w:color w:val="auto"/>
          <w:sz w:val="22"/>
          <w:vertAlign w:val="subscript"/>
        </w:rPr>
        <w:t>0</w:t>
      </w:r>
      <w:r w:rsidRPr="004D3C0E">
        <w:rPr>
          <w:color w:val="auto"/>
          <w:sz w:val="22"/>
        </w:rPr>
        <w:t xml:space="preserve"> (Null): That there is no significant effect of VAT revenue on Total Tax Revenue.</w:t>
      </w:r>
    </w:p>
    <w:p w14:paraId="380689FF" w14:textId="77777777" w:rsidR="007B366E" w:rsidRPr="004D3C0E" w:rsidRDefault="007B366E" w:rsidP="007B366E">
      <w:pPr>
        <w:spacing w:after="263" w:line="276" w:lineRule="auto"/>
        <w:ind w:left="-5" w:right="375"/>
        <w:rPr>
          <w:color w:val="auto"/>
          <w:sz w:val="22"/>
        </w:rPr>
      </w:pPr>
      <w:r w:rsidRPr="004D3C0E">
        <w:rPr>
          <w:color w:val="auto"/>
          <w:sz w:val="22"/>
        </w:rPr>
        <w:t>The regression equation is: Y=</w:t>
      </w:r>
      <w:proofErr w:type="spellStart"/>
      <w:r w:rsidRPr="004D3C0E">
        <w:rPr>
          <w:color w:val="auto"/>
          <w:sz w:val="22"/>
        </w:rPr>
        <w:t>a+bX</w:t>
      </w:r>
      <w:proofErr w:type="spellEnd"/>
      <w:r w:rsidRPr="004D3C0E">
        <w:rPr>
          <w:color w:val="auto"/>
          <w:sz w:val="22"/>
        </w:rPr>
        <w:t>………</w:t>
      </w:r>
      <w:proofErr w:type="gramStart"/>
      <w:r w:rsidRPr="004D3C0E">
        <w:rPr>
          <w:color w:val="auto"/>
          <w:sz w:val="22"/>
        </w:rPr>
        <w:t>…..</w:t>
      </w:r>
      <w:proofErr w:type="gramEnd"/>
      <w:r w:rsidRPr="004D3C0E">
        <w:rPr>
          <w:color w:val="auto"/>
          <w:sz w:val="22"/>
        </w:rPr>
        <w:t>(1)</w:t>
      </w:r>
    </w:p>
    <w:p w14:paraId="6DE8D7A5" w14:textId="77777777" w:rsidR="007B366E" w:rsidRPr="004D3C0E" w:rsidRDefault="007B366E" w:rsidP="007B366E">
      <w:pPr>
        <w:spacing w:after="263" w:line="276" w:lineRule="auto"/>
        <w:ind w:left="-5" w:right="375"/>
        <w:rPr>
          <w:b/>
          <w:color w:val="auto"/>
          <w:sz w:val="22"/>
        </w:rPr>
      </w:pPr>
      <w:r w:rsidRPr="004D3C0E">
        <w:rPr>
          <w:b/>
          <w:color w:val="auto"/>
          <w:sz w:val="22"/>
        </w:rPr>
        <w:t>Where;</w:t>
      </w:r>
    </w:p>
    <w:p w14:paraId="18A5D73F" w14:textId="77777777" w:rsidR="007B366E" w:rsidRPr="004D3C0E" w:rsidRDefault="007B366E" w:rsidP="00F76C74">
      <w:pPr>
        <w:spacing w:after="263" w:line="276" w:lineRule="auto"/>
        <w:ind w:left="-5" w:right="375" w:firstLine="725"/>
        <w:rPr>
          <w:color w:val="auto"/>
          <w:sz w:val="22"/>
        </w:rPr>
      </w:pPr>
      <w:r w:rsidRPr="004D3C0E">
        <w:rPr>
          <w:color w:val="auto"/>
          <w:sz w:val="22"/>
        </w:rPr>
        <w:t>Y = Dependent Variable</w:t>
      </w:r>
    </w:p>
    <w:p w14:paraId="2D3F3A92" w14:textId="77777777" w:rsidR="007B366E" w:rsidRPr="004D3C0E" w:rsidRDefault="007B366E" w:rsidP="00F76C74">
      <w:pPr>
        <w:spacing w:after="263" w:line="276" w:lineRule="auto"/>
        <w:ind w:left="-5" w:right="375" w:firstLine="725"/>
        <w:rPr>
          <w:color w:val="auto"/>
          <w:sz w:val="22"/>
        </w:rPr>
      </w:pPr>
      <w:r w:rsidRPr="004D3C0E">
        <w:rPr>
          <w:color w:val="auto"/>
          <w:sz w:val="22"/>
        </w:rPr>
        <w:t>X = Independent Variable</w:t>
      </w:r>
    </w:p>
    <w:p w14:paraId="6DB6ACBB" w14:textId="77777777" w:rsidR="007B366E" w:rsidRPr="004D3C0E" w:rsidRDefault="007B366E" w:rsidP="00F76C74">
      <w:pPr>
        <w:spacing w:after="263" w:line="276" w:lineRule="auto"/>
        <w:ind w:left="-5" w:right="375" w:firstLine="725"/>
        <w:rPr>
          <w:color w:val="auto"/>
          <w:sz w:val="22"/>
        </w:rPr>
      </w:pPr>
      <w:r w:rsidRPr="004D3C0E">
        <w:rPr>
          <w:color w:val="auto"/>
          <w:sz w:val="22"/>
        </w:rPr>
        <w:t>a = Constant indicating the point of interception with Y</w:t>
      </w:r>
    </w:p>
    <w:p w14:paraId="140D7CE5" w14:textId="77777777" w:rsidR="007B366E" w:rsidRPr="004D3C0E" w:rsidRDefault="007B366E" w:rsidP="00F76C74">
      <w:pPr>
        <w:spacing w:after="263" w:line="276" w:lineRule="auto"/>
        <w:ind w:left="-5" w:right="375" w:firstLine="725"/>
        <w:rPr>
          <w:color w:val="auto"/>
          <w:sz w:val="22"/>
        </w:rPr>
      </w:pPr>
      <w:r w:rsidRPr="004D3C0E">
        <w:rPr>
          <w:color w:val="auto"/>
          <w:sz w:val="22"/>
        </w:rPr>
        <w:t>b = Slope or gradient</w:t>
      </w:r>
    </w:p>
    <w:p w14:paraId="647D1383" w14:textId="77777777" w:rsidR="007B366E" w:rsidRPr="004D3C0E" w:rsidRDefault="007B366E" w:rsidP="007B366E">
      <w:pPr>
        <w:spacing w:after="263" w:line="276" w:lineRule="auto"/>
        <w:ind w:left="-5" w:right="375"/>
        <w:rPr>
          <w:b/>
          <w:color w:val="auto"/>
          <w:sz w:val="22"/>
        </w:rPr>
      </w:pPr>
      <w:r w:rsidRPr="004D3C0E">
        <w:rPr>
          <w:b/>
          <w:color w:val="auto"/>
          <w:sz w:val="22"/>
        </w:rPr>
        <w:t>Re-arranged as:</w:t>
      </w:r>
    </w:p>
    <w:p w14:paraId="2D627CE1" w14:textId="77777777" w:rsidR="007B366E" w:rsidRPr="004D3C0E" w:rsidRDefault="007B366E" w:rsidP="007B366E">
      <w:pPr>
        <w:spacing w:after="263" w:line="276" w:lineRule="auto"/>
        <w:ind w:left="-5" w:right="375"/>
        <w:rPr>
          <w:color w:val="auto"/>
          <w:sz w:val="22"/>
        </w:rPr>
      </w:pPr>
      <w:r w:rsidRPr="004D3C0E">
        <w:rPr>
          <w:color w:val="auto"/>
          <w:sz w:val="22"/>
        </w:rPr>
        <w:lastRenderedPageBreak/>
        <w:t>Where, Y is the dependent variable that designates Total Tax Revenue (TTR).</w:t>
      </w:r>
    </w:p>
    <w:p w14:paraId="365D99FB" w14:textId="77777777" w:rsidR="007B366E" w:rsidRPr="004D3C0E" w:rsidRDefault="007B366E" w:rsidP="007B366E">
      <w:pPr>
        <w:spacing w:after="263" w:line="276" w:lineRule="auto"/>
        <w:ind w:left="-5" w:right="375"/>
        <w:rPr>
          <w:color w:val="auto"/>
          <w:sz w:val="22"/>
        </w:rPr>
      </w:pPr>
      <w:r w:rsidRPr="004D3C0E">
        <w:rPr>
          <w:color w:val="auto"/>
          <w:sz w:val="22"/>
        </w:rPr>
        <w:t>X is the independent variable, which denotes the Value Added Tax Revenue (VR), and F stands for the function. The above function takes the form of a two-variable linear equation model</w:t>
      </w:r>
    </w:p>
    <w:p w14:paraId="3FE90EA5" w14:textId="77777777" w:rsidR="007B366E" w:rsidRPr="004D3C0E" w:rsidRDefault="007B366E" w:rsidP="007B366E">
      <w:pPr>
        <w:spacing w:after="263" w:line="276" w:lineRule="auto"/>
        <w:ind w:left="-5" w:right="375"/>
        <w:rPr>
          <w:color w:val="auto"/>
          <w:sz w:val="22"/>
        </w:rPr>
      </w:pPr>
      <w:r w:rsidRPr="004D3C0E">
        <w:rPr>
          <w:color w:val="auto"/>
          <w:sz w:val="22"/>
        </w:rPr>
        <w:t xml:space="preserve">Consequently, the underlisted alphabets are thus carefully chosen to </w:t>
      </w:r>
      <w:proofErr w:type="spellStart"/>
      <w:r w:rsidRPr="004D3C0E">
        <w:rPr>
          <w:color w:val="auto"/>
          <w:sz w:val="22"/>
        </w:rPr>
        <w:t>symbolise</w:t>
      </w:r>
      <w:proofErr w:type="spellEnd"/>
      <w:r w:rsidRPr="004D3C0E">
        <w:rPr>
          <w:color w:val="auto"/>
          <w:sz w:val="22"/>
        </w:rPr>
        <w:t xml:space="preserve"> their respective variables in the model.</w:t>
      </w:r>
    </w:p>
    <w:p w14:paraId="6AE3AF53" w14:textId="77777777" w:rsidR="007B366E" w:rsidRPr="004D3C0E" w:rsidRDefault="007B366E" w:rsidP="007B366E">
      <w:pPr>
        <w:spacing w:after="263" w:line="276" w:lineRule="auto"/>
        <w:ind w:left="-5" w:right="375"/>
        <w:rPr>
          <w:color w:val="auto"/>
          <w:sz w:val="22"/>
        </w:rPr>
      </w:pPr>
      <w:r w:rsidRPr="004D3C0E">
        <w:rPr>
          <w:color w:val="auto"/>
          <w:sz w:val="22"/>
        </w:rPr>
        <w:t>VR = VAT Revenue</w:t>
      </w:r>
    </w:p>
    <w:p w14:paraId="3BC9E5C2" w14:textId="77777777" w:rsidR="007B366E" w:rsidRPr="004D3C0E" w:rsidRDefault="007B366E" w:rsidP="007B366E">
      <w:pPr>
        <w:spacing w:after="263" w:line="276" w:lineRule="auto"/>
        <w:ind w:left="-5" w:right="375"/>
        <w:rPr>
          <w:color w:val="auto"/>
          <w:sz w:val="22"/>
        </w:rPr>
      </w:pPr>
      <w:r w:rsidRPr="004D3C0E">
        <w:rPr>
          <w:color w:val="auto"/>
          <w:sz w:val="22"/>
        </w:rPr>
        <w:t>TTR= Total Tax Revenue</w:t>
      </w:r>
    </w:p>
    <w:p w14:paraId="4B801ED0" w14:textId="77777777" w:rsidR="007B366E" w:rsidRPr="004D3C0E" w:rsidRDefault="007B366E" w:rsidP="007B366E">
      <w:pPr>
        <w:spacing w:after="263" w:line="276" w:lineRule="auto"/>
        <w:ind w:left="-5" w:right="375"/>
        <w:rPr>
          <w:color w:val="auto"/>
          <w:sz w:val="22"/>
        </w:rPr>
      </w:pPr>
      <w:r w:rsidRPr="004D3C0E">
        <w:rPr>
          <w:color w:val="auto"/>
          <w:sz w:val="22"/>
        </w:rPr>
        <w:t>TTR=F (VR)………………………</w:t>
      </w:r>
      <w:proofErr w:type="gramStart"/>
      <w:r w:rsidRPr="004D3C0E">
        <w:rPr>
          <w:color w:val="auto"/>
          <w:sz w:val="22"/>
        </w:rPr>
        <w:t>…..</w:t>
      </w:r>
      <w:proofErr w:type="gramEnd"/>
      <w:r w:rsidRPr="004D3C0E">
        <w:rPr>
          <w:color w:val="auto"/>
          <w:sz w:val="22"/>
        </w:rPr>
        <w:t xml:space="preserve"> (2)</w:t>
      </w:r>
    </w:p>
    <w:p w14:paraId="0D2AFB84" w14:textId="77777777" w:rsidR="007B366E" w:rsidRPr="004D3C0E" w:rsidRDefault="007B366E" w:rsidP="007B366E">
      <w:pPr>
        <w:spacing w:after="263" w:line="276" w:lineRule="auto"/>
        <w:ind w:left="-5" w:right="375"/>
        <w:rPr>
          <w:b/>
          <w:color w:val="auto"/>
          <w:sz w:val="22"/>
        </w:rPr>
      </w:pPr>
    </w:p>
    <w:p w14:paraId="44FFA449" w14:textId="77777777" w:rsidR="007B366E" w:rsidRPr="004D3C0E" w:rsidRDefault="007B366E" w:rsidP="007B366E">
      <w:pPr>
        <w:spacing w:after="263" w:line="276" w:lineRule="auto"/>
        <w:ind w:left="-5" w:right="375"/>
        <w:rPr>
          <w:b/>
          <w:color w:val="auto"/>
          <w:sz w:val="22"/>
        </w:rPr>
      </w:pPr>
      <w:r w:rsidRPr="004D3C0E">
        <w:rPr>
          <w:b/>
          <w:color w:val="auto"/>
          <w:sz w:val="22"/>
        </w:rPr>
        <w:t xml:space="preserve">Hence: </w:t>
      </w:r>
      <w:r w:rsidRPr="004D3C0E">
        <w:rPr>
          <w:color w:val="auto"/>
          <w:sz w:val="22"/>
        </w:rPr>
        <w:t>The regression equation is found to be:</w:t>
      </w:r>
    </w:p>
    <w:p w14:paraId="1E4E5A3D" w14:textId="77777777" w:rsidR="007B366E" w:rsidRPr="004D3C0E" w:rsidRDefault="007B366E" w:rsidP="007B366E">
      <w:pPr>
        <w:spacing w:after="274" w:line="276" w:lineRule="auto"/>
        <w:ind w:left="-5" w:right="375"/>
        <w:rPr>
          <w:color w:val="auto"/>
          <w:sz w:val="22"/>
          <w:lang w:val="fr-FR"/>
        </w:rPr>
      </w:pPr>
      <w:r w:rsidRPr="004D3C0E">
        <w:rPr>
          <w:color w:val="auto"/>
          <w:sz w:val="22"/>
          <w:lang w:val="fr-FR"/>
        </w:rPr>
        <w:t xml:space="preserve">Total </w:t>
      </w:r>
      <w:proofErr w:type="spellStart"/>
      <w:r w:rsidRPr="004D3C0E">
        <w:rPr>
          <w:color w:val="auto"/>
          <w:sz w:val="22"/>
          <w:lang w:val="fr-FR"/>
        </w:rPr>
        <w:t>Tax</w:t>
      </w:r>
      <w:proofErr w:type="spellEnd"/>
      <w:r w:rsidRPr="004D3C0E">
        <w:rPr>
          <w:color w:val="auto"/>
          <w:sz w:val="22"/>
          <w:lang w:val="fr-FR"/>
        </w:rPr>
        <w:t xml:space="preserve"> Revenue (Y) = -1,509.08 + 4.24*VAT Revenue (X) </w:t>
      </w:r>
    </w:p>
    <w:p w14:paraId="3EE8A835" w14:textId="3DCCA9E0" w:rsidR="007B366E" w:rsidRPr="00F279A6" w:rsidRDefault="007B366E" w:rsidP="007B366E">
      <w:pPr>
        <w:spacing w:after="200" w:line="276" w:lineRule="auto"/>
        <w:rPr>
          <w:b/>
          <w:bCs/>
          <w:iCs/>
          <w:color w:val="auto"/>
          <w:sz w:val="22"/>
        </w:rPr>
      </w:pPr>
      <w:bookmarkStart w:id="21" w:name="_Toc211544248"/>
      <w:r w:rsidRPr="00F279A6">
        <w:rPr>
          <w:b/>
          <w:bCs/>
          <w:iCs/>
          <w:color w:val="auto"/>
          <w:sz w:val="22"/>
        </w:rPr>
        <w:t xml:space="preserve">Table </w:t>
      </w:r>
      <w:r w:rsidR="00717839">
        <w:rPr>
          <w:b/>
          <w:bCs/>
          <w:iCs/>
          <w:color w:val="auto"/>
          <w:sz w:val="22"/>
        </w:rPr>
        <w:t>5</w:t>
      </w:r>
      <w:r w:rsidRPr="00F279A6">
        <w:rPr>
          <w:b/>
          <w:bCs/>
          <w:iCs/>
          <w:color w:val="auto"/>
          <w:sz w:val="22"/>
        </w:rPr>
        <w:t xml:space="preserve"> </w:t>
      </w:r>
      <w:proofErr w:type="spellStart"/>
      <w:r w:rsidRPr="00F279A6">
        <w:rPr>
          <w:b/>
          <w:bCs/>
          <w:iCs/>
          <w:color w:val="auto"/>
          <w:sz w:val="22"/>
        </w:rPr>
        <w:t>ANOVA</w:t>
      </w:r>
      <w:r w:rsidRPr="00F279A6">
        <w:rPr>
          <w:b/>
          <w:bCs/>
          <w:iCs/>
          <w:color w:val="auto"/>
          <w:szCs w:val="24"/>
        </w:rPr>
        <w:t>a</w:t>
      </w:r>
      <w:proofErr w:type="spellEnd"/>
      <w:r w:rsidRPr="00F279A6">
        <w:rPr>
          <w:b/>
          <w:bCs/>
          <w:iCs/>
          <w:color w:val="auto"/>
          <w:sz w:val="22"/>
        </w:rPr>
        <w:t xml:space="preserve"> (VAT Revenue and Total Tax Revenue)</w:t>
      </w:r>
      <w:bookmarkEnd w:id="21"/>
    </w:p>
    <w:tbl>
      <w:tblPr>
        <w:tblStyle w:val="TableGrid"/>
        <w:tblW w:w="9352" w:type="dxa"/>
        <w:tblInd w:w="-14" w:type="dxa"/>
        <w:tblCellMar>
          <w:top w:w="53" w:type="dxa"/>
          <w:bottom w:w="107" w:type="dxa"/>
          <w:right w:w="56" w:type="dxa"/>
        </w:tblCellMar>
        <w:tblLook w:val="04A0" w:firstRow="1" w:lastRow="0" w:firstColumn="1" w:lastColumn="0" w:noHBand="0" w:noVBand="1"/>
      </w:tblPr>
      <w:tblGrid>
        <w:gridCol w:w="4634"/>
        <w:gridCol w:w="848"/>
        <w:gridCol w:w="1839"/>
        <w:gridCol w:w="1193"/>
        <w:gridCol w:w="838"/>
      </w:tblGrid>
      <w:tr w:rsidR="007B366E" w:rsidRPr="004D3C0E" w14:paraId="526A7862" w14:textId="77777777" w:rsidTr="0040604A">
        <w:trPr>
          <w:trHeight w:val="17"/>
        </w:trPr>
        <w:tc>
          <w:tcPr>
            <w:tcW w:w="4634" w:type="dxa"/>
            <w:tcBorders>
              <w:top w:val="single" w:sz="4" w:space="0" w:color="000000"/>
              <w:left w:val="nil"/>
              <w:bottom w:val="nil"/>
              <w:right w:val="nil"/>
            </w:tcBorders>
          </w:tcPr>
          <w:p w14:paraId="7E89CF1E" w14:textId="77777777" w:rsidR="007B366E" w:rsidRPr="004D3C0E" w:rsidRDefault="007B366E" w:rsidP="0040604A">
            <w:pPr>
              <w:tabs>
                <w:tab w:val="center" w:pos="3289"/>
              </w:tabs>
              <w:spacing w:after="0" w:line="276" w:lineRule="auto"/>
              <w:ind w:left="0" w:firstLine="0"/>
              <w:jc w:val="left"/>
              <w:rPr>
                <w:color w:val="auto"/>
              </w:rPr>
            </w:pPr>
            <w:r w:rsidRPr="004D3C0E">
              <w:rPr>
                <w:color w:val="auto"/>
              </w:rPr>
              <w:t xml:space="preserve">Model </w:t>
            </w:r>
            <w:r w:rsidRPr="004D3C0E">
              <w:rPr>
                <w:color w:val="auto"/>
              </w:rPr>
              <w:tab/>
              <w:t xml:space="preserve">Sum of Squares </w:t>
            </w:r>
          </w:p>
        </w:tc>
        <w:tc>
          <w:tcPr>
            <w:tcW w:w="848" w:type="dxa"/>
            <w:tcBorders>
              <w:top w:val="single" w:sz="4" w:space="0" w:color="000000"/>
              <w:left w:val="nil"/>
              <w:bottom w:val="nil"/>
              <w:right w:val="nil"/>
            </w:tcBorders>
          </w:tcPr>
          <w:p w14:paraId="07DBB840" w14:textId="77777777" w:rsidR="007B366E" w:rsidRPr="004D3C0E" w:rsidRDefault="007B366E" w:rsidP="0040604A">
            <w:pPr>
              <w:spacing w:after="0" w:line="276" w:lineRule="auto"/>
              <w:ind w:left="19" w:firstLine="0"/>
              <w:jc w:val="left"/>
              <w:rPr>
                <w:color w:val="auto"/>
              </w:rPr>
            </w:pPr>
            <w:r w:rsidRPr="004D3C0E">
              <w:rPr>
                <w:color w:val="auto"/>
              </w:rPr>
              <w:t xml:space="preserve">df </w:t>
            </w:r>
          </w:p>
        </w:tc>
        <w:tc>
          <w:tcPr>
            <w:tcW w:w="1839" w:type="dxa"/>
            <w:tcBorders>
              <w:top w:val="single" w:sz="4" w:space="0" w:color="000000"/>
              <w:left w:val="nil"/>
              <w:bottom w:val="nil"/>
              <w:right w:val="nil"/>
            </w:tcBorders>
          </w:tcPr>
          <w:p w14:paraId="13381697" w14:textId="77777777" w:rsidR="007B366E" w:rsidRPr="004D3C0E" w:rsidRDefault="007B366E" w:rsidP="0040604A">
            <w:pPr>
              <w:spacing w:after="0" w:line="276" w:lineRule="auto"/>
              <w:ind w:left="55" w:firstLine="0"/>
              <w:jc w:val="left"/>
              <w:rPr>
                <w:color w:val="auto"/>
              </w:rPr>
            </w:pPr>
            <w:r w:rsidRPr="004D3C0E">
              <w:rPr>
                <w:color w:val="auto"/>
              </w:rPr>
              <w:t xml:space="preserve">Mean Square </w:t>
            </w:r>
          </w:p>
        </w:tc>
        <w:tc>
          <w:tcPr>
            <w:tcW w:w="1193" w:type="dxa"/>
            <w:tcBorders>
              <w:top w:val="single" w:sz="4" w:space="0" w:color="000000"/>
              <w:left w:val="nil"/>
              <w:bottom w:val="nil"/>
              <w:right w:val="nil"/>
            </w:tcBorders>
          </w:tcPr>
          <w:p w14:paraId="69C76031" w14:textId="77777777" w:rsidR="007B366E" w:rsidRPr="004D3C0E" w:rsidRDefault="007B366E" w:rsidP="0040604A">
            <w:pPr>
              <w:spacing w:after="0" w:line="276" w:lineRule="auto"/>
              <w:ind w:left="204" w:firstLine="0"/>
              <w:jc w:val="left"/>
              <w:rPr>
                <w:color w:val="auto"/>
              </w:rPr>
            </w:pPr>
            <w:r w:rsidRPr="004D3C0E">
              <w:rPr>
                <w:color w:val="auto"/>
              </w:rPr>
              <w:t xml:space="preserve">F </w:t>
            </w:r>
          </w:p>
        </w:tc>
        <w:tc>
          <w:tcPr>
            <w:tcW w:w="838" w:type="dxa"/>
            <w:tcBorders>
              <w:top w:val="single" w:sz="4" w:space="0" w:color="000000"/>
              <w:left w:val="nil"/>
              <w:bottom w:val="nil"/>
              <w:right w:val="nil"/>
            </w:tcBorders>
          </w:tcPr>
          <w:p w14:paraId="20C220A1" w14:textId="77777777" w:rsidR="007B366E" w:rsidRPr="004D3C0E" w:rsidRDefault="007B366E" w:rsidP="0040604A">
            <w:pPr>
              <w:spacing w:after="0" w:line="276" w:lineRule="auto"/>
              <w:ind w:left="60" w:firstLine="0"/>
              <w:jc w:val="left"/>
              <w:rPr>
                <w:color w:val="auto"/>
              </w:rPr>
            </w:pPr>
            <w:r w:rsidRPr="004D3C0E">
              <w:rPr>
                <w:color w:val="auto"/>
              </w:rPr>
              <w:t xml:space="preserve">Sig. </w:t>
            </w:r>
          </w:p>
        </w:tc>
      </w:tr>
      <w:tr w:rsidR="007B366E" w:rsidRPr="004D3C0E" w14:paraId="1B0AD8A4" w14:textId="77777777" w:rsidTr="0040604A">
        <w:trPr>
          <w:trHeight w:val="17"/>
        </w:trPr>
        <w:tc>
          <w:tcPr>
            <w:tcW w:w="4634" w:type="dxa"/>
            <w:tcBorders>
              <w:top w:val="nil"/>
              <w:left w:val="nil"/>
              <w:bottom w:val="nil"/>
              <w:right w:val="nil"/>
            </w:tcBorders>
            <w:vAlign w:val="center"/>
          </w:tcPr>
          <w:p w14:paraId="599934C5" w14:textId="77777777" w:rsidR="007B366E" w:rsidRPr="004D3C0E" w:rsidRDefault="007B366E" w:rsidP="0040604A">
            <w:pPr>
              <w:tabs>
                <w:tab w:val="center" w:pos="1483"/>
                <w:tab w:val="center" w:pos="3290"/>
              </w:tabs>
              <w:spacing w:after="187" w:line="276" w:lineRule="auto"/>
              <w:ind w:left="0" w:firstLine="0"/>
              <w:jc w:val="left"/>
              <w:rPr>
                <w:color w:val="auto"/>
              </w:rPr>
            </w:pPr>
            <w:r w:rsidRPr="004D3C0E">
              <w:rPr>
                <w:rFonts w:eastAsia="Calibri"/>
                <w:color w:val="auto"/>
              </w:rPr>
              <w:tab/>
            </w:r>
            <w:r w:rsidRPr="004D3C0E">
              <w:rPr>
                <w:color w:val="auto"/>
              </w:rPr>
              <w:t xml:space="preserve">Regression </w:t>
            </w:r>
            <w:r w:rsidRPr="004D3C0E">
              <w:rPr>
                <w:color w:val="auto"/>
              </w:rPr>
              <w:tab/>
              <w:t xml:space="preserve">6,759,016,000 </w:t>
            </w:r>
          </w:p>
          <w:p w14:paraId="658A5C5B" w14:textId="77777777" w:rsidR="007B366E" w:rsidRPr="004D3C0E" w:rsidRDefault="007B366E" w:rsidP="0040604A">
            <w:pPr>
              <w:tabs>
                <w:tab w:val="center" w:pos="1370"/>
                <w:tab w:val="center" w:pos="3290"/>
              </w:tabs>
              <w:spacing w:after="0" w:line="276" w:lineRule="auto"/>
              <w:ind w:left="0" w:firstLine="0"/>
              <w:jc w:val="left"/>
              <w:rPr>
                <w:color w:val="auto"/>
              </w:rPr>
            </w:pPr>
            <w:r w:rsidRPr="004D3C0E">
              <w:rPr>
                <w:color w:val="auto"/>
              </w:rPr>
              <w:t xml:space="preserve">1 </w:t>
            </w:r>
            <w:r w:rsidRPr="004D3C0E">
              <w:rPr>
                <w:color w:val="auto"/>
              </w:rPr>
              <w:tab/>
              <w:t xml:space="preserve">Residual </w:t>
            </w:r>
            <w:r w:rsidRPr="004D3C0E">
              <w:rPr>
                <w:color w:val="auto"/>
              </w:rPr>
              <w:tab/>
              <w:t xml:space="preserve">1,024,566,000 </w:t>
            </w:r>
          </w:p>
        </w:tc>
        <w:tc>
          <w:tcPr>
            <w:tcW w:w="848" w:type="dxa"/>
            <w:tcBorders>
              <w:top w:val="nil"/>
              <w:left w:val="nil"/>
              <w:bottom w:val="nil"/>
              <w:right w:val="nil"/>
            </w:tcBorders>
            <w:vAlign w:val="center"/>
          </w:tcPr>
          <w:p w14:paraId="0805F364" w14:textId="77777777" w:rsidR="007B366E" w:rsidRPr="004D3C0E" w:rsidRDefault="007B366E" w:rsidP="0040604A">
            <w:pPr>
              <w:spacing w:after="180" w:line="276" w:lineRule="auto"/>
              <w:ind w:left="60" w:firstLine="0"/>
              <w:jc w:val="left"/>
              <w:rPr>
                <w:color w:val="auto"/>
              </w:rPr>
            </w:pPr>
            <w:r w:rsidRPr="004D3C0E">
              <w:rPr>
                <w:color w:val="auto"/>
              </w:rPr>
              <w:t xml:space="preserve">1 </w:t>
            </w:r>
          </w:p>
          <w:p w14:paraId="6756FF1E" w14:textId="77777777" w:rsidR="007B366E" w:rsidRPr="004D3C0E" w:rsidRDefault="007B366E" w:rsidP="0040604A">
            <w:pPr>
              <w:spacing w:after="0" w:line="276" w:lineRule="auto"/>
              <w:ind w:left="0" w:firstLine="0"/>
              <w:jc w:val="left"/>
              <w:rPr>
                <w:color w:val="auto"/>
              </w:rPr>
            </w:pPr>
            <w:r w:rsidRPr="004D3C0E">
              <w:rPr>
                <w:color w:val="auto"/>
              </w:rPr>
              <w:t xml:space="preserve">10 </w:t>
            </w:r>
          </w:p>
        </w:tc>
        <w:tc>
          <w:tcPr>
            <w:tcW w:w="1839" w:type="dxa"/>
            <w:tcBorders>
              <w:top w:val="nil"/>
              <w:left w:val="nil"/>
              <w:bottom w:val="nil"/>
              <w:right w:val="nil"/>
            </w:tcBorders>
            <w:vAlign w:val="center"/>
          </w:tcPr>
          <w:p w14:paraId="0F862028" w14:textId="77777777" w:rsidR="007B366E" w:rsidRPr="004D3C0E" w:rsidRDefault="007B366E" w:rsidP="0040604A">
            <w:pPr>
              <w:spacing w:after="180" w:line="276" w:lineRule="auto"/>
              <w:ind w:left="0" w:firstLine="0"/>
              <w:jc w:val="left"/>
              <w:rPr>
                <w:color w:val="auto"/>
              </w:rPr>
            </w:pPr>
            <w:r w:rsidRPr="004D3C0E">
              <w:rPr>
                <w:color w:val="auto"/>
              </w:rPr>
              <w:t xml:space="preserve">6,759,016,000 </w:t>
            </w:r>
          </w:p>
          <w:p w14:paraId="278C547B" w14:textId="77777777" w:rsidR="007B366E" w:rsidRPr="004D3C0E" w:rsidRDefault="007B366E" w:rsidP="0040604A">
            <w:pPr>
              <w:spacing w:after="0" w:line="276" w:lineRule="auto"/>
              <w:ind w:left="91" w:firstLine="0"/>
              <w:jc w:val="left"/>
              <w:rPr>
                <w:color w:val="auto"/>
              </w:rPr>
            </w:pPr>
            <w:r w:rsidRPr="004D3C0E">
              <w:rPr>
                <w:color w:val="auto"/>
              </w:rPr>
              <w:t xml:space="preserve">113,840,600 </w:t>
            </w:r>
          </w:p>
        </w:tc>
        <w:tc>
          <w:tcPr>
            <w:tcW w:w="1193" w:type="dxa"/>
            <w:tcBorders>
              <w:top w:val="nil"/>
              <w:left w:val="nil"/>
              <w:bottom w:val="nil"/>
              <w:right w:val="nil"/>
            </w:tcBorders>
            <w:vAlign w:val="center"/>
          </w:tcPr>
          <w:p w14:paraId="4D91C421" w14:textId="77777777" w:rsidR="007B366E" w:rsidRPr="004D3C0E" w:rsidRDefault="007B366E" w:rsidP="0040604A">
            <w:pPr>
              <w:spacing w:after="149" w:line="276" w:lineRule="auto"/>
              <w:ind w:left="0" w:firstLine="0"/>
              <w:jc w:val="left"/>
              <w:rPr>
                <w:color w:val="auto"/>
              </w:rPr>
            </w:pPr>
            <w:r w:rsidRPr="004D3C0E">
              <w:rPr>
                <w:color w:val="auto"/>
              </w:rPr>
              <w:t xml:space="preserve">59.37 </w:t>
            </w:r>
          </w:p>
          <w:p w14:paraId="6C1E10D5" w14:textId="77777777" w:rsidR="007B366E" w:rsidRPr="004D3C0E" w:rsidRDefault="007B366E" w:rsidP="0040604A">
            <w:pPr>
              <w:spacing w:after="0" w:line="276" w:lineRule="auto"/>
              <w:ind w:left="271" w:firstLine="0"/>
              <w:jc w:val="left"/>
              <w:rPr>
                <w:color w:val="auto"/>
              </w:rPr>
            </w:pPr>
            <w:r w:rsidRPr="004D3C0E">
              <w:rPr>
                <w:color w:val="auto"/>
              </w:rPr>
              <w:t xml:space="preserve"> </w:t>
            </w:r>
          </w:p>
        </w:tc>
        <w:tc>
          <w:tcPr>
            <w:tcW w:w="838" w:type="dxa"/>
            <w:tcBorders>
              <w:top w:val="nil"/>
              <w:left w:val="nil"/>
              <w:bottom w:val="nil"/>
              <w:right w:val="nil"/>
            </w:tcBorders>
            <w:vAlign w:val="center"/>
          </w:tcPr>
          <w:p w14:paraId="5878BC54" w14:textId="77777777" w:rsidR="007B366E" w:rsidRPr="004D3C0E" w:rsidRDefault="007B366E" w:rsidP="0040604A">
            <w:pPr>
              <w:spacing w:after="187" w:line="276" w:lineRule="auto"/>
              <w:ind w:left="0" w:firstLine="0"/>
              <w:jc w:val="left"/>
              <w:rPr>
                <w:color w:val="auto"/>
              </w:rPr>
            </w:pPr>
            <w:r w:rsidRPr="004D3C0E">
              <w:rPr>
                <w:color w:val="auto"/>
              </w:rPr>
              <w:t>.001</w:t>
            </w:r>
            <w:r w:rsidRPr="004D3C0E">
              <w:rPr>
                <w:color w:val="auto"/>
                <w:vertAlign w:val="superscript"/>
              </w:rPr>
              <w:t>b</w:t>
            </w:r>
            <w:r w:rsidRPr="004D3C0E">
              <w:rPr>
                <w:color w:val="auto"/>
              </w:rPr>
              <w:t xml:space="preserve"> </w:t>
            </w:r>
          </w:p>
          <w:p w14:paraId="2ADDD396" w14:textId="77777777" w:rsidR="007B366E" w:rsidRPr="004D3C0E" w:rsidRDefault="007B366E" w:rsidP="0040604A">
            <w:pPr>
              <w:spacing w:after="0" w:line="276" w:lineRule="auto"/>
              <w:ind w:left="250" w:firstLine="0"/>
              <w:jc w:val="left"/>
              <w:rPr>
                <w:color w:val="auto"/>
              </w:rPr>
            </w:pPr>
            <w:r w:rsidRPr="004D3C0E">
              <w:rPr>
                <w:color w:val="auto"/>
              </w:rPr>
              <w:t xml:space="preserve"> </w:t>
            </w:r>
          </w:p>
        </w:tc>
      </w:tr>
      <w:tr w:rsidR="007B366E" w:rsidRPr="004D3C0E" w14:paraId="70BC1C08" w14:textId="77777777" w:rsidTr="0040604A">
        <w:trPr>
          <w:trHeight w:val="17"/>
        </w:trPr>
        <w:tc>
          <w:tcPr>
            <w:tcW w:w="4634" w:type="dxa"/>
            <w:tcBorders>
              <w:top w:val="nil"/>
              <w:left w:val="nil"/>
              <w:bottom w:val="single" w:sz="4" w:space="0" w:color="000000"/>
              <w:right w:val="nil"/>
            </w:tcBorders>
            <w:vAlign w:val="center"/>
          </w:tcPr>
          <w:p w14:paraId="0A25D96F" w14:textId="77777777" w:rsidR="007B366E" w:rsidRPr="004D3C0E" w:rsidRDefault="007B366E" w:rsidP="0040604A">
            <w:pPr>
              <w:tabs>
                <w:tab w:val="center" w:pos="1203"/>
                <w:tab w:val="center" w:pos="3290"/>
              </w:tabs>
              <w:spacing w:after="0" w:line="276" w:lineRule="auto"/>
              <w:ind w:left="0" w:firstLine="0"/>
              <w:jc w:val="left"/>
              <w:rPr>
                <w:color w:val="auto"/>
              </w:rPr>
            </w:pPr>
            <w:r w:rsidRPr="004D3C0E">
              <w:rPr>
                <w:rFonts w:eastAsia="Calibri"/>
                <w:color w:val="auto"/>
              </w:rPr>
              <w:tab/>
            </w:r>
            <w:r w:rsidRPr="004D3C0E">
              <w:rPr>
                <w:color w:val="auto"/>
              </w:rPr>
              <w:t xml:space="preserve">Total </w:t>
            </w:r>
            <w:r w:rsidRPr="004D3C0E">
              <w:rPr>
                <w:color w:val="auto"/>
              </w:rPr>
              <w:tab/>
              <w:t xml:space="preserve">7,783,582,000 </w:t>
            </w:r>
          </w:p>
        </w:tc>
        <w:tc>
          <w:tcPr>
            <w:tcW w:w="848" w:type="dxa"/>
            <w:tcBorders>
              <w:top w:val="nil"/>
              <w:left w:val="nil"/>
              <w:bottom w:val="single" w:sz="4" w:space="0" w:color="000000"/>
              <w:right w:val="nil"/>
            </w:tcBorders>
            <w:vAlign w:val="center"/>
          </w:tcPr>
          <w:p w14:paraId="6913203C" w14:textId="77777777" w:rsidR="007B366E" w:rsidRPr="004D3C0E" w:rsidRDefault="007B366E" w:rsidP="0040604A">
            <w:pPr>
              <w:spacing w:after="0" w:line="276" w:lineRule="auto"/>
              <w:ind w:left="0" w:firstLine="0"/>
              <w:jc w:val="left"/>
              <w:rPr>
                <w:color w:val="auto"/>
              </w:rPr>
            </w:pPr>
            <w:r w:rsidRPr="004D3C0E">
              <w:rPr>
                <w:color w:val="auto"/>
              </w:rPr>
              <w:t xml:space="preserve">11 </w:t>
            </w:r>
          </w:p>
        </w:tc>
        <w:tc>
          <w:tcPr>
            <w:tcW w:w="1839" w:type="dxa"/>
            <w:tcBorders>
              <w:top w:val="nil"/>
              <w:left w:val="nil"/>
              <w:bottom w:val="single" w:sz="4" w:space="0" w:color="000000"/>
              <w:right w:val="nil"/>
            </w:tcBorders>
          </w:tcPr>
          <w:p w14:paraId="1DC87E62" w14:textId="77777777" w:rsidR="007B366E" w:rsidRPr="004D3C0E" w:rsidRDefault="007B366E" w:rsidP="0040604A">
            <w:pPr>
              <w:spacing w:after="0" w:line="276" w:lineRule="auto"/>
              <w:ind w:left="691" w:firstLine="0"/>
              <w:jc w:val="left"/>
              <w:rPr>
                <w:color w:val="auto"/>
              </w:rPr>
            </w:pPr>
            <w:r w:rsidRPr="004D3C0E">
              <w:rPr>
                <w:color w:val="auto"/>
              </w:rPr>
              <w:t xml:space="preserve"> </w:t>
            </w:r>
          </w:p>
        </w:tc>
        <w:tc>
          <w:tcPr>
            <w:tcW w:w="1193" w:type="dxa"/>
            <w:tcBorders>
              <w:top w:val="nil"/>
              <w:left w:val="nil"/>
              <w:bottom w:val="single" w:sz="4" w:space="0" w:color="000000"/>
              <w:right w:val="nil"/>
            </w:tcBorders>
          </w:tcPr>
          <w:p w14:paraId="2FA52E40" w14:textId="77777777" w:rsidR="007B366E" w:rsidRPr="004D3C0E" w:rsidRDefault="007B366E" w:rsidP="0040604A">
            <w:pPr>
              <w:spacing w:after="0" w:line="276" w:lineRule="auto"/>
              <w:ind w:left="271" w:firstLine="0"/>
              <w:jc w:val="left"/>
              <w:rPr>
                <w:color w:val="auto"/>
              </w:rPr>
            </w:pPr>
            <w:r w:rsidRPr="004D3C0E">
              <w:rPr>
                <w:color w:val="auto"/>
              </w:rPr>
              <w:t xml:space="preserve"> </w:t>
            </w:r>
          </w:p>
        </w:tc>
        <w:tc>
          <w:tcPr>
            <w:tcW w:w="838" w:type="dxa"/>
            <w:tcBorders>
              <w:top w:val="nil"/>
              <w:left w:val="nil"/>
              <w:bottom w:val="single" w:sz="4" w:space="0" w:color="000000"/>
              <w:right w:val="nil"/>
            </w:tcBorders>
          </w:tcPr>
          <w:p w14:paraId="6EEC0D03" w14:textId="77777777" w:rsidR="007B366E" w:rsidRPr="004D3C0E" w:rsidRDefault="007B366E" w:rsidP="0040604A">
            <w:pPr>
              <w:spacing w:after="0" w:line="276" w:lineRule="auto"/>
              <w:ind w:left="250" w:firstLine="0"/>
              <w:jc w:val="left"/>
              <w:rPr>
                <w:color w:val="auto"/>
              </w:rPr>
            </w:pPr>
            <w:r w:rsidRPr="004D3C0E">
              <w:rPr>
                <w:color w:val="auto"/>
              </w:rPr>
              <w:t xml:space="preserve"> </w:t>
            </w:r>
          </w:p>
        </w:tc>
      </w:tr>
      <w:tr w:rsidR="007B366E" w:rsidRPr="004D3C0E" w14:paraId="3237BC93" w14:textId="77777777" w:rsidTr="0040604A">
        <w:trPr>
          <w:trHeight w:val="17"/>
        </w:trPr>
        <w:tc>
          <w:tcPr>
            <w:tcW w:w="7321" w:type="dxa"/>
            <w:gridSpan w:val="3"/>
            <w:tcBorders>
              <w:top w:val="single" w:sz="4" w:space="0" w:color="000000"/>
              <w:left w:val="nil"/>
              <w:bottom w:val="single" w:sz="4" w:space="0" w:color="000000"/>
              <w:right w:val="nil"/>
            </w:tcBorders>
          </w:tcPr>
          <w:p w14:paraId="7B8C4721" w14:textId="77777777" w:rsidR="007B366E" w:rsidRPr="004D3C0E" w:rsidRDefault="007B366E" w:rsidP="0040604A">
            <w:pPr>
              <w:numPr>
                <w:ilvl w:val="0"/>
                <w:numId w:val="2"/>
              </w:numPr>
              <w:spacing w:after="249" w:line="276" w:lineRule="auto"/>
              <w:jc w:val="left"/>
              <w:rPr>
                <w:color w:val="auto"/>
              </w:rPr>
            </w:pPr>
            <w:r w:rsidRPr="004D3C0E">
              <w:rPr>
                <w:color w:val="auto"/>
              </w:rPr>
              <w:t xml:space="preserve">Dependent Variable: Total Tax Revenue </w:t>
            </w:r>
          </w:p>
          <w:p w14:paraId="4F91B04D" w14:textId="77777777" w:rsidR="007B366E" w:rsidRPr="004D3C0E" w:rsidRDefault="007B366E" w:rsidP="0040604A">
            <w:pPr>
              <w:numPr>
                <w:ilvl w:val="0"/>
                <w:numId w:val="2"/>
              </w:numPr>
              <w:spacing w:after="0" w:line="276" w:lineRule="auto"/>
              <w:jc w:val="left"/>
              <w:rPr>
                <w:color w:val="auto"/>
              </w:rPr>
            </w:pPr>
            <w:r w:rsidRPr="004D3C0E">
              <w:rPr>
                <w:color w:val="auto"/>
              </w:rPr>
              <w:t>Predictor: (Constant), Value Added Tax (VAT) Revenue</w:t>
            </w:r>
          </w:p>
        </w:tc>
        <w:tc>
          <w:tcPr>
            <w:tcW w:w="1193" w:type="dxa"/>
            <w:tcBorders>
              <w:top w:val="single" w:sz="4" w:space="0" w:color="000000"/>
              <w:left w:val="nil"/>
              <w:bottom w:val="single" w:sz="4" w:space="0" w:color="000000"/>
              <w:right w:val="nil"/>
            </w:tcBorders>
          </w:tcPr>
          <w:p w14:paraId="232568CB" w14:textId="77777777" w:rsidR="007B366E" w:rsidRPr="004D3C0E" w:rsidRDefault="007B366E" w:rsidP="0040604A">
            <w:pPr>
              <w:spacing w:after="160" w:line="276" w:lineRule="auto"/>
              <w:ind w:left="0" w:firstLine="0"/>
              <w:jc w:val="left"/>
              <w:rPr>
                <w:color w:val="auto"/>
              </w:rPr>
            </w:pPr>
          </w:p>
        </w:tc>
        <w:tc>
          <w:tcPr>
            <w:tcW w:w="838" w:type="dxa"/>
            <w:tcBorders>
              <w:top w:val="single" w:sz="4" w:space="0" w:color="000000"/>
              <w:left w:val="nil"/>
              <w:bottom w:val="single" w:sz="4" w:space="0" w:color="000000"/>
              <w:right w:val="nil"/>
            </w:tcBorders>
          </w:tcPr>
          <w:p w14:paraId="6D320005" w14:textId="77777777" w:rsidR="007B366E" w:rsidRPr="004D3C0E" w:rsidRDefault="007B366E" w:rsidP="0040604A">
            <w:pPr>
              <w:spacing w:after="160" w:line="276" w:lineRule="auto"/>
              <w:ind w:left="0" w:firstLine="0"/>
              <w:jc w:val="left"/>
              <w:rPr>
                <w:color w:val="auto"/>
              </w:rPr>
            </w:pPr>
          </w:p>
        </w:tc>
      </w:tr>
    </w:tbl>
    <w:p w14:paraId="1F4A1784" w14:textId="77777777" w:rsidR="007B366E" w:rsidRDefault="007B366E" w:rsidP="007B366E">
      <w:pPr>
        <w:spacing w:after="204" w:line="276" w:lineRule="auto"/>
        <w:ind w:left="0" w:firstLine="0"/>
        <w:jc w:val="left"/>
        <w:rPr>
          <w:color w:val="auto"/>
          <w:sz w:val="22"/>
        </w:rPr>
      </w:pPr>
    </w:p>
    <w:p w14:paraId="5788F30D" w14:textId="77777777" w:rsidR="00F279A6" w:rsidRDefault="00F279A6" w:rsidP="007B366E">
      <w:pPr>
        <w:spacing w:after="204" w:line="276" w:lineRule="auto"/>
        <w:ind w:left="0" w:firstLine="0"/>
        <w:jc w:val="left"/>
        <w:rPr>
          <w:color w:val="auto"/>
          <w:sz w:val="22"/>
        </w:rPr>
      </w:pPr>
    </w:p>
    <w:p w14:paraId="47788D4D" w14:textId="77777777" w:rsidR="00F279A6" w:rsidRPr="004D3C0E" w:rsidRDefault="00F279A6" w:rsidP="007B366E">
      <w:pPr>
        <w:spacing w:after="204" w:line="276" w:lineRule="auto"/>
        <w:ind w:left="0" w:firstLine="0"/>
        <w:jc w:val="left"/>
        <w:rPr>
          <w:color w:val="auto"/>
          <w:sz w:val="22"/>
        </w:rPr>
      </w:pPr>
    </w:p>
    <w:p w14:paraId="7874DAB2" w14:textId="1102456B" w:rsidR="007B366E" w:rsidRPr="004D3C0E" w:rsidRDefault="007B366E" w:rsidP="007B366E">
      <w:pPr>
        <w:spacing w:after="200" w:line="276" w:lineRule="auto"/>
        <w:rPr>
          <w:b/>
          <w:iCs/>
          <w:color w:val="auto"/>
          <w:sz w:val="22"/>
        </w:rPr>
      </w:pPr>
      <w:bookmarkStart w:id="22" w:name="_Toc211544249"/>
      <w:r w:rsidRPr="004D3C0E">
        <w:rPr>
          <w:b/>
          <w:iCs/>
          <w:color w:val="auto"/>
          <w:sz w:val="22"/>
        </w:rPr>
        <w:t xml:space="preserve">Table </w:t>
      </w:r>
      <w:r w:rsidR="00717839">
        <w:rPr>
          <w:b/>
          <w:iCs/>
          <w:color w:val="auto"/>
          <w:sz w:val="22"/>
        </w:rPr>
        <w:t>6</w:t>
      </w:r>
      <w:r w:rsidRPr="004D3C0E">
        <w:rPr>
          <w:b/>
          <w:iCs/>
          <w:color w:val="auto"/>
          <w:sz w:val="22"/>
        </w:rPr>
        <w:t xml:space="preserve"> Model Summary (VAT Revenue and Total Tax Revenue)</w:t>
      </w:r>
      <w:bookmarkEnd w:id="22"/>
    </w:p>
    <w:tbl>
      <w:tblPr>
        <w:tblStyle w:val="TableGrid"/>
        <w:tblW w:w="8625" w:type="dxa"/>
        <w:tblInd w:w="-14" w:type="dxa"/>
        <w:tblCellMar>
          <w:top w:w="53" w:type="dxa"/>
          <w:right w:w="115" w:type="dxa"/>
        </w:tblCellMar>
        <w:tblLook w:val="04A0" w:firstRow="1" w:lastRow="0" w:firstColumn="1" w:lastColumn="0" w:noHBand="0" w:noVBand="1"/>
      </w:tblPr>
      <w:tblGrid>
        <w:gridCol w:w="6745"/>
        <w:gridCol w:w="1880"/>
      </w:tblGrid>
      <w:tr w:rsidR="007B366E" w:rsidRPr="004D3C0E" w14:paraId="18A6172E" w14:textId="77777777" w:rsidTr="0040604A">
        <w:trPr>
          <w:trHeight w:val="17"/>
        </w:trPr>
        <w:tc>
          <w:tcPr>
            <w:tcW w:w="6745" w:type="dxa"/>
            <w:tcBorders>
              <w:top w:val="single" w:sz="4" w:space="0" w:color="000000"/>
              <w:left w:val="nil"/>
              <w:bottom w:val="nil"/>
              <w:right w:val="nil"/>
            </w:tcBorders>
          </w:tcPr>
          <w:p w14:paraId="35F6E443" w14:textId="77777777" w:rsidR="007B366E" w:rsidRPr="004D3C0E" w:rsidRDefault="007B366E" w:rsidP="0040604A">
            <w:pPr>
              <w:tabs>
                <w:tab w:val="center" w:pos="1909"/>
                <w:tab w:val="center" w:pos="3439"/>
                <w:tab w:val="center" w:pos="5330"/>
              </w:tabs>
              <w:spacing w:after="0" w:line="240" w:lineRule="auto"/>
              <w:ind w:left="0" w:firstLine="0"/>
              <w:jc w:val="left"/>
              <w:rPr>
                <w:color w:val="auto"/>
              </w:rPr>
            </w:pPr>
            <w:r w:rsidRPr="004D3C0E">
              <w:rPr>
                <w:color w:val="auto"/>
              </w:rPr>
              <w:t xml:space="preserve">Model </w:t>
            </w:r>
            <w:r w:rsidRPr="004D3C0E">
              <w:rPr>
                <w:color w:val="auto"/>
              </w:rPr>
              <w:tab/>
              <w:t xml:space="preserve">R </w:t>
            </w:r>
            <w:r w:rsidRPr="004D3C0E">
              <w:rPr>
                <w:color w:val="auto"/>
              </w:rPr>
              <w:tab/>
            </w:r>
            <w:proofErr w:type="spellStart"/>
            <w:r w:rsidRPr="004D3C0E">
              <w:rPr>
                <w:color w:val="auto"/>
              </w:rPr>
              <w:t>R</w:t>
            </w:r>
            <w:proofErr w:type="spellEnd"/>
            <w:r w:rsidRPr="004D3C0E">
              <w:rPr>
                <w:color w:val="auto"/>
              </w:rPr>
              <w:t xml:space="preserve"> Square </w:t>
            </w:r>
            <w:r w:rsidRPr="004D3C0E">
              <w:rPr>
                <w:color w:val="auto"/>
              </w:rPr>
              <w:tab/>
              <w:t xml:space="preserve">Adjusted R Square </w:t>
            </w:r>
          </w:p>
        </w:tc>
        <w:tc>
          <w:tcPr>
            <w:tcW w:w="1880" w:type="dxa"/>
            <w:tcBorders>
              <w:top w:val="single" w:sz="4" w:space="0" w:color="000000"/>
              <w:left w:val="nil"/>
              <w:bottom w:val="nil"/>
              <w:right w:val="nil"/>
            </w:tcBorders>
          </w:tcPr>
          <w:p w14:paraId="5B9FB315" w14:textId="77777777" w:rsidR="007B366E" w:rsidRPr="004D3C0E" w:rsidRDefault="007B366E" w:rsidP="0040604A">
            <w:pPr>
              <w:spacing w:after="0" w:line="240" w:lineRule="auto"/>
              <w:ind w:left="361" w:hanging="361"/>
              <w:jc w:val="left"/>
              <w:rPr>
                <w:color w:val="auto"/>
              </w:rPr>
            </w:pPr>
            <w:r w:rsidRPr="004D3C0E">
              <w:rPr>
                <w:color w:val="auto"/>
              </w:rPr>
              <w:t xml:space="preserve">Std. Error of the Estimate </w:t>
            </w:r>
          </w:p>
        </w:tc>
      </w:tr>
      <w:tr w:rsidR="007B366E" w:rsidRPr="004D3C0E" w14:paraId="5ADAF929" w14:textId="77777777" w:rsidTr="0040604A">
        <w:trPr>
          <w:trHeight w:val="556"/>
        </w:trPr>
        <w:tc>
          <w:tcPr>
            <w:tcW w:w="6745" w:type="dxa"/>
            <w:tcBorders>
              <w:top w:val="nil"/>
              <w:left w:val="nil"/>
              <w:bottom w:val="single" w:sz="4" w:space="0" w:color="000000"/>
              <w:right w:val="nil"/>
            </w:tcBorders>
            <w:vAlign w:val="center"/>
          </w:tcPr>
          <w:p w14:paraId="36D3FE6D" w14:textId="77777777" w:rsidR="007B366E" w:rsidRPr="004D3C0E" w:rsidRDefault="007B366E" w:rsidP="0040604A">
            <w:pPr>
              <w:tabs>
                <w:tab w:val="center" w:pos="1910"/>
                <w:tab w:val="center" w:pos="3439"/>
                <w:tab w:val="center" w:pos="5333"/>
              </w:tabs>
              <w:spacing w:after="0" w:line="240" w:lineRule="auto"/>
              <w:ind w:left="0" w:firstLine="0"/>
              <w:jc w:val="left"/>
              <w:rPr>
                <w:color w:val="auto"/>
              </w:rPr>
            </w:pPr>
            <w:r w:rsidRPr="004D3C0E">
              <w:rPr>
                <w:color w:val="auto"/>
              </w:rPr>
              <w:t xml:space="preserve">1 </w:t>
            </w:r>
            <w:r w:rsidRPr="004D3C0E">
              <w:rPr>
                <w:color w:val="auto"/>
              </w:rPr>
              <w:tab/>
            </w:r>
            <w:r w:rsidRPr="004D3C0E">
              <w:rPr>
                <w:rFonts w:eastAsia="Calibri"/>
                <w:color w:val="auto"/>
              </w:rPr>
              <w:t>.9</w:t>
            </w:r>
            <w:r w:rsidRPr="004D3C0E">
              <w:rPr>
                <w:color w:val="auto"/>
              </w:rPr>
              <w:t>3</w:t>
            </w:r>
            <w:r w:rsidRPr="004D3C0E">
              <w:rPr>
                <w:color w:val="auto"/>
                <w:vertAlign w:val="superscript"/>
              </w:rPr>
              <w:t xml:space="preserve">a </w:t>
            </w:r>
            <w:r w:rsidRPr="004D3C0E">
              <w:rPr>
                <w:color w:val="auto"/>
                <w:vertAlign w:val="superscript"/>
              </w:rPr>
              <w:tab/>
            </w:r>
            <w:r w:rsidRPr="004D3C0E">
              <w:rPr>
                <w:color w:val="auto"/>
              </w:rPr>
              <w:t xml:space="preserve">.87 </w:t>
            </w:r>
            <w:r w:rsidRPr="004D3C0E">
              <w:rPr>
                <w:color w:val="auto"/>
              </w:rPr>
              <w:tab/>
              <w:t xml:space="preserve">.86 </w:t>
            </w:r>
          </w:p>
        </w:tc>
        <w:tc>
          <w:tcPr>
            <w:tcW w:w="1880" w:type="dxa"/>
            <w:tcBorders>
              <w:top w:val="nil"/>
              <w:left w:val="nil"/>
              <w:bottom w:val="single" w:sz="4" w:space="0" w:color="000000"/>
              <w:right w:val="nil"/>
            </w:tcBorders>
            <w:vAlign w:val="center"/>
          </w:tcPr>
          <w:p w14:paraId="7DD476B5" w14:textId="77777777" w:rsidR="007B366E" w:rsidRPr="004D3C0E" w:rsidRDefault="007B366E" w:rsidP="0040604A">
            <w:pPr>
              <w:spacing w:after="0" w:line="240" w:lineRule="auto"/>
              <w:ind w:left="329" w:firstLine="0"/>
              <w:jc w:val="left"/>
              <w:rPr>
                <w:color w:val="auto"/>
              </w:rPr>
            </w:pPr>
            <w:r w:rsidRPr="004D3C0E">
              <w:rPr>
                <w:color w:val="auto"/>
              </w:rPr>
              <w:t xml:space="preserve">10604.81 </w:t>
            </w:r>
          </w:p>
        </w:tc>
      </w:tr>
      <w:tr w:rsidR="007B366E" w:rsidRPr="004D3C0E" w14:paraId="1AFCF64D" w14:textId="77777777" w:rsidTr="0040604A">
        <w:trPr>
          <w:trHeight w:val="17"/>
        </w:trPr>
        <w:tc>
          <w:tcPr>
            <w:tcW w:w="6745" w:type="dxa"/>
            <w:tcBorders>
              <w:top w:val="single" w:sz="4" w:space="0" w:color="000000"/>
              <w:left w:val="nil"/>
              <w:bottom w:val="single" w:sz="4" w:space="0" w:color="000000"/>
              <w:right w:val="nil"/>
            </w:tcBorders>
          </w:tcPr>
          <w:p w14:paraId="1D957A08" w14:textId="77777777" w:rsidR="007B366E" w:rsidRPr="004D3C0E" w:rsidRDefault="007B366E" w:rsidP="0040604A">
            <w:pPr>
              <w:spacing w:after="0" w:line="240" w:lineRule="auto"/>
              <w:ind w:left="74" w:firstLine="0"/>
              <w:jc w:val="left"/>
              <w:rPr>
                <w:color w:val="auto"/>
              </w:rPr>
            </w:pPr>
            <w:r w:rsidRPr="004D3C0E">
              <w:rPr>
                <w:color w:val="auto"/>
              </w:rPr>
              <w:t xml:space="preserve">a. Predictor: (Constant), Value Added Tax (VAT) Revenue </w:t>
            </w:r>
          </w:p>
        </w:tc>
        <w:tc>
          <w:tcPr>
            <w:tcW w:w="1880" w:type="dxa"/>
            <w:tcBorders>
              <w:top w:val="single" w:sz="4" w:space="0" w:color="000000"/>
              <w:left w:val="nil"/>
              <w:bottom w:val="single" w:sz="4" w:space="0" w:color="000000"/>
              <w:right w:val="nil"/>
            </w:tcBorders>
          </w:tcPr>
          <w:p w14:paraId="0A773A1C" w14:textId="77777777" w:rsidR="007B366E" w:rsidRPr="004D3C0E" w:rsidRDefault="007B366E" w:rsidP="0040604A">
            <w:pPr>
              <w:spacing w:after="160" w:line="240" w:lineRule="auto"/>
              <w:ind w:left="0" w:firstLine="0"/>
              <w:jc w:val="left"/>
              <w:rPr>
                <w:color w:val="auto"/>
              </w:rPr>
            </w:pPr>
          </w:p>
        </w:tc>
      </w:tr>
    </w:tbl>
    <w:p w14:paraId="7581AF4D" w14:textId="77777777" w:rsidR="007B366E" w:rsidRPr="004D3C0E" w:rsidRDefault="007B366E" w:rsidP="007B366E">
      <w:pPr>
        <w:spacing w:after="19" w:line="276" w:lineRule="auto"/>
        <w:ind w:left="0" w:firstLine="0"/>
        <w:jc w:val="left"/>
        <w:rPr>
          <w:color w:val="auto"/>
          <w:sz w:val="22"/>
        </w:rPr>
      </w:pPr>
    </w:p>
    <w:p w14:paraId="0B2F1A2E" w14:textId="77777777" w:rsidR="007B366E" w:rsidRPr="004D3C0E" w:rsidRDefault="007B366E" w:rsidP="0079393C">
      <w:pPr>
        <w:spacing w:after="161" w:line="276" w:lineRule="auto"/>
        <w:ind w:left="-5" w:right="4"/>
        <w:rPr>
          <w:color w:val="auto"/>
          <w:sz w:val="22"/>
        </w:rPr>
      </w:pPr>
      <w:r w:rsidRPr="004D3C0E">
        <w:rPr>
          <w:color w:val="auto"/>
          <w:sz w:val="22"/>
        </w:rPr>
        <w:t xml:space="preserve">The study’s findings unveiled a robust positive correlation between Value Added Tax (VAT) revenue and total tax revenue. A correlation coefficient (R) of 0.93 signifies that fluctuations in VAT revenue are closely mirrored by changes in the nation’s total tax revenue. Furthermore, an R-squared value of 0.87 indicates that 87% of the variability in total tax revenue can be attributed to variations in VAT revenue, underscoring the pivotal role of VAT in Ghana’s fiscal framework. The adjusted R-squared value of 0.86 corroborates the model’s reliability, even after accounting for potential predictors. The standard error of the estimate, calculated at 10,604.81, reflects the average deviation between actual and predicted total tax revenue figures. While this deviation appears substantial, it is anticipated in macroeconomic datasets influenced by diverse economic conditions, policy shifts, and administrative practices. </w:t>
      </w:r>
    </w:p>
    <w:p w14:paraId="290C1E45" w14:textId="77777777" w:rsidR="007B366E" w:rsidRPr="004D3C0E" w:rsidRDefault="007B366E" w:rsidP="0079393C">
      <w:pPr>
        <w:spacing w:after="161" w:line="276" w:lineRule="auto"/>
        <w:ind w:left="-5" w:right="4"/>
        <w:rPr>
          <w:color w:val="auto"/>
          <w:sz w:val="22"/>
        </w:rPr>
      </w:pPr>
      <w:r w:rsidRPr="004D3C0E">
        <w:rPr>
          <w:color w:val="auto"/>
          <w:sz w:val="22"/>
        </w:rPr>
        <w:t>An analysis of variance (ANOVA) yields an F-statistic of 59.37 with a significance level of 0.001, affirming the statistical significance of the regression model at the 1% threshold. This denotes that the observed relationship between VAT revenue and total tax revenue is not coincidental but is both meaningful and statistically significant. The low p-value further reinforces VAT revenue as a formidable predictor of total tax revenue, highlighting its importance within Ghana’s taxation system. This means the researcher therefore rejects the H</w:t>
      </w:r>
      <w:r w:rsidRPr="004D3C0E">
        <w:rPr>
          <w:color w:val="auto"/>
          <w:sz w:val="22"/>
          <w:vertAlign w:val="subscript"/>
        </w:rPr>
        <w:t>0</w:t>
      </w:r>
      <w:r w:rsidRPr="004D3C0E">
        <w:rPr>
          <w:color w:val="auto"/>
          <w:sz w:val="22"/>
        </w:rPr>
        <w:t xml:space="preserve"> and concludes that there is a significant effect of VAT Revenue on Total Tax Revenue.</w:t>
      </w:r>
    </w:p>
    <w:p w14:paraId="50F20273" w14:textId="5138AD7A" w:rsidR="007B366E" w:rsidRPr="004D3C0E" w:rsidRDefault="007B366E" w:rsidP="0079393C">
      <w:pPr>
        <w:spacing w:after="161" w:line="276" w:lineRule="auto"/>
        <w:ind w:left="-5" w:right="4"/>
        <w:rPr>
          <w:color w:val="auto"/>
          <w:sz w:val="22"/>
        </w:rPr>
      </w:pPr>
      <w:r w:rsidRPr="004D3C0E">
        <w:rPr>
          <w:color w:val="auto"/>
          <w:sz w:val="22"/>
        </w:rPr>
        <w:t xml:space="preserve">Recent research aligns with these findings, </w:t>
      </w:r>
      <w:proofErr w:type="spellStart"/>
      <w:r w:rsidRPr="004D3C0E">
        <w:rPr>
          <w:color w:val="auto"/>
          <w:sz w:val="22"/>
        </w:rPr>
        <w:t>emphasising</w:t>
      </w:r>
      <w:proofErr w:type="spellEnd"/>
      <w:r w:rsidRPr="004D3C0E">
        <w:rPr>
          <w:color w:val="auto"/>
          <w:sz w:val="22"/>
        </w:rPr>
        <w:t xml:space="preserve"> VAT’s critical role in national revenue systems. A 2024 report by the </w:t>
      </w:r>
      <w:proofErr w:type="spellStart"/>
      <w:r w:rsidRPr="004D3C0E">
        <w:rPr>
          <w:color w:val="auto"/>
          <w:sz w:val="22"/>
        </w:rPr>
        <w:t>Organisation</w:t>
      </w:r>
      <w:proofErr w:type="spellEnd"/>
      <w:r w:rsidRPr="004D3C0E">
        <w:rPr>
          <w:color w:val="auto"/>
          <w:sz w:val="22"/>
        </w:rPr>
        <w:t xml:space="preserve"> for Economic Co-operation and Development (OECD) highlighted that VAT accounted for just over one-fifth (20.8%) of total revenues among member countries, underscoring its significance in global tax structures (OECD, 2024). In the context of developing nations, VAT has been identified as a cornerstone for domestic revenue </w:t>
      </w:r>
      <w:proofErr w:type="spellStart"/>
      <w:r w:rsidRPr="004D3C0E">
        <w:rPr>
          <w:color w:val="auto"/>
          <w:sz w:val="22"/>
        </w:rPr>
        <w:t>mobilisation</w:t>
      </w:r>
      <w:proofErr w:type="spellEnd"/>
      <w:r w:rsidRPr="004D3C0E">
        <w:rPr>
          <w:color w:val="auto"/>
          <w:sz w:val="22"/>
        </w:rPr>
        <w:t xml:space="preserve">. A study by Adu-Gyamfi and Asamoah (2023) focusing on Ghana revealed that VAT, alongside corporate income tax, has been one of the largest contributors to the country’s total tax revenue over the past decade, each accounting for over 20% of the total in recent years. Similarly, Mensah and Oppong (2022) found that VAT reforms in Ghana have contributed significantly to revenue </w:t>
      </w:r>
      <w:proofErr w:type="spellStart"/>
      <w:r w:rsidR="0079393C" w:rsidRPr="004D3C0E">
        <w:rPr>
          <w:color w:val="auto"/>
          <w:sz w:val="22"/>
        </w:rPr>
        <w:t>mobilisation</w:t>
      </w:r>
      <w:proofErr w:type="spellEnd"/>
      <w:r w:rsidR="0079393C" w:rsidRPr="004D3C0E">
        <w:rPr>
          <w:color w:val="auto"/>
          <w:sz w:val="22"/>
        </w:rPr>
        <w:t xml:space="preserve"> but</w:t>
      </w:r>
      <w:r w:rsidRPr="004D3C0E">
        <w:rPr>
          <w:color w:val="auto"/>
          <w:sz w:val="22"/>
        </w:rPr>
        <w:t xml:space="preserve"> </w:t>
      </w:r>
      <w:proofErr w:type="spellStart"/>
      <w:r w:rsidRPr="004D3C0E">
        <w:rPr>
          <w:color w:val="auto"/>
          <w:sz w:val="22"/>
        </w:rPr>
        <w:t>emphasised</w:t>
      </w:r>
      <w:proofErr w:type="spellEnd"/>
      <w:r w:rsidRPr="004D3C0E">
        <w:rPr>
          <w:color w:val="auto"/>
          <w:sz w:val="22"/>
        </w:rPr>
        <w:t xml:space="preserve"> the need for enhanced enforcement mechanisms to </w:t>
      </w:r>
      <w:proofErr w:type="spellStart"/>
      <w:r w:rsidRPr="004D3C0E">
        <w:rPr>
          <w:color w:val="auto"/>
          <w:sz w:val="22"/>
        </w:rPr>
        <w:t>optimise</w:t>
      </w:r>
      <w:proofErr w:type="spellEnd"/>
      <w:r w:rsidRPr="004D3C0E">
        <w:rPr>
          <w:color w:val="auto"/>
          <w:sz w:val="22"/>
        </w:rPr>
        <w:t xml:space="preserve"> their impact. </w:t>
      </w:r>
    </w:p>
    <w:p w14:paraId="6F54D742" w14:textId="77777777" w:rsidR="007B366E" w:rsidRDefault="007B366E" w:rsidP="0079393C">
      <w:pPr>
        <w:spacing w:after="161" w:line="276" w:lineRule="auto"/>
        <w:ind w:left="-5" w:right="4"/>
        <w:rPr>
          <w:color w:val="auto"/>
          <w:sz w:val="22"/>
        </w:rPr>
      </w:pPr>
      <w:r w:rsidRPr="004D3C0E">
        <w:rPr>
          <w:color w:val="auto"/>
          <w:sz w:val="22"/>
        </w:rPr>
        <w:t xml:space="preserve">Conversely, some studies have observed challenges in VAT’s effectiveness due to administrative hurdles and policy inconsistencies. The World Bank’s 2024 Ghana Economic Update noted a decline in VAT’s share of total tax revenues from 34% in 2015 to 17% in 2021, partly attributed to rate reductions and exemptions (World Bank, 2024). This suggests that while VAT has the potential to significantly bolster tax revenue, its success is contingent upon efficient administration and consistent policy implementation. A study by Boateng and Adjei (2021) also highlighted that loopholes in VAT collection, particularly in the informal sector, have undermined the expected revenue gains from VAT policies in Ghana. </w:t>
      </w:r>
    </w:p>
    <w:p w14:paraId="24D2E4E2" w14:textId="61096585" w:rsidR="007B366E" w:rsidRPr="004D3C0E" w:rsidRDefault="007B366E" w:rsidP="007B366E">
      <w:pPr>
        <w:keepNext/>
        <w:keepLines/>
        <w:spacing w:after="0" w:line="276" w:lineRule="auto"/>
        <w:ind w:right="5"/>
        <w:outlineLvl w:val="2"/>
        <w:rPr>
          <w:bCs/>
          <w:color w:val="auto"/>
          <w:sz w:val="22"/>
        </w:rPr>
      </w:pPr>
      <w:bookmarkStart w:id="23" w:name="_Toc211545694"/>
      <w:r w:rsidRPr="004D3C0E">
        <w:rPr>
          <w:bCs/>
          <w:color w:val="auto"/>
          <w:sz w:val="22"/>
        </w:rPr>
        <w:t>4.</w:t>
      </w:r>
      <w:r w:rsidR="007D5091">
        <w:rPr>
          <w:bCs/>
          <w:color w:val="auto"/>
          <w:sz w:val="22"/>
        </w:rPr>
        <w:t>6</w:t>
      </w:r>
      <w:r w:rsidRPr="004D3C0E">
        <w:rPr>
          <w:bCs/>
          <w:color w:val="auto"/>
          <w:sz w:val="22"/>
        </w:rPr>
        <w:t>.1 Co-efficient</w:t>
      </w:r>
      <w:bookmarkEnd w:id="23"/>
      <w:r w:rsidRPr="004D3C0E">
        <w:rPr>
          <w:bCs/>
          <w:color w:val="auto"/>
          <w:sz w:val="22"/>
        </w:rPr>
        <w:t xml:space="preserve"> </w:t>
      </w:r>
    </w:p>
    <w:p w14:paraId="49A366C7" w14:textId="3D3C8935" w:rsidR="007B366E" w:rsidRPr="00F279A6" w:rsidRDefault="007B366E" w:rsidP="00D462E4">
      <w:pPr>
        <w:spacing w:after="0" w:line="276" w:lineRule="auto"/>
        <w:rPr>
          <w:b/>
          <w:bCs/>
          <w:iCs/>
          <w:color w:val="auto"/>
          <w:sz w:val="22"/>
        </w:rPr>
      </w:pPr>
      <w:bookmarkStart w:id="24" w:name="_Toc211544250"/>
      <w:r w:rsidRPr="00F279A6">
        <w:rPr>
          <w:b/>
          <w:bCs/>
          <w:iCs/>
          <w:color w:val="auto"/>
          <w:sz w:val="22"/>
        </w:rPr>
        <w:t xml:space="preserve">Table </w:t>
      </w:r>
      <w:r w:rsidR="00717839">
        <w:rPr>
          <w:b/>
          <w:bCs/>
          <w:iCs/>
          <w:color w:val="auto"/>
          <w:sz w:val="22"/>
        </w:rPr>
        <w:t>7</w:t>
      </w:r>
      <w:r w:rsidRPr="00F279A6">
        <w:rPr>
          <w:b/>
          <w:bCs/>
          <w:iCs/>
          <w:color w:val="auto"/>
          <w:sz w:val="22"/>
        </w:rPr>
        <w:t xml:space="preserve"> </w:t>
      </w:r>
      <w:proofErr w:type="spellStart"/>
      <w:r w:rsidRPr="00F279A6">
        <w:rPr>
          <w:b/>
          <w:bCs/>
          <w:iCs/>
          <w:color w:val="auto"/>
          <w:sz w:val="22"/>
        </w:rPr>
        <w:t>Coefficientsa</w:t>
      </w:r>
      <w:proofErr w:type="spellEnd"/>
      <w:r w:rsidRPr="00F279A6">
        <w:rPr>
          <w:b/>
          <w:bCs/>
          <w:iCs/>
          <w:color w:val="auto"/>
          <w:sz w:val="22"/>
        </w:rPr>
        <w:t xml:space="preserve"> (VAT Revenue and Total Tax Revenue)</w:t>
      </w:r>
      <w:bookmarkEnd w:id="24"/>
    </w:p>
    <w:p w14:paraId="1CAAAE5F" w14:textId="77777777" w:rsidR="007B366E" w:rsidRPr="004D3C0E" w:rsidRDefault="007B366E" w:rsidP="007B366E">
      <w:pPr>
        <w:spacing w:after="48" w:line="276" w:lineRule="auto"/>
        <w:ind w:left="0" w:firstLine="0"/>
        <w:jc w:val="left"/>
        <w:rPr>
          <w:color w:val="auto"/>
          <w:sz w:val="22"/>
        </w:rPr>
      </w:pPr>
      <w:r w:rsidRPr="004D3C0E">
        <w:rPr>
          <w:rFonts w:eastAsia="Calibri"/>
          <w:noProof/>
          <w:color w:val="auto"/>
          <w:sz w:val="22"/>
        </w:rPr>
        <mc:AlternateContent>
          <mc:Choice Requires="wpg">
            <w:drawing>
              <wp:inline distT="0" distB="0" distL="0" distR="0" wp14:anchorId="4999F20E" wp14:editId="31E7E565">
                <wp:extent cx="5936946" cy="6096"/>
                <wp:effectExtent l="0" t="0" r="0" b="0"/>
                <wp:docPr id="101648" name="Group 101648"/>
                <wp:cNvGraphicFramePr/>
                <a:graphic xmlns:a="http://schemas.openxmlformats.org/drawingml/2006/main">
                  <a:graphicData uri="http://schemas.microsoft.com/office/word/2010/wordprocessingGroup">
                    <wpg:wgp>
                      <wpg:cNvGrpSpPr/>
                      <wpg:grpSpPr>
                        <a:xfrm>
                          <a:off x="0" y="0"/>
                          <a:ext cx="5936946" cy="6096"/>
                          <a:chOff x="0" y="0"/>
                          <a:chExt cx="5936946" cy="6096"/>
                        </a:xfrm>
                      </wpg:grpSpPr>
                      <wps:wsp>
                        <wps:cNvPr id="115605" name="Shape 115605"/>
                        <wps:cNvSpPr/>
                        <wps:spPr>
                          <a:xfrm>
                            <a:off x="0" y="0"/>
                            <a:ext cx="2106422" cy="9144"/>
                          </a:xfrm>
                          <a:custGeom>
                            <a:avLst/>
                            <a:gdLst/>
                            <a:ahLst/>
                            <a:cxnLst/>
                            <a:rect l="0" t="0" r="0" b="0"/>
                            <a:pathLst>
                              <a:path w="2106422" h="9144">
                                <a:moveTo>
                                  <a:pt x="0" y="0"/>
                                </a:moveTo>
                                <a:lnTo>
                                  <a:pt x="2106422" y="0"/>
                                </a:lnTo>
                                <a:lnTo>
                                  <a:pt x="2106422" y="9144"/>
                                </a:lnTo>
                                <a:lnTo>
                                  <a:pt x="0" y="9144"/>
                                </a:lnTo>
                                <a:lnTo>
                                  <a:pt x="0" y="0"/>
                                </a:lnTo>
                              </a:path>
                            </a:pathLst>
                          </a:custGeom>
                          <a:solidFill>
                            <a:srgbClr val="000000"/>
                          </a:solidFill>
                          <a:ln w="0" cap="flat">
                            <a:noFill/>
                            <a:miter lim="127000"/>
                          </a:ln>
                          <a:effectLst/>
                        </wps:spPr>
                        <wps:bodyPr/>
                      </wps:wsp>
                      <wps:wsp>
                        <wps:cNvPr id="115606" name="Shape 115606"/>
                        <wps:cNvSpPr/>
                        <wps:spPr>
                          <a:xfrm>
                            <a:off x="210649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5607" name="Shape 115607"/>
                        <wps:cNvSpPr/>
                        <wps:spPr>
                          <a:xfrm>
                            <a:off x="2112594" y="0"/>
                            <a:ext cx="1667510" cy="9144"/>
                          </a:xfrm>
                          <a:custGeom>
                            <a:avLst/>
                            <a:gdLst/>
                            <a:ahLst/>
                            <a:cxnLst/>
                            <a:rect l="0" t="0" r="0" b="0"/>
                            <a:pathLst>
                              <a:path w="1667510" h="9144">
                                <a:moveTo>
                                  <a:pt x="0" y="0"/>
                                </a:moveTo>
                                <a:lnTo>
                                  <a:pt x="1667510" y="0"/>
                                </a:lnTo>
                                <a:lnTo>
                                  <a:pt x="1667510" y="9144"/>
                                </a:lnTo>
                                <a:lnTo>
                                  <a:pt x="0" y="9144"/>
                                </a:lnTo>
                                <a:lnTo>
                                  <a:pt x="0" y="0"/>
                                </a:lnTo>
                              </a:path>
                            </a:pathLst>
                          </a:custGeom>
                          <a:solidFill>
                            <a:srgbClr val="000000"/>
                          </a:solidFill>
                          <a:ln w="0" cap="flat">
                            <a:noFill/>
                            <a:miter lim="127000"/>
                          </a:ln>
                          <a:effectLst/>
                        </wps:spPr>
                        <wps:bodyPr/>
                      </wps:wsp>
                      <wps:wsp>
                        <wps:cNvPr id="115608" name="Shape 115608"/>
                        <wps:cNvSpPr/>
                        <wps:spPr>
                          <a:xfrm>
                            <a:off x="378010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5609" name="Shape 115609"/>
                        <wps:cNvSpPr/>
                        <wps:spPr>
                          <a:xfrm>
                            <a:off x="3786200" y="0"/>
                            <a:ext cx="917753" cy="9144"/>
                          </a:xfrm>
                          <a:custGeom>
                            <a:avLst/>
                            <a:gdLst/>
                            <a:ahLst/>
                            <a:cxnLst/>
                            <a:rect l="0" t="0" r="0" b="0"/>
                            <a:pathLst>
                              <a:path w="917753" h="9144">
                                <a:moveTo>
                                  <a:pt x="0" y="0"/>
                                </a:moveTo>
                                <a:lnTo>
                                  <a:pt x="917753" y="0"/>
                                </a:lnTo>
                                <a:lnTo>
                                  <a:pt x="917753" y="9144"/>
                                </a:lnTo>
                                <a:lnTo>
                                  <a:pt x="0" y="9144"/>
                                </a:lnTo>
                                <a:lnTo>
                                  <a:pt x="0" y="0"/>
                                </a:lnTo>
                              </a:path>
                            </a:pathLst>
                          </a:custGeom>
                          <a:solidFill>
                            <a:srgbClr val="000000"/>
                          </a:solidFill>
                          <a:ln w="0" cap="flat">
                            <a:noFill/>
                            <a:miter lim="127000"/>
                          </a:ln>
                          <a:effectLst/>
                        </wps:spPr>
                        <wps:bodyPr/>
                      </wps:wsp>
                      <wps:wsp>
                        <wps:cNvPr id="115610" name="Shape 115610"/>
                        <wps:cNvSpPr/>
                        <wps:spPr>
                          <a:xfrm>
                            <a:off x="4704029"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5611" name="Shape 115611"/>
                        <wps:cNvSpPr/>
                        <wps:spPr>
                          <a:xfrm>
                            <a:off x="4710125" y="0"/>
                            <a:ext cx="609600" cy="9144"/>
                          </a:xfrm>
                          <a:custGeom>
                            <a:avLst/>
                            <a:gdLst/>
                            <a:ahLst/>
                            <a:cxnLst/>
                            <a:rect l="0" t="0" r="0" b="0"/>
                            <a:pathLst>
                              <a:path w="609600" h="9144">
                                <a:moveTo>
                                  <a:pt x="0" y="0"/>
                                </a:moveTo>
                                <a:lnTo>
                                  <a:pt x="609600" y="0"/>
                                </a:lnTo>
                                <a:lnTo>
                                  <a:pt x="609600" y="9144"/>
                                </a:lnTo>
                                <a:lnTo>
                                  <a:pt x="0" y="9144"/>
                                </a:lnTo>
                                <a:lnTo>
                                  <a:pt x="0" y="0"/>
                                </a:lnTo>
                              </a:path>
                            </a:pathLst>
                          </a:custGeom>
                          <a:solidFill>
                            <a:srgbClr val="000000"/>
                          </a:solidFill>
                          <a:ln w="0" cap="flat">
                            <a:noFill/>
                            <a:miter lim="127000"/>
                          </a:ln>
                          <a:effectLst/>
                        </wps:spPr>
                        <wps:bodyPr/>
                      </wps:wsp>
                      <wps:wsp>
                        <wps:cNvPr id="115612" name="Shape 115612"/>
                        <wps:cNvSpPr/>
                        <wps:spPr>
                          <a:xfrm>
                            <a:off x="531972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5613" name="Shape 115613"/>
                        <wps:cNvSpPr/>
                        <wps:spPr>
                          <a:xfrm>
                            <a:off x="5325822" y="0"/>
                            <a:ext cx="611124" cy="9144"/>
                          </a:xfrm>
                          <a:custGeom>
                            <a:avLst/>
                            <a:gdLst/>
                            <a:ahLst/>
                            <a:cxnLst/>
                            <a:rect l="0" t="0" r="0" b="0"/>
                            <a:pathLst>
                              <a:path w="611124" h="9144">
                                <a:moveTo>
                                  <a:pt x="0" y="0"/>
                                </a:moveTo>
                                <a:lnTo>
                                  <a:pt x="611124" y="0"/>
                                </a:lnTo>
                                <a:lnTo>
                                  <a:pt x="611124" y="9144"/>
                                </a:lnTo>
                                <a:lnTo>
                                  <a:pt x="0" y="9144"/>
                                </a:lnTo>
                                <a:lnTo>
                                  <a:pt x="0" y="0"/>
                                </a:lnTo>
                              </a:path>
                            </a:pathLst>
                          </a:custGeom>
                          <a:solidFill>
                            <a:srgbClr val="000000"/>
                          </a:solidFill>
                          <a:ln w="0" cap="flat">
                            <a:noFill/>
                            <a:miter lim="127000"/>
                          </a:ln>
                          <a:effectLst/>
                        </wps:spPr>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1149EC8" id="Group 101648" o:spid="_x0000_s1026" style="width:467.5pt;height:.5pt;mso-position-horizontal-relative:char;mso-position-vertical-relative:line" coordsize="593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">
                <v:shape id="Shape 115605" o:spid="_x0000_s1027" style="position:absolute;width:21064;height:91;visibility:visible;mso-wrap-style:square;v-text-anchor:top" coordsize="21064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" path="m,l2106422,r,9144l,9144,,e" fillcolor="black" stroked="f" strokeweight="0">
                  <v:stroke miterlimit="83231f" joinstyle="miter"/>
                  <v:path arrowok="t" textboxrect="0,0,2106422,9144"/>
                </v:shape>
                <v:shape id="Shape 115606" o:spid="_x0000_s1028" style="position:absolute;left:210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" path="m,l9144,r,9144l,9144,,e" fillcolor="black" stroked="f" strokeweight="0">
                  <v:stroke miterlimit="83231f" joinstyle="miter"/>
                  <v:path arrowok="t" textboxrect="0,0,9144,9144"/>
                </v:shape>
                <v:shape id="Shape 115607" o:spid="_x0000_s1029" style="position:absolute;left:21125;width:16676;height:91;visibility:visible;mso-wrap-style:square;v-text-anchor:top" coordsize="16675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" path="m,l1667510,r,9144l,9144,,e" fillcolor="black" stroked="f" strokeweight="0">
                  <v:stroke miterlimit="83231f" joinstyle="miter"/>
                  <v:path arrowok="t" textboxrect="0,0,1667510,9144"/>
                </v:shape>
                <v:shape id="Shape 115608" o:spid="_x0000_s1030" style="position:absolute;left:378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" path="m,l9144,r,9144l,9144,,e" fillcolor="black" stroked="f" strokeweight="0">
                  <v:stroke miterlimit="83231f" joinstyle="miter"/>
                  <v:path arrowok="t" textboxrect="0,0,9144,9144"/>
                </v:shape>
                <v:shape id="Shape 115609" o:spid="_x0000_s1031" style="position:absolute;left:37862;width:9177;height:91;visibility:visible;mso-wrap-style:square;v-text-anchor:top" coordsize="9177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" path="m,l917753,r,9144l,9144,,e" fillcolor="black" stroked="f" strokeweight="0">
                  <v:stroke miterlimit="83231f" joinstyle="miter"/>
                  <v:path arrowok="t" textboxrect="0,0,917753,9144"/>
                </v:shape>
                <v:shape id="Shape 115610" o:spid="_x0000_s1032" style="position:absolute;left:470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" path="m,l9144,r,9144l,9144,,e" fillcolor="black" stroked="f" strokeweight="0">
                  <v:stroke miterlimit="83231f" joinstyle="miter"/>
                  <v:path arrowok="t" textboxrect="0,0,9144,9144"/>
                </v:shape>
                <v:shape id="Shape 115611" o:spid="_x0000_s1033" style="position:absolute;left:47101;width:6096;height:91;visibility:visible;mso-wrap-style:square;v-text-anchor:top" coordsize="6096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" path="m,l609600,r,9144l,9144,,e" fillcolor="black" stroked="f" strokeweight="0">
                  <v:stroke miterlimit="83231f" joinstyle="miter"/>
                  <v:path arrowok="t" textboxrect="0,0,609600,9144"/>
                </v:shape>
                <v:shape id="Shape 115612" o:spid="_x0000_s1034" style="position:absolute;left:5319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" path="m,l9144,r,9144l,9144,,e" fillcolor="black" stroked="f" strokeweight="0">
                  <v:stroke miterlimit="83231f" joinstyle="miter"/>
                  <v:path arrowok="t" textboxrect="0,0,9144,9144"/>
                </v:shape>
                <v:shape id="Shape 115613" o:spid="_x0000_s1035" style="position:absolute;left:53258;width:6111;height:91;visibility:visible;mso-wrap-style:square;v-text-anchor:top" coordsize="6111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" path="m,l611124,r,9144l,9144,,e" fillcolor="black" stroked="f" strokeweight="0">
                  <v:stroke miterlimit="83231f" joinstyle="miter"/>
                  <v:path arrowok="t" textboxrect="0,0,611124,9144"/>
                </v:shape>
                <w10:anchorlock/>
              </v:group>
            </w:pict>
          </mc:Fallback>
        </mc:AlternateContent>
      </w:r>
    </w:p>
    <w:p w14:paraId="5AF03054" w14:textId="77777777" w:rsidR="007B366E" w:rsidRPr="004D3C0E" w:rsidRDefault="007B366E" w:rsidP="007B366E">
      <w:pPr>
        <w:tabs>
          <w:tab w:val="center" w:pos="4634"/>
          <w:tab w:val="center" w:pos="6680"/>
        </w:tabs>
        <w:spacing w:line="276" w:lineRule="auto"/>
        <w:ind w:left="-15" w:firstLine="0"/>
        <w:jc w:val="left"/>
        <w:rPr>
          <w:color w:val="auto"/>
          <w:sz w:val="22"/>
        </w:rPr>
      </w:pPr>
      <w:r w:rsidRPr="004D3C0E">
        <w:rPr>
          <w:color w:val="auto"/>
          <w:sz w:val="22"/>
        </w:rPr>
        <w:t xml:space="preserve">Model </w:t>
      </w:r>
      <w:r w:rsidRPr="004D3C0E">
        <w:rPr>
          <w:color w:val="auto"/>
          <w:sz w:val="22"/>
        </w:rPr>
        <w:tab/>
        <w:t xml:space="preserve">Unstandardized </w:t>
      </w:r>
      <w:r w:rsidRPr="004D3C0E">
        <w:rPr>
          <w:color w:val="auto"/>
          <w:sz w:val="22"/>
        </w:rPr>
        <w:tab/>
      </w:r>
      <w:proofErr w:type="spellStart"/>
      <w:r w:rsidRPr="004D3C0E">
        <w:rPr>
          <w:color w:val="auto"/>
          <w:sz w:val="22"/>
        </w:rPr>
        <w:t>Standardised</w:t>
      </w:r>
      <w:proofErr w:type="spellEnd"/>
      <w:r w:rsidRPr="004D3C0E">
        <w:rPr>
          <w:color w:val="auto"/>
          <w:sz w:val="22"/>
        </w:rPr>
        <w:t xml:space="preserve"> </w:t>
      </w:r>
    </w:p>
    <w:p w14:paraId="4B7ADABC" w14:textId="77777777" w:rsidR="007B366E" w:rsidRPr="004D3C0E" w:rsidRDefault="007B366E" w:rsidP="007B366E">
      <w:pPr>
        <w:tabs>
          <w:tab w:val="center" w:pos="4632"/>
          <w:tab w:val="center" w:pos="6677"/>
          <w:tab w:val="center" w:pos="7892"/>
          <w:tab w:val="center" w:pos="8865"/>
        </w:tabs>
        <w:spacing w:after="0" w:line="276" w:lineRule="auto"/>
        <w:ind w:left="0" w:firstLine="0"/>
        <w:jc w:val="left"/>
        <w:rPr>
          <w:color w:val="auto"/>
          <w:sz w:val="22"/>
        </w:rPr>
      </w:pPr>
      <w:r w:rsidRPr="004D3C0E">
        <w:rPr>
          <w:rFonts w:eastAsia="Calibri"/>
          <w:color w:val="auto"/>
          <w:sz w:val="22"/>
        </w:rPr>
        <w:tab/>
      </w:r>
      <w:r w:rsidRPr="004D3C0E">
        <w:rPr>
          <w:color w:val="auto"/>
          <w:sz w:val="22"/>
        </w:rPr>
        <w:t xml:space="preserve">Coefficients </w:t>
      </w:r>
      <w:r w:rsidRPr="004D3C0E">
        <w:rPr>
          <w:color w:val="auto"/>
          <w:sz w:val="22"/>
        </w:rPr>
        <w:tab/>
      </w:r>
      <w:proofErr w:type="spellStart"/>
      <w:r w:rsidRPr="004D3C0E">
        <w:rPr>
          <w:color w:val="auto"/>
          <w:sz w:val="22"/>
        </w:rPr>
        <w:t>Coefficients</w:t>
      </w:r>
      <w:proofErr w:type="spellEnd"/>
      <w:r w:rsidRPr="004D3C0E">
        <w:rPr>
          <w:color w:val="auto"/>
          <w:sz w:val="22"/>
        </w:rPr>
        <w:t xml:space="preserve"> t </w:t>
      </w:r>
      <w:r w:rsidRPr="004D3C0E">
        <w:rPr>
          <w:color w:val="auto"/>
          <w:sz w:val="22"/>
        </w:rPr>
        <w:tab/>
        <w:t xml:space="preserve">Sig. </w:t>
      </w:r>
    </w:p>
    <w:p w14:paraId="43263E6E" w14:textId="77777777" w:rsidR="007B366E" w:rsidRPr="004D3C0E" w:rsidRDefault="007B366E" w:rsidP="007B366E">
      <w:pPr>
        <w:spacing w:after="48" w:line="276" w:lineRule="auto"/>
        <w:ind w:left="3317" w:firstLine="0"/>
        <w:jc w:val="left"/>
        <w:rPr>
          <w:color w:val="auto"/>
          <w:sz w:val="22"/>
        </w:rPr>
      </w:pPr>
      <w:r w:rsidRPr="004D3C0E">
        <w:rPr>
          <w:rFonts w:eastAsia="Calibri"/>
          <w:noProof/>
          <w:color w:val="auto"/>
          <w:sz w:val="22"/>
        </w:rPr>
        <mc:AlternateContent>
          <mc:Choice Requires="wpg">
            <w:drawing>
              <wp:inline distT="0" distB="0" distL="0" distR="0" wp14:anchorId="28581328" wp14:editId="55E3B99A">
                <wp:extent cx="2597455" cy="6096"/>
                <wp:effectExtent l="0" t="0" r="0" b="0"/>
                <wp:docPr id="101649" name="Group 101649"/>
                <wp:cNvGraphicFramePr/>
                <a:graphic xmlns:a="http://schemas.openxmlformats.org/drawingml/2006/main">
                  <a:graphicData uri="http://schemas.microsoft.com/office/word/2010/wordprocessingGroup">
                    <wpg:wgp>
                      <wpg:cNvGrpSpPr/>
                      <wpg:grpSpPr>
                        <a:xfrm>
                          <a:off x="0" y="0"/>
                          <a:ext cx="2597455" cy="6096"/>
                          <a:chOff x="0" y="0"/>
                          <a:chExt cx="2597455" cy="6096"/>
                        </a:xfrm>
                      </wpg:grpSpPr>
                      <wps:wsp>
                        <wps:cNvPr id="115623" name="Shape 115623"/>
                        <wps:cNvSpPr/>
                        <wps:spPr>
                          <a:xfrm>
                            <a:off x="0" y="0"/>
                            <a:ext cx="835457" cy="9144"/>
                          </a:xfrm>
                          <a:custGeom>
                            <a:avLst/>
                            <a:gdLst/>
                            <a:ahLst/>
                            <a:cxnLst/>
                            <a:rect l="0" t="0" r="0" b="0"/>
                            <a:pathLst>
                              <a:path w="835457" h="9144">
                                <a:moveTo>
                                  <a:pt x="0" y="0"/>
                                </a:moveTo>
                                <a:lnTo>
                                  <a:pt x="835457" y="0"/>
                                </a:lnTo>
                                <a:lnTo>
                                  <a:pt x="835457" y="9144"/>
                                </a:lnTo>
                                <a:lnTo>
                                  <a:pt x="0" y="9144"/>
                                </a:lnTo>
                                <a:lnTo>
                                  <a:pt x="0" y="0"/>
                                </a:lnTo>
                              </a:path>
                            </a:pathLst>
                          </a:custGeom>
                          <a:solidFill>
                            <a:srgbClr val="000000"/>
                          </a:solidFill>
                          <a:ln w="0" cap="flat">
                            <a:noFill/>
                            <a:miter lim="127000"/>
                          </a:ln>
                          <a:effectLst/>
                        </wps:spPr>
                        <wps:bodyPr/>
                      </wps:wsp>
                      <wps:wsp>
                        <wps:cNvPr id="115624" name="Shape 115624"/>
                        <wps:cNvSpPr/>
                        <wps:spPr>
                          <a:xfrm>
                            <a:off x="83540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5625" name="Shape 115625"/>
                        <wps:cNvSpPr/>
                        <wps:spPr>
                          <a:xfrm>
                            <a:off x="841502" y="0"/>
                            <a:ext cx="832104" cy="9144"/>
                          </a:xfrm>
                          <a:custGeom>
                            <a:avLst/>
                            <a:gdLst/>
                            <a:ahLst/>
                            <a:cxnLst/>
                            <a:rect l="0" t="0" r="0" b="0"/>
                            <a:pathLst>
                              <a:path w="832104" h="9144">
                                <a:moveTo>
                                  <a:pt x="0" y="0"/>
                                </a:moveTo>
                                <a:lnTo>
                                  <a:pt x="832104" y="0"/>
                                </a:lnTo>
                                <a:lnTo>
                                  <a:pt x="832104" y="9144"/>
                                </a:lnTo>
                                <a:lnTo>
                                  <a:pt x="0" y="9144"/>
                                </a:lnTo>
                                <a:lnTo>
                                  <a:pt x="0" y="0"/>
                                </a:lnTo>
                              </a:path>
                            </a:pathLst>
                          </a:custGeom>
                          <a:solidFill>
                            <a:srgbClr val="000000"/>
                          </a:solidFill>
                          <a:ln w="0" cap="flat">
                            <a:noFill/>
                            <a:miter lim="127000"/>
                          </a:ln>
                          <a:effectLst/>
                        </wps:spPr>
                        <wps:bodyPr/>
                      </wps:wsp>
                      <wps:wsp>
                        <wps:cNvPr id="115626" name="Shape 115626"/>
                        <wps:cNvSpPr/>
                        <wps:spPr>
                          <a:xfrm>
                            <a:off x="167360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5627" name="Shape 115627"/>
                        <wps:cNvSpPr/>
                        <wps:spPr>
                          <a:xfrm>
                            <a:off x="1679702" y="0"/>
                            <a:ext cx="917753" cy="9144"/>
                          </a:xfrm>
                          <a:custGeom>
                            <a:avLst/>
                            <a:gdLst/>
                            <a:ahLst/>
                            <a:cxnLst/>
                            <a:rect l="0" t="0" r="0" b="0"/>
                            <a:pathLst>
                              <a:path w="917753" h="9144">
                                <a:moveTo>
                                  <a:pt x="0" y="0"/>
                                </a:moveTo>
                                <a:lnTo>
                                  <a:pt x="917753" y="0"/>
                                </a:lnTo>
                                <a:lnTo>
                                  <a:pt x="917753" y="9144"/>
                                </a:lnTo>
                                <a:lnTo>
                                  <a:pt x="0" y="9144"/>
                                </a:lnTo>
                                <a:lnTo>
                                  <a:pt x="0" y="0"/>
                                </a:lnTo>
                              </a:path>
                            </a:pathLst>
                          </a:custGeom>
                          <a:solidFill>
                            <a:srgbClr val="000000"/>
                          </a:solidFill>
                          <a:ln w="0" cap="flat">
                            <a:noFill/>
                            <a:miter lim="127000"/>
                          </a:ln>
                          <a:effectLst/>
                        </wps:spPr>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27E9BF8" id="Group 101649" o:spid="_x0000_s1026" style="width:204.5pt;height:.5pt;mso-position-horizontal-relative:char;mso-position-vertical-relative:line" coordsize="259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">
                <v:shape id="Shape 115623" o:spid="_x0000_s1027" style="position:absolute;width:8354;height:91;visibility:visible;mso-wrap-style:square;v-text-anchor:top" coordsize="8354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" path="m,l835457,r,9144l,9144,,e" fillcolor="black" stroked="f" strokeweight="0">
                  <v:stroke miterlimit="83231f" joinstyle="miter"/>
                  <v:path arrowok="t" textboxrect="0,0,835457,9144"/>
                </v:shape>
                <v:shape id="Shape 115624" o:spid="_x0000_s1028" style="position:absolute;left:83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" path="m,l9144,r,9144l,9144,,e" fillcolor="black" stroked="f" strokeweight="0">
                  <v:stroke miterlimit="83231f" joinstyle="miter"/>
                  <v:path arrowok="t" textboxrect="0,0,9144,9144"/>
                </v:shape>
                <v:shape id="Shape 115625" o:spid="_x0000_s1029" style="position:absolute;left:8415;width:8321;height:91;visibility:visible;mso-wrap-style:square;v-text-anchor:top" coordsize="832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" path="m,l832104,r,9144l,9144,,e" fillcolor="black" stroked="f" strokeweight="0">
                  <v:stroke miterlimit="83231f" joinstyle="miter"/>
                  <v:path arrowok="t" textboxrect="0,0,832104,9144"/>
                </v:shape>
                <v:shape id="Shape 115626" o:spid="_x0000_s1030" style="position:absolute;left:167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" path="m,l9144,r,9144l,9144,,e" fillcolor="black" stroked="f" strokeweight="0">
                  <v:stroke miterlimit="83231f" joinstyle="miter"/>
                  <v:path arrowok="t" textboxrect="0,0,9144,9144"/>
                </v:shape>
                <v:shape id="Shape 115627" o:spid="_x0000_s1031" style="position:absolute;left:16797;width:9177;height:91;visibility:visible;mso-wrap-style:square;v-text-anchor:top" coordsize="9177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" path="m,l917753,r,9144l,9144,,e" fillcolor="black" stroked="f" strokeweight="0">
                  <v:stroke miterlimit="83231f" joinstyle="miter"/>
                  <v:path arrowok="t" textboxrect="0,0,917753,9144"/>
                </v:shape>
                <w10:anchorlock/>
              </v:group>
            </w:pict>
          </mc:Fallback>
        </mc:AlternateContent>
      </w:r>
    </w:p>
    <w:tbl>
      <w:tblPr>
        <w:tblStyle w:val="TableGrid"/>
        <w:tblW w:w="9364" w:type="dxa"/>
        <w:tblInd w:w="-14" w:type="dxa"/>
        <w:tblCellMar>
          <w:right w:w="216" w:type="dxa"/>
        </w:tblCellMar>
        <w:tblLook w:val="04A0" w:firstRow="1" w:lastRow="0" w:firstColumn="1" w:lastColumn="0" w:noHBand="0" w:noVBand="1"/>
      </w:tblPr>
      <w:tblGrid>
        <w:gridCol w:w="4835"/>
        <w:gridCol w:w="1639"/>
        <w:gridCol w:w="1184"/>
        <w:gridCol w:w="1010"/>
        <w:gridCol w:w="696"/>
      </w:tblGrid>
      <w:tr w:rsidR="007B366E" w:rsidRPr="004D3C0E" w14:paraId="392BE082" w14:textId="77777777" w:rsidTr="007D5091">
        <w:trPr>
          <w:trHeight w:val="68"/>
        </w:trPr>
        <w:tc>
          <w:tcPr>
            <w:tcW w:w="4835" w:type="dxa"/>
            <w:tcBorders>
              <w:top w:val="nil"/>
              <w:left w:val="nil"/>
              <w:bottom w:val="single" w:sz="4" w:space="0" w:color="000000"/>
              <w:right w:val="nil"/>
            </w:tcBorders>
          </w:tcPr>
          <w:p w14:paraId="2D35DD86" w14:textId="77777777" w:rsidR="007B366E" w:rsidRPr="004D3C0E" w:rsidRDefault="007B366E" w:rsidP="0040604A">
            <w:pPr>
              <w:spacing w:after="0" w:line="276" w:lineRule="auto"/>
              <w:ind w:left="0" w:right="548" w:firstLine="0"/>
              <w:jc w:val="right"/>
              <w:rPr>
                <w:color w:val="auto"/>
              </w:rPr>
            </w:pPr>
            <w:r w:rsidRPr="004D3C0E">
              <w:rPr>
                <w:color w:val="auto"/>
              </w:rPr>
              <w:lastRenderedPageBreak/>
              <w:t xml:space="preserve">B </w:t>
            </w:r>
          </w:p>
        </w:tc>
        <w:tc>
          <w:tcPr>
            <w:tcW w:w="1639" w:type="dxa"/>
            <w:tcBorders>
              <w:top w:val="nil"/>
              <w:left w:val="nil"/>
              <w:bottom w:val="single" w:sz="4" w:space="0" w:color="000000"/>
              <w:right w:val="nil"/>
            </w:tcBorders>
          </w:tcPr>
          <w:p w14:paraId="0680362D" w14:textId="77777777" w:rsidR="007B366E" w:rsidRPr="004D3C0E" w:rsidRDefault="007B366E" w:rsidP="0040604A">
            <w:pPr>
              <w:spacing w:after="0" w:line="276" w:lineRule="auto"/>
              <w:ind w:left="0" w:firstLine="0"/>
              <w:jc w:val="left"/>
              <w:rPr>
                <w:color w:val="auto"/>
              </w:rPr>
            </w:pPr>
            <w:r w:rsidRPr="004D3C0E">
              <w:rPr>
                <w:color w:val="auto"/>
              </w:rPr>
              <w:t xml:space="preserve">Std. Error </w:t>
            </w:r>
          </w:p>
        </w:tc>
        <w:tc>
          <w:tcPr>
            <w:tcW w:w="1184" w:type="dxa"/>
            <w:tcBorders>
              <w:top w:val="nil"/>
              <w:left w:val="nil"/>
              <w:bottom w:val="single" w:sz="4" w:space="0" w:color="000000"/>
              <w:right w:val="nil"/>
            </w:tcBorders>
          </w:tcPr>
          <w:p w14:paraId="7FAAFD50" w14:textId="77777777" w:rsidR="007B366E" w:rsidRPr="004D3C0E" w:rsidRDefault="007B366E" w:rsidP="0040604A">
            <w:pPr>
              <w:spacing w:after="0" w:line="276" w:lineRule="auto"/>
              <w:ind w:left="0" w:firstLine="0"/>
              <w:jc w:val="left"/>
              <w:rPr>
                <w:color w:val="auto"/>
              </w:rPr>
            </w:pPr>
            <w:r w:rsidRPr="004D3C0E">
              <w:rPr>
                <w:color w:val="auto"/>
              </w:rPr>
              <w:t xml:space="preserve">Beta </w:t>
            </w:r>
          </w:p>
        </w:tc>
        <w:tc>
          <w:tcPr>
            <w:tcW w:w="1010" w:type="dxa"/>
            <w:tcBorders>
              <w:top w:val="nil"/>
              <w:left w:val="nil"/>
              <w:bottom w:val="single" w:sz="4" w:space="0" w:color="000000"/>
              <w:right w:val="nil"/>
            </w:tcBorders>
          </w:tcPr>
          <w:p w14:paraId="5DC4E344" w14:textId="77777777" w:rsidR="007B366E" w:rsidRPr="004D3C0E" w:rsidRDefault="007B366E" w:rsidP="0040604A">
            <w:pPr>
              <w:spacing w:after="160" w:line="276" w:lineRule="auto"/>
              <w:ind w:left="0" w:firstLine="0"/>
              <w:jc w:val="left"/>
              <w:rPr>
                <w:color w:val="auto"/>
              </w:rPr>
            </w:pPr>
          </w:p>
        </w:tc>
        <w:tc>
          <w:tcPr>
            <w:tcW w:w="696" w:type="dxa"/>
            <w:tcBorders>
              <w:top w:val="nil"/>
              <w:left w:val="nil"/>
              <w:bottom w:val="single" w:sz="4" w:space="0" w:color="000000"/>
              <w:right w:val="nil"/>
            </w:tcBorders>
          </w:tcPr>
          <w:p w14:paraId="654F959F" w14:textId="77777777" w:rsidR="007B366E" w:rsidRPr="004D3C0E" w:rsidRDefault="007B366E" w:rsidP="0040604A">
            <w:pPr>
              <w:spacing w:after="160" w:line="276" w:lineRule="auto"/>
              <w:ind w:left="0" w:firstLine="0"/>
              <w:jc w:val="left"/>
              <w:rPr>
                <w:color w:val="auto"/>
              </w:rPr>
            </w:pPr>
          </w:p>
        </w:tc>
      </w:tr>
      <w:tr w:rsidR="007B366E" w:rsidRPr="004D3C0E" w14:paraId="7C2A286F" w14:textId="77777777" w:rsidTr="007D5091">
        <w:trPr>
          <w:trHeight w:val="1068"/>
        </w:trPr>
        <w:tc>
          <w:tcPr>
            <w:tcW w:w="4835" w:type="dxa"/>
            <w:tcBorders>
              <w:top w:val="single" w:sz="4" w:space="0" w:color="000000"/>
              <w:left w:val="nil"/>
              <w:bottom w:val="single" w:sz="4" w:space="0" w:color="000000"/>
              <w:right w:val="nil"/>
            </w:tcBorders>
          </w:tcPr>
          <w:p w14:paraId="6350BCB5" w14:textId="77777777" w:rsidR="007B366E" w:rsidRPr="004D3C0E" w:rsidRDefault="007B366E" w:rsidP="0040604A">
            <w:pPr>
              <w:tabs>
                <w:tab w:val="center" w:pos="1306"/>
                <w:tab w:val="center" w:pos="3989"/>
              </w:tabs>
              <w:spacing w:after="199" w:line="276" w:lineRule="auto"/>
              <w:ind w:left="0" w:firstLine="0"/>
              <w:jc w:val="left"/>
              <w:rPr>
                <w:color w:val="auto"/>
              </w:rPr>
            </w:pPr>
            <w:r w:rsidRPr="004D3C0E">
              <w:rPr>
                <w:rFonts w:eastAsia="Calibri"/>
                <w:color w:val="auto"/>
              </w:rPr>
              <w:tab/>
            </w:r>
            <w:r w:rsidRPr="004D3C0E">
              <w:rPr>
                <w:color w:val="auto"/>
              </w:rPr>
              <w:t xml:space="preserve">(Constant) </w:t>
            </w:r>
            <w:r w:rsidRPr="004D3C0E">
              <w:rPr>
                <w:color w:val="auto"/>
              </w:rPr>
              <w:tab/>
              <w:t xml:space="preserve">-1509.08 </w:t>
            </w:r>
          </w:p>
          <w:p w14:paraId="2B6451A8" w14:textId="77777777" w:rsidR="007B366E" w:rsidRPr="004D3C0E" w:rsidRDefault="007B366E" w:rsidP="0040604A">
            <w:pPr>
              <w:tabs>
                <w:tab w:val="center" w:pos="1862"/>
                <w:tab w:val="center" w:pos="3991"/>
              </w:tabs>
              <w:spacing w:after="0" w:line="276" w:lineRule="auto"/>
              <w:ind w:left="0" w:firstLine="0"/>
              <w:jc w:val="left"/>
              <w:rPr>
                <w:color w:val="auto"/>
              </w:rPr>
            </w:pPr>
            <w:r w:rsidRPr="004D3C0E">
              <w:rPr>
                <w:color w:val="auto"/>
              </w:rPr>
              <w:t xml:space="preserve">1 </w:t>
            </w:r>
            <w:r w:rsidRPr="004D3C0E">
              <w:rPr>
                <w:color w:val="auto"/>
              </w:rPr>
              <w:tab/>
              <w:t xml:space="preserve">Customer Satisfaction </w:t>
            </w:r>
            <w:r w:rsidRPr="004D3C0E">
              <w:rPr>
                <w:color w:val="auto"/>
              </w:rPr>
              <w:tab/>
              <w:t xml:space="preserve">4.24 </w:t>
            </w:r>
          </w:p>
        </w:tc>
        <w:tc>
          <w:tcPr>
            <w:tcW w:w="1639" w:type="dxa"/>
            <w:tcBorders>
              <w:top w:val="single" w:sz="4" w:space="0" w:color="000000"/>
              <w:left w:val="nil"/>
              <w:bottom w:val="single" w:sz="4" w:space="0" w:color="000000"/>
              <w:right w:val="nil"/>
            </w:tcBorders>
          </w:tcPr>
          <w:p w14:paraId="429D7512" w14:textId="77777777" w:rsidR="007B366E" w:rsidRPr="004D3C0E" w:rsidRDefault="007B366E" w:rsidP="0040604A">
            <w:pPr>
              <w:spacing w:after="187" w:line="276" w:lineRule="auto"/>
              <w:ind w:left="202" w:firstLine="0"/>
              <w:jc w:val="left"/>
              <w:rPr>
                <w:color w:val="auto"/>
              </w:rPr>
            </w:pPr>
            <w:r w:rsidRPr="004D3C0E">
              <w:rPr>
                <w:color w:val="auto"/>
              </w:rPr>
              <w:t xml:space="preserve">551.0 </w:t>
            </w:r>
          </w:p>
          <w:p w14:paraId="2DA1019E" w14:textId="77777777" w:rsidR="007B366E" w:rsidRPr="004D3C0E" w:rsidRDefault="007B366E" w:rsidP="0040604A">
            <w:pPr>
              <w:spacing w:after="0" w:line="276" w:lineRule="auto"/>
              <w:ind w:left="262" w:firstLine="0"/>
              <w:jc w:val="left"/>
              <w:rPr>
                <w:color w:val="auto"/>
              </w:rPr>
            </w:pPr>
            <w:r w:rsidRPr="004D3C0E">
              <w:rPr>
                <w:color w:val="auto"/>
              </w:rPr>
              <w:t xml:space="preserve">.551 </w:t>
            </w:r>
          </w:p>
        </w:tc>
        <w:tc>
          <w:tcPr>
            <w:tcW w:w="1184" w:type="dxa"/>
            <w:tcBorders>
              <w:top w:val="single" w:sz="4" w:space="0" w:color="000000"/>
              <w:left w:val="nil"/>
              <w:bottom w:val="single" w:sz="4" w:space="0" w:color="000000"/>
              <w:right w:val="nil"/>
            </w:tcBorders>
          </w:tcPr>
          <w:p w14:paraId="14C7C838" w14:textId="77777777" w:rsidR="007B366E" w:rsidRPr="004D3C0E" w:rsidRDefault="007B366E" w:rsidP="0040604A">
            <w:pPr>
              <w:spacing w:after="220" w:line="276" w:lineRule="auto"/>
              <w:ind w:left="221" w:firstLine="0"/>
              <w:jc w:val="left"/>
              <w:rPr>
                <w:color w:val="auto"/>
              </w:rPr>
            </w:pPr>
            <w:r w:rsidRPr="004D3C0E">
              <w:rPr>
                <w:color w:val="auto"/>
              </w:rPr>
              <w:t xml:space="preserve"> </w:t>
            </w:r>
          </w:p>
          <w:p w14:paraId="4F58BA33" w14:textId="77777777" w:rsidR="007B366E" w:rsidRPr="004D3C0E" w:rsidRDefault="007B366E" w:rsidP="0040604A">
            <w:pPr>
              <w:spacing w:after="0" w:line="276" w:lineRule="auto"/>
              <w:ind w:firstLine="0"/>
              <w:jc w:val="left"/>
              <w:rPr>
                <w:color w:val="auto"/>
              </w:rPr>
            </w:pPr>
            <w:r w:rsidRPr="004D3C0E">
              <w:rPr>
                <w:color w:val="auto"/>
              </w:rPr>
              <w:t xml:space="preserve">.931 </w:t>
            </w:r>
          </w:p>
        </w:tc>
        <w:tc>
          <w:tcPr>
            <w:tcW w:w="1010" w:type="dxa"/>
            <w:tcBorders>
              <w:top w:val="single" w:sz="4" w:space="0" w:color="000000"/>
              <w:left w:val="nil"/>
              <w:bottom w:val="single" w:sz="4" w:space="0" w:color="000000"/>
              <w:right w:val="nil"/>
            </w:tcBorders>
          </w:tcPr>
          <w:p w14:paraId="19EC16AA" w14:textId="77777777" w:rsidR="007B366E" w:rsidRPr="004D3C0E" w:rsidRDefault="007B366E" w:rsidP="0040604A">
            <w:pPr>
              <w:spacing w:after="187" w:line="276" w:lineRule="auto"/>
              <w:ind w:left="0" w:firstLine="0"/>
              <w:jc w:val="left"/>
              <w:rPr>
                <w:color w:val="auto"/>
              </w:rPr>
            </w:pPr>
            <w:r w:rsidRPr="004D3C0E">
              <w:rPr>
                <w:color w:val="auto"/>
              </w:rPr>
              <w:t xml:space="preserve">-2.74 </w:t>
            </w:r>
          </w:p>
          <w:p w14:paraId="112E2CF6" w14:textId="77777777" w:rsidR="007B366E" w:rsidRPr="004D3C0E" w:rsidRDefault="007B366E" w:rsidP="0040604A">
            <w:pPr>
              <w:spacing w:after="0" w:line="276" w:lineRule="auto"/>
              <w:ind w:left="38" w:firstLine="0"/>
              <w:jc w:val="left"/>
              <w:rPr>
                <w:color w:val="auto"/>
              </w:rPr>
            </w:pPr>
            <w:r w:rsidRPr="004D3C0E">
              <w:rPr>
                <w:color w:val="auto"/>
              </w:rPr>
              <w:t xml:space="preserve">7.71 </w:t>
            </w:r>
          </w:p>
        </w:tc>
        <w:tc>
          <w:tcPr>
            <w:tcW w:w="696" w:type="dxa"/>
            <w:tcBorders>
              <w:top w:val="single" w:sz="4" w:space="0" w:color="000000"/>
              <w:left w:val="nil"/>
              <w:bottom w:val="single" w:sz="4" w:space="0" w:color="000000"/>
              <w:right w:val="nil"/>
            </w:tcBorders>
          </w:tcPr>
          <w:p w14:paraId="337F8B7F" w14:textId="77777777" w:rsidR="007B366E" w:rsidRPr="004D3C0E" w:rsidRDefault="007B366E" w:rsidP="0040604A">
            <w:pPr>
              <w:spacing w:after="187" w:line="276" w:lineRule="auto"/>
              <w:ind w:left="0" w:firstLine="0"/>
              <w:jc w:val="left"/>
              <w:rPr>
                <w:color w:val="auto"/>
              </w:rPr>
            </w:pPr>
            <w:r w:rsidRPr="004D3C0E">
              <w:rPr>
                <w:color w:val="auto"/>
              </w:rPr>
              <w:t xml:space="preserve">.001 </w:t>
            </w:r>
          </w:p>
          <w:p w14:paraId="3F174E78" w14:textId="77777777" w:rsidR="007B366E" w:rsidRPr="004D3C0E" w:rsidRDefault="007B366E" w:rsidP="0040604A">
            <w:pPr>
              <w:spacing w:after="0" w:line="276" w:lineRule="auto"/>
              <w:ind w:left="0" w:firstLine="0"/>
              <w:jc w:val="left"/>
              <w:rPr>
                <w:color w:val="auto"/>
              </w:rPr>
            </w:pPr>
            <w:r w:rsidRPr="004D3C0E">
              <w:rPr>
                <w:color w:val="auto"/>
              </w:rPr>
              <w:t xml:space="preserve">.001 </w:t>
            </w:r>
          </w:p>
        </w:tc>
      </w:tr>
      <w:tr w:rsidR="007B366E" w:rsidRPr="004D3C0E" w14:paraId="69366ED8" w14:textId="77777777" w:rsidTr="007D5091">
        <w:trPr>
          <w:trHeight w:val="275"/>
        </w:trPr>
        <w:tc>
          <w:tcPr>
            <w:tcW w:w="4835" w:type="dxa"/>
            <w:tcBorders>
              <w:top w:val="single" w:sz="4" w:space="0" w:color="000000"/>
              <w:left w:val="nil"/>
              <w:bottom w:val="single" w:sz="4" w:space="0" w:color="000000"/>
              <w:right w:val="nil"/>
            </w:tcBorders>
          </w:tcPr>
          <w:p w14:paraId="785E182A" w14:textId="77777777" w:rsidR="007B366E" w:rsidRPr="004D3C0E" w:rsidRDefault="007B366E" w:rsidP="0040604A">
            <w:pPr>
              <w:spacing w:after="0" w:line="276" w:lineRule="auto"/>
              <w:ind w:left="74" w:firstLine="0"/>
              <w:jc w:val="left"/>
              <w:rPr>
                <w:color w:val="auto"/>
              </w:rPr>
            </w:pPr>
            <w:r w:rsidRPr="004D3C0E">
              <w:rPr>
                <w:color w:val="auto"/>
              </w:rPr>
              <w:t xml:space="preserve">a. Dependent Variable: Total Tax Revenue </w:t>
            </w:r>
          </w:p>
        </w:tc>
        <w:tc>
          <w:tcPr>
            <w:tcW w:w="1639" w:type="dxa"/>
            <w:tcBorders>
              <w:top w:val="single" w:sz="4" w:space="0" w:color="000000"/>
              <w:left w:val="nil"/>
              <w:bottom w:val="single" w:sz="4" w:space="0" w:color="000000"/>
              <w:right w:val="nil"/>
            </w:tcBorders>
          </w:tcPr>
          <w:p w14:paraId="4CD20E8D" w14:textId="77777777" w:rsidR="007B366E" w:rsidRPr="004D3C0E" w:rsidRDefault="007B366E" w:rsidP="0040604A">
            <w:pPr>
              <w:spacing w:after="160" w:line="276" w:lineRule="auto"/>
              <w:ind w:left="0" w:firstLine="0"/>
              <w:jc w:val="left"/>
              <w:rPr>
                <w:color w:val="auto"/>
              </w:rPr>
            </w:pPr>
          </w:p>
        </w:tc>
        <w:tc>
          <w:tcPr>
            <w:tcW w:w="1184" w:type="dxa"/>
            <w:tcBorders>
              <w:top w:val="single" w:sz="4" w:space="0" w:color="000000"/>
              <w:left w:val="nil"/>
              <w:bottom w:val="single" w:sz="4" w:space="0" w:color="000000"/>
              <w:right w:val="nil"/>
            </w:tcBorders>
          </w:tcPr>
          <w:p w14:paraId="3185047A" w14:textId="77777777" w:rsidR="007B366E" w:rsidRPr="004D3C0E" w:rsidRDefault="007B366E" w:rsidP="0040604A">
            <w:pPr>
              <w:spacing w:after="160" w:line="276" w:lineRule="auto"/>
              <w:ind w:left="0" w:firstLine="0"/>
              <w:jc w:val="left"/>
              <w:rPr>
                <w:color w:val="auto"/>
              </w:rPr>
            </w:pPr>
          </w:p>
        </w:tc>
        <w:tc>
          <w:tcPr>
            <w:tcW w:w="1010" w:type="dxa"/>
            <w:tcBorders>
              <w:top w:val="single" w:sz="4" w:space="0" w:color="000000"/>
              <w:left w:val="nil"/>
              <w:bottom w:val="single" w:sz="4" w:space="0" w:color="000000"/>
              <w:right w:val="nil"/>
            </w:tcBorders>
          </w:tcPr>
          <w:p w14:paraId="57097A36" w14:textId="77777777" w:rsidR="007B366E" w:rsidRPr="004D3C0E" w:rsidRDefault="007B366E" w:rsidP="0040604A">
            <w:pPr>
              <w:spacing w:after="160" w:line="276" w:lineRule="auto"/>
              <w:ind w:left="0" w:firstLine="0"/>
              <w:jc w:val="left"/>
              <w:rPr>
                <w:color w:val="auto"/>
              </w:rPr>
            </w:pPr>
          </w:p>
        </w:tc>
        <w:tc>
          <w:tcPr>
            <w:tcW w:w="696" w:type="dxa"/>
            <w:tcBorders>
              <w:top w:val="single" w:sz="4" w:space="0" w:color="000000"/>
              <w:left w:val="nil"/>
              <w:bottom w:val="single" w:sz="4" w:space="0" w:color="000000"/>
              <w:right w:val="nil"/>
            </w:tcBorders>
          </w:tcPr>
          <w:p w14:paraId="21A244CF" w14:textId="77777777" w:rsidR="007B366E" w:rsidRPr="004D3C0E" w:rsidRDefault="007B366E" w:rsidP="0040604A">
            <w:pPr>
              <w:spacing w:after="160" w:line="276" w:lineRule="auto"/>
              <w:ind w:left="0" w:firstLine="0"/>
              <w:jc w:val="left"/>
              <w:rPr>
                <w:color w:val="auto"/>
              </w:rPr>
            </w:pPr>
          </w:p>
        </w:tc>
      </w:tr>
    </w:tbl>
    <w:p w14:paraId="684756C4" w14:textId="77777777" w:rsidR="007B366E" w:rsidRPr="004D3C0E" w:rsidRDefault="007B366E" w:rsidP="007B366E">
      <w:pPr>
        <w:spacing w:after="0" w:line="276" w:lineRule="auto"/>
        <w:ind w:left="0" w:firstLine="0"/>
        <w:jc w:val="left"/>
        <w:rPr>
          <w:color w:val="auto"/>
          <w:sz w:val="22"/>
        </w:rPr>
      </w:pPr>
      <w:r w:rsidRPr="004D3C0E">
        <w:rPr>
          <w:color w:val="auto"/>
          <w:sz w:val="22"/>
        </w:rPr>
        <w:t xml:space="preserve"> </w:t>
      </w:r>
    </w:p>
    <w:p w14:paraId="4DE6236B" w14:textId="77777777" w:rsidR="00D462E4" w:rsidRPr="00D462E4" w:rsidRDefault="00D462E4" w:rsidP="00D462E4">
      <w:pPr>
        <w:spacing w:after="166" w:line="276" w:lineRule="auto"/>
        <w:ind w:left="-5" w:right="375"/>
        <w:rPr>
          <w:color w:val="auto"/>
          <w:sz w:val="22"/>
          <w:lang w:val="en-GB"/>
        </w:rPr>
      </w:pPr>
      <w:r w:rsidRPr="00D462E4">
        <w:rPr>
          <w:color w:val="auto"/>
          <w:sz w:val="22"/>
          <w:lang w:val="en-GB"/>
        </w:rPr>
        <w:t>The study revealed a strong positive correlation between VAT revenue and total tax revenue. A correlation coefficient (R) of 0.93 indicates that fluctuations in VAT revenue closely mirror changes in total tax revenue. An R-squared value of 0.87 shows that 87% of total tax revenue variability is attributable to VAT revenue variations, underscoring VAT's pivotal role in Ghana's fiscal framework. The adjusted R-squared value of 0.86 confirms the model's reliability. The standard error of 10,604.81 reflects average deviation between actual and predicted values, which is expected in macroeconomic datasets influenced by diverse economic conditions and policy shifts.</w:t>
      </w:r>
    </w:p>
    <w:p w14:paraId="10E9A10E" w14:textId="77777777" w:rsidR="00D462E4" w:rsidRPr="00D462E4" w:rsidRDefault="00D462E4" w:rsidP="00D462E4">
      <w:pPr>
        <w:spacing w:after="166" w:line="276" w:lineRule="auto"/>
        <w:ind w:left="-5" w:right="375"/>
        <w:rPr>
          <w:color w:val="auto"/>
          <w:sz w:val="22"/>
          <w:lang w:val="en-GB"/>
        </w:rPr>
      </w:pPr>
      <w:r w:rsidRPr="00D462E4">
        <w:rPr>
          <w:color w:val="auto"/>
          <w:sz w:val="22"/>
          <w:lang w:val="en-GB"/>
        </w:rPr>
        <w:t>The ANOVA yields an F-statistic of 59.37 (p = 0.001), confirming the regression model's statistical significance at the 1% level. This demonstrates that the relationship between VAT revenue and total tax revenue is meaningful and not coincidental. The low p-value establishes VAT revenue as a strong predictor of total tax revenue. Therefore, the null hypothesis is rejected, confirming a significant effect of VAT revenue on total tax revenue.</w:t>
      </w:r>
    </w:p>
    <w:p w14:paraId="6DD4601D" w14:textId="77777777" w:rsidR="00D462E4" w:rsidRPr="00D462E4" w:rsidRDefault="00D462E4" w:rsidP="00D462E4">
      <w:pPr>
        <w:spacing w:after="166" w:line="276" w:lineRule="auto"/>
        <w:ind w:left="-5" w:right="375"/>
        <w:rPr>
          <w:color w:val="auto"/>
          <w:sz w:val="22"/>
          <w:lang w:val="en-GB"/>
        </w:rPr>
      </w:pPr>
      <w:r w:rsidRPr="00D462E4">
        <w:rPr>
          <w:color w:val="auto"/>
          <w:sz w:val="22"/>
          <w:lang w:val="en-GB"/>
        </w:rPr>
        <w:t>Recent research supports these findings. The OECD (2024) reported that VAT accounted for 20.8% of total revenues among member countries. In developing nations, VAT serves as a cornerstone for domestic revenue mobilisation. Adu-Gyamfi and Asamoah (2023) found that VAT and corporate income tax each contributed over 20% of Ghana's total tax revenue in recent years. Mensah and Oppong (2022) confirmed that VAT reforms significantly enhanced revenue mobilisation but emphasised the need for stronger enforcement mechanisms.</w:t>
      </w:r>
    </w:p>
    <w:p w14:paraId="07782410" w14:textId="77777777" w:rsidR="00D462E4" w:rsidRPr="00D462E4" w:rsidRDefault="00D462E4" w:rsidP="00D462E4">
      <w:pPr>
        <w:spacing w:after="166" w:line="276" w:lineRule="auto"/>
        <w:ind w:left="-5" w:right="375"/>
        <w:rPr>
          <w:color w:val="auto"/>
          <w:sz w:val="22"/>
          <w:lang w:val="en-GB"/>
        </w:rPr>
      </w:pPr>
      <w:r w:rsidRPr="00D462E4">
        <w:rPr>
          <w:color w:val="auto"/>
          <w:sz w:val="22"/>
          <w:lang w:val="en-GB"/>
        </w:rPr>
        <w:t>However, challenges persist. The World Bank's 2024 Ghana Economic Update noted VAT's declining share of total tax revenues from 34% in 2015 to 17% in 2021, attributed to rate reductions and exemptions. Boateng and Adjei (2021) identified loopholes in VAT collection, particularly in the informal sector, as undermining expected revenue gains.</w:t>
      </w:r>
    </w:p>
    <w:p w14:paraId="5337115E" w14:textId="77777777" w:rsidR="007B366E" w:rsidRPr="004D3C0E" w:rsidRDefault="007B366E" w:rsidP="007B366E">
      <w:pPr>
        <w:spacing w:after="166" w:line="276" w:lineRule="auto"/>
        <w:ind w:left="-5" w:right="375"/>
        <w:rPr>
          <w:b/>
          <w:bCs/>
          <w:color w:val="auto"/>
          <w:sz w:val="22"/>
        </w:rPr>
      </w:pPr>
    </w:p>
    <w:p w14:paraId="02A21D71" w14:textId="77777777" w:rsidR="007B366E" w:rsidRPr="004D3C0E" w:rsidRDefault="007B366E" w:rsidP="007B366E">
      <w:pPr>
        <w:spacing w:after="166" w:line="276" w:lineRule="auto"/>
        <w:ind w:left="-5" w:right="375"/>
        <w:rPr>
          <w:b/>
          <w:bCs/>
          <w:color w:val="auto"/>
          <w:sz w:val="22"/>
        </w:rPr>
      </w:pPr>
      <w:r w:rsidRPr="004D3C0E">
        <w:rPr>
          <w:b/>
          <w:bCs/>
          <w:color w:val="auto"/>
          <w:sz w:val="22"/>
        </w:rPr>
        <w:t>5. Conclusion</w:t>
      </w:r>
    </w:p>
    <w:p w14:paraId="205026CF" w14:textId="77777777" w:rsidR="007B366E" w:rsidRPr="004D3C0E" w:rsidRDefault="007B366E" w:rsidP="0079393C">
      <w:pPr>
        <w:spacing w:after="161" w:line="276" w:lineRule="auto"/>
        <w:ind w:left="-5" w:right="4"/>
        <w:rPr>
          <w:color w:val="auto"/>
          <w:sz w:val="22"/>
        </w:rPr>
      </w:pPr>
      <w:r w:rsidRPr="004D3C0E">
        <w:rPr>
          <w:color w:val="auto"/>
          <w:sz w:val="22"/>
        </w:rPr>
        <w:t xml:space="preserve">This study examined the impact of Value Added Tax (VAT) on tax administration efficiency and overall revenue </w:t>
      </w:r>
      <w:proofErr w:type="spellStart"/>
      <w:r w:rsidRPr="004D3C0E">
        <w:rPr>
          <w:color w:val="auto"/>
          <w:sz w:val="22"/>
        </w:rPr>
        <w:t>mobilisation</w:t>
      </w:r>
      <w:proofErr w:type="spellEnd"/>
      <w:r w:rsidRPr="004D3C0E">
        <w:rPr>
          <w:color w:val="auto"/>
          <w:sz w:val="22"/>
        </w:rPr>
        <w:t xml:space="preserve"> in Ghana from 2013 to 2023, using time-series data and empirical analysis. The findings revealed that VAT remains a fundamental driver of government revenue and a cornerstone of Ghana’s fiscal policy framework. The strong and statistically significant correlation (r = 0.93) and regression results (R² = 0.87) demonstrated that VAT revenue accounts for a substantial proportion of variations in total tax revenue, underscoring its critical contribution to national revenue performance.</w:t>
      </w:r>
    </w:p>
    <w:p w14:paraId="3DED93DD" w14:textId="77777777" w:rsidR="007B366E" w:rsidRPr="004D3C0E" w:rsidRDefault="007B366E" w:rsidP="0079393C">
      <w:pPr>
        <w:spacing w:after="161" w:line="276" w:lineRule="auto"/>
        <w:ind w:left="-5" w:right="4"/>
        <w:rPr>
          <w:color w:val="auto"/>
          <w:sz w:val="22"/>
        </w:rPr>
      </w:pPr>
      <w:r w:rsidRPr="004D3C0E">
        <w:rPr>
          <w:color w:val="auto"/>
          <w:sz w:val="22"/>
        </w:rPr>
        <w:t xml:space="preserve">Over the decade under review, VAT revenue displayed a generally upward trend, punctuated by fluctuations that mirrored macroeconomic cycles, policy adjustments, and administrative challenges. The rapid growth </w:t>
      </w:r>
      <w:r w:rsidRPr="004D3C0E">
        <w:rPr>
          <w:color w:val="auto"/>
          <w:sz w:val="22"/>
        </w:rPr>
        <w:lastRenderedPageBreak/>
        <w:t xml:space="preserve">in VAT collections between 2021 and 2023 signaled improvements in tax </w:t>
      </w:r>
      <w:proofErr w:type="spellStart"/>
      <w:r w:rsidRPr="004D3C0E">
        <w:rPr>
          <w:color w:val="auto"/>
          <w:sz w:val="22"/>
        </w:rPr>
        <w:t>digitalisation</w:t>
      </w:r>
      <w:proofErr w:type="spellEnd"/>
      <w:r w:rsidRPr="004D3C0E">
        <w:rPr>
          <w:color w:val="auto"/>
          <w:sz w:val="22"/>
        </w:rPr>
        <w:t>, compliance enforcement, and economic recovery efforts. However, inefficiencies in administration, inadequate taxpayer education, and limited coverage of the informal sector continue to impede VAT’s full potential.</w:t>
      </w:r>
    </w:p>
    <w:p w14:paraId="5E4E6CC2" w14:textId="77777777" w:rsidR="007B366E" w:rsidRPr="004D3C0E" w:rsidRDefault="007B366E" w:rsidP="0079393C">
      <w:pPr>
        <w:spacing w:after="161" w:line="276" w:lineRule="auto"/>
        <w:ind w:left="-5" w:right="4"/>
        <w:rPr>
          <w:color w:val="auto"/>
          <w:sz w:val="22"/>
        </w:rPr>
      </w:pPr>
      <w:r w:rsidRPr="004D3C0E">
        <w:rPr>
          <w:color w:val="auto"/>
          <w:sz w:val="22"/>
        </w:rPr>
        <w:t xml:space="preserve">Thus, while VAT has significantly enhanced Ghana’s revenue </w:t>
      </w:r>
      <w:proofErr w:type="spellStart"/>
      <w:r w:rsidRPr="004D3C0E">
        <w:rPr>
          <w:color w:val="auto"/>
          <w:sz w:val="22"/>
        </w:rPr>
        <w:t>mobilisation</w:t>
      </w:r>
      <w:proofErr w:type="spellEnd"/>
      <w:r w:rsidRPr="004D3C0E">
        <w:rPr>
          <w:color w:val="auto"/>
          <w:sz w:val="22"/>
        </w:rPr>
        <w:t xml:space="preserve"> capacity, the efficiency of its administration remains constrained by structural and operational weaknesses. Sustaining revenue growth and improving tax administration efficiency will depend on the Ghana Revenue Authority’s ability to strengthen institutional capacity, leverage technology, and foster voluntary compliance through transparent and simplified tax processes.</w:t>
      </w:r>
    </w:p>
    <w:p w14:paraId="01AF48C3" w14:textId="77777777" w:rsidR="007B366E" w:rsidRPr="004D3C0E" w:rsidRDefault="007B366E" w:rsidP="007B366E">
      <w:pPr>
        <w:spacing w:after="166" w:line="276" w:lineRule="auto"/>
        <w:ind w:left="-5" w:right="375"/>
        <w:rPr>
          <w:color w:val="auto"/>
          <w:sz w:val="22"/>
        </w:rPr>
      </w:pPr>
    </w:p>
    <w:p w14:paraId="3C87251A" w14:textId="77777777" w:rsidR="007B366E" w:rsidRPr="004D3C0E" w:rsidRDefault="007B366E" w:rsidP="007B366E">
      <w:pPr>
        <w:spacing w:after="166" w:line="276" w:lineRule="auto"/>
        <w:ind w:left="-5" w:right="375"/>
        <w:rPr>
          <w:b/>
          <w:bCs/>
          <w:color w:val="auto"/>
          <w:sz w:val="22"/>
        </w:rPr>
      </w:pPr>
      <w:r w:rsidRPr="004D3C0E">
        <w:rPr>
          <w:b/>
          <w:bCs/>
          <w:color w:val="auto"/>
          <w:sz w:val="22"/>
        </w:rPr>
        <w:t>6. Implications</w:t>
      </w:r>
    </w:p>
    <w:p w14:paraId="27A71C22" w14:textId="77777777" w:rsidR="007B366E" w:rsidRPr="004D3C0E" w:rsidRDefault="007B366E" w:rsidP="007B366E">
      <w:pPr>
        <w:spacing w:after="166" w:line="276" w:lineRule="auto"/>
        <w:ind w:left="-5" w:right="375"/>
        <w:rPr>
          <w:color w:val="auto"/>
          <w:sz w:val="22"/>
        </w:rPr>
      </w:pPr>
      <w:r w:rsidRPr="004D3C0E">
        <w:rPr>
          <w:color w:val="auto"/>
          <w:sz w:val="22"/>
        </w:rPr>
        <w:t>The study’s results highlight several policy-relevant insights for Ghana’s fiscal authorities:</w:t>
      </w:r>
    </w:p>
    <w:p w14:paraId="50EF0BFB" w14:textId="77777777" w:rsidR="007B366E" w:rsidRPr="004D3C0E" w:rsidRDefault="007B366E" w:rsidP="007B366E">
      <w:pPr>
        <w:pStyle w:val="ListParagraph"/>
        <w:numPr>
          <w:ilvl w:val="0"/>
          <w:numId w:val="6"/>
        </w:numPr>
        <w:spacing w:after="166" w:line="276" w:lineRule="auto"/>
        <w:ind w:right="375"/>
        <w:rPr>
          <w:color w:val="auto"/>
          <w:sz w:val="22"/>
        </w:rPr>
      </w:pPr>
      <w:r w:rsidRPr="004D3C0E">
        <w:rPr>
          <w:color w:val="auto"/>
          <w:sz w:val="22"/>
        </w:rPr>
        <w:t xml:space="preserve">The need to strengthen systems like the Ghana Integrated Tax Application System (GITAS) can </w:t>
      </w:r>
      <w:proofErr w:type="spellStart"/>
      <w:r w:rsidRPr="004D3C0E">
        <w:rPr>
          <w:color w:val="auto"/>
          <w:sz w:val="22"/>
        </w:rPr>
        <w:t>minimise</w:t>
      </w:r>
      <w:proofErr w:type="spellEnd"/>
      <w:r w:rsidRPr="004D3C0E">
        <w:rPr>
          <w:color w:val="auto"/>
          <w:sz w:val="22"/>
        </w:rPr>
        <w:t xml:space="preserve"> leakages, improve monitoring, and streamline VAT reporting.</w:t>
      </w:r>
    </w:p>
    <w:p w14:paraId="7DAB8EE5" w14:textId="77777777" w:rsidR="007B366E" w:rsidRPr="004D3C0E" w:rsidRDefault="007B366E" w:rsidP="007B366E">
      <w:pPr>
        <w:pStyle w:val="ListParagraph"/>
        <w:numPr>
          <w:ilvl w:val="0"/>
          <w:numId w:val="6"/>
        </w:numPr>
        <w:spacing w:after="166" w:line="276" w:lineRule="auto"/>
        <w:ind w:right="375"/>
        <w:rPr>
          <w:color w:val="auto"/>
          <w:sz w:val="22"/>
        </w:rPr>
      </w:pPr>
      <w:r w:rsidRPr="004D3C0E">
        <w:rPr>
          <w:color w:val="auto"/>
          <w:sz w:val="22"/>
        </w:rPr>
        <w:t>Since a substantial portion of economic activity remains untaxed, extending VAT coverage to informal enterprises through simplified registration and incentive-based compliance schemes could expand the tax base.</w:t>
      </w:r>
    </w:p>
    <w:p w14:paraId="3995EAEB" w14:textId="77777777" w:rsidR="007B366E" w:rsidRPr="004D3C0E" w:rsidRDefault="007B366E" w:rsidP="007B366E">
      <w:pPr>
        <w:pStyle w:val="ListParagraph"/>
        <w:numPr>
          <w:ilvl w:val="0"/>
          <w:numId w:val="6"/>
        </w:numPr>
        <w:spacing w:after="166" w:line="276" w:lineRule="auto"/>
        <w:ind w:right="375"/>
        <w:rPr>
          <w:color w:val="auto"/>
          <w:sz w:val="22"/>
        </w:rPr>
      </w:pPr>
      <w:r w:rsidRPr="004D3C0E">
        <w:rPr>
          <w:color w:val="auto"/>
          <w:sz w:val="22"/>
        </w:rPr>
        <w:t>Frequent policy changes and exemptions undermine compliance. A consistent, transparent VAT policy will promote trust and enable long-term planning among taxpayers.</w:t>
      </w:r>
    </w:p>
    <w:p w14:paraId="4761F96F" w14:textId="77777777" w:rsidR="007B366E" w:rsidRPr="004D3C0E" w:rsidRDefault="007B366E" w:rsidP="007B366E">
      <w:pPr>
        <w:pStyle w:val="ListParagraph"/>
        <w:numPr>
          <w:ilvl w:val="0"/>
          <w:numId w:val="6"/>
        </w:numPr>
        <w:spacing w:after="166" w:line="276" w:lineRule="auto"/>
        <w:ind w:right="375"/>
        <w:rPr>
          <w:color w:val="auto"/>
          <w:sz w:val="22"/>
        </w:rPr>
      </w:pPr>
      <w:r w:rsidRPr="004D3C0E">
        <w:rPr>
          <w:color w:val="auto"/>
          <w:sz w:val="22"/>
        </w:rPr>
        <w:t>Continuous professional development for GRA staff, particularly in digital auditing and taxpayer engagement, will enhance administrative competence and efficiency.</w:t>
      </w:r>
    </w:p>
    <w:p w14:paraId="14AAFCC8" w14:textId="77777777" w:rsidR="007B366E" w:rsidRPr="004D3C0E" w:rsidRDefault="007B366E" w:rsidP="007B366E">
      <w:pPr>
        <w:pStyle w:val="ListParagraph"/>
        <w:numPr>
          <w:ilvl w:val="0"/>
          <w:numId w:val="6"/>
        </w:numPr>
        <w:spacing w:after="166" w:line="276" w:lineRule="auto"/>
        <w:ind w:right="375"/>
        <w:rPr>
          <w:color w:val="auto"/>
          <w:sz w:val="22"/>
        </w:rPr>
      </w:pPr>
      <w:r w:rsidRPr="004D3C0E">
        <w:rPr>
          <w:color w:val="auto"/>
          <w:sz w:val="22"/>
        </w:rPr>
        <w:t>Sustained education campaigns can demystify VAT, foster civic responsibility, and reduce evasion by enhancing the understanding of the tax’s purpose and benefits.</w:t>
      </w:r>
    </w:p>
    <w:p w14:paraId="7EB035E1" w14:textId="77777777" w:rsidR="007B366E" w:rsidRPr="004D3C0E" w:rsidRDefault="007B366E" w:rsidP="007B366E">
      <w:pPr>
        <w:spacing w:after="166" w:line="276" w:lineRule="auto"/>
        <w:ind w:left="-5" w:right="375"/>
        <w:rPr>
          <w:color w:val="auto"/>
          <w:sz w:val="22"/>
        </w:rPr>
      </w:pPr>
      <w:r w:rsidRPr="004D3C0E">
        <w:rPr>
          <w:color w:val="auto"/>
          <w:sz w:val="22"/>
        </w:rPr>
        <w:t xml:space="preserve">Thus, the findings reinforce fiscal efficiency theory, </w:t>
      </w:r>
      <w:proofErr w:type="spellStart"/>
      <w:r w:rsidRPr="004D3C0E">
        <w:rPr>
          <w:color w:val="auto"/>
          <w:sz w:val="22"/>
        </w:rPr>
        <w:t>emphasising</w:t>
      </w:r>
      <w:proofErr w:type="spellEnd"/>
      <w:r w:rsidRPr="004D3C0E">
        <w:rPr>
          <w:color w:val="auto"/>
          <w:sz w:val="22"/>
        </w:rPr>
        <w:t xml:space="preserve"> that indirect taxes like VAT enhance government capacity when effectively administered. The results contribute to public finance literature by empirically linking VAT performance to administrative efficiency and demonstrating that tax structure reforms yield measurable fiscal outcomes.</w:t>
      </w:r>
    </w:p>
    <w:p w14:paraId="491005E7" w14:textId="77777777" w:rsidR="007B366E" w:rsidRDefault="007B366E" w:rsidP="007B366E">
      <w:pPr>
        <w:spacing w:after="166" w:line="276" w:lineRule="auto"/>
        <w:ind w:left="-5" w:right="375"/>
        <w:rPr>
          <w:color w:val="auto"/>
          <w:sz w:val="22"/>
        </w:rPr>
      </w:pPr>
      <w:r w:rsidRPr="004D3C0E">
        <w:rPr>
          <w:color w:val="auto"/>
          <w:sz w:val="22"/>
        </w:rPr>
        <w:t xml:space="preserve">Furthermore, for practitioners within the Ghana Revenue Authority, the study provides evidence-based guidance for operational improvements. Implementing data-driven decision tools, auditing frameworks, and feedback systems can directly enhance efficiency. Additionally, adopting </w:t>
      </w:r>
      <w:proofErr w:type="spellStart"/>
      <w:r w:rsidRPr="004D3C0E">
        <w:rPr>
          <w:color w:val="auto"/>
          <w:sz w:val="22"/>
        </w:rPr>
        <w:t>behavioural</w:t>
      </w:r>
      <w:proofErr w:type="spellEnd"/>
      <w:r w:rsidRPr="004D3C0E">
        <w:rPr>
          <w:color w:val="auto"/>
          <w:sz w:val="22"/>
        </w:rPr>
        <w:t xml:space="preserve"> insights in compliance strategies could improve voluntary participation among taxpayers.</w:t>
      </w:r>
    </w:p>
    <w:p w14:paraId="7F07646D" w14:textId="77777777" w:rsidR="004B56AB" w:rsidRPr="004D3C0E" w:rsidRDefault="004B56AB" w:rsidP="007B366E">
      <w:pPr>
        <w:spacing w:after="166" w:line="276" w:lineRule="auto"/>
        <w:ind w:left="-5" w:right="375"/>
        <w:rPr>
          <w:color w:val="auto"/>
          <w:sz w:val="22"/>
        </w:rPr>
      </w:pPr>
    </w:p>
    <w:p w14:paraId="748D7E2E" w14:textId="77777777" w:rsidR="007B366E" w:rsidRPr="004D3C0E" w:rsidRDefault="007B366E" w:rsidP="007D5091">
      <w:pPr>
        <w:spacing w:after="0" w:line="276" w:lineRule="auto"/>
        <w:ind w:left="-5" w:right="375"/>
        <w:rPr>
          <w:b/>
          <w:bCs/>
          <w:color w:val="auto"/>
          <w:sz w:val="22"/>
        </w:rPr>
      </w:pPr>
      <w:r w:rsidRPr="004D3C0E">
        <w:rPr>
          <w:b/>
          <w:bCs/>
          <w:color w:val="auto"/>
          <w:sz w:val="22"/>
        </w:rPr>
        <w:t>7. Limitations and directions for future research</w:t>
      </w:r>
    </w:p>
    <w:p w14:paraId="732E9362" w14:textId="77777777" w:rsidR="007B366E" w:rsidRPr="004D3C0E" w:rsidRDefault="007B366E" w:rsidP="007B366E">
      <w:pPr>
        <w:spacing w:after="166" w:line="276" w:lineRule="auto"/>
        <w:ind w:left="-5" w:right="375"/>
        <w:rPr>
          <w:color w:val="auto"/>
          <w:sz w:val="22"/>
        </w:rPr>
      </w:pPr>
      <w:r w:rsidRPr="004D3C0E">
        <w:rPr>
          <w:color w:val="auto"/>
          <w:sz w:val="22"/>
        </w:rPr>
        <w:t xml:space="preserve">Despite its comprehensive scope, this study has some limitations that offer opportunities for further exploration. For instance, the analysis was limited to secondary fiscal data from 2013–2023 and self-reported responses from GRA officials in the Accra Central and Western regions. Expanding the sample geographically would enhance the generalizability of the findings. Also, although regression and correlation analyses revealed strong associations, causal inference remains limited due to potential confounding variables such as inflation, currency fluctuations, and political cycles. Again, the study did not include direct data from informal enterprises, which form a large portion of the economy and </w:t>
      </w:r>
      <w:r w:rsidRPr="004D3C0E">
        <w:rPr>
          <w:color w:val="auto"/>
          <w:sz w:val="22"/>
        </w:rPr>
        <w:lastRenderedPageBreak/>
        <w:t>significantly influence VAT efficiency. Thus, future studies could employ advanced econometric models, such as Vector Autoregression (VAR) or Error Correction Models (ECM), or panel data approaches to better capture the dynamic interactions among fiscal variables.</w:t>
      </w:r>
    </w:p>
    <w:p w14:paraId="5CD90D5D" w14:textId="77777777" w:rsidR="007B366E" w:rsidRPr="004D3C0E" w:rsidRDefault="007B366E" w:rsidP="007B366E">
      <w:pPr>
        <w:spacing w:after="166" w:line="276" w:lineRule="auto"/>
        <w:ind w:left="-5" w:right="375"/>
        <w:rPr>
          <w:color w:val="auto"/>
          <w:sz w:val="22"/>
        </w:rPr>
      </w:pPr>
    </w:p>
    <w:p w14:paraId="0DE27EE2" w14:textId="77777777" w:rsidR="007B366E" w:rsidRPr="004D3C0E" w:rsidRDefault="007B366E" w:rsidP="007B366E">
      <w:pPr>
        <w:spacing w:after="166" w:line="276" w:lineRule="auto"/>
        <w:ind w:left="-5" w:right="375"/>
        <w:rPr>
          <w:color w:val="auto"/>
          <w:sz w:val="22"/>
        </w:rPr>
      </w:pPr>
      <w:r w:rsidRPr="004D3C0E">
        <w:rPr>
          <w:b/>
          <w:bCs/>
          <w:color w:val="auto"/>
          <w:sz w:val="22"/>
        </w:rPr>
        <w:t>References</w:t>
      </w:r>
    </w:p>
    <w:p w14:paraId="6A113C61" w14:textId="730761E5" w:rsidR="0040604A" w:rsidRDefault="0040604A" w:rsidP="007B366E">
      <w:pPr>
        <w:spacing w:line="276" w:lineRule="auto"/>
        <w:ind w:left="540" w:hanging="540"/>
        <w:jc w:val="left"/>
        <w:rPr>
          <w:color w:val="auto"/>
          <w:sz w:val="22"/>
        </w:rPr>
      </w:pPr>
      <w:proofErr w:type="spellStart"/>
      <w:r w:rsidRPr="0040604A">
        <w:rPr>
          <w:color w:val="auto"/>
          <w:sz w:val="22"/>
          <w:lang w:val="fr-FR"/>
        </w:rPr>
        <w:t>Abane</w:t>
      </w:r>
      <w:proofErr w:type="spellEnd"/>
      <w:r w:rsidRPr="0040604A">
        <w:rPr>
          <w:color w:val="auto"/>
          <w:sz w:val="22"/>
          <w:lang w:val="fr-FR"/>
        </w:rPr>
        <w:t xml:space="preserve">, J. A., </w:t>
      </w:r>
      <w:proofErr w:type="spellStart"/>
      <w:r w:rsidRPr="0040604A">
        <w:rPr>
          <w:color w:val="auto"/>
          <w:sz w:val="22"/>
          <w:lang w:val="fr-FR"/>
        </w:rPr>
        <w:t>Brenya</w:t>
      </w:r>
      <w:proofErr w:type="spellEnd"/>
      <w:r w:rsidRPr="0040604A">
        <w:rPr>
          <w:color w:val="auto"/>
          <w:sz w:val="22"/>
          <w:lang w:val="fr-FR"/>
        </w:rPr>
        <w:t xml:space="preserve">, E., &amp; </w:t>
      </w:r>
      <w:proofErr w:type="spellStart"/>
      <w:r w:rsidRPr="0040604A">
        <w:rPr>
          <w:color w:val="auto"/>
          <w:sz w:val="22"/>
          <w:lang w:val="fr-FR"/>
        </w:rPr>
        <w:t>Agyapong</w:t>
      </w:r>
      <w:proofErr w:type="spellEnd"/>
      <w:r w:rsidRPr="0040604A">
        <w:rPr>
          <w:color w:val="auto"/>
          <w:sz w:val="22"/>
          <w:lang w:val="fr-FR"/>
        </w:rPr>
        <w:t xml:space="preserve">, A. B. (2023). </w:t>
      </w:r>
      <w:r w:rsidRPr="0040604A">
        <w:rPr>
          <w:color w:val="auto"/>
          <w:sz w:val="22"/>
        </w:rPr>
        <w:t xml:space="preserve">Employee perception of electronic human resource management and COVID-19 restrictions in public organizations: The experience of Ghana Revenue Authority, Bono Region. Future Business Journal, 9(1), Article 266. </w:t>
      </w:r>
      <w:hyperlink r:id="rId10" w:history="1">
        <w:r w:rsidRPr="00103F45">
          <w:rPr>
            <w:rStyle w:val="Hyperlink"/>
            <w:sz w:val="22"/>
          </w:rPr>
          <w:t>https://doi.org/10.1186/s43093-023-00266-5</w:t>
        </w:r>
      </w:hyperlink>
    </w:p>
    <w:p w14:paraId="02BC8DF8" w14:textId="19C65E02" w:rsidR="007B366E" w:rsidRPr="004D3C0E" w:rsidRDefault="007B366E" w:rsidP="007B366E">
      <w:pPr>
        <w:spacing w:line="276" w:lineRule="auto"/>
        <w:ind w:left="540" w:hanging="540"/>
        <w:jc w:val="left"/>
        <w:rPr>
          <w:color w:val="auto"/>
          <w:sz w:val="22"/>
        </w:rPr>
      </w:pPr>
      <w:proofErr w:type="spellStart"/>
      <w:r w:rsidRPr="004D3C0E">
        <w:rPr>
          <w:color w:val="auto"/>
          <w:sz w:val="22"/>
        </w:rPr>
        <w:t>Abiahu</w:t>
      </w:r>
      <w:proofErr w:type="spellEnd"/>
      <w:r w:rsidRPr="004D3C0E">
        <w:rPr>
          <w:color w:val="auto"/>
          <w:sz w:val="22"/>
        </w:rPr>
        <w:t xml:space="preserve">, M. F. C., </w:t>
      </w:r>
      <w:proofErr w:type="spellStart"/>
      <w:r w:rsidRPr="004D3C0E">
        <w:rPr>
          <w:color w:val="auto"/>
          <w:sz w:val="22"/>
        </w:rPr>
        <w:t>Emuoghene</w:t>
      </w:r>
      <w:proofErr w:type="spellEnd"/>
      <w:r w:rsidRPr="004D3C0E">
        <w:rPr>
          <w:color w:val="auto"/>
          <w:sz w:val="22"/>
        </w:rPr>
        <w:t xml:space="preserve">, O., </w:t>
      </w:r>
      <w:proofErr w:type="spellStart"/>
      <w:r w:rsidRPr="004D3C0E">
        <w:rPr>
          <w:color w:val="auto"/>
          <w:sz w:val="22"/>
        </w:rPr>
        <w:t>Egbunike</w:t>
      </w:r>
      <w:proofErr w:type="spellEnd"/>
      <w:r w:rsidRPr="004D3C0E">
        <w:rPr>
          <w:color w:val="auto"/>
          <w:sz w:val="22"/>
        </w:rPr>
        <w:t xml:space="preserve">, A., &amp; </w:t>
      </w:r>
      <w:proofErr w:type="spellStart"/>
      <w:r w:rsidRPr="004D3C0E">
        <w:rPr>
          <w:color w:val="auto"/>
          <w:sz w:val="22"/>
        </w:rPr>
        <w:t>Anukwu</w:t>
      </w:r>
      <w:proofErr w:type="spellEnd"/>
      <w:r w:rsidRPr="004D3C0E">
        <w:rPr>
          <w:color w:val="auto"/>
          <w:sz w:val="22"/>
        </w:rPr>
        <w:t>, C. C. (2021). Tax administration in developing countries. </w:t>
      </w:r>
      <w:r w:rsidRPr="004D3C0E">
        <w:rPr>
          <w:i/>
          <w:iCs/>
          <w:color w:val="auto"/>
          <w:sz w:val="22"/>
        </w:rPr>
        <w:t>SSRN Electronic Journal</w:t>
      </w:r>
      <w:r w:rsidRPr="004D3C0E">
        <w:rPr>
          <w:color w:val="auto"/>
          <w:sz w:val="22"/>
        </w:rPr>
        <w:t>. </w:t>
      </w:r>
      <w:hyperlink r:id="rId11" w:tgtFrame="_blank" w:history="1">
        <w:r w:rsidRPr="004D3C0E">
          <w:rPr>
            <w:rStyle w:val="Hyperlink"/>
            <w:color w:val="auto"/>
            <w:sz w:val="22"/>
          </w:rPr>
          <w:t>https://doi.org/10.2139/ssrn.3853479</w:t>
        </w:r>
      </w:hyperlink>
    </w:p>
    <w:p w14:paraId="23AEC3DE" w14:textId="6D7976B7" w:rsidR="0040604A" w:rsidRDefault="0040604A" w:rsidP="007B366E">
      <w:pPr>
        <w:spacing w:line="276" w:lineRule="auto"/>
        <w:ind w:left="540" w:hanging="540"/>
        <w:jc w:val="left"/>
        <w:rPr>
          <w:color w:val="auto"/>
          <w:sz w:val="22"/>
        </w:rPr>
      </w:pPr>
      <w:proofErr w:type="spellStart"/>
      <w:r w:rsidRPr="0040604A">
        <w:rPr>
          <w:color w:val="auto"/>
          <w:sz w:val="22"/>
        </w:rPr>
        <w:t>Abubakari</w:t>
      </w:r>
      <w:proofErr w:type="spellEnd"/>
      <w:r w:rsidRPr="0040604A">
        <w:rPr>
          <w:color w:val="auto"/>
          <w:sz w:val="22"/>
        </w:rPr>
        <w:t xml:space="preserve">, M., Boakye, Y. K., </w:t>
      </w:r>
      <w:proofErr w:type="spellStart"/>
      <w:r w:rsidRPr="0040604A">
        <w:rPr>
          <w:color w:val="auto"/>
          <w:sz w:val="22"/>
        </w:rPr>
        <w:t>Blay</w:t>
      </w:r>
      <w:proofErr w:type="spellEnd"/>
      <w:r w:rsidRPr="0040604A">
        <w:rPr>
          <w:color w:val="auto"/>
          <w:sz w:val="22"/>
        </w:rPr>
        <w:t xml:space="preserve">, A. A., </w:t>
      </w:r>
      <w:proofErr w:type="spellStart"/>
      <w:r w:rsidRPr="0040604A">
        <w:rPr>
          <w:color w:val="auto"/>
          <w:sz w:val="22"/>
        </w:rPr>
        <w:t>Attuquaye</w:t>
      </w:r>
      <w:proofErr w:type="spellEnd"/>
      <w:r w:rsidRPr="0040604A">
        <w:rPr>
          <w:color w:val="auto"/>
          <w:sz w:val="22"/>
        </w:rPr>
        <w:t xml:space="preserve">, E. C., &amp; Agyemang, F. Y. (2024). Technology for revenue mobilization: The case of the Ghana Revenue Authority. SN Social Sciences, 4(11), 200. </w:t>
      </w:r>
      <w:hyperlink r:id="rId12" w:history="1">
        <w:r w:rsidRPr="00103F45">
          <w:rPr>
            <w:rStyle w:val="Hyperlink"/>
            <w:sz w:val="22"/>
          </w:rPr>
          <w:t>https://doi.org/10.1007/s43545-024-00993-8</w:t>
        </w:r>
      </w:hyperlink>
    </w:p>
    <w:p w14:paraId="30E44B94" w14:textId="6345A93D" w:rsidR="0040604A" w:rsidRDefault="0040604A" w:rsidP="007B366E">
      <w:pPr>
        <w:spacing w:line="276" w:lineRule="auto"/>
        <w:ind w:left="540" w:hanging="540"/>
        <w:jc w:val="left"/>
        <w:rPr>
          <w:color w:val="auto"/>
          <w:sz w:val="22"/>
        </w:rPr>
      </w:pPr>
      <w:proofErr w:type="spellStart"/>
      <w:r w:rsidRPr="0040604A">
        <w:rPr>
          <w:color w:val="auto"/>
          <w:sz w:val="22"/>
        </w:rPr>
        <w:t>Ackom</w:t>
      </w:r>
      <w:proofErr w:type="spellEnd"/>
      <w:r w:rsidRPr="0040604A">
        <w:rPr>
          <w:color w:val="auto"/>
          <w:sz w:val="22"/>
        </w:rPr>
        <w:t xml:space="preserve">, E. K., </w:t>
      </w:r>
      <w:proofErr w:type="spellStart"/>
      <w:r w:rsidRPr="0040604A">
        <w:rPr>
          <w:color w:val="auto"/>
          <w:sz w:val="22"/>
        </w:rPr>
        <w:t>Ocansey</w:t>
      </w:r>
      <w:proofErr w:type="spellEnd"/>
      <w:r w:rsidRPr="0040604A">
        <w:rPr>
          <w:color w:val="auto"/>
          <w:sz w:val="22"/>
        </w:rPr>
        <w:t xml:space="preserve">, E. O. N. D., &amp; Asamoah, F. O. (2025). The role of tax system and informal sector in enhancing revenue mobilization in Sub-Saharan Africa. Journal of Economics, Finance and Accounting Studies, 7(3), 50-63. </w:t>
      </w:r>
      <w:hyperlink r:id="rId13" w:history="1">
        <w:r w:rsidRPr="00103F45">
          <w:rPr>
            <w:rStyle w:val="Hyperlink"/>
            <w:sz w:val="22"/>
          </w:rPr>
          <w:t>https://doi.org/10.32996/jefas.2025.7.3.6</w:t>
        </w:r>
      </w:hyperlink>
    </w:p>
    <w:p w14:paraId="12F0AA73" w14:textId="3D8E2A18" w:rsidR="0040604A" w:rsidRDefault="0040604A" w:rsidP="007B366E">
      <w:pPr>
        <w:spacing w:line="276" w:lineRule="auto"/>
        <w:ind w:left="540" w:hanging="540"/>
        <w:jc w:val="left"/>
        <w:rPr>
          <w:color w:val="auto"/>
          <w:sz w:val="22"/>
        </w:rPr>
      </w:pPr>
      <w:proofErr w:type="spellStart"/>
      <w:r w:rsidRPr="0040604A">
        <w:rPr>
          <w:color w:val="auto"/>
          <w:sz w:val="22"/>
        </w:rPr>
        <w:t>Adandohoin</w:t>
      </w:r>
      <w:proofErr w:type="spellEnd"/>
      <w:r w:rsidRPr="0040604A">
        <w:rPr>
          <w:color w:val="auto"/>
          <w:sz w:val="22"/>
        </w:rPr>
        <w:t xml:space="preserve">, K. (2021). Tax transition in developing countries: Do value added tax and excises really work? International Economics and Economic Policy. </w:t>
      </w:r>
      <w:hyperlink r:id="rId14" w:history="1">
        <w:r w:rsidRPr="00103F45">
          <w:rPr>
            <w:rStyle w:val="Hyperlink"/>
            <w:sz w:val="22"/>
          </w:rPr>
          <w:t>https://doi.org/10.1007/s10368-021-00492-8</w:t>
        </w:r>
      </w:hyperlink>
    </w:p>
    <w:p w14:paraId="6798BA84" w14:textId="3DD0EBBE" w:rsidR="007B366E" w:rsidRPr="004D3C0E" w:rsidRDefault="007B366E" w:rsidP="007B366E">
      <w:pPr>
        <w:spacing w:line="276" w:lineRule="auto"/>
        <w:ind w:left="540" w:hanging="540"/>
        <w:jc w:val="left"/>
        <w:rPr>
          <w:color w:val="auto"/>
          <w:sz w:val="22"/>
        </w:rPr>
      </w:pPr>
      <w:r w:rsidRPr="004D3C0E">
        <w:rPr>
          <w:color w:val="auto"/>
          <w:sz w:val="22"/>
        </w:rPr>
        <w:t>Adhikari, B. (2020). Does a value‐added tax increase economic efficiency? </w:t>
      </w:r>
      <w:r w:rsidRPr="004D3C0E">
        <w:rPr>
          <w:i/>
          <w:iCs/>
          <w:color w:val="auto"/>
          <w:sz w:val="22"/>
        </w:rPr>
        <w:t>Economic Inquiry</w:t>
      </w:r>
      <w:r w:rsidRPr="004D3C0E">
        <w:rPr>
          <w:color w:val="auto"/>
          <w:sz w:val="22"/>
        </w:rPr>
        <w:t>, </w:t>
      </w:r>
      <w:r w:rsidRPr="004D3C0E">
        <w:rPr>
          <w:i/>
          <w:iCs/>
          <w:color w:val="auto"/>
          <w:sz w:val="22"/>
        </w:rPr>
        <w:t>58</w:t>
      </w:r>
      <w:r w:rsidRPr="004D3C0E">
        <w:rPr>
          <w:color w:val="auto"/>
          <w:sz w:val="22"/>
        </w:rPr>
        <w:t>(1), 496-517. </w:t>
      </w:r>
      <w:hyperlink r:id="rId15" w:tgtFrame="_blank" w:history="1">
        <w:r w:rsidRPr="004D3C0E">
          <w:rPr>
            <w:rStyle w:val="Hyperlink"/>
            <w:color w:val="auto"/>
            <w:sz w:val="22"/>
          </w:rPr>
          <w:t>https://doi.org/10.1111/ecin.12847</w:t>
        </w:r>
      </w:hyperlink>
    </w:p>
    <w:p w14:paraId="73BDEEEB" w14:textId="559F840E" w:rsidR="0040604A" w:rsidRDefault="0040604A" w:rsidP="007B366E">
      <w:pPr>
        <w:spacing w:line="276" w:lineRule="auto"/>
        <w:ind w:left="540" w:hanging="540"/>
        <w:jc w:val="left"/>
        <w:rPr>
          <w:color w:val="auto"/>
          <w:sz w:val="22"/>
        </w:rPr>
      </w:pPr>
      <w:r w:rsidRPr="0040604A">
        <w:rPr>
          <w:color w:val="auto"/>
          <w:sz w:val="22"/>
        </w:rPr>
        <w:t>Agyei-</w:t>
      </w:r>
      <w:proofErr w:type="spellStart"/>
      <w:r w:rsidRPr="0040604A">
        <w:rPr>
          <w:color w:val="auto"/>
          <w:sz w:val="22"/>
        </w:rPr>
        <w:t>Ababio</w:t>
      </w:r>
      <w:proofErr w:type="spellEnd"/>
      <w:r w:rsidRPr="0040604A">
        <w:rPr>
          <w:color w:val="auto"/>
          <w:sz w:val="22"/>
        </w:rPr>
        <w:t xml:space="preserve">, N., </w:t>
      </w:r>
      <w:proofErr w:type="spellStart"/>
      <w:r w:rsidRPr="0040604A">
        <w:rPr>
          <w:color w:val="auto"/>
          <w:sz w:val="22"/>
        </w:rPr>
        <w:t>Ansong</w:t>
      </w:r>
      <w:proofErr w:type="spellEnd"/>
      <w:r w:rsidRPr="0040604A">
        <w:rPr>
          <w:color w:val="auto"/>
          <w:sz w:val="22"/>
        </w:rPr>
        <w:t xml:space="preserve">, E., &amp; </w:t>
      </w:r>
      <w:proofErr w:type="spellStart"/>
      <w:r w:rsidRPr="0040604A">
        <w:rPr>
          <w:color w:val="auto"/>
          <w:sz w:val="22"/>
        </w:rPr>
        <w:t>Kudjo</w:t>
      </w:r>
      <w:proofErr w:type="spellEnd"/>
      <w:r w:rsidRPr="0040604A">
        <w:rPr>
          <w:color w:val="auto"/>
          <w:sz w:val="22"/>
        </w:rPr>
        <w:t xml:space="preserve">, P. (2023). Information technology solutions used in revenue mobilization in an emerging digital economy. Wisconsin Journal of Arts and Sciences, 5(1), 14-35. </w:t>
      </w:r>
      <w:hyperlink r:id="rId16" w:history="1">
        <w:r w:rsidRPr="00103F45">
          <w:rPr>
            <w:rStyle w:val="Hyperlink"/>
            <w:sz w:val="22"/>
          </w:rPr>
          <w:t>https://wiuc-ghana.edu.gh/wp-content/uploads/2023/06/WJAS-Volume-5-issue-1.pdf</w:t>
        </w:r>
      </w:hyperlink>
    </w:p>
    <w:p w14:paraId="00B8E8E5" w14:textId="158F996B" w:rsidR="0040604A" w:rsidRDefault="0040604A" w:rsidP="007B366E">
      <w:pPr>
        <w:spacing w:line="276" w:lineRule="auto"/>
        <w:ind w:left="540" w:hanging="540"/>
        <w:jc w:val="left"/>
        <w:rPr>
          <w:color w:val="auto"/>
          <w:sz w:val="22"/>
        </w:rPr>
      </w:pPr>
      <w:proofErr w:type="spellStart"/>
      <w:r w:rsidRPr="0040604A">
        <w:rPr>
          <w:color w:val="auto"/>
          <w:sz w:val="22"/>
        </w:rPr>
        <w:t>Ahlerup</w:t>
      </w:r>
      <w:proofErr w:type="spellEnd"/>
      <w:r w:rsidRPr="0040604A">
        <w:rPr>
          <w:color w:val="auto"/>
          <w:sz w:val="22"/>
        </w:rPr>
        <w:t xml:space="preserve">, P., Baskaran, T., &amp; </w:t>
      </w:r>
      <w:proofErr w:type="spellStart"/>
      <w:r w:rsidRPr="0040604A">
        <w:rPr>
          <w:color w:val="auto"/>
          <w:sz w:val="22"/>
        </w:rPr>
        <w:t>Bigsten</w:t>
      </w:r>
      <w:proofErr w:type="spellEnd"/>
      <w:r w:rsidRPr="0040604A">
        <w:rPr>
          <w:color w:val="auto"/>
          <w:sz w:val="22"/>
        </w:rPr>
        <w:t xml:space="preserve">, A. (2015). Tax innovations and public revenues in Sub-Saharan Africa. The Journal of Development Studies, 51(6), 689-706. </w:t>
      </w:r>
      <w:hyperlink r:id="rId17" w:history="1">
        <w:r w:rsidRPr="00103F45">
          <w:rPr>
            <w:rStyle w:val="Hyperlink"/>
            <w:sz w:val="22"/>
          </w:rPr>
          <w:t>https://doi.org/10.1080/00220388.2014.997223</w:t>
        </w:r>
      </w:hyperlink>
    </w:p>
    <w:p w14:paraId="6DE774BE" w14:textId="2F99956C" w:rsidR="0040604A" w:rsidRDefault="0040604A" w:rsidP="007B366E">
      <w:pPr>
        <w:spacing w:line="276" w:lineRule="auto"/>
        <w:ind w:left="540" w:hanging="540"/>
        <w:jc w:val="left"/>
        <w:rPr>
          <w:color w:val="auto"/>
          <w:sz w:val="22"/>
        </w:rPr>
      </w:pPr>
      <w:proofErr w:type="spellStart"/>
      <w:r w:rsidRPr="0040604A">
        <w:rPr>
          <w:color w:val="auto"/>
          <w:sz w:val="22"/>
        </w:rPr>
        <w:t>Ameyaw</w:t>
      </w:r>
      <w:proofErr w:type="spellEnd"/>
      <w:r w:rsidRPr="0040604A">
        <w:rPr>
          <w:color w:val="auto"/>
          <w:sz w:val="22"/>
        </w:rPr>
        <w:t xml:space="preserve">, B., Addai, B., </w:t>
      </w:r>
      <w:proofErr w:type="spellStart"/>
      <w:r w:rsidRPr="0040604A">
        <w:rPr>
          <w:color w:val="auto"/>
          <w:sz w:val="22"/>
        </w:rPr>
        <w:t>Ashalley</w:t>
      </w:r>
      <w:proofErr w:type="spellEnd"/>
      <w:r w:rsidRPr="0040604A">
        <w:rPr>
          <w:color w:val="auto"/>
          <w:sz w:val="22"/>
        </w:rPr>
        <w:t xml:space="preserve">, E., &amp; Quaye, I. (2015). The effects of personal income tax evasion on socio-economic development in Ghana: A case study of the informal sector. British Journal of Economics, Management &amp; Trade, 10(4), 1-14. </w:t>
      </w:r>
      <w:hyperlink r:id="rId18" w:history="1">
        <w:r w:rsidRPr="00103F45">
          <w:rPr>
            <w:rStyle w:val="Hyperlink"/>
            <w:sz w:val="22"/>
          </w:rPr>
          <w:t>https://doi.org/10.9734/BJEMT/2015/19267</w:t>
        </w:r>
      </w:hyperlink>
    </w:p>
    <w:p w14:paraId="014854DF" w14:textId="257D8B4D" w:rsidR="0040604A" w:rsidRDefault="0040604A" w:rsidP="007B366E">
      <w:pPr>
        <w:spacing w:line="276" w:lineRule="auto"/>
        <w:ind w:left="540" w:hanging="540"/>
        <w:jc w:val="left"/>
        <w:rPr>
          <w:color w:val="auto"/>
          <w:sz w:val="22"/>
        </w:rPr>
      </w:pPr>
      <w:proofErr w:type="spellStart"/>
      <w:r w:rsidRPr="0040604A">
        <w:rPr>
          <w:color w:val="auto"/>
          <w:sz w:val="22"/>
        </w:rPr>
        <w:t>Ameyaw</w:t>
      </w:r>
      <w:proofErr w:type="spellEnd"/>
      <w:r w:rsidRPr="0040604A">
        <w:rPr>
          <w:color w:val="auto"/>
          <w:sz w:val="22"/>
        </w:rPr>
        <w:t xml:space="preserve">, B., </w:t>
      </w:r>
      <w:proofErr w:type="spellStart"/>
      <w:r w:rsidRPr="0040604A">
        <w:rPr>
          <w:color w:val="auto"/>
          <w:sz w:val="22"/>
        </w:rPr>
        <w:t>Korang</w:t>
      </w:r>
      <w:proofErr w:type="spellEnd"/>
      <w:r w:rsidRPr="0040604A">
        <w:rPr>
          <w:color w:val="auto"/>
          <w:sz w:val="22"/>
        </w:rPr>
        <w:t xml:space="preserve">, J. A., </w:t>
      </w:r>
      <w:proofErr w:type="spellStart"/>
      <w:r w:rsidRPr="0040604A">
        <w:rPr>
          <w:color w:val="auto"/>
          <w:sz w:val="22"/>
        </w:rPr>
        <w:t>Twum</w:t>
      </w:r>
      <w:proofErr w:type="spellEnd"/>
      <w:r w:rsidRPr="0040604A">
        <w:rPr>
          <w:color w:val="auto"/>
          <w:sz w:val="22"/>
        </w:rPr>
        <w:t xml:space="preserve">, E. T., &amp; Asante, I. O. (2016). Tax Policy, SMES Compliance, Perception and Growth Relationship in Ghana: An Empirical Analysis. British Journal of Economics, Management &amp; Trade, 11(2), 1-11. </w:t>
      </w:r>
      <w:hyperlink r:id="rId19" w:history="1">
        <w:r w:rsidRPr="00103F45">
          <w:rPr>
            <w:rStyle w:val="Hyperlink"/>
            <w:sz w:val="22"/>
          </w:rPr>
          <w:t>https://doi.org/10.9734/BJEMT/2016/22030</w:t>
        </w:r>
      </w:hyperlink>
    </w:p>
    <w:p w14:paraId="619511D5" w14:textId="126B11BE" w:rsidR="0040604A" w:rsidRDefault="0040604A" w:rsidP="007B366E">
      <w:pPr>
        <w:spacing w:line="276" w:lineRule="auto"/>
        <w:ind w:left="540" w:hanging="540"/>
        <w:jc w:val="left"/>
        <w:rPr>
          <w:color w:val="auto"/>
          <w:sz w:val="22"/>
          <w:lang w:val="en-IN"/>
        </w:rPr>
      </w:pPr>
      <w:r w:rsidRPr="0040604A">
        <w:rPr>
          <w:color w:val="auto"/>
          <w:sz w:val="22"/>
          <w:lang w:val="fr-FR"/>
        </w:rPr>
        <w:t xml:space="preserve">Amidu, M., </w:t>
      </w:r>
      <w:proofErr w:type="spellStart"/>
      <w:r w:rsidRPr="0040604A">
        <w:rPr>
          <w:color w:val="auto"/>
          <w:sz w:val="22"/>
          <w:lang w:val="fr-FR"/>
        </w:rPr>
        <w:t>Togormey</w:t>
      </w:r>
      <w:proofErr w:type="spellEnd"/>
      <w:r w:rsidRPr="0040604A">
        <w:rPr>
          <w:color w:val="auto"/>
          <w:sz w:val="22"/>
          <w:lang w:val="fr-FR"/>
        </w:rPr>
        <w:t xml:space="preserve">, R., &amp; </w:t>
      </w:r>
      <w:proofErr w:type="spellStart"/>
      <w:r w:rsidRPr="0040604A">
        <w:rPr>
          <w:color w:val="auto"/>
          <w:sz w:val="22"/>
          <w:lang w:val="fr-FR"/>
        </w:rPr>
        <w:t>Naab</w:t>
      </w:r>
      <w:proofErr w:type="spellEnd"/>
      <w:r w:rsidRPr="0040604A">
        <w:rPr>
          <w:color w:val="auto"/>
          <w:sz w:val="22"/>
          <w:lang w:val="fr-FR"/>
        </w:rPr>
        <w:t xml:space="preserve">, D. D. (2024). </w:t>
      </w:r>
      <w:r w:rsidRPr="0040604A">
        <w:rPr>
          <w:color w:val="auto"/>
          <w:sz w:val="22"/>
          <w:lang w:val="en-IN"/>
        </w:rPr>
        <w:t xml:space="preserve">Natural resources tax administration and reforms in Africa. In Taxation and Management of Natural Resources in Africa (pp. 23-56). Springer. </w:t>
      </w:r>
      <w:hyperlink r:id="rId20" w:history="1">
        <w:r w:rsidRPr="00103F45">
          <w:rPr>
            <w:rStyle w:val="Hyperlink"/>
            <w:sz w:val="22"/>
            <w:lang w:val="en-IN"/>
          </w:rPr>
          <w:t>https://doi.org/10.1007/978-3-031-58124-3_2</w:t>
        </w:r>
      </w:hyperlink>
    </w:p>
    <w:p w14:paraId="51C71861" w14:textId="779FAE6B" w:rsidR="0040604A" w:rsidRDefault="0040604A" w:rsidP="007B366E">
      <w:pPr>
        <w:spacing w:line="276" w:lineRule="auto"/>
        <w:ind w:left="540" w:hanging="540"/>
        <w:jc w:val="left"/>
        <w:rPr>
          <w:color w:val="auto"/>
          <w:sz w:val="22"/>
        </w:rPr>
      </w:pPr>
      <w:proofErr w:type="spellStart"/>
      <w:r w:rsidRPr="0040604A">
        <w:rPr>
          <w:color w:val="auto"/>
          <w:sz w:val="22"/>
        </w:rPr>
        <w:t>Andoh</w:t>
      </w:r>
      <w:proofErr w:type="spellEnd"/>
      <w:r w:rsidRPr="0040604A">
        <w:rPr>
          <w:color w:val="auto"/>
          <w:sz w:val="22"/>
        </w:rPr>
        <w:t xml:space="preserve">, F. K. (2017). Taxable capacity and effort of Ghana's value-added tax. African Review of Economics and Finance, 9(2), 255-284. </w:t>
      </w:r>
      <w:hyperlink r:id="rId21" w:history="1">
        <w:r w:rsidRPr="00103F45">
          <w:rPr>
            <w:rStyle w:val="Hyperlink"/>
            <w:sz w:val="22"/>
          </w:rPr>
          <w:t>https://www.ajol.info/index.php/aref/article/view/164555</w:t>
        </w:r>
      </w:hyperlink>
    </w:p>
    <w:p w14:paraId="0741EACD" w14:textId="24CAA261" w:rsidR="0040604A" w:rsidRDefault="0040604A" w:rsidP="007B366E">
      <w:pPr>
        <w:spacing w:line="276" w:lineRule="auto"/>
        <w:ind w:left="540" w:hanging="540"/>
        <w:jc w:val="left"/>
        <w:rPr>
          <w:color w:val="auto"/>
          <w:sz w:val="22"/>
          <w:lang w:val="pt-BR"/>
        </w:rPr>
      </w:pPr>
      <w:proofErr w:type="spellStart"/>
      <w:r w:rsidRPr="0040604A">
        <w:rPr>
          <w:color w:val="auto"/>
          <w:sz w:val="22"/>
        </w:rPr>
        <w:lastRenderedPageBreak/>
        <w:t>Andoh</w:t>
      </w:r>
      <w:proofErr w:type="spellEnd"/>
      <w:r w:rsidRPr="0040604A">
        <w:rPr>
          <w:color w:val="auto"/>
          <w:sz w:val="22"/>
        </w:rPr>
        <w:t xml:space="preserve">, F. K., &amp; Nkrumah, R. K. (2022). Distributional aspects of Ghana's value-added tax. </w:t>
      </w:r>
      <w:r w:rsidRPr="0040604A">
        <w:rPr>
          <w:color w:val="auto"/>
          <w:sz w:val="22"/>
          <w:lang w:val="pt-BR"/>
        </w:rPr>
        <w:t xml:space="preserve">Forum for Social Economics, 51(4), 394-414. </w:t>
      </w:r>
      <w:r>
        <w:rPr>
          <w:color w:val="auto"/>
          <w:sz w:val="22"/>
          <w:lang w:val="pt-BR"/>
        </w:rPr>
        <w:fldChar w:fldCharType="begin"/>
      </w:r>
      <w:r>
        <w:rPr>
          <w:color w:val="auto"/>
          <w:sz w:val="22"/>
          <w:lang w:val="pt-BR"/>
        </w:rPr>
        <w:instrText xml:space="preserve"> HYPERLINK "</w:instrText>
      </w:r>
      <w:r w:rsidRPr="0040604A">
        <w:rPr>
          <w:color w:val="auto"/>
          <w:sz w:val="22"/>
          <w:lang w:val="pt-BR"/>
        </w:rPr>
        <w:instrText>https://doi.org/10.1080/07360932.2021.1977970</w:instrText>
      </w:r>
      <w:r>
        <w:rPr>
          <w:color w:val="auto"/>
          <w:sz w:val="22"/>
          <w:lang w:val="pt-BR"/>
        </w:rPr>
        <w:instrText xml:space="preserve">" </w:instrText>
      </w:r>
      <w:r>
        <w:rPr>
          <w:color w:val="auto"/>
          <w:sz w:val="22"/>
          <w:lang w:val="pt-BR"/>
        </w:rPr>
        <w:fldChar w:fldCharType="separate"/>
      </w:r>
      <w:r w:rsidRPr="00103F45">
        <w:rPr>
          <w:rStyle w:val="Hyperlink"/>
          <w:sz w:val="22"/>
          <w:lang w:val="pt-BR"/>
        </w:rPr>
        <w:t>https://doi.org/10.1080/07360932.2021.1977970</w:t>
      </w:r>
      <w:r>
        <w:rPr>
          <w:color w:val="auto"/>
          <w:sz w:val="22"/>
          <w:lang w:val="pt-BR"/>
        </w:rPr>
        <w:fldChar w:fldCharType="end"/>
      </w:r>
    </w:p>
    <w:p w14:paraId="259FC61D" w14:textId="56AF4F84" w:rsidR="0040604A" w:rsidRPr="0040604A" w:rsidRDefault="0040604A" w:rsidP="007B366E">
      <w:pPr>
        <w:spacing w:line="276" w:lineRule="auto"/>
        <w:ind w:left="540" w:hanging="540"/>
        <w:jc w:val="left"/>
        <w:rPr>
          <w:color w:val="auto"/>
          <w:sz w:val="22"/>
          <w:lang w:val="pt-BR"/>
        </w:rPr>
      </w:pPr>
      <w:r w:rsidRPr="0040604A">
        <w:rPr>
          <w:color w:val="auto"/>
          <w:sz w:val="22"/>
          <w:lang w:val="pt-BR"/>
        </w:rPr>
        <w:t xml:space="preserve">Andoh, F. K., Osoro, N. E., &amp; Luvanda, E. (2018). </w:t>
      </w:r>
      <w:r w:rsidRPr="0040604A">
        <w:rPr>
          <w:color w:val="auto"/>
          <w:sz w:val="22"/>
          <w:lang w:val="en-IN"/>
        </w:rPr>
        <w:t xml:space="preserve">Is value-added tax a moneymaking-machine for developing economies? Evidence from Ghana. African Journal of Economic Review, 6(2), 129-149. </w:t>
      </w:r>
      <w:hyperlink r:id="rId22" w:history="1">
        <w:r w:rsidRPr="0040604A">
          <w:rPr>
            <w:rStyle w:val="Hyperlink"/>
            <w:sz w:val="22"/>
            <w:lang w:val="pt-BR"/>
          </w:rPr>
          <w:t>https://doi.org/10.61538/ajer.v6i2.393</w:t>
        </w:r>
      </w:hyperlink>
    </w:p>
    <w:p w14:paraId="7E799B20" w14:textId="5322680C" w:rsidR="0040604A" w:rsidRDefault="0040604A" w:rsidP="007B366E">
      <w:pPr>
        <w:spacing w:line="276" w:lineRule="auto"/>
        <w:ind w:left="540" w:hanging="540"/>
        <w:jc w:val="left"/>
        <w:rPr>
          <w:color w:val="auto"/>
          <w:sz w:val="22"/>
          <w:lang w:val="pt-BR"/>
        </w:rPr>
      </w:pPr>
      <w:r w:rsidRPr="0040604A">
        <w:rPr>
          <w:color w:val="auto"/>
          <w:sz w:val="22"/>
          <w:lang w:val="pt-BR"/>
        </w:rPr>
        <w:t xml:space="preserve">Andoh, F. K., Osoro, N. E., &amp; Luvanda, E. (2019). </w:t>
      </w:r>
      <w:r w:rsidRPr="0040604A">
        <w:rPr>
          <w:color w:val="auto"/>
          <w:sz w:val="22"/>
          <w:lang w:val="en-IN"/>
        </w:rPr>
        <w:t xml:space="preserve">Growth dynamics of value-added tax revenue in Ghana. </w:t>
      </w:r>
      <w:r w:rsidRPr="0040604A">
        <w:rPr>
          <w:color w:val="auto"/>
          <w:sz w:val="22"/>
          <w:lang w:val="pt-BR"/>
        </w:rPr>
        <w:t xml:space="preserve">Contemporary Economics, 13(2), 147-174. </w:t>
      </w:r>
      <w:r>
        <w:rPr>
          <w:color w:val="auto"/>
          <w:sz w:val="22"/>
          <w:lang w:val="pt-BR"/>
        </w:rPr>
        <w:fldChar w:fldCharType="begin"/>
      </w:r>
      <w:r>
        <w:rPr>
          <w:color w:val="auto"/>
          <w:sz w:val="22"/>
          <w:lang w:val="pt-BR"/>
        </w:rPr>
        <w:instrText xml:space="preserve"> HYPERLINK "</w:instrText>
      </w:r>
      <w:r w:rsidRPr="0040604A">
        <w:rPr>
          <w:color w:val="auto"/>
          <w:sz w:val="22"/>
          <w:lang w:val="pt-BR"/>
        </w:rPr>
        <w:instrText>https://doi.org/10.5709/ce.1897-9254.305</w:instrText>
      </w:r>
      <w:r>
        <w:rPr>
          <w:color w:val="auto"/>
          <w:sz w:val="22"/>
          <w:lang w:val="pt-BR"/>
        </w:rPr>
        <w:instrText xml:space="preserve">" </w:instrText>
      </w:r>
      <w:r>
        <w:rPr>
          <w:color w:val="auto"/>
          <w:sz w:val="22"/>
          <w:lang w:val="pt-BR"/>
        </w:rPr>
        <w:fldChar w:fldCharType="separate"/>
      </w:r>
      <w:r w:rsidRPr="00103F45">
        <w:rPr>
          <w:rStyle w:val="Hyperlink"/>
          <w:sz w:val="22"/>
          <w:lang w:val="pt-BR"/>
        </w:rPr>
        <w:t>https://doi.org/10.5709/ce.1897-9254.305</w:t>
      </w:r>
      <w:r>
        <w:rPr>
          <w:color w:val="auto"/>
          <w:sz w:val="22"/>
          <w:lang w:val="pt-BR"/>
        </w:rPr>
        <w:fldChar w:fldCharType="end"/>
      </w:r>
    </w:p>
    <w:p w14:paraId="167A93F3" w14:textId="3B05B2DA" w:rsidR="0040604A" w:rsidRPr="0040604A" w:rsidRDefault="0040604A" w:rsidP="007B366E">
      <w:pPr>
        <w:spacing w:line="276" w:lineRule="auto"/>
        <w:ind w:left="540" w:hanging="540"/>
        <w:jc w:val="left"/>
        <w:rPr>
          <w:color w:val="auto"/>
          <w:sz w:val="22"/>
          <w:lang w:val="en-IN"/>
        </w:rPr>
      </w:pPr>
      <w:r w:rsidRPr="0040604A">
        <w:rPr>
          <w:color w:val="auto"/>
          <w:sz w:val="22"/>
          <w:lang w:val="pt-BR"/>
        </w:rPr>
        <w:t xml:space="preserve">Ansong, J. D., Asamoah, M. K., Agyekum, B., &amp; Nketiah-Amponsah, E. (2024). </w:t>
      </w:r>
      <w:r w:rsidRPr="0040604A">
        <w:rPr>
          <w:color w:val="auto"/>
          <w:sz w:val="22"/>
          <w:lang w:val="en-IN"/>
        </w:rPr>
        <w:t xml:space="preserve">The influence of education on addressing the challenges of taxation and cocoa revenue mobilization in Ghana. </w:t>
      </w:r>
      <w:r w:rsidRPr="0040604A">
        <w:rPr>
          <w:color w:val="auto"/>
          <w:sz w:val="22"/>
          <w:lang w:val="pt-BR"/>
        </w:rPr>
        <w:t xml:space="preserve">Social Sciences &amp; Humanities Open, 10, Article 101098. </w:t>
      </w:r>
      <w:r>
        <w:rPr>
          <w:color w:val="auto"/>
          <w:sz w:val="22"/>
          <w:lang w:val="pt-BR"/>
        </w:rPr>
        <w:fldChar w:fldCharType="begin"/>
      </w:r>
      <w:r>
        <w:rPr>
          <w:color w:val="auto"/>
          <w:sz w:val="22"/>
          <w:lang w:val="pt-BR"/>
        </w:rPr>
        <w:instrText xml:space="preserve"> HYPERLINK "</w:instrText>
      </w:r>
      <w:r w:rsidRPr="0040604A">
        <w:rPr>
          <w:color w:val="auto"/>
          <w:sz w:val="22"/>
          <w:lang w:val="pt-BR"/>
        </w:rPr>
        <w:instrText>https://doi.org/10.1016/j.ssaho.2024.101098</w:instrText>
      </w:r>
      <w:r>
        <w:rPr>
          <w:color w:val="auto"/>
          <w:sz w:val="22"/>
          <w:lang w:val="pt-BR"/>
        </w:rPr>
        <w:instrText xml:space="preserve">" </w:instrText>
      </w:r>
      <w:r>
        <w:rPr>
          <w:color w:val="auto"/>
          <w:sz w:val="22"/>
          <w:lang w:val="pt-BR"/>
        </w:rPr>
        <w:fldChar w:fldCharType="separate"/>
      </w:r>
      <w:r w:rsidRPr="0040604A">
        <w:rPr>
          <w:rStyle w:val="Hyperlink"/>
          <w:sz w:val="22"/>
          <w:lang w:val="en-IN"/>
        </w:rPr>
        <w:t>https://doi.org/10.1016/j.ssaho.2024.101098</w:t>
      </w:r>
      <w:r>
        <w:rPr>
          <w:color w:val="auto"/>
          <w:sz w:val="22"/>
          <w:lang w:val="pt-BR"/>
        </w:rPr>
        <w:fldChar w:fldCharType="end"/>
      </w:r>
    </w:p>
    <w:p w14:paraId="05F1B884" w14:textId="62D3AF8D" w:rsidR="0040604A" w:rsidRDefault="0040604A" w:rsidP="007B366E">
      <w:pPr>
        <w:spacing w:line="276" w:lineRule="auto"/>
        <w:ind w:left="540" w:hanging="540"/>
        <w:jc w:val="left"/>
        <w:rPr>
          <w:color w:val="auto"/>
          <w:sz w:val="22"/>
        </w:rPr>
      </w:pPr>
      <w:proofErr w:type="spellStart"/>
      <w:r w:rsidRPr="0040604A">
        <w:rPr>
          <w:color w:val="auto"/>
          <w:sz w:val="22"/>
        </w:rPr>
        <w:t>Asiedu</w:t>
      </w:r>
      <w:proofErr w:type="spellEnd"/>
      <w:r w:rsidRPr="0040604A">
        <w:rPr>
          <w:color w:val="auto"/>
          <w:sz w:val="22"/>
        </w:rPr>
        <w:t xml:space="preserve">, J., </w:t>
      </w:r>
      <w:proofErr w:type="spellStart"/>
      <w:r w:rsidRPr="0040604A">
        <w:rPr>
          <w:color w:val="auto"/>
          <w:sz w:val="22"/>
        </w:rPr>
        <w:t>Akanyonge</w:t>
      </w:r>
      <w:proofErr w:type="spellEnd"/>
      <w:r w:rsidRPr="0040604A">
        <w:rPr>
          <w:color w:val="auto"/>
          <w:sz w:val="22"/>
        </w:rPr>
        <w:t xml:space="preserve">, J., Dickson, D., &amp; </w:t>
      </w:r>
      <w:proofErr w:type="spellStart"/>
      <w:r w:rsidRPr="0040604A">
        <w:rPr>
          <w:color w:val="auto"/>
          <w:sz w:val="22"/>
        </w:rPr>
        <w:t>Asapeo</w:t>
      </w:r>
      <w:proofErr w:type="spellEnd"/>
      <w:r w:rsidRPr="0040604A">
        <w:rPr>
          <w:color w:val="auto"/>
          <w:sz w:val="22"/>
        </w:rPr>
        <w:t xml:space="preserve">, A. (2022). The influence of VAT flat rate scheme on tax revenue in the Weija VAT sub office in Accra, Ghana. Academia Letters. </w:t>
      </w:r>
      <w:hyperlink r:id="rId23" w:history="1">
        <w:r w:rsidRPr="00103F45">
          <w:rPr>
            <w:rStyle w:val="Hyperlink"/>
            <w:sz w:val="22"/>
          </w:rPr>
          <w:t>https://doi.org/10.20935/AL4759</w:t>
        </w:r>
      </w:hyperlink>
    </w:p>
    <w:p w14:paraId="4FF94F00" w14:textId="0B6D94CA" w:rsidR="007B366E" w:rsidRPr="004D3C0E" w:rsidRDefault="007B366E" w:rsidP="007B366E">
      <w:pPr>
        <w:spacing w:line="276" w:lineRule="auto"/>
        <w:ind w:left="540" w:hanging="540"/>
        <w:jc w:val="left"/>
        <w:rPr>
          <w:color w:val="auto"/>
          <w:sz w:val="22"/>
        </w:rPr>
      </w:pPr>
      <w:proofErr w:type="spellStart"/>
      <w:r w:rsidRPr="004D3C0E">
        <w:rPr>
          <w:color w:val="auto"/>
          <w:sz w:val="22"/>
        </w:rPr>
        <w:t>Awunyo-Vitor</w:t>
      </w:r>
      <w:proofErr w:type="spellEnd"/>
      <w:r w:rsidRPr="004D3C0E">
        <w:rPr>
          <w:color w:val="auto"/>
          <w:sz w:val="22"/>
        </w:rPr>
        <w:t xml:space="preserve">, D., &amp; </w:t>
      </w:r>
      <w:proofErr w:type="spellStart"/>
      <w:r w:rsidRPr="004D3C0E">
        <w:rPr>
          <w:color w:val="auto"/>
          <w:sz w:val="22"/>
        </w:rPr>
        <w:t>Mbawuni</w:t>
      </w:r>
      <w:proofErr w:type="spellEnd"/>
      <w:r w:rsidRPr="004D3C0E">
        <w:rPr>
          <w:color w:val="auto"/>
          <w:sz w:val="22"/>
        </w:rPr>
        <w:t>, J. (2015). Drivers of value added tax flat rate scheme compliance among traders in Kumasi Metropolis, Ghana. </w:t>
      </w:r>
      <w:r w:rsidRPr="004D3C0E">
        <w:rPr>
          <w:i/>
          <w:iCs/>
          <w:color w:val="auto"/>
          <w:sz w:val="22"/>
        </w:rPr>
        <w:t>IUP Journal of Accounting Research &amp; Audit Practices</w:t>
      </w:r>
      <w:r w:rsidRPr="004D3C0E">
        <w:rPr>
          <w:color w:val="auto"/>
          <w:sz w:val="22"/>
        </w:rPr>
        <w:t>, </w:t>
      </w:r>
      <w:r w:rsidRPr="004D3C0E">
        <w:rPr>
          <w:i/>
          <w:iCs/>
          <w:color w:val="auto"/>
          <w:sz w:val="22"/>
        </w:rPr>
        <w:t>14</w:t>
      </w:r>
      <w:r w:rsidRPr="004D3C0E">
        <w:rPr>
          <w:color w:val="auto"/>
          <w:sz w:val="22"/>
        </w:rPr>
        <w:t>(4), 7-28.</w:t>
      </w:r>
    </w:p>
    <w:p w14:paraId="41E2C074" w14:textId="29F0803D" w:rsidR="0040604A" w:rsidRDefault="0040604A" w:rsidP="007B366E">
      <w:pPr>
        <w:spacing w:line="276" w:lineRule="auto"/>
        <w:ind w:left="540" w:hanging="540"/>
        <w:jc w:val="left"/>
        <w:rPr>
          <w:color w:val="auto"/>
          <w:sz w:val="22"/>
        </w:rPr>
      </w:pPr>
      <w:proofErr w:type="spellStart"/>
      <w:r w:rsidRPr="0040604A">
        <w:rPr>
          <w:color w:val="auto"/>
          <w:sz w:val="22"/>
        </w:rPr>
        <w:t>Bekoe</w:t>
      </w:r>
      <w:proofErr w:type="spellEnd"/>
      <w:r w:rsidRPr="0040604A">
        <w:rPr>
          <w:color w:val="auto"/>
          <w:sz w:val="22"/>
        </w:rPr>
        <w:t xml:space="preserve">, W., Danquah, M., &amp; </w:t>
      </w:r>
      <w:proofErr w:type="spellStart"/>
      <w:r w:rsidRPr="0040604A">
        <w:rPr>
          <w:color w:val="auto"/>
          <w:sz w:val="22"/>
        </w:rPr>
        <w:t>Senahey</w:t>
      </w:r>
      <w:proofErr w:type="spellEnd"/>
      <w:r w:rsidRPr="0040604A">
        <w:rPr>
          <w:color w:val="auto"/>
          <w:sz w:val="22"/>
        </w:rPr>
        <w:t xml:space="preserve">, S. K. (2016). Tax reforms and revenue mobilization in Ghana. Journal of Economic Studies, 43(4), 522-534. </w:t>
      </w:r>
      <w:hyperlink r:id="rId24" w:history="1">
        <w:r w:rsidRPr="00103F45">
          <w:rPr>
            <w:rStyle w:val="Hyperlink"/>
            <w:sz w:val="22"/>
          </w:rPr>
          <w:t>https://doi.org/10.1108/JES-01-2015-0007</w:t>
        </w:r>
      </w:hyperlink>
    </w:p>
    <w:p w14:paraId="301E9E9D" w14:textId="147F3CC8" w:rsidR="0040604A" w:rsidRPr="0040604A" w:rsidRDefault="0040604A" w:rsidP="007B366E">
      <w:pPr>
        <w:spacing w:line="276" w:lineRule="auto"/>
        <w:ind w:left="540" w:hanging="540"/>
        <w:jc w:val="left"/>
        <w:rPr>
          <w:color w:val="auto"/>
          <w:sz w:val="22"/>
          <w:lang w:val="fr-FR"/>
        </w:rPr>
      </w:pPr>
      <w:r w:rsidRPr="0040604A">
        <w:rPr>
          <w:color w:val="auto"/>
          <w:sz w:val="22"/>
        </w:rPr>
        <w:t xml:space="preserve">Bird, R. M. (2015). Improving tax administration in developing countries. Journal of Tax Administration, 1(1), 23-45. </w:t>
      </w:r>
      <w:hyperlink r:id="rId25" w:history="1">
        <w:r w:rsidRPr="0040604A">
          <w:rPr>
            <w:rStyle w:val="Hyperlink"/>
            <w:sz w:val="22"/>
            <w:lang w:val="fr-FR"/>
          </w:rPr>
          <w:t>https://jota.website/jota/article/view/153</w:t>
        </w:r>
      </w:hyperlink>
    </w:p>
    <w:p w14:paraId="6426F885" w14:textId="7F1F4911" w:rsidR="0040604A" w:rsidRDefault="0040604A" w:rsidP="007B366E">
      <w:pPr>
        <w:spacing w:line="276" w:lineRule="auto"/>
        <w:ind w:left="540" w:hanging="540"/>
        <w:jc w:val="left"/>
        <w:rPr>
          <w:color w:val="auto"/>
          <w:sz w:val="22"/>
          <w:lang w:val="en-IN"/>
        </w:rPr>
      </w:pPr>
      <w:r w:rsidRPr="0040604A">
        <w:rPr>
          <w:color w:val="auto"/>
          <w:sz w:val="22"/>
          <w:lang w:val="en-IN"/>
        </w:rPr>
        <w:t xml:space="preserve">Boakye, B., &amp; </w:t>
      </w:r>
      <w:proofErr w:type="spellStart"/>
      <w:r w:rsidRPr="0040604A">
        <w:rPr>
          <w:color w:val="auto"/>
          <w:sz w:val="22"/>
          <w:lang w:val="en-IN"/>
        </w:rPr>
        <w:t>Anaman</w:t>
      </w:r>
      <w:proofErr w:type="spellEnd"/>
      <w:r w:rsidRPr="0040604A">
        <w:rPr>
          <w:color w:val="auto"/>
          <w:sz w:val="22"/>
          <w:lang w:val="en-IN"/>
        </w:rPr>
        <w:t xml:space="preserve">, P. (2018). Tax administration and tax evasion in Ghana: The challenges, causes, and cures. Africa Centre for Energy Policy. </w:t>
      </w:r>
      <w:hyperlink r:id="rId26" w:history="1">
        <w:r w:rsidRPr="00103F45">
          <w:rPr>
            <w:rStyle w:val="Hyperlink"/>
            <w:sz w:val="22"/>
            <w:lang w:val="en-IN"/>
          </w:rPr>
          <w:t>https://www.acepghana.com/</w:t>
        </w:r>
      </w:hyperlink>
    </w:p>
    <w:p w14:paraId="2B99AA35" w14:textId="6AE1351B" w:rsidR="0040604A" w:rsidRDefault="0040604A" w:rsidP="007B366E">
      <w:pPr>
        <w:spacing w:line="276" w:lineRule="auto"/>
        <w:ind w:left="540" w:hanging="540"/>
        <w:jc w:val="left"/>
        <w:rPr>
          <w:color w:val="auto"/>
          <w:sz w:val="22"/>
        </w:rPr>
      </w:pPr>
      <w:proofErr w:type="spellStart"/>
      <w:r w:rsidRPr="0040604A">
        <w:rPr>
          <w:color w:val="auto"/>
          <w:sz w:val="22"/>
        </w:rPr>
        <w:t>Brockmeyer</w:t>
      </w:r>
      <w:proofErr w:type="spellEnd"/>
      <w:r w:rsidRPr="0040604A">
        <w:rPr>
          <w:color w:val="auto"/>
          <w:sz w:val="22"/>
        </w:rPr>
        <w:t xml:space="preserve">, A., Mascagni, G., Nair, V., Waseem, M., &amp; </w:t>
      </w:r>
      <w:proofErr w:type="spellStart"/>
      <w:r w:rsidRPr="0040604A">
        <w:rPr>
          <w:color w:val="auto"/>
          <w:sz w:val="22"/>
        </w:rPr>
        <w:t>Almunia</w:t>
      </w:r>
      <w:proofErr w:type="spellEnd"/>
      <w:r w:rsidRPr="0040604A">
        <w:rPr>
          <w:color w:val="auto"/>
          <w:sz w:val="22"/>
        </w:rPr>
        <w:t xml:space="preserve">, M. (2024). Does the value-added tax add value? Lessons using administrative data from a diverse set of countries. Journal of Economic Perspectives, 38(1), 107-132. </w:t>
      </w:r>
      <w:hyperlink r:id="rId27" w:history="1">
        <w:r w:rsidRPr="00103F45">
          <w:rPr>
            <w:rStyle w:val="Hyperlink"/>
            <w:sz w:val="22"/>
          </w:rPr>
          <w:t>https://doi.org/10.1257/jep.38.1.107</w:t>
        </w:r>
      </w:hyperlink>
    </w:p>
    <w:p w14:paraId="3F96C252" w14:textId="034AEAD4" w:rsidR="0040604A" w:rsidRDefault="0040604A" w:rsidP="007B366E">
      <w:pPr>
        <w:spacing w:line="276" w:lineRule="auto"/>
        <w:ind w:left="540" w:hanging="540"/>
        <w:jc w:val="left"/>
        <w:rPr>
          <w:color w:val="auto"/>
          <w:sz w:val="22"/>
        </w:rPr>
      </w:pPr>
      <w:proofErr w:type="spellStart"/>
      <w:r w:rsidRPr="0040604A">
        <w:rPr>
          <w:color w:val="auto"/>
          <w:sz w:val="22"/>
        </w:rPr>
        <w:t>Cevik</w:t>
      </w:r>
      <w:proofErr w:type="spellEnd"/>
      <w:r w:rsidRPr="0040604A">
        <w:rPr>
          <w:color w:val="auto"/>
          <w:sz w:val="22"/>
        </w:rPr>
        <w:t xml:space="preserve">, S., Gottschalk, J., Hutton, E., Jaramillo, L., </w:t>
      </w:r>
      <w:proofErr w:type="spellStart"/>
      <w:r w:rsidRPr="0040604A">
        <w:rPr>
          <w:color w:val="auto"/>
          <w:sz w:val="22"/>
        </w:rPr>
        <w:t>Karnane</w:t>
      </w:r>
      <w:proofErr w:type="spellEnd"/>
      <w:r w:rsidRPr="0040604A">
        <w:rPr>
          <w:color w:val="auto"/>
          <w:sz w:val="22"/>
        </w:rPr>
        <w:t xml:space="preserve">, P., &amp; Sow, M. (2019). Structural transformation and tax efficiency. International Finance, 22(3), 341-379. </w:t>
      </w:r>
      <w:hyperlink r:id="rId28" w:history="1">
        <w:r w:rsidRPr="00103F45">
          <w:rPr>
            <w:rStyle w:val="Hyperlink"/>
            <w:sz w:val="22"/>
          </w:rPr>
          <w:t>https://doi.org/10.1111/infi.12346</w:t>
        </w:r>
      </w:hyperlink>
    </w:p>
    <w:p w14:paraId="208C25A5" w14:textId="54341971" w:rsidR="0040604A" w:rsidRPr="0040604A" w:rsidRDefault="0040604A" w:rsidP="007B366E">
      <w:pPr>
        <w:spacing w:line="276" w:lineRule="auto"/>
        <w:ind w:left="540" w:hanging="540"/>
        <w:jc w:val="left"/>
        <w:rPr>
          <w:color w:val="auto"/>
          <w:sz w:val="22"/>
          <w:lang w:val="fr-FR"/>
        </w:rPr>
      </w:pPr>
      <w:r w:rsidRPr="0040604A">
        <w:rPr>
          <w:color w:val="auto"/>
          <w:sz w:val="22"/>
        </w:rPr>
        <w:t xml:space="preserve">Chan, S. G., </w:t>
      </w:r>
      <w:proofErr w:type="spellStart"/>
      <w:r w:rsidRPr="0040604A">
        <w:rPr>
          <w:color w:val="auto"/>
          <w:sz w:val="22"/>
        </w:rPr>
        <w:t>Ramly</w:t>
      </w:r>
      <w:proofErr w:type="spellEnd"/>
      <w:r w:rsidRPr="0040604A">
        <w:rPr>
          <w:color w:val="auto"/>
          <w:sz w:val="22"/>
        </w:rPr>
        <w:t xml:space="preserve">, Z., &amp; Karim, M. Z. A. (2017). Government spending efficiency on economic growth: Roles of value-added tax. Global Economic Review, 46(2), 162-188. </w:t>
      </w:r>
      <w:hyperlink r:id="rId29" w:history="1">
        <w:r w:rsidRPr="0040604A">
          <w:rPr>
            <w:rStyle w:val="Hyperlink"/>
            <w:sz w:val="22"/>
            <w:lang w:val="fr-FR"/>
          </w:rPr>
          <w:t>https://doi.org/10.1080/1226508X.2017.1292857</w:t>
        </w:r>
      </w:hyperlink>
    </w:p>
    <w:p w14:paraId="0934B405" w14:textId="53F4EEA9" w:rsidR="0040604A" w:rsidRDefault="0040604A" w:rsidP="007B366E">
      <w:pPr>
        <w:spacing w:line="276" w:lineRule="auto"/>
        <w:ind w:left="540" w:hanging="540"/>
        <w:jc w:val="left"/>
      </w:pPr>
      <w:r w:rsidRPr="0040604A">
        <w:rPr>
          <w:color w:val="auto"/>
          <w:sz w:val="22"/>
          <w:lang w:val="fr-FR"/>
        </w:rPr>
        <w:t xml:space="preserve">De la Feria, R., &amp; </w:t>
      </w:r>
      <w:proofErr w:type="spellStart"/>
      <w:r w:rsidRPr="0040604A">
        <w:rPr>
          <w:color w:val="auto"/>
          <w:sz w:val="22"/>
          <w:lang w:val="fr-FR"/>
        </w:rPr>
        <w:t>Schoeman</w:t>
      </w:r>
      <w:proofErr w:type="spellEnd"/>
      <w:r w:rsidRPr="0040604A">
        <w:rPr>
          <w:color w:val="auto"/>
          <w:sz w:val="22"/>
          <w:lang w:val="fr-FR"/>
        </w:rPr>
        <w:t xml:space="preserve">, A. (2019). </w:t>
      </w:r>
      <w:r w:rsidRPr="0040604A">
        <w:rPr>
          <w:color w:val="auto"/>
          <w:sz w:val="22"/>
          <w:lang w:val="en-IN"/>
        </w:rPr>
        <w:t xml:space="preserve">Addressing VAT fraud in developing countries: The tax policy-administration symbiosis. </w:t>
      </w:r>
      <w:proofErr w:type="spellStart"/>
      <w:r w:rsidRPr="0040604A">
        <w:rPr>
          <w:color w:val="auto"/>
          <w:sz w:val="22"/>
          <w:lang w:val="fr-FR"/>
        </w:rPr>
        <w:t>Intertax</w:t>
      </w:r>
      <w:proofErr w:type="spellEnd"/>
      <w:r w:rsidRPr="0040604A">
        <w:rPr>
          <w:color w:val="auto"/>
          <w:sz w:val="22"/>
          <w:lang w:val="fr-FR"/>
        </w:rPr>
        <w:t xml:space="preserve">, 47(11), 950-967. </w:t>
      </w:r>
      <w:hyperlink r:id="rId30" w:history="1">
        <w:r w:rsidRPr="00103F45">
          <w:rPr>
            <w:rStyle w:val="Hyperlink"/>
            <w:sz w:val="22"/>
            <w:lang w:val="fr-FR"/>
          </w:rPr>
          <w:t>https://doi.org/10.54648/</w:t>
        </w:r>
        <w:r w:rsidRPr="00103F45">
          <w:rPr>
            <w:rStyle w:val="Hyperlink"/>
            <w:lang w:val="fr-FR"/>
          </w:rPr>
          <w:t>TAXI2019096</w:t>
        </w:r>
      </w:hyperlink>
    </w:p>
    <w:p w14:paraId="6362E07A" w14:textId="224697A7" w:rsidR="007B366E" w:rsidRPr="004D3C0E" w:rsidRDefault="007B366E" w:rsidP="007B366E">
      <w:pPr>
        <w:spacing w:line="276" w:lineRule="auto"/>
        <w:ind w:left="540" w:hanging="540"/>
        <w:jc w:val="left"/>
        <w:rPr>
          <w:color w:val="auto"/>
          <w:sz w:val="22"/>
        </w:rPr>
      </w:pPr>
      <w:r w:rsidRPr="0040604A">
        <w:t>Frimpong</w:t>
      </w:r>
      <w:r w:rsidRPr="004D3C0E">
        <w:rPr>
          <w:color w:val="auto"/>
          <w:sz w:val="22"/>
        </w:rPr>
        <w:t>, E. O. (2021). The effectiveness of tax administration and revenue mobilization: A study of selected Ghana Revenue Authority agencies in Kumasi Metropolis. </w:t>
      </w:r>
      <w:r w:rsidRPr="004D3C0E">
        <w:rPr>
          <w:i/>
          <w:iCs/>
          <w:color w:val="auto"/>
          <w:sz w:val="22"/>
        </w:rPr>
        <w:t>ADRRI Journal of Arts and Social Sciences</w:t>
      </w:r>
      <w:r w:rsidRPr="004D3C0E">
        <w:rPr>
          <w:color w:val="auto"/>
          <w:sz w:val="22"/>
        </w:rPr>
        <w:t>, </w:t>
      </w:r>
      <w:r w:rsidRPr="004D3C0E">
        <w:rPr>
          <w:i/>
          <w:iCs/>
          <w:color w:val="auto"/>
          <w:sz w:val="22"/>
        </w:rPr>
        <w:t>18</w:t>
      </w:r>
      <w:r w:rsidRPr="004D3C0E">
        <w:rPr>
          <w:color w:val="auto"/>
          <w:sz w:val="22"/>
        </w:rPr>
        <w:t>(3), 1-20. </w:t>
      </w:r>
      <w:hyperlink r:id="rId31" w:tgtFrame="_blank" w:history="1">
        <w:r w:rsidRPr="004D3C0E">
          <w:rPr>
            <w:rStyle w:val="Hyperlink"/>
            <w:color w:val="auto"/>
            <w:sz w:val="22"/>
          </w:rPr>
          <w:t>https://www.academia.edu/download/101783921/Manuscript_Number_ADRRIJASS_21_3110.pdf</w:t>
        </w:r>
      </w:hyperlink>
    </w:p>
    <w:p w14:paraId="045462DA" w14:textId="4C8300D1" w:rsidR="0040604A" w:rsidRDefault="0040604A" w:rsidP="007B366E">
      <w:pPr>
        <w:spacing w:line="276" w:lineRule="auto"/>
        <w:ind w:left="540" w:hanging="540"/>
        <w:jc w:val="left"/>
        <w:rPr>
          <w:color w:val="auto"/>
          <w:sz w:val="22"/>
        </w:rPr>
      </w:pPr>
      <w:r w:rsidRPr="0040604A">
        <w:rPr>
          <w:color w:val="auto"/>
          <w:sz w:val="22"/>
        </w:rPr>
        <w:t xml:space="preserve">Ibrahim, M., </w:t>
      </w:r>
      <w:proofErr w:type="spellStart"/>
      <w:r w:rsidRPr="0040604A">
        <w:rPr>
          <w:color w:val="auto"/>
          <w:sz w:val="22"/>
        </w:rPr>
        <w:t>Musah</w:t>
      </w:r>
      <w:proofErr w:type="spellEnd"/>
      <w:r w:rsidRPr="0040604A">
        <w:rPr>
          <w:color w:val="auto"/>
          <w:sz w:val="22"/>
        </w:rPr>
        <w:t xml:space="preserve">, A., &amp; Abdul-Hanan, A. (2015). Beyond enforcement: What drives tax morale in Ghana? </w:t>
      </w:r>
      <w:proofErr w:type="spellStart"/>
      <w:r w:rsidRPr="0040604A">
        <w:rPr>
          <w:color w:val="auto"/>
          <w:sz w:val="22"/>
        </w:rPr>
        <w:t>Humanomics</w:t>
      </w:r>
      <w:proofErr w:type="spellEnd"/>
      <w:r w:rsidRPr="0040604A">
        <w:rPr>
          <w:color w:val="auto"/>
          <w:sz w:val="22"/>
        </w:rPr>
        <w:t xml:space="preserve">, 31(4), 399-411. </w:t>
      </w:r>
      <w:hyperlink r:id="rId32" w:history="1">
        <w:r w:rsidRPr="00103F45">
          <w:rPr>
            <w:rStyle w:val="Hyperlink"/>
            <w:sz w:val="22"/>
          </w:rPr>
          <w:t>https://doi.org/10.1108/H-04-2015-0023</w:t>
        </w:r>
      </w:hyperlink>
    </w:p>
    <w:p w14:paraId="7917D123" w14:textId="05571323" w:rsidR="0040604A" w:rsidRPr="0040604A" w:rsidRDefault="0040604A" w:rsidP="007B366E">
      <w:pPr>
        <w:spacing w:line="276" w:lineRule="auto"/>
        <w:ind w:left="540" w:hanging="540"/>
        <w:jc w:val="left"/>
        <w:rPr>
          <w:color w:val="auto"/>
          <w:sz w:val="22"/>
          <w:lang w:val="fr-FR"/>
        </w:rPr>
      </w:pPr>
      <w:proofErr w:type="spellStart"/>
      <w:r w:rsidRPr="0040604A">
        <w:rPr>
          <w:color w:val="auto"/>
          <w:sz w:val="22"/>
        </w:rPr>
        <w:lastRenderedPageBreak/>
        <w:t>Idrus</w:t>
      </w:r>
      <w:proofErr w:type="spellEnd"/>
      <w:r w:rsidRPr="0040604A">
        <w:rPr>
          <w:color w:val="auto"/>
          <w:sz w:val="22"/>
        </w:rPr>
        <w:t xml:space="preserve">, M. (2024). Efficiency of tax administration and its influence on taxpayer compliance. Economics and Digital Business Review, 5(2), 889-913. </w:t>
      </w:r>
      <w:hyperlink r:id="rId33" w:history="1">
        <w:r w:rsidRPr="0040604A">
          <w:rPr>
            <w:rStyle w:val="Hyperlink"/>
            <w:sz w:val="22"/>
            <w:lang w:val="fr-FR"/>
          </w:rPr>
          <w:t>http://ojs.stieamkop.ac.id/index.php/ecotal</w:t>
        </w:r>
      </w:hyperlink>
    </w:p>
    <w:p w14:paraId="685A9777" w14:textId="101F86B4" w:rsidR="0040604A" w:rsidRDefault="0040604A" w:rsidP="007B366E">
      <w:pPr>
        <w:spacing w:line="276" w:lineRule="auto"/>
        <w:ind w:left="540" w:hanging="540"/>
        <w:jc w:val="left"/>
        <w:rPr>
          <w:color w:val="auto"/>
          <w:sz w:val="22"/>
          <w:lang w:val="en-IN"/>
        </w:rPr>
      </w:pPr>
      <w:r w:rsidRPr="0040604A">
        <w:rPr>
          <w:color w:val="auto"/>
          <w:sz w:val="22"/>
          <w:lang w:val="en-IN"/>
        </w:rPr>
        <w:t xml:space="preserve">Jansen, A., &amp; </w:t>
      </w:r>
      <w:proofErr w:type="spellStart"/>
      <w:r w:rsidRPr="0040604A">
        <w:rPr>
          <w:color w:val="auto"/>
          <w:sz w:val="22"/>
          <w:lang w:val="en-IN"/>
        </w:rPr>
        <w:t>Calitz</w:t>
      </w:r>
      <w:proofErr w:type="spellEnd"/>
      <w:r w:rsidRPr="0040604A">
        <w:rPr>
          <w:color w:val="auto"/>
          <w:sz w:val="22"/>
          <w:lang w:val="en-IN"/>
        </w:rPr>
        <w:t xml:space="preserve">, E. (2017). Considering the efficacy of value-added tax zero-rating as pro-poor policy: The case of South Africa. Development Southern Africa, 34(1), 56-73. </w:t>
      </w:r>
      <w:hyperlink r:id="rId34" w:history="1">
        <w:r w:rsidRPr="00103F45">
          <w:rPr>
            <w:rStyle w:val="Hyperlink"/>
            <w:sz w:val="22"/>
            <w:lang w:val="en-IN"/>
          </w:rPr>
          <w:t>https://doi.org/10.1080/0376835X.2016.1269635</w:t>
        </w:r>
      </w:hyperlink>
    </w:p>
    <w:p w14:paraId="12F87B43" w14:textId="50F86987" w:rsidR="0040604A" w:rsidRDefault="0040604A" w:rsidP="007B366E">
      <w:pPr>
        <w:spacing w:line="276" w:lineRule="auto"/>
        <w:ind w:left="540" w:hanging="540"/>
        <w:jc w:val="left"/>
        <w:rPr>
          <w:color w:val="auto"/>
          <w:sz w:val="22"/>
        </w:rPr>
      </w:pPr>
      <w:r w:rsidRPr="0040604A">
        <w:rPr>
          <w:color w:val="auto"/>
          <w:sz w:val="22"/>
        </w:rPr>
        <w:t xml:space="preserve">Joshi, A., Prichard, W., &amp; Heady, C. (2013). Taxing the informal economy: Challenges, possibilities and remaining questions. IDS Working Papers, 2013(429), 1-37. </w:t>
      </w:r>
      <w:hyperlink r:id="rId35" w:history="1">
        <w:r w:rsidRPr="00103F45">
          <w:rPr>
            <w:rStyle w:val="Hyperlink"/>
            <w:sz w:val="22"/>
          </w:rPr>
          <w:t>https://doi.org/10.1111/j.2040-0209.2013.00429.x</w:t>
        </w:r>
      </w:hyperlink>
    </w:p>
    <w:p w14:paraId="46C9477F" w14:textId="3D737FBE" w:rsidR="007B366E" w:rsidRPr="004D3C0E" w:rsidRDefault="007B366E" w:rsidP="007B366E">
      <w:pPr>
        <w:spacing w:line="276" w:lineRule="auto"/>
        <w:ind w:left="540" w:hanging="540"/>
        <w:jc w:val="left"/>
        <w:rPr>
          <w:color w:val="auto"/>
          <w:sz w:val="22"/>
        </w:rPr>
      </w:pPr>
      <w:proofErr w:type="spellStart"/>
      <w:r w:rsidRPr="004D3C0E">
        <w:rPr>
          <w:color w:val="auto"/>
          <w:sz w:val="22"/>
        </w:rPr>
        <w:t>Kamasa</w:t>
      </w:r>
      <w:proofErr w:type="spellEnd"/>
      <w:r w:rsidRPr="004D3C0E">
        <w:rPr>
          <w:color w:val="auto"/>
          <w:sz w:val="22"/>
        </w:rPr>
        <w:t xml:space="preserve">, K., </w:t>
      </w:r>
      <w:proofErr w:type="spellStart"/>
      <w:r w:rsidRPr="004D3C0E">
        <w:rPr>
          <w:color w:val="auto"/>
          <w:sz w:val="22"/>
        </w:rPr>
        <w:t>Nortey</w:t>
      </w:r>
      <w:proofErr w:type="spellEnd"/>
      <w:r w:rsidRPr="004D3C0E">
        <w:rPr>
          <w:color w:val="auto"/>
          <w:sz w:val="22"/>
        </w:rPr>
        <w:t xml:space="preserve">, D. N., Boateng, F., &amp; </w:t>
      </w:r>
      <w:proofErr w:type="spellStart"/>
      <w:r w:rsidRPr="004D3C0E">
        <w:rPr>
          <w:color w:val="auto"/>
          <w:sz w:val="22"/>
        </w:rPr>
        <w:t>Bonuedi</w:t>
      </w:r>
      <w:proofErr w:type="spellEnd"/>
      <w:r w:rsidRPr="004D3C0E">
        <w:rPr>
          <w:color w:val="auto"/>
          <w:sz w:val="22"/>
        </w:rPr>
        <w:t xml:space="preserve">, I. (2025). Impact of tax reforms on revenue </w:t>
      </w:r>
      <w:proofErr w:type="spellStart"/>
      <w:r w:rsidRPr="004D3C0E">
        <w:rPr>
          <w:color w:val="auto"/>
          <w:sz w:val="22"/>
        </w:rPr>
        <w:t>mobilisation</w:t>
      </w:r>
      <w:proofErr w:type="spellEnd"/>
      <w:r w:rsidRPr="004D3C0E">
        <w:rPr>
          <w:color w:val="auto"/>
          <w:sz w:val="22"/>
        </w:rPr>
        <w:t xml:space="preserve"> in developing economies: Empirical evidence from Ghana. </w:t>
      </w:r>
      <w:r w:rsidRPr="004D3C0E">
        <w:rPr>
          <w:i/>
          <w:iCs/>
          <w:color w:val="auto"/>
          <w:sz w:val="22"/>
        </w:rPr>
        <w:t>Journal of Economic and Administrative Sciences</w:t>
      </w:r>
      <w:r w:rsidRPr="004D3C0E">
        <w:rPr>
          <w:color w:val="auto"/>
          <w:sz w:val="22"/>
        </w:rPr>
        <w:t>, </w:t>
      </w:r>
      <w:r w:rsidRPr="004D3C0E">
        <w:rPr>
          <w:i/>
          <w:iCs/>
          <w:color w:val="auto"/>
          <w:sz w:val="22"/>
        </w:rPr>
        <w:t>41</w:t>
      </w:r>
      <w:r w:rsidRPr="004D3C0E">
        <w:rPr>
          <w:color w:val="auto"/>
          <w:sz w:val="22"/>
        </w:rPr>
        <w:t>(1), 1-15. </w:t>
      </w:r>
      <w:hyperlink r:id="rId36" w:tgtFrame="_blank" w:history="1">
        <w:r w:rsidRPr="004D3C0E">
          <w:rPr>
            <w:rStyle w:val="Hyperlink"/>
            <w:color w:val="auto"/>
            <w:sz w:val="22"/>
          </w:rPr>
          <w:t>https://doi.org/10.1108/JEAS-09-2023-0227</w:t>
        </w:r>
      </w:hyperlink>
    </w:p>
    <w:p w14:paraId="32C8AA21" w14:textId="77777777" w:rsidR="007B366E" w:rsidRPr="004D3C0E" w:rsidRDefault="007B366E" w:rsidP="007B366E">
      <w:pPr>
        <w:spacing w:line="276" w:lineRule="auto"/>
        <w:ind w:left="540" w:hanging="540"/>
        <w:jc w:val="left"/>
        <w:rPr>
          <w:color w:val="auto"/>
          <w:sz w:val="22"/>
        </w:rPr>
      </w:pPr>
      <w:r w:rsidRPr="0040604A">
        <w:rPr>
          <w:color w:val="auto"/>
          <w:sz w:val="22"/>
          <w:lang w:val="pt-BR"/>
        </w:rPr>
        <w:t xml:space="preserve">Mascagni, G., Dom, R., Santoro, F., &amp; Mukama, D. (2023). </w:t>
      </w:r>
      <w:r w:rsidRPr="004D3C0E">
        <w:rPr>
          <w:color w:val="auto"/>
          <w:sz w:val="22"/>
        </w:rPr>
        <w:t>The VAT in practice: Equity, enforcement, and complexity. </w:t>
      </w:r>
      <w:r w:rsidRPr="004D3C0E">
        <w:rPr>
          <w:i/>
          <w:iCs/>
          <w:color w:val="auto"/>
          <w:sz w:val="22"/>
        </w:rPr>
        <w:t>International Tax and Public Finance</w:t>
      </w:r>
      <w:r w:rsidRPr="004D3C0E">
        <w:rPr>
          <w:color w:val="auto"/>
          <w:sz w:val="22"/>
        </w:rPr>
        <w:t>, </w:t>
      </w:r>
      <w:r w:rsidRPr="004D3C0E">
        <w:rPr>
          <w:i/>
          <w:iCs/>
          <w:color w:val="auto"/>
          <w:sz w:val="22"/>
        </w:rPr>
        <w:t>30</w:t>
      </w:r>
      <w:r w:rsidRPr="004D3C0E">
        <w:rPr>
          <w:color w:val="auto"/>
          <w:sz w:val="22"/>
        </w:rPr>
        <w:t>(2), 525-563. </w:t>
      </w:r>
      <w:hyperlink r:id="rId37" w:tgtFrame="_blank" w:history="1">
        <w:r w:rsidRPr="004D3C0E">
          <w:rPr>
            <w:rStyle w:val="Hyperlink"/>
            <w:color w:val="auto"/>
            <w:sz w:val="22"/>
          </w:rPr>
          <w:t>https://doi.org/10.1007/s10797-022-09738-0</w:t>
        </w:r>
      </w:hyperlink>
    </w:p>
    <w:p w14:paraId="6FBAEC18" w14:textId="363E0839" w:rsidR="0040604A" w:rsidRDefault="0040604A" w:rsidP="007B366E">
      <w:pPr>
        <w:spacing w:line="276" w:lineRule="auto"/>
        <w:ind w:left="540" w:hanging="540"/>
        <w:jc w:val="left"/>
        <w:rPr>
          <w:color w:val="auto"/>
          <w:sz w:val="22"/>
        </w:rPr>
      </w:pPr>
      <w:r w:rsidRPr="0040604A">
        <w:rPr>
          <w:color w:val="auto"/>
          <w:sz w:val="22"/>
        </w:rPr>
        <w:t xml:space="preserve">Mohammed, S. D., </w:t>
      </w:r>
      <w:proofErr w:type="spellStart"/>
      <w:r w:rsidRPr="0040604A">
        <w:rPr>
          <w:color w:val="auto"/>
          <w:sz w:val="22"/>
        </w:rPr>
        <w:t>Mas'ud</w:t>
      </w:r>
      <w:proofErr w:type="spellEnd"/>
      <w:r w:rsidRPr="0040604A">
        <w:rPr>
          <w:color w:val="auto"/>
          <w:sz w:val="22"/>
        </w:rPr>
        <w:t xml:space="preserve">, A., </w:t>
      </w:r>
      <w:proofErr w:type="spellStart"/>
      <w:r w:rsidRPr="0040604A">
        <w:rPr>
          <w:color w:val="auto"/>
          <w:sz w:val="22"/>
        </w:rPr>
        <w:t>Karaye</w:t>
      </w:r>
      <w:proofErr w:type="spellEnd"/>
      <w:r w:rsidRPr="0040604A">
        <w:rPr>
          <w:color w:val="auto"/>
          <w:sz w:val="22"/>
        </w:rPr>
        <w:t xml:space="preserve">, Y. I., </w:t>
      </w:r>
      <w:proofErr w:type="spellStart"/>
      <w:r w:rsidRPr="0040604A">
        <w:rPr>
          <w:color w:val="auto"/>
          <w:sz w:val="22"/>
        </w:rPr>
        <w:t>Sallau</w:t>
      </w:r>
      <w:proofErr w:type="spellEnd"/>
      <w:r w:rsidRPr="0040604A">
        <w:rPr>
          <w:color w:val="auto"/>
          <w:sz w:val="22"/>
        </w:rPr>
        <w:t xml:space="preserve">, M. M., Adam, A. D., &amp; </w:t>
      </w:r>
      <w:proofErr w:type="spellStart"/>
      <w:r w:rsidRPr="0040604A">
        <w:rPr>
          <w:color w:val="auto"/>
          <w:sz w:val="22"/>
        </w:rPr>
        <w:t>Sulaiman</w:t>
      </w:r>
      <w:proofErr w:type="spellEnd"/>
      <w:r w:rsidRPr="0040604A">
        <w:rPr>
          <w:color w:val="auto"/>
          <w:sz w:val="22"/>
        </w:rPr>
        <w:t xml:space="preserve">, B. A. (2023). An Evaluation of Tax Digitalization Efforts by Federal Inland Revenue Service and their Impacts on Tax Collection 2002-2021. Journal of Accounting and Taxation, 3(2), 105-122. </w:t>
      </w:r>
      <w:hyperlink r:id="rId38" w:history="1">
        <w:r w:rsidRPr="00103F45">
          <w:rPr>
            <w:rStyle w:val="Hyperlink"/>
            <w:sz w:val="22"/>
          </w:rPr>
          <w:t>https://doi.org/10.47747/jat.v3i2.1138</w:t>
        </w:r>
      </w:hyperlink>
    </w:p>
    <w:p w14:paraId="26B88C28" w14:textId="45CDCC86" w:rsidR="0040604A" w:rsidRDefault="0040604A" w:rsidP="007B366E">
      <w:pPr>
        <w:spacing w:line="276" w:lineRule="auto"/>
        <w:ind w:left="540" w:hanging="540"/>
        <w:jc w:val="left"/>
        <w:rPr>
          <w:color w:val="auto"/>
          <w:sz w:val="22"/>
        </w:rPr>
      </w:pPr>
      <w:r w:rsidRPr="0040604A">
        <w:rPr>
          <w:color w:val="auto"/>
          <w:sz w:val="22"/>
        </w:rPr>
        <w:t xml:space="preserve">Mpofu, F. Y. (2023). Challenges affecting informal sector tax administration, enforcement and compliance in African countries: Evidence from Zimbabwe. The Journal of Accounting and Management, 13(2), 104-130. </w:t>
      </w:r>
      <w:hyperlink r:id="rId39" w:history="1">
        <w:r w:rsidRPr="00103F45">
          <w:rPr>
            <w:rStyle w:val="Hyperlink"/>
            <w:sz w:val="22"/>
          </w:rPr>
          <w:t>https://www.dj.univ-danubius.ro/index.php/JAM/article/view/2407</w:t>
        </w:r>
      </w:hyperlink>
    </w:p>
    <w:p w14:paraId="168A3A11" w14:textId="00844651" w:rsidR="0040604A" w:rsidRPr="0040604A" w:rsidRDefault="0040604A" w:rsidP="007B366E">
      <w:pPr>
        <w:spacing w:line="276" w:lineRule="auto"/>
        <w:ind w:left="540" w:hanging="540"/>
        <w:jc w:val="left"/>
        <w:rPr>
          <w:color w:val="auto"/>
          <w:sz w:val="22"/>
          <w:lang w:val="en-IN"/>
        </w:rPr>
      </w:pPr>
      <w:r w:rsidRPr="0040604A">
        <w:rPr>
          <w:color w:val="auto"/>
          <w:sz w:val="22"/>
          <w:lang w:val="fr-FR"/>
        </w:rPr>
        <w:t xml:space="preserve">Mu, R., </w:t>
      </w:r>
      <w:proofErr w:type="spellStart"/>
      <w:r w:rsidRPr="0040604A">
        <w:rPr>
          <w:color w:val="auto"/>
          <w:sz w:val="22"/>
          <w:lang w:val="fr-FR"/>
        </w:rPr>
        <w:t>Fentaw</w:t>
      </w:r>
      <w:proofErr w:type="spellEnd"/>
      <w:r w:rsidRPr="0040604A">
        <w:rPr>
          <w:color w:val="auto"/>
          <w:sz w:val="22"/>
          <w:lang w:val="fr-FR"/>
        </w:rPr>
        <w:t xml:space="preserve">, N. M., &amp; Zhang, L. (2022). </w:t>
      </w:r>
      <w:r w:rsidRPr="0040604A">
        <w:rPr>
          <w:color w:val="auto"/>
          <w:sz w:val="22"/>
          <w:lang w:val="en-IN"/>
        </w:rPr>
        <w:t xml:space="preserve">The impacts of value-added tax audit on tax revenue performance: The mediating role of electronics tax system, evidence from the Amhara region, Ethiopia. </w:t>
      </w:r>
      <w:proofErr w:type="spellStart"/>
      <w:r w:rsidRPr="0040604A">
        <w:rPr>
          <w:color w:val="auto"/>
          <w:sz w:val="22"/>
          <w:lang w:val="fr-FR"/>
        </w:rPr>
        <w:t>Sustainability</w:t>
      </w:r>
      <w:proofErr w:type="spellEnd"/>
      <w:r w:rsidRPr="0040604A">
        <w:rPr>
          <w:color w:val="auto"/>
          <w:sz w:val="22"/>
          <w:lang w:val="fr-FR"/>
        </w:rPr>
        <w:t xml:space="preserve">. </w:t>
      </w:r>
      <w:hyperlink r:id="rId40" w:history="1">
        <w:r w:rsidRPr="0040604A">
          <w:rPr>
            <w:rStyle w:val="Hyperlink"/>
            <w:sz w:val="22"/>
            <w:lang w:val="en-IN"/>
          </w:rPr>
          <w:t>https://doi.org/10.3390/su14106105</w:t>
        </w:r>
      </w:hyperlink>
    </w:p>
    <w:p w14:paraId="7BF4DE3A" w14:textId="43E93752" w:rsidR="0040604A" w:rsidRPr="0040604A" w:rsidRDefault="0040604A" w:rsidP="007B366E">
      <w:pPr>
        <w:spacing w:line="276" w:lineRule="auto"/>
        <w:ind w:left="540" w:hanging="540"/>
        <w:jc w:val="left"/>
        <w:rPr>
          <w:color w:val="auto"/>
          <w:sz w:val="22"/>
          <w:lang w:val="fr-FR"/>
        </w:rPr>
      </w:pPr>
      <w:proofErr w:type="spellStart"/>
      <w:r w:rsidRPr="0040604A">
        <w:rPr>
          <w:color w:val="auto"/>
          <w:sz w:val="22"/>
        </w:rPr>
        <w:t>Njogu</w:t>
      </w:r>
      <w:proofErr w:type="spellEnd"/>
      <w:r w:rsidRPr="0040604A">
        <w:rPr>
          <w:color w:val="auto"/>
          <w:sz w:val="22"/>
        </w:rPr>
        <w:t xml:space="preserve">, L. K. (2015). The effect of value added tax on economic growth in Kenya. International Academic Journal of Economics and Finance, 1(5), 10-30. </w:t>
      </w:r>
      <w:hyperlink r:id="rId41" w:history="1">
        <w:r w:rsidRPr="0040604A">
          <w:rPr>
            <w:rStyle w:val="Hyperlink"/>
            <w:sz w:val="22"/>
            <w:lang w:val="fr-FR"/>
          </w:rPr>
          <w:t>https://www.iajournals.org/articles/iajef_v1_i5_10_30.pdf</w:t>
        </w:r>
      </w:hyperlink>
    </w:p>
    <w:p w14:paraId="5C3AB209" w14:textId="77777777" w:rsidR="0040604A" w:rsidRDefault="0040604A" w:rsidP="007B366E">
      <w:pPr>
        <w:spacing w:line="276" w:lineRule="auto"/>
        <w:ind w:left="540" w:hanging="540"/>
        <w:jc w:val="left"/>
        <w:rPr>
          <w:color w:val="auto"/>
          <w:sz w:val="22"/>
          <w:lang w:val="pt-BR"/>
        </w:rPr>
      </w:pPr>
      <w:r w:rsidRPr="0040604A">
        <w:rPr>
          <w:color w:val="auto"/>
          <w:sz w:val="22"/>
          <w:lang w:val="pt-BR"/>
        </w:rPr>
        <w:t xml:space="preserve">Nsubuga, L. F., &amp; Naatu, F. (2017). </w:t>
      </w:r>
      <w:r w:rsidRPr="0040604A">
        <w:rPr>
          <w:color w:val="auto"/>
          <w:sz w:val="22"/>
          <w:lang w:val="en-IN"/>
        </w:rPr>
        <w:t xml:space="preserve">Public Awareness of Tax Reforms in Ghana: Implication for Tax Evasion in the </w:t>
      </w:r>
      <w:proofErr w:type="spellStart"/>
      <w:r w:rsidRPr="0040604A">
        <w:rPr>
          <w:color w:val="auto"/>
          <w:sz w:val="22"/>
          <w:lang w:val="en-IN"/>
        </w:rPr>
        <w:t>Wa</w:t>
      </w:r>
      <w:proofErr w:type="spellEnd"/>
      <w:r w:rsidRPr="0040604A">
        <w:rPr>
          <w:color w:val="auto"/>
          <w:sz w:val="22"/>
          <w:lang w:val="en-IN"/>
        </w:rPr>
        <w:t xml:space="preserve"> Municipality. </w:t>
      </w:r>
      <w:r w:rsidRPr="0040604A">
        <w:rPr>
          <w:color w:val="auto"/>
          <w:sz w:val="22"/>
          <w:lang w:val="pt-BR"/>
        </w:rPr>
        <w:t>International Journal of Business and Management Review, 5(9), 34-52.</w:t>
      </w:r>
    </w:p>
    <w:p w14:paraId="5D16EDAE" w14:textId="36304165" w:rsidR="0040604A" w:rsidRDefault="0040604A" w:rsidP="007B366E">
      <w:pPr>
        <w:spacing w:line="276" w:lineRule="auto"/>
        <w:ind w:left="540" w:hanging="540"/>
        <w:jc w:val="left"/>
      </w:pPr>
      <w:r w:rsidRPr="0040604A">
        <w:rPr>
          <w:color w:val="auto"/>
          <w:sz w:val="22"/>
        </w:rPr>
        <w:t xml:space="preserve">Obeng, G. (2018). Value Added Tax and Vat Flat Rate Scheme in Ghana, Any Cascading Implications. Asian Development Policy Review, 6(4), 213–225. </w:t>
      </w:r>
      <w:hyperlink r:id="rId42" w:history="1">
        <w:r w:rsidRPr="00103F45">
          <w:rPr>
            <w:rStyle w:val="Hyperlink"/>
            <w:sz w:val="22"/>
          </w:rPr>
          <w:t>https://doi.org/10.18488/journal.107.2018.64.213.</w:t>
        </w:r>
        <w:r w:rsidRPr="00103F45">
          <w:rPr>
            <w:rStyle w:val="Hyperlink"/>
          </w:rPr>
          <w:t>225</w:t>
        </w:r>
      </w:hyperlink>
    </w:p>
    <w:p w14:paraId="687956B4" w14:textId="33FCEA4F" w:rsidR="0040604A" w:rsidRDefault="0040604A" w:rsidP="007B366E">
      <w:pPr>
        <w:spacing w:line="276" w:lineRule="auto"/>
        <w:ind w:left="540" w:hanging="540"/>
        <w:jc w:val="left"/>
      </w:pPr>
      <w:r w:rsidRPr="0040604A">
        <w:t xml:space="preserve">Ofori, M. S., </w:t>
      </w:r>
      <w:proofErr w:type="spellStart"/>
      <w:r w:rsidRPr="0040604A">
        <w:t>Fumey</w:t>
      </w:r>
      <w:proofErr w:type="spellEnd"/>
      <w:r w:rsidRPr="0040604A">
        <w:t xml:space="preserve">, A., &amp; </w:t>
      </w:r>
      <w:proofErr w:type="spellStart"/>
      <w:r w:rsidRPr="0040604A">
        <w:t>Nketiah-Amponsah</w:t>
      </w:r>
      <w:proofErr w:type="spellEnd"/>
      <w:r w:rsidRPr="0040604A">
        <w:t xml:space="preserve">, E. (2020). Forecasting value added tax revenue in Ghana. Journal of Economics and Financial Analysis, 4(2), 63-99. </w:t>
      </w:r>
      <w:hyperlink r:id="rId43" w:history="1">
        <w:r w:rsidRPr="00103F45">
          <w:rPr>
            <w:rStyle w:val="Hyperlink"/>
          </w:rPr>
          <w:t>https://doi.org/10.1991/jefa.v4i2.a37</w:t>
        </w:r>
      </w:hyperlink>
    </w:p>
    <w:p w14:paraId="119F9A32" w14:textId="06E16EDD" w:rsidR="0040604A" w:rsidRDefault="0040604A" w:rsidP="007B366E">
      <w:pPr>
        <w:spacing w:line="276" w:lineRule="auto"/>
        <w:ind w:left="540" w:hanging="540"/>
        <w:jc w:val="left"/>
        <w:rPr>
          <w:color w:val="auto"/>
          <w:sz w:val="22"/>
        </w:rPr>
      </w:pPr>
      <w:proofErr w:type="spellStart"/>
      <w:r w:rsidRPr="0040604A">
        <w:rPr>
          <w:color w:val="auto"/>
          <w:sz w:val="22"/>
        </w:rPr>
        <w:t>Ohemeng</w:t>
      </w:r>
      <w:proofErr w:type="spellEnd"/>
      <w:r w:rsidRPr="0040604A">
        <w:rPr>
          <w:color w:val="auto"/>
          <w:sz w:val="22"/>
        </w:rPr>
        <w:t xml:space="preserve">, F. L. K., &amp; Owusu, F. Y. (2015). Implementing a revenue authority model of tax administration in Ghana: An organizational learning perspective. The American Review of Public Administration, 45(3), 343-364. </w:t>
      </w:r>
      <w:hyperlink r:id="rId44" w:history="1">
        <w:r w:rsidRPr="00103F45">
          <w:rPr>
            <w:rStyle w:val="Hyperlink"/>
            <w:sz w:val="22"/>
          </w:rPr>
          <w:t>https://doi.org/10.1177/0275074013487943</w:t>
        </w:r>
      </w:hyperlink>
    </w:p>
    <w:p w14:paraId="1C05538C" w14:textId="1AAD31CA" w:rsidR="0040604A" w:rsidRDefault="0040604A" w:rsidP="007B366E">
      <w:pPr>
        <w:spacing w:line="276" w:lineRule="auto"/>
        <w:ind w:left="540" w:hanging="540"/>
        <w:jc w:val="left"/>
        <w:rPr>
          <w:color w:val="auto"/>
          <w:sz w:val="22"/>
        </w:rPr>
      </w:pPr>
      <w:proofErr w:type="spellStart"/>
      <w:r w:rsidRPr="0040604A">
        <w:rPr>
          <w:color w:val="auto"/>
          <w:sz w:val="22"/>
        </w:rPr>
        <w:lastRenderedPageBreak/>
        <w:t>Omesi</w:t>
      </w:r>
      <w:proofErr w:type="spellEnd"/>
      <w:r w:rsidRPr="0040604A">
        <w:rPr>
          <w:color w:val="auto"/>
          <w:sz w:val="22"/>
        </w:rPr>
        <w:t xml:space="preserve">, I., &amp; </w:t>
      </w:r>
      <w:proofErr w:type="spellStart"/>
      <w:r w:rsidRPr="0040604A">
        <w:rPr>
          <w:color w:val="auto"/>
          <w:sz w:val="22"/>
        </w:rPr>
        <w:t>Nzor</w:t>
      </w:r>
      <w:proofErr w:type="spellEnd"/>
      <w:r w:rsidRPr="0040604A">
        <w:rPr>
          <w:color w:val="auto"/>
          <w:sz w:val="22"/>
        </w:rPr>
        <w:t xml:space="preserve">, N. P. (2015). Tax reforms in Nigeria: Case for value added tax (VAT). African Research Review, 9(4), 277-287. </w:t>
      </w:r>
      <w:hyperlink r:id="rId45" w:history="1">
        <w:r w:rsidRPr="00103F45">
          <w:rPr>
            <w:rStyle w:val="Hyperlink"/>
            <w:sz w:val="22"/>
          </w:rPr>
          <w:t>https://doi.org/10.4314/afrrev.v9i4.21</w:t>
        </w:r>
      </w:hyperlink>
    </w:p>
    <w:p w14:paraId="3C1DD574" w14:textId="694BCD06" w:rsidR="007B366E" w:rsidRPr="004D3C0E" w:rsidRDefault="007B366E" w:rsidP="007B366E">
      <w:pPr>
        <w:spacing w:line="276" w:lineRule="auto"/>
        <w:ind w:left="540" w:hanging="540"/>
        <w:jc w:val="left"/>
        <w:rPr>
          <w:color w:val="auto"/>
          <w:sz w:val="22"/>
        </w:rPr>
      </w:pPr>
      <w:proofErr w:type="spellStart"/>
      <w:r w:rsidRPr="004D3C0E">
        <w:rPr>
          <w:color w:val="auto"/>
          <w:sz w:val="22"/>
        </w:rPr>
        <w:t>Omodero</w:t>
      </w:r>
      <w:proofErr w:type="spellEnd"/>
      <w:r w:rsidRPr="004D3C0E">
        <w:rPr>
          <w:color w:val="auto"/>
          <w:sz w:val="22"/>
        </w:rPr>
        <w:t>, C. O. (2022). Value-added tax revenue transfers and regional social development: Evidence from Nigeria. </w:t>
      </w:r>
      <w:r w:rsidRPr="004D3C0E">
        <w:rPr>
          <w:i/>
          <w:iCs/>
          <w:color w:val="auto"/>
          <w:sz w:val="22"/>
        </w:rPr>
        <w:t>Sustainability</w:t>
      </w:r>
      <w:r w:rsidRPr="004D3C0E">
        <w:rPr>
          <w:color w:val="auto"/>
          <w:sz w:val="22"/>
        </w:rPr>
        <w:t>, </w:t>
      </w:r>
      <w:r w:rsidRPr="004D3C0E">
        <w:rPr>
          <w:i/>
          <w:iCs/>
          <w:color w:val="auto"/>
          <w:sz w:val="22"/>
        </w:rPr>
        <w:t>14</w:t>
      </w:r>
      <w:r w:rsidRPr="004D3C0E">
        <w:rPr>
          <w:color w:val="auto"/>
          <w:sz w:val="22"/>
        </w:rPr>
        <w:t>(21), Article 14343. </w:t>
      </w:r>
      <w:hyperlink r:id="rId46" w:tgtFrame="_blank" w:history="1">
        <w:r w:rsidRPr="004D3C0E">
          <w:rPr>
            <w:rStyle w:val="Hyperlink"/>
            <w:color w:val="auto"/>
            <w:sz w:val="22"/>
          </w:rPr>
          <w:t>https://doi.org/10.3390/su142114343</w:t>
        </w:r>
      </w:hyperlink>
    </w:p>
    <w:p w14:paraId="105AB29B" w14:textId="7022880B" w:rsidR="0040604A" w:rsidRDefault="0040604A" w:rsidP="007B366E">
      <w:pPr>
        <w:spacing w:line="276" w:lineRule="auto"/>
        <w:ind w:left="540" w:hanging="540"/>
        <w:jc w:val="left"/>
        <w:rPr>
          <w:color w:val="auto"/>
          <w:sz w:val="22"/>
        </w:rPr>
      </w:pPr>
      <w:r w:rsidRPr="0040604A">
        <w:rPr>
          <w:color w:val="auto"/>
          <w:sz w:val="22"/>
        </w:rPr>
        <w:t xml:space="preserve">Oppong, F., &amp; James, S. (2016). Tax expenditure estimates in Ghana. SSRN Working Paper No. 2841302 </w:t>
      </w:r>
      <w:hyperlink r:id="rId47" w:history="1">
        <w:r w:rsidRPr="00103F45">
          <w:rPr>
            <w:rStyle w:val="Hyperlink"/>
            <w:sz w:val="22"/>
          </w:rPr>
          <w:t>https://papers.ssrn.com/sol3/papers.cfm?abstract_id=2841302</w:t>
        </w:r>
      </w:hyperlink>
    </w:p>
    <w:p w14:paraId="6765AF86" w14:textId="16500D1A" w:rsidR="0040604A" w:rsidRDefault="0040604A" w:rsidP="007B366E">
      <w:pPr>
        <w:spacing w:line="276" w:lineRule="auto"/>
        <w:ind w:left="540" w:hanging="540"/>
        <w:jc w:val="left"/>
        <w:rPr>
          <w:color w:val="auto"/>
          <w:sz w:val="22"/>
          <w:lang w:val="en-IN"/>
        </w:rPr>
      </w:pPr>
      <w:r w:rsidRPr="0040604A">
        <w:rPr>
          <w:color w:val="auto"/>
          <w:sz w:val="22"/>
          <w:lang w:val="pt-BR"/>
        </w:rPr>
        <w:t xml:space="preserve">Orisadare, M. A., &amp; Fasoye, K. (2022). </w:t>
      </w:r>
      <w:r w:rsidRPr="0040604A">
        <w:rPr>
          <w:color w:val="auto"/>
          <w:sz w:val="22"/>
          <w:lang w:val="en-IN"/>
        </w:rPr>
        <w:t xml:space="preserve">The effect of value-added tax on economic growth of Nigeria. African Journal of Economic Review, 10(1), 158-169. </w:t>
      </w:r>
      <w:hyperlink r:id="rId48" w:history="1">
        <w:r w:rsidRPr="00103F45">
          <w:rPr>
            <w:rStyle w:val="Hyperlink"/>
            <w:sz w:val="22"/>
            <w:lang w:val="en-IN"/>
          </w:rPr>
          <w:t>https://doi.org/10.22004/ag.econ.320572</w:t>
        </w:r>
      </w:hyperlink>
    </w:p>
    <w:p w14:paraId="74443D4A" w14:textId="61469E76" w:rsidR="0040604A" w:rsidRDefault="0040604A" w:rsidP="007B366E">
      <w:pPr>
        <w:spacing w:line="276" w:lineRule="auto"/>
        <w:ind w:left="540" w:hanging="540"/>
        <w:jc w:val="left"/>
        <w:rPr>
          <w:color w:val="auto"/>
          <w:sz w:val="22"/>
        </w:rPr>
      </w:pPr>
      <w:r w:rsidRPr="0040604A">
        <w:rPr>
          <w:color w:val="auto"/>
          <w:sz w:val="22"/>
        </w:rPr>
        <w:t xml:space="preserve">Owusu-Gyimah, A. (2015). Tax revenue generation and the economic development of Ghana. European Journal of Business and Management, 7(14), 78-88. </w:t>
      </w:r>
      <w:hyperlink r:id="rId49" w:history="1">
        <w:r w:rsidRPr="00103F45">
          <w:rPr>
            <w:rStyle w:val="Hyperlink"/>
            <w:sz w:val="22"/>
          </w:rPr>
          <w:t>https://www.iiste.org/Journals/index.php/EJBM/article/view/25118</w:t>
        </w:r>
      </w:hyperlink>
    </w:p>
    <w:p w14:paraId="5AEF6594" w14:textId="76A13662" w:rsidR="0040604A" w:rsidRPr="0040604A" w:rsidRDefault="0040604A" w:rsidP="007B366E">
      <w:pPr>
        <w:spacing w:line="276" w:lineRule="auto"/>
        <w:ind w:left="540" w:hanging="540"/>
        <w:jc w:val="left"/>
        <w:rPr>
          <w:color w:val="auto"/>
          <w:sz w:val="22"/>
          <w:lang w:val="pt-BR"/>
        </w:rPr>
      </w:pPr>
      <w:proofErr w:type="spellStart"/>
      <w:r w:rsidRPr="0040604A">
        <w:rPr>
          <w:color w:val="auto"/>
          <w:sz w:val="22"/>
          <w:lang w:val="fr-FR"/>
        </w:rPr>
        <w:t>Peprah</w:t>
      </w:r>
      <w:proofErr w:type="spellEnd"/>
      <w:r w:rsidRPr="0040604A">
        <w:rPr>
          <w:color w:val="auto"/>
          <w:sz w:val="22"/>
          <w:lang w:val="fr-FR"/>
        </w:rPr>
        <w:t xml:space="preserve">, C., </w:t>
      </w:r>
      <w:proofErr w:type="spellStart"/>
      <w:r w:rsidRPr="0040604A">
        <w:rPr>
          <w:color w:val="auto"/>
          <w:sz w:val="22"/>
          <w:lang w:val="fr-FR"/>
        </w:rPr>
        <w:t>Abdulai</w:t>
      </w:r>
      <w:proofErr w:type="spellEnd"/>
      <w:r w:rsidRPr="0040604A">
        <w:rPr>
          <w:color w:val="auto"/>
          <w:sz w:val="22"/>
          <w:lang w:val="fr-FR"/>
        </w:rPr>
        <w:t xml:space="preserve">, I., &amp; </w:t>
      </w:r>
      <w:proofErr w:type="spellStart"/>
      <w:r w:rsidRPr="0040604A">
        <w:rPr>
          <w:color w:val="auto"/>
          <w:sz w:val="22"/>
          <w:lang w:val="fr-FR"/>
        </w:rPr>
        <w:t>Agyemang-Duah</w:t>
      </w:r>
      <w:proofErr w:type="spellEnd"/>
      <w:r w:rsidRPr="0040604A">
        <w:rPr>
          <w:color w:val="auto"/>
          <w:sz w:val="22"/>
          <w:lang w:val="fr-FR"/>
        </w:rPr>
        <w:t xml:space="preserve">, W. (2020). </w:t>
      </w:r>
      <w:r w:rsidRPr="0040604A">
        <w:rPr>
          <w:color w:val="auto"/>
          <w:sz w:val="22"/>
          <w:lang w:val="en-IN"/>
        </w:rPr>
        <w:t xml:space="preserve">Compliance with income tax administration among micro, small and medium enterprises in Ghana. </w:t>
      </w:r>
      <w:proofErr w:type="spellStart"/>
      <w:r w:rsidRPr="0040604A">
        <w:rPr>
          <w:color w:val="auto"/>
          <w:sz w:val="22"/>
          <w:lang w:val="fr-FR"/>
        </w:rPr>
        <w:t>Cogent</w:t>
      </w:r>
      <w:proofErr w:type="spellEnd"/>
      <w:r w:rsidRPr="0040604A">
        <w:rPr>
          <w:color w:val="auto"/>
          <w:sz w:val="22"/>
          <w:lang w:val="fr-FR"/>
        </w:rPr>
        <w:t xml:space="preserve"> </w:t>
      </w:r>
      <w:proofErr w:type="spellStart"/>
      <w:r w:rsidRPr="0040604A">
        <w:rPr>
          <w:color w:val="auto"/>
          <w:sz w:val="22"/>
          <w:lang w:val="fr-FR"/>
        </w:rPr>
        <w:t>Economics</w:t>
      </w:r>
      <w:proofErr w:type="spellEnd"/>
      <w:r w:rsidRPr="0040604A">
        <w:rPr>
          <w:color w:val="auto"/>
          <w:sz w:val="22"/>
          <w:lang w:val="fr-FR"/>
        </w:rPr>
        <w:t xml:space="preserve"> &amp; Finance, 8(1), Article 1782074. </w:t>
      </w:r>
      <w:hyperlink r:id="rId50" w:history="1">
        <w:r w:rsidRPr="0040604A">
          <w:rPr>
            <w:rStyle w:val="Hyperlink"/>
            <w:sz w:val="22"/>
            <w:lang w:val="pt-BR"/>
          </w:rPr>
          <w:t>https://doi.org/10.1080/23322039.2020.1782074</w:t>
        </w:r>
      </w:hyperlink>
    </w:p>
    <w:p w14:paraId="7C5DF61F" w14:textId="2B76BEB7" w:rsidR="0040604A" w:rsidRPr="0040604A" w:rsidRDefault="0040604A" w:rsidP="007B366E">
      <w:pPr>
        <w:spacing w:line="276" w:lineRule="auto"/>
        <w:ind w:left="540" w:hanging="540"/>
        <w:jc w:val="left"/>
        <w:rPr>
          <w:color w:val="auto"/>
          <w:sz w:val="22"/>
          <w:lang w:val="en-IN"/>
        </w:rPr>
      </w:pPr>
      <w:r w:rsidRPr="0040604A">
        <w:rPr>
          <w:color w:val="auto"/>
          <w:sz w:val="22"/>
          <w:lang w:val="pt-BR"/>
        </w:rPr>
        <w:t xml:space="preserve">Ristić, M., Todorović, J. Đ., &amp; Đorđević, M. (2019). </w:t>
      </w:r>
      <w:r w:rsidRPr="0040604A">
        <w:rPr>
          <w:color w:val="auto"/>
          <w:sz w:val="22"/>
          <w:lang w:val="en-IN"/>
        </w:rPr>
        <w:t xml:space="preserve">Factors of the value added tax collection efficiency in the Republic of Serbia. Economic Themes, 57(1), 35-49. </w:t>
      </w:r>
      <w:hyperlink r:id="rId51" w:history="1">
        <w:r w:rsidRPr="0040604A">
          <w:rPr>
            <w:rStyle w:val="Hyperlink"/>
            <w:sz w:val="22"/>
            <w:lang w:val="en-IN"/>
          </w:rPr>
          <w:t>https://doi.org/10.2478/ethemes-2019-0003</w:t>
        </w:r>
      </w:hyperlink>
    </w:p>
    <w:p w14:paraId="7161A2A3" w14:textId="60DC9D89" w:rsidR="00AC09AF" w:rsidRDefault="00AC09AF" w:rsidP="007B366E">
      <w:pPr>
        <w:spacing w:line="276" w:lineRule="auto"/>
        <w:ind w:left="540" w:hanging="540"/>
        <w:jc w:val="left"/>
        <w:rPr>
          <w:color w:val="auto"/>
          <w:sz w:val="22"/>
        </w:rPr>
      </w:pPr>
      <w:r w:rsidRPr="00AC09AF">
        <w:rPr>
          <w:color w:val="auto"/>
          <w:sz w:val="22"/>
        </w:rPr>
        <w:t xml:space="preserve">Chan, S.-G., </w:t>
      </w:r>
      <w:proofErr w:type="spellStart"/>
      <w:r w:rsidRPr="00AC09AF">
        <w:rPr>
          <w:color w:val="auto"/>
          <w:sz w:val="22"/>
        </w:rPr>
        <w:t>Ramly</w:t>
      </w:r>
      <w:proofErr w:type="spellEnd"/>
      <w:r w:rsidRPr="00AC09AF">
        <w:rPr>
          <w:color w:val="auto"/>
          <w:sz w:val="22"/>
        </w:rPr>
        <w:t xml:space="preserve">, Z., &amp; </w:t>
      </w:r>
      <w:proofErr w:type="spellStart"/>
      <w:r w:rsidRPr="00AC09AF">
        <w:rPr>
          <w:color w:val="auto"/>
          <w:sz w:val="22"/>
        </w:rPr>
        <w:t>Mohd</w:t>
      </w:r>
      <w:proofErr w:type="spellEnd"/>
      <w:r w:rsidRPr="00AC09AF">
        <w:rPr>
          <w:color w:val="auto"/>
          <w:sz w:val="22"/>
        </w:rPr>
        <w:t xml:space="preserve">, Z. M. (2021). Value-added tax and economic efficiency: Role of country governance. </w:t>
      </w:r>
      <w:proofErr w:type="spellStart"/>
      <w:r w:rsidRPr="00AC09AF">
        <w:rPr>
          <w:color w:val="auto"/>
          <w:sz w:val="22"/>
        </w:rPr>
        <w:t>Panoeconomicus</w:t>
      </w:r>
      <w:proofErr w:type="spellEnd"/>
      <w:r w:rsidRPr="00AC09AF">
        <w:rPr>
          <w:color w:val="auto"/>
          <w:sz w:val="22"/>
        </w:rPr>
        <w:t xml:space="preserve">, 68(3), 325-358. </w:t>
      </w:r>
      <w:hyperlink r:id="rId52" w:history="1">
        <w:r w:rsidRPr="00103F45">
          <w:rPr>
            <w:rStyle w:val="Hyperlink"/>
            <w:sz w:val="22"/>
          </w:rPr>
          <w:t>https://doi.org/10.2298/PAN180201020C</w:t>
        </w:r>
      </w:hyperlink>
    </w:p>
    <w:p w14:paraId="0772219B" w14:textId="08DC0A44" w:rsidR="00AC09AF" w:rsidRDefault="00AC09AF" w:rsidP="007B366E">
      <w:pPr>
        <w:spacing w:line="276" w:lineRule="auto"/>
        <w:ind w:left="540" w:hanging="540"/>
        <w:jc w:val="left"/>
        <w:rPr>
          <w:color w:val="auto"/>
          <w:sz w:val="22"/>
        </w:rPr>
      </w:pPr>
      <w:proofErr w:type="spellStart"/>
      <w:r w:rsidRPr="00AC09AF">
        <w:rPr>
          <w:color w:val="auto"/>
          <w:sz w:val="22"/>
        </w:rPr>
        <w:t>Tafa</w:t>
      </w:r>
      <w:proofErr w:type="spellEnd"/>
      <w:r w:rsidRPr="00AC09AF">
        <w:rPr>
          <w:color w:val="auto"/>
          <w:sz w:val="22"/>
        </w:rPr>
        <w:t xml:space="preserve">, M. (2020). Assessment on effectiveness of tax administration in Ethiopia: The case </w:t>
      </w:r>
      <w:proofErr w:type="spellStart"/>
      <w:r w:rsidRPr="00AC09AF">
        <w:rPr>
          <w:color w:val="auto"/>
          <w:sz w:val="22"/>
        </w:rPr>
        <w:t>Kolfe</w:t>
      </w:r>
      <w:proofErr w:type="spellEnd"/>
      <w:r w:rsidRPr="00AC09AF">
        <w:rPr>
          <w:color w:val="auto"/>
          <w:sz w:val="22"/>
        </w:rPr>
        <w:t xml:space="preserve"> </w:t>
      </w:r>
      <w:proofErr w:type="spellStart"/>
      <w:r w:rsidRPr="00AC09AF">
        <w:rPr>
          <w:color w:val="auto"/>
          <w:sz w:val="22"/>
        </w:rPr>
        <w:t>Keranio</w:t>
      </w:r>
      <w:proofErr w:type="spellEnd"/>
      <w:r w:rsidRPr="00AC09AF">
        <w:rPr>
          <w:color w:val="auto"/>
          <w:sz w:val="22"/>
        </w:rPr>
        <w:t xml:space="preserve"> Sub City Administration Revenue Office. Research Journal of Finance and Accounting </w:t>
      </w:r>
      <w:hyperlink r:id="rId53" w:history="1">
        <w:r w:rsidRPr="00103F45">
          <w:rPr>
            <w:rStyle w:val="Hyperlink"/>
            <w:sz w:val="22"/>
          </w:rPr>
          <w:t>https://doi.org/10.7176/RJFA/11-5-05</w:t>
        </w:r>
      </w:hyperlink>
    </w:p>
    <w:p w14:paraId="3CB66BDE" w14:textId="514CECD7" w:rsidR="00AC09AF" w:rsidRDefault="00AC09AF" w:rsidP="007B366E">
      <w:pPr>
        <w:spacing w:line="276" w:lineRule="auto"/>
        <w:ind w:left="540" w:hanging="540"/>
        <w:jc w:val="left"/>
        <w:rPr>
          <w:color w:val="auto"/>
          <w:sz w:val="22"/>
        </w:rPr>
      </w:pPr>
      <w:proofErr w:type="spellStart"/>
      <w:r w:rsidRPr="00AC09AF">
        <w:rPr>
          <w:color w:val="auto"/>
          <w:sz w:val="22"/>
        </w:rPr>
        <w:t>Takumah</w:t>
      </w:r>
      <w:proofErr w:type="spellEnd"/>
      <w:r w:rsidRPr="00AC09AF">
        <w:rPr>
          <w:color w:val="auto"/>
          <w:sz w:val="22"/>
        </w:rPr>
        <w:t xml:space="preserve">, W., &amp; </w:t>
      </w:r>
      <w:proofErr w:type="spellStart"/>
      <w:r w:rsidRPr="00AC09AF">
        <w:rPr>
          <w:color w:val="auto"/>
          <w:sz w:val="22"/>
        </w:rPr>
        <w:t>Iyke</w:t>
      </w:r>
      <w:proofErr w:type="spellEnd"/>
      <w:r w:rsidRPr="00AC09AF">
        <w:rPr>
          <w:color w:val="auto"/>
          <w:sz w:val="22"/>
        </w:rPr>
        <w:t xml:space="preserve">, B. N. (2017). The links between economic growth and tax revenue in Ghana: An empirical investigation. International Journal of Sustainable Economy, 9(1), 34-55. </w:t>
      </w:r>
      <w:hyperlink r:id="rId54" w:history="1">
        <w:r w:rsidRPr="00103F45">
          <w:rPr>
            <w:rStyle w:val="Hyperlink"/>
            <w:sz w:val="22"/>
          </w:rPr>
          <w:t>https://doi.org/10.1504/IJSE.2017.080856</w:t>
        </w:r>
      </w:hyperlink>
    </w:p>
    <w:p w14:paraId="19989BCD" w14:textId="47C7BFC6" w:rsidR="00AC09AF" w:rsidRDefault="00AC09AF" w:rsidP="007B366E">
      <w:pPr>
        <w:spacing w:line="276" w:lineRule="auto"/>
        <w:ind w:left="540" w:hanging="540"/>
        <w:jc w:val="left"/>
        <w:rPr>
          <w:color w:val="auto"/>
          <w:sz w:val="22"/>
        </w:rPr>
      </w:pPr>
      <w:r w:rsidRPr="00AC09AF">
        <w:rPr>
          <w:color w:val="auto"/>
          <w:sz w:val="22"/>
        </w:rPr>
        <w:t xml:space="preserve">Tee, E., </w:t>
      </w:r>
      <w:proofErr w:type="spellStart"/>
      <w:r w:rsidRPr="00AC09AF">
        <w:rPr>
          <w:color w:val="auto"/>
          <w:sz w:val="22"/>
        </w:rPr>
        <w:t>Boadi</w:t>
      </w:r>
      <w:proofErr w:type="spellEnd"/>
      <w:r w:rsidRPr="00AC09AF">
        <w:rPr>
          <w:color w:val="auto"/>
          <w:sz w:val="22"/>
        </w:rPr>
        <w:t xml:space="preserve">, L. A., &amp; Opoku, R. T. (2016). The effect of tax payment on the performance of SMEs: The case of selected SMEs in Ga West Municipal Assembly. European Journal of Business and Management, 8(20), 119-125. </w:t>
      </w:r>
      <w:hyperlink r:id="rId55" w:history="1">
        <w:r w:rsidRPr="00103F45">
          <w:rPr>
            <w:rStyle w:val="Hyperlink"/>
            <w:sz w:val="22"/>
          </w:rPr>
          <w:t>https://www.iiste.org/Journals/index.php/EJBM/article/view/32000</w:t>
        </w:r>
      </w:hyperlink>
    </w:p>
    <w:p w14:paraId="0B189C30" w14:textId="34876F56" w:rsidR="00AC09AF" w:rsidRDefault="00AC09AF" w:rsidP="007B366E">
      <w:pPr>
        <w:spacing w:line="276" w:lineRule="auto"/>
        <w:ind w:left="540" w:hanging="540"/>
        <w:jc w:val="left"/>
        <w:rPr>
          <w:color w:val="auto"/>
          <w:sz w:val="22"/>
        </w:rPr>
      </w:pPr>
      <w:r w:rsidRPr="00AC09AF">
        <w:rPr>
          <w:color w:val="auto"/>
          <w:sz w:val="22"/>
        </w:rPr>
        <w:t xml:space="preserve">Warwick, R., Harris, T., Phillips, D., Goldman, M., </w:t>
      </w:r>
      <w:proofErr w:type="spellStart"/>
      <w:r w:rsidRPr="00AC09AF">
        <w:rPr>
          <w:color w:val="auto"/>
          <w:sz w:val="22"/>
        </w:rPr>
        <w:t>Jellema</w:t>
      </w:r>
      <w:proofErr w:type="spellEnd"/>
      <w:r w:rsidRPr="00AC09AF">
        <w:rPr>
          <w:color w:val="auto"/>
          <w:sz w:val="22"/>
        </w:rPr>
        <w:t xml:space="preserve">, J., </w:t>
      </w:r>
      <w:proofErr w:type="spellStart"/>
      <w:r w:rsidRPr="00AC09AF">
        <w:rPr>
          <w:color w:val="auto"/>
          <w:sz w:val="22"/>
        </w:rPr>
        <w:t>Inchauste</w:t>
      </w:r>
      <w:proofErr w:type="spellEnd"/>
      <w:r w:rsidRPr="00AC09AF">
        <w:rPr>
          <w:color w:val="auto"/>
          <w:sz w:val="22"/>
        </w:rPr>
        <w:t xml:space="preserve">, G., &amp; </w:t>
      </w:r>
      <w:proofErr w:type="spellStart"/>
      <w:r w:rsidRPr="00AC09AF">
        <w:rPr>
          <w:color w:val="auto"/>
          <w:sz w:val="22"/>
        </w:rPr>
        <w:t>Goraus-Tańska</w:t>
      </w:r>
      <w:proofErr w:type="spellEnd"/>
      <w:r w:rsidRPr="00AC09AF">
        <w:rPr>
          <w:color w:val="auto"/>
          <w:sz w:val="22"/>
        </w:rPr>
        <w:t xml:space="preserve">, K. (2022). The redistributive power of cash transfers vs VAT exemptions: A multi-country study. World Development, 151, 105742. </w:t>
      </w:r>
      <w:hyperlink r:id="rId56" w:history="1">
        <w:r w:rsidRPr="00103F45">
          <w:rPr>
            <w:rStyle w:val="Hyperlink"/>
            <w:sz w:val="22"/>
          </w:rPr>
          <w:t>https://doi.org/10.1016/j.worlddev.2021.105742</w:t>
        </w:r>
      </w:hyperlink>
    </w:p>
    <w:p w14:paraId="0AD7B5BB" w14:textId="77946CE5" w:rsidR="00AC09AF" w:rsidRDefault="00AC09AF" w:rsidP="007B366E">
      <w:pPr>
        <w:spacing w:line="276" w:lineRule="auto"/>
        <w:ind w:left="540" w:hanging="540"/>
        <w:jc w:val="left"/>
        <w:rPr>
          <w:color w:val="auto"/>
          <w:sz w:val="22"/>
        </w:rPr>
      </w:pPr>
      <w:proofErr w:type="spellStart"/>
      <w:r w:rsidRPr="00AC09AF">
        <w:rPr>
          <w:color w:val="auto"/>
          <w:sz w:val="22"/>
        </w:rPr>
        <w:t>Wawire</w:t>
      </w:r>
      <w:proofErr w:type="spellEnd"/>
      <w:r w:rsidRPr="00AC09AF">
        <w:rPr>
          <w:color w:val="auto"/>
          <w:sz w:val="22"/>
        </w:rPr>
        <w:t xml:space="preserve">, N. (2017). Determinants of value added tax revenue in Kenya. Journal of Economics Library, 4(3), 322-344. </w:t>
      </w:r>
      <w:hyperlink r:id="rId57" w:history="1">
        <w:r w:rsidRPr="00103F45">
          <w:rPr>
            <w:rStyle w:val="Hyperlink"/>
            <w:sz w:val="22"/>
          </w:rPr>
          <w:t>https://doi.org/10.1453/jel.v4i3.1391</w:t>
        </w:r>
      </w:hyperlink>
    </w:p>
    <w:p w14:paraId="6C02596C" w14:textId="47A4EEF9" w:rsidR="00AC09AF" w:rsidRDefault="00AC09AF" w:rsidP="007B366E">
      <w:pPr>
        <w:spacing w:line="276" w:lineRule="auto"/>
        <w:ind w:left="540" w:hanging="540"/>
        <w:jc w:val="left"/>
        <w:rPr>
          <w:color w:val="auto"/>
          <w:sz w:val="22"/>
        </w:rPr>
      </w:pPr>
      <w:proofErr w:type="spellStart"/>
      <w:r w:rsidRPr="00AC09AF">
        <w:rPr>
          <w:color w:val="auto"/>
          <w:sz w:val="22"/>
        </w:rPr>
        <w:t>Yesegat</w:t>
      </w:r>
      <w:proofErr w:type="spellEnd"/>
      <w:r w:rsidRPr="00AC09AF">
        <w:rPr>
          <w:color w:val="auto"/>
          <w:sz w:val="22"/>
        </w:rPr>
        <w:t xml:space="preserve">, W. A., &amp; Joseph, S. A. (2017). VAT withholding in Ethiopia: Implications for revenue collection and refunds. Australian Tax Forum, 32(4), 707-738. </w:t>
      </w:r>
      <w:hyperlink r:id="rId58" w:history="1">
        <w:r w:rsidRPr="00103F45">
          <w:rPr>
            <w:rStyle w:val="Hyperlink"/>
            <w:sz w:val="22"/>
          </w:rPr>
          <w:t>https://doi.org/10.3316/INFORMIT.948863872112512</w:t>
        </w:r>
      </w:hyperlink>
    </w:p>
    <w:p w14:paraId="0AA1E03E" w14:textId="6EC5AFE6" w:rsidR="007B366E" w:rsidRDefault="00AC09AF" w:rsidP="007B366E">
      <w:pPr>
        <w:spacing w:line="276" w:lineRule="auto"/>
        <w:rPr>
          <w:color w:val="auto"/>
          <w:sz w:val="22"/>
        </w:rPr>
      </w:pPr>
      <w:proofErr w:type="spellStart"/>
      <w:r w:rsidRPr="00AC09AF">
        <w:rPr>
          <w:color w:val="auto"/>
          <w:sz w:val="22"/>
        </w:rPr>
        <w:t>Yordanova</w:t>
      </w:r>
      <w:proofErr w:type="spellEnd"/>
      <w:r w:rsidRPr="00AC09AF">
        <w:rPr>
          <w:color w:val="auto"/>
          <w:sz w:val="22"/>
        </w:rPr>
        <w:t xml:space="preserve">, Z. (2025). Role of artificial intelligence in facilitating open innovation in VAT management. In I. </w:t>
      </w:r>
      <w:proofErr w:type="spellStart"/>
      <w:r w:rsidRPr="00AC09AF">
        <w:rPr>
          <w:color w:val="auto"/>
          <w:sz w:val="22"/>
        </w:rPr>
        <w:t>Kostavelis</w:t>
      </w:r>
      <w:proofErr w:type="spellEnd"/>
      <w:r w:rsidRPr="00AC09AF">
        <w:rPr>
          <w:color w:val="auto"/>
          <w:sz w:val="22"/>
        </w:rPr>
        <w:t xml:space="preserve">, D. </w:t>
      </w:r>
      <w:proofErr w:type="spellStart"/>
      <w:r w:rsidRPr="00AC09AF">
        <w:rPr>
          <w:color w:val="auto"/>
          <w:sz w:val="22"/>
        </w:rPr>
        <w:t>Folinas</w:t>
      </w:r>
      <w:proofErr w:type="spellEnd"/>
      <w:r w:rsidRPr="00AC09AF">
        <w:rPr>
          <w:color w:val="auto"/>
          <w:sz w:val="22"/>
        </w:rPr>
        <w:t xml:space="preserve">, &amp; D. </w:t>
      </w:r>
      <w:proofErr w:type="spellStart"/>
      <w:r w:rsidRPr="00AC09AF">
        <w:rPr>
          <w:color w:val="auto"/>
          <w:sz w:val="22"/>
        </w:rPr>
        <w:t>Aidonis</w:t>
      </w:r>
      <w:proofErr w:type="spellEnd"/>
      <w:r w:rsidRPr="00AC09AF">
        <w:rPr>
          <w:color w:val="auto"/>
          <w:sz w:val="22"/>
        </w:rPr>
        <w:t xml:space="preserve"> (Eds.), *Supply Chains: 5th Olympus International Conference, ICSC 2024, </w:t>
      </w:r>
      <w:proofErr w:type="spellStart"/>
      <w:r w:rsidRPr="00AC09AF">
        <w:rPr>
          <w:color w:val="auto"/>
          <w:sz w:val="22"/>
        </w:rPr>
        <w:t>Katerini</w:t>
      </w:r>
      <w:proofErr w:type="spellEnd"/>
      <w:r w:rsidRPr="00AC09AF">
        <w:rPr>
          <w:color w:val="auto"/>
          <w:sz w:val="22"/>
        </w:rPr>
        <w:t xml:space="preserve">, Greece, May 24–26, 2024, Proceedings, Part I* (pp. 185–197). Springer. </w:t>
      </w:r>
      <w:hyperlink r:id="rId59" w:history="1">
        <w:r w:rsidRPr="00103F45">
          <w:rPr>
            <w:rStyle w:val="Hyperlink"/>
            <w:sz w:val="22"/>
          </w:rPr>
          <w:t>https://doi.org/10.1007/978-3-031-69344-1_14</w:t>
        </w:r>
      </w:hyperlink>
    </w:p>
    <w:p w14:paraId="41319126" w14:textId="77777777" w:rsidR="00AC09AF" w:rsidRPr="004D3C0E" w:rsidRDefault="00AC09AF" w:rsidP="007B366E">
      <w:pPr>
        <w:spacing w:line="276" w:lineRule="auto"/>
        <w:rPr>
          <w:color w:val="auto"/>
          <w:sz w:val="22"/>
        </w:rPr>
      </w:pPr>
    </w:p>
    <w:p w14:paraId="7F24687C" w14:textId="77777777" w:rsidR="00ED335E" w:rsidRPr="004D3C0E" w:rsidRDefault="00ED335E">
      <w:pPr>
        <w:rPr>
          <w:color w:val="auto"/>
        </w:rPr>
      </w:pPr>
    </w:p>
    <w:sectPr w:rsidR="00ED335E" w:rsidRPr="004D3C0E">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40645" w14:textId="77777777" w:rsidR="001A5002" w:rsidRDefault="001A5002" w:rsidP="00F351B2">
      <w:pPr>
        <w:spacing w:after="0" w:line="240" w:lineRule="auto"/>
      </w:pPr>
      <w:r>
        <w:separator/>
      </w:r>
    </w:p>
  </w:endnote>
  <w:endnote w:type="continuationSeparator" w:id="0">
    <w:p w14:paraId="3D957050" w14:textId="77777777" w:rsidR="001A5002" w:rsidRDefault="001A5002" w:rsidP="00F3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FF446" w14:textId="77777777" w:rsidR="00F351B2" w:rsidRDefault="00F35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18034" w14:textId="77777777" w:rsidR="00F351B2" w:rsidRDefault="00F35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D0DC" w14:textId="77777777" w:rsidR="00F351B2" w:rsidRDefault="00F35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89D0E" w14:textId="77777777" w:rsidR="001A5002" w:rsidRDefault="001A5002" w:rsidP="00F351B2">
      <w:pPr>
        <w:spacing w:after="0" w:line="240" w:lineRule="auto"/>
      </w:pPr>
      <w:r>
        <w:separator/>
      </w:r>
    </w:p>
  </w:footnote>
  <w:footnote w:type="continuationSeparator" w:id="0">
    <w:p w14:paraId="2221DEE5" w14:textId="77777777" w:rsidR="001A5002" w:rsidRDefault="001A5002" w:rsidP="00F35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0932D" w14:textId="78D7E7BE" w:rsidR="00F351B2" w:rsidRDefault="00F351B2">
    <w:pPr>
      <w:pStyle w:val="Header"/>
    </w:pPr>
    <w:r>
      <w:rPr>
        <w:noProof/>
      </w:rPr>
      <w:pict w14:anchorId="4AFD7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74204"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9266" w14:textId="3260D1B5" w:rsidR="00F351B2" w:rsidRDefault="00F351B2">
    <w:pPr>
      <w:pStyle w:val="Header"/>
    </w:pPr>
    <w:r>
      <w:rPr>
        <w:noProof/>
      </w:rPr>
      <w:pict w14:anchorId="655CC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74205"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210DA" w14:textId="3B6D5DD1" w:rsidR="00F351B2" w:rsidRDefault="00F351B2">
    <w:pPr>
      <w:pStyle w:val="Header"/>
    </w:pPr>
    <w:r>
      <w:rPr>
        <w:noProof/>
      </w:rPr>
      <w:pict w14:anchorId="07C56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74203"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BA7"/>
    <w:multiLevelType w:val="hybridMultilevel"/>
    <w:tmpl w:val="D0FCF5E0"/>
    <w:lvl w:ilvl="0" w:tplc="51F471A8">
      <w:start w:val="1"/>
      <w:numFmt w:val="lowerRoman"/>
      <w:lvlText w:val="%1."/>
      <w:lvlJc w:val="left"/>
      <w:pPr>
        <w:ind w:left="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4EF810">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2E5844">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24BC8">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607E0">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3C7ABA">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6CD1A">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88BC8">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7C9E2C">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343A58"/>
    <w:multiLevelType w:val="multilevel"/>
    <w:tmpl w:val="FA1C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57526"/>
    <w:multiLevelType w:val="hybridMultilevel"/>
    <w:tmpl w:val="27E27494"/>
    <w:lvl w:ilvl="0" w:tplc="EFC4DD54">
      <w:start w:val="1"/>
      <w:numFmt w:val="lowerLetter"/>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0C72D2">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0A7498">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7E8290">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687FAC">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013C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741B26">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EA80C">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21516">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DC3408"/>
    <w:multiLevelType w:val="hybridMultilevel"/>
    <w:tmpl w:val="5FB4E21C"/>
    <w:lvl w:ilvl="0" w:tplc="0409001B">
      <w:start w:val="1"/>
      <w:numFmt w:val="lowerRoman"/>
      <w:lvlText w:val="%1."/>
      <w:lvlJc w:val="right"/>
      <w:pPr>
        <w:ind w:left="705" w:hanging="360"/>
      </w:p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6A3837B8"/>
    <w:multiLevelType w:val="multilevel"/>
    <w:tmpl w:val="79E82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40228A"/>
    <w:multiLevelType w:val="hybridMultilevel"/>
    <w:tmpl w:val="5FB4E21C"/>
    <w:lvl w:ilvl="0" w:tplc="FFFFFFFF">
      <w:start w:val="1"/>
      <w:numFmt w:val="lowerRoman"/>
      <w:lvlText w:val="%1."/>
      <w:lvlJc w:val="right"/>
      <w:pPr>
        <w:ind w:left="705" w:hanging="360"/>
      </w:pPr>
    </w:lvl>
    <w:lvl w:ilvl="1" w:tplc="FFFFFFFF">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66E"/>
    <w:rsid w:val="000231DC"/>
    <w:rsid w:val="00085BB0"/>
    <w:rsid w:val="000D63F0"/>
    <w:rsid w:val="0018007E"/>
    <w:rsid w:val="0019293B"/>
    <w:rsid w:val="001A5002"/>
    <w:rsid w:val="001B5A57"/>
    <w:rsid w:val="00210B70"/>
    <w:rsid w:val="00213F28"/>
    <w:rsid w:val="00227C49"/>
    <w:rsid w:val="00336A59"/>
    <w:rsid w:val="003E2C26"/>
    <w:rsid w:val="0040604A"/>
    <w:rsid w:val="00470E39"/>
    <w:rsid w:val="00491259"/>
    <w:rsid w:val="004B56AB"/>
    <w:rsid w:val="004D3C0E"/>
    <w:rsid w:val="0058114D"/>
    <w:rsid w:val="005A699F"/>
    <w:rsid w:val="00616DA3"/>
    <w:rsid w:val="006D280A"/>
    <w:rsid w:val="006F22CF"/>
    <w:rsid w:val="00717839"/>
    <w:rsid w:val="007347EB"/>
    <w:rsid w:val="0079393C"/>
    <w:rsid w:val="007B366E"/>
    <w:rsid w:val="007C3DBD"/>
    <w:rsid w:val="007D5091"/>
    <w:rsid w:val="00800413"/>
    <w:rsid w:val="008A2264"/>
    <w:rsid w:val="009678DF"/>
    <w:rsid w:val="009A23E1"/>
    <w:rsid w:val="00AB4516"/>
    <w:rsid w:val="00AC09AF"/>
    <w:rsid w:val="00C031C5"/>
    <w:rsid w:val="00C10ACB"/>
    <w:rsid w:val="00CD3958"/>
    <w:rsid w:val="00D16833"/>
    <w:rsid w:val="00D462E4"/>
    <w:rsid w:val="00DC2780"/>
    <w:rsid w:val="00DF2984"/>
    <w:rsid w:val="00E04118"/>
    <w:rsid w:val="00E128E1"/>
    <w:rsid w:val="00E16E19"/>
    <w:rsid w:val="00E4617B"/>
    <w:rsid w:val="00E51CD3"/>
    <w:rsid w:val="00E56DE8"/>
    <w:rsid w:val="00E95F88"/>
    <w:rsid w:val="00ED1465"/>
    <w:rsid w:val="00ED335E"/>
    <w:rsid w:val="00ED637E"/>
    <w:rsid w:val="00F253A6"/>
    <w:rsid w:val="00F279A6"/>
    <w:rsid w:val="00F351B2"/>
    <w:rsid w:val="00F51836"/>
    <w:rsid w:val="00F76C74"/>
    <w:rsid w:val="00FD63DB"/>
    <w:rsid w:val="00FF0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C9EB22"/>
  <w15:chartTrackingRefBased/>
  <w15:docId w15:val="{F7CE2A69-7938-4225-A32E-BEAFFCDE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66E"/>
    <w:pPr>
      <w:spacing w:after="85" w:line="269" w:lineRule="auto"/>
      <w:ind w:left="10"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7B36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B36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36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36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36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3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6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36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366E"/>
    <w:rPr>
      <w:rFonts w:ascii="Times New Roman" w:eastAsiaTheme="majorEastAsia" w:hAnsi="Times New Roman"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366E"/>
    <w:rPr>
      <w:rFonts w:ascii="Times New Roman" w:eastAsiaTheme="majorEastAsia" w:hAnsi="Times New Roman" w:cstheme="majorBidi"/>
      <w:i/>
      <w:iCs/>
      <w:color w:val="2F5496" w:themeColor="accent1" w:themeShade="BF"/>
      <w:sz w:val="24"/>
    </w:rPr>
  </w:style>
  <w:style w:type="character" w:customStyle="1" w:styleId="Heading5Char">
    <w:name w:val="Heading 5 Char"/>
    <w:basedOn w:val="DefaultParagraphFont"/>
    <w:link w:val="Heading5"/>
    <w:uiPriority w:val="9"/>
    <w:semiHidden/>
    <w:rsid w:val="007B366E"/>
    <w:rPr>
      <w:rFonts w:ascii="Times New Roman" w:eastAsiaTheme="majorEastAsia" w:hAnsi="Times New Roman" w:cstheme="majorBidi"/>
      <w:color w:val="2F5496" w:themeColor="accent1" w:themeShade="BF"/>
      <w:sz w:val="24"/>
    </w:rPr>
  </w:style>
  <w:style w:type="character" w:customStyle="1" w:styleId="Heading6Char">
    <w:name w:val="Heading 6 Char"/>
    <w:basedOn w:val="DefaultParagraphFont"/>
    <w:link w:val="Heading6"/>
    <w:uiPriority w:val="9"/>
    <w:semiHidden/>
    <w:rsid w:val="007B366E"/>
    <w:rPr>
      <w:rFonts w:ascii="Times New Roman" w:eastAsiaTheme="majorEastAsia" w:hAnsi="Times New Roman" w:cstheme="majorBidi"/>
      <w:i/>
      <w:iCs/>
      <w:color w:val="595959" w:themeColor="text1" w:themeTint="A6"/>
      <w:sz w:val="24"/>
    </w:rPr>
  </w:style>
  <w:style w:type="character" w:customStyle="1" w:styleId="Heading7Char">
    <w:name w:val="Heading 7 Char"/>
    <w:basedOn w:val="DefaultParagraphFont"/>
    <w:link w:val="Heading7"/>
    <w:uiPriority w:val="9"/>
    <w:semiHidden/>
    <w:rsid w:val="007B366E"/>
    <w:rPr>
      <w:rFonts w:ascii="Times New Roman" w:eastAsiaTheme="majorEastAsia" w:hAnsi="Times New Roman" w:cstheme="majorBidi"/>
      <w:color w:val="595959" w:themeColor="text1" w:themeTint="A6"/>
      <w:sz w:val="24"/>
    </w:rPr>
  </w:style>
  <w:style w:type="character" w:customStyle="1" w:styleId="Heading8Char">
    <w:name w:val="Heading 8 Char"/>
    <w:basedOn w:val="DefaultParagraphFont"/>
    <w:link w:val="Heading8"/>
    <w:uiPriority w:val="9"/>
    <w:semiHidden/>
    <w:rsid w:val="007B366E"/>
    <w:rPr>
      <w:rFonts w:ascii="Times New Roman" w:eastAsiaTheme="majorEastAsia" w:hAnsi="Times New Roman" w:cstheme="majorBidi"/>
      <w:i/>
      <w:iCs/>
      <w:color w:val="272727" w:themeColor="text1" w:themeTint="D8"/>
      <w:sz w:val="24"/>
    </w:rPr>
  </w:style>
  <w:style w:type="character" w:customStyle="1" w:styleId="Heading9Char">
    <w:name w:val="Heading 9 Char"/>
    <w:basedOn w:val="DefaultParagraphFont"/>
    <w:link w:val="Heading9"/>
    <w:uiPriority w:val="9"/>
    <w:semiHidden/>
    <w:rsid w:val="007B366E"/>
    <w:rPr>
      <w:rFonts w:ascii="Times New Roman" w:eastAsiaTheme="majorEastAsia" w:hAnsi="Times New Roman" w:cstheme="majorBidi"/>
      <w:color w:val="272727" w:themeColor="text1" w:themeTint="D8"/>
      <w:sz w:val="24"/>
    </w:rPr>
  </w:style>
  <w:style w:type="paragraph" w:styleId="Title">
    <w:name w:val="Title"/>
    <w:basedOn w:val="Normal"/>
    <w:next w:val="Normal"/>
    <w:link w:val="TitleChar"/>
    <w:uiPriority w:val="10"/>
    <w:qFormat/>
    <w:rsid w:val="007B3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66E"/>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7B366E"/>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66E"/>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7B366E"/>
    <w:pPr>
      <w:spacing w:before="160"/>
      <w:jc w:val="center"/>
    </w:pPr>
    <w:rPr>
      <w:i/>
      <w:iCs/>
      <w:color w:val="404040" w:themeColor="text1" w:themeTint="BF"/>
    </w:rPr>
  </w:style>
  <w:style w:type="character" w:customStyle="1" w:styleId="QuoteChar">
    <w:name w:val="Quote Char"/>
    <w:basedOn w:val="DefaultParagraphFont"/>
    <w:link w:val="Quote"/>
    <w:uiPriority w:val="29"/>
    <w:rsid w:val="007B366E"/>
    <w:rPr>
      <w:rFonts w:ascii="Times New Roman" w:eastAsia="Times New Roman" w:hAnsi="Times New Roman" w:cs="Times New Roman"/>
      <w:i/>
      <w:iCs/>
      <w:color w:val="404040" w:themeColor="text1" w:themeTint="BF"/>
      <w:sz w:val="24"/>
    </w:rPr>
  </w:style>
  <w:style w:type="paragraph" w:styleId="ListParagraph">
    <w:name w:val="List Paragraph"/>
    <w:basedOn w:val="Normal"/>
    <w:uiPriority w:val="34"/>
    <w:qFormat/>
    <w:rsid w:val="007B366E"/>
    <w:pPr>
      <w:ind w:left="720"/>
      <w:contextualSpacing/>
    </w:pPr>
  </w:style>
  <w:style w:type="character" w:styleId="IntenseEmphasis">
    <w:name w:val="Intense Emphasis"/>
    <w:basedOn w:val="DefaultParagraphFont"/>
    <w:uiPriority w:val="21"/>
    <w:qFormat/>
    <w:rsid w:val="007B366E"/>
    <w:rPr>
      <w:i/>
      <w:iCs/>
      <w:color w:val="2F5496" w:themeColor="accent1" w:themeShade="BF"/>
    </w:rPr>
  </w:style>
  <w:style w:type="paragraph" w:styleId="IntenseQuote">
    <w:name w:val="Intense Quote"/>
    <w:basedOn w:val="Normal"/>
    <w:next w:val="Normal"/>
    <w:link w:val="IntenseQuoteChar"/>
    <w:uiPriority w:val="30"/>
    <w:qFormat/>
    <w:rsid w:val="007B3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366E"/>
    <w:rPr>
      <w:rFonts w:ascii="Times New Roman" w:eastAsia="Times New Roman" w:hAnsi="Times New Roman" w:cs="Times New Roman"/>
      <w:i/>
      <w:iCs/>
      <w:color w:val="2F5496" w:themeColor="accent1" w:themeShade="BF"/>
      <w:sz w:val="24"/>
    </w:rPr>
  </w:style>
  <w:style w:type="character" w:styleId="IntenseReference">
    <w:name w:val="Intense Reference"/>
    <w:basedOn w:val="DefaultParagraphFont"/>
    <w:uiPriority w:val="32"/>
    <w:qFormat/>
    <w:rsid w:val="007B366E"/>
    <w:rPr>
      <w:b/>
      <w:bCs/>
      <w:smallCaps/>
      <w:color w:val="2F5496" w:themeColor="accent1" w:themeShade="BF"/>
      <w:spacing w:val="5"/>
    </w:rPr>
  </w:style>
  <w:style w:type="character" w:customStyle="1" w:styleId="relative">
    <w:name w:val="relative"/>
    <w:basedOn w:val="DefaultParagraphFont"/>
    <w:rsid w:val="007B366E"/>
  </w:style>
  <w:style w:type="paragraph" w:styleId="Header">
    <w:name w:val="header"/>
    <w:basedOn w:val="Normal"/>
    <w:link w:val="HeaderChar"/>
    <w:uiPriority w:val="99"/>
    <w:unhideWhenUsed/>
    <w:rsid w:val="007B3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66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B3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66E"/>
    <w:rPr>
      <w:rFonts w:ascii="Times New Roman" w:eastAsia="Times New Roman" w:hAnsi="Times New Roman" w:cs="Times New Roman"/>
      <w:color w:val="000000"/>
      <w:sz w:val="24"/>
    </w:rPr>
  </w:style>
  <w:style w:type="table" w:customStyle="1" w:styleId="TableGrid">
    <w:name w:val="TableGrid"/>
    <w:rsid w:val="007B366E"/>
    <w:pPr>
      <w:spacing w:after="0" w:line="240" w:lineRule="auto"/>
    </w:pPr>
    <w:rPr>
      <w:rFonts w:eastAsia="Times New Roman"/>
    </w:rPr>
    <w:tblPr>
      <w:tblCellMar>
        <w:top w:w="0" w:type="dxa"/>
        <w:left w:w="0" w:type="dxa"/>
        <w:bottom w:w="0" w:type="dxa"/>
        <w:right w:w="0" w:type="dxa"/>
      </w:tblCellMar>
    </w:tblPr>
  </w:style>
  <w:style w:type="table" w:styleId="TableGrid0">
    <w:name w:val="Table Grid"/>
    <w:basedOn w:val="TableNormal"/>
    <w:uiPriority w:val="39"/>
    <w:rsid w:val="007B366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366E"/>
    <w:pPr>
      <w:spacing w:after="0" w:line="240" w:lineRule="auto"/>
      <w:ind w:left="10" w:hanging="10"/>
      <w:jc w:val="both"/>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7B366E"/>
    <w:rPr>
      <w:color w:val="0563C1" w:themeColor="hyperlink"/>
      <w:u w:val="single"/>
    </w:rPr>
  </w:style>
  <w:style w:type="character" w:customStyle="1" w:styleId="UnresolvedMention1">
    <w:name w:val="Unresolved Mention1"/>
    <w:basedOn w:val="DefaultParagraphFont"/>
    <w:uiPriority w:val="99"/>
    <w:semiHidden/>
    <w:unhideWhenUsed/>
    <w:rsid w:val="007B366E"/>
    <w:rPr>
      <w:color w:val="605E5C"/>
      <w:shd w:val="clear" w:color="auto" w:fill="E1DFDD"/>
    </w:rPr>
  </w:style>
  <w:style w:type="character" w:styleId="UnresolvedMention">
    <w:name w:val="Unresolved Mention"/>
    <w:basedOn w:val="DefaultParagraphFont"/>
    <w:uiPriority w:val="99"/>
    <w:semiHidden/>
    <w:unhideWhenUsed/>
    <w:rsid w:val="00CD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epghana.com/" TargetMode="External"/><Relationship Id="rId21" Type="http://schemas.openxmlformats.org/officeDocument/2006/relationships/hyperlink" Target="https://www.ajol.info/index.php/aref/article/view/164555" TargetMode="External"/><Relationship Id="rId34" Type="http://schemas.openxmlformats.org/officeDocument/2006/relationships/hyperlink" Target="https://doi.org/10.1080/0376835X.2016.1269635" TargetMode="External"/><Relationship Id="rId42" Type="http://schemas.openxmlformats.org/officeDocument/2006/relationships/hyperlink" Target="https://doi.org/10.18488/journal.107.2018.64.213.225" TargetMode="External"/><Relationship Id="rId47" Type="http://schemas.openxmlformats.org/officeDocument/2006/relationships/hyperlink" Target="https://papers.ssrn.com/sol3/papers.cfm?abstract_id=2841302" TargetMode="External"/><Relationship Id="rId50" Type="http://schemas.openxmlformats.org/officeDocument/2006/relationships/hyperlink" Target="https://doi.org/10.1080/23322039.2020.1782074" TargetMode="External"/><Relationship Id="rId55" Type="http://schemas.openxmlformats.org/officeDocument/2006/relationships/hyperlink" Target="https://www.iiste.org/Journals/index.php/EJBM/article/view/32000" TargetMode="External"/><Relationship Id="rId63"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iuc-ghana.edu.gh/wp-content/uploads/2023/06/WJAS-Volume-5-issue-1.pdf" TargetMode="External"/><Relationship Id="rId29" Type="http://schemas.openxmlformats.org/officeDocument/2006/relationships/hyperlink" Target="https://doi.org/10.1080/1226508X.2017.1292857" TargetMode="External"/><Relationship Id="rId11" Type="http://schemas.openxmlformats.org/officeDocument/2006/relationships/hyperlink" Target="https://doi.org/10.2139/ssrn.3853479" TargetMode="External"/><Relationship Id="rId24" Type="http://schemas.openxmlformats.org/officeDocument/2006/relationships/hyperlink" Target="https://doi.org/10.1108/JES-01-2015-0007" TargetMode="External"/><Relationship Id="rId32" Type="http://schemas.openxmlformats.org/officeDocument/2006/relationships/hyperlink" Target="https://doi.org/10.1108/H-04-2015-0023" TargetMode="External"/><Relationship Id="rId37" Type="http://schemas.openxmlformats.org/officeDocument/2006/relationships/hyperlink" Target="https://doi.org/10.1007/s10797-022-09738-0" TargetMode="External"/><Relationship Id="rId40" Type="http://schemas.openxmlformats.org/officeDocument/2006/relationships/hyperlink" Target="https://doi.org/10.3390/su14106105" TargetMode="External"/><Relationship Id="rId45" Type="http://schemas.openxmlformats.org/officeDocument/2006/relationships/hyperlink" Target="https://doi.org/10.4314/afrrev.v9i4.21" TargetMode="External"/><Relationship Id="rId53" Type="http://schemas.openxmlformats.org/officeDocument/2006/relationships/hyperlink" Target="https://doi.org/10.7176/RJFA/11-5-05" TargetMode="External"/><Relationship Id="rId58" Type="http://schemas.openxmlformats.org/officeDocument/2006/relationships/hyperlink" Target="https://doi.org/10.3316/INFORMIT.948863872112512"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9734/BJEMT/2016/22030" TargetMode="External"/><Relationship Id="rId14" Type="http://schemas.openxmlformats.org/officeDocument/2006/relationships/hyperlink" Target="https://doi.org/10.1007/s10368-021-00492-8" TargetMode="External"/><Relationship Id="rId22" Type="http://schemas.openxmlformats.org/officeDocument/2006/relationships/hyperlink" Target="https://doi.org/10.61538/ajer.v6i2.393" TargetMode="External"/><Relationship Id="rId27" Type="http://schemas.openxmlformats.org/officeDocument/2006/relationships/hyperlink" Target="https://doi.org/10.1257/jep.38.1.107" TargetMode="External"/><Relationship Id="rId30" Type="http://schemas.openxmlformats.org/officeDocument/2006/relationships/hyperlink" Target="https://doi.org/10.54648/TAXI2019096" TargetMode="External"/><Relationship Id="rId35" Type="http://schemas.openxmlformats.org/officeDocument/2006/relationships/hyperlink" Target="https://doi.org/10.1111/j.2040-0209.2013.00429.x" TargetMode="External"/><Relationship Id="rId43" Type="http://schemas.openxmlformats.org/officeDocument/2006/relationships/hyperlink" Target="https://doi.org/10.1991/jefa.v4i2.a37" TargetMode="External"/><Relationship Id="rId48" Type="http://schemas.openxmlformats.org/officeDocument/2006/relationships/hyperlink" Target="https://doi.org/10.22004/ag.econ.320572" TargetMode="External"/><Relationship Id="rId56" Type="http://schemas.openxmlformats.org/officeDocument/2006/relationships/hyperlink" Target="https://doi.org/10.1016/j.worlddev.2021.105742" TargetMode="External"/><Relationship Id="rId64" Type="http://schemas.openxmlformats.org/officeDocument/2006/relationships/header" Target="header3.xml"/><Relationship Id="rId8" Type="http://schemas.openxmlformats.org/officeDocument/2006/relationships/hyperlink" Target="https://mofep.gov.gh/fiscal-data" TargetMode="External"/><Relationship Id="rId51" Type="http://schemas.openxmlformats.org/officeDocument/2006/relationships/hyperlink" Target="https://doi.org/10.2478/ethemes-2019-0003" TargetMode="External"/><Relationship Id="rId3" Type="http://schemas.openxmlformats.org/officeDocument/2006/relationships/settings" Target="settings.xml"/><Relationship Id="rId12" Type="http://schemas.openxmlformats.org/officeDocument/2006/relationships/hyperlink" Target="https://doi.org/10.1007/s43545-024-00993-8" TargetMode="External"/><Relationship Id="rId17" Type="http://schemas.openxmlformats.org/officeDocument/2006/relationships/hyperlink" Target="https://doi.org/10.1080/00220388.2014.997223" TargetMode="External"/><Relationship Id="rId25" Type="http://schemas.openxmlformats.org/officeDocument/2006/relationships/hyperlink" Target="https://jota.website/jota/article/view/153" TargetMode="External"/><Relationship Id="rId33" Type="http://schemas.openxmlformats.org/officeDocument/2006/relationships/hyperlink" Target="http://ojs.stieamkop.ac.id/index.php/ecotal" TargetMode="External"/><Relationship Id="rId38" Type="http://schemas.openxmlformats.org/officeDocument/2006/relationships/hyperlink" Target="https://doi.org/10.47747/jat.v3i2.1138" TargetMode="External"/><Relationship Id="rId46" Type="http://schemas.openxmlformats.org/officeDocument/2006/relationships/hyperlink" Target="https://doi.org/10.3390/su142114343" TargetMode="External"/><Relationship Id="rId59" Type="http://schemas.openxmlformats.org/officeDocument/2006/relationships/hyperlink" Target="https://doi.org/10.1007/978-3-031-69344-1_14" TargetMode="External"/><Relationship Id="rId67" Type="http://schemas.openxmlformats.org/officeDocument/2006/relationships/theme" Target="theme/theme1.xml"/><Relationship Id="rId20" Type="http://schemas.openxmlformats.org/officeDocument/2006/relationships/hyperlink" Target="https://doi.org/10.1007/978-3-031-58124-3_2" TargetMode="External"/><Relationship Id="rId41" Type="http://schemas.openxmlformats.org/officeDocument/2006/relationships/hyperlink" Target="https://www.iajournals.org/articles/iajef_v1_i5_10_30.pdf" TargetMode="External"/><Relationship Id="rId54" Type="http://schemas.openxmlformats.org/officeDocument/2006/relationships/hyperlink" Target="https://doi.org/10.1504/IJSE.2017.080856"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ecin.12847" TargetMode="External"/><Relationship Id="rId23" Type="http://schemas.openxmlformats.org/officeDocument/2006/relationships/hyperlink" Target="https://doi.org/10.20935/AL4759" TargetMode="External"/><Relationship Id="rId28" Type="http://schemas.openxmlformats.org/officeDocument/2006/relationships/hyperlink" Target="https://doi.org/10.1111/infi.12346" TargetMode="External"/><Relationship Id="rId36" Type="http://schemas.openxmlformats.org/officeDocument/2006/relationships/hyperlink" Target="https://doi.org/10.1108/JEAS-09-2023-0227" TargetMode="External"/><Relationship Id="rId49" Type="http://schemas.openxmlformats.org/officeDocument/2006/relationships/hyperlink" Target="https://www.iiste.org/Journals/index.php/EJBM/article/view/25118" TargetMode="External"/><Relationship Id="rId57" Type="http://schemas.openxmlformats.org/officeDocument/2006/relationships/hyperlink" Target="https://doi.org/10.1453/jel.v4i3.1391" TargetMode="External"/><Relationship Id="rId10" Type="http://schemas.openxmlformats.org/officeDocument/2006/relationships/hyperlink" Target="https://doi.org/10.1186/s43093-023-00266-5" TargetMode="External"/><Relationship Id="rId31" Type="http://schemas.openxmlformats.org/officeDocument/2006/relationships/hyperlink" Target="https://www.academia.edu/download/101783921/Manuscript_Number_ADRRIJASS_21_3110.pdf" TargetMode="External"/><Relationship Id="rId44" Type="http://schemas.openxmlformats.org/officeDocument/2006/relationships/hyperlink" Target="https://doi.org/10.1177/0275074013487943" TargetMode="External"/><Relationship Id="rId52" Type="http://schemas.openxmlformats.org/officeDocument/2006/relationships/hyperlink" Target="https://doi.org/10.2298/PAN180201020C"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ofep.gov.gh/fiscal-data" TargetMode="External"/><Relationship Id="rId13" Type="http://schemas.openxmlformats.org/officeDocument/2006/relationships/hyperlink" Target="https://doi.org/10.32996/jefas.2025.7.3.6" TargetMode="External"/><Relationship Id="rId18" Type="http://schemas.openxmlformats.org/officeDocument/2006/relationships/hyperlink" Target="https://doi.org/10.9734/BJEMT/2015/19267" TargetMode="External"/><Relationship Id="rId39" Type="http://schemas.openxmlformats.org/officeDocument/2006/relationships/hyperlink" Target="https://www.dj.univ-danubius.ro/index.php/JAM/article/view/2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23</Pages>
  <Words>10054</Words>
  <Characters>57310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 Ebo</dc:creator>
  <cp:keywords/>
  <dc:description/>
  <cp:lastModifiedBy>SDI 1084</cp:lastModifiedBy>
  <cp:revision>21</cp:revision>
  <dcterms:created xsi:type="dcterms:W3CDTF">2025-11-14T23:10:00Z</dcterms:created>
  <dcterms:modified xsi:type="dcterms:W3CDTF">2025-12-19T12:31:00Z</dcterms:modified>
</cp:coreProperties>
</file>