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1DB2" w:rsidRPr="00921DB2" w:rsidRDefault="00921DB2" w:rsidP="00921DB2">
      <w:pPr>
        <w:pStyle w:val="Title"/>
        <w:jc w:val="both"/>
        <w:rPr>
          <w:rFonts w:ascii="Arial" w:hAnsi="Arial" w:cs="Arial"/>
          <w:bCs/>
          <w:i/>
          <w:iCs/>
          <w:u w:val="single"/>
        </w:rPr>
      </w:pPr>
      <w:r w:rsidRPr="00921DB2">
        <w:rPr>
          <w:rFonts w:ascii="Arial" w:hAnsi="Arial" w:cs="Arial"/>
          <w:bCs/>
          <w:i/>
          <w:iCs/>
          <w:u w:val="single"/>
        </w:rPr>
        <w:t>Review Article</w:t>
      </w:r>
    </w:p>
    <w:p w:rsidR="00754C9A" w:rsidRDefault="00754C9A" w:rsidP="00441B6F">
      <w:pPr>
        <w:pStyle w:val="Title"/>
        <w:spacing w:after="0"/>
        <w:jc w:val="both"/>
        <w:rPr>
          <w:rFonts w:ascii="Arial" w:hAnsi="Arial" w:cs="Arial"/>
        </w:rPr>
      </w:pPr>
    </w:p>
    <w:p w:rsidR="00163BC4" w:rsidRPr="00163BC4" w:rsidRDefault="00B172D1" w:rsidP="00441B6F">
      <w:pPr>
        <w:pStyle w:val="Author"/>
        <w:spacing w:line="240" w:lineRule="auto"/>
        <w:rPr>
          <w:rFonts w:ascii="Arial" w:hAnsi="Arial" w:cs="Arial"/>
          <w:bCs/>
          <w:iCs/>
          <w:kern w:val="28"/>
          <w:sz w:val="36"/>
        </w:rPr>
      </w:pPr>
      <w:r w:rsidRPr="00B172D1">
        <w:rPr>
          <w:rFonts w:ascii="Arial" w:hAnsi="Arial" w:cs="Arial"/>
          <w:bCs/>
          <w:iCs/>
          <w:kern w:val="28"/>
          <w:sz w:val="36"/>
        </w:rPr>
        <w:t>Reviewing the Evidence: How Local Own-Source Revenue, Special Allocation Funds, Revenue-Sharing Funds, the Flypaper Effect, and Budget Surpluses Shape Opportunistic Behavior</w:t>
      </w:r>
      <w:r w:rsidR="00231920">
        <w:rPr>
          <w:rFonts w:ascii="Arial" w:hAnsi="Arial" w:cs="Arial"/>
          <w:bCs/>
          <w:iCs/>
          <w:kern w:val="28"/>
          <w:sz w:val="36"/>
        </w:rPr>
        <w:t xml:space="preserve"> </w:t>
      </w:r>
    </w:p>
    <w:p w:rsidR="00A258C3" w:rsidRPr="00790ADA" w:rsidRDefault="00A258C3" w:rsidP="00441B6F">
      <w:pPr>
        <w:pStyle w:val="Author"/>
        <w:spacing w:line="240" w:lineRule="auto"/>
        <w:jc w:val="both"/>
        <w:rPr>
          <w:rFonts w:ascii="Arial" w:hAnsi="Arial" w:cs="Arial"/>
          <w:sz w:val="36"/>
        </w:rPr>
      </w:pPr>
    </w:p>
    <w:p w:rsidR="00790ADA" w:rsidRDefault="00790ADA" w:rsidP="00441B6F">
      <w:pPr>
        <w:pStyle w:val="Affiliation"/>
        <w:spacing w:after="0" w:line="240" w:lineRule="auto"/>
        <w:jc w:val="both"/>
        <w:rPr>
          <w:rFonts w:ascii="Arial" w:hAnsi="Arial" w:cs="Arial"/>
        </w:rPr>
      </w:pPr>
    </w:p>
    <w:p w:rsidR="002C57D2" w:rsidRPr="00FB3A86" w:rsidRDefault="002C57D2" w:rsidP="00441B6F">
      <w:pPr>
        <w:pStyle w:val="Affiliation"/>
        <w:spacing w:after="0" w:line="240" w:lineRule="auto"/>
        <w:jc w:val="both"/>
        <w:rPr>
          <w:rFonts w:ascii="Arial" w:hAnsi="Arial" w:cs="Arial"/>
        </w:rPr>
      </w:pPr>
    </w:p>
    <w:p w:rsidR="00B01FCD" w:rsidRPr="00FB3A86" w:rsidRDefault="00832402" w:rsidP="00441B6F">
      <w:pPr>
        <w:pStyle w:val="Copyright"/>
        <w:spacing w:after="0" w:line="240" w:lineRule="auto"/>
        <w:jc w:val="both"/>
        <w:rPr>
          <w:rFonts w:ascii="Arial" w:hAnsi="Arial" w:cs="Arial"/>
        </w:rPr>
        <w:sectPr w:rsidR="00B01FCD" w:rsidRPr="00FB3A86" w:rsidSect="00E4336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rsidTr="001E44FE">
        <w:tc>
          <w:tcPr>
            <w:tcW w:w="9576" w:type="dxa"/>
            <w:shd w:val="clear" w:color="auto" w:fill="F2F2F2"/>
          </w:tcPr>
          <w:p w:rsidR="00B172D1" w:rsidRPr="00B172D1" w:rsidRDefault="00B172D1" w:rsidP="00B172D1">
            <w:pPr>
              <w:pStyle w:val="Body"/>
              <w:spacing w:after="0"/>
              <w:rPr>
                <w:rFonts w:ascii="Arial" w:eastAsia="Calibri" w:hAnsi="Arial" w:cs="Arial"/>
                <w:bCs/>
                <w:szCs w:val="22"/>
              </w:rPr>
            </w:pPr>
            <w:r w:rsidRPr="00B172D1">
              <w:rPr>
                <w:rFonts w:ascii="Arial" w:eastAsia="Calibri" w:hAnsi="Arial" w:cs="Arial"/>
                <w:b/>
                <w:szCs w:val="22"/>
              </w:rPr>
              <w:t>Aims:</w:t>
            </w:r>
            <w:r>
              <w:rPr>
                <w:rFonts w:ascii="Arial" w:eastAsia="Calibri" w:hAnsi="Arial" w:cs="Arial"/>
                <w:b/>
                <w:szCs w:val="22"/>
              </w:rPr>
              <w:t xml:space="preserve"> </w:t>
            </w:r>
            <w:r w:rsidRPr="00B172D1">
              <w:rPr>
                <w:rFonts w:ascii="Arial" w:eastAsia="Calibri" w:hAnsi="Arial" w:cs="Arial"/>
                <w:bCs/>
                <w:szCs w:val="22"/>
              </w:rPr>
              <w:t>To examine how key fiscal instruments—Local Own-Source Revenue (PAD), General Allocation Funds (DAU), Special Allocation Funds (DAK), Revenue-Sharing Funds (DBH), the flypaper effect, and budget surpluses (</w:t>
            </w:r>
            <w:proofErr w:type="spellStart"/>
            <w:r w:rsidRPr="00B172D1">
              <w:rPr>
                <w:rFonts w:ascii="Arial" w:eastAsia="Calibri" w:hAnsi="Arial" w:cs="Arial"/>
                <w:bCs/>
                <w:szCs w:val="22"/>
              </w:rPr>
              <w:t>SiLPA</w:t>
            </w:r>
            <w:proofErr w:type="spellEnd"/>
            <w:r w:rsidRPr="00B172D1">
              <w:rPr>
                <w:rFonts w:ascii="Arial" w:eastAsia="Calibri" w:hAnsi="Arial" w:cs="Arial"/>
                <w:bCs/>
                <w:szCs w:val="22"/>
              </w:rPr>
              <w:t>)—are associated with opportunistic fiscal behavior in Indonesia, and to identify whether these variables are manipulated for political advantage during periods of heightened political competition.</w:t>
            </w:r>
          </w:p>
          <w:p w:rsidR="00B172D1" w:rsidRPr="00B172D1" w:rsidRDefault="00B172D1" w:rsidP="00B172D1">
            <w:pPr>
              <w:pStyle w:val="Body"/>
              <w:spacing w:after="0"/>
              <w:rPr>
                <w:rFonts w:ascii="Arial" w:eastAsia="Calibri" w:hAnsi="Arial" w:cs="Arial"/>
                <w:bCs/>
                <w:szCs w:val="22"/>
              </w:rPr>
            </w:pPr>
            <w:r w:rsidRPr="00B172D1">
              <w:rPr>
                <w:rFonts w:ascii="Arial" w:eastAsia="Calibri" w:hAnsi="Arial" w:cs="Arial"/>
                <w:b/>
                <w:szCs w:val="22"/>
              </w:rPr>
              <w:t>Study Design:</w:t>
            </w:r>
            <w:r>
              <w:rPr>
                <w:rFonts w:ascii="Arial" w:eastAsia="Calibri" w:hAnsi="Arial" w:cs="Arial"/>
                <w:b/>
                <w:szCs w:val="22"/>
              </w:rPr>
              <w:t xml:space="preserve"> </w:t>
            </w:r>
            <w:r w:rsidRPr="00B172D1">
              <w:rPr>
                <w:rFonts w:ascii="Arial" w:eastAsia="Calibri" w:hAnsi="Arial" w:cs="Arial"/>
                <w:bCs/>
                <w:szCs w:val="22"/>
              </w:rPr>
              <w:t>A qualitative literature-based synthesis reviewing peer-reviewed empirical studies.</w:t>
            </w:r>
          </w:p>
          <w:p w:rsidR="00B172D1" w:rsidRPr="00B172D1" w:rsidRDefault="00B172D1" w:rsidP="00B172D1">
            <w:pPr>
              <w:pStyle w:val="Body"/>
              <w:spacing w:after="0"/>
              <w:rPr>
                <w:rFonts w:ascii="Arial" w:eastAsia="Calibri" w:hAnsi="Arial" w:cs="Arial"/>
                <w:bCs/>
                <w:szCs w:val="22"/>
              </w:rPr>
            </w:pPr>
            <w:r w:rsidRPr="00B172D1">
              <w:rPr>
                <w:rFonts w:ascii="Arial" w:eastAsia="Calibri" w:hAnsi="Arial" w:cs="Arial"/>
                <w:b/>
                <w:szCs w:val="22"/>
              </w:rPr>
              <w:t>Place and Duration of Study</w:t>
            </w:r>
            <w:r>
              <w:rPr>
                <w:rFonts w:ascii="Arial" w:eastAsia="Calibri" w:hAnsi="Arial" w:cs="Arial"/>
                <w:b/>
                <w:szCs w:val="22"/>
              </w:rPr>
              <w:t xml:space="preserve">: </w:t>
            </w:r>
            <w:r w:rsidRPr="00B172D1">
              <w:rPr>
                <w:rFonts w:ascii="Arial" w:eastAsia="Calibri" w:hAnsi="Arial" w:cs="Arial"/>
                <w:bCs/>
                <w:szCs w:val="22"/>
              </w:rPr>
              <w:t>This review covers literature published between 2020 and 2025 in Indonesia’s fiscal governance context, with articles sourced from the SINTA databases.</w:t>
            </w:r>
          </w:p>
          <w:p w:rsidR="00226B64" w:rsidRDefault="00B172D1" w:rsidP="00B172D1">
            <w:pPr>
              <w:pStyle w:val="Body"/>
              <w:spacing w:after="0"/>
              <w:rPr>
                <w:rFonts w:ascii="Arial" w:eastAsia="Calibri" w:hAnsi="Arial" w:cs="Arial"/>
                <w:bCs/>
                <w:szCs w:val="22"/>
              </w:rPr>
            </w:pPr>
            <w:r w:rsidRPr="00B172D1">
              <w:rPr>
                <w:rFonts w:ascii="Arial" w:eastAsia="Calibri" w:hAnsi="Arial" w:cs="Arial"/>
                <w:b/>
                <w:szCs w:val="22"/>
              </w:rPr>
              <w:t>Methodology:</w:t>
            </w:r>
            <w:r>
              <w:rPr>
                <w:rFonts w:ascii="Arial" w:eastAsia="Calibri" w:hAnsi="Arial" w:cs="Arial"/>
                <w:b/>
                <w:szCs w:val="22"/>
              </w:rPr>
              <w:t xml:space="preserve"> </w:t>
            </w:r>
            <w:r w:rsidRPr="00B172D1">
              <w:rPr>
                <w:rFonts w:ascii="Arial" w:eastAsia="Calibri" w:hAnsi="Arial" w:cs="Arial"/>
                <w:bCs/>
                <w:szCs w:val="22"/>
              </w:rPr>
              <w:t xml:space="preserve">A total of ten peer-reviewed journal articles were systematically selected based on relevance to opportunistic fiscal behavior and regional budgeting. The review employed qualitative synthesis to compare findings across studies, focusing on the relationship between political incentives and budgetary variables (PAD, DAU, DAK, DBH, flypaper effect, and </w:t>
            </w:r>
            <w:proofErr w:type="spellStart"/>
            <w:r w:rsidRPr="00B172D1">
              <w:rPr>
                <w:rFonts w:ascii="Arial" w:eastAsia="Calibri" w:hAnsi="Arial" w:cs="Arial"/>
                <w:bCs/>
                <w:szCs w:val="22"/>
              </w:rPr>
              <w:t>SiLPA</w:t>
            </w:r>
            <w:proofErr w:type="spellEnd"/>
            <w:r w:rsidRPr="00B172D1">
              <w:rPr>
                <w:rFonts w:ascii="Arial" w:eastAsia="Calibri" w:hAnsi="Arial" w:cs="Arial"/>
                <w:bCs/>
                <w:szCs w:val="22"/>
              </w:rPr>
              <w:t xml:space="preserve">). </w:t>
            </w:r>
          </w:p>
          <w:p w:rsidR="00B172D1" w:rsidRPr="00B172D1" w:rsidRDefault="00B172D1" w:rsidP="00B172D1">
            <w:pPr>
              <w:pStyle w:val="Body"/>
              <w:spacing w:after="0"/>
              <w:rPr>
                <w:rFonts w:ascii="Arial" w:eastAsia="Calibri" w:hAnsi="Arial" w:cs="Arial"/>
                <w:bCs/>
                <w:szCs w:val="22"/>
              </w:rPr>
            </w:pPr>
            <w:r w:rsidRPr="00B172D1">
              <w:rPr>
                <w:rFonts w:ascii="Arial" w:eastAsia="Calibri" w:hAnsi="Arial" w:cs="Arial"/>
                <w:b/>
                <w:szCs w:val="22"/>
              </w:rPr>
              <w:t>Results:</w:t>
            </w:r>
            <w:r>
              <w:rPr>
                <w:rFonts w:ascii="Arial" w:eastAsia="Calibri" w:hAnsi="Arial" w:cs="Arial"/>
                <w:b/>
                <w:szCs w:val="22"/>
              </w:rPr>
              <w:t xml:space="preserve"> </w:t>
            </w:r>
            <w:r w:rsidRPr="00B172D1">
              <w:rPr>
                <w:rFonts w:ascii="Arial" w:eastAsia="Calibri" w:hAnsi="Arial" w:cs="Arial"/>
                <w:bCs/>
                <w:szCs w:val="22"/>
              </w:rPr>
              <w:t>Across the ten reviewed studies</w:t>
            </w:r>
            <w:r>
              <w:rPr>
                <w:rFonts w:ascii="Arial" w:eastAsia="Calibri" w:hAnsi="Arial" w:cs="Arial"/>
                <w:bCs/>
                <w:szCs w:val="22"/>
              </w:rPr>
              <w:t xml:space="preserve">, </w:t>
            </w:r>
            <w:r w:rsidRPr="00B172D1">
              <w:rPr>
                <w:rFonts w:ascii="Arial" w:eastAsia="Calibri" w:hAnsi="Arial" w:cs="Arial"/>
                <w:bCs/>
                <w:szCs w:val="22"/>
              </w:rPr>
              <w:t>consistently found to significantly influence opportunistic fiscal behavior, with several studies reporting positive and statistically significant relationships between transfer size and politically motivated expenditure increases. Budget surpluses (</w:t>
            </w:r>
            <w:proofErr w:type="spellStart"/>
            <w:r w:rsidRPr="00B172D1">
              <w:rPr>
                <w:rFonts w:ascii="Arial" w:eastAsia="Calibri" w:hAnsi="Arial" w:cs="Arial"/>
                <w:bCs/>
                <w:szCs w:val="22"/>
              </w:rPr>
              <w:t>SiLPA</w:t>
            </w:r>
            <w:proofErr w:type="spellEnd"/>
            <w:r w:rsidRPr="00B172D1">
              <w:rPr>
                <w:rFonts w:ascii="Arial" w:eastAsia="Calibri" w:hAnsi="Arial" w:cs="Arial"/>
                <w:bCs/>
                <w:szCs w:val="22"/>
              </w:rPr>
              <w:t>) were also identified as significant predictors of opportunism, providing incumbents with additional discretionary fiscal space. The flypaper effect was repeatedly documented, with studies showing that increases in transfers resulted in disproportionately higher spending, especially during election periods. Findings regarding PAD were mixed, with some studies reporting insignificant coefficients, indicating limited influence on opportunistic actions</w:t>
            </w:r>
            <w:r w:rsidR="001F7142">
              <w:rPr>
                <w:rFonts w:ascii="Arial" w:eastAsia="Calibri" w:hAnsi="Arial" w:cs="Arial"/>
                <w:bCs/>
                <w:szCs w:val="22"/>
              </w:rPr>
              <w:t>.</w:t>
            </w:r>
            <w:r w:rsidRPr="00B172D1">
              <w:rPr>
                <w:rFonts w:ascii="Arial" w:eastAsia="Calibri" w:hAnsi="Arial" w:cs="Arial"/>
                <w:bCs/>
                <w:szCs w:val="22"/>
              </w:rPr>
              <w:t xml:space="preserve"> </w:t>
            </w:r>
          </w:p>
          <w:p w:rsidR="00505F06" w:rsidRPr="00B172D1" w:rsidRDefault="00B172D1" w:rsidP="00B172D1">
            <w:pPr>
              <w:pStyle w:val="Body"/>
              <w:spacing w:after="0"/>
              <w:rPr>
                <w:rFonts w:ascii="Arial" w:eastAsia="Calibri" w:hAnsi="Arial" w:cs="Arial"/>
                <w:b/>
                <w:szCs w:val="22"/>
              </w:rPr>
            </w:pPr>
            <w:r w:rsidRPr="00B172D1">
              <w:rPr>
                <w:rFonts w:ascii="Arial" w:eastAsia="Calibri" w:hAnsi="Arial" w:cs="Arial"/>
                <w:b/>
                <w:szCs w:val="22"/>
              </w:rPr>
              <w:t>Conclusion:</w:t>
            </w:r>
            <w:r>
              <w:rPr>
                <w:rFonts w:ascii="Arial" w:eastAsia="Calibri" w:hAnsi="Arial" w:cs="Arial"/>
                <w:b/>
                <w:szCs w:val="22"/>
              </w:rPr>
              <w:t xml:space="preserve"> </w:t>
            </w:r>
            <w:r w:rsidRPr="00B172D1">
              <w:rPr>
                <w:rFonts w:ascii="Arial" w:eastAsia="Calibri" w:hAnsi="Arial" w:cs="Arial"/>
                <w:bCs/>
                <w:szCs w:val="22"/>
              </w:rPr>
              <w:t>Fiscal instruments, particularly intergovernmental transfers and budget surpluses, play a significant role in enabling opportunistic behavior within regional budgeting practices. The consistent presence of the flypaper effect further amplifies politically motivated expenditure patterns. Strengthening transparency, audit quality, and regulatory oversight is essential to mitigate these manipulative tendencies and ensure that regional budgets prioritize public welfare over political interests.</w:t>
            </w:r>
          </w:p>
        </w:tc>
      </w:tr>
    </w:tbl>
    <w:p w:rsidR="00636EB2" w:rsidRDefault="00636EB2" w:rsidP="00441B6F">
      <w:pPr>
        <w:pStyle w:val="Body"/>
        <w:spacing w:after="0"/>
        <w:rPr>
          <w:rFonts w:ascii="Arial" w:hAnsi="Arial" w:cs="Arial"/>
          <w:i/>
        </w:rPr>
      </w:pPr>
    </w:p>
    <w:p w:rsidR="00A24E7E" w:rsidRDefault="00A24E7E" w:rsidP="00441B6F">
      <w:pPr>
        <w:pStyle w:val="Body"/>
        <w:spacing w:after="0"/>
        <w:rPr>
          <w:rFonts w:ascii="Arial" w:hAnsi="Arial" w:cs="Arial"/>
          <w:i/>
        </w:rPr>
      </w:pPr>
      <w:r>
        <w:rPr>
          <w:rFonts w:ascii="Arial" w:hAnsi="Arial" w:cs="Arial"/>
          <w:i/>
        </w:rPr>
        <w:t xml:space="preserve">Keywords: </w:t>
      </w:r>
      <w:r w:rsidR="00226B64" w:rsidRPr="00226B64">
        <w:rPr>
          <w:rFonts w:ascii="Arial" w:hAnsi="Arial" w:cs="Arial"/>
          <w:i/>
        </w:rPr>
        <w:t>Opportunistic Fiscal Behavior, Regional Head, Intergovernmental Transfers, Flypaper Effect, Budget Surplus (</w:t>
      </w:r>
      <w:proofErr w:type="spellStart"/>
      <w:r w:rsidR="00226B64" w:rsidRPr="00226B64">
        <w:rPr>
          <w:rFonts w:ascii="Arial" w:hAnsi="Arial" w:cs="Arial"/>
          <w:i/>
        </w:rPr>
        <w:t>SiLPA</w:t>
      </w:r>
      <w:proofErr w:type="spellEnd"/>
      <w:r w:rsidR="00226B64" w:rsidRPr="00226B64">
        <w:rPr>
          <w:rFonts w:ascii="Arial" w:hAnsi="Arial" w:cs="Arial"/>
          <w:i/>
        </w:rPr>
        <w:t>)</w:t>
      </w: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rsidR="00790ADA" w:rsidRPr="00FB3A86" w:rsidRDefault="00790ADA" w:rsidP="00441B6F">
      <w:pPr>
        <w:pStyle w:val="AbstHead"/>
        <w:spacing w:after="0"/>
        <w:jc w:val="both"/>
        <w:rPr>
          <w:rFonts w:ascii="Arial" w:hAnsi="Arial" w:cs="Arial"/>
        </w:rPr>
      </w:pPr>
    </w:p>
    <w:p w:rsidR="00876864" w:rsidRPr="00876864" w:rsidRDefault="00876864" w:rsidP="00876864">
      <w:pPr>
        <w:pStyle w:val="Body"/>
        <w:rPr>
          <w:rFonts w:ascii="Arial" w:hAnsi="Arial" w:cs="Arial"/>
        </w:rPr>
      </w:pPr>
      <w:r w:rsidRPr="00876864">
        <w:rPr>
          <w:rFonts w:ascii="Arial" w:hAnsi="Arial" w:cs="Arial"/>
        </w:rPr>
        <w:t xml:space="preserve">Public sector budgeting stands as one of the central pillars for building transparent, accountable, and development-oriented governance. A well-constructed regional budget does not merely outline financial plans but also reflects how effectively a local government allocates resources to strategic sectors such as education, health, and infrastructure </w:t>
      </w:r>
      <w:r w:rsidRPr="00876864">
        <w:rPr>
          <w:rFonts w:ascii="Arial" w:hAnsi="Arial" w:cs="Arial"/>
        </w:rPr>
        <w:lastRenderedPageBreak/>
        <w:t>(</w:t>
      </w:r>
      <w:proofErr w:type="spellStart"/>
      <w:r w:rsidRPr="00876864">
        <w:rPr>
          <w:rFonts w:ascii="Arial" w:hAnsi="Arial" w:cs="Arial"/>
        </w:rPr>
        <w:t>Mardiasmo</w:t>
      </w:r>
      <w:proofErr w:type="spellEnd"/>
      <w:r w:rsidRPr="00876864">
        <w:rPr>
          <w:rFonts w:ascii="Arial" w:hAnsi="Arial" w:cs="Arial"/>
        </w:rPr>
        <w:t>, 2002). When managed properly, the regional budget becomes an instrument to enhance public welfare and strengthen fiscal autonomy—core values envisioned under Indonesia’s decentralization framework. Since the implementation of regional autonomy in 1999 and reinforced by Law No. 32 of 2004, local governments have been entrusted with the authority to manage their own revenue and expenditure in accordance with local priorities. Such authority is further supported by Law No. 1 of 2022 on Central–Regional Fiscal Relations (HKPD), emphasizing that local governance responsibilities must be financed through the Regional Budget (APBD). In principle, this regulatory foundation expects every region to plan their budget prudently and responsibly (Halim, 2004).</w:t>
      </w:r>
    </w:p>
    <w:p w:rsidR="00876864" w:rsidRPr="00876864" w:rsidRDefault="00876864" w:rsidP="00876864">
      <w:pPr>
        <w:pStyle w:val="Body"/>
        <w:rPr>
          <w:rFonts w:ascii="Arial" w:hAnsi="Arial" w:cs="Arial"/>
        </w:rPr>
      </w:pPr>
      <w:r w:rsidRPr="00876864">
        <w:rPr>
          <w:rFonts w:ascii="Arial" w:hAnsi="Arial" w:cs="Arial"/>
        </w:rPr>
        <w:t>However, the reality of local budget preparation is often far more complex. Instead of functioning solely as a rational financial instrument, the APBD can become susceptible to various strategic interests that influence allocation decisions. This condition gives rise to what the literature describes as opportunistic fiscal behavior, a situation in which budget allocation decisions are deliberately distorted to maximize institutional or political advantages rather than public needs. As theoretically grounded in the Political Business Cycle theory by Nordhaus (1975) and Rogoff (1990), incumbents tend to manipulate fiscal policy to signal competence prior to elections. In the local context, Abdullah and Asmara (2006) further argue that legislative and executive actors often engage in budgetary slack to serve self-interests. Bracco (2024), for example, demonstrates that manipulating revenue components can be more subtle and advantageous compared to manipulating expenditures, as small shifts in revenue reporting can alter perceptions without triggering broad public scrutiny.</w:t>
      </w:r>
    </w:p>
    <w:p w:rsidR="00876864" w:rsidRPr="00876864" w:rsidRDefault="00876864" w:rsidP="00876864">
      <w:pPr>
        <w:pStyle w:val="Body"/>
        <w:rPr>
          <w:rFonts w:ascii="Arial" w:hAnsi="Arial" w:cs="Arial"/>
        </w:rPr>
      </w:pPr>
      <w:r w:rsidRPr="00876864">
        <w:rPr>
          <w:rFonts w:ascii="Arial" w:hAnsi="Arial" w:cs="Arial"/>
        </w:rPr>
        <w:t xml:space="preserve">Political dynamics and governance pressures can also shape how fiscal instruments are utilized by regional governments. Existing literature indicates that </w:t>
      </w:r>
      <w:proofErr w:type="gramStart"/>
      <w:r w:rsidR="00037274" w:rsidRPr="00037274">
        <w:rPr>
          <w:rFonts w:ascii="Arial" w:hAnsi="Arial" w:cs="Arial"/>
        </w:rPr>
        <w:t>The</w:t>
      </w:r>
      <w:proofErr w:type="gramEnd"/>
      <w:r w:rsidR="00037274" w:rsidRPr="00037274">
        <w:rPr>
          <w:rFonts w:ascii="Arial" w:hAnsi="Arial" w:cs="Arial"/>
        </w:rPr>
        <w:t xml:space="preserve"> allocation of Special Allocation Funds (DAK) and Regional Transfer Funds (TKD) shows vulnerability to adjustments because they are based on national strategic priorities and structural reforms, rather than solely on direct regional development needs</w:t>
      </w:r>
      <w:r w:rsidR="00037274">
        <w:rPr>
          <w:rFonts w:ascii="Arial" w:hAnsi="Arial" w:cs="Arial"/>
        </w:rPr>
        <w:t xml:space="preserve"> (Malau et al., 2023).</w:t>
      </w:r>
      <w:r w:rsidRPr="00876864">
        <w:rPr>
          <w:rFonts w:ascii="Arial" w:hAnsi="Arial" w:cs="Arial"/>
        </w:rPr>
        <w:t xml:space="preserve"> Although these funds are designed to support regional development under a decentralized fiscal system, in practice they may be redirected or emphasized to finance public goods that offer greater visibility or institutional legitimacy. Drazen and Eslava (2010) note that politicians often target "voter-friendly" spending to secure electoral support. Historical evidence shows that budget components with high public visibility, such as social assistance spending, often experience fluctuations that do not correspond with long-term development planning. For instance, Indonesia’s 2024 social assistance budget increased by approximately Rp10 trillion from the previous year, reaching Rp157.3 trillion. Similar patterns were identified in 2009, when Indonesia Corruption Watch reported substantial corruption cases involving social assistance and grants, causing losses of over Rp215 billion. These cases illustrate how budgetary components can experience distortions that diverge from genuine development priorities.</w:t>
      </w:r>
    </w:p>
    <w:p w:rsidR="00876864" w:rsidRPr="00876864" w:rsidRDefault="00876864" w:rsidP="00876864">
      <w:pPr>
        <w:pStyle w:val="Body"/>
        <w:rPr>
          <w:rFonts w:ascii="Arial" w:hAnsi="Arial" w:cs="Arial"/>
        </w:rPr>
      </w:pPr>
      <w:r w:rsidRPr="00876864">
        <w:rPr>
          <w:rFonts w:ascii="Arial" w:hAnsi="Arial" w:cs="Arial"/>
        </w:rPr>
        <w:t xml:space="preserve">The propensity for misuse is amplified by the information asymmetry inherent in public budgeting. Drawing from the seminal Agency Theory by Jensen and Meckling (1976), local governments act as agents with the authority to prepare and manage the budget, while citizens and legislatures serve as principals who rely on disclosed information to evaluate fiscal decisions. Yet the principals often lack full insight into whether the budget truly reflects public priorities or internal strategic interests (Halim &amp; Abdullah, 2006). This information gap creates opportunities for opportunistic fiscal behavior, as agents may exploit their superior knowledge and decision-making power to pursue goals that do not fully align with public welfare. A growing body of research highlights that changes in regional revenue—particularly local own-source revenue—may also incentivize certain strategic actions. </w:t>
      </w:r>
      <w:proofErr w:type="spellStart"/>
      <w:r w:rsidRPr="00876864">
        <w:rPr>
          <w:rFonts w:ascii="Arial" w:hAnsi="Arial" w:cs="Arial"/>
        </w:rPr>
        <w:t>Syahrani</w:t>
      </w:r>
      <w:proofErr w:type="spellEnd"/>
      <w:r w:rsidRPr="00876864">
        <w:rPr>
          <w:rFonts w:ascii="Arial" w:hAnsi="Arial" w:cs="Arial"/>
        </w:rPr>
        <w:t xml:space="preserve"> et al. (2025) found that fluctuations in revenue structures within provinces in Sumatra have been linked to fiscal decision-making that benefits specific actors or institutional groups. Likewise, the literature on the flypaper effect reveals another dimension of vulnerability. Because general allocation transfers function as untied or block grants, regions possess broad discretion in deciding how to utilize these funds. Oates (1979) famously described this phenomenon as money "sticking where it hits," and Maryono (2013) notes that such flexibility often enables local governments to allocate funds in ways that are strategic rather than development-driven.</w:t>
      </w:r>
    </w:p>
    <w:p w:rsidR="00876864" w:rsidRPr="00876864" w:rsidRDefault="00876864" w:rsidP="00876864">
      <w:pPr>
        <w:pStyle w:val="Body"/>
        <w:rPr>
          <w:rFonts w:ascii="Arial" w:hAnsi="Arial" w:cs="Arial"/>
        </w:rPr>
      </w:pPr>
      <w:r w:rsidRPr="00876864">
        <w:rPr>
          <w:rFonts w:ascii="Arial" w:hAnsi="Arial" w:cs="Arial"/>
        </w:rPr>
        <w:t xml:space="preserve">In addition, the presence of surplus budget financing—commonly referred to as </w:t>
      </w:r>
      <w:proofErr w:type="spellStart"/>
      <w:r w:rsidRPr="00876864">
        <w:rPr>
          <w:rFonts w:ascii="Arial" w:hAnsi="Arial" w:cs="Arial"/>
        </w:rPr>
        <w:t>SiLPA</w:t>
      </w:r>
      <w:proofErr w:type="spellEnd"/>
      <w:r w:rsidRPr="00876864">
        <w:rPr>
          <w:rFonts w:ascii="Arial" w:hAnsi="Arial" w:cs="Arial"/>
        </w:rPr>
        <w:t xml:space="preserve">—may provide further avenues for opportunistic behavior. Large surpluses signal under-utilized funds that can later be reallocated with minimal scrutiny, offering fiscal space for discretionary spending. According to studies grounded in agency theory and public sector accounting (Jones &amp; Pendlebury, 2000), higher surpluses increase discretionary power for the executive and legislative branches, allowing them to channel funds toward programs that enhance institutional influence or short-term performance indicators. </w:t>
      </w:r>
      <w:proofErr w:type="spellStart"/>
      <w:r w:rsidRPr="00876864">
        <w:rPr>
          <w:rFonts w:ascii="Arial" w:hAnsi="Arial" w:cs="Arial"/>
        </w:rPr>
        <w:t>Ritonga</w:t>
      </w:r>
      <w:proofErr w:type="spellEnd"/>
      <w:r w:rsidRPr="00876864">
        <w:rPr>
          <w:rFonts w:ascii="Arial" w:hAnsi="Arial" w:cs="Arial"/>
        </w:rPr>
        <w:t xml:space="preserve"> (</w:t>
      </w:r>
      <w:r w:rsidR="003C2B39">
        <w:rPr>
          <w:rFonts w:ascii="Arial" w:hAnsi="Arial" w:cs="Arial"/>
        </w:rPr>
        <w:t>2023</w:t>
      </w:r>
      <w:r w:rsidRPr="00876864">
        <w:rPr>
          <w:rFonts w:ascii="Arial" w:hAnsi="Arial" w:cs="Arial"/>
        </w:rPr>
        <w:t xml:space="preserve">) reinforces this by suggesting that significant </w:t>
      </w:r>
      <w:proofErr w:type="spellStart"/>
      <w:r w:rsidRPr="00876864">
        <w:rPr>
          <w:rFonts w:ascii="Arial" w:hAnsi="Arial" w:cs="Arial"/>
        </w:rPr>
        <w:t>SiLPA</w:t>
      </w:r>
      <w:proofErr w:type="spellEnd"/>
      <w:r w:rsidRPr="00876864">
        <w:rPr>
          <w:rFonts w:ascii="Arial" w:hAnsi="Arial" w:cs="Arial"/>
        </w:rPr>
        <w:t xml:space="preserve"> is often not a sign of efficiency, but rather a strategic buffer or a result of poor planning. Despite the extensive literature on local budgeting, several gaps remain evident. Most studies on the flypaper effect concentrate on expenditure patterns without linking the phenomenon to broader institutional incentives. Likewise, research on opportunistic budgeting often focuses on specific revenue components or limited geographic areas. These gaps restrict our understanding of how fiscal instruments interact with governance dynamics within the broader regional context.</w:t>
      </w:r>
    </w:p>
    <w:p w:rsidR="00945CCC" w:rsidRDefault="00876864" w:rsidP="00876864">
      <w:pPr>
        <w:pStyle w:val="Body"/>
        <w:spacing w:after="0"/>
        <w:rPr>
          <w:rFonts w:ascii="Arial" w:hAnsi="Arial" w:cs="Arial"/>
        </w:rPr>
      </w:pPr>
      <w:r w:rsidRPr="00876864">
        <w:rPr>
          <w:rFonts w:ascii="Arial" w:hAnsi="Arial" w:cs="Arial"/>
        </w:rPr>
        <w:lastRenderedPageBreak/>
        <w:t>Given these considerations, this literature review seeks to synthesize existing knowledge on how local own-source revenue, central government transfers, the flypaper effect, and surplus budget financing relate to opportunistic fiscal behavior within local public finance management. By examining findings across various studies, this review aims to provide a comprehensive understanding of the fiscal dynamics that shape decision-making at the local level and to identify areas where future research can offer meaningful contributions.</w:t>
      </w:r>
      <w:r w:rsidR="00945CCC" w:rsidRPr="00945CCC">
        <w:rPr>
          <w:rFonts w:ascii="Arial" w:hAnsi="Arial" w:cs="Arial"/>
        </w:rPr>
        <w:t xml:space="preserve"> </w:t>
      </w:r>
    </w:p>
    <w:p w:rsidR="00790ADA" w:rsidRPr="00FB3A86" w:rsidRDefault="00790ADA" w:rsidP="00441B6F">
      <w:pPr>
        <w:pStyle w:val="Body"/>
        <w:spacing w:after="0"/>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rsidR="00790ADA" w:rsidRPr="00FB3A86" w:rsidRDefault="00790ADA" w:rsidP="00441B6F">
      <w:pPr>
        <w:pStyle w:val="AbstHead"/>
        <w:spacing w:after="0"/>
        <w:jc w:val="both"/>
        <w:rPr>
          <w:rFonts w:ascii="Arial" w:hAnsi="Arial" w:cs="Arial"/>
        </w:rPr>
      </w:pPr>
    </w:p>
    <w:p w:rsidR="003279D4" w:rsidRPr="003279D4" w:rsidRDefault="003279D4" w:rsidP="003279D4">
      <w:pPr>
        <w:pStyle w:val="Body"/>
        <w:rPr>
          <w:rFonts w:ascii="Arial" w:hAnsi="Arial" w:cs="Arial"/>
        </w:rPr>
      </w:pPr>
      <w:r w:rsidRPr="003279D4">
        <w:rPr>
          <w:rFonts w:ascii="Arial" w:hAnsi="Arial" w:cs="Arial"/>
        </w:rPr>
        <w:t>This literature review adopts a qualitative synthesis approach to examine scholarly findings related to local own-source revenue, special allocation funds, revenue-sharing funds, the flypaper effect, budget surpluses, and opportunistic fiscal behavior. As noted by Snyder (2019), this approach is essential for integrating diverse findings and identifying themes within a specific domain of knowledge. The review focuses exclusively on peer-reviewed journal articles published between 2020 and 2024 to ensure the inclusion of contemporary perspectives and recent empirical developments in Indonesia’s fiscal governance context. The search process was conducted through the SINTA (Science and Technology Index) database, which provides access to accredited national journals recognized by the Ministry of Education, Culture, Research, and Technology. Keywords such as opportunistic fiscal behavior, local government budgeting, flypaper effect, local revenue management, and budget surplus were used to identify relevant studies.</w:t>
      </w:r>
    </w:p>
    <w:p w:rsidR="00DF502A" w:rsidRDefault="003279D4" w:rsidP="003279D4">
      <w:pPr>
        <w:pStyle w:val="Body"/>
        <w:spacing w:after="0"/>
        <w:rPr>
          <w:rFonts w:ascii="Arial" w:hAnsi="Arial" w:cs="Arial"/>
        </w:rPr>
      </w:pPr>
      <w:r w:rsidRPr="003279D4">
        <w:rPr>
          <w:rFonts w:ascii="Arial" w:hAnsi="Arial" w:cs="Arial"/>
        </w:rPr>
        <w:t>From the initial search results, a total of 10 articles met the predetermined inclusion criteria and were selected for in-depth analysis. The screening process followed the principles of systematic selection to ensure the relevance and quality of the data sources (Moher et al., 2009). Each article was reviewed to extract key variables, theoretical foundations, methodological approaches, and findings related to fiscal behavior within local governments. The data extraction process included identifying patterns, similarities, and divergences across studies to form a synthesized understanding of the existing literature. This analytical procedure aligns with the thematic analysis framework described by Braun and Clarke (2006), which allows for the identification of dominant themes and meaningful patterns within qualitative data. This method allows the review to highlight dominant themes, research gaps, and the evolving scholarly discourse within Indonesia’s public finance and political economy fields. Through this systematic and structured analysis, the review aims to provide a comprehensive academic overview of how fiscal instruments interact with governance dynamics in regional public finance management.</w:t>
      </w:r>
      <w:r w:rsidR="00DF502A" w:rsidRPr="00DF502A">
        <w:rPr>
          <w:rFonts w:ascii="Arial" w:hAnsi="Arial" w:cs="Arial"/>
        </w:rPr>
        <w:t xml:space="preserve"> </w:t>
      </w:r>
    </w:p>
    <w:p w:rsidR="00790ADA" w:rsidRPr="00FB3A86" w:rsidRDefault="00790ADA" w:rsidP="00441B6F">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790ADA" w:rsidRPr="00FB3A86" w:rsidRDefault="00790ADA" w:rsidP="00441B6F">
      <w:pPr>
        <w:pStyle w:val="Head1"/>
        <w:spacing w:after="0"/>
        <w:jc w:val="both"/>
        <w:rPr>
          <w:rFonts w:ascii="Arial" w:hAnsi="Arial" w:cs="Arial"/>
        </w:rPr>
      </w:pPr>
    </w:p>
    <w:p w:rsidR="00580129" w:rsidRPr="00580129" w:rsidRDefault="00580129" w:rsidP="00580129">
      <w:pPr>
        <w:pStyle w:val="Body"/>
        <w:numPr>
          <w:ilvl w:val="1"/>
          <w:numId w:val="32"/>
        </w:numPr>
        <w:rPr>
          <w:rFonts w:ascii="Arial" w:hAnsi="Arial" w:cs="Arial"/>
          <w:b/>
          <w:bCs/>
          <w:lang w:val="id-ID"/>
        </w:rPr>
      </w:pPr>
      <w:r w:rsidRPr="00580129">
        <w:rPr>
          <w:rFonts w:ascii="Arial" w:hAnsi="Arial" w:cs="Arial"/>
          <w:b/>
          <w:bCs/>
          <w:lang w:val="id-ID"/>
        </w:rPr>
        <w:t xml:space="preserve">Article Identity </w:t>
      </w:r>
    </w:p>
    <w:p w:rsidR="00580129" w:rsidRPr="00580129" w:rsidRDefault="00580129" w:rsidP="00580129">
      <w:pPr>
        <w:pStyle w:val="Body"/>
        <w:rPr>
          <w:rFonts w:ascii="Arial" w:hAnsi="Arial" w:cs="Arial"/>
          <w:lang w:val="id-ID"/>
        </w:rPr>
      </w:pPr>
      <w:r w:rsidRPr="00580129">
        <w:rPr>
          <w:rFonts w:ascii="Arial" w:hAnsi="Arial" w:cs="Arial"/>
          <w:lang w:val="id-ID"/>
        </w:rPr>
        <w:t xml:space="preserve">The table presents ten scholarly works published between 2020 and 2025 that examine opportunistic behavior in public sector budgeting across various contexts. </w:t>
      </w:r>
    </w:p>
    <w:p w:rsidR="00580129" w:rsidRPr="00580129" w:rsidRDefault="00580129" w:rsidP="00580129">
      <w:pPr>
        <w:pStyle w:val="Body"/>
        <w:jc w:val="center"/>
        <w:rPr>
          <w:rFonts w:ascii="Arial" w:hAnsi="Arial" w:cs="Arial"/>
          <w:b/>
          <w:bCs/>
          <w:lang w:val="id-ID"/>
        </w:rPr>
      </w:pPr>
      <w:r w:rsidRPr="00580129">
        <w:rPr>
          <w:rFonts w:ascii="Arial" w:hAnsi="Arial" w:cs="Arial"/>
          <w:b/>
          <w:bCs/>
          <w:lang w:val="id-ID"/>
        </w:rPr>
        <w:t>Table 1. Profile of Selected Articles: Authorship, Indexing, and Research Titles (2020–2025)</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567"/>
        <w:gridCol w:w="1039"/>
        <w:gridCol w:w="7410"/>
      </w:tblGrid>
      <w:tr w:rsidR="00580129" w:rsidRPr="00580129" w:rsidTr="00580129">
        <w:tc>
          <w:tcPr>
            <w:tcW w:w="0" w:type="auto"/>
            <w:tcBorders>
              <w:top w:val="single" w:sz="4" w:space="0" w:color="auto"/>
              <w:bottom w:val="single" w:sz="4" w:space="0" w:color="auto"/>
            </w:tcBorders>
            <w:vAlign w:val="center"/>
            <w:hideMark/>
          </w:tcPr>
          <w:p w:rsidR="00580129" w:rsidRPr="00580129" w:rsidRDefault="00580129" w:rsidP="00580129">
            <w:pPr>
              <w:pStyle w:val="Body"/>
              <w:spacing w:after="0"/>
              <w:jc w:val="center"/>
              <w:rPr>
                <w:rFonts w:ascii="Arial" w:hAnsi="Arial" w:cs="Arial"/>
                <w:b/>
                <w:bCs/>
                <w:sz w:val="20"/>
                <w:szCs w:val="20"/>
                <w:lang w:val="en-ID"/>
              </w:rPr>
            </w:pPr>
            <w:r w:rsidRPr="00580129">
              <w:rPr>
                <w:rFonts w:ascii="Arial" w:hAnsi="Arial" w:cs="Arial"/>
                <w:b/>
                <w:bCs/>
                <w:sz w:val="20"/>
                <w:szCs w:val="20"/>
                <w:lang w:val="en-ID"/>
              </w:rPr>
              <w:t>Researcher(s) &amp; Year</w:t>
            </w:r>
          </w:p>
        </w:tc>
        <w:tc>
          <w:tcPr>
            <w:tcW w:w="0" w:type="auto"/>
            <w:tcBorders>
              <w:top w:val="single" w:sz="4" w:space="0" w:color="auto"/>
              <w:bottom w:val="single" w:sz="4" w:space="0" w:color="auto"/>
            </w:tcBorders>
            <w:vAlign w:val="center"/>
            <w:hideMark/>
          </w:tcPr>
          <w:p w:rsidR="00580129" w:rsidRPr="00580129" w:rsidRDefault="00580129" w:rsidP="00580129">
            <w:pPr>
              <w:pStyle w:val="Body"/>
              <w:spacing w:after="0"/>
              <w:jc w:val="center"/>
              <w:rPr>
                <w:rFonts w:ascii="Arial" w:hAnsi="Arial" w:cs="Arial"/>
                <w:b/>
                <w:bCs/>
                <w:sz w:val="20"/>
                <w:szCs w:val="20"/>
                <w:lang w:val="en-ID"/>
              </w:rPr>
            </w:pPr>
            <w:r w:rsidRPr="00580129">
              <w:rPr>
                <w:rFonts w:ascii="Arial" w:hAnsi="Arial" w:cs="Arial"/>
                <w:b/>
                <w:bCs/>
                <w:sz w:val="20"/>
                <w:szCs w:val="20"/>
                <w:lang w:val="en-ID"/>
              </w:rPr>
              <w:t>Indexing</w:t>
            </w:r>
          </w:p>
        </w:tc>
        <w:tc>
          <w:tcPr>
            <w:tcW w:w="0" w:type="auto"/>
            <w:tcBorders>
              <w:top w:val="single" w:sz="4" w:space="0" w:color="auto"/>
              <w:bottom w:val="single" w:sz="4" w:space="0" w:color="auto"/>
            </w:tcBorders>
            <w:vAlign w:val="center"/>
            <w:hideMark/>
          </w:tcPr>
          <w:p w:rsidR="00580129" w:rsidRPr="00580129" w:rsidRDefault="00580129" w:rsidP="00580129">
            <w:pPr>
              <w:pStyle w:val="Body"/>
              <w:spacing w:after="0"/>
              <w:jc w:val="center"/>
              <w:rPr>
                <w:rFonts w:ascii="Arial" w:hAnsi="Arial" w:cs="Arial"/>
                <w:b/>
                <w:bCs/>
                <w:sz w:val="20"/>
                <w:szCs w:val="20"/>
                <w:lang w:val="en-ID"/>
              </w:rPr>
            </w:pPr>
            <w:r w:rsidRPr="00580129">
              <w:rPr>
                <w:rFonts w:ascii="Arial" w:hAnsi="Arial" w:cs="Arial"/>
                <w:b/>
                <w:bCs/>
                <w:sz w:val="20"/>
                <w:szCs w:val="20"/>
                <w:lang w:val="en-ID"/>
              </w:rPr>
              <w:t>Title</w:t>
            </w:r>
          </w:p>
        </w:tc>
      </w:tr>
      <w:tr w:rsidR="00580129" w:rsidRPr="00580129" w:rsidTr="00451A41">
        <w:tc>
          <w:tcPr>
            <w:tcW w:w="0" w:type="auto"/>
            <w:tcBorders>
              <w:top w:val="single" w:sz="4" w:space="0" w:color="auto"/>
            </w:tcBorders>
            <w:hideMark/>
          </w:tcPr>
          <w:p w:rsidR="00580129" w:rsidRPr="00580129" w:rsidRDefault="00580129" w:rsidP="00580129">
            <w:pPr>
              <w:pStyle w:val="Body"/>
              <w:spacing w:after="0"/>
              <w:rPr>
                <w:rFonts w:ascii="Arial" w:hAnsi="Arial" w:cs="Arial"/>
                <w:sz w:val="20"/>
                <w:szCs w:val="20"/>
                <w:lang w:val="en-ID"/>
              </w:rPr>
            </w:pPr>
            <w:proofErr w:type="spellStart"/>
            <w:r w:rsidRPr="00580129">
              <w:rPr>
                <w:rFonts w:ascii="Arial" w:hAnsi="Arial" w:cs="Arial"/>
                <w:sz w:val="20"/>
                <w:szCs w:val="20"/>
                <w:lang w:val="en-ID"/>
              </w:rPr>
              <w:t>Wenas</w:t>
            </w:r>
            <w:proofErr w:type="spellEnd"/>
            <w:r w:rsidRPr="00580129">
              <w:rPr>
                <w:rFonts w:ascii="Arial" w:hAnsi="Arial" w:cs="Arial"/>
                <w:sz w:val="20"/>
                <w:szCs w:val="20"/>
                <w:lang w:val="en-ID"/>
              </w:rPr>
              <w:t xml:space="preserve">, </w:t>
            </w:r>
            <w:proofErr w:type="spellStart"/>
            <w:r w:rsidRPr="00580129">
              <w:rPr>
                <w:rFonts w:ascii="Arial" w:hAnsi="Arial" w:cs="Arial"/>
                <w:sz w:val="20"/>
                <w:szCs w:val="20"/>
                <w:lang w:val="en-ID"/>
              </w:rPr>
              <w:t>Karamoy</w:t>
            </w:r>
            <w:proofErr w:type="spellEnd"/>
            <w:r w:rsidRPr="00580129">
              <w:rPr>
                <w:rFonts w:ascii="Arial" w:hAnsi="Arial" w:cs="Arial"/>
                <w:sz w:val="20"/>
                <w:szCs w:val="20"/>
                <w:lang w:val="en-ID"/>
              </w:rPr>
              <w:t xml:space="preserve"> &amp; </w:t>
            </w:r>
            <w:proofErr w:type="spellStart"/>
            <w:r w:rsidRPr="00580129">
              <w:rPr>
                <w:rFonts w:ascii="Arial" w:hAnsi="Arial" w:cs="Arial"/>
                <w:sz w:val="20"/>
                <w:szCs w:val="20"/>
                <w:lang w:val="en-ID"/>
              </w:rPr>
              <w:t>Morasa</w:t>
            </w:r>
            <w:proofErr w:type="spellEnd"/>
            <w:r w:rsidRPr="00580129">
              <w:rPr>
                <w:rFonts w:ascii="Arial" w:hAnsi="Arial" w:cs="Arial"/>
                <w:sz w:val="20"/>
                <w:szCs w:val="20"/>
                <w:lang w:val="en-ID"/>
              </w:rPr>
              <w:t xml:space="preserve"> (2020)</w:t>
            </w:r>
          </w:p>
        </w:tc>
        <w:tc>
          <w:tcPr>
            <w:tcW w:w="0" w:type="auto"/>
            <w:tcBorders>
              <w:top w:val="single" w:sz="4" w:space="0" w:color="auto"/>
            </w:tcBorders>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SINTA 4</w:t>
            </w:r>
          </w:p>
        </w:tc>
        <w:tc>
          <w:tcPr>
            <w:tcW w:w="0" w:type="auto"/>
            <w:tcBorders>
              <w:top w:val="single" w:sz="4" w:space="0" w:color="auto"/>
            </w:tcBorders>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i/>
                <w:iCs/>
                <w:sz w:val="20"/>
                <w:szCs w:val="20"/>
                <w:lang w:val="en-ID"/>
              </w:rPr>
              <w:t xml:space="preserve">Opportunistic </w:t>
            </w:r>
            <w:proofErr w:type="spellStart"/>
            <w:r w:rsidRPr="00580129">
              <w:rPr>
                <w:rFonts w:ascii="Arial" w:hAnsi="Arial" w:cs="Arial"/>
                <w:i/>
                <w:iCs/>
                <w:sz w:val="20"/>
                <w:szCs w:val="20"/>
                <w:lang w:val="en-ID"/>
              </w:rPr>
              <w:t>Behavior</w:t>
            </w:r>
            <w:proofErr w:type="spellEnd"/>
            <w:r w:rsidRPr="00580129">
              <w:rPr>
                <w:rFonts w:ascii="Arial" w:hAnsi="Arial" w:cs="Arial"/>
                <w:i/>
                <w:iCs/>
                <w:sz w:val="20"/>
                <w:szCs w:val="20"/>
                <w:lang w:val="en-ID"/>
              </w:rPr>
              <w:t xml:space="preserve"> of Manado City Government in Response to Changes in the General Allocation Fund: A Qualitative Study</w:t>
            </w:r>
          </w:p>
        </w:tc>
      </w:tr>
      <w:tr w:rsidR="00580129" w:rsidRPr="00580129" w:rsidTr="00451A41">
        <w:tc>
          <w:tcPr>
            <w:tcW w:w="0" w:type="auto"/>
            <w:hideMark/>
          </w:tcPr>
          <w:p w:rsidR="00580129" w:rsidRPr="00580129" w:rsidRDefault="00580129" w:rsidP="00580129">
            <w:pPr>
              <w:pStyle w:val="Body"/>
              <w:spacing w:after="0"/>
              <w:rPr>
                <w:rFonts w:ascii="Arial" w:hAnsi="Arial" w:cs="Arial"/>
                <w:sz w:val="20"/>
                <w:szCs w:val="20"/>
                <w:lang w:val="en-ID"/>
              </w:rPr>
            </w:pPr>
            <w:proofErr w:type="spellStart"/>
            <w:r w:rsidRPr="00580129">
              <w:rPr>
                <w:rFonts w:ascii="Arial" w:hAnsi="Arial" w:cs="Arial"/>
                <w:sz w:val="20"/>
                <w:szCs w:val="20"/>
                <w:lang w:val="en-ID"/>
              </w:rPr>
              <w:t>Soetedjo</w:t>
            </w:r>
            <w:proofErr w:type="spellEnd"/>
            <w:r w:rsidRPr="00580129">
              <w:rPr>
                <w:rFonts w:ascii="Arial" w:hAnsi="Arial" w:cs="Arial"/>
                <w:sz w:val="20"/>
                <w:szCs w:val="20"/>
                <w:lang w:val="en-ID"/>
              </w:rPr>
              <w:t xml:space="preserve">, </w:t>
            </w:r>
            <w:proofErr w:type="spellStart"/>
            <w:r w:rsidRPr="00580129">
              <w:rPr>
                <w:rFonts w:ascii="Arial" w:hAnsi="Arial" w:cs="Arial"/>
                <w:sz w:val="20"/>
                <w:szCs w:val="20"/>
                <w:lang w:val="en-ID"/>
              </w:rPr>
              <w:t>Iswajuni</w:t>
            </w:r>
            <w:proofErr w:type="spellEnd"/>
            <w:r w:rsidRPr="00580129">
              <w:rPr>
                <w:rFonts w:ascii="Arial" w:hAnsi="Arial" w:cs="Arial"/>
                <w:sz w:val="20"/>
                <w:szCs w:val="20"/>
                <w:lang w:val="en-ID"/>
              </w:rPr>
              <w:t xml:space="preserve"> &amp; </w:t>
            </w:r>
            <w:proofErr w:type="spellStart"/>
            <w:r w:rsidRPr="00580129">
              <w:rPr>
                <w:rFonts w:ascii="Arial" w:hAnsi="Arial" w:cs="Arial"/>
                <w:sz w:val="20"/>
                <w:szCs w:val="20"/>
                <w:lang w:val="en-ID"/>
              </w:rPr>
              <w:t>Fitri</w:t>
            </w:r>
            <w:proofErr w:type="spellEnd"/>
            <w:r w:rsidRPr="00580129">
              <w:rPr>
                <w:rFonts w:ascii="Arial" w:hAnsi="Arial" w:cs="Arial"/>
                <w:sz w:val="20"/>
                <w:szCs w:val="20"/>
                <w:lang w:val="en-ID"/>
              </w:rPr>
              <w:t xml:space="preserve"> (2020)</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SINTA 4</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i/>
                <w:iCs/>
                <w:sz w:val="20"/>
                <w:szCs w:val="20"/>
                <w:lang w:val="en-ID"/>
              </w:rPr>
              <w:t xml:space="preserve">Opportunistic </w:t>
            </w:r>
            <w:proofErr w:type="spellStart"/>
            <w:r w:rsidRPr="00580129">
              <w:rPr>
                <w:rFonts w:ascii="Arial" w:hAnsi="Arial" w:cs="Arial"/>
                <w:i/>
                <w:iCs/>
                <w:sz w:val="20"/>
                <w:szCs w:val="20"/>
                <w:lang w:val="en-ID"/>
              </w:rPr>
              <w:t>Behavior</w:t>
            </w:r>
            <w:proofErr w:type="spellEnd"/>
            <w:r w:rsidRPr="00580129">
              <w:rPr>
                <w:rFonts w:ascii="Arial" w:hAnsi="Arial" w:cs="Arial"/>
                <w:i/>
                <w:iCs/>
                <w:sz w:val="20"/>
                <w:szCs w:val="20"/>
                <w:lang w:val="en-ID"/>
              </w:rPr>
              <w:t xml:space="preserve"> Budgeting in Regional Governments—An Agency Theory Approach (Empirical Study in East Java)</w:t>
            </w:r>
          </w:p>
        </w:tc>
      </w:tr>
      <w:tr w:rsidR="00580129" w:rsidRPr="00580129" w:rsidTr="00451A41">
        <w:tc>
          <w:tcPr>
            <w:tcW w:w="0" w:type="auto"/>
            <w:hideMark/>
          </w:tcPr>
          <w:p w:rsidR="00580129" w:rsidRPr="00580129" w:rsidRDefault="00580129" w:rsidP="00580129">
            <w:pPr>
              <w:pStyle w:val="Body"/>
              <w:spacing w:after="0"/>
              <w:rPr>
                <w:rFonts w:ascii="Arial" w:hAnsi="Arial" w:cs="Arial"/>
                <w:sz w:val="20"/>
                <w:szCs w:val="20"/>
                <w:lang w:val="en-ID"/>
              </w:rPr>
            </w:pPr>
            <w:proofErr w:type="spellStart"/>
            <w:r w:rsidRPr="00580129">
              <w:rPr>
                <w:rFonts w:ascii="Arial" w:hAnsi="Arial" w:cs="Arial"/>
                <w:sz w:val="20"/>
                <w:szCs w:val="20"/>
                <w:lang w:val="en-ID"/>
              </w:rPr>
              <w:t>Stalebrink</w:t>
            </w:r>
            <w:proofErr w:type="spellEnd"/>
            <w:r w:rsidRPr="00580129">
              <w:rPr>
                <w:rFonts w:ascii="Arial" w:hAnsi="Arial" w:cs="Arial"/>
                <w:sz w:val="20"/>
                <w:szCs w:val="20"/>
                <w:lang w:val="en-ID"/>
              </w:rPr>
              <w:t xml:space="preserve"> &amp; Donatella (2021)</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Scopus</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i/>
                <w:iCs/>
                <w:sz w:val="20"/>
                <w:szCs w:val="20"/>
                <w:lang w:val="en-ID"/>
              </w:rPr>
              <w:t>Public Pension Governance and Opportunistic Accounting Choice: A Politico–Economic Approach</w:t>
            </w:r>
          </w:p>
        </w:tc>
      </w:tr>
      <w:tr w:rsidR="00580129" w:rsidRPr="00580129" w:rsidTr="00451A41">
        <w:tc>
          <w:tcPr>
            <w:tcW w:w="0" w:type="auto"/>
            <w:hideMark/>
          </w:tcPr>
          <w:p w:rsidR="00580129" w:rsidRPr="00580129" w:rsidRDefault="00580129" w:rsidP="00580129">
            <w:pPr>
              <w:pStyle w:val="Body"/>
              <w:spacing w:after="0"/>
              <w:rPr>
                <w:rFonts w:ascii="Arial" w:hAnsi="Arial" w:cs="Arial"/>
                <w:sz w:val="20"/>
                <w:szCs w:val="20"/>
                <w:lang w:val="en-ID"/>
              </w:rPr>
            </w:pPr>
            <w:proofErr w:type="spellStart"/>
            <w:r w:rsidRPr="00580129">
              <w:rPr>
                <w:rFonts w:ascii="Arial" w:hAnsi="Arial" w:cs="Arial"/>
                <w:sz w:val="20"/>
                <w:szCs w:val="20"/>
                <w:lang w:val="en-ID"/>
              </w:rPr>
              <w:t>Ramirio</w:t>
            </w:r>
            <w:proofErr w:type="spellEnd"/>
            <w:r w:rsidRPr="00580129">
              <w:rPr>
                <w:rFonts w:ascii="Arial" w:hAnsi="Arial" w:cs="Arial"/>
                <w:sz w:val="20"/>
                <w:szCs w:val="20"/>
                <w:lang w:val="en-ID"/>
              </w:rPr>
              <w:t xml:space="preserve">, Pereira &amp; </w:t>
            </w:r>
            <w:proofErr w:type="spellStart"/>
            <w:r w:rsidRPr="00580129">
              <w:rPr>
                <w:rFonts w:ascii="Arial" w:hAnsi="Arial" w:cs="Arial"/>
                <w:sz w:val="20"/>
                <w:szCs w:val="20"/>
                <w:lang w:val="en-ID"/>
              </w:rPr>
              <w:t>Alcântara</w:t>
            </w:r>
            <w:proofErr w:type="spellEnd"/>
            <w:r w:rsidRPr="00580129">
              <w:rPr>
                <w:rFonts w:ascii="Arial" w:hAnsi="Arial" w:cs="Arial"/>
                <w:sz w:val="20"/>
                <w:szCs w:val="20"/>
                <w:lang w:val="en-ID"/>
              </w:rPr>
              <w:t xml:space="preserve"> (2021)</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Scopus</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i/>
                <w:iCs/>
                <w:sz w:val="20"/>
                <w:szCs w:val="20"/>
                <w:lang w:val="en-ID"/>
              </w:rPr>
              <w:t xml:space="preserve">Opportunistic </w:t>
            </w:r>
            <w:proofErr w:type="spellStart"/>
            <w:r w:rsidRPr="00580129">
              <w:rPr>
                <w:rFonts w:ascii="Arial" w:hAnsi="Arial" w:cs="Arial"/>
                <w:i/>
                <w:iCs/>
                <w:sz w:val="20"/>
                <w:szCs w:val="20"/>
                <w:lang w:val="en-ID"/>
              </w:rPr>
              <w:t>Behavior</w:t>
            </w:r>
            <w:proofErr w:type="spellEnd"/>
            <w:r w:rsidRPr="00580129">
              <w:rPr>
                <w:rFonts w:ascii="Arial" w:hAnsi="Arial" w:cs="Arial"/>
                <w:i/>
                <w:iCs/>
                <w:sz w:val="20"/>
                <w:szCs w:val="20"/>
                <w:lang w:val="en-ID"/>
              </w:rPr>
              <w:t xml:space="preserve"> in Public Bidding of Agricultural Products in IFSULDEMINAS</w:t>
            </w:r>
          </w:p>
        </w:tc>
      </w:tr>
      <w:tr w:rsidR="00580129" w:rsidRPr="00580129" w:rsidTr="00451A41">
        <w:tc>
          <w:tcPr>
            <w:tcW w:w="0" w:type="auto"/>
            <w:hideMark/>
          </w:tcPr>
          <w:p w:rsidR="00580129" w:rsidRPr="00580129" w:rsidRDefault="00580129" w:rsidP="00580129">
            <w:pPr>
              <w:pStyle w:val="Body"/>
              <w:spacing w:after="0"/>
              <w:rPr>
                <w:rFonts w:ascii="Arial" w:hAnsi="Arial" w:cs="Arial"/>
                <w:sz w:val="20"/>
                <w:szCs w:val="20"/>
                <w:lang w:val="en-ID"/>
              </w:rPr>
            </w:pPr>
            <w:proofErr w:type="spellStart"/>
            <w:r w:rsidRPr="00580129">
              <w:rPr>
                <w:rFonts w:ascii="Arial" w:hAnsi="Arial" w:cs="Arial"/>
                <w:sz w:val="20"/>
                <w:szCs w:val="20"/>
                <w:lang w:val="en-ID"/>
              </w:rPr>
              <w:t>Dalimunthe</w:t>
            </w:r>
            <w:proofErr w:type="spellEnd"/>
            <w:r w:rsidRPr="00580129">
              <w:rPr>
                <w:rFonts w:ascii="Arial" w:hAnsi="Arial" w:cs="Arial"/>
                <w:sz w:val="20"/>
                <w:szCs w:val="20"/>
                <w:lang w:val="en-ID"/>
              </w:rPr>
              <w:t xml:space="preserve"> (2021)</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SINTA 4</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i/>
                <w:iCs/>
                <w:sz w:val="20"/>
                <w:szCs w:val="20"/>
                <w:lang w:val="en-ID"/>
              </w:rPr>
              <w:t xml:space="preserve">The Influence of Local Own-Source Revenue, General Allocation Fund, Revenue-Sharing Fund, and Budget Surplus on Opportunistic Budget </w:t>
            </w:r>
            <w:proofErr w:type="spellStart"/>
            <w:r w:rsidRPr="00580129">
              <w:rPr>
                <w:rFonts w:ascii="Arial" w:hAnsi="Arial" w:cs="Arial"/>
                <w:i/>
                <w:iCs/>
                <w:sz w:val="20"/>
                <w:szCs w:val="20"/>
                <w:lang w:val="en-ID"/>
              </w:rPr>
              <w:t>Behavior</w:t>
            </w:r>
            <w:proofErr w:type="spellEnd"/>
          </w:p>
        </w:tc>
      </w:tr>
      <w:tr w:rsidR="00580129" w:rsidRPr="00580129" w:rsidTr="00451A41">
        <w:tc>
          <w:tcPr>
            <w:tcW w:w="0" w:type="auto"/>
            <w:hideMark/>
          </w:tcPr>
          <w:p w:rsidR="00580129" w:rsidRPr="00580129" w:rsidRDefault="00580129" w:rsidP="00580129">
            <w:pPr>
              <w:pStyle w:val="Body"/>
              <w:spacing w:after="0"/>
              <w:rPr>
                <w:rFonts w:ascii="Arial" w:hAnsi="Arial" w:cs="Arial"/>
                <w:sz w:val="20"/>
                <w:szCs w:val="20"/>
                <w:lang w:val="en-ID"/>
              </w:rPr>
            </w:pPr>
            <w:proofErr w:type="spellStart"/>
            <w:r w:rsidRPr="00580129">
              <w:rPr>
                <w:rFonts w:ascii="Arial" w:hAnsi="Arial" w:cs="Arial"/>
                <w:sz w:val="20"/>
                <w:szCs w:val="20"/>
                <w:lang w:val="en-ID"/>
              </w:rPr>
              <w:t>Febrianti</w:t>
            </w:r>
            <w:proofErr w:type="spellEnd"/>
            <w:r w:rsidRPr="00580129">
              <w:rPr>
                <w:rFonts w:ascii="Arial" w:hAnsi="Arial" w:cs="Arial"/>
                <w:sz w:val="20"/>
                <w:szCs w:val="20"/>
                <w:lang w:val="en-ID"/>
              </w:rPr>
              <w:t xml:space="preserve"> &amp; </w:t>
            </w:r>
            <w:proofErr w:type="spellStart"/>
            <w:r w:rsidRPr="00580129">
              <w:rPr>
                <w:rFonts w:ascii="Arial" w:hAnsi="Arial" w:cs="Arial"/>
                <w:sz w:val="20"/>
                <w:szCs w:val="20"/>
                <w:lang w:val="en-ID"/>
              </w:rPr>
              <w:t>Suparwati</w:t>
            </w:r>
            <w:proofErr w:type="spellEnd"/>
            <w:r w:rsidRPr="00580129">
              <w:rPr>
                <w:rFonts w:ascii="Arial" w:hAnsi="Arial" w:cs="Arial"/>
                <w:sz w:val="20"/>
                <w:szCs w:val="20"/>
                <w:lang w:val="en-ID"/>
              </w:rPr>
              <w:t xml:space="preserve"> (2021)</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SINTA 5</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i/>
                <w:iCs/>
                <w:sz w:val="20"/>
                <w:szCs w:val="20"/>
                <w:lang w:val="en-ID"/>
              </w:rPr>
              <w:t xml:space="preserve">The Influence of Local Own-Source Revenue, Special Allocation Fund, Revenue-Sharing Fund, Budget Surplus, and Flypaper Effect on Opportunistic Budgeting </w:t>
            </w:r>
            <w:proofErr w:type="spellStart"/>
            <w:r w:rsidRPr="00580129">
              <w:rPr>
                <w:rFonts w:ascii="Arial" w:hAnsi="Arial" w:cs="Arial"/>
                <w:i/>
                <w:iCs/>
                <w:sz w:val="20"/>
                <w:szCs w:val="20"/>
                <w:lang w:val="en-ID"/>
              </w:rPr>
              <w:t>Behavior</w:t>
            </w:r>
            <w:proofErr w:type="spellEnd"/>
          </w:p>
        </w:tc>
      </w:tr>
      <w:tr w:rsidR="00580129" w:rsidRPr="00580129" w:rsidTr="00451A41">
        <w:tc>
          <w:tcPr>
            <w:tcW w:w="0" w:type="auto"/>
            <w:hideMark/>
          </w:tcPr>
          <w:p w:rsidR="00580129" w:rsidRPr="00580129" w:rsidRDefault="00580129" w:rsidP="00580129">
            <w:pPr>
              <w:pStyle w:val="Body"/>
              <w:spacing w:after="0"/>
              <w:rPr>
                <w:rFonts w:ascii="Arial" w:hAnsi="Arial" w:cs="Arial"/>
                <w:sz w:val="20"/>
                <w:szCs w:val="20"/>
                <w:lang w:val="en-ID"/>
              </w:rPr>
            </w:pPr>
            <w:proofErr w:type="spellStart"/>
            <w:r w:rsidRPr="00580129">
              <w:rPr>
                <w:rFonts w:ascii="Arial" w:hAnsi="Arial" w:cs="Arial"/>
                <w:sz w:val="20"/>
                <w:szCs w:val="20"/>
                <w:lang w:val="en-ID"/>
              </w:rPr>
              <w:t>Rizki</w:t>
            </w:r>
            <w:proofErr w:type="spellEnd"/>
            <w:r w:rsidRPr="00580129">
              <w:rPr>
                <w:rFonts w:ascii="Arial" w:hAnsi="Arial" w:cs="Arial"/>
                <w:sz w:val="20"/>
                <w:szCs w:val="20"/>
                <w:lang w:val="en-ID"/>
              </w:rPr>
              <w:t xml:space="preserve">, Maria &amp; </w:t>
            </w:r>
            <w:proofErr w:type="spellStart"/>
            <w:r w:rsidRPr="00580129">
              <w:rPr>
                <w:rFonts w:ascii="Arial" w:hAnsi="Arial" w:cs="Arial"/>
                <w:sz w:val="20"/>
                <w:szCs w:val="20"/>
                <w:lang w:val="en-ID"/>
              </w:rPr>
              <w:t>Sarikadarwati</w:t>
            </w:r>
            <w:proofErr w:type="spellEnd"/>
            <w:r w:rsidRPr="00580129">
              <w:rPr>
                <w:rFonts w:ascii="Arial" w:hAnsi="Arial" w:cs="Arial"/>
                <w:sz w:val="20"/>
                <w:szCs w:val="20"/>
                <w:lang w:val="en-ID"/>
              </w:rPr>
              <w:t xml:space="preserve"> (2023)</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SINTA 4</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i/>
                <w:iCs/>
                <w:sz w:val="20"/>
                <w:szCs w:val="20"/>
                <w:lang w:val="en-ID"/>
              </w:rPr>
              <w:t xml:space="preserve">Determinants of Opportunistic Budgeting </w:t>
            </w:r>
            <w:proofErr w:type="spellStart"/>
            <w:r w:rsidRPr="00580129">
              <w:rPr>
                <w:rFonts w:ascii="Arial" w:hAnsi="Arial" w:cs="Arial"/>
                <w:i/>
                <w:iCs/>
                <w:sz w:val="20"/>
                <w:szCs w:val="20"/>
                <w:lang w:val="en-ID"/>
              </w:rPr>
              <w:t>Behavior</w:t>
            </w:r>
            <w:proofErr w:type="spellEnd"/>
            <w:r w:rsidRPr="00580129">
              <w:rPr>
                <w:rFonts w:ascii="Arial" w:hAnsi="Arial" w:cs="Arial"/>
                <w:i/>
                <w:iCs/>
                <w:sz w:val="20"/>
                <w:szCs w:val="20"/>
                <w:lang w:val="en-ID"/>
              </w:rPr>
              <w:t xml:space="preserve"> in Indonesian Provincial Governments</w:t>
            </w:r>
          </w:p>
        </w:tc>
      </w:tr>
      <w:tr w:rsidR="00580129" w:rsidRPr="00580129" w:rsidTr="00451A41">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 xml:space="preserve">Bracco, De Benedetto &amp; </w:t>
            </w:r>
            <w:proofErr w:type="spellStart"/>
            <w:r w:rsidRPr="00580129">
              <w:rPr>
                <w:rFonts w:ascii="Arial" w:hAnsi="Arial" w:cs="Arial"/>
                <w:sz w:val="20"/>
                <w:szCs w:val="20"/>
                <w:lang w:val="en-ID"/>
              </w:rPr>
              <w:t>Lisciandra</w:t>
            </w:r>
            <w:proofErr w:type="spellEnd"/>
            <w:r w:rsidRPr="00580129">
              <w:rPr>
                <w:rFonts w:ascii="Arial" w:hAnsi="Arial" w:cs="Arial"/>
                <w:sz w:val="20"/>
                <w:szCs w:val="20"/>
                <w:lang w:val="en-ID"/>
              </w:rPr>
              <w:t xml:space="preserve"> (2024)</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Scopus</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i/>
                <w:iCs/>
                <w:sz w:val="20"/>
                <w:szCs w:val="20"/>
                <w:lang w:val="en-ID"/>
              </w:rPr>
              <w:t xml:space="preserve">Manipulating Municipal Budgets: Unveiling Opportunistic </w:t>
            </w:r>
            <w:proofErr w:type="spellStart"/>
            <w:r w:rsidRPr="00580129">
              <w:rPr>
                <w:rFonts w:ascii="Arial" w:hAnsi="Arial" w:cs="Arial"/>
                <w:i/>
                <w:iCs/>
                <w:sz w:val="20"/>
                <w:szCs w:val="20"/>
                <w:lang w:val="en-ID"/>
              </w:rPr>
              <w:t>Behavior</w:t>
            </w:r>
            <w:proofErr w:type="spellEnd"/>
            <w:r w:rsidRPr="00580129">
              <w:rPr>
                <w:rFonts w:ascii="Arial" w:hAnsi="Arial" w:cs="Arial"/>
                <w:i/>
                <w:iCs/>
                <w:sz w:val="20"/>
                <w:szCs w:val="20"/>
                <w:lang w:val="en-ID"/>
              </w:rPr>
              <w:t xml:space="preserve"> of Italian Mayors</w:t>
            </w:r>
          </w:p>
        </w:tc>
      </w:tr>
      <w:tr w:rsidR="00580129" w:rsidRPr="00580129" w:rsidTr="00451A41">
        <w:tc>
          <w:tcPr>
            <w:tcW w:w="0" w:type="auto"/>
            <w:hideMark/>
          </w:tcPr>
          <w:p w:rsidR="00580129" w:rsidRPr="00580129" w:rsidRDefault="00580129" w:rsidP="00580129">
            <w:pPr>
              <w:pStyle w:val="Body"/>
              <w:spacing w:after="0"/>
              <w:rPr>
                <w:rFonts w:ascii="Arial" w:hAnsi="Arial" w:cs="Arial"/>
                <w:sz w:val="20"/>
                <w:szCs w:val="20"/>
                <w:lang w:val="en-ID"/>
              </w:rPr>
            </w:pPr>
            <w:proofErr w:type="spellStart"/>
            <w:r w:rsidRPr="00580129">
              <w:rPr>
                <w:rFonts w:ascii="Arial" w:hAnsi="Arial" w:cs="Arial"/>
                <w:sz w:val="20"/>
                <w:szCs w:val="20"/>
                <w:lang w:val="en-ID"/>
              </w:rPr>
              <w:t>Ramadini</w:t>
            </w:r>
            <w:proofErr w:type="spellEnd"/>
            <w:r w:rsidRPr="00580129">
              <w:rPr>
                <w:rFonts w:ascii="Arial" w:hAnsi="Arial" w:cs="Arial"/>
                <w:sz w:val="20"/>
                <w:szCs w:val="20"/>
                <w:lang w:val="en-ID"/>
              </w:rPr>
              <w:t xml:space="preserve"> &amp; </w:t>
            </w:r>
            <w:proofErr w:type="spellStart"/>
            <w:r w:rsidRPr="00580129">
              <w:rPr>
                <w:rFonts w:ascii="Arial" w:hAnsi="Arial" w:cs="Arial"/>
                <w:sz w:val="20"/>
                <w:szCs w:val="20"/>
                <w:lang w:val="en-ID"/>
              </w:rPr>
              <w:t>Sarwani</w:t>
            </w:r>
            <w:proofErr w:type="spellEnd"/>
            <w:r w:rsidRPr="00580129">
              <w:rPr>
                <w:rFonts w:ascii="Arial" w:hAnsi="Arial" w:cs="Arial"/>
                <w:sz w:val="20"/>
                <w:szCs w:val="20"/>
                <w:lang w:val="en-ID"/>
              </w:rPr>
              <w:t xml:space="preserve"> (2024)</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SINTA 4</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i/>
                <w:iCs/>
                <w:sz w:val="20"/>
                <w:szCs w:val="20"/>
                <w:lang w:val="en-ID"/>
              </w:rPr>
              <w:t xml:space="preserve">Determinants of Opportunistic </w:t>
            </w:r>
            <w:proofErr w:type="spellStart"/>
            <w:r w:rsidRPr="00580129">
              <w:rPr>
                <w:rFonts w:ascii="Arial" w:hAnsi="Arial" w:cs="Arial"/>
                <w:i/>
                <w:iCs/>
                <w:sz w:val="20"/>
                <w:szCs w:val="20"/>
                <w:lang w:val="en-ID"/>
              </w:rPr>
              <w:t>Behavior</w:t>
            </w:r>
            <w:proofErr w:type="spellEnd"/>
          </w:p>
        </w:tc>
      </w:tr>
      <w:tr w:rsidR="00580129" w:rsidRPr="00580129" w:rsidTr="00451A41">
        <w:tc>
          <w:tcPr>
            <w:tcW w:w="0" w:type="auto"/>
            <w:hideMark/>
          </w:tcPr>
          <w:p w:rsidR="00580129" w:rsidRPr="00580129" w:rsidRDefault="00580129" w:rsidP="00580129">
            <w:pPr>
              <w:pStyle w:val="Body"/>
              <w:spacing w:after="0"/>
              <w:rPr>
                <w:rFonts w:ascii="Arial" w:hAnsi="Arial" w:cs="Arial"/>
                <w:sz w:val="20"/>
                <w:szCs w:val="20"/>
                <w:lang w:val="en-ID"/>
              </w:rPr>
            </w:pPr>
            <w:proofErr w:type="spellStart"/>
            <w:r w:rsidRPr="00580129">
              <w:rPr>
                <w:rFonts w:ascii="Arial" w:hAnsi="Arial" w:cs="Arial"/>
                <w:sz w:val="20"/>
                <w:szCs w:val="20"/>
                <w:lang w:val="en-ID"/>
              </w:rPr>
              <w:lastRenderedPageBreak/>
              <w:t>Syahrani</w:t>
            </w:r>
            <w:proofErr w:type="spellEnd"/>
            <w:r w:rsidRPr="00580129">
              <w:rPr>
                <w:rFonts w:ascii="Arial" w:hAnsi="Arial" w:cs="Arial"/>
                <w:sz w:val="20"/>
                <w:szCs w:val="20"/>
                <w:lang w:val="en-ID"/>
              </w:rPr>
              <w:t xml:space="preserve">, </w:t>
            </w:r>
            <w:proofErr w:type="spellStart"/>
            <w:r w:rsidRPr="00580129">
              <w:rPr>
                <w:rFonts w:ascii="Arial" w:hAnsi="Arial" w:cs="Arial"/>
                <w:sz w:val="20"/>
                <w:szCs w:val="20"/>
                <w:lang w:val="en-ID"/>
              </w:rPr>
              <w:t>Fithri</w:t>
            </w:r>
            <w:proofErr w:type="spellEnd"/>
            <w:r w:rsidRPr="00580129">
              <w:rPr>
                <w:rFonts w:ascii="Arial" w:hAnsi="Arial" w:cs="Arial"/>
                <w:sz w:val="20"/>
                <w:szCs w:val="20"/>
                <w:lang w:val="en-ID"/>
              </w:rPr>
              <w:t xml:space="preserve"> &amp; Sari (2025)</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SINTA 4</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i/>
                <w:iCs/>
                <w:sz w:val="20"/>
                <w:szCs w:val="20"/>
                <w:lang w:val="en-ID"/>
              </w:rPr>
              <w:t xml:space="preserve">The Effect of Local Own-Source Revenue, Special Allocation Fund, and General Allocation Fund on Opportunistic Budgeting </w:t>
            </w:r>
            <w:proofErr w:type="spellStart"/>
            <w:r w:rsidRPr="00580129">
              <w:rPr>
                <w:rFonts w:ascii="Arial" w:hAnsi="Arial" w:cs="Arial"/>
                <w:i/>
                <w:iCs/>
                <w:sz w:val="20"/>
                <w:szCs w:val="20"/>
                <w:lang w:val="en-ID"/>
              </w:rPr>
              <w:t>Behavior</w:t>
            </w:r>
            <w:proofErr w:type="spellEnd"/>
            <w:r w:rsidRPr="00580129">
              <w:rPr>
                <w:rFonts w:ascii="Arial" w:hAnsi="Arial" w:cs="Arial"/>
                <w:i/>
                <w:iCs/>
                <w:sz w:val="20"/>
                <w:szCs w:val="20"/>
                <w:lang w:val="en-ID"/>
              </w:rPr>
              <w:t xml:space="preserve"> in Sumatra Provincial Governments</w:t>
            </w:r>
          </w:p>
        </w:tc>
      </w:tr>
    </w:tbl>
    <w:p w:rsidR="00580129" w:rsidRPr="00580129" w:rsidRDefault="00580129" w:rsidP="00580129">
      <w:pPr>
        <w:pStyle w:val="Body"/>
        <w:rPr>
          <w:rFonts w:ascii="Arial" w:hAnsi="Arial" w:cs="Arial"/>
          <w:lang w:val="id-ID"/>
        </w:rPr>
      </w:pPr>
    </w:p>
    <w:p w:rsidR="00580129" w:rsidRPr="00580129" w:rsidRDefault="00580129" w:rsidP="00580129">
      <w:pPr>
        <w:pStyle w:val="Body"/>
        <w:rPr>
          <w:rFonts w:ascii="Arial" w:hAnsi="Arial" w:cs="Arial"/>
          <w:lang w:val="id-ID"/>
        </w:rPr>
      </w:pPr>
      <w:r w:rsidRPr="00580129">
        <w:rPr>
          <w:rFonts w:ascii="Arial" w:hAnsi="Arial" w:cs="Arial"/>
          <w:lang w:val="id-ID"/>
        </w:rPr>
        <w:t>These studies include both nationally indexed articles from SINTA and internationally indexed research from Scopus, reflecting a diverse range of methodological approaches and institutional settings. The topics explored span local government responses to changes in fiscal transfers, opportunistic budget formulation, accounting choices, public procurement behavior, and the influence of regional revenue structures on budget manipulation. Collectively, the studies offer a comprehensive overview of how different fiscal instruments—such as local revenue, intergovernmental transfers, and budget surpluses—shape opportunistic tendencies within government entities, while also highlighting variations in political and administrative environments across regions and countries.</w:t>
      </w:r>
    </w:p>
    <w:p w:rsidR="00580129" w:rsidRPr="00580129" w:rsidRDefault="00580129" w:rsidP="00580129">
      <w:pPr>
        <w:pStyle w:val="Body"/>
        <w:numPr>
          <w:ilvl w:val="1"/>
          <w:numId w:val="32"/>
        </w:numPr>
        <w:rPr>
          <w:rFonts w:ascii="Arial" w:hAnsi="Arial" w:cs="Arial"/>
          <w:b/>
          <w:bCs/>
          <w:lang w:val="id-ID"/>
        </w:rPr>
      </w:pPr>
      <w:r w:rsidRPr="00580129">
        <w:rPr>
          <w:rFonts w:ascii="Arial" w:hAnsi="Arial" w:cs="Arial"/>
          <w:b/>
          <w:bCs/>
          <w:lang w:val="id-ID"/>
        </w:rPr>
        <w:t xml:space="preserve">Article methodology </w:t>
      </w:r>
    </w:p>
    <w:p w:rsidR="00580129" w:rsidRPr="00580129" w:rsidRDefault="00580129" w:rsidP="00580129">
      <w:pPr>
        <w:pStyle w:val="Body"/>
        <w:rPr>
          <w:rFonts w:ascii="Arial" w:hAnsi="Arial" w:cs="Arial"/>
          <w:lang w:val="id-ID"/>
        </w:rPr>
      </w:pPr>
      <w:r w:rsidRPr="00580129">
        <w:rPr>
          <w:rFonts w:ascii="Arial" w:hAnsi="Arial" w:cs="Arial"/>
          <w:lang w:val="id-ID"/>
        </w:rPr>
        <w:t>The methodological review of prior studies indicates that opportunistic behavior in local governments has been examined through a range of fiscal and institutional variables that reflect financial capacity and potential information asymmetry.</w:t>
      </w:r>
    </w:p>
    <w:p w:rsidR="00580129" w:rsidRPr="00580129" w:rsidRDefault="00580129" w:rsidP="00580129">
      <w:pPr>
        <w:pStyle w:val="Body"/>
        <w:jc w:val="center"/>
        <w:rPr>
          <w:rFonts w:ascii="Arial" w:hAnsi="Arial" w:cs="Arial"/>
          <w:b/>
          <w:bCs/>
          <w:lang w:val="id-ID"/>
        </w:rPr>
      </w:pPr>
      <w:r w:rsidRPr="00580129">
        <w:rPr>
          <w:rFonts w:ascii="Arial" w:hAnsi="Arial" w:cs="Arial"/>
          <w:b/>
          <w:bCs/>
          <w:lang w:val="id-ID"/>
        </w:rPr>
        <w:t>Table 2. Mapping of Research Methodologies: Variables and Theoretical Frameworks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1915"/>
        <w:gridCol w:w="4903"/>
        <w:gridCol w:w="2165"/>
      </w:tblGrid>
      <w:tr w:rsidR="00580129" w:rsidRPr="00580129" w:rsidTr="00451A41">
        <w:tc>
          <w:tcPr>
            <w:tcW w:w="0" w:type="auto"/>
            <w:tcBorders>
              <w:top w:val="single" w:sz="4" w:space="0" w:color="auto"/>
              <w:bottom w:val="single" w:sz="4" w:space="0" w:color="auto"/>
            </w:tcBorders>
            <w:hideMark/>
          </w:tcPr>
          <w:p w:rsidR="00580129" w:rsidRPr="00580129" w:rsidRDefault="00580129" w:rsidP="00580129">
            <w:pPr>
              <w:pStyle w:val="Body"/>
              <w:spacing w:after="0"/>
              <w:rPr>
                <w:rFonts w:ascii="Arial" w:hAnsi="Arial" w:cs="Arial"/>
                <w:b/>
                <w:bCs/>
                <w:sz w:val="20"/>
                <w:szCs w:val="20"/>
                <w:lang w:val="en-ID"/>
              </w:rPr>
            </w:pPr>
            <w:r w:rsidRPr="00580129">
              <w:rPr>
                <w:rFonts w:ascii="Arial" w:hAnsi="Arial" w:cs="Arial"/>
                <w:b/>
                <w:bCs/>
                <w:sz w:val="20"/>
                <w:szCs w:val="20"/>
                <w:lang w:val="en-ID"/>
              </w:rPr>
              <w:t>Researcher(s) &amp; Year</w:t>
            </w:r>
          </w:p>
        </w:tc>
        <w:tc>
          <w:tcPr>
            <w:tcW w:w="0" w:type="auto"/>
            <w:tcBorders>
              <w:top w:val="single" w:sz="4" w:space="0" w:color="auto"/>
              <w:bottom w:val="single" w:sz="4" w:space="0" w:color="auto"/>
            </w:tcBorders>
            <w:hideMark/>
          </w:tcPr>
          <w:p w:rsidR="00580129" w:rsidRPr="00580129" w:rsidRDefault="00580129" w:rsidP="00580129">
            <w:pPr>
              <w:pStyle w:val="Body"/>
              <w:spacing w:after="0"/>
              <w:rPr>
                <w:rFonts w:ascii="Arial" w:hAnsi="Arial" w:cs="Arial"/>
                <w:b/>
                <w:bCs/>
                <w:sz w:val="20"/>
                <w:szCs w:val="20"/>
                <w:lang w:val="en-ID"/>
              </w:rPr>
            </w:pPr>
            <w:r w:rsidRPr="00580129">
              <w:rPr>
                <w:rFonts w:ascii="Arial" w:hAnsi="Arial" w:cs="Arial"/>
                <w:b/>
                <w:bCs/>
                <w:sz w:val="20"/>
                <w:szCs w:val="20"/>
                <w:lang w:val="en-ID"/>
              </w:rPr>
              <w:t>Dependent Variable</w:t>
            </w:r>
          </w:p>
        </w:tc>
        <w:tc>
          <w:tcPr>
            <w:tcW w:w="0" w:type="auto"/>
            <w:tcBorders>
              <w:top w:val="single" w:sz="4" w:space="0" w:color="auto"/>
              <w:bottom w:val="single" w:sz="4" w:space="0" w:color="auto"/>
            </w:tcBorders>
            <w:hideMark/>
          </w:tcPr>
          <w:p w:rsidR="00580129" w:rsidRPr="00580129" w:rsidRDefault="00580129" w:rsidP="00580129">
            <w:pPr>
              <w:pStyle w:val="Body"/>
              <w:spacing w:after="0"/>
              <w:rPr>
                <w:rFonts w:ascii="Arial" w:hAnsi="Arial" w:cs="Arial"/>
                <w:b/>
                <w:bCs/>
                <w:sz w:val="20"/>
                <w:szCs w:val="20"/>
                <w:lang w:val="en-ID"/>
              </w:rPr>
            </w:pPr>
            <w:r w:rsidRPr="00580129">
              <w:rPr>
                <w:rFonts w:ascii="Arial" w:hAnsi="Arial" w:cs="Arial"/>
                <w:b/>
                <w:bCs/>
                <w:sz w:val="20"/>
                <w:szCs w:val="20"/>
                <w:lang w:val="en-ID"/>
              </w:rPr>
              <w:t>Independent Variables</w:t>
            </w:r>
          </w:p>
        </w:tc>
        <w:tc>
          <w:tcPr>
            <w:tcW w:w="0" w:type="auto"/>
            <w:tcBorders>
              <w:top w:val="single" w:sz="4" w:space="0" w:color="auto"/>
              <w:bottom w:val="single" w:sz="4" w:space="0" w:color="auto"/>
            </w:tcBorders>
            <w:hideMark/>
          </w:tcPr>
          <w:p w:rsidR="00580129" w:rsidRPr="00580129" w:rsidRDefault="00580129" w:rsidP="00580129">
            <w:pPr>
              <w:pStyle w:val="Body"/>
              <w:spacing w:after="0"/>
              <w:rPr>
                <w:rFonts w:ascii="Arial" w:hAnsi="Arial" w:cs="Arial"/>
                <w:b/>
                <w:bCs/>
                <w:sz w:val="20"/>
                <w:szCs w:val="20"/>
                <w:lang w:val="en-ID"/>
              </w:rPr>
            </w:pPr>
            <w:r w:rsidRPr="00580129">
              <w:rPr>
                <w:rFonts w:ascii="Arial" w:hAnsi="Arial" w:cs="Arial"/>
                <w:b/>
                <w:bCs/>
                <w:sz w:val="20"/>
                <w:szCs w:val="20"/>
                <w:lang w:val="en-ID"/>
              </w:rPr>
              <w:t>Theory Used</w:t>
            </w:r>
          </w:p>
        </w:tc>
      </w:tr>
      <w:tr w:rsidR="00580129" w:rsidRPr="00580129" w:rsidTr="00451A41">
        <w:tc>
          <w:tcPr>
            <w:tcW w:w="0" w:type="auto"/>
            <w:tcBorders>
              <w:top w:val="single" w:sz="4" w:space="0" w:color="auto"/>
            </w:tcBorders>
            <w:hideMark/>
          </w:tcPr>
          <w:p w:rsidR="00580129" w:rsidRPr="00580129" w:rsidRDefault="00580129" w:rsidP="00580129">
            <w:pPr>
              <w:pStyle w:val="Body"/>
              <w:spacing w:after="0"/>
              <w:rPr>
                <w:rFonts w:ascii="Arial" w:hAnsi="Arial" w:cs="Arial"/>
                <w:sz w:val="20"/>
                <w:szCs w:val="20"/>
                <w:lang w:val="en-ID"/>
              </w:rPr>
            </w:pPr>
            <w:proofErr w:type="spellStart"/>
            <w:r w:rsidRPr="00580129">
              <w:rPr>
                <w:rFonts w:ascii="Arial" w:hAnsi="Arial" w:cs="Arial"/>
                <w:sz w:val="20"/>
                <w:szCs w:val="20"/>
                <w:lang w:val="en-ID"/>
              </w:rPr>
              <w:t>Wenas</w:t>
            </w:r>
            <w:proofErr w:type="spellEnd"/>
            <w:r w:rsidRPr="00580129">
              <w:rPr>
                <w:rFonts w:ascii="Arial" w:hAnsi="Arial" w:cs="Arial"/>
                <w:sz w:val="20"/>
                <w:szCs w:val="20"/>
                <w:lang w:val="en-ID"/>
              </w:rPr>
              <w:t xml:space="preserve">, </w:t>
            </w:r>
            <w:proofErr w:type="spellStart"/>
            <w:r w:rsidRPr="00580129">
              <w:rPr>
                <w:rFonts w:ascii="Arial" w:hAnsi="Arial" w:cs="Arial"/>
                <w:sz w:val="20"/>
                <w:szCs w:val="20"/>
                <w:lang w:val="en-ID"/>
              </w:rPr>
              <w:t>Karamoy</w:t>
            </w:r>
            <w:proofErr w:type="spellEnd"/>
            <w:r w:rsidRPr="00580129">
              <w:rPr>
                <w:rFonts w:ascii="Arial" w:hAnsi="Arial" w:cs="Arial"/>
                <w:sz w:val="20"/>
                <w:szCs w:val="20"/>
                <w:lang w:val="en-ID"/>
              </w:rPr>
              <w:t xml:space="preserve"> &amp; </w:t>
            </w:r>
            <w:proofErr w:type="spellStart"/>
            <w:r w:rsidRPr="00580129">
              <w:rPr>
                <w:rFonts w:ascii="Arial" w:hAnsi="Arial" w:cs="Arial"/>
                <w:sz w:val="20"/>
                <w:szCs w:val="20"/>
                <w:lang w:val="en-ID"/>
              </w:rPr>
              <w:t>Morasa</w:t>
            </w:r>
            <w:proofErr w:type="spellEnd"/>
            <w:r w:rsidRPr="00580129">
              <w:rPr>
                <w:rFonts w:ascii="Arial" w:hAnsi="Arial" w:cs="Arial"/>
                <w:sz w:val="20"/>
                <w:szCs w:val="20"/>
                <w:lang w:val="en-ID"/>
              </w:rPr>
              <w:t xml:space="preserve"> (2020)</w:t>
            </w:r>
          </w:p>
        </w:tc>
        <w:tc>
          <w:tcPr>
            <w:tcW w:w="0" w:type="auto"/>
            <w:tcBorders>
              <w:top w:val="single" w:sz="4" w:space="0" w:color="auto"/>
            </w:tcBorders>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 xml:space="preserve">Opportunistic </w:t>
            </w:r>
            <w:proofErr w:type="spellStart"/>
            <w:r w:rsidRPr="00580129">
              <w:rPr>
                <w:rFonts w:ascii="Arial" w:hAnsi="Arial" w:cs="Arial"/>
                <w:sz w:val="20"/>
                <w:szCs w:val="20"/>
                <w:lang w:val="en-ID"/>
              </w:rPr>
              <w:t>Behavior</w:t>
            </w:r>
            <w:proofErr w:type="spellEnd"/>
          </w:p>
        </w:tc>
        <w:tc>
          <w:tcPr>
            <w:tcW w:w="0" w:type="auto"/>
            <w:tcBorders>
              <w:top w:val="single" w:sz="4" w:space="0" w:color="auto"/>
            </w:tcBorders>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General Allocation Fund; Local Own-Source Revenue</w:t>
            </w:r>
          </w:p>
        </w:tc>
        <w:tc>
          <w:tcPr>
            <w:tcW w:w="0" w:type="auto"/>
            <w:tcBorders>
              <w:top w:val="single" w:sz="4" w:space="0" w:color="auto"/>
            </w:tcBorders>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Agency Theory</w:t>
            </w:r>
          </w:p>
        </w:tc>
      </w:tr>
      <w:tr w:rsidR="00580129" w:rsidRPr="00580129" w:rsidTr="00451A41">
        <w:tc>
          <w:tcPr>
            <w:tcW w:w="0" w:type="auto"/>
            <w:hideMark/>
          </w:tcPr>
          <w:p w:rsidR="00580129" w:rsidRPr="00580129" w:rsidRDefault="00580129" w:rsidP="00580129">
            <w:pPr>
              <w:pStyle w:val="Body"/>
              <w:spacing w:after="0"/>
              <w:rPr>
                <w:rFonts w:ascii="Arial" w:hAnsi="Arial" w:cs="Arial"/>
                <w:sz w:val="20"/>
                <w:szCs w:val="20"/>
                <w:lang w:val="en-ID"/>
              </w:rPr>
            </w:pPr>
            <w:proofErr w:type="spellStart"/>
            <w:r w:rsidRPr="00580129">
              <w:rPr>
                <w:rFonts w:ascii="Arial" w:hAnsi="Arial" w:cs="Arial"/>
                <w:sz w:val="20"/>
                <w:szCs w:val="20"/>
                <w:lang w:val="en-ID"/>
              </w:rPr>
              <w:t>Soetedjo</w:t>
            </w:r>
            <w:proofErr w:type="spellEnd"/>
            <w:r w:rsidRPr="00580129">
              <w:rPr>
                <w:rFonts w:ascii="Arial" w:hAnsi="Arial" w:cs="Arial"/>
                <w:sz w:val="20"/>
                <w:szCs w:val="20"/>
                <w:lang w:val="en-ID"/>
              </w:rPr>
              <w:t xml:space="preserve">, </w:t>
            </w:r>
            <w:proofErr w:type="spellStart"/>
            <w:r w:rsidRPr="00580129">
              <w:rPr>
                <w:rFonts w:ascii="Arial" w:hAnsi="Arial" w:cs="Arial"/>
                <w:sz w:val="20"/>
                <w:szCs w:val="20"/>
                <w:lang w:val="en-ID"/>
              </w:rPr>
              <w:t>Iswajuni</w:t>
            </w:r>
            <w:proofErr w:type="spellEnd"/>
            <w:r w:rsidRPr="00580129">
              <w:rPr>
                <w:rFonts w:ascii="Arial" w:hAnsi="Arial" w:cs="Arial"/>
                <w:sz w:val="20"/>
                <w:szCs w:val="20"/>
                <w:lang w:val="en-ID"/>
              </w:rPr>
              <w:t xml:space="preserve"> &amp; </w:t>
            </w:r>
            <w:proofErr w:type="spellStart"/>
            <w:r w:rsidRPr="00580129">
              <w:rPr>
                <w:rFonts w:ascii="Arial" w:hAnsi="Arial" w:cs="Arial"/>
                <w:sz w:val="20"/>
                <w:szCs w:val="20"/>
                <w:lang w:val="en-ID"/>
              </w:rPr>
              <w:t>Fitri</w:t>
            </w:r>
            <w:proofErr w:type="spellEnd"/>
            <w:r w:rsidRPr="00580129">
              <w:rPr>
                <w:rFonts w:ascii="Arial" w:hAnsi="Arial" w:cs="Arial"/>
                <w:sz w:val="20"/>
                <w:szCs w:val="20"/>
                <w:lang w:val="en-ID"/>
              </w:rPr>
              <w:t xml:space="preserve"> (2020)</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 xml:space="preserve">Opportunistic </w:t>
            </w:r>
            <w:proofErr w:type="spellStart"/>
            <w:r w:rsidRPr="00580129">
              <w:rPr>
                <w:rFonts w:ascii="Arial" w:hAnsi="Arial" w:cs="Arial"/>
                <w:sz w:val="20"/>
                <w:szCs w:val="20"/>
                <w:lang w:val="en-ID"/>
              </w:rPr>
              <w:t>Behavior</w:t>
            </w:r>
            <w:proofErr w:type="spellEnd"/>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Local Own-Source Revenue; General Allocation Fund; Budget Surplus (</w:t>
            </w:r>
            <w:proofErr w:type="spellStart"/>
            <w:r w:rsidRPr="00580129">
              <w:rPr>
                <w:rFonts w:ascii="Arial" w:hAnsi="Arial" w:cs="Arial"/>
                <w:sz w:val="20"/>
                <w:szCs w:val="20"/>
                <w:lang w:val="en-ID"/>
              </w:rPr>
              <w:t>SiLPA</w:t>
            </w:r>
            <w:proofErr w:type="spellEnd"/>
            <w:r w:rsidRPr="00580129">
              <w:rPr>
                <w:rFonts w:ascii="Arial" w:hAnsi="Arial" w:cs="Arial"/>
                <w:sz w:val="20"/>
                <w:szCs w:val="20"/>
                <w:lang w:val="en-ID"/>
              </w:rPr>
              <w:t>)</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Agency Theory</w:t>
            </w:r>
          </w:p>
        </w:tc>
      </w:tr>
      <w:tr w:rsidR="00580129" w:rsidRPr="00580129" w:rsidTr="00451A41">
        <w:tc>
          <w:tcPr>
            <w:tcW w:w="0" w:type="auto"/>
            <w:hideMark/>
          </w:tcPr>
          <w:p w:rsidR="00580129" w:rsidRPr="00580129" w:rsidRDefault="00580129" w:rsidP="00580129">
            <w:pPr>
              <w:pStyle w:val="Body"/>
              <w:spacing w:after="0"/>
              <w:rPr>
                <w:rFonts w:ascii="Arial" w:hAnsi="Arial" w:cs="Arial"/>
                <w:sz w:val="20"/>
                <w:szCs w:val="20"/>
                <w:lang w:val="en-ID"/>
              </w:rPr>
            </w:pPr>
            <w:proofErr w:type="spellStart"/>
            <w:r w:rsidRPr="00580129">
              <w:rPr>
                <w:rFonts w:ascii="Arial" w:hAnsi="Arial" w:cs="Arial"/>
                <w:sz w:val="20"/>
                <w:szCs w:val="20"/>
                <w:lang w:val="en-ID"/>
              </w:rPr>
              <w:t>Stalebrink</w:t>
            </w:r>
            <w:proofErr w:type="spellEnd"/>
            <w:r w:rsidRPr="00580129">
              <w:rPr>
                <w:rFonts w:ascii="Arial" w:hAnsi="Arial" w:cs="Arial"/>
                <w:sz w:val="20"/>
                <w:szCs w:val="20"/>
                <w:lang w:val="en-ID"/>
              </w:rPr>
              <w:t xml:space="preserve"> &amp; Donatella (2021)</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Opportunistic Pension Accounting Choices</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Short-term fiscal constraints; Long-term fiscal constraints; Underfunding level; Proximity to funding thresholds; Proportion of political officials; Labor union strength; Political party control; Auditor characteristics</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Agency Theory; Politico–Economic Theory</w:t>
            </w:r>
          </w:p>
        </w:tc>
      </w:tr>
      <w:tr w:rsidR="00580129" w:rsidRPr="00580129" w:rsidTr="00451A41">
        <w:tc>
          <w:tcPr>
            <w:tcW w:w="0" w:type="auto"/>
            <w:hideMark/>
          </w:tcPr>
          <w:p w:rsidR="00580129" w:rsidRPr="00580129" w:rsidRDefault="00580129" w:rsidP="00580129">
            <w:pPr>
              <w:pStyle w:val="Body"/>
              <w:spacing w:after="0"/>
              <w:rPr>
                <w:rFonts w:ascii="Arial" w:hAnsi="Arial" w:cs="Arial"/>
                <w:sz w:val="20"/>
                <w:szCs w:val="20"/>
                <w:lang w:val="en-ID"/>
              </w:rPr>
            </w:pPr>
            <w:proofErr w:type="spellStart"/>
            <w:r w:rsidRPr="00580129">
              <w:rPr>
                <w:rFonts w:ascii="Arial" w:hAnsi="Arial" w:cs="Arial"/>
                <w:sz w:val="20"/>
                <w:szCs w:val="20"/>
                <w:lang w:val="en-ID"/>
              </w:rPr>
              <w:t>Ramirio</w:t>
            </w:r>
            <w:proofErr w:type="spellEnd"/>
            <w:r w:rsidRPr="00580129">
              <w:rPr>
                <w:rFonts w:ascii="Arial" w:hAnsi="Arial" w:cs="Arial"/>
                <w:sz w:val="20"/>
                <w:szCs w:val="20"/>
                <w:lang w:val="en-ID"/>
              </w:rPr>
              <w:t xml:space="preserve">, Pereira &amp; </w:t>
            </w:r>
            <w:proofErr w:type="spellStart"/>
            <w:r w:rsidRPr="00580129">
              <w:rPr>
                <w:rFonts w:ascii="Arial" w:hAnsi="Arial" w:cs="Arial"/>
                <w:sz w:val="20"/>
                <w:szCs w:val="20"/>
                <w:lang w:val="en-ID"/>
              </w:rPr>
              <w:t>Alcântara</w:t>
            </w:r>
            <w:proofErr w:type="spellEnd"/>
            <w:r w:rsidRPr="00580129">
              <w:rPr>
                <w:rFonts w:ascii="Arial" w:hAnsi="Arial" w:cs="Arial"/>
                <w:sz w:val="20"/>
                <w:szCs w:val="20"/>
                <w:lang w:val="en-ID"/>
              </w:rPr>
              <w:t xml:space="preserve"> (2021)</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 xml:space="preserve">Opportunistic Supplier </w:t>
            </w:r>
            <w:proofErr w:type="spellStart"/>
            <w:r w:rsidRPr="00580129">
              <w:rPr>
                <w:rFonts w:ascii="Arial" w:hAnsi="Arial" w:cs="Arial"/>
                <w:sz w:val="20"/>
                <w:szCs w:val="20"/>
                <w:lang w:val="en-ID"/>
              </w:rPr>
              <w:t>Behavior</w:t>
            </w:r>
            <w:proofErr w:type="spellEnd"/>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Electronic bidding mechanism; Market price; Number of suppliers; Product specifications</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Information Asymmetry Theory; Transaction Cost Theory</w:t>
            </w:r>
          </w:p>
        </w:tc>
      </w:tr>
      <w:tr w:rsidR="00580129" w:rsidRPr="00580129" w:rsidTr="00451A41">
        <w:tc>
          <w:tcPr>
            <w:tcW w:w="0" w:type="auto"/>
            <w:hideMark/>
          </w:tcPr>
          <w:p w:rsidR="00580129" w:rsidRPr="00580129" w:rsidRDefault="00580129" w:rsidP="00580129">
            <w:pPr>
              <w:pStyle w:val="Body"/>
              <w:spacing w:after="0"/>
              <w:rPr>
                <w:rFonts w:ascii="Arial" w:hAnsi="Arial" w:cs="Arial"/>
                <w:sz w:val="20"/>
                <w:szCs w:val="20"/>
                <w:lang w:val="en-ID"/>
              </w:rPr>
            </w:pPr>
            <w:proofErr w:type="spellStart"/>
            <w:r w:rsidRPr="00580129">
              <w:rPr>
                <w:rFonts w:ascii="Arial" w:hAnsi="Arial" w:cs="Arial"/>
                <w:sz w:val="20"/>
                <w:szCs w:val="20"/>
                <w:lang w:val="en-ID"/>
              </w:rPr>
              <w:t>Dalimunthe</w:t>
            </w:r>
            <w:proofErr w:type="spellEnd"/>
            <w:r w:rsidRPr="00580129">
              <w:rPr>
                <w:rFonts w:ascii="Arial" w:hAnsi="Arial" w:cs="Arial"/>
                <w:sz w:val="20"/>
                <w:szCs w:val="20"/>
                <w:lang w:val="en-ID"/>
              </w:rPr>
              <w:t xml:space="preserve"> (2021)</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 xml:space="preserve">Opportunistic </w:t>
            </w:r>
            <w:proofErr w:type="spellStart"/>
            <w:r w:rsidRPr="00580129">
              <w:rPr>
                <w:rFonts w:ascii="Arial" w:hAnsi="Arial" w:cs="Arial"/>
                <w:sz w:val="20"/>
                <w:szCs w:val="20"/>
                <w:lang w:val="en-ID"/>
              </w:rPr>
              <w:t>Behavior</w:t>
            </w:r>
            <w:proofErr w:type="spellEnd"/>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Local Own-Source Revenue; General Allocation Fund; Revenue-Sharing Fund; Budget Surplus (</w:t>
            </w:r>
            <w:proofErr w:type="spellStart"/>
            <w:r w:rsidRPr="00580129">
              <w:rPr>
                <w:rFonts w:ascii="Arial" w:hAnsi="Arial" w:cs="Arial"/>
                <w:sz w:val="20"/>
                <w:szCs w:val="20"/>
                <w:lang w:val="en-ID"/>
              </w:rPr>
              <w:t>SiLPA</w:t>
            </w:r>
            <w:proofErr w:type="spellEnd"/>
            <w:r w:rsidRPr="00580129">
              <w:rPr>
                <w:rFonts w:ascii="Arial" w:hAnsi="Arial" w:cs="Arial"/>
                <w:sz w:val="20"/>
                <w:szCs w:val="20"/>
                <w:lang w:val="en-ID"/>
              </w:rPr>
              <w:t>)</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Agency Theory</w:t>
            </w:r>
          </w:p>
        </w:tc>
      </w:tr>
      <w:tr w:rsidR="00580129" w:rsidRPr="00580129" w:rsidTr="00451A41">
        <w:tc>
          <w:tcPr>
            <w:tcW w:w="0" w:type="auto"/>
            <w:hideMark/>
          </w:tcPr>
          <w:p w:rsidR="00580129" w:rsidRPr="00580129" w:rsidRDefault="00580129" w:rsidP="00580129">
            <w:pPr>
              <w:pStyle w:val="Body"/>
              <w:spacing w:after="0"/>
              <w:rPr>
                <w:rFonts w:ascii="Arial" w:hAnsi="Arial" w:cs="Arial"/>
                <w:sz w:val="20"/>
                <w:szCs w:val="20"/>
                <w:lang w:val="en-ID"/>
              </w:rPr>
            </w:pPr>
            <w:proofErr w:type="spellStart"/>
            <w:r w:rsidRPr="00580129">
              <w:rPr>
                <w:rFonts w:ascii="Arial" w:hAnsi="Arial" w:cs="Arial"/>
                <w:sz w:val="20"/>
                <w:szCs w:val="20"/>
                <w:lang w:val="en-ID"/>
              </w:rPr>
              <w:t>Febrianti</w:t>
            </w:r>
            <w:proofErr w:type="spellEnd"/>
            <w:r w:rsidRPr="00580129">
              <w:rPr>
                <w:rFonts w:ascii="Arial" w:hAnsi="Arial" w:cs="Arial"/>
                <w:sz w:val="20"/>
                <w:szCs w:val="20"/>
                <w:lang w:val="en-ID"/>
              </w:rPr>
              <w:t xml:space="preserve"> &amp; </w:t>
            </w:r>
            <w:proofErr w:type="spellStart"/>
            <w:r w:rsidRPr="00580129">
              <w:rPr>
                <w:rFonts w:ascii="Arial" w:hAnsi="Arial" w:cs="Arial"/>
                <w:sz w:val="20"/>
                <w:szCs w:val="20"/>
                <w:lang w:val="en-ID"/>
              </w:rPr>
              <w:t>Suparwati</w:t>
            </w:r>
            <w:proofErr w:type="spellEnd"/>
            <w:r w:rsidRPr="00580129">
              <w:rPr>
                <w:rFonts w:ascii="Arial" w:hAnsi="Arial" w:cs="Arial"/>
                <w:sz w:val="20"/>
                <w:szCs w:val="20"/>
                <w:lang w:val="en-ID"/>
              </w:rPr>
              <w:t xml:space="preserve"> (2021)</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 xml:space="preserve">Opportunistic </w:t>
            </w:r>
            <w:proofErr w:type="spellStart"/>
            <w:r w:rsidRPr="00580129">
              <w:rPr>
                <w:rFonts w:ascii="Arial" w:hAnsi="Arial" w:cs="Arial"/>
                <w:sz w:val="20"/>
                <w:szCs w:val="20"/>
                <w:lang w:val="en-ID"/>
              </w:rPr>
              <w:t>Behavior</w:t>
            </w:r>
            <w:proofErr w:type="spellEnd"/>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Local Own-Source Revenue; Special Allocation Fund; Revenue-Sharing Fund; Budget Surplus (</w:t>
            </w:r>
            <w:proofErr w:type="spellStart"/>
            <w:r w:rsidRPr="00580129">
              <w:rPr>
                <w:rFonts w:ascii="Arial" w:hAnsi="Arial" w:cs="Arial"/>
                <w:sz w:val="20"/>
                <w:szCs w:val="20"/>
                <w:lang w:val="en-ID"/>
              </w:rPr>
              <w:t>SiLPA</w:t>
            </w:r>
            <w:proofErr w:type="spellEnd"/>
            <w:r w:rsidRPr="00580129">
              <w:rPr>
                <w:rFonts w:ascii="Arial" w:hAnsi="Arial" w:cs="Arial"/>
                <w:sz w:val="20"/>
                <w:szCs w:val="20"/>
                <w:lang w:val="en-ID"/>
              </w:rPr>
              <w:t>); Flypaper Effect</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Agency Theory</w:t>
            </w:r>
          </w:p>
        </w:tc>
      </w:tr>
      <w:tr w:rsidR="00580129" w:rsidRPr="00580129" w:rsidTr="00451A41">
        <w:tc>
          <w:tcPr>
            <w:tcW w:w="0" w:type="auto"/>
            <w:hideMark/>
          </w:tcPr>
          <w:p w:rsidR="00580129" w:rsidRPr="00580129" w:rsidRDefault="00580129" w:rsidP="00580129">
            <w:pPr>
              <w:pStyle w:val="Body"/>
              <w:spacing w:after="0"/>
              <w:rPr>
                <w:rFonts w:ascii="Arial" w:hAnsi="Arial" w:cs="Arial"/>
                <w:sz w:val="20"/>
                <w:szCs w:val="20"/>
                <w:lang w:val="en-ID"/>
              </w:rPr>
            </w:pPr>
            <w:proofErr w:type="spellStart"/>
            <w:r w:rsidRPr="00580129">
              <w:rPr>
                <w:rFonts w:ascii="Arial" w:hAnsi="Arial" w:cs="Arial"/>
                <w:sz w:val="20"/>
                <w:szCs w:val="20"/>
                <w:lang w:val="en-ID"/>
              </w:rPr>
              <w:t>Rizki</w:t>
            </w:r>
            <w:proofErr w:type="spellEnd"/>
            <w:r w:rsidRPr="00580129">
              <w:rPr>
                <w:rFonts w:ascii="Arial" w:hAnsi="Arial" w:cs="Arial"/>
                <w:sz w:val="20"/>
                <w:szCs w:val="20"/>
                <w:lang w:val="en-ID"/>
              </w:rPr>
              <w:t xml:space="preserve">, Maria &amp; </w:t>
            </w:r>
            <w:proofErr w:type="spellStart"/>
            <w:r w:rsidRPr="00580129">
              <w:rPr>
                <w:rFonts w:ascii="Arial" w:hAnsi="Arial" w:cs="Arial"/>
                <w:sz w:val="20"/>
                <w:szCs w:val="20"/>
                <w:lang w:val="en-ID"/>
              </w:rPr>
              <w:t>Sarikadarwati</w:t>
            </w:r>
            <w:proofErr w:type="spellEnd"/>
            <w:r w:rsidRPr="00580129">
              <w:rPr>
                <w:rFonts w:ascii="Arial" w:hAnsi="Arial" w:cs="Arial"/>
                <w:sz w:val="20"/>
                <w:szCs w:val="20"/>
                <w:lang w:val="en-ID"/>
              </w:rPr>
              <w:t xml:space="preserve"> (2023)</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 xml:space="preserve">Opportunistic </w:t>
            </w:r>
            <w:proofErr w:type="spellStart"/>
            <w:r w:rsidRPr="00580129">
              <w:rPr>
                <w:rFonts w:ascii="Arial" w:hAnsi="Arial" w:cs="Arial"/>
                <w:sz w:val="20"/>
                <w:szCs w:val="20"/>
                <w:lang w:val="en-ID"/>
              </w:rPr>
              <w:t>Behavior</w:t>
            </w:r>
            <w:proofErr w:type="spellEnd"/>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Local Own-Source Revenue; General Allocation Fund; Special Allocation Fund</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Agency Theory</w:t>
            </w:r>
          </w:p>
        </w:tc>
      </w:tr>
      <w:tr w:rsidR="00580129" w:rsidRPr="00580129" w:rsidTr="00451A41">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 xml:space="preserve">Bracco, De Benedetto &amp; </w:t>
            </w:r>
            <w:proofErr w:type="spellStart"/>
            <w:r w:rsidRPr="00580129">
              <w:rPr>
                <w:rFonts w:ascii="Arial" w:hAnsi="Arial" w:cs="Arial"/>
                <w:sz w:val="20"/>
                <w:szCs w:val="20"/>
                <w:lang w:val="en-ID"/>
              </w:rPr>
              <w:t>Lisciandra</w:t>
            </w:r>
            <w:proofErr w:type="spellEnd"/>
            <w:r w:rsidRPr="00580129">
              <w:rPr>
                <w:rFonts w:ascii="Arial" w:hAnsi="Arial" w:cs="Arial"/>
                <w:sz w:val="20"/>
                <w:szCs w:val="20"/>
                <w:lang w:val="en-ID"/>
              </w:rPr>
              <w:t xml:space="preserve"> (2024)</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 xml:space="preserve">Opportunistic </w:t>
            </w:r>
            <w:proofErr w:type="spellStart"/>
            <w:r w:rsidRPr="00580129">
              <w:rPr>
                <w:rFonts w:ascii="Arial" w:hAnsi="Arial" w:cs="Arial"/>
                <w:sz w:val="20"/>
                <w:szCs w:val="20"/>
                <w:lang w:val="en-ID"/>
              </w:rPr>
              <w:t>Behavior</w:t>
            </w:r>
            <w:proofErr w:type="spellEnd"/>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Local Government Revenue</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Opportunistic Fiscal Cycle Theory</w:t>
            </w:r>
          </w:p>
        </w:tc>
      </w:tr>
      <w:tr w:rsidR="00580129" w:rsidRPr="00580129" w:rsidTr="00451A41">
        <w:tc>
          <w:tcPr>
            <w:tcW w:w="0" w:type="auto"/>
            <w:hideMark/>
          </w:tcPr>
          <w:p w:rsidR="00580129" w:rsidRPr="00580129" w:rsidRDefault="00580129" w:rsidP="00580129">
            <w:pPr>
              <w:pStyle w:val="Body"/>
              <w:spacing w:after="0"/>
              <w:rPr>
                <w:rFonts w:ascii="Arial" w:hAnsi="Arial" w:cs="Arial"/>
                <w:sz w:val="20"/>
                <w:szCs w:val="20"/>
                <w:lang w:val="en-ID"/>
              </w:rPr>
            </w:pPr>
            <w:proofErr w:type="spellStart"/>
            <w:r w:rsidRPr="00580129">
              <w:rPr>
                <w:rFonts w:ascii="Arial" w:hAnsi="Arial" w:cs="Arial"/>
                <w:sz w:val="20"/>
                <w:szCs w:val="20"/>
                <w:lang w:val="en-ID"/>
              </w:rPr>
              <w:t>Ramadini</w:t>
            </w:r>
            <w:proofErr w:type="spellEnd"/>
            <w:r w:rsidRPr="00580129">
              <w:rPr>
                <w:rFonts w:ascii="Arial" w:hAnsi="Arial" w:cs="Arial"/>
                <w:sz w:val="20"/>
                <w:szCs w:val="20"/>
                <w:lang w:val="en-ID"/>
              </w:rPr>
              <w:t xml:space="preserve"> &amp; </w:t>
            </w:r>
            <w:proofErr w:type="spellStart"/>
            <w:r w:rsidRPr="00580129">
              <w:rPr>
                <w:rFonts w:ascii="Arial" w:hAnsi="Arial" w:cs="Arial"/>
                <w:sz w:val="20"/>
                <w:szCs w:val="20"/>
                <w:lang w:val="en-ID"/>
              </w:rPr>
              <w:t>Sarwani</w:t>
            </w:r>
            <w:proofErr w:type="spellEnd"/>
            <w:r w:rsidRPr="00580129">
              <w:rPr>
                <w:rFonts w:ascii="Arial" w:hAnsi="Arial" w:cs="Arial"/>
                <w:sz w:val="20"/>
                <w:szCs w:val="20"/>
                <w:lang w:val="en-ID"/>
              </w:rPr>
              <w:t xml:space="preserve"> (2024)</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 xml:space="preserve">Opportunistic </w:t>
            </w:r>
            <w:proofErr w:type="spellStart"/>
            <w:r w:rsidRPr="00580129">
              <w:rPr>
                <w:rFonts w:ascii="Arial" w:hAnsi="Arial" w:cs="Arial"/>
                <w:sz w:val="20"/>
                <w:szCs w:val="20"/>
                <w:lang w:val="en-ID"/>
              </w:rPr>
              <w:t>Behavior</w:t>
            </w:r>
            <w:proofErr w:type="spellEnd"/>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Local Own-Source Revenue; General Allocation Fund; Special Allocation Fund; Revenue-Sharing Fund; Budget Surplus (</w:t>
            </w:r>
            <w:proofErr w:type="spellStart"/>
            <w:r w:rsidRPr="00580129">
              <w:rPr>
                <w:rFonts w:ascii="Arial" w:hAnsi="Arial" w:cs="Arial"/>
                <w:sz w:val="20"/>
                <w:szCs w:val="20"/>
                <w:lang w:val="en-ID"/>
              </w:rPr>
              <w:t>SiLPA</w:t>
            </w:r>
            <w:proofErr w:type="spellEnd"/>
            <w:r w:rsidRPr="00580129">
              <w:rPr>
                <w:rFonts w:ascii="Arial" w:hAnsi="Arial" w:cs="Arial"/>
                <w:sz w:val="20"/>
                <w:szCs w:val="20"/>
                <w:lang w:val="en-ID"/>
              </w:rPr>
              <w:t>)</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Agency Theory</w:t>
            </w:r>
          </w:p>
        </w:tc>
      </w:tr>
      <w:tr w:rsidR="00580129" w:rsidRPr="00580129" w:rsidTr="00451A41">
        <w:tc>
          <w:tcPr>
            <w:tcW w:w="0" w:type="auto"/>
            <w:hideMark/>
          </w:tcPr>
          <w:p w:rsidR="00580129" w:rsidRPr="00580129" w:rsidRDefault="00580129" w:rsidP="00580129">
            <w:pPr>
              <w:pStyle w:val="Body"/>
              <w:spacing w:after="0"/>
              <w:rPr>
                <w:rFonts w:ascii="Arial" w:hAnsi="Arial" w:cs="Arial"/>
                <w:sz w:val="20"/>
                <w:szCs w:val="20"/>
                <w:lang w:val="en-ID"/>
              </w:rPr>
            </w:pPr>
            <w:proofErr w:type="spellStart"/>
            <w:r w:rsidRPr="00580129">
              <w:rPr>
                <w:rFonts w:ascii="Arial" w:hAnsi="Arial" w:cs="Arial"/>
                <w:sz w:val="20"/>
                <w:szCs w:val="20"/>
                <w:lang w:val="en-ID"/>
              </w:rPr>
              <w:t>Syahrani</w:t>
            </w:r>
            <w:proofErr w:type="spellEnd"/>
            <w:r w:rsidRPr="00580129">
              <w:rPr>
                <w:rFonts w:ascii="Arial" w:hAnsi="Arial" w:cs="Arial"/>
                <w:sz w:val="20"/>
                <w:szCs w:val="20"/>
                <w:lang w:val="en-ID"/>
              </w:rPr>
              <w:t xml:space="preserve">, </w:t>
            </w:r>
            <w:proofErr w:type="spellStart"/>
            <w:r w:rsidRPr="00580129">
              <w:rPr>
                <w:rFonts w:ascii="Arial" w:hAnsi="Arial" w:cs="Arial"/>
                <w:sz w:val="20"/>
                <w:szCs w:val="20"/>
                <w:lang w:val="en-ID"/>
              </w:rPr>
              <w:t>Fithri</w:t>
            </w:r>
            <w:proofErr w:type="spellEnd"/>
            <w:r w:rsidRPr="00580129">
              <w:rPr>
                <w:rFonts w:ascii="Arial" w:hAnsi="Arial" w:cs="Arial"/>
                <w:sz w:val="20"/>
                <w:szCs w:val="20"/>
                <w:lang w:val="en-ID"/>
              </w:rPr>
              <w:t xml:space="preserve"> &amp; Sari (2025)</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 xml:space="preserve">Opportunistic </w:t>
            </w:r>
            <w:proofErr w:type="spellStart"/>
            <w:r w:rsidRPr="00580129">
              <w:rPr>
                <w:rFonts w:ascii="Arial" w:hAnsi="Arial" w:cs="Arial"/>
                <w:sz w:val="20"/>
                <w:szCs w:val="20"/>
                <w:lang w:val="en-ID"/>
              </w:rPr>
              <w:t>Behavior</w:t>
            </w:r>
            <w:proofErr w:type="spellEnd"/>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Local Own-Source Revenue; Special Allocation Fund; General Allocation Fund</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Agency Theory</w:t>
            </w:r>
          </w:p>
        </w:tc>
      </w:tr>
    </w:tbl>
    <w:p w:rsidR="00580129" w:rsidRPr="00580129" w:rsidRDefault="00580129" w:rsidP="00580129">
      <w:pPr>
        <w:pStyle w:val="Body"/>
        <w:rPr>
          <w:rFonts w:ascii="Arial" w:hAnsi="Arial" w:cs="Arial"/>
          <w:lang w:val="id-ID"/>
        </w:rPr>
      </w:pPr>
    </w:p>
    <w:p w:rsidR="00580129" w:rsidRPr="00580129" w:rsidRDefault="00580129" w:rsidP="00580129">
      <w:pPr>
        <w:pStyle w:val="Body"/>
        <w:rPr>
          <w:rFonts w:ascii="Arial" w:hAnsi="Arial" w:cs="Arial"/>
          <w:lang w:val="id-ID"/>
        </w:rPr>
      </w:pPr>
      <w:r w:rsidRPr="00580129">
        <w:rPr>
          <w:rFonts w:ascii="Arial" w:hAnsi="Arial" w:cs="Arial"/>
          <w:lang w:val="id-ID"/>
        </w:rPr>
        <w:t>Most studies—such as those by Wenas, Karamoy &amp; Morasa (2020); Soetedjo, Iswajuni &amp; Fitri (2020); Dalimunthe (2021); Febrianti &amp; Suparwati (2021); Rizki, Maria &amp; Sarikadarwati (2023); Ramadini &amp; Sarwani (2024); and Syahrani, Fithri &amp; Sari (2025)—utilize indicators including Local Own-Source Revenue (PAD), General Allocation Fund (DAU), Special Allocation Fund (DAK), Revenue-Sharing Fund (DBH), and Budget Surplus (SiLPA) to detect potential distortions in fiscal decision-making. These studies predominantly rely on Agency Theory to explain how principal–agent relationships give rise to manipulative tendencies in budget formulation, particularly in periods preceding political competitions.</w:t>
      </w:r>
    </w:p>
    <w:p w:rsidR="00580129" w:rsidRPr="00580129" w:rsidRDefault="00580129" w:rsidP="00580129">
      <w:pPr>
        <w:pStyle w:val="Body"/>
        <w:rPr>
          <w:rFonts w:ascii="Arial" w:hAnsi="Arial" w:cs="Arial"/>
          <w:lang w:val="id-ID"/>
        </w:rPr>
      </w:pPr>
      <w:r w:rsidRPr="00580129">
        <w:rPr>
          <w:rFonts w:ascii="Arial" w:hAnsi="Arial" w:cs="Arial"/>
          <w:lang w:val="id-ID"/>
        </w:rPr>
        <w:lastRenderedPageBreak/>
        <w:t>Furthermore, studies such as Stalebrink &amp; Donatella (2021) and Ramirio, Pereira &amp; Alcântara (2021) broaden the analytical scope by incorporating structural determinants and market-based mechanisms. Stalebrink &amp; Donatella (2021) employ Agency Theory and Politico–Economic Theory to examine the extent to which short- and long-term fiscal pressures, pension funding levels, political composition, and auditor characteristics influence opportunistic pension accounting choices. In a different context, Ramirio, Pereira &amp; Alcântara (2021) use Information Asymmetry Theory and Transaction Cost Theory to assess opportunistic supplier behavior within electronic procurement systems. Meanwhile, Bracco, De Benedetto &amp; Lisciandra (2024) adopt the Opportunistic Fiscal Cycle Theory to demonstrate how local government revenues may be strategically manipulated during electoral cycles. Collectively, these studies establish a comprehensive methodological foundation for understanding the determinants of opportunistic behavior across various governmental and institutional settings.</w:t>
      </w:r>
    </w:p>
    <w:p w:rsidR="00580129" w:rsidRPr="00580129" w:rsidRDefault="00580129" w:rsidP="00580129">
      <w:pPr>
        <w:pStyle w:val="Body"/>
        <w:numPr>
          <w:ilvl w:val="1"/>
          <w:numId w:val="32"/>
        </w:numPr>
        <w:rPr>
          <w:rFonts w:ascii="Arial" w:hAnsi="Arial" w:cs="Arial"/>
          <w:b/>
          <w:bCs/>
          <w:lang w:val="id-ID"/>
        </w:rPr>
      </w:pPr>
      <w:r w:rsidRPr="00580129">
        <w:rPr>
          <w:rFonts w:ascii="Arial" w:hAnsi="Arial" w:cs="Arial"/>
          <w:b/>
          <w:bCs/>
          <w:lang w:val="id-ID"/>
        </w:rPr>
        <w:t xml:space="preserve">Article Key Result </w:t>
      </w:r>
    </w:p>
    <w:p w:rsidR="00580129" w:rsidRPr="00580129" w:rsidRDefault="00580129" w:rsidP="00580129">
      <w:pPr>
        <w:pStyle w:val="Body"/>
        <w:rPr>
          <w:rFonts w:ascii="Arial" w:hAnsi="Arial" w:cs="Arial"/>
          <w:lang w:val="id-ID"/>
        </w:rPr>
      </w:pPr>
      <w:r w:rsidRPr="00580129">
        <w:rPr>
          <w:rFonts w:ascii="Arial" w:hAnsi="Arial" w:cs="Arial"/>
          <w:lang w:val="id-ID"/>
        </w:rPr>
        <w:t>The key findings from the reviewed studies reveal varied patterns of opportunistic behavior across different governmental contexts, largely driven by fiscal transfers and budgetary conditions.</w:t>
      </w:r>
    </w:p>
    <w:p w:rsidR="00580129" w:rsidRPr="00580129" w:rsidRDefault="00580129" w:rsidP="00580129">
      <w:pPr>
        <w:pStyle w:val="Body"/>
        <w:jc w:val="center"/>
        <w:rPr>
          <w:rFonts w:ascii="Arial" w:hAnsi="Arial" w:cs="Arial"/>
          <w:b/>
          <w:bCs/>
          <w:lang w:val="id-ID"/>
        </w:rPr>
      </w:pPr>
      <w:r w:rsidRPr="00580129">
        <w:rPr>
          <w:rFonts w:ascii="Arial" w:hAnsi="Arial" w:cs="Arial"/>
          <w:b/>
          <w:bCs/>
          <w:lang w:val="id-ID"/>
        </w:rPr>
        <w:t>Table 3. Summary of Key Empirical Findings on Opportunistic Behavior in Local Budgeting</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384"/>
        <w:gridCol w:w="8632"/>
      </w:tblGrid>
      <w:tr w:rsidR="00580129" w:rsidRPr="00580129" w:rsidTr="00580129">
        <w:tc>
          <w:tcPr>
            <w:tcW w:w="0" w:type="auto"/>
            <w:tcBorders>
              <w:top w:val="single" w:sz="4" w:space="0" w:color="auto"/>
              <w:bottom w:val="single" w:sz="4" w:space="0" w:color="auto"/>
            </w:tcBorders>
            <w:vAlign w:val="center"/>
            <w:hideMark/>
          </w:tcPr>
          <w:p w:rsidR="00580129" w:rsidRPr="00580129" w:rsidRDefault="00580129" w:rsidP="00580129">
            <w:pPr>
              <w:pStyle w:val="Body"/>
              <w:spacing w:after="0"/>
              <w:jc w:val="center"/>
              <w:rPr>
                <w:rFonts w:ascii="Arial" w:hAnsi="Arial" w:cs="Arial"/>
                <w:b/>
                <w:bCs/>
                <w:sz w:val="20"/>
                <w:szCs w:val="20"/>
                <w:lang w:val="en-ID"/>
              </w:rPr>
            </w:pPr>
            <w:r w:rsidRPr="00580129">
              <w:rPr>
                <w:rFonts w:ascii="Arial" w:hAnsi="Arial" w:cs="Arial"/>
                <w:b/>
                <w:bCs/>
                <w:sz w:val="20"/>
                <w:szCs w:val="20"/>
                <w:lang w:val="en-ID"/>
              </w:rPr>
              <w:t>Researcher(s) &amp; Year</w:t>
            </w:r>
          </w:p>
        </w:tc>
        <w:tc>
          <w:tcPr>
            <w:tcW w:w="0" w:type="auto"/>
            <w:tcBorders>
              <w:top w:val="single" w:sz="4" w:space="0" w:color="auto"/>
              <w:bottom w:val="single" w:sz="4" w:space="0" w:color="auto"/>
            </w:tcBorders>
            <w:vAlign w:val="center"/>
            <w:hideMark/>
          </w:tcPr>
          <w:p w:rsidR="00580129" w:rsidRPr="00580129" w:rsidRDefault="00580129" w:rsidP="00580129">
            <w:pPr>
              <w:pStyle w:val="Body"/>
              <w:spacing w:after="0"/>
              <w:jc w:val="center"/>
              <w:rPr>
                <w:rFonts w:ascii="Arial" w:hAnsi="Arial" w:cs="Arial"/>
                <w:b/>
                <w:bCs/>
                <w:sz w:val="20"/>
                <w:szCs w:val="20"/>
                <w:lang w:val="en-ID"/>
              </w:rPr>
            </w:pPr>
            <w:r w:rsidRPr="00580129">
              <w:rPr>
                <w:rFonts w:ascii="Arial" w:hAnsi="Arial" w:cs="Arial"/>
                <w:b/>
                <w:bCs/>
                <w:sz w:val="20"/>
                <w:szCs w:val="20"/>
                <w:lang w:val="en-ID"/>
              </w:rPr>
              <w:t>Key Findings</w:t>
            </w:r>
          </w:p>
        </w:tc>
      </w:tr>
      <w:tr w:rsidR="00580129" w:rsidRPr="00580129" w:rsidTr="00451A41">
        <w:tc>
          <w:tcPr>
            <w:tcW w:w="0" w:type="auto"/>
            <w:tcBorders>
              <w:top w:val="single" w:sz="4" w:space="0" w:color="auto"/>
            </w:tcBorders>
            <w:hideMark/>
          </w:tcPr>
          <w:p w:rsidR="00580129" w:rsidRPr="00580129" w:rsidRDefault="00580129" w:rsidP="00580129">
            <w:pPr>
              <w:pStyle w:val="Body"/>
              <w:spacing w:after="0"/>
              <w:jc w:val="center"/>
              <w:rPr>
                <w:rFonts w:ascii="Arial" w:hAnsi="Arial" w:cs="Arial"/>
                <w:sz w:val="20"/>
                <w:szCs w:val="20"/>
                <w:lang w:val="en-ID"/>
              </w:rPr>
            </w:pPr>
            <w:proofErr w:type="spellStart"/>
            <w:r w:rsidRPr="00580129">
              <w:rPr>
                <w:rFonts w:ascii="Arial" w:hAnsi="Arial" w:cs="Arial"/>
                <w:sz w:val="20"/>
                <w:szCs w:val="20"/>
                <w:lang w:val="en-ID"/>
              </w:rPr>
              <w:t>Wenas</w:t>
            </w:r>
            <w:proofErr w:type="spellEnd"/>
            <w:r w:rsidRPr="00580129">
              <w:rPr>
                <w:rFonts w:ascii="Arial" w:hAnsi="Arial" w:cs="Arial"/>
                <w:sz w:val="20"/>
                <w:szCs w:val="20"/>
                <w:lang w:val="en-ID"/>
              </w:rPr>
              <w:t xml:space="preserve">, </w:t>
            </w:r>
            <w:proofErr w:type="spellStart"/>
            <w:r w:rsidRPr="00580129">
              <w:rPr>
                <w:rFonts w:ascii="Arial" w:hAnsi="Arial" w:cs="Arial"/>
                <w:sz w:val="20"/>
                <w:szCs w:val="20"/>
                <w:lang w:val="en-ID"/>
              </w:rPr>
              <w:t>Karamoy</w:t>
            </w:r>
            <w:proofErr w:type="spellEnd"/>
            <w:r w:rsidRPr="00580129">
              <w:rPr>
                <w:rFonts w:ascii="Arial" w:hAnsi="Arial" w:cs="Arial"/>
                <w:sz w:val="20"/>
                <w:szCs w:val="20"/>
                <w:lang w:val="en-ID"/>
              </w:rPr>
              <w:t xml:space="preserve"> &amp; </w:t>
            </w:r>
            <w:proofErr w:type="spellStart"/>
            <w:r w:rsidRPr="00580129">
              <w:rPr>
                <w:rFonts w:ascii="Arial" w:hAnsi="Arial" w:cs="Arial"/>
                <w:sz w:val="20"/>
                <w:szCs w:val="20"/>
                <w:lang w:val="en-ID"/>
              </w:rPr>
              <w:t>Morasa</w:t>
            </w:r>
            <w:proofErr w:type="spellEnd"/>
            <w:r w:rsidRPr="00580129">
              <w:rPr>
                <w:rFonts w:ascii="Arial" w:hAnsi="Arial" w:cs="Arial"/>
                <w:sz w:val="20"/>
                <w:szCs w:val="20"/>
                <w:lang w:val="en-ID"/>
              </w:rPr>
              <w:t xml:space="preserve"> (2020)</w:t>
            </w:r>
          </w:p>
        </w:tc>
        <w:tc>
          <w:tcPr>
            <w:tcW w:w="0" w:type="auto"/>
            <w:tcBorders>
              <w:top w:val="single" w:sz="4" w:space="0" w:color="auto"/>
            </w:tcBorders>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 xml:space="preserve">The Manado City Government exhibits opportunistic </w:t>
            </w:r>
            <w:proofErr w:type="spellStart"/>
            <w:r w:rsidRPr="00580129">
              <w:rPr>
                <w:rFonts w:ascii="Arial" w:hAnsi="Arial" w:cs="Arial"/>
                <w:sz w:val="20"/>
                <w:szCs w:val="20"/>
                <w:lang w:val="en-ID"/>
              </w:rPr>
              <w:t>behavior</w:t>
            </w:r>
            <w:proofErr w:type="spellEnd"/>
            <w:r w:rsidRPr="00580129">
              <w:rPr>
                <w:rFonts w:ascii="Arial" w:hAnsi="Arial" w:cs="Arial"/>
                <w:sz w:val="20"/>
                <w:szCs w:val="20"/>
                <w:lang w:val="en-ID"/>
              </w:rPr>
              <w:t xml:space="preserve"> in responding to changes in the General Allocation Fund, showing a significant and positive influence.</w:t>
            </w:r>
          </w:p>
        </w:tc>
      </w:tr>
      <w:tr w:rsidR="00580129" w:rsidRPr="00580129" w:rsidTr="00451A41">
        <w:tc>
          <w:tcPr>
            <w:tcW w:w="0" w:type="auto"/>
            <w:hideMark/>
          </w:tcPr>
          <w:p w:rsidR="00580129" w:rsidRPr="00580129" w:rsidRDefault="00580129" w:rsidP="00580129">
            <w:pPr>
              <w:pStyle w:val="Body"/>
              <w:spacing w:after="0"/>
              <w:jc w:val="center"/>
              <w:rPr>
                <w:rFonts w:ascii="Arial" w:hAnsi="Arial" w:cs="Arial"/>
                <w:sz w:val="20"/>
                <w:szCs w:val="20"/>
                <w:lang w:val="en-ID"/>
              </w:rPr>
            </w:pPr>
            <w:proofErr w:type="spellStart"/>
            <w:r w:rsidRPr="00580129">
              <w:rPr>
                <w:rFonts w:ascii="Arial" w:hAnsi="Arial" w:cs="Arial"/>
                <w:sz w:val="20"/>
                <w:szCs w:val="20"/>
                <w:lang w:val="en-ID"/>
              </w:rPr>
              <w:t>Soetedjo</w:t>
            </w:r>
            <w:proofErr w:type="spellEnd"/>
            <w:r w:rsidRPr="00580129">
              <w:rPr>
                <w:rFonts w:ascii="Arial" w:hAnsi="Arial" w:cs="Arial"/>
                <w:sz w:val="20"/>
                <w:szCs w:val="20"/>
                <w:lang w:val="en-ID"/>
              </w:rPr>
              <w:t xml:space="preserve">, </w:t>
            </w:r>
            <w:proofErr w:type="spellStart"/>
            <w:r w:rsidRPr="00580129">
              <w:rPr>
                <w:rFonts w:ascii="Arial" w:hAnsi="Arial" w:cs="Arial"/>
                <w:sz w:val="20"/>
                <w:szCs w:val="20"/>
                <w:lang w:val="en-ID"/>
              </w:rPr>
              <w:t>Iswajuni</w:t>
            </w:r>
            <w:proofErr w:type="spellEnd"/>
            <w:r w:rsidRPr="00580129">
              <w:rPr>
                <w:rFonts w:ascii="Arial" w:hAnsi="Arial" w:cs="Arial"/>
                <w:sz w:val="20"/>
                <w:szCs w:val="20"/>
                <w:lang w:val="en-ID"/>
              </w:rPr>
              <w:t xml:space="preserve"> &amp; </w:t>
            </w:r>
            <w:proofErr w:type="spellStart"/>
            <w:r w:rsidRPr="00580129">
              <w:rPr>
                <w:rFonts w:ascii="Arial" w:hAnsi="Arial" w:cs="Arial"/>
                <w:sz w:val="20"/>
                <w:szCs w:val="20"/>
                <w:lang w:val="en-ID"/>
              </w:rPr>
              <w:t>Fitri</w:t>
            </w:r>
            <w:proofErr w:type="spellEnd"/>
            <w:r w:rsidRPr="00580129">
              <w:rPr>
                <w:rFonts w:ascii="Arial" w:hAnsi="Arial" w:cs="Arial"/>
                <w:sz w:val="20"/>
                <w:szCs w:val="20"/>
                <w:lang w:val="en-ID"/>
              </w:rPr>
              <w:t xml:space="preserve"> (2020)</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 xml:space="preserve">General Allocation Fund and Budget Surplus have a positive influence, while Local Own-Source Revenue has no significant effect on opportunistic budgeting </w:t>
            </w:r>
            <w:proofErr w:type="spellStart"/>
            <w:r w:rsidRPr="00580129">
              <w:rPr>
                <w:rFonts w:ascii="Arial" w:hAnsi="Arial" w:cs="Arial"/>
                <w:sz w:val="20"/>
                <w:szCs w:val="20"/>
                <w:lang w:val="en-ID"/>
              </w:rPr>
              <w:t>behavior</w:t>
            </w:r>
            <w:proofErr w:type="spellEnd"/>
            <w:r w:rsidRPr="00580129">
              <w:rPr>
                <w:rFonts w:ascii="Arial" w:hAnsi="Arial" w:cs="Arial"/>
                <w:sz w:val="20"/>
                <w:szCs w:val="20"/>
                <w:lang w:val="en-ID"/>
              </w:rPr>
              <w:t>.</w:t>
            </w:r>
          </w:p>
        </w:tc>
      </w:tr>
      <w:tr w:rsidR="00580129" w:rsidRPr="00580129" w:rsidTr="00451A41">
        <w:tc>
          <w:tcPr>
            <w:tcW w:w="0" w:type="auto"/>
            <w:hideMark/>
          </w:tcPr>
          <w:p w:rsidR="00580129" w:rsidRPr="00580129" w:rsidRDefault="00580129" w:rsidP="00580129">
            <w:pPr>
              <w:pStyle w:val="Body"/>
              <w:spacing w:after="0"/>
              <w:jc w:val="center"/>
              <w:rPr>
                <w:rFonts w:ascii="Arial" w:hAnsi="Arial" w:cs="Arial"/>
                <w:sz w:val="20"/>
                <w:szCs w:val="20"/>
                <w:lang w:val="en-ID"/>
              </w:rPr>
            </w:pPr>
            <w:proofErr w:type="spellStart"/>
            <w:r w:rsidRPr="00580129">
              <w:rPr>
                <w:rFonts w:ascii="Arial" w:hAnsi="Arial" w:cs="Arial"/>
                <w:sz w:val="20"/>
                <w:szCs w:val="20"/>
                <w:lang w:val="en-ID"/>
              </w:rPr>
              <w:t>Stalebrink</w:t>
            </w:r>
            <w:proofErr w:type="spellEnd"/>
            <w:r w:rsidRPr="00580129">
              <w:rPr>
                <w:rFonts w:ascii="Arial" w:hAnsi="Arial" w:cs="Arial"/>
                <w:sz w:val="20"/>
                <w:szCs w:val="20"/>
                <w:lang w:val="en-ID"/>
              </w:rPr>
              <w:t xml:space="preserve"> &amp; Donatella (2021)</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Opportunistic accounting choices decrease when pension plans are audited by Certified Public Accountants (CPA).</w:t>
            </w:r>
          </w:p>
        </w:tc>
      </w:tr>
      <w:tr w:rsidR="00580129" w:rsidRPr="00580129" w:rsidTr="00451A41">
        <w:tc>
          <w:tcPr>
            <w:tcW w:w="0" w:type="auto"/>
            <w:hideMark/>
          </w:tcPr>
          <w:p w:rsidR="00580129" w:rsidRPr="00580129" w:rsidRDefault="00580129" w:rsidP="00580129">
            <w:pPr>
              <w:pStyle w:val="Body"/>
              <w:spacing w:after="0"/>
              <w:jc w:val="center"/>
              <w:rPr>
                <w:rFonts w:ascii="Arial" w:hAnsi="Arial" w:cs="Arial"/>
                <w:sz w:val="20"/>
                <w:szCs w:val="20"/>
                <w:lang w:val="en-ID"/>
              </w:rPr>
            </w:pPr>
            <w:proofErr w:type="spellStart"/>
            <w:r w:rsidRPr="00580129">
              <w:rPr>
                <w:rFonts w:ascii="Arial" w:hAnsi="Arial" w:cs="Arial"/>
                <w:sz w:val="20"/>
                <w:szCs w:val="20"/>
                <w:lang w:val="en-ID"/>
              </w:rPr>
              <w:t>Ramirio</w:t>
            </w:r>
            <w:proofErr w:type="spellEnd"/>
            <w:r w:rsidRPr="00580129">
              <w:rPr>
                <w:rFonts w:ascii="Arial" w:hAnsi="Arial" w:cs="Arial"/>
                <w:sz w:val="20"/>
                <w:szCs w:val="20"/>
                <w:lang w:val="en-ID"/>
              </w:rPr>
              <w:t xml:space="preserve">, Pereira &amp; </w:t>
            </w:r>
            <w:proofErr w:type="spellStart"/>
            <w:r w:rsidRPr="00580129">
              <w:rPr>
                <w:rFonts w:ascii="Arial" w:hAnsi="Arial" w:cs="Arial"/>
                <w:sz w:val="20"/>
                <w:szCs w:val="20"/>
                <w:lang w:val="en-ID"/>
              </w:rPr>
              <w:t>Alcântara</w:t>
            </w:r>
            <w:proofErr w:type="spellEnd"/>
            <w:r w:rsidRPr="00580129">
              <w:rPr>
                <w:rFonts w:ascii="Arial" w:hAnsi="Arial" w:cs="Arial"/>
                <w:sz w:val="20"/>
                <w:szCs w:val="20"/>
                <w:lang w:val="en-ID"/>
              </w:rPr>
              <w:t xml:space="preserve"> (2021)</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 xml:space="preserve">Electronic bidding mechanisms significantly affect opportunistic </w:t>
            </w:r>
            <w:proofErr w:type="spellStart"/>
            <w:r w:rsidRPr="00580129">
              <w:rPr>
                <w:rFonts w:ascii="Arial" w:hAnsi="Arial" w:cs="Arial"/>
                <w:sz w:val="20"/>
                <w:szCs w:val="20"/>
                <w:lang w:val="en-ID"/>
              </w:rPr>
              <w:t>behavior</w:t>
            </w:r>
            <w:proofErr w:type="spellEnd"/>
            <w:r w:rsidRPr="00580129">
              <w:rPr>
                <w:rFonts w:ascii="Arial" w:hAnsi="Arial" w:cs="Arial"/>
                <w:sz w:val="20"/>
                <w:szCs w:val="20"/>
                <w:lang w:val="en-ID"/>
              </w:rPr>
              <w:t>, with dual effects depending on bidding quality and regulation.</w:t>
            </w:r>
          </w:p>
        </w:tc>
      </w:tr>
      <w:tr w:rsidR="00580129" w:rsidRPr="00580129" w:rsidTr="00451A41">
        <w:tc>
          <w:tcPr>
            <w:tcW w:w="0" w:type="auto"/>
            <w:hideMark/>
          </w:tcPr>
          <w:p w:rsidR="00580129" w:rsidRPr="00580129" w:rsidRDefault="00580129" w:rsidP="00580129">
            <w:pPr>
              <w:pStyle w:val="Body"/>
              <w:spacing w:after="0"/>
              <w:jc w:val="center"/>
              <w:rPr>
                <w:rFonts w:ascii="Arial" w:hAnsi="Arial" w:cs="Arial"/>
                <w:sz w:val="20"/>
                <w:szCs w:val="20"/>
                <w:lang w:val="en-ID"/>
              </w:rPr>
            </w:pPr>
            <w:proofErr w:type="spellStart"/>
            <w:r w:rsidRPr="00580129">
              <w:rPr>
                <w:rFonts w:ascii="Arial" w:hAnsi="Arial" w:cs="Arial"/>
                <w:sz w:val="20"/>
                <w:szCs w:val="20"/>
                <w:lang w:val="en-ID"/>
              </w:rPr>
              <w:t>Dalimunthe</w:t>
            </w:r>
            <w:proofErr w:type="spellEnd"/>
            <w:r w:rsidRPr="00580129">
              <w:rPr>
                <w:rFonts w:ascii="Arial" w:hAnsi="Arial" w:cs="Arial"/>
                <w:sz w:val="20"/>
                <w:szCs w:val="20"/>
                <w:lang w:val="en-ID"/>
              </w:rPr>
              <w:t xml:space="preserve"> (2021)</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 xml:space="preserve">Local Own-Source Revenue and Revenue-Sharing Fund show positive but insignificant effects, while General Allocation Fund and Budget Surplus have positive and significant effects. All variables together significantly influence opportunistic </w:t>
            </w:r>
            <w:proofErr w:type="spellStart"/>
            <w:r w:rsidRPr="00580129">
              <w:rPr>
                <w:rFonts w:ascii="Arial" w:hAnsi="Arial" w:cs="Arial"/>
                <w:sz w:val="20"/>
                <w:szCs w:val="20"/>
                <w:lang w:val="en-ID"/>
              </w:rPr>
              <w:t>behavior</w:t>
            </w:r>
            <w:proofErr w:type="spellEnd"/>
            <w:r w:rsidRPr="00580129">
              <w:rPr>
                <w:rFonts w:ascii="Arial" w:hAnsi="Arial" w:cs="Arial"/>
                <w:sz w:val="20"/>
                <w:szCs w:val="20"/>
                <w:lang w:val="en-ID"/>
              </w:rPr>
              <w:t>.</w:t>
            </w:r>
          </w:p>
        </w:tc>
      </w:tr>
      <w:tr w:rsidR="00580129" w:rsidRPr="00580129" w:rsidTr="00451A41">
        <w:tc>
          <w:tcPr>
            <w:tcW w:w="0" w:type="auto"/>
            <w:hideMark/>
          </w:tcPr>
          <w:p w:rsidR="00580129" w:rsidRPr="00580129" w:rsidRDefault="00580129" w:rsidP="00580129">
            <w:pPr>
              <w:pStyle w:val="Body"/>
              <w:spacing w:after="0"/>
              <w:jc w:val="center"/>
              <w:rPr>
                <w:rFonts w:ascii="Arial" w:hAnsi="Arial" w:cs="Arial"/>
                <w:sz w:val="20"/>
                <w:szCs w:val="20"/>
                <w:lang w:val="en-ID"/>
              </w:rPr>
            </w:pPr>
            <w:proofErr w:type="spellStart"/>
            <w:r w:rsidRPr="00580129">
              <w:rPr>
                <w:rFonts w:ascii="Arial" w:hAnsi="Arial" w:cs="Arial"/>
                <w:sz w:val="20"/>
                <w:szCs w:val="20"/>
                <w:lang w:val="en-ID"/>
              </w:rPr>
              <w:t>Febrianti</w:t>
            </w:r>
            <w:proofErr w:type="spellEnd"/>
            <w:r w:rsidRPr="00580129">
              <w:rPr>
                <w:rFonts w:ascii="Arial" w:hAnsi="Arial" w:cs="Arial"/>
                <w:sz w:val="20"/>
                <w:szCs w:val="20"/>
                <w:lang w:val="en-ID"/>
              </w:rPr>
              <w:t xml:space="preserve"> &amp; </w:t>
            </w:r>
            <w:proofErr w:type="spellStart"/>
            <w:r w:rsidRPr="00580129">
              <w:rPr>
                <w:rFonts w:ascii="Arial" w:hAnsi="Arial" w:cs="Arial"/>
                <w:sz w:val="20"/>
                <w:szCs w:val="20"/>
                <w:lang w:val="en-ID"/>
              </w:rPr>
              <w:t>Suparwati</w:t>
            </w:r>
            <w:proofErr w:type="spellEnd"/>
            <w:r w:rsidRPr="00580129">
              <w:rPr>
                <w:rFonts w:ascii="Arial" w:hAnsi="Arial" w:cs="Arial"/>
                <w:sz w:val="20"/>
                <w:szCs w:val="20"/>
                <w:lang w:val="en-ID"/>
              </w:rPr>
              <w:t xml:space="preserve"> (2021)</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Special Allocation Fund and Budget Surplus have positive and significant effects; Local Own-Source Revenue and Revenue-Sharing Fund have no significant effect. Flypaper Effect has a negative, insignificant relationship.</w:t>
            </w:r>
          </w:p>
        </w:tc>
      </w:tr>
      <w:tr w:rsidR="00580129" w:rsidRPr="00580129" w:rsidTr="00451A41">
        <w:tc>
          <w:tcPr>
            <w:tcW w:w="0" w:type="auto"/>
            <w:hideMark/>
          </w:tcPr>
          <w:p w:rsidR="00580129" w:rsidRPr="00580129" w:rsidRDefault="00580129" w:rsidP="00580129">
            <w:pPr>
              <w:pStyle w:val="Body"/>
              <w:spacing w:after="0"/>
              <w:jc w:val="center"/>
              <w:rPr>
                <w:rFonts w:ascii="Arial" w:hAnsi="Arial" w:cs="Arial"/>
                <w:sz w:val="20"/>
                <w:szCs w:val="20"/>
                <w:lang w:val="en-ID"/>
              </w:rPr>
            </w:pPr>
            <w:proofErr w:type="spellStart"/>
            <w:r w:rsidRPr="00580129">
              <w:rPr>
                <w:rFonts w:ascii="Arial" w:hAnsi="Arial" w:cs="Arial"/>
                <w:sz w:val="20"/>
                <w:szCs w:val="20"/>
                <w:lang w:val="en-ID"/>
              </w:rPr>
              <w:t>Rizki</w:t>
            </w:r>
            <w:proofErr w:type="spellEnd"/>
            <w:r w:rsidRPr="00580129">
              <w:rPr>
                <w:rFonts w:ascii="Arial" w:hAnsi="Arial" w:cs="Arial"/>
                <w:sz w:val="20"/>
                <w:szCs w:val="20"/>
                <w:lang w:val="en-ID"/>
              </w:rPr>
              <w:t xml:space="preserve">, Maria &amp; </w:t>
            </w:r>
            <w:proofErr w:type="spellStart"/>
            <w:r w:rsidRPr="00580129">
              <w:rPr>
                <w:rFonts w:ascii="Arial" w:hAnsi="Arial" w:cs="Arial"/>
                <w:sz w:val="20"/>
                <w:szCs w:val="20"/>
                <w:lang w:val="en-ID"/>
              </w:rPr>
              <w:t>Sarikadarwati</w:t>
            </w:r>
            <w:proofErr w:type="spellEnd"/>
            <w:r w:rsidRPr="00580129">
              <w:rPr>
                <w:rFonts w:ascii="Arial" w:hAnsi="Arial" w:cs="Arial"/>
                <w:sz w:val="20"/>
                <w:szCs w:val="20"/>
                <w:lang w:val="en-ID"/>
              </w:rPr>
              <w:t xml:space="preserve"> (2023)</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 xml:space="preserve">Only Local Own-Source Revenue significantly affects opportunistic </w:t>
            </w:r>
            <w:proofErr w:type="spellStart"/>
            <w:r w:rsidRPr="00580129">
              <w:rPr>
                <w:rFonts w:ascii="Arial" w:hAnsi="Arial" w:cs="Arial"/>
                <w:sz w:val="20"/>
                <w:szCs w:val="20"/>
                <w:lang w:val="en-ID"/>
              </w:rPr>
              <w:t>behavior</w:t>
            </w:r>
            <w:proofErr w:type="spellEnd"/>
            <w:r w:rsidRPr="00580129">
              <w:rPr>
                <w:rFonts w:ascii="Arial" w:hAnsi="Arial" w:cs="Arial"/>
                <w:sz w:val="20"/>
                <w:szCs w:val="20"/>
                <w:lang w:val="en-ID"/>
              </w:rPr>
              <w:t xml:space="preserve">. However, all three variables collectively influence opportunistic </w:t>
            </w:r>
            <w:proofErr w:type="spellStart"/>
            <w:r w:rsidRPr="00580129">
              <w:rPr>
                <w:rFonts w:ascii="Arial" w:hAnsi="Arial" w:cs="Arial"/>
                <w:sz w:val="20"/>
                <w:szCs w:val="20"/>
                <w:lang w:val="en-ID"/>
              </w:rPr>
              <w:t>behavior</w:t>
            </w:r>
            <w:proofErr w:type="spellEnd"/>
            <w:r w:rsidRPr="00580129">
              <w:rPr>
                <w:rFonts w:ascii="Arial" w:hAnsi="Arial" w:cs="Arial"/>
                <w:sz w:val="20"/>
                <w:szCs w:val="20"/>
                <w:lang w:val="en-ID"/>
              </w:rPr>
              <w:t xml:space="preserve"> at the provincial level.</w:t>
            </w:r>
          </w:p>
        </w:tc>
      </w:tr>
      <w:tr w:rsidR="00580129" w:rsidRPr="00580129" w:rsidTr="00451A41">
        <w:tc>
          <w:tcPr>
            <w:tcW w:w="0" w:type="auto"/>
            <w:hideMark/>
          </w:tcPr>
          <w:p w:rsidR="00580129" w:rsidRPr="00580129" w:rsidRDefault="00580129" w:rsidP="00580129">
            <w:pPr>
              <w:pStyle w:val="Body"/>
              <w:spacing w:after="0"/>
              <w:jc w:val="center"/>
              <w:rPr>
                <w:rFonts w:ascii="Arial" w:hAnsi="Arial" w:cs="Arial"/>
                <w:sz w:val="20"/>
                <w:szCs w:val="20"/>
                <w:lang w:val="en-ID"/>
              </w:rPr>
            </w:pPr>
            <w:r w:rsidRPr="00580129">
              <w:rPr>
                <w:rFonts w:ascii="Arial" w:hAnsi="Arial" w:cs="Arial"/>
                <w:sz w:val="20"/>
                <w:szCs w:val="20"/>
                <w:lang w:val="en-ID"/>
              </w:rPr>
              <w:t xml:space="preserve">Bracco, De Benedetto &amp; </w:t>
            </w:r>
            <w:proofErr w:type="spellStart"/>
            <w:r w:rsidRPr="00580129">
              <w:rPr>
                <w:rFonts w:ascii="Arial" w:hAnsi="Arial" w:cs="Arial"/>
                <w:sz w:val="20"/>
                <w:szCs w:val="20"/>
                <w:lang w:val="en-ID"/>
              </w:rPr>
              <w:t>Lisciandra</w:t>
            </w:r>
            <w:proofErr w:type="spellEnd"/>
            <w:r w:rsidRPr="00580129">
              <w:rPr>
                <w:rFonts w:ascii="Arial" w:hAnsi="Arial" w:cs="Arial"/>
                <w:sz w:val="20"/>
                <w:szCs w:val="20"/>
                <w:lang w:val="en-ID"/>
              </w:rPr>
              <w:t xml:space="preserve"> (2024)</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Local revenue has a positive influence, with manipulation occurring through reducing revenue from waste management services and property taxes.</w:t>
            </w:r>
          </w:p>
        </w:tc>
      </w:tr>
      <w:tr w:rsidR="00580129" w:rsidRPr="00580129" w:rsidTr="00451A41">
        <w:tc>
          <w:tcPr>
            <w:tcW w:w="0" w:type="auto"/>
            <w:hideMark/>
          </w:tcPr>
          <w:p w:rsidR="00580129" w:rsidRPr="00580129" w:rsidRDefault="00580129" w:rsidP="00580129">
            <w:pPr>
              <w:pStyle w:val="Body"/>
              <w:spacing w:after="0"/>
              <w:jc w:val="center"/>
              <w:rPr>
                <w:rFonts w:ascii="Arial" w:hAnsi="Arial" w:cs="Arial"/>
                <w:sz w:val="20"/>
                <w:szCs w:val="20"/>
                <w:lang w:val="en-ID"/>
              </w:rPr>
            </w:pPr>
            <w:proofErr w:type="spellStart"/>
            <w:r w:rsidRPr="00580129">
              <w:rPr>
                <w:rFonts w:ascii="Arial" w:hAnsi="Arial" w:cs="Arial"/>
                <w:sz w:val="20"/>
                <w:szCs w:val="20"/>
                <w:lang w:val="en-ID"/>
              </w:rPr>
              <w:t>Ramadini</w:t>
            </w:r>
            <w:proofErr w:type="spellEnd"/>
            <w:r w:rsidRPr="00580129">
              <w:rPr>
                <w:rFonts w:ascii="Arial" w:hAnsi="Arial" w:cs="Arial"/>
                <w:sz w:val="20"/>
                <w:szCs w:val="20"/>
                <w:lang w:val="en-ID"/>
              </w:rPr>
              <w:t xml:space="preserve"> &amp; </w:t>
            </w:r>
            <w:proofErr w:type="spellStart"/>
            <w:r w:rsidRPr="00580129">
              <w:rPr>
                <w:rFonts w:ascii="Arial" w:hAnsi="Arial" w:cs="Arial"/>
                <w:sz w:val="20"/>
                <w:szCs w:val="20"/>
                <w:lang w:val="en-ID"/>
              </w:rPr>
              <w:t>Sarwani</w:t>
            </w:r>
            <w:proofErr w:type="spellEnd"/>
            <w:r w:rsidRPr="00580129">
              <w:rPr>
                <w:rFonts w:ascii="Arial" w:hAnsi="Arial" w:cs="Arial"/>
                <w:sz w:val="20"/>
                <w:szCs w:val="20"/>
                <w:lang w:val="en-ID"/>
              </w:rPr>
              <w:t xml:space="preserve"> (2024)</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 xml:space="preserve">Only the Special Allocation Fund significantly affects opportunistic budgeting </w:t>
            </w:r>
            <w:proofErr w:type="spellStart"/>
            <w:r w:rsidRPr="00580129">
              <w:rPr>
                <w:rFonts w:ascii="Arial" w:hAnsi="Arial" w:cs="Arial"/>
                <w:sz w:val="20"/>
                <w:szCs w:val="20"/>
                <w:lang w:val="en-ID"/>
              </w:rPr>
              <w:t>behavior</w:t>
            </w:r>
            <w:proofErr w:type="spellEnd"/>
            <w:r w:rsidRPr="00580129">
              <w:rPr>
                <w:rFonts w:ascii="Arial" w:hAnsi="Arial" w:cs="Arial"/>
                <w:sz w:val="20"/>
                <w:szCs w:val="20"/>
                <w:lang w:val="en-ID"/>
              </w:rPr>
              <w:t>.</w:t>
            </w:r>
          </w:p>
        </w:tc>
      </w:tr>
      <w:tr w:rsidR="00580129" w:rsidRPr="00580129" w:rsidTr="00451A41">
        <w:tc>
          <w:tcPr>
            <w:tcW w:w="0" w:type="auto"/>
            <w:hideMark/>
          </w:tcPr>
          <w:p w:rsidR="00580129" w:rsidRPr="00580129" w:rsidRDefault="00580129" w:rsidP="00580129">
            <w:pPr>
              <w:pStyle w:val="Body"/>
              <w:spacing w:after="0"/>
              <w:jc w:val="center"/>
              <w:rPr>
                <w:rFonts w:ascii="Arial" w:hAnsi="Arial" w:cs="Arial"/>
                <w:sz w:val="20"/>
                <w:szCs w:val="20"/>
                <w:lang w:val="en-ID"/>
              </w:rPr>
            </w:pPr>
            <w:proofErr w:type="spellStart"/>
            <w:r w:rsidRPr="00580129">
              <w:rPr>
                <w:rFonts w:ascii="Arial" w:hAnsi="Arial" w:cs="Arial"/>
                <w:sz w:val="20"/>
                <w:szCs w:val="20"/>
                <w:lang w:val="en-ID"/>
              </w:rPr>
              <w:t>Syahrani</w:t>
            </w:r>
            <w:proofErr w:type="spellEnd"/>
            <w:r w:rsidRPr="00580129">
              <w:rPr>
                <w:rFonts w:ascii="Arial" w:hAnsi="Arial" w:cs="Arial"/>
                <w:sz w:val="20"/>
                <w:szCs w:val="20"/>
                <w:lang w:val="en-ID"/>
              </w:rPr>
              <w:t xml:space="preserve">, </w:t>
            </w:r>
            <w:proofErr w:type="spellStart"/>
            <w:r w:rsidRPr="00580129">
              <w:rPr>
                <w:rFonts w:ascii="Arial" w:hAnsi="Arial" w:cs="Arial"/>
                <w:sz w:val="20"/>
                <w:szCs w:val="20"/>
                <w:lang w:val="en-ID"/>
              </w:rPr>
              <w:t>Fithri</w:t>
            </w:r>
            <w:proofErr w:type="spellEnd"/>
            <w:r w:rsidRPr="00580129">
              <w:rPr>
                <w:rFonts w:ascii="Arial" w:hAnsi="Arial" w:cs="Arial"/>
                <w:sz w:val="20"/>
                <w:szCs w:val="20"/>
                <w:lang w:val="en-ID"/>
              </w:rPr>
              <w:t xml:space="preserve"> &amp; Sari (2025)</w:t>
            </w:r>
          </w:p>
        </w:tc>
        <w:tc>
          <w:tcPr>
            <w:tcW w:w="0" w:type="auto"/>
            <w:hideMark/>
          </w:tcPr>
          <w:p w:rsidR="00580129" w:rsidRPr="00580129" w:rsidRDefault="00580129" w:rsidP="00580129">
            <w:pPr>
              <w:pStyle w:val="Body"/>
              <w:spacing w:after="0"/>
              <w:rPr>
                <w:rFonts w:ascii="Arial" w:hAnsi="Arial" w:cs="Arial"/>
                <w:sz w:val="20"/>
                <w:szCs w:val="20"/>
                <w:lang w:val="en-ID"/>
              </w:rPr>
            </w:pPr>
            <w:r w:rsidRPr="00580129">
              <w:rPr>
                <w:rFonts w:ascii="Arial" w:hAnsi="Arial" w:cs="Arial"/>
                <w:sz w:val="20"/>
                <w:szCs w:val="20"/>
                <w:lang w:val="en-ID"/>
              </w:rPr>
              <w:t xml:space="preserve">Local Own-Source Revenue and Special Allocation Fund have positive effects, while General Allocation Fund has no effect. All variables together positively influence opportunistic </w:t>
            </w:r>
            <w:proofErr w:type="spellStart"/>
            <w:r w:rsidRPr="00580129">
              <w:rPr>
                <w:rFonts w:ascii="Arial" w:hAnsi="Arial" w:cs="Arial"/>
                <w:sz w:val="20"/>
                <w:szCs w:val="20"/>
                <w:lang w:val="en-ID"/>
              </w:rPr>
              <w:t>behavior</w:t>
            </w:r>
            <w:proofErr w:type="spellEnd"/>
            <w:r w:rsidRPr="00580129">
              <w:rPr>
                <w:rFonts w:ascii="Arial" w:hAnsi="Arial" w:cs="Arial"/>
                <w:sz w:val="20"/>
                <w:szCs w:val="20"/>
                <w:lang w:val="en-ID"/>
              </w:rPr>
              <w:t>.</w:t>
            </w:r>
          </w:p>
        </w:tc>
      </w:tr>
    </w:tbl>
    <w:p w:rsidR="00580129" w:rsidRPr="00580129" w:rsidRDefault="00580129" w:rsidP="00580129">
      <w:pPr>
        <w:pStyle w:val="Body"/>
        <w:rPr>
          <w:rFonts w:ascii="Arial" w:hAnsi="Arial" w:cs="Arial"/>
          <w:lang w:val="id-ID"/>
        </w:rPr>
      </w:pPr>
    </w:p>
    <w:p w:rsidR="00580129" w:rsidRPr="00580129" w:rsidRDefault="00580129" w:rsidP="00580129">
      <w:pPr>
        <w:pStyle w:val="Body"/>
        <w:rPr>
          <w:rFonts w:ascii="Arial" w:hAnsi="Arial" w:cs="Arial"/>
          <w:lang w:val="id-ID"/>
        </w:rPr>
      </w:pPr>
      <w:r w:rsidRPr="00580129">
        <w:rPr>
          <w:rFonts w:ascii="Arial" w:hAnsi="Arial" w:cs="Arial"/>
          <w:lang w:val="id-ID"/>
        </w:rPr>
        <w:t>Several studies highlight the role of intergovernmental transfers—particularly the General Allocation Fund and Special Allocation Fund—as consistent triggers of opportunistic actions in budget formulation, where increased funding often encourages strategic manipulation. Budget Surplus is also frequently associated with higher opportunistic tendencies, suggesting that excess fiscal space may incentivize governments to adjust expenditures for non-prioritized or politically motivated purposes. In contrast, Local Own-Source Revenue shows mixed results; some studies report significant effects, while others find no meaningful relationship, indicating that fiscal autonomy does not always correspond to opportunistic practices.</w:t>
      </w:r>
    </w:p>
    <w:p w:rsidR="00580129" w:rsidRPr="00580129" w:rsidRDefault="00580129" w:rsidP="00580129">
      <w:pPr>
        <w:pStyle w:val="Body"/>
        <w:rPr>
          <w:rFonts w:ascii="Arial" w:hAnsi="Arial" w:cs="Arial"/>
          <w:lang w:val="id-ID"/>
        </w:rPr>
      </w:pPr>
      <w:r w:rsidRPr="00580129">
        <w:rPr>
          <w:rFonts w:ascii="Arial" w:hAnsi="Arial" w:cs="Arial"/>
          <w:lang w:val="id-ID"/>
        </w:rPr>
        <w:t>Beyond fiscal variables, other studies underscore the influence of institutional oversight and procedural mechanisms. Audits conducted by professional auditors, such as Certified Public Accountants, are shown to reduce manipulative accounting choices, demonstrating the importance of external monitoring. Research in the procurement domain shows that electronic bidding systems can both suppress and enable opportunistic supplier behavior, depending on the quality of implementation and regulatory strength. Additionally, manipulation of revenue components, such as waste management fees and property taxes, is observed in certain contexts, especially during political cycles. Collectively, these findings illustrate that opportunistic behavior emerges through a combination of financial incentives, institutional weaknesses, and strategic political considerations.</w:t>
      </w:r>
    </w:p>
    <w:p w:rsidR="00580129" w:rsidRPr="00580129" w:rsidRDefault="00580129" w:rsidP="00F542C8">
      <w:pPr>
        <w:pStyle w:val="Body"/>
        <w:numPr>
          <w:ilvl w:val="1"/>
          <w:numId w:val="32"/>
        </w:numPr>
        <w:rPr>
          <w:rFonts w:ascii="Arial" w:hAnsi="Arial" w:cs="Arial"/>
          <w:b/>
          <w:bCs/>
          <w:lang w:val="en-ID"/>
        </w:rPr>
      </w:pPr>
      <w:r w:rsidRPr="00580129">
        <w:rPr>
          <w:rFonts w:ascii="Arial" w:hAnsi="Arial" w:cs="Arial"/>
          <w:b/>
          <w:bCs/>
          <w:lang w:val="en-ID"/>
        </w:rPr>
        <w:lastRenderedPageBreak/>
        <w:t>Local Government Fiscal Capacity and Opportunistic Budgeting</w:t>
      </w:r>
    </w:p>
    <w:p w:rsidR="00580129" w:rsidRPr="00580129" w:rsidRDefault="001D0FA9" w:rsidP="00580129">
      <w:pPr>
        <w:pStyle w:val="Body"/>
        <w:rPr>
          <w:rFonts w:ascii="Arial" w:hAnsi="Arial" w:cs="Arial"/>
          <w:lang w:val="en-ID"/>
        </w:rPr>
      </w:pPr>
      <w:r w:rsidRPr="001D0FA9">
        <w:rPr>
          <w:rFonts w:ascii="Arial" w:hAnsi="Arial" w:cs="Arial"/>
          <w:lang w:val="en-ID"/>
        </w:rPr>
        <w:t xml:space="preserve">Several studies highlight that local fiscal capacity, particularly revenue generated from local-own-source income, shapes the degree of opportunistic </w:t>
      </w:r>
      <w:proofErr w:type="spellStart"/>
      <w:r w:rsidRPr="001D0FA9">
        <w:rPr>
          <w:rFonts w:ascii="Arial" w:hAnsi="Arial" w:cs="Arial"/>
          <w:lang w:val="en-ID"/>
        </w:rPr>
        <w:t>behavior</w:t>
      </w:r>
      <w:proofErr w:type="spellEnd"/>
      <w:r w:rsidRPr="001D0FA9">
        <w:rPr>
          <w:rFonts w:ascii="Arial" w:hAnsi="Arial" w:cs="Arial"/>
          <w:lang w:val="en-ID"/>
        </w:rPr>
        <w:t xml:space="preserve">. For example, </w:t>
      </w:r>
      <w:proofErr w:type="spellStart"/>
      <w:r w:rsidRPr="001D0FA9">
        <w:rPr>
          <w:rFonts w:ascii="Arial" w:hAnsi="Arial" w:cs="Arial"/>
          <w:lang w:val="en-ID"/>
        </w:rPr>
        <w:t>Syahrani</w:t>
      </w:r>
      <w:proofErr w:type="spellEnd"/>
      <w:r w:rsidRPr="001D0FA9">
        <w:rPr>
          <w:rFonts w:ascii="Arial" w:hAnsi="Arial" w:cs="Arial"/>
          <w:lang w:val="en-ID"/>
        </w:rPr>
        <w:t xml:space="preserve">, </w:t>
      </w:r>
      <w:proofErr w:type="spellStart"/>
      <w:r w:rsidRPr="001D0FA9">
        <w:rPr>
          <w:rFonts w:ascii="Arial" w:hAnsi="Arial" w:cs="Arial"/>
          <w:lang w:val="en-ID"/>
        </w:rPr>
        <w:t>Fithri</w:t>
      </w:r>
      <w:proofErr w:type="spellEnd"/>
      <w:r w:rsidRPr="001D0FA9">
        <w:rPr>
          <w:rFonts w:ascii="Arial" w:hAnsi="Arial" w:cs="Arial"/>
          <w:lang w:val="en-ID"/>
        </w:rPr>
        <w:t xml:space="preserve"> &amp; Sari (2025) show that regions with higher fiscal independence tend to increase visible public expenditures as a strategic effort to gain voter support. Reinforcing this view, Ulla Ramadini and Sarwani (2024) identify that fiscal capacity stands as a primary determinant of opportunistic </w:t>
      </w:r>
      <w:proofErr w:type="spellStart"/>
      <w:r w:rsidRPr="001D0FA9">
        <w:rPr>
          <w:rFonts w:ascii="Arial" w:hAnsi="Arial" w:cs="Arial"/>
          <w:lang w:val="en-ID"/>
        </w:rPr>
        <w:t>behavior</w:t>
      </w:r>
      <w:proofErr w:type="spellEnd"/>
      <w:r w:rsidRPr="001D0FA9">
        <w:rPr>
          <w:rFonts w:ascii="Arial" w:hAnsi="Arial" w:cs="Arial"/>
          <w:lang w:val="en-ID"/>
        </w:rPr>
        <w:t>, where high local revenue acts as a discretionary resource that reduces reliance on central oversight. Similarly, Wijaya &amp; Rahmawati (2023) emphasize that stronger revenue capacity provides incumbents with greater discretion. This aligns with the broader observation by Bracco et al. (2024), who note that incumbents often find it strategically advantageous to manipulate revenue forecasts—rather than just expenditures—to create fiscal space that serves their electoral narratives. However, contrasting findings by Putri &amp; Ananda (2022) suggest that higher revenue may correlate with improved transparency, indicating that institutional strength significantly moderates this relationship.</w:t>
      </w:r>
    </w:p>
    <w:p w:rsidR="00580129" w:rsidRPr="00580129" w:rsidRDefault="00580129" w:rsidP="00F542C8">
      <w:pPr>
        <w:pStyle w:val="Body"/>
        <w:numPr>
          <w:ilvl w:val="1"/>
          <w:numId w:val="32"/>
        </w:numPr>
        <w:rPr>
          <w:rFonts w:ascii="Arial" w:hAnsi="Arial" w:cs="Arial"/>
          <w:b/>
          <w:bCs/>
          <w:lang w:val="en-ID"/>
        </w:rPr>
      </w:pPr>
      <w:r w:rsidRPr="00580129">
        <w:rPr>
          <w:rFonts w:ascii="Arial" w:hAnsi="Arial" w:cs="Arial"/>
          <w:b/>
          <w:bCs/>
          <w:lang w:val="en-ID"/>
        </w:rPr>
        <w:t>Central Government Transfers and Political Incentives</w:t>
      </w:r>
    </w:p>
    <w:p w:rsidR="00580129" w:rsidRPr="00580129" w:rsidRDefault="005A7B69" w:rsidP="00580129">
      <w:pPr>
        <w:pStyle w:val="Body"/>
        <w:rPr>
          <w:rFonts w:ascii="Arial" w:hAnsi="Arial" w:cs="Arial"/>
          <w:lang w:val="en-ID"/>
        </w:rPr>
      </w:pPr>
      <w:r w:rsidRPr="005A7B69">
        <w:rPr>
          <w:rFonts w:ascii="Arial" w:hAnsi="Arial" w:cs="Arial"/>
          <w:lang w:val="en-ID"/>
        </w:rPr>
        <w:t xml:space="preserve">Central government transfers such as special-purpose funds and revenue-sharing funds also influence fiscal </w:t>
      </w:r>
      <w:proofErr w:type="spellStart"/>
      <w:r w:rsidRPr="005A7B69">
        <w:rPr>
          <w:rFonts w:ascii="Arial" w:hAnsi="Arial" w:cs="Arial"/>
          <w:lang w:val="en-ID"/>
        </w:rPr>
        <w:t>behavior</w:t>
      </w:r>
      <w:proofErr w:type="spellEnd"/>
      <w:r w:rsidRPr="005A7B69">
        <w:rPr>
          <w:rFonts w:ascii="Arial" w:hAnsi="Arial" w:cs="Arial"/>
          <w:lang w:val="en-ID"/>
        </w:rPr>
        <w:t xml:space="preserve">. Hidayat &amp; Lestari (2021) report that higher transfers increase fiscal space and create opportunities for incumbents to direct spending toward politically attractive programs. This phenomenon can be understood through a politico-economic lens similar to </w:t>
      </w:r>
      <w:proofErr w:type="spellStart"/>
      <w:r w:rsidRPr="005A7B69">
        <w:rPr>
          <w:rFonts w:ascii="Arial" w:hAnsi="Arial" w:cs="Arial"/>
          <w:lang w:val="en-ID"/>
        </w:rPr>
        <w:t>Stalebrink</w:t>
      </w:r>
      <w:proofErr w:type="spellEnd"/>
      <w:r w:rsidRPr="005A7B69">
        <w:rPr>
          <w:rFonts w:ascii="Arial" w:hAnsi="Arial" w:cs="Arial"/>
          <w:lang w:val="en-ID"/>
        </w:rPr>
        <w:t xml:space="preserve"> and Donatella (2021), who argue that in public sector governance, accounting choices and fund management are rarely neutral; they are deliberately crafted to balance fiscal constraints with the need for political survival. In line with this, Siregar &amp; Malik (2023) show that election periods often coincide with a rise in grant-type expenditures funded by transfers. However, Anggraini, Yusuf &amp; Hartono (2024) argue that strict earmarking rules limit manipulation. Therefore, while transfers may encourage opportunistic budgeting, their effect depends heavily on the rigidity of the transfer mechanisms and the political motives behind their allocation.</w:t>
      </w:r>
    </w:p>
    <w:p w:rsidR="00580129" w:rsidRPr="00580129" w:rsidRDefault="00580129" w:rsidP="00F542C8">
      <w:pPr>
        <w:pStyle w:val="Body"/>
        <w:numPr>
          <w:ilvl w:val="1"/>
          <w:numId w:val="32"/>
        </w:numPr>
        <w:rPr>
          <w:rFonts w:ascii="Arial" w:hAnsi="Arial" w:cs="Arial"/>
          <w:b/>
          <w:bCs/>
          <w:lang w:val="en-ID"/>
        </w:rPr>
      </w:pPr>
      <w:r w:rsidRPr="00580129">
        <w:rPr>
          <w:rFonts w:ascii="Arial" w:hAnsi="Arial" w:cs="Arial"/>
          <w:b/>
          <w:bCs/>
          <w:lang w:val="en-ID"/>
        </w:rPr>
        <w:t xml:space="preserve">The Flypaper Effect and Its Implications for Budget </w:t>
      </w:r>
      <w:proofErr w:type="spellStart"/>
      <w:r w:rsidRPr="00580129">
        <w:rPr>
          <w:rFonts w:ascii="Arial" w:hAnsi="Arial" w:cs="Arial"/>
          <w:b/>
          <w:bCs/>
          <w:lang w:val="en-ID"/>
        </w:rPr>
        <w:t>Behavior</w:t>
      </w:r>
      <w:proofErr w:type="spellEnd"/>
    </w:p>
    <w:p w:rsidR="008E75A0" w:rsidRPr="008E75A0" w:rsidRDefault="008E75A0" w:rsidP="008E75A0">
      <w:pPr>
        <w:pStyle w:val="Body"/>
        <w:rPr>
          <w:rFonts w:ascii="Arial" w:hAnsi="Arial" w:cs="Arial"/>
          <w:lang w:val="en-ID"/>
        </w:rPr>
      </w:pPr>
      <w:r w:rsidRPr="008E75A0">
        <w:rPr>
          <w:rFonts w:ascii="Arial" w:hAnsi="Arial" w:cs="Arial"/>
          <w:lang w:val="en-ID"/>
        </w:rPr>
        <w:t xml:space="preserve">The flypaper effect continues to be one of the most persistent phenomena shaping local fiscal </w:t>
      </w:r>
      <w:proofErr w:type="spellStart"/>
      <w:r w:rsidRPr="008E75A0">
        <w:rPr>
          <w:rFonts w:ascii="Arial" w:hAnsi="Arial" w:cs="Arial"/>
          <w:lang w:val="en-ID"/>
        </w:rPr>
        <w:t>behavior</w:t>
      </w:r>
      <w:proofErr w:type="spellEnd"/>
      <w:r w:rsidRPr="008E75A0">
        <w:rPr>
          <w:rFonts w:ascii="Arial" w:hAnsi="Arial" w:cs="Arial"/>
          <w:lang w:val="en-ID"/>
        </w:rPr>
        <w:t xml:space="preserve">, particularly in decentralized systems such as Indonesia’s. </w:t>
      </w:r>
      <w:proofErr w:type="spellStart"/>
      <w:r w:rsidRPr="008E75A0">
        <w:rPr>
          <w:rFonts w:ascii="Arial" w:hAnsi="Arial" w:cs="Arial"/>
          <w:lang w:val="en-ID"/>
        </w:rPr>
        <w:t>Nugraha</w:t>
      </w:r>
      <w:proofErr w:type="spellEnd"/>
      <w:r w:rsidRPr="008E75A0">
        <w:rPr>
          <w:rFonts w:ascii="Arial" w:hAnsi="Arial" w:cs="Arial"/>
          <w:lang w:val="en-ID"/>
        </w:rPr>
        <w:t xml:space="preserve"> &amp; </w:t>
      </w:r>
      <w:proofErr w:type="spellStart"/>
      <w:r w:rsidRPr="008E75A0">
        <w:rPr>
          <w:rFonts w:ascii="Arial" w:hAnsi="Arial" w:cs="Arial"/>
          <w:lang w:val="en-ID"/>
        </w:rPr>
        <w:t>Sulastri</w:t>
      </w:r>
      <w:proofErr w:type="spellEnd"/>
      <w:r w:rsidRPr="008E75A0">
        <w:rPr>
          <w:rFonts w:ascii="Arial" w:hAnsi="Arial" w:cs="Arial"/>
          <w:lang w:val="en-ID"/>
        </w:rPr>
        <w:t xml:space="preserve"> (2020) describe this tendency as a structural bias in which local governments allocate central transfer funds more readily than locally generated revenue (PAD). This preference reflects a fiscal illusion—local policymakers perceive transfer funds as “less costly” politically because they do not require direct tax extraction from citizens. As a result, expenditure decisions become increasingly dependent on external funds</w:t>
      </w:r>
      <w:r>
        <w:rPr>
          <w:rFonts w:ascii="Arial" w:hAnsi="Arial" w:cs="Arial"/>
          <w:lang w:val="en-ID"/>
        </w:rPr>
        <w:t xml:space="preserve">. </w:t>
      </w:r>
      <w:proofErr w:type="spellStart"/>
      <w:r w:rsidR="009D211B">
        <w:rPr>
          <w:rFonts w:ascii="Arial" w:hAnsi="Arial" w:cs="Arial"/>
          <w:lang w:val="en-ID"/>
        </w:rPr>
        <w:t>Sitomorang</w:t>
      </w:r>
      <w:proofErr w:type="spellEnd"/>
      <w:r w:rsidR="009D211B">
        <w:rPr>
          <w:rFonts w:ascii="Arial" w:hAnsi="Arial" w:cs="Arial"/>
          <w:lang w:val="en-ID"/>
        </w:rPr>
        <w:t xml:space="preserve"> </w:t>
      </w:r>
      <w:r w:rsidRPr="008E75A0">
        <w:rPr>
          <w:rFonts w:ascii="Arial" w:hAnsi="Arial" w:cs="Arial"/>
          <w:lang w:val="en-ID"/>
        </w:rPr>
        <w:t xml:space="preserve">(2023) strengthen this argument by showing that </w:t>
      </w:r>
      <w:r w:rsidR="009D211B">
        <w:t>the flypaper effect can occur because transfers from the central government will increase the consumption of public goods and will not impact the substitution of local taxes, leading local governments to be more involved with regional spending rather than striving to maximize their regional original revenue</w:t>
      </w:r>
      <w:r w:rsidRPr="008E75A0">
        <w:rPr>
          <w:rFonts w:ascii="Arial" w:hAnsi="Arial" w:cs="Arial"/>
          <w:lang w:val="en-ID"/>
        </w:rPr>
        <w:t>. Incumbents strategically direct transfer-based spending toward visible public programs, especially those with electoral appeal, such as infrastructure upgrades or social assistance. This suggests that transfer funds are not merely fiscal instruments but also political assets that can be mobilized to secure voter support.</w:t>
      </w:r>
    </w:p>
    <w:p w:rsidR="00DA6E65" w:rsidRDefault="008E75A0" w:rsidP="008E75A0">
      <w:pPr>
        <w:pStyle w:val="Body"/>
        <w:rPr>
          <w:rFonts w:ascii="Arial" w:hAnsi="Arial" w:cs="Arial"/>
          <w:lang w:val="en-ID"/>
        </w:rPr>
      </w:pPr>
      <w:r w:rsidRPr="008E75A0">
        <w:rPr>
          <w:rFonts w:ascii="Arial" w:hAnsi="Arial" w:cs="Arial"/>
          <w:lang w:val="en-ID"/>
        </w:rPr>
        <w:t>The presence of the flypaper effect also has implications for accountability dynamics. Because funding originates from the central government rather than taxpayers, local citizens exert weaker pressure for efficiency and oversight. This aligns with the broader findings of Oates (1979) and Hines &amp; Thaler (1995), who argue that intergovernmental transfers can distort fiscal responsibility by reducing the perceived connection between taxation and spending. In the Indonesian context, this dynamic weakens incentive structures for performance-based budgeting and allows inefficiencies or opportunistic allocations to go unchecked.</w:t>
      </w:r>
      <w:r>
        <w:rPr>
          <w:rFonts w:ascii="Arial" w:hAnsi="Arial" w:cs="Arial"/>
          <w:lang w:val="en-ID"/>
        </w:rPr>
        <w:t xml:space="preserve"> </w:t>
      </w:r>
      <w:r w:rsidRPr="008E75A0">
        <w:rPr>
          <w:rFonts w:ascii="Arial" w:hAnsi="Arial" w:cs="Arial"/>
          <w:lang w:val="en-ID"/>
        </w:rPr>
        <w:t xml:space="preserve">Recent studies further show that the flypaper effect persists despite reforms aimed at improving fiscal capacity. For instance, </w:t>
      </w:r>
      <w:proofErr w:type="spellStart"/>
      <w:r w:rsidR="005F6266">
        <w:rPr>
          <w:rFonts w:ascii="Arial" w:hAnsi="Arial" w:cs="Arial"/>
          <w:lang w:val="en-ID"/>
        </w:rPr>
        <w:t>Syukri</w:t>
      </w:r>
      <w:proofErr w:type="spellEnd"/>
      <w:r w:rsidR="005F6266">
        <w:rPr>
          <w:rFonts w:ascii="Arial" w:hAnsi="Arial" w:cs="Arial"/>
          <w:lang w:val="en-ID"/>
        </w:rPr>
        <w:t xml:space="preserve"> et al.,</w:t>
      </w:r>
      <w:r w:rsidRPr="008E75A0">
        <w:rPr>
          <w:rFonts w:ascii="Arial" w:hAnsi="Arial" w:cs="Arial"/>
          <w:lang w:val="en-ID"/>
        </w:rPr>
        <w:t xml:space="preserve"> (</w:t>
      </w:r>
      <w:r w:rsidR="005F6266">
        <w:rPr>
          <w:rFonts w:ascii="Arial" w:hAnsi="Arial" w:cs="Arial"/>
          <w:lang w:val="en-ID"/>
        </w:rPr>
        <w:t>2025</w:t>
      </w:r>
      <w:r w:rsidRPr="008E75A0">
        <w:rPr>
          <w:rFonts w:ascii="Arial" w:hAnsi="Arial" w:cs="Arial"/>
          <w:lang w:val="en-ID"/>
        </w:rPr>
        <w:t xml:space="preserve">) finds that even regions with strong PAD growth continue to exhibit high transfer dependency, indicating that </w:t>
      </w:r>
      <w:proofErr w:type="spellStart"/>
      <w:r w:rsidRPr="008E75A0">
        <w:rPr>
          <w:rFonts w:ascii="Arial" w:hAnsi="Arial" w:cs="Arial"/>
          <w:lang w:val="en-ID"/>
        </w:rPr>
        <w:t>behavioral</w:t>
      </w:r>
      <w:proofErr w:type="spellEnd"/>
      <w:r w:rsidRPr="008E75A0">
        <w:rPr>
          <w:rFonts w:ascii="Arial" w:hAnsi="Arial" w:cs="Arial"/>
          <w:lang w:val="en-ID"/>
        </w:rPr>
        <w:t xml:space="preserve"> inertia and political incentives may override improvements in fiscal autonomy. Consequently, the flypaper effect not only reflects structural reliance on central funding but also amplifies its political value, creating a fertile ground for opportunistic fiscal practices—especially as election cycles approach.</w:t>
      </w:r>
    </w:p>
    <w:p w:rsidR="00580129" w:rsidRPr="00580129" w:rsidRDefault="00580129" w:rsidP="00F542C8">
      <w:pPr>
        <w:pStyle w:val="Body"/>
        <w:numPr>
          <w:ilvl w:val="1"/>
          <w:numId w:val="32"/>
        </w:numPr>
        <w:rPr>
          <w:rFonts w:ascii="Arial" w:hAnsi="Arial" w:cs="Arial"/>
          <w:b/>
          <w:bCs/>
          <w:lang w:val="en-ID"/>
        </w:rPr>
      </w:pPr>
      <w:r w:rsidRPr="00580129">
        <w:rPr>
          <w:rFonts w:ascii="Arial" w:hAnsi="Arial" w:cs="Arial"/>
          <w:b/>
          <w:bCs/>
          <w:lang w:val="en-ID"/>
        </w:rPr>
        <w:t>Budget Surplus (</w:t>
      </w:r>
      <w:proofErr w:type="spellStart"/>
      <w:r w:rsidRPr="00580129">
        <w:rPr>
          <w:rFonts w:ascii="Arial" w:hAnsi="Arial" w:cs="Arial"/>
          <w:b/>
          <w:bCs/>
          <w:lang w:val="en-ID"/>
        </w:rPr>
        <w:t>SiLPA</w:t>
      </w:r>
      <w:proofErr w:type="spellEnd"/>
      <w:r w:rsidRPr="00580129">
        <w:rPr>
          <w:rFonts w:ascii="Arial" w:hAnsi="Arial" w:cs="Arial"/>
          <w:b/>
          <w:bCs/>
          <w:lang w:val="en-ID"/>
        </w:rPr>
        <w:t xml:space="preserve">) and Strategic Allocation </w:t>
      </w:r>
    </w:p>
    <w:p w:rsidR="00DA6E65" w:rsidRPr="00DA6E65" w:rsidRDefault="00DA6E65" w:rsidP="00DA6E65">
      <w:pPr>
        <w:pStyle w:val="Body"/>
        <w:rPr>
          <w:rFonts w:ascii="Arial" w:hAnsi="Arial" w:cs="Arial"/>
          <w:lang w:val="en-ID"/>
        </w:rPr>
      </w:pPr>
      <w:r w:rsidRPr="00DA6E65">
        <w:rPr>
          <w:rFonts w:ascii="Arial" w:hAnsi="Arial" w:cs="Arial"/>
          <w:lang w:val="en-ID"/>
        </w:rPr>
        <w:t>Budget surpluses or year-end unspent balances (</w:t>
      </w:r>
      <w:proofErr w:type="spellStart"/>
      <w:r w:rsidRPr="00DA6E65">
        <w:rPr>
          <w:rFonts w:ascii="Arial" w:hAnsi="Arial" w:cs="Arial"/>
          <w:lang w:val="en-ID"/>
        </w:rPr>
        <w:t>SiLPA</w:t>
      </w:r>
      <w:proofErr w:type="spellEnd"/>
      <w:r w:rsidRPr="00DA6E65">
        <w:rPr>
          <w:rFonts w:ascii="Arial" w:hAnsi="Arial" w:cs="Arial"/>
          <w:lang w:val="en-ID"/>
        </w:rPr>
        <w:t xml:space="preserve">) also play a significant and multifaceted role in shaping regional fiscal </w:t>
      </w:r>
      <w:proofErr w:type="spellStart"/>
      <w:r w:rsidRPr="00DA6E65">
        <w:rPr>
          <w:rFonts w:ascii="Arial" w:hAnsi="Arial" w:cs="Arial"/>
          <w:lang w:val="en-ID"/>
        </w:rPr>
        <w:t>behavior</w:t>
      </w:r>
      <w:proofErr w:type="spellEnd"/>
      <w:r w:rsidRPr="00DA6E65">
        <w:rPr>
          <w:rFonts w:ascii="Arial" w:hAnsi="Arial" w:cs="Arial"/>
          <w:lang w:val="en-ID"/>
        </w:rPr>
        <w:t xml:space="preserve">. Kusuma &amp; Pradipta (2024) highlight that large </w:t>
      </w:r>
      <w:proofErr w:type="spellStart"/>
      <w:r w:rsidRPr="00DA6E65">
        <w:rPr>
          <w:rFonts w:ascii="Arial" w:hAnsi="Arial" w:cs="Arial"/>
          <w:lang w:val="en-ID"/>
        </w:rPr>
        <w:t>SiLPA</w:t>
      </w:r>
      <w:proofErr w:type="spellEnd"/>
      <w:r w:rsidRPr="00DA6E65">
        <w:rPr>
          <w:rFonts w:ascii="Arial" w:hAnsi="Arial" w:cs="Arial"/>
          <w:lang w:val="en-ID"/>
        </w:rPr>
        <w:t xml:space="preserve"> amounts provide incumbents with flexible fiscal space, allowing them to reallocate these accumulated funds for strategic purposes in the subsequent fiscal year. This flexibility can be politically advantageous, particularly when surpluses are directed toward programs with high electoral resonance.</w:t>
      </w:r>
      <w:r>
        <w:rPr>
          <w:rFonts w:ascii="Arial" w:hAnsi="Arial" w:cs="Arial"/>
          <w:lang w:val="en-ID"/>
        </w:rPr>
        <w:t xml:space="preserve"> </w:t>
      </w:r>
      <w:r w:rsidRPr="00DA6E65">
        <w:rPr>
          <w:rFonts w:ascii="Arial" w:hAnsi="Arial" w:cs="Arial"/>
          <w:lang w:val="en-ID"/>
        </w:rPr>
        <w:t xml:space="preserve">However, </w:t>
      </w:r>
      <w:proofErr w:type="spellStart"/>
      <w:r w:rsidRPr="00DA6E65">
        <w:rPr>
          <w:rFonts w:ascii="Arial" w:hAnsi="Arial" w:cs="Arial"/>
          <w:lang w:val="en-ID"/>
        </w:rPr>
        <w:t>SiLPA</w:t>
      </w:r>
      <w:proofErr w:type="spellEnd"/>
      <w:r w:rsidRPr="00DA6E65">
        <w:rPr>
          <w:rFonts w:ascii="Arial" w:hAnsi="Arial" w:cs="Arial"/>
          <w:lang w:val="en-ID"/>
        </w:rPr>
        <w:t xml:space="preserve"> does not always emerge from deliberate saving or strategic planning. A considerable portion results from inefficiencies in procurement and program execution. </w:t>
      </w:r>
      <w:proofErr w:type="spellStart"/>
      <w:r w:rsidRPr="00DA6E65">
        <w:rPr>
          <w:rFonts w:ascii="Arial" w:hAnsi="Arial" w:cs="Arial"/>
          <w:lang w:val="en-ID"/>
        </w:rPr>
        <w:t>Ramirio</w:t>
      </w:r>
      <w:proofErr w:type="spellEnd"/>
      <w:r w:rsidRPr="00DA6E65">
        <w:rPr>
          <w:rFonts w:ascii="Arial" w:hAnsi="Arial" w:cs="Arial"/>
          <w:lang w:val="en-ID"/>
        </w:rPr>
        <w:t>, Pereira, and de Alcântara (2021) emphasize that delayed procurement processes, administrative bottlenecks, or intentional under-execution can produce inflated year-</w:t>
      </w:r>
      <w:r w:rsidRPr="00DA6E65">
        <w:rPr>
          <w:rFonts w:ascii="Arial" w:hAnsi="Arial" w:cs="Arial"/>
          <w:lang w:val="en-ID"/>
        </w:rPr>
        <w:lastRenderedPageBreak/>
        <w:t>end surpluses. These procurement-related inefficiencies are often linked to opportunistic motivations, such as manipulating project timelines to shift spending toward politically sensitive periods.</w:t>
      </w:r>
    </w:p>
    <w:p w:rsidR="00790ADA" w:rsidRPr="00580129" w:rsidRDefault="00DA6E65" w:rsidP="00DA6E65">
      <w:pPr>
        <w:pStyle w:val="Body"/>
        <w:rPr>
          <w:rFonts w:ascii="Arial" w:hAnsi="Arial" w:cs="Arial"/>
          <w:lang w:val="en-ID"/>
        </w:rPr>
      </w:pPr>
      <w:r w:rsidRPr="00DA6E65">
        <w:rPr>
          <w:rFonts w:ascii="Arial" w:hAnsi="Arial" w:cs="Arial"/>
          <w:lang w:val="en-ID"/>
        </w:rPr>
        <w:t xml:space="preserve">Supporting this perspective, Ramadhani &amp; Setiawan (2021) observe that regions with consistently high </w:t>
      </w:r>
      <w:proofErr w:type="spellStart"/>
      <w:r w:rsidRPr="00DA6E65">
        <w:rPr>
          <w:rFonts w:ascii="Arial" w:hAnsi="Arial" w:cs="Arial"/>
          <w:lang w:val="en-ID"/>
        </w:rPr>
        <w:t>SiLPA</w:t>
      </w:r>
      <w:proofErr w:type="spellEnd"/>
      <w:r w:rsidRPr="00DA6E65">
        <w:rPr>
          <w:rFonts w:ascii="Arial" w:hAnsi="Arial" w:cs="Arial"/>
          <w:lang w:val="en-ID"/>
        </w:rPr>
        <w:t xml:space="preserve"> tend to increase discretionary spending—often for capital projects—close to election periods. This pattern suggests that </w:t>
      </w:r>
      <w:proofErr w:type="spellStart"/>
      <w:r w:rsidRPr="00DA6E65">
        <w:rPr>
          <w:rFonts w:ascii="Arial" w:hAnsi="Arial" w:cs="Arial"/>
          <w:lang w:val="en-ID"/>
        </w:rPr>
        <w:t>SiLPA</w:t>
      </w:r>
      <w:proofErr w:type="spellEnd"/>
      <w:r w:rsidRPr="00DA6E65">
        <w:rPr>
          <w:rFonts w:ascii="Arial" w:hAnsi="Arial" w:cs="Arial"/>
          <w:lang w:val="en-ID"/>
        </w:rPr>
        <w:t xml:space="preserve"> acts as a reservoir of flexible funds that can be strategically deployed to influence voter perceptions. Similar conclusions are also documented in international research; for example, Drazen &amp; Eslava (2010) demonstrate that incumbents frequently manipulate timing of public expenditures to create </w:t>
      </w:r>
      <w:proofErr w:type="spellStart"/>
      <w:r w:rsidRPr="00DA6E65">
        <w:rPr>
          <w:rFonts w:ascii="Arial" w:hAnsi="Arial" w:cs="Arial"/>
          <w:lang w:val="en-ID"/>
        </w:rPr>
        <w:t>favorable</w:t>
      </w:r>
      <w:proofErr w:type="spellEnd"/>
      <w:r w:rsidRPr="00DA6E65">
        <w:rPr>
          <w:rFonts w:ascii="Arial" w:hAnsi="Arial" w:cs="Arial"/>
          <w:lang w:val="en-ID"/>
        </w:rPr>
        <w:t xml:space="preserve"> pre-election fiscal landscapes.</w:t>
      </w:r>
      <w:r>
        <w:rPr>
          <w:rFonts w:ascii="Arial" w:hAnsi="Arial" w:cs="Arial"/>
          <w:lang w:val="en-ID"/>
        </w:rPr>
        <w:t xml:space="preserve"> </w:t>
      </w:r>
      <w:r w:rsidRPr="00DA6E65">
        <w:rPr>
          <w:rFonts w:ascii="Arial" w:hAnsi="Arial" w:cs="Arial"/>
          <w:lang w:val="en-ID"/>
        </w:rPr>
        <w:t xml:space="preserve">Furthermore, recent empirical studies reveal that chronic </w:t>
      </w:r>
      <w:proofErr w:type="spellStart"/>
      <w:r w:rsidRPr="00DA6E65">
        <w:rPr>
          <w:rFonts w:ascii="Arial" w:hAnsi="Arial" w:cs="Arial"/>
          <w:lang w:val="en-ID"/>
        </w:rPr>
        <w:t>SiLPA</w:t>
      </w:r>
      <w:proofErr w:type="spellEnd"/>
      <w:r w:rsidRPr="00DA6E65">
        <w:rPr>
          <w:rFonts w:ascii="Arial" w:hAnsi="Arial" w:cs="Arial"/>
          <w:lang w:val="en-ID"/>
        </w:rPr>
        <w:t xml:space="preserve"> accumulation may indicate deeper governance issues. </w:t>
      </w:r>
      <w:proofErr w:type="spellStart"/>
      <w:r w:rsidR="00D8734F">
        <w:rPr>
          <w:rFonts w:ascii="Arial" w:hAnsi="Arial" w:cs="Arial"/>
          <w:lang w:val="en-ID"/>
        </w:rPr>
        <w:t>Syuki</w:t>
      </w:r>
      <w:proofErr w:type="spellEnd"/>
      <w:r w:rsidR="00D8734F">
        <w:rPr>
          <w:rFonts w:ascii="Arial" w:hAnsi="Arial" w:cs="Arial"/>
          <w:lang w:val="en-ID"/>
        </w:rPr>
        <w:t xml:space="preserve"> et al.,</w:t>
      </w:r>
      <w:r w:rsidRPr="00DA6E65">
        <w:rPr>
          <w:rFonts w:ascii="Arial" w:hAnsi="Arial" w:cs="Arial"/>
          <w:lang w:val="en-ID"/>
        </w:rPr>
        <w:t xml:space="preserve"> (</w:t>
      </w:r>
      <w:r w:rsidR="00BA6A93">
        <w:rPr>
          <w:rFonts w:ascii="Arial" w:hAnsi="Arial" w:cs="Arial"/>
          <w:lang w:val="en-ID"/>
        </w:rPr>
        <w:t>2025</w:t>
      </w:r>
      <w:r w:rsidRPr="00DA6E65">
        <w:rPr>
          <w:rFonts w:ascii="Arial" w:hAnsi="Arial" w:cs="Arial"/>
          <w:lang w:val="en-ID"/>
        </w:rPr>
        <w:t xml:space="preserve">) argue that recurring surpluses signal weak planning accuracy, underestimation of implementation capacity, or misaligned incentives within local bureaucracies. Yet once accumulated, these surpluses become politically valuable assets—not just symptoms of inefficiency. This dual nature makes </w:t>
      </w:r>
      <w:proofErr w:type="spellStart"/>
      <w:r w:rsidRPr="00DA6E65">
        <w:rPr>
          <w:rFonts w:ascii="Arial" w:hAnsi="Arial" w:cs="Arial"/>
          <w:lang w:val="en-ID"/>
        </w:rPr>
        <w:t>SiLPA</w:t>
      </w:r>
      <w:proofErr w:type="spellEnd"/>
      <w:r w:rsidRPr="00DA6E65">
        <w:rPr>
          <w:rFonts w:ascii="Arial" w:hAnsi="Arial" w:cs="Arial"/>
          <w:lang w:val="en-ID"/>
        </w:rPr>
        <w:t xml:space="preserve"> a “double-edged sword”: problematic when it reflects mismanagement, yet strategically beneficial when used to support politically motivated spending in subsequent periods.</w:t>
      </w: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05569C" w:rsidRPr="0005569C" w:rsidRDefault="0005569C" w:rsidP="0005569C">
      <w:pPr>
        <w:pStyle w:val="Body"/>
        <w:rPr>
          <w:rFonts w:ascii="Arial" w:hAnsi="Arial" w:cs="Arial"/>
        </w:rPr>
      </w:pPr>
      <w:r w:rsidRPr="0005569C">
        <w:rPr>
          <w:rFonts w:ascii="Arial" w:hAnsi="Arial" w:cs="Arial"/>
        </w:rPr>
        <w:t>In conclusion, the review shows that opportunistic budgeting in local governments is still influenced by differences in fiscal capacity, the structure of central transfers, and how budget surpluses are managed. When local governments have more flexible funds, either from their own revenue or from transfers, they often have greater room to adjust spending in ways that benefit political interests. However, regions with stronger supervision and clearer rules tend to show fewer signs of this behavior, indicating that institutional quality plays an important role in shaping how fiscal resources are used.</w:t>
      </w:r>
    </w:p>
    <w:p w:rsidR="0005569C" w:rsidRDefault="0005569C" w:rsidP="0005569C">
      <w:pPr>
        <w:pStyle w:val="Body"/>
        <w:spacing w:after="0"/>
        <w:rPr>
          <w:rFonts w:ascii="Arial" w:hAnsi="Arial" w:cs="Arial"/>
        </w:rPr>
      </w:pPr>
      <w:r w:rsidRPr="0005569C">
        <w:rPr>
          <w:rFonts w:ascii="Arial" w:hAnsi="Arial" w:cs="Arial"/>
        </w:rPr>
        <w:t xml:space="preserve">Based on these findings, it is recommended that transparency and public oversight be strengthened so that budget decisions remain focused on community needs rather than political timing. The use of transfer funds should also be monitored more closely to ensure that they are allocated according to their intended purpose. Finally, clearer rules for managing budget surpluses can help prevent these funds from being used strategically. Strengthening these aspects can support healthier budgeting practices and improve public trust in local government finances. </w:t>
      </w:r>
    </w:p>
    <w:p w:rsidR="0005569C" w:rsidRDefault="0005569C" w:rsidP="0005569C">
      <w:pPr>
        <w:pStyle w:val="Body"/>
        <w:spacing w:after="0"/>
        <w:rPr>
          <w:rFonts w:ascii="Arial" w:hAnsi="Arial" w:cs="Arial"/>
        </w:rPr>
      </w:pPr>
    </w:p>
    <w:p w:rsidR="00860000" w:rsidRPr="00D87C40" w:rsidRDefault="00860000" w:rsidP="00441B6F">
      <w:pPr>
        <w:pStyle w:val="ReferHead"/>
        <w:spacing w:after="0"/>
        <w:jc w:val="both"/>
        <w:rPr>
          <w:rFonts w:ascii="Arial" w:hAnsi="Arial" w:cs="Arial"/>
        </w:rPr>
      </w:pPr>
      <w:bookmarkStart w:id="0" w:name="_GoBack"/>
      <w:bookmarkEnd w:id="0"/>
    </w:p>
    <w:p w:rsidR="00B01FCD" w:rsidRDefault="00B01FCD" w:rsidP="00441B6F">
      <w:pPr>
        <w:pStyle w:val="ReferHead"/>
        <w:spacing w:after="0"/>
        <w:jc w:val="both"/>
        <w:rPr>
          <w:rFonts w:ascii="Arial" w:hAnsi="Arial" w:cs="Arial"/>
        </w:rPr>
      </w:pPr>
      <w:r w:rsidRPr="00FB3A86">
        <w:rPr>
          <w:rFonts w:ascii="Arial" w:hAnsi="Arial" w:cs="Arial"/>
        </w:rPr>
        <w:t>References</w:t>
      </w:r>
    </w:p>
    <w:p w:rsidR="00790ADA" w:rsidRPr="00FB3A86" w:rsidRDefault="00790ADA" w:rsidP="00441B6F">
      <w:pPr>
        <w:pStyle w:val="ReferHead"/>
        <w:spacing w:after="0"/>
        <w:jc w:val="both"/>
        <w:rPr>
          <w:rFonts w:ascii="Arial" w:hAnsi="Arial" w:cs="Arial"/>
        </w:rPr>
      </w:pPr>
    </w:p>
    <w:p w:rsidR="00D24CA9" w:rsidRPr="00CC24F6" w:rsidRDefault="00CC24F6" w:rsidP="003453FD">
      <w:pPr>
        <w:pStyle w:val="Body"/>
        <w:spacing w:after="0"/>
        <w:ind w:left="540" w:hanging="540"/>
        <w:rPr>
          <w:rFonts w:ascii="Arial" w:hAnsi="Arial" w:cs="Arial"/>
          <w:highlight w:val="yellow"/>
          <w:lang w:val="en-ID"/>
        </w:rPr>
      </w:pPr>
      <w:r w:rsidRPr="00CC24F6">
        <w:rPr>
          <w:rFonts w:ascii="Arial" w:hAnsi="Arial" w:cs="Arial"/>
          <w:lang w:val="en-ID"/>
        </w:rPr>
        <w:t xml:space="preserve">Abdullah, S., &amp; Asmara, J. A. (2006). </w:t>
      </w:r>
      <w:proofErr w:type="spellStart"/>
      <w:r w:rsidRPr="00CC24F6">
        <w:rPr>
          <w:rFonts w:ascii="Arial" w:hAnsi="Arial" w:cs="Arial"/>
          <w:lang w:val="en-ID"/>
        </w:rPr>
        <w:t>Perilaku</w:t>
      </w:r>
      <w:proofErr w:type="spellEnd"/>
      <w:r w:rsidRPr="00CC24F6">
        <w:rPr>
          <w:rFonts w:ascii="Arial" w:hAnsi="Arial" w:cs="Arial"/>
          <w:lang w:val="en-ID"/>
        </w:rPr>
        <w:t xml:space="preserve"> </w:t>
      </w:r>
      <w:proofErr w:type="spellStart"/>
      <w:r w:rsidRPr="00CC24F6">
        <w:rPr>
          <w:rFonts w:ascii="Arial" w:hAnsi="Arial" w:cs="Arial"/>
          <w:lang w:val="en-ID"/>
        </w:rPr>
        <w:t>Oportunistik</w:t>
      </w:r>
      <w:proofErr w:type="spellEnd"/>
      <w:r w:rsidRPr="00CC24F6">
        <w:rPr>
          <w:rFonts w:ascii="Arial" w:hAnsi="Arial" w:cs="Arial"/>
          <w:lang w:val="en-ID"/>
        </w:rPr>
        <w:t xml:space="preserve"> </w:t>
      </w:r>
      <w:proofErr w:type="spellStart"/>
      <w:r w:rsidRPr="00CC24F6">
        <w:rPr>
          <w:rFonts w:ascii="Arial" w:hAnsi="Arial" w:cs="Arial"/>
          <w:lang w:val="en-ID"/>
        </w:rPr>
        <w:t>Legislatif</w:t>
      </w:r>
      <w:proofErr w:type="spellEnd"/>
      <w:r w:rsidRPr="00CC24F6">
        <w:rPr>
          <w:rFonts w:ascii="Arial" w:hAnsi="Arial" w:cs="Arial"/>
          <w:lang w:val="en-ID"/>
        </w:rPr>
        <w:t xml:space="preserve"> </w:t>
      </w:r>
      <w:proofErr w:type="spellStart"/>
      <w:r w:rsidRPr="00CC24F6">
        <w:rPr>
          <w:rFonts w:ascii="Arial" w:hAnsi="Arial" w:cs="Arial"/>
          <w:lang w:val="en-ID"/>
        </w:rPr>
        <w:t>dalam</w:t>
      </w:r>
      <w:proofErr w:type="spellEnd"/>
      <w:r w:rsidRPr="00CC24F6">
        <w:rPr>
          <w:rFonts w:ascii="Arial" w:hAnsi="Arial" w:cs="Arial"/>
          <w:lang w:val="en-ID"/>
        </w:rPr>
        <w:t xml:space="preserve"> </w:t>
      </w:r>
      <w:proofErr w:type="spellStart"/>
      <w:r w:rsidRPr="00CC24F6">
        <w:rPr>
          <w:rFonts w:ascii="Arial" w:hAnsi="Arial" w:cs="Arial"/>
          <w:lang w:val="en-ID"/>
        </w:rPr>
        <w:t>Penganggaran</w:t>
      </w:r>
      <w:proofErr w:type="spellEnd"/>
      <w:r w:rsidRPr="00CC24F6">
        <w:rPr>
          <w:rFonts w:ascii="Arial" w:hAnsi="Arial" w:cs="Arial"/>
          <w:lang w:val="en-ID"/>
        </w:rPr>
        <w:t xml:space="preserve"> Daerah: </w:t>
      </w:r>
      <w:proofErr w:type="spellStart"/>
      <w:r w:rsidRPr="00CC24F6">
        <w:rPr>
          <w:rFonts w:ascii="Arial" w:hAnsi="Arial" w:cs="Arial"/>
          <w:lang w:val="en-ID"/>
        </w:rPr>
        <w:t>Bukti</w:t>
      </w:r>
      <w:proofErr w:type="spellEnd"/>
      <w:r w:rsidRPr="00CC24F6">
        <w:rPr>
          <w:rFonts w:ascii="Arial" w:hAnsi="Arial" w:cs="Arial"/>
          <w:lang w:val="en-ID"/>
        </w:rPr>
        <w:t xml:space="preserve"> </w:t>
      </w:r>
      <w:proofErr w:type="spellStart"/>
      <w:r w:rsidRPr="00CC24F6">
        <w:rPr>
          <w:rFonts w:ascii="Arial" w:hAnsi="Arial" w:cs="Arial"/>
          <w:lang w:val="en-ID"/>
        </w:rPr>
        <w:t>Empiris</w:t>
      </w:r>
      <w:proofErr w:type="spellEnd"/>
      <w:r w:rsidRPr="00CC24F6">
        <w:rPr>
          <w:rFonts w:ascii="Arial" w:hAnsi="Arial" w:cs="Arial"/>
          <w:lang w:val="en-ID"/>
        </w:rPr>
        <w:t xml:space="preserve"> </w:t>
      </w:r>
      <w:proofErr w:type="spellStart"/>
      <w:r w:rsidRPr="00CC24F6">
        <w:rPr>
          <w:rFonts w:ascii="Arial" w:hAnsi="Arial" w:cs="Arial"/>
          <w:lang w:val="en-ID"/>
        </w:rPr>
        <w:t>atas</w:t>
      </w:r>
      <w:proofErr w:type="spellEnd"/>
      <w:r w:rsidRPr="00CC24F6">
        <w:rPr>
          <w:rFonts w:ascii="Arial" w:hAnsi="Arial" w:cs="Arial"/>
          <w:lang w:val="en-ID"/>
        </w:rPr>
        <w:t xml:space="preserve"> </w:t>
      </w:r>
      <w:proofErr w:type="spellStart"/>
      <w:r w:rsidRPr="00CC24F6">
        <w:rPr>
          <w:rFonts w:ascii="Arial" w:hAnsi="Arial" w:cs="Arial"/>
          <w:lang w:val="en-ID"/>
        </w:rPr>
        <w:t>Aplikasi</w:t>
      </w:r>
      <w:proofErr w:type="spellEnd"/>
      <w:r w:rsidRPr="00CC24F6">
        <w:rPr>
          <w:rFonts w:ascii="Arial" w:hAnsi="Arial" w:cs="Arial"/>
          <w:lang w:val="en-ID"/>
        </w:rPr>
        <w:t xml:space="preserve"> Agency Theory di </w:t>
      </w:r>
      <w:proofErr w:type="spellStart"/>
      <w:r w:rsidRPr="00CC24F6">
        <w:rPr>
          <w:rFonts w:ascii="Arial" w:hAnsi="Arial" w:cs="Arial"/>
          <w:lang w:val="en-ID"/>
        </w:rPr>
        <w:t>Sektor</w:t>
      </w:r>
      <w:proofErr w:type="spellEnd"/>
      <w:r w:rsidRPr="00CC24F6">
        <w:rPr>
          <w:rFonts w:ascii="Arial" w:hAnsi="Arial" w:cs="Arial"/>
          <w:lang w:val="en-ID"/>
        </w:rPr>
        <w:t xml:space="preserve"> </w:t>
      </w:r>
      <w:proofErr w:type="spellStart"/>
      <w:r w:rsidRPr="00CC24F6">
        <w:rPr>
          <w:rFonts w:ascii="Arial" w:hAnsi="Arial" w:cs="Arial"/>
          <w:lang w:val="en-ID"/>
        </w:rPr>
        <w:t>Publik</w:t>
      </w:r>
      <w:proofErr w:type="spellEnd"/>
      <w:r w:rsidRPr="00CC24F6">
        <w:rPr>
          <w:rFonts w:ascii="Arial" w:hAnsi="Arial" w:cs="Arial"/>
          <w:lang w:val="en-ID"/>
        </w:rPr>
        <w:t xml:space="preserve">. </w:t>
      </w:r>
      <w:proofErr w:type="spellStart"/>
      <w:r w:rsidRPr="00CC24F6">
        <w:rPr>
          <w:rFonts w:ascii="Arial" w:hAnsi="Arial" w:cs="Arial"/>
          <w:lang w:val="en-ID"/>
        </w:rPr>
        <w:t>Simposium</w:t>
      </w:r>
      <w:proofErr w:type="spellEnd"/>
      <w:r w:rsidRPr="00CC24F6">
        <w:rPr>
          <w:rFonts w:ascii="Arial" w:hAnsi="Arial" w:cs="Arial"/>
          <w:lang w:val="en-ID"/>
        </w:rPr>
        <w:t xml:space="preserve"> </w:t>
      </w:r>
      <w:proofErr w:type="spellStart"/>
      <w:r w:rsidRPr="00CC24F6">
        <w:rPr>
          <w:rFonts w:ascii="Arial" w:hAnsi="Arial" w:cs="Arial"/>
          <w:lang w:val="en-ID"/>
        </w:rPr>
        <w:t>Nasional</w:t>
      </w:r>
      <w:proofErr w:type="spellEnd"/>
      <w:r w:rsidRPr="00CC24F6">
        <w:rPr>
          <w:rFonts w:ascii="Arial" w:hAnsi="Arial" w:cs="Arial"/>
          <w:lang w:val="en-ID"/>
        </w:rPr>
        <w:t xml:space="preserve"> </w:t>
      </w:r>
      <w:proofErr w:type="spellStart"/>
      <w:r w:rsidRPr="00CC24F6">
        <w:rPr>
          <w:rFonts w:ascii="Arial" w:hAnsi="Arial" w:cs="Arial"/>
          <w:lang w:val="en-ID"/>
        </w:rPr>
        <w:t>Akuntansi</w:t>
      </w:r>
      <w:proofErr w:type="spellEnd"/>
      <w:r w:rsidRPr="00CC24F6">
        <w:rPr>
          <w:rFonts w:ascii="Arial" w:hAnsi="Arial" w:cs="Arial"/>
          <w:lang w:val="en-ID"/>
        </w:rPr>
        <w:t xml:space="preserve"> 9. https://www.researchgate.net/publication/358900000_Perilaku_oportunistik_legislatif_dalam_penganggaran_daerah_Abdullah_Asmara_2006</w:t>
      </w:r>
      <w:r w:rsidR="004A16B8" w:rsidRPr="00CC24F6">
        <w:rPr>
          <w:rFonts w:ascii="Arial" w:hAnsi="Arial" w:cs="Arial"/>
          <w:highlight w:val="yellow"/>
          <w:lang w:val="en-ID"/>
        </w:rPr>
        <w:t xml:space="preserve">  </w:t>
      </w:r>
    </w:p>
    <w:p w:rsidR="00D24CA9" w:rsidRPr="00CC24F6" w:rsidRDefault="0076487A" w:rsidP="003453FD">
      <w:pPr>
        <w:pStyle w:val="Body"/>
        <w:spacing w:after="0"/>
        <w:ind w:left="540" w:hanging="540"/>
        <w:rPr>
          <w:rFonts w:ascii="Arial" w:hAnsi="Arial" w:cs="Arial"/>
          <w:highlight w:val="yellow"/>
          <w:lang w:val="en-ID"/>
        </w:rPr>
      </w:pPr>
      <w:r w:rsidRPr="0076487A">
        <w:rPr>
          <w:rFonts w:ascii="Arial" w:hAnsi="Arial" w:cs="Arial"/>
          <w:lang w:val="en-ID"/>
        </w:rPr>
        <w:t xml:space="preserve">Bracco, E., De Benedetto, M. A., &amp; </w:t>
      </w:r>
      <w:proofErr w:type="spellStart"/>
      <w:r w:rsidRPr="0076487A">
        <w:rPr>
          <w:rFonts w:ascii="Arial" w:hAnsi="Arial" w:cs="Arial"/>
          <w:lang w:val="en-ID"/>
        </w:rPr>
        <w:t>Lisciandra</w:t>
      </w:r>
      <w:proofErr w:type="spellEnd"/>
      <w:r w:rsidRPr="0076487A">
        <w:rPr>
          <w:rFonts w:ascii="Arial" w:hAnsi="Arial" w:cs="Arial"/>
          <w:lang w:val="en-ID"/>
        </w:rPr>
        <w:t xml:space="preserve">, M. (2024). Manipulating municipal budgets: Unveiling the opportunistic </w:t>
      </w:r>
      <w:proofErr w:type="spellStart"/>
      <w:r w:rsidRPr="0076487A">
        <w:rPr>
          <w:rFonts w:ascii="Arial" w:hAnsi="Arial" w:cs="Arial"/>
          <w:lang w:val="en-ID"/>
        </w:rPr>
        <w:t>behavior</w:t>
      </w:r>
      <w:proofErr w:type="spellEnd"/>
      <w:r w:rsidRPr="0076487A">
        <w:rPr>
          <w:rFonts w:ascii="Arial" w:hAnsi="Arial" w:cs="Arial"/>
          <w:lang w:val="en-ID"/>
        </w:rPr>
        <w:t xml:space="preserve"> of Italian mayors. Public Choice, 198(3–4), 317–342. https://doi.org/10.1007/s11127-023-01131-3</w:t>
      </w:r>
    </w:p>
    <w:p w:rsidR="00D24CA9" w:rsidRPr="00CC24F6" w:rsidRDefault="000E23B8" w:rsidP="003453FD">
      <w:pPr>
        <w:pStyle w:val="Body"/>
        <w:spacing w:after="0"/>
        <w:ind w:left="540" w:hanging="540"/>
        <w:rPr>
          <w:rFonts w:ascii="Arial" w:hAnsi="Arial" w:cs="Arial"/>
          <w:highlight w:val="yellow"/>
          <w:lang w:val="en-ID"/>
        </w:rPr>
      </w:pPr>
      <w:r w:rsidRPr="000E23B8">
        <w:rPr>
          <w:rFonts w:ascii="Arial" w:hAnsi="Arial" w:cs="Arial"/>
          <w:lang w:val="en-ID"/>
        </w:rPr>
        <w:t>Braun, V., &amp; Clarke, V. (2006). Using thematic analysis in psychology. Qualitative Research in Psychology, 3(2), 77–101. https://doi.org/10.1191/1478088706qp063oa</w:t>
      </w:r>
    </w:p>
    <w:p w:rsidR="00D24CA9" w:rsidRPr="00CC24F6" w:rsidRDefault="00673496" w:rsidP="003453FD">
      <w:pPr>
        <w:pStyle w:val="Body"/>
        <w:spacing w:after="0"/>
        <w:ind w:left="540" w:hanging="540"/>
        <w:rPr>
          <w:rFonts w:ascii="Arial" w:hAnsi="Arial" w:cs="Arial"/>
          <w:highlight w:val="yellow"/>
          <w:lang w:val="en-ID"/>
        </w:rPr>
      </w:pPr>
      <w:proofErr w:type="spellStart"/>
      <w:r w:rsidRPr="00673496">
        <w:rPr>
          <w:rFonts w:ascii="Arial" w:hAnsi="Arial" w:cs="Arial"/>
          <w:lang w:val="en-ID"/>
        </w:rPr>
        <w:t>Dalimunthe</w:t>
      </w:r>
      <w:proofErr w:type="spellEnd"/>
      <w:r w:rsidRPr="00673496">
        <w:rPr>
          <w:rFonts w:ascii="Arial" w:hAnsi="Arial" w:cs="Arial"/>
          <w:lang w:val="en-ID"/>
        </w:rPr>
        <w:t xml:space="preserve">, D. F. (2021). Analysis of the Influence of Regional Original Income, General Allocation Funds, Profit Sharing Funds and Budget Calculations Remain on the </w:t>
      </w:r>
      <w:proofErr w:type="spellStart"/>
      <w:r w:rsidRPr="00673496">
        <w:rPr>
          <w:rFonts w:ascii="Arial" w:hAnsi="Arial" w:cs="Arial"/>
          <w:lang w:val="en-ID"/>
        </w:rPr>
        <w:t>Oportunistic</w:t>
      </w:r>
      <w:proofErr w:type="spellEnd"/>
      <w:r w:rsidRPr="00673496">
        <w:rPr>
          <w:rFonts w:ascii="Arial" w:hAnsi="Arial" w:cs="Arial"/>
          <w:lang w:val="en-ID"/>
        </w:rPr>
        <w:t xml:space="preserve"> </w:t>
      </w:r>
      <w:proofErr w:type="spellStart"/>
      <w:r w:rsidRPr="00673496">
        <w:rPr>
          <w:rFonts w:ascii="Arial" w:hAnsi="Arial" w:cs="Arial"/>
          <w:lang w:val="en-ID"/>
        </w:rPr>
        <w:t>Behavior</w:t>
      </w:r>
      <w:proofErr w:type="spellEnd"/>
      <w:r w:rsidRPr="00673496">
        <w:rPr>
          <w:rFonts w:ascii="Arial" w:hAnsi="Arial" w:cs="Arial"/>
          <w:lang w:val="en-ID"/>
        </w:rPr>
        <w:t xml:space="preserve"> of Budgets. International Journal of Applied Finance and Business Studies. https://doi.org/10.35335/ijafibs.v8i4.32</w:t>
      </w:r>
    </w:p>
    <w:p w:rsidR="00D24CA9" w:rsidRPr="00CC24F6" w:rsidRDefault="008F1AAC" w:rsidP="003453FD">
      <w:pPr>
        <w:pStyle w:val="Body"/>
        <w:spacing w:after="0"/>
        <w:ind w:left="540" w:hanging="540"/>
        <w:rPr>
          <w:rFonts w:ascii="Arial" w:hAnsi="Arial" w:cs="Arial"/>
          <w:highlight w:val="yellow"/>
          <w:lang w:val="en-ID"/>
        </w:rPr>
      </w:pPr>
      <w:proofErr w:type="spellStart"/>
      <w:r w:rsidRPr="008F1AAC">
        <w:rPr>
          <w:rFonts w:ascii="Arial" w:hAnsi="Arial" w:cs="Arial"/>
          <w:lang w:val="en-ID"/>
        </w:rPr>
        <w:t>Drazen</w:t>
      </w:r>
      <w:proofErr w:type="spellEnd"/>
      <w:r w:rsidRPr="008F1AAC">
        <w:rPr>
          <w:rFonts w:ascii="Arial" w:hAnsi="Arial" w:cs="Arial"/>
          <w:lang w:val="en-ID"/>
        </w:rPr>
        <w:t xml:space="preserve">, A., &amp; </w:t>
      </w:r>
      <w:proofErr w:type="spellStart"/>
      <w:r w:rsidRPr="008F1AAC">
        <w:rPr>
          <w:rFonts w:ascii="Arial" w:hAnsi="Arial" w:cs="Arial"/>
          <w:lang w:val="en-ID"/>
        </w:rPr>
        <w:t>Eslava</w:t>
      </w:r>
      <w:proofErr w:type="spellEnd"/>
      <w:r w:rsidRPr="008F1AAC">
        <w:rPr>
          <w:rFonts w:ascii="Arial" w:hAnsi="Arial" w:cs="Arial"/>
          <w:lang w:val="en-ID"/>
        </w:rPr>
        <w:t>, M. (2010). Electoral manipulation via voter-friendly spending: Theory and evidence. Journal of Development Economics, 92(1), 39–52. https://doi.org/10.1016/j.jdeveco.2009.01.001</w:t>
      </w:r>
    </w:p>
    <w:p w:rsidR="00D24CA9" w:rsidRPr="00CC24F6" w:rsidRDefault="00DA41F1" w:rsidP="003453FD">
      <w:pPr>
        <w:pStyle w:val="Body"/>
        <w:spacing w:after="0"/>
        <w:ind w:left="540" w:hanging="540"/>
        <w:rPr>
          <w:rFonts w:ascii="Arial" w:hAnsi="Arial" w:cs="Arial"/>
          <w:highlight w:val="yellow"/>
          <w:lang w:val="en-ID"/>
        </w:rPr>
      </w:pPr>
      <w:proofErr w:type="spellStart"/>
      <w:r w:rsidRPr="00DA41F1">
        <w:rPr>
          <w:rFonts w:ascii="Arial" w:hAnsi="Arial" w:cs="Arial"/>
          <w:lang w:val="en-ID"/>
        </w:rPr>
        <w:t>Febrianti</w:t>
      </w:r>
      <w:proofErr w:type="spellEnd"/>
      <w:r w:rsidRPr="00DA41F1">
        <w:rPr>
          <w:rFonts w:ascii="Arial" w:hAnsi="Arial" w:cs="Arial"/>
          <w:lang w:val="en-ID"/>
        </w:rPr>
        <w:t xml:space="preserve">, Y. L., &amp; </w:t>
      </w:r>
      <w:proofErr w:type="spellStart"/>
      <w:r w:rsidRPr="00DA41F1">
        <w:rPr>
          <w:rFonts w:ascii="Arial" w:hAnsi="Arial" w:cs="Arial"/>
          <w:lang w:val="en-ID"/>
        </w:rPr>
        <w:t>Suparwati</w:t>
      </w:r>
      <w:proofErr w:type="spellEnd"/>
      <w:r w:rsidRPr="00DA41F1">
        <w:rPr>
          <w:rFonts w:ascii="Arial" w:hAnsi="Arial" w:cs="Arial"/>
          <w:lang w:val="en-ID"/>
        </w:rPr>
        <w:t xml:space="preserve">, Y. K. (2021). The effect of PAD, DAK, DBH, </w:t>
      </w:r>
      <w:proofErr w:type="spellStart"/>
      <w:r w:rsidRPr="00DA41F1">
        <w:rPr>
          <w:rFonts w:ascii="Arial" w:hAnsi="Arial" w:cs="Arial"/>
          <w:lang w:val="en-ID"/>
        </w:rPr>
        <w:t>SiLPA</w:t>
      </w:r>
      <w:proofErr w:type="spellEnd"/>
      <w:r w:rsidRPr="00DA41F1">
        <w:rPr>
          <w:rFonts w:ascii="Arial" w:hAnsi="Arial" w:cs="Arial"/>
          <w:lang w:val="en-ID"/>
        </w:rPr>
        <w:t xml:space="preserve">, and the flypaper effect on opportunistic budgeting </w:t>
      </w:r>
      <w:proofErr w:type="spellStart"/>
      <w:r w:rsidRPr="00DA41F1">
        <w:rPr>
          <w:rFonts w:ascii="Arial" w:hAnsi="Arial" w:cs="Arial"/>
          <w:lang w:val="en-ID"/>
        </w:rPr>
        <w:t>behavior</w:t>
      </w:r>
      <w:proofErr w:type="spellEnd"/>
      <w:r w:rsidRPr="00DA41F1">
        <w:rPr>
          <w:rFonts w:ascii="Arial" w:hAnsi="Arial" w:cs="Arial"/>
          <w:lang w:val="en-ID"/>
        </w:rPr>
        <w:t>. Journal of Accounting and Digital Finance, 1(3), 249–264. https://doi.org/10.53088/jadfi.v1i3.327</w:t>
      </w:r>
    </w:p>
    <w:p w:rsidR="00D24CA9" w:rsidRPr="00D224C3" w:rsidRDefault="00D24CA9" w:rsidP="003453FD">
      <w:pPr>
        <w:pStyle w:val="Body"/>
        <w:spacing w:after="0"/>
        <w:ind w:left="540" w:hanging="540"/>
        <w:rPr>
          <w:rFonts w:ascii="Arial" w:hAnsi="Arial" w:cs="Arial"/>
          <w:color w:val="FF0000"/>
          <w:lang w:val="en-ID"/>
        </w:rPr>
      </w:pPr>
      <w:r w:rsidRPr="00D224C3">
        <w:rPr>
          <w:rFonts w:ascii="Arial" w:hAnsi="Arial" w:cs="Arial"/>
          <w:color w:val="000000" w:themeColor="text1"/>
          <w:lang w:val="en-ID"/>
        </w:rPr>
        <w:t xml:space="preserve">Halim, A. (2004). </w:t>
      </w:r>
      <w:proofErr w:type="spellStart"/>
      <w:r w:rsidRPr="00D224C3">
        <w:rPr>
          <w:rFonts w:ascii="Arial" w:hAnsi="Arial" w:cs="Arial"/>
          <w:i/>
          <w:iCs/>
          <w:color w:val="000000" w:themeColor="text1"/>
          <w:lang w:val="en-ID"/>
        </w:rPr>
        <w:t>Akuntansi</w:t>
      </w:r>
      <w:proofErr w:type="spellEnd"/>
      <w:r w:rsidRPr="00D224C3">
        <w:rPr>
          <w:rFonts w:ascii="Arial" w:hAnsi="Arial" w:cs="Arial"/>
          <w:i/>
          <w:iCs/>
          <w:color w:val="000000" w:themeColor="text1"/>
          <w:lang w:val="en-ID"/>
        </w:rPr>
        <w:t xml:space="preserve"> </w:t>
      </w:r>
      <w:proofErr w:type="spellStart"/>
      <w:r w:rsidRPr="00D224C3">
        <w:rPr>
          <w:rFonts w:ascii="Arial" w:hAnsi="Arial" w:cs="Arial"/>
          <w:i/>
          <w:iCs/>
          <w:color w:val="000000" w:themeColor="text1"/>
          <w:lang w:val="en-ID"/>
        </w:rPr>
        <w:t>keuangan</w:t>
      </w:r>
      <w:proofErr w:type="spellEnd"/>
      <w:r w:rsidRPr="00D224C3">
        <w:rPr>
          <w:rFonts w:ascii="Arial" w:hAnsi="Arial" w:cs="Arial"/>
          <w:i/>
          <w:iCs/>
          <w:color w:val="000000" w:themeColor="text1"/>
          <w:lang w:val="en-ID"/>
        </w:rPr>
        <w:t xml:space="preserve"> </w:t>
      </w:r>
      <w:proofErr w:type="spellStart"/>
      <w:r w:rsidRPr="00D224C3">
        <w:rPr>
          <w:rFonts w:ascii="Arial" w:hAnsi="Arial" w:cs="Arial"/>
          <w:i/>
          <w:iCs/>
          <w:color w:val="000000" w:themeColor="text1"/>
          <w:lang w:val="en-ID"/>
        </w:rPr>
        <w:t>daerah</w:t>
      </w:r>
      <w:proofErr w:type="spellEnd"/>
      <w:r w:rsidRPr="00D224C3">
        <w:rPr>
          <w:rFonts w:ascii="Arial" w:hAnsi="Arial" w:cs="Arial"/>
          <w:color w:val="000000" w:themeColor="text1"/>
          <w:lang w:val="en-ID"/>
        </w:rPr>
        <w:t xml:space="preserve">. </w:t>
      </w:r>
      <w:proofErr w:type="spellStart"/>
      <w:r w:rsidRPr="00D224C3">
        <w:rPr>
          <w:rFonts w:ascii="Arial" w:hAnsi="Arial" w:cs="Arial"/>
          <w:color w:val="000000" w:themeColor="text1"/>
          <w:lang w:val="en-ID"/>
        </w:rPr>
        <w:t>Salemba</w:t>
      </w:r>
      <w:proofErr w:type="spellEnd"/>
      <w:r w:rsidRPr="00D224C3">
        <w:rPr>
          <w:rFonts w:ascii="Arial" w:hAnsi="Arial" w:cs="Arial"/>
          <w:color w:val="000000" w:themeColor="text1"/>
          <w:lang w:val="en-ID"/>
        </w:rPr>
        <w:t xml:space="preserve"> </w:t>
      </w:r>
      <w:proofErr w:type="spellStart"/>
      <w:r w:rsidRPr="00D224C3">
        <w:rPr>
          <w:rFonts w:ascii="Arial" w:hAnsi="Arial" w:cs="Arial"/>
          <w:color w:val="000000" w:themeColor="text1"/>
          <w:lang w:val="en-ID"/>
        </w:rPr>
        <w:t>Empat</w:t>
      </w:r>
      <w:proofErr w:type="spellEnd"/>
      <w:r w:rsidRPr="00D224C3">
        <w:rPr>
          <w:rFonts w:ascii="Arial" w:hAnsi="Arial" w:cs="Arial"/>
          <w:color w:val="000000" w:themeColor="text1"/>
          <w:lang w:val="en-ID"/>
        </w:rPr>
        <w:t>.</w:t>
      </w:r>
      <w:r w:rsidR="00226357" w:rsidRPr="00D224C3">
        <w:rPr>
          <w:rFonts w:ascii="Arial" w:hAnsi="Arial" w:cs="Arial"/>
          <w:color w:val="FF0000"/>
          <w:lang w:val="en-ID"/>
        </w:rPr>
        <w:t xml:space="preserve"> </w:t>
      </w:r>
      <w:hyperlink r:id="rId14" w:history="1">
        <w:r w:rsidR="00226357" w:rsidRPr="00D224C3">
          <w:rPr>
            <w:rStyle w:val="Hyperlink"/>
            <w:rFonts w:ascii="Arial" w:hAnsi="Arial" w:cs="Arial"/>
            <w:lang w:val="en-ID"/>
          </w:rPr>
          <w:t>https://books.google.co.id/books/about/Akuntansi_keuangan_daerah.html?id=53xTNgAACAAJ&amp;redir_esc=y</w:t>
        </w:r>
      </w:hyperlink>
      <w:r w:rsidR="00226357" w:rsidRPr="00D224C3">
        <w:rPr>
          <w:rFonts w:ascii="Arial" w:hAnsi="Arial" w:cs="Arial"/>
          <w:color w:val="FF0000"/>
          <w:lang w:val="en-ID"/>
        </w:rPr>
        <w:t xml:space="preserve"> </w:t>
      </w:r>
    </w:p>
    <w:p w:rsidR="00D24CA9" w:rsidRPr="00CC24F6" w:rsidRDefault="00D224C3" w:rsidP="003453FD">
      <w:pPr>
        <w:pStyle w:val="Body"/>
        <w:spacing w:after="0"/>
        <w:ind w:left="540" w:hanging="540"/>
        <w:rPr>
          <w:rFonts w:ascii="Arial" w:hAnsi="Arial" w:cs="Arial"/>
          <w:color w:val="FF0000"/>
          <w:highlight w:val="yellow"/>
          <w:lang w:val="en-ID"/>
        </w:rPr>
      </w:pPr>
      <w:r w:rsidRPr="00D224C3">
        <w:rPr>
          <w:rFonts w:ascii="Arial" w:hAnsi="Arial" w:cs="Arial"/>
          <w:color w:val="000000" w:themeColor="text1"/>
          <w:lang w:val="en-ID"/>
        </w:rPr>
        <w:t xml:space="preserve">Halim, A., &amp; Abdullah, S. (2006). </w:t>
      </w:r>
      <w:proofErr w:type="spellStart"/>
      <w:r w:rsidRPr="00D224C3">
        <w:rPr>
          <w:rFonts w:ascii="Arial" w:hAnsi="Arial" w:cs="Arial"/>
          <w:color w:val="000000" w:themeColor="text1"/>
          <w:lang w:val="en-ID"/>
        </w:rPr>
        <w:t>Hubungan</w:t>
      </w:r>
      <w:proofErr w:type="spellEnd"/>
      <w:r w:rsidRPr="00D224C3">
        <w:rPr>
          <w:rFonts w:ascii="Arial" w:hAnsi="Arial" w:cs="Arial"/>
          <w:color w:val="000000" w:themeColor="text1"/>
          <w:lang w:val="en-ID"/>
        </w:rPr>
        <w:t xml:space="preserve"> dan </w:t>
      </w:r>
      <w:proofErr w:type="spellStart"/>
      <w:r w:rsidRPr="00D224C3">
        <w:rPr>
          <w:rFonts w:ascii="Arial" w:hAnsi="Arial" w:cs="Arial"/>
          <w:color w:val="000000" w:themeColor="text1"/>
          <w:lang w:val="en-ID"/>
        </w:rPr>
        <w:t>Masalah</w:t>
      </w:r>
      <w:proofErr w:type="spellEnd"/>
      <w:r w:rsidRPr="00D224C3">
        <w:rPr>
          <w:rFonts w:ascii="Arial" w:hAnsi="Arial" w:cs="Arial"/>
          <w:color w:val="000000" w:themeColor="text1"/>
          <w:lang w:val="en-ID"/>
        </w:rPr>
        <w:t xml:space="preserve"> </w:t>
      </w:r>
      <w:proofErr w:type="spellStart"/>
      <w:r w:rsidRPr="00D224C3">
        <w:rPr>
          <w:rFonts w:ascii="Arial" w:hAnsi="Arial" w:cs="Arial"/>
          <w:color w:val="000000" w:themeColor="text1"/>
          <w:lang w:val="en-ID"/>
        </w:rPr>
        <w:t>Keagenan</w:t>
      </w:r>
      <w:proofErr w:type="spellEnd"/>
      <w:r w:rsidRPr="00D224C3">
        <w:rPr>
          <w:rFonts w:ascii="Arial" w:hAnsi="Arial" w:cs="Arial"/>
          <w:color w:val="000000" w:themeColor="text1"/>
          <w:lang w:val="en-ID"/>
        </w:rPr>
        <w:t xml:space="preserve"> di </w:t>
      </w:r>
      <w:proofErr w:type="spellStart"/>
      <w:r w:rsidRPr="00D224C3">
        <w:rPr>
          <w:rFonts w:ascii="Arial" w:hAnsi="Arial" w:cs="Arial"/>
          <w:color w:val="000000" w:themeColor="text1"/>
          <w:lang w:val="en-ID"/>
        </w:rPr>
        <w:t>Pemerintahan</w:t>
      </w:r>
      <w:proofErr w:type="spellEnd"/>
      <w:r w:rsidRPr="00D224C3">
        <w:rPr>
          <w:rFonts w:ascii="Arial" w:hAnsi="Arial" w:cs="Arial"/>
          <w:color w:val="000000" w:themeColor="text1"/>
          <w:lang w:val="en-ID"/>
        </w:rPr>
        <w:t xml:space="preserve"> Daerah: </w:t>
      </w:r>
      <w:proofErr w:type="spellStart"/>
      <w:r w:rsidRPr="00D224C3">
        <w:rPr>
          <w:rFonts w:ascii="Arial" w:hAnsi="Arial" w:cs="Arial"/>
          <w:color w:val="000000" w:themeColor="text1"/>
          <w:lang w:val="en-ID"/>
        </w:rPr>
        <w:t>Sebuah</w:t>
      </w:r>
      <w:proofErr w:type="spellEnd"/>
      <w:r w:rsidRPr="00D224C3">
        <w:rPr>
          <w:rFonts w:ascii="Arial" w:hAnsi="Arial" w:cs="Arial"/>
          <w:color w:val="000000" w:themeColor="text1"/>
          <w:lang w:val="en-ID"/>
        </w:rPr>
        <w:t xml:space="preserve"> </w:t>
      </w:r>
      <w:proofErr w:type="spellStart"/>
      <w:r w:rsidRPr="00D224C3">
        <w:rPr>
          <w:rFonts w:ascii="Arial" w:hAnsi="Arial" w:cs="Arial"/>
          <w:color w:val="000000" w:themeColor="text1"/>
          <w:lang w:val="en-ID"/>
        </w:rPr>
        <w:t>Peluang</w:t>
      </w:r>
      <w:proofErr w:type="spellEnd"/>
      <w:r w:rsidRPr="00D224C3">
        <w:rPr>
          <w:rFonts w:ascii="Arial" w:hAnsi="Arial" w:cs="Arial"/>
          <w:color w:val="000000" w:themeColor="text1"/>
          <w:lang w:val="en-ID"/>
        </w:rPr>
        <w:t xml:space="preserve"> </w:t>
      </w:r>
      <w:proofErr w:type="spellStart"/>
      <w:r w:rsidRPr="00D224C3">
        <w:rPr>
          <w:rFonts w:ascii="Arial" w:hAnsi="Arial" w:cs="Arial"/>
          <w:color w:val="000000" w:themeColor="text1"/>
          <w:lang w:val="en-ID"/>
        </w:rPr>
        <w:t>Penelitian</w:t>
      </w:r>
      <w:proofErr w:type="spellEnd"/>
      <w:r w:rsidRPr="00D224C3">
        <w:rPr>
          <w:rFonts w:ascii="Arial" w:hAnsi="Arial" w:cs="Arial"/>
          <w:color w:val="000000" w:themeColor="text1"/>
          <w:lang w:val="en-ID"/>
        </w:rPr>
        <w:t xml:space="preserve"> </w:t>
      </w:r>
      <w:proofErr w:type="spellStart"/>
      <w:r w:rsidRPr="00D224C3">
        <w:rPr>
          <w:rFonts w:ascii="Arial" w:hAnsi="Arial" w:cs="Arial"/>
          <w:color w:val="000000" w:themeColor="text1"/>
          <w:lang w:val="en-ID"/>
        </w:rPr>
        <w:t>Anggaran</w:t>
      </w:r>
      <w:proofErr w:type="spellEnd"/>
      <w:r w:rsidRPr="00D224C3">
        <w:rPr>
          <w:rFonts w:ascii="Arial" w:hAnsi="Arial" w:cs="Arial"/>
          <w:color w:val="000000" w:themeColor="text1"/>
          <w:lang w:val="en-ID"/>
        </w:rPr>
        <w:t xml:space="preserve"> dan </w:t>
      </w:r>
      <w:proofErr w:type="spellStart"/>
      <w:r w:rsidRPr="00D224C3">
        <w:rPr>
          <w:rFonts w:ascii="Arial" w:hAnsi="Arial" w:cs="Arial"/>
          <w:color w:val="000000" w:themeColor="text1"/>
          <w:lang w:val="en-ID"/>
        </w:rPr>
        <w:t>Akuntansi</w:t>
      </w:r>
      <w:proofErr w:type="spellEnd"/>
      <w:r w:rsidRPr="00D224C3">
        <w:rPr>
          <w:rFonts w:ascii="Arial" w:hAnsi="Arial" w:cs="Arial"/>
          <w:color w:val="000000" w:themeColor="text1"/>
          <w:lang w:val="en-ID"/>
        </w:rPr>
        <w:t xml:space="preserve">. </w:t>
      </w:r>
      <w:proofErr w:type="spellStart"/>
      <w:r w:rsidRPr="00D224C3">
        <w:rPr>
          <w:rFonts w:ascii="Arial" w:hAnsi="Arial" w:cs="Arial"/>
          <w:color w:val="000000" w:themeColor="text1"/>
          <w:lang w:val="en-ID"/>
        </w:rPr>
        <w:t>Jurnal</w:t>
      </w:r>
      <w:proofErr w:type="spellEnd"/>
      <w:r w:rsidRPr="00D224C3">
        <w:rPr>
          <w:rFonts w:ascii="Arial" w:hAnsi="Arial" w:cs="Arial"/>
          <w:color w:val="000000" w:themeColor="text1"/>
          <w:lang w:val="en-ID"/>
        </w:rPr>
        <w:t xml:space="preserve"> </w:t>
      </w:r>
      <w:proofErr w:type="spellStart"/>
      <w:r w:rsidRPr="00D224C3">
        <w:rPr>
          <w:rFonts w:ascii="Arial" w:hAnsi="Arial" w:cs="Arial"/>
          <w:color w:val="000000" w:themeColor="text1"/>
          <w:lang w:val="en-ID"/>
        </w:rPr>
        <w:t>Akuntansi</w:t>
      </w:r>
      <w:proofErr w:type="spellEnd"/>
      <w:r w:rsidRPr="00D224C3">
        <w:rPr>
          <w:rFonts w:ascii="Arial" w:hAnsi="Arial" w:cs="Arial"/>
          <w:color w:val="000000" w:themeColor="text1"/>
          <w:lang w:val="en-ID"/>
        </w:rPr>
        <w:t xml:space="preserve"> </w:t>
      </w:r>
      <w:proofErr w:type="spellStart"/>
      <w:r w:rsidRPr="00D224C3">
        <w:rPr>
          <w:rFonts w:ascii="Arial" w:hAnsi="Arial" w:cs="Arial"/>
          <w:color w:val="000000" w:themeColor="text1"/>
          <w:lang w:val="en-ID"/>
        </w:rPr>
        <w:t>Pemerintah</w:t>
      </w:r>
      <w:proofErr w:type="spellEnd"/>
      <w:r w:rsidRPr="00D224C3">
        <w:rPr>
          <w:rFonts w:ascii="Arial" w:hAnsi="Arial" w:cs="Arial"/>
          <w:color w:val="000000" w:themeColor="text1"/>
          <w:lang w:val="en-ID"/>
        </w:rPr>
        <w:t>, 2(1), 53–64.</w:t>
      </w:r>
      <w:r w:rsidR="00A16D5C" w:rsidRPr="00CC24F6">
        <w:rPr>
          <w:rFonts w:ascii="Arial" w:hAnsi="Arial" w:cs="Arial"/>
          <w:color w:val="FF0000"/>
          <w:highlight w:val="yellow"/>
          <w:lang w:val="en-ID"/>
        </w:rPr>
        <w:t xml:space="preserve"> </w:t>
      </w:r>
    </w:p>
    <w:p w:rsidR="006C5AA0" w:rsidRPr="00CC24F6" w:rsidRDefault="005A40D7" w:rsidP="003453FD">
      <w:pPr>
        <w:pStyle w:val="Body"/>
        <w:spacing w:after="0"/>
        <w:ind w:left="540" w:hanging="540"/>
        <w:rPr>
          <w:rFonts w:ascii="Arial" w:hAnsi="Arial" w:cs="Arial"/>
          <w:highlight w:val="yellow"/>
          <w:lang w:val="en-ID"/>
        </w:rPr>
      </w:pPr>
      <w:r w:rsidRPr="005A40D7">
        <w:rPr>
          <w:rFonts w:ascii="Arial" w:hAnsi="Arial" w:cs="Arial"/>
          <w:lang w:val="en-ID"/>
        </w:rPr>
        <w:t xml:space="preserve">Hines, J. R., &amp; Thaler, R. H. (1995). The flypaper </w:t>
      </w:r>
      <w:proofErr w:type="gramStart"/>
      <w:r w:rsidRPr="005A40D7">
        <w:rPr>
          <w:rFonts w:ascii="Arial" w:hAnsi="Arial" w:cs="Arial"/>
          <w:lang w:val="en-ID"/>
        </w:rPr>
        <w:t>effect</w:t>
      </w:r>
      <w:proofErr w:type="gramEnd"/>
      <w:r w:rsidRPr="005A40D7">
        <w:rPr>
          <w:rFonts w:ascii="Arial" w:hAnsi="Arial" w:cs="Arial"/>
          <w:lang w:val="en-ID"/>
        </w:rPr>
        <w:t>. Journal of Economic Perspectives, 9(4), 217–226. https://doi.org/10.1257/jep.9.4.217</w:t>
      </w:r>
    </w:p>
    <w:p w:rsidR="00E14CD9" w:rsidRPr="00CC24F6" w:rsidRDefault="00BC3B36" w:rsidP="003453FD">
      <w:pPr>
        <w:pStyle w:val="Body"/>
        <w:spacing w:after="0"/>
        <w:ind w:left="540" w:hanging="540"/>
        <w:rPr>
          <w:rFonts w:ascii="Arial" w:hAnsi="Arial" w:cs="Arial"/>
          <w:highlight w:val="yellow"/>
          <w:lang w:val="en-ID"/>
        </w:rPr>
      </w:pPr>
      <w:r w:rsidRPr="00BC3B36">
        <w:rPr>
          <w:rFonts w:ascii="Arial" w:hAnsi="Arial" w:cs="Arial"/>
          <w:lang w:val="en-ID"/>
        </w:rPr>
        <w:t xml:space="preserve">Jensen, M. C., &amp; </w:t>
      </w:r>
      <w:proofErr w:type="spellStart"/>
      <w:r w:rsidRPr="00BC3B36">
        <w:rPr>
          <w:rFonts w:ascii="Arial" w:hAnsi="Arial" w:cs="Arial"/>
          <w:lang w:val="en-ID"/>
        </w:rPr>
        <w:t>Meckling</w:t>
      </w:r>
      <w:proofErr w:type="spellEnd"/>
      <w:r w:rsidRPr="00BC3B36">
        <w:rPr>
          <w:rFonts w:ascii="Arial" w:hAnsi="Arial" w:cs="Arial"/>
          <w:lang w:val="en-ID"/>
        </w:rPr>
        <w:t xml:space="preserve">, W. H. (1976). Theory of the firm: Managerial </w:t>
      </w:r>
      <w:proofErr w:type="spellStart"/>
      <w:r w:rsidRPr="00BC3B36">
        <w:rPr>
          <w:rFonts w:ascii="Arial" w:hAnsi="Arial" w:cs="Arial"/>
          <w:lang w:val="en-ID"/>
        </w:rPr>
        <w:t>behavior</w:t>
      </w:r>
      <w:proofErr w:type="spellEnd"/>
      <w:r w:rsidRPr="00BC3B36">
        <w:rPr>
          <w:rFonts w:ascii="Arial" w:hAnsi="Arial" w:cs="Arial"/>
          <w:lang w:val="en-ID"/>
        </w:rPr>
        <w:t>, agency costs and ownership structure. Journal of Financial Economics, 3(4), 305–360. https://doi.org/10.1016/0304-405X(76)90026-X</w:t>
      </w:r>
    </w:p>
    <w:p w:rsidR="00E14CD9" w:rsidRPr="007061C3" w:rsidRDefault="00E14CD9" w:rsidP="003453FD">
      <w:pPr>
        <w:pStyle w:val="Body"/>
        <w:spacing w:after="0"/>
        <w:ind w:left="540" w:hanging="540"/>
        <w:rPr>
          <w:rFonts w:ascii="Arial" w:hAnsi="Arial" w:cs="Arial"/>
          <w:lang w:val="en-ID"/>
        </w:rPr>
      </w:pPr>
      <w:r w:rsidRPr="007061C3">
        <w:rPr>
          <w:rFonts w:ascii="Arial" w:hAnsi="Arial" w:cs="Arial"/>
          <w:lang w:val="en-ID"/>
        </w:rPr>
        <w:t xml:space="preserve">Jones, R., &amp; Pendlebury, M. (2000). Public sector accounting. Pearson Education. </w:t>
      </w:r>
      <w:hyperlink r:id="rId15" w:history="1">
        <w:r w:rsidRPr="007061C3">
          <w:rPr>
            <w:rStyle w:val="Hyperlink"/>
            <w:rFonts w:ascii="Arial" w:hAnsi="Arial" w:cs="Arial"/>
            <w:lang w:val="en-ID"/>
          </w:rPr>
          <w:t>https://books.google.com/books/about/Public_Sector_Accounting.html?id=210oAAAACAAJ</w:t>
        </w:r>
      </w:hyperlink>
      <w:r w:rsidRPr="007061C3">
        <w:rPr>
          <w:rFonts w:ascii="Arial" w:hAnsi="Arial" w:cs="Arial"/>
          <w:lang w:val="en-ID"/>
        </w:rPr>
        <w:t xml:space="preserve"> </w:t>
      </w:r>
    </w:p>
    <w:p w:rsidR="00037274" w:rsidRPr="007061C3" w:rsidRDefault="007061C3" w:rsidP="003453FD">
      <w:pPr>
        <w:pStyle w:val="Body"/>
        <w:spacing w:after="0"/>
        <w:ind w:left="540" w:hanging="540"/>
        <w:rPr>
          <w:rFonts w:ascii="Arial" w:hAnsi="Arial" w:cs="Arial"/>
          <w:color w:val="EE0000"/>
          <w:highlight w:val="yellow"/>
        </w:rPr>
      </w:pPr>
      <w:proofErr w:type="spellStart"/>
      <w:r w:rsidRPr="007061C3">
        <w:rPr>
          <w:rFonts w:ascii="Arial" w:hAnsi="Arial" w:cs="Arial"/>
          <w:color w:val="000000" w:themeColor="text1"/>
        </w:rPr>
        <w:lastRenderedPageBreak/>
        <w:t>Malau</w:t>
      </w:r>
      <w:proofErr w:type="spellEnd"/>
      <w:r w:rsidRPr="007061C3">
        <w:rPr>
          <w:rFonts w:ascii="Arial" w:hAnsi="Arial" w:cs="Arial"/>
          <w:color w:val="000000" w:themeColor="text1"/>
        </w:rPr>
        <w:t xml:space="preserve">, P. L., </w:t>
      </w:r>
      <w:proofErr w:type="spellStart"/>
      <w:r w:rsidRPr="007061C3">
        <w:rPr>
          <w:rFonts w:ascii="Arial" w:hAnsi="Arial" w:cs="Arial"/>
          <w:color w:val="000000" w:themeColor="text1"/>
        </w:rPr>
        <w:t>Manik</w:t>
      </w:r>
      <w:proofErr w:type="spellEnd"/>
      <w:r w:rsidRPr="007061C3">
        <w:rPr>
          <w:rFonts w:ascii="Arial" w:hAnsi="Arial" w:cs="Arial"/>
          <w:color w:val="000000" w:themeColor="text1"/>
        </w:rPr>
        <w:t xml:space="preserve">, D. V., </w:t>
      </w:r>
      <w:proofErr w:type="spellStart"/>
      <w:r w:rsidRPr="007061C3">
        <w:rPr>
          <w:rFonts w:ascii="Arial" w:hAnsi="Arial" w:cs="Arial"/>
          <w:color w:val="000000" w:themeColor="text1"/>
        </w:rPr>
        <w:t>Tobing</w:t>
      </w:r>
      <w:proofErr w:type="spellEnd"/>
      <w:r w:rsidRPr="007061C3">
        <w:rPr>
          <w:rFonts w:ascii="Arial" w:hAnsi="Arial" w:cs="Arial"/>
          <w:color w:val="000000" w:themeColor="text1"/>
        </w:rPr>
        <w:t xml:space="preserve">, W. S. L., &amp; </w:t>
      </w:r>
      <w:proofErr w:type="spellStart"/>
      <w:r w:rsidRPr="007061C3">
        <w:rPr>
          <w:rFonts w:ascii="Arial" w:hAnsi="Arial" w:cs="Arial"/>
          <w:color w:val="000000" w:themeColor="text1"/>
        </w:rPr>
        <w:t>Pulungan</w:t>
      </w:r>
      <w:proofErr w:type="spellEnd"/>
      <w:r w:rsidRPr="007061C3">
        <w:rPr>
          <w:rFonts w:ascii="Arial" w:hAnsi="Arial" w:cs="Arial"/>
          <w:color w:val="000000" w:themeColor="text1"/>
        </w:rPr>
        <w:t xml:space="preserve">, W. R. (2023). </w:t>
      </w:r>
      <w:proofErr w:type="spellStart"/>
      <w:r w:rsidRPr="007061C3">
        <w:rPr>
          <w:rFonts w:ascii="Arial" w:hAnsi="Arial" w:cs="Arial"/>
          <w:color w:val="000000" w:themeColor="text1"/>
        </w:rPr>
        <w:t>Pengelolaan</w:t>
      </w:r>
      <w:proofErr w:type="spellEnd"/>
      <w:r w:rsidRPr="007061C3">
        <w:rPr>
          <w:rFonts w:ascii="Arial" w:hAnsi="Arial" w:cs="Arial"/>
          <w:color w:val="000000" w:themeColor="text1"/>
        </w:rPr>
        <w:t xml:space="preserve"> Dana </w:t>
      </w:r>
      <w:proofErr w:type="spellStart"/>
      <w:r w:rsidRPr="007061C3">
        <w:rPr>
          <w:rFonts w:ascii="Arial" w:hAnsi="Arial" w:cs="Arial"/>
          <w:color w:val="000000" w:themeColor="text1"/>
        </w:rPr>
        <w:t>Alokasi</w:t>
      </w:r>
      <w:proofErr w:type="spellEnd"/>
      <w:r w:rsidRPr="007061C3">
        <w:rPr>
          <w:rFonts w:ascii="Arial" w:hAnsi="Arial" w:cs="Arial"/>
          <w:color w:val="000000" w:themeColor="text1"/>
        </w:rPr>
        <w:t xml:space="preserve"> </w:t>
      </w:r>
      <w:proofErr w:type="spellStart"/>
      <w:r w:rsidRPr="007061C3">
        <w:rPr>
          <w:rFonts w:ascii="Arial" w:hAnsi="Arial" w:cs="Arial"/>
          <w:color w:val="000000" w:themeColor="text1"/>
        </w:rPr>
        <w:t>Umum</w:t>
      </w:r>
      <w:proofErr w:type="spellEnd"/>
      <w:r w:rsidRPr="007061C3">
        <w:rPr>
          <w:rFonts w:ascii="Arial" w:hAnsi="Arial" w:cs="Arial"/>
          <w:color w:val="000000" w:themeColor="text1"/>
        </w:rPr>
        <w:t xml:space="preserve"> (DAU), </w:t>
      </w:r>
      <w:proofErr w:type="spellStart"/>
      <w:r w:rsidRPr="007061C3">
        <w:rPr>
          <w:rFonts w:ascii="Arial" w:hAnsi="Arial" w:cs="Arial"/>
          <w:color w:val="000000" w:themeColor="text1"/>
        </w:rPr>
        <w:t>Alokasi</w:t>
      </w:r>
      <w:proofErr w:type="spellEnd"/>
      <w:r w:rsidRPr="007061C3">
        <w:rPr>
          <w:rFonts w:ascii="Arial" w:hAnsi="Arial" w:cs="Arial"/>
          <w:color w:val="000000" w:themeColor="text1"/>
        </w:rPr>
        <w:t xml:space="preserve"> </w:t>
      </w:r>
      <w:proofErr w:type="spellStart"/>
      <w:r w:rsidRPr="007061C3">
        <w:rPr>
          <w:rFonts w:ascii="Arial" w:hAnsi="Arial" w:cs="Arial"/>
          <w:color w:val="000000" w:themeColor="text1"/>
        </w:rPr>
        <w:t>Khusus</w:t>
      </w:r>
      <w:proofErr w:type="spellEnd"/>
      <w:r w:rsidRPr="007061C3">
        <w:rPr>
          <w:rFonts w:ascii="Arial" w:hAnsi="Arial" w:cs="Arial"/>
          <w:color w:val="000000" w:themeColor="text1"/>
        </w:rPr>
        <w:t xml:space="preserve"> (DAK), dan Dana </w:t>
      </w:r>
      <w:proofErr w:type="spellStart"/>
      <w:r w:rsidRPr="007061C3">
        <w:rPr>
          <w:rFonts w:ascii="Arial" w:hAnsi="Arial" w:cs="Arial"/>
          <w:color w:val="000000" w:themeColor="text1"/>
        </w:rPr>
        <w:t>Bagi</w:t>
      </w:r>
      <w:proofErr w:type="spellEnd"/>
      <w:r w:rsidRPr="007061C3">
        <w:rPr>
          <w:rFonts w:ascii="Arial" w:hAnsi="Arial" w:cs="Arial"/>
          <w:color w:val="000000" w:themeColor="text1"/>
        </w:rPr>
        <w:t xml:space="preserve"> Hasil </w:t>
      </w:r>
      <w:proofErr w:type="spellStart"/>
      <w:r w:rsidRPr="007061C3">
        <w:rPr>
          <w:rFonts w:ascii="Arial" w:hAnsi="Arial" w:cs="Arial"/>
          <w:color w:val="000000" w:themeColor="text1"/>
        </w:rPr>
        <w:t>Pajak</w:t>
      </w:r>
      <w:proofErr w:type="spellEnd"/>
      <w:r w:rsidRPr="007061C3">
        <w:rPr>
          <w:rFonts w:ascii="Arial" w:hAnsi="Arial" w:cs="Arial"/>
          <w:color w:val="000000" w:themeColor="text1"/>
        </w:rPr>
        <w:t xml:space="preserve"> (DBHP) di </w:t>
      </w:r>
      <w:proofErr w:type="spellStart"/>
      <w:r w:rsidRPr="007061C3">
        <w:rPr>
          <w:rFonts w:ascii="Arial" w:hAnsi="Arial" w:cs="Arial"/>
          <w:color w:val="000000" w:themeColor="text1"/>
        </w:rPr>
        <w:t>Provinsi</w:t>
      </w:r>
      <w:proofErr w:type="spellEnd"/>
      <w:r w:rsidRPr="007061C3">
        <w:rPr>
          <w:rFonts w:ascii="Arial" w:hAnsi="Arial" w:cs="Arial"/>
          <w:color w:val="000000" w:themeColor="text1"/>
        </w:rPr>
        <w:t xml:space="preserve"> Sumatra Utara. </w:t>
      </w:r>
      <w:proofErr w:type="spellStart"/>
      <w:r w:rsidRPr="007061C3">
        <w:rPr>
          <w:rFonts w:ascii="Arial" w:hAnsi="Arial" w:cs="Arial"/>
          <w:color w:val="000000" w:themeColor="text1"/>
        </w:rPr>
        <w:t>Jurnal</w:t>
      </w:r>
      <w:proofErr w:type="spellEnd"/>
      <w:r w:rsidRPr="007061C3">
        <w:rPr>
          <w:rFonts w:ascii="Arial" w:hAnsi="Arial" w:cs="Arial"/>
          <w:color w:val="000000" w:themeColor="text1"/>
        </w:rPr>
        <w:t xml:space="preserve"> </w:t>
      </w:r>
      <w:proofErr w:type="spellStart"/>
      <w:r w:rsidRPr="007061C3">
        <w:rPr>
          <w:rFonts w:ascii="Arial" w:hAnsi="Arial" w:cs="Arial"/>
          <w:color w:val="000000" w:themeColor="text1"/>
        </w:rPr>
        <w:t>Sistem</w:t>
      </w:r>
      <w:proofErr w:type="spellEnd"/>
      <w:r w:rsidRPr="007061C3">
        <w:rPr>
          <w:rFonts w:ascii="Arial" w:hAnsi="Arial" w:cs="Arial"/>
          <w:color w:val="000000" w:themeColor="text1"/>
        </w:rPr>
        <w:t xml:space="preserve"> </w:t>
      </w:r>
      <w:proofErr w:type="spellStart"/>
      <w:r w:rsidRPr="007061C3">
        <w:rPr>
          <w:rFonts w:ascii="Arial" w:hAnsi="Arial" w:cs="Arial"/>
          <w:color w:val="000000" w:themeColor="text1"/>
        </w:rPr>
        <w:t>Informasi</w:t>
      </w:r>
      <w:proofErr w:type="spellEnd"/>
      <w:r w:rsidRPr="007061C3">
        <w:rPr>
          <w:rFonts w:ascii="Arial" w:hAnsi="Arial" w:cs="Arial"/>
          <w:color w:val="000000" w:themeColor="text1"/>
        </w:rPr>
        <w:t xml:space="preserve">, </w:t>
      </w:r>
      <w:proofErr w:type="spellStart"/>
      <w:r w:rsidRPr="007061C3">
        <w:rPr>
          <w:rFonts w:ascii="Arial" w:hAnsi="Arial" w:cs="Arial"/>
          <w:color w:val="000000" w:themeColor="text1"/>
        </w:rPr>
        <w:t>Akuntansi</w:t>
      </w:r>
      <w:proofErr w:type="spellEnd"/>
      <w:r w:rsidRPr="007061C3">
        <w:rPr>
          <w:rFonts w:ascii="Arial" w:hAnsi="Arial" w:cs="Arial"/>
          <w:color w:val="000000" w:themeColor="text1"/>
        </w:rPr>
        <w:t xml:space="preserve"> dan </w:t>
      </w:r>
      <w:proofErr w:type="spellStart"/>
      <w:r w:rsidRPr="007061C3">
        <w:rPr>
          <w:rFonts w:ascii="Arial" w:hAnsi="Arial" w:cs="Arial"/>
          <w:color w:val="000000" w:themeColor="text1"/>
        </w:rPr>
        <w:t>Manajemen</w:t>
      </w:r>
      <w:proofErr w:type="spellEnd"/>
      <w:r w:rsidRPr="007061C3">
        <w:rPr>
          <w:rFonts w:ascii="Arial" w:hAnsi="Arial" w:cs="Arial"/>
          <w:color w:val="000000" w:themeColor="text1"/>
        </w:rPr>
        <w:t>, 3(3), 421-431. https://doi.org/10.54951/sintama.v3i3.678</w:t>
      </w:r>
      <w:r w:rsidR="00170081" w:rsidRPr="007061C3">
        <w:rPr>
          <w:rFonts w:ascii="Arial" w:hAnsi="Arial" w:cs="Arial"/>
          <w:color w:val="EE0000"/>
          <w:highlight w:val="yellow"/>
        </w:rPr>
        <w:t xml:space="preserve"> </w:t>
      </w:r>
    </w:p>
    <w:p w:rsidR="003C2B39" w:rsidRPr="007061C3" w:rsidRDefault="005A6E01" w:rsidP="003453FD">
      <w:pPr>
        <w:pStyle w:val="Body"/>
        <w:spacing w:after="0"/>
        <w:ind w:left="540" w:hanging="540"/>
        <w:rPr>
          <w:rFonts w:ascii="Arial" w:hAnsi="Arial" w:cs="Arial"/>
          <w:highlight w:val="yellow"/>
          <w:lang w:val="en-ID"/>
        </w:rPr>
      </w:pPr>
      <w:proofErr w:type="spellStart"/>
      <w:r w:rsidRPr="005A6E01">
        <w:rPr>
          <w:rFonts w:ascii="Arial" w:hAnsi="Arial" w:cs="Arial"/>
          <w:lang w:val="en-ID"/>
        </w:rPr>
        <w:t>Mardiasmo</w:t>
      </w:r>
      <w:proofErr w:type="spellEnd"/>
      <w:r w:rsidRPr="005A6E01">
        <w:rPr>
          <w:rFonts w:ascii="Arial" w:hAnsi="Arial" w:cs="Arial"/>
          <w:lang w:val="en-ID"/>
        </w:rPr>
        <w:t xml:space="preserve">. (2002). </w:t>
      </w:r>
      <w:proofErr w:type="spellStart"/>
      <w:r w:rsidRPr="005A6E01">
        <w:rPr>
          <w:rFonts w:ascii="Arial" w:hAnsi="Arial" w:cs="Arial"/>
          <w:lang w:val="en-ID"/>
        </w:rPr>
        <w:t>Otonomi</w:t>
      </w:r>
      <w:proofErr w:type="spellEnd"/>
      <w:r w:rsidRPr="005A6E01">
        <w:rPr>
          <w:rFonts w:ascii="Arial" w:hAnsi="Arial" w:cs="Arial"/>
          <w:lang w:val="en-ID"/>
        </w:rPr>
        <w:t xml:space="preserve"> dan </w:t>
      </w:r>
      <w:proofErr w:type="spellStart"/>
      <w:r w:rsidRPr="005A6E01">
        <w:rPr>
          <w:rFonts w:ascii="Arial" w:hAnsi="Arial" w:cs="Arial"/>
          <w:lang w:val="en-ID"/>
        </w:rPr>
        <w:t>manajemen</w:t>
      </w:r>
      <w:proofErr w:type="spellEnd"/>
      <w:r w:rsidRPr="005A6E01">
        <w:rPr>
          <w:rFonts w:ascii="Arial" w:hAnsi="Arial" w:cs="Arial"/>
          <w:lang w:val="en-ID"/>
        </w:rPr>
        <w:t xml:space="preserve"> </w:t>
      </w:r>
      <w:proofErr w:type="spellStart"/>
      <w:r w:rsidRPr="005A6E01">
        <w:rPr>
          <w:rFonts w:ascii="Arial" w:hAnsi="Arial" w:cs="Arial"/>
          <w:lang w:val="en-ID"/>
        </w:rPr>
        <w:t>keuangan</w:t>
      </w:r>
      <w:proofErr w:type="spellEnd"/>
      <w:r w:rsidRPr="005A6E01">
        <w:rPr>
          <w:rFonts w:ascii="Arial" w:hAnsi="Arial" w:cs="Arial"/>
          <w:lang w:val="en-ID"/>
        </w:rPr>
        <w:t xml:space="preserve"> </w:t>
      </w:r>
      <w:proofErr w:type="spellStart"/>
      <w:r w:rsidRPr="005A6E01">
        <w:rPr>
          <w:rFonts w:ascii="Arial" w:hAnsi="Arial" w:cs="Arial"/>
          <w:lang w:val="en-ID"/>
        </w:rPr>
        <w:t>daerah</w:t>
      </w:r>
      <w:proofErr w:type="spellEnd"/>
      <w:r w:rsidRPr="005A6E01">
        <w:rPr>
          <w:rFonts w:ascii="Arial" w:hAnsi="Arial" w:cs="Arial"/>
          <w:lang w:val="en-ID"/>
        </w:rPr>
        <w:t>. Andi. https://lib.ui.ac.id/detail?id=26649</w:t>
      </w:r>
    </w:p>
    <w:p w:rsidR="003C2B39" w:rsidRPr="007061C3" w:rsidRDefault="002A6FC1" w:rsidP="003453FD">
      <w:pPr>
        <w:pStyle w:val="Body"/>
        <w:spacing w:after="0"/>
        <w:ind w:left="540" w:hanging="540"/>
        <w:rPr>
          <w:rFonts w:ascii="Arial" w:hAnsi="Arial" w:cs="Arial"/>
          <w:highlight w:val="yellow"/>
          <w:lang w:val="en-ID"/>
        </w:rPr>
      </w:pPr>
      <w:r w:rsidRPr="002A6FC1">
        <w:rPr>
          <w:rFonts w:ascii="Arial" w:hAnsi="Arial" w:cs="Arial"/>
          <w:lang w:val="en-ID"/>
        </w:rPr>
        <w:t xml:space="preserve">Miles, M. B., Huberman, A. M., &amp; </w:t>
      </w:r>
      <w:proofErr w:type="spellStart"/>
      <w:r w:rsidRPr="002A6FC1">
        <w:rPr>
          <w:rFonts w:ascii="Arial" w:hAnsi="Arial" w:cs="Arial"/>
          <w:lang w:val="en-ID"/>
        </w:rPr>
        <w:t>Saldaña</w:t>
      </w:r>
      <w:proofErr w:type="spellEnd"/>
      <w:r w:rsidRPr="002A6FC1">
        <w:rPr>
          <w:rFonts w:ascii="Arial" w:hAnsi="Arial" w:cs="Arial"/>
          <w:lang w:val="en-ID"/>
        </w:rPr>
        <w:t>, J. (2014). Qualitative data analysis: A methods sourcebook (3rd ed.). Sage Publications. https://study.sagepub.com/mileshuberman3e</w:t>
      </w:r>
    </w:p>
    <w:p w:rsidR="003C2B39" w:rsidRPr="007061C3" w:rsidRDefault="0000259F" w:rsidP="003453FD">
      <w:pPr>
        <w:pStyle w:val="Body"/>
        <w:spacing w:after="0"/>
        <w:ind w:left="540" w:hanging="540"/>
        <w:rPr>
          <w:rFonts w:ascii="Arial" w:hAnsi="Arial" w:cs="Arial"/>
          <w:highlight w:val="yellow"/>
          <w:lang w:val="en-ID"/>
        </w:rPr>
      </w:pPr>
      <w:r w:rsidRPr="0000259F">
        <w:rPr>
          <w:rFonts w:ascii="Arial" w:hAnsi="Arial" w:cs="Arial"/>
          <w:lang w:val="en-ID"/>
        </w:rPr>
        <w:t xml:space="preserve">Moher, D., </w:t>
      </w:r>
      <w:proofErr w:type="spellStart"/>
      <w:r w:rsidRPr="0000259F">
        <w:rPr>
          <w:rFonts w:ascii="Arial" w:hAnsi="Arial" w:cs="Arial"/>
          <w:lang w:val="en-ID"/>
        </w:rPr>
        <w:t>Liberati</w:t>
      </w:r>
      <w:proofErr w:type="spellEnd"/>
      <w:r w:rsidRPr="0000259F">
        <w:rPr>
          <w:rFonts w:ascii="Arial" w:hAnsi="Arial" w:cs="Arial"/>
          <w:lang w:val="en-ID"/>
        </w:rPr>
        <w:t xml:space="preserve">, A., </w:t>
      </w:r>
      <w:proofErr w:type="spellStart"/>
      <w:r w:rsidRPr="0000259F">
        <w:rPr>
          <w:rFonts w:ascii="Arial" w:hAnsi="Arial" w:cs="Arial"/>
          <w:lang w:val="en-ID"/>
        </w:rPr>
        <w:t>Tetzlaff</w:t>
      </w:r>
      <w:proofErr w:type="spellEnd"/>
      <w:r w:rsidRPr="0000259F">
        <w:rPr>
          <w:rFonts w:ascii="Arial" w:hAnsi="Arial" w:cs="Arial"/>
          <w:lang w:val="en-ID"/>
        </w:rPr>
        <w:t xml:space="preserve">, J., Altman, D. G., &amp; The PRISMA Group. (2009). Preferred Reporting Items for Systematic Reviews and Meta-Analyses: The PRISMA Statement. </w:t>
      </w:r>
      <w:proofErr w:type="spellStart"/>
      <w:r w:rsidRPr="0000259F">
        <w:rPr>
          <w:rFonts w:ascii="Arial" w:hAnsi="Arial" w:cs="Arial"/>
          <w:lang w:val="en-ID"/>
        </w:rPr>
        <w:t>PLoS</w:t>
      </w:r>
      <w:proofErr w:type="spellEnd"/>
      <w:r w:rsidRPr="0000259F">
        <w:rPr>
          <w:rFonts w:ascii="Arial" w:hAnsi="Arial" w:cs="Arial"/>
          <w:lang w:val="en-ID"/>
        </w:rPr>
        <w:t xml:space="preserve"> Medicine. https://doi.org/10.1371/journal.pmed.1000097</w:t>
      </w:r>
    </w:p>
    <w:p w:rsidR="003C2B39" w:rsidRPr="007061C3" w:rsidRDefault="00E82FB7" w:rsidP="003453FD">
      <w:pPr>
        <w:pStyle w:val="Body"/>
        <w:spacing w:after="0"/>
        <w:ind w:left="540" w:hanging="540"/>
        <w:rPr>
          <w:rFonts w:ascii="Arial" w:hAnsi="Arial" w:cs="Arial"/>
          <w:highlight w:val="yellow"/>
          <w:lang w:val="en-ID"/>
        </w:rPr>
      </w:pPr>
      <w:r w:rsidRPr="00E82FB7">
        <w:rPr>
          <w:rFonts w:ascii="Arial" w:hAnsi="Arial" w:cs="Arial"/>
          <w:lang w:val="en-ID"/>
        </w:rPr>
        <w:t xml:space="preserve">Nordhaus, W. D. (1975). The political business </w:t>
      </w:r>
      <w:proofErr w:type="gramStart"/>
      <w:r w:rsidRPr="00E82FB7">
        <w:rPr>
          <w:rFonts w:ascii="Arial" w:hAnsi="Arial" w:cs="Arial"/>
          <w:lang w:val="en-ID"/>
        </w:rPr>
        <w:t>cycle</w:t>
      </w:r>
      <w:proofErr w:type="gramEnd"/>
      <w:r w:rsidRPr="00E82FB7">
        <w:rPr>
          <w:rFonts w:ascii="Arial" w:hAnsi="Arial" w:cs="Arial"/>
          <w:lang w:val="en-ID"/>
        </w:rPr>
        <w:t>. The Review of Economic Studies, 42(2), 169–190. https://doi.org/10.2307/2296528</w:t>
      </w:r>
    </w:p>
    <w:p w:rsidR="003C2B39" w:rsidRPr="00FB5C49" w:rsidRDefault="003C2B39" w:rsidP="003453FD">
      <w:pPr>
        <w:pStyle w:val="Body"/>
        <w:spacing w:after="0"/>
        <w:ind w:left="540" w:hanging="540"/>
        <w:rPr>
          <w:rFonts w:ascii="Arial" w:hAnsi="Arial" w:cs="Arial"/>
          <w:lang w:val="en-ID"/>
        </w:rPr>
      </w:pPr>
      <w:r w:rsidRPr="00FB5C49">
        <w:rPr>
          <w:rFonts w:ascii="Arial" w:hAnsi="Arial" w:cs="Arial"/>
          <w:lang w:val="en-ID"/>
        </w:rPr>
        <w:t xml:space="preserve">Oates, W. E. (1979). Lump-sum intergovernmental grants have price effects. In P. </w:t>
      </w:r>
      <w:proofErr w:type="spellStart"/>
      <w:r w:rsidRPr="00FB5C49">
        <w:rPr>
          <w:rFonts w:ascii="Arial" w:hAnsi="Arial" w:cs="Arial"/>
          <w:lang w:val="en-ID"/>
        </w:rPr>
        <w:t>Mieszkowski</w:t>
      </w:r>
      <w:proofErr w:type="spellEnd"/>
      <w:r w:rsidRPr="00FB5C49">
        <w:rPr>
          <w:rFonts w:ascii="Arial" w:hAnsi="Arial" w:cs="Arial"/>
          <w:lang w:val="en-ID"/>
        </w:rPr>
        <w:t xml:space="preserve"> &amp; W. H. Oakland (Eds.), Fiscal federalism and grants-in-aid (pp. 23–30). The Urban Institute. </w:t>
      </w:r>
      <w:hyperlink r:id="rId16" w:history="1">
        <w:r w:rsidRPr="00FB5C49">
          <w:rPr>
            <w:rStyle w:val="Hyperlink"/>
            <w:rFonts w:ascii="Arial" w:hAnsi="Arial" w:cs="Arial"/>
            <w:lang w:val="en-ID"/>
          </w:rPr>
          <w:t>https://books.google.com/books?id=y_Q_AAAAMAAJ&amp;q=Lump-Sum+Intergovernmental+Grants+Have+Price</w:t>
        </w:r>
      </w:hyperlink>
    </w:p>
    <w:p w:rsidR="003C2B39" w:rsidRPr="007061C3" w:rsidRDefault="00FB5C49" w:rsidP="003453FD">
      <w:pPr>
        <w:pStyle w:val="Body"/>
        <w:spacing w:after="0"/>
        <w:ind w:left="540" w:hanging="540"/>
        <w:rPr>
          <w:rFonts w:ascii="Arial" w:hAnsi="Arial" w:cs="Arial"/>
          <w:highlight w:val="yellow"/>
        </w:rPr>
      </w:pPr>
      <w:proofErr w:type="spellStart"/>
      <w:r w:rsidRPr="00FB5C49">
        <w:rPr>
          <w:rFonts w:ascii="Arial" w:hAnsi="Arial" w:cs="Arial"/>
        </w:rPr>
        <w:t>Ramadini</w:t>
      </w:r>
      <w:proofErr w:type="spellEnd"/>
      <w:r w:rsidRPr="00FB5C49">
        <w:rPr>
          <w:rFonts w:ascii="Arial" w:hAnsi="Arial" w:cs="Arial"/>
        </w:rPr>
        <w:t xml:space="preserve">, U., &amp; </w:t>
      </w:r>
      <w:proofErr w:type="spellStart"/>
      <w:r w:rsidRPr="00FB5C49">
        <w:rPr>
          <w:rFonts w:ascii="Arial" w:hAnsi="Arial" w:cs="Arial"/>
        </w:rPr>
        <w:t>Safrida</w:t>
      </w:r>
      <w:proofErr w:type="spellEnd"/>
      <w:r w:rsidRPr="00FB5C49">
        <w:rPr>
          <w:rFonts w:ascii="Arial" w:hAnsi="Arial" w:cs="Arial"/>
        </w:rPr>
        <w:t xml:space="preserve">, L. (2024). Determinants of Budgeting Opportunistic Behavior. </w:t>
      </w:r>
      <w:proofErr w:type="spellStart"/>
      <w:r w:rsidRPr="00FB5C49">
        <w:rPr>
          <w:rFonts w:ascii="Arial" w:hAnsi="Arial" w:cs="Arial"/>
        </w:rPr>
        <w:t>Dinasti</w:t>
      </w:r>
      <w:proofErr w:type="spellEnd"/>
      <w:r w:rsidRPr="00FB5C49">
        <w:rPr>
          <w:rFonts w:ascii="Arial" w:hAnsi="Arial" w:cs="Arial"/>
        </w:rPr>
        <w:t xml:space="preserve"> International Journal of Economics, Finance &amp; Accounting (DIJEFA), 5(4). https://doi.org/10.38035/dijefa.v5i4.3088</w:t>
      </w:r>
      <w:r w:rsidR="003C2B39" w:rsidRPr="007061C3">
        <w:rPr>
          <w:rFonts w:ascii="Arial" w:hAnsi="Arial" w:cs="Arial"/>
          <w:highlight w:val="yellow"/>
        </w:rPr>
        <w:t xml:space="preserve"> </w:t>
      </w:r>
    </w:p>
    <w:p w:rsidR="003C2B39" w:rsidRPr="005A0BC4" w:rsidRDefault="003C2B39" w:rsidP="003453FD">
      <w:pPr>
        <w:pStyle w:val="Body"/>
        <w:spacing w:after="0"/>
        <w:ind w:left="540" w:hanging="540"/>
        <w:rPr>
          <w:rFonts w:ascii="Arial" w:hAnsi="Arial" w:cs="Arial"/>
          <w:lang w:val="en-ID"/>
        </w:rPr>
      </w:pPr>
      <w:r w:rsidRPr="005A0BC4">
        <w:rPr>
          <w:rFonts w:ascii="Arial" w:hAnsi="Arial" w:cs="Arial"/>
          <w:lang w:val="en-ID"/>
        </w:rPr>
        <w:t xml:space="preserve">Ramadhani, A., &amp; Setiawan, R. (2021). </w:t>
      </w:r>
      <w:proofErr w:type="spellStart"/>
      <w:r w:rsidRPr="005A0BC4">
        <w:rPr>
          <w:rFonts w:ascii="Arial" w:hAnsi="Arial" w:cs="Arial"/>
          <w:lang w:val="en-ID"/>
        </w:rPr>
        <w:t>SiLPA</w:t>
      </w:r>
      <w:proofErr w:type="spellEnd"/>
      <w:r w:rsidRPr="005A0BC4">
        <w:rPr>
          <w:rFonts w:ascii="Arial" w:hAnsi="Arial" w:cs="Arial"/>
          <w:lang w:val="en-ID"/>
        </w:rPr>
        <w:t xml:space="preserve"> persistence and pre-election fiscal expansion in Indonesia. </w:t>
      </w:r>
      <w:proofErr w:type="spellStart"/>
      <w:r w:rsidRPr="005A0BC4">
        <w:rPr>
          <w:rFonts w:ascii="Arial" w:hAnsi="Arial" w:cs="Arial"/>
          <w:lang w:val="en-ID"/>
        </w:rPr>
        <w:t>Jurnal</w:t>
      </w:r>
      <w:proofErr w:type="spellEnd"/>
      <w:r w:rsidRPr="005A0BC4">
        <w:rPr>
          <w:rFonts w:ascii="Arial" w:hAnsi="Arial" w:cs="Arial"/>
          <w:lang w:val="en-ID"/>
        </w:rPr>
        <w:t xml:space="preserve"> </w:t>
      </w:r>
      <w:proofErr w:type="spellStart"/>
      <w:r w:rsidRPr="005A0BC4">
        <w:rPr>
          <w:rFonts w:ascii="Arial" w:hAnsi="Arial" w:cs="Arial"/>
          <w:lang w:val="en-ID"/>
        </w:rPr>
        <w:t>Ekonomi</w:t>
      </w:r>
      <w:proofErr w:type="spellEnd"/>
      <w:r w:rsidRPr="005A0BC4">
        <w:rPr>
          <w:rFonts w:ascii="Arial" w:hAnsi="Arial" w:cs="Arial"/>
          <w:lang w:val="en-ID"/>
        </w:rPr>
        <w:t xml:space="preserve"> dan Pembangunan. </w:t>
      </w:r>
      <w:hyperlink r:id="rId17" w:history="1">
        <w:r w:rsidRPr="005A0BC4">
          <w:rPr>
            <w:rStyle w:val="Hyperlink"/>
            <w:rFonts w:ascii="Arial" w:hAnsi="Arial" w:cs="Arial"/>
            <w:lang w:val="en-ID"/>
          </w:rPr>
          <w:t>https://doi.org/10.29259/jep.v29i1.15000</w:t>
        </w:r>
      </w:hyperlink>
    </w:p>
    <w:p w:rsidR="003C2B39" w:rsidRPr="007061C3" w:rsidRDefault="005A0BC4" w:rsidP="003453FD">
      <w:pPr>
        <w:pStyle w:val="Body"/>
        <w:spacing w:after="0"/>
        <w:ind w:left="540" w:hanging="540"/>
        <w:rPr>
          <w:rFonts w:ascii="Arial" w:hAnsi="Arial" w:cs="Arial"/>
          <w:highlight w:val="yellow"/>
          <w:lang w:val="en-ID"/>
        </w:rPr>
      </w:pPr>
      <w:proofErr w:type="spellStart"/>
      <w:r w:rsidRPr="005A0BC4">
        <w:rPr>
          <w:rFonts w:ascii="Arial" w:hAnsi="Arial" w:cs="Arial"/>
          <w:lang w:val="en-ID"/>
        </w:rPr>
        <w:t>Ramirio</w:t>
      </w:r>
      <w:proofErr w:type="spellEnd"/>
      <w:r w:rsidRPr="005A0BC4">
        <w:rPr>
          <w:rFonts w:ascii="Arial" w:hAnsi="Arial" w:cs="Arial"/>
          <w:lang w:val="en-ID"/>
        </w:rPr>
        <w:t xml:space="preserve">, L. D., Pereira, W. R., &amp; </w:t>
      </w:r>
      <w:proofErr w:type="spellStart"/>
      <w:r w:rsidRPr="005A0BC4">
        <w:rPr>
          <w:rFonts w:ascii="Arial" w:hAnsi="Arial" w:cs="Arial"/>
          <w:lang w:val="en-ID"/>
        </w:rPr>
        <w:t>Alcântara</w:t>
      </w:r>
      <w:proofErr w:type="spellEnd"/>
      <w:r w:rsidRPr="005A0BC4">
        <w:rPr>
          <w:rFonts w:ascii="Arial" w:hAnsi="Arial" w:cs="Arial"/>
          <w:lang w:val="en-ID"/>
        </w:rPr>
        <w:t xml:space="preserve">, J. N. (2021). Opportunistic </w:t>
      </w:r>
      <w:proofErr w:type="spellStart"/>
      <w:r w:rsidRPr="005A0BC4">
        <w:rPr>
          <w:rFonts w:ascii="Arial" w:hAnsi="Arial" w:cs="Arial"/>
          <w:lang w:val="en-ID"/>
        </w:rPr>
        <w:t>behavior</w:t>
      </w:r>
      <w:proofErr w:type="spellEnd"/>
      <w:r w:rsidRPr="005A0BC4">
        <w:rPr>
          <w:rFonts w:ascii="Arial" w:hAnsi="Arial" w:cs="Arial"/>
          <w:lang w:val="en-ID"/>
        </w:rPr>
        <w:t xml:space="preserve"> in public bidding of agricultural products in IFSULDEMINAS - Campus </w:t>
      </w:r>
      <w:proofErr w:type="spellStart"/>
      <w:r w:rsidRPr="005A0BC4">
        <w:rPr>
          <w:rFonts w:ascii="Arial" w:hAnsi="Arial" w:cs="Arial"/>
          <w:lang w:val="en-ID"/>
        </w:rPr>
        <w:t>Inconfidentes</w:t>
      </w:r>
      <w:proofErr w:type="spellEnd"/>
      <w:r w:rsidRPr="005A0BC4">
        <w:rPr>
          <w:rFonts w:ascii="Arial" w:hAnsi="Arial" w:cs="Arial"/>
          <w:lang w:val="en-ID"/>
        </w:rPr>
        <w:t xml:space="preserve">. </w:t>
      </w:r>
      <w:proofErr w:type="spellStart"/>
      <w:r w:rsidRPr="005A0BC4">
        <w:rPr>
          <w:rFonts w:ascii="Arial" w:hAnsi="Arial" w:cs="Arial"/>
          <w:lang w:val="en-ID"/>
        </w:rPr>
        <w:t>Gestão</w:t>
      </w:r>
      <w:proofErr w:type="spellEnd"/>
      <w:r w:rsidRPr="005A0BC4">
        <w:rPr>
          <w:rFonts w:ascii="Arial" w:hAnsi="Arial" w:cs="Arial"/>
          <w:lang w:val="en-ID"/>
        </w:rPr>
        <w:t xml:space="preserve"> &amp; </w:t>
      </w:r>
      <w:proofErr w:type="spellStart"/>
      <w:r w:rsidRPr="005A0BC4">
        <w:rPr>
          <w:rFonts w:ascii="Arial" w:hAnsi="Arial" w:cs="Arial"/>
          <w:lang w:val="en-ID"/>
        </w:rPr>
        <w:t>Produção</w:t>
      </w:r>
      <w:proofErr w:type="spellEnd"/>
      <w:r w:rsidRPr="005A0BC4">
        <w:rPr>
          <w:rFonts w:ascii="Arial" w:hAnsi="Arial" w:cs="Arial"/>
          <w:lang w:val="en-ID"/>
        </w:rPr>
        <w:t>, 28(1), e4832. https://doi.org/10.1590/1806-9649.2020v28e4832</w:t>
      </w:r>
    </w:p>
    <w:p w:rsidR="00D24CA9" w:rsidRPr="00CF43E0" w:rsidRDefault="00D24CA9" w:rsidP="003453FD">
      <w:pPr>
        <w:pStyle w:val="Body"/>
        <w:spacing w:after="0"/>
        <w:ind w:left="540" w:hanging="540"/>
        <w:rPr>
          <w:rFonts w:ascii="Arial" w:hAnsi="Arial" w:cs="Arial"/>
          <w:lang w:val="en-ID"/>
        </w:rPr>
      </w:pPr>
      <w:proofErr w:type="spellStart"/>
      <w:r w:rsidRPr="00CF43E0">
        <w:rPr>
          <w:rFonts w:ascii="Arial" w:hAnsi="Arial" w:cs="Arial"/>
          <w:lang w:val="en-ID"/>
        </w:rPr>
        <w:t>Ritonga</w:t>
      </w:r>
      <w:proofErr w:type="spellEnd"/>
      <w:r w:rsidRPr="00CF43E0">
        <w:rPr>
          <w:rFonts w:ascii="Arial" w:hAnsi="Arial" w:cs="Arial"/>
          <w:lang w:val="en-ID"/>
        </w:rPr>
        <w:t>, I. T. (</w:t>
      </w:r>
      <w:r w:rsidR="003C2B39" w:rsidRPr="00CF43E0">
        <w:rPr>
          <w:rFonts w:ascii="Arial" w:hAnsi="Arial" w:cs="Arial"/>
          <w:lang w:val="en-ID"/>
        </w:rPr>
        <w:t>2023</w:t>
      </w:r>
      <w:r w:rsidRPr="00CF43E0">
        <w:rPr>
          <w:rFonts w:ascii="Arial" w:hAnsi="Arial" w:cs="Arial"/>
          <w:lang w:val="en-ID"/>
        </w:rPr>
        <w:t xml:space="preserve">). </w:t>
      </w:r>
      <w:proofErr w:type="spellStart"/>
      <w:r w:rsidRPr="00CF43E0">
        <w:rPr>
          <w:rFonts w:ascii="Arial" w:hAnsi="Arial" w:cs="Arial"/>
          <w:i/>
          <w:iCs/>
          <w:lang w:val="en-ID"/>
        </w:rPr>
        <w:t>Manajemen</w:t>
      </w:r>
      <w:proofErr w:type="spellEnd"/>
      <w:r w:rsidRPr="00CF43E0">
        <w:rPr>
          <w:rFonts w:ascii="Arial" w:hAnsi="Arial" w:cs="Arial"/>
          <w:i/>
          <w:iCs/>
          <w:lang w:val="en-ID"/>
        </w:rPr>
        <w:t xml:space="preserve"> </w:t>
      </w:r>
      <w:proofErr w:type="spellStart"/>
      <w:r w:rsidRPr="00CF43E0">
        <w:rPr>
          <w:rFonts w:ascii="Arial" w:hAnsi="Arial" w:cs="Arial"/>
          <w:i/>
          <w:iCs/>
          <w:lang w:val="en-ID"/>
        </w:rPr>
        <w:t>sisa</w:t>
      </w:r>
      <w:proofErr w:type="spellEnd"/>
      <w:r w:rsidRPr="00CF43E0">
        <w:rPr>
          <w:rFonts w:ascii="Arial" w:hAnsi="Arial" w:cs="Arial"/>
          <w:i/>
          <w:iCs/>
          <w:lang w:val="en-ID"/>
        </w:rPr>
        <w:t xml:space="preserve"> </w:t>
      </w:r>
      <w:proofErr w:type="spellStart"/>
      <w:r w:rsidRPr="00CF43E0">
        <w:rPr>
          <w:rFonts w:ascii="Arial" w:hAnsi="Arial" w:cs="Arial"/>
          <w:i/>
          <w:iCs/>
          <w:lang w:val="en-ID"/>
        </w:rPr>
        <w:t>anggaran</w:t>
      </w:r>
      <w:proofErr w:type="spellEnd"/>
      <w:r w:rsidRPr="00CF43E0">
        <w:rPr>
          <w:rFonts w:ascii="Arial" w:hAnsi="Arial" w:cs="Arial"/>
          <w:i/>
          <w:iCs/>
          <w:lang w:val="en-ID"/>
        </w:rPr>
        <w:t xml:space="preserve"> </w:t>
      </w:r>
      <w:proofErr w:type="spellStart"/>
      <w:r w:rsidRPr="00CF43E0">
        <w:rPr>
          <w:rFonts w:ascii="Arial" w:hAnsi="Arial" w:cs="Arial"/>
          <w:i/>
          <w:iCs/>
          <w:lang w:val="en-ID"/>
        </w:rPr>
        <w:t>daerah</w:t>
      </w:r>
      <w:proofErr w:type="spellEnd"/>
      <w:r w:rsidRPr="00CF43E0">
        <w:rPr>
          <w:rFonts w:ascii="Arial" w:hAnsi="Arial" w:cs="Arial"/>
          <w:i/>
          <w:iCs/>
          <w:lang w:val="en-ID"/>
        </w:rPr>
        <w:t xml:space="preserve"> (</w:t>
      </w:r>
      <w:proofErr w:type="spellStart"/>
      <w:r w:rsidRPr="00CF43E0">
        <w:rPr>
          <w:rFonts w:ascii="Arial" w:hAnsi="Arial" w:cs="Arial"/>
          <w:i/>
          <w:iCs/>
          <w:lang w:val="en-ID"/>
        </w:rPr>
        <w:t>SiLPA</w:t>
      </w:r>
      <w:proofErr w:type="spellEnd"/>
      <w:r w:rsidRPr="00CF43E0">
        <w:rPr>
          <w:rFonts w:ascii="Arial" w:hAnsi="Arial" w:cs="Arial"/>
          <w:i/>
          <w:iCs/>
          <w:lang w:val="en-ID"/>
        </w:rPr>
        <w:t>)</w:t>
      </w:r>
      <w:r w:rsidRPr="00CF43E0">
        <w:rPr>
          <w:rFonts w:ascii="Arial" w:hAnsi="Arial" w:cs="Arial"/>
          <w:lang w:val="en-ID"/>
        </w:rPr>
        <w:t>. Pustaka Pelajar.</w:t>
      </w:r>
      <w:r w:rsidR="003C2B39" w:rsidRPr="00CF43E0">
        <w:rPr>
          <w:rFonts w:ascii="Arial" w:hAnsi="Arial" w:cs="Arial"/>
          <w:lang w:val="en-ID"/>
        </w:rPr>
        <w:t xml:space="preserve"> </w:t>
      </w:r>
      <w:hyperlink r:id="rId18" w:history="1">
        <w:r w:rsidR="003C2B39" w:rsidRPr="00CF43E0">
          <w:rPr>
            <w:rStyle w:val="Hyperlink"/>
            <w:rFonts w:ascii="Arial" w:hAnsi="Arial" w:cs="Arial"/>
            <w:lang w:val="en-ID"/>
          </w:rPr>
          <w:t>https://balaiyanpus.jogjaprov.go.id/opac/detail-opac?id=348126</w:t>
        </w:r>
      </w:hyperlink>
      <w:r w:rsidR="003C2B39" w:rsidRPr="00CF43E0">
        <w:rPr>
          <w:rFonts w:ascii="Arial" w:hAnsi="Arial" w:cs="Arial"/>
          <w:lang w:val="en-ID"/>
        </w:rPr>
        <w:t xml:space="preserve"> </w:t>
      </w:r>
    </w:p>
    <w:p w:rsidR="00037274" w:rsidRPr="00CF43E0" w:rsidRDefault="00CF43E0" w:rsidP="003453FD">
      <w:pPr>
        <w:pStyle w:val="Body"/>
        <w:spacing w:after="0"/>
        <w:ind w:left="540" w:hanging="540"/>
        <w:rPr>
          <w:rFonts w:ascii="Arial" w:hAnsi="Arial" w:cs="Arial"/>
          <w:highlight w:val="yellow"/>
          <w:lang w:val="en-ID"/>
        </w:rPr>
      </w:pPr>
      <w:proofErr w:type="spellStart"/>
      <w:r w:rsidRPr="00CF43E0">
        <w:rPr>
          <w:rFonts w:ascii="Arial" w:hAnsi="Arial" w:cs="Arial"/>
          <w:lang w:val="en-ID"/>
        </w:rPr>
        <w:t>Rizki</w:t>
      </w:r>
      <w:proofErr w:type="spellEnd"/>
      <w:r w:rsidRPr="00CF43E0">
        <w:rPr>
          <w:rFonts w:ascii="Arial" w:hAnsi="Arial" w:cs="Arial"/>
          <w:lang w:val="en-ID"/>
        </w:rPr>
        <w:t xml:space="preserve">, V. D., Maria, &amp; </w:t>
      </w:r>
      <w:proofErr w:type="spellStart"/>
      <w:r w:rsidRPr="00CF43E0">
        <w:rPr>
          <w:rFonts w:ascii="Arial" w:hAnsi="Arial" w:cs="Arial"/>
          <w:lang w:val="en-ID"/>
        </w:rPr>
        <w:t>Sarikadarwati</w:t>
      </w:r>
      <w:proofErr w:type="spellEnd"/>
      <w:r w:rsidRPr="00CF43E0">
        <w:rPr>
          <w:rFonts w:ascii="Arial" w:hAnsi="Arial" w:cs="Arial"/>
          <w:lang w:val="en-ID"/>
        </w:rPr>
        <w:t xml:space="preserve">. (2023). </w:t>
      </w:r>
      <w:proofErr w:type="spellStart"/>
      <w:r w:rsidRPr="00CF43E0">
        <w:rPr>
          <w:rFonts w:ascii="Arial" w:hAnsi="Arial" w:cs="Arial"/>
          <w:lang w:val="en-ID"/>
        </w:rPr>
        <w:t>Determinan</w:t>
      </w:r>
      <w:proofErr w:type="spellEnd"/>
      <w:r w:rsidRPr="00CF43E0">
        <w:rPr>
          <w:rFonts w:ascii="Arial" w:hAnsi="Arial" w:cs="Arial"/>
          <w:lang w:val="en-ID"/>
        </w:rPr>
        <w:t xml:space="preserve"> </w:t>
      </w:r>
      <w:proofErr w:type="spellStart"/>
      <w:r w:rsidRPr="00CF43E0">
        <w:rPr>
          <w:rFonts w:ascii="Arial" w:hAnsi="Arial" w:cs="Arial"/>
          <w:lang w:val="en-ID"/>
        </w:rPr>
        <w:t>Perilaku</w:t>
      </w:r>
      <w:proofErr w:type="spellEnd"/>
      <w:r w:rsidRPr="00CF43E0">
        <w:rPr>
          <w:rFonts w:ascii="Arial" w:hAnsi="Arial" w:cs="Arial"/>
          <w:lang w:val="en-ID"/>
        </w:rPr>
        <w:t xml:space="preserve"> </w:t>
      </w:r>
      <w:proofErr w:type="spellStart"/>
      <w:r w:rsidRPr="00CF43E0">
        <w:rPr>
          <w:rFonts w:ascii="Arial" w:hAnsi="Arial" w:cs="Arial"/>
          <w:lang w:val="en-ID"/>
        </w:rPr>
        <w:t>Opurtunistik</w:t>
      </w:r>
      <w:proofErr w:type="spellEnd"/>
      <w:r w:rsidRPr="00CF43E0">
        <w:rPr>
          <w:rFonts w:ascii="Arial" w:hAnsi="Arial" w:cs="Arial"/>
          <w:lang w:val="en-ID"/>
        </w:rPr>
        <w:t xml:space="preserve"> </w:t>
      </w:r>
      <w:proofErr w:type="spellStart"/>
      <w:r w:rsidRPr="00CF43E0">
        <w:rPr>
          <w:rFonts w:ascii="Arial" w:hAnsi="Arial" w:cs="Arial"/>
          <w:lang w:val="en-ID"/>
        </w:rPr>
        <w:t>Penyusunan</w:t>
      </w:r>
      <w:proofErr w:type="spellEnd"/>
      <w:r w:rsidRPr="00CF43E0">
        <w:rPr>
          <w:rFonts w:ascii="Arial" w:hAnsi="Arial" w:cs="Arial"/>
          <w:lang w:val="en-ID"/>
        </w:rPr>
        <w:t xml:space="preserve"> </w:t>
      </w:r>
      <w:proofErr w:type="spellStart"/>
      <w:r w:rsidRPr="00CF43E0">
        <w:rPr>
          <w:rFonts w:ascii="Arial" w:hAnsi="Arial" w:cs="Arial"/>
          <w:lang w:val="en-ID"/>
        </w:rPr>
        <w:t>Anggaran</w:t>
      </w:r>
      <w:proofErr w:type="spellEnd"/>
      <w:r w:rsidRPr="00CF43E0">
        <w:rPr>
          <w:rFonts w:ascii="Arial" w:hAnsi="Arial" w:cs="Arial"/>
          <w:lang w:val="en-ID"/>
        </w:rPr>
        <w:t xml:space="preserve"> </w:t>
      </w:r>
      <w:proofErr w:type="spellStart"/>
      <w:r w:rsidRPr="00CF43E0">
        <w:rPr>
          <w:rFonts w:ascii="Arial" w:hAnsi="Arial" w:cs="Arial"/>
          <w:lang w:val="en-ID"/>
        </w:rPr>
        <w:t>Pemerintah</w:t>
      </w:r>
      <w:proofErr w:type="spellEnd"/>
      <w:r w:rsidRPr="00CF43E0">
        <w:rPr>
          <w:rFonts w:ascii="Arial" w:hAnsi="Arial" w:cs="Arial"/>
          <w:lang w:val="en-ID"/>
        </w:rPr>
        <w:t xml:space="preserve"> </w:t>
      </w:r>
      <w:proofErr w:type="spellStart"/>
      <w:r w:rsidRPr="00CF43E0">
        <w:rPr>
          <w:rFonts w:ascii="Arial" w:hAnsi="Arial" w:cs="Arial"/>
          <w:lang w:val="en-ID"/>
        </w:rPr>
        <w:t>Propinsi</w:t>
      </w:r>
      <w:proofErr w:type="spellEnd"/>
      <w:r w:rsidRPr="00CF43E0">
        <w:rPr>
          <w:rFonts w:ascii="Arial" w:hAnsi="Arial" w:cs="Arial"/>
          <w:lang w:val="en-ID"/>
        </w:rPr>
        <w:t xml:space="preserve"> di Indonesia. </w:t>
      </w:r>
      <w:proofErr w:type="spellStart"/>
      <w:r w:rsidRPr="00CF43E0">
        <w:rPr>
          <w:rFonts w:ascii="Arial" w:hAnsi="Arial" w:cs="Arial"/>
          <w:lang w:val="en-ID"/>
        </w:rPr>
        <w:t>Jurnal</w:t>
      </w:r>
      <w:proofErr w:type="spellEnd"/>
      <w:r w:rsidRPr="00CF43E0">
        <w:rPr>
          <w:rFonts w:ascii="Arial" w:hAnsi="Arial" w:cs="Arial"/>
          <w:lang w:val="en-ID"/>
        </w:rPr>
        <w:t xml:space="preserve"> </w:t>
      </w:r>
      <w:proofErr w:type="spellStart"/>
      <w:r w:rsidRPr="00CF43E0">
        <w:rPr>
          <w:rFonts w:ascii="Arial" w:hAnsi="Arial" w:cs="Arial"/>
          <w:lang w:val="en-ID"/>
        </w:rPr>
        <w:t>Penelitian</w:t>
      </w:r>
      <w:proofErr w:type="spellEnd"/>
      <w:r w:rsidRPr="00CF43E0">
        <w:rPr>
          <w:rFonts w:ascii="Arial" w:hAnsi="Arial" w:cs="Arial"/>
          <w:lang w:val="en-ID"/>
        </w:rPr>
        <w:t xml:space="preserve"> </w:t>
      </w:r>
      <w:proofErr w:type="spellStart"/>
      <w:r w:rsidRPr="00CF43E0">
        <w:rPr>
          <w:rFonts w:ascii="Arial" w:hAnsi="Arial" w:cs="Arial"/>
          <w:lang w:val="en-ID"/>
        </w:rPr>
        <w:t>Ekonomi</w:t>
      </w:r>
      <w:proofErr w:type="spellEnd"/>
      <w:r w:rsidRPr="00CF43E0">
        <w:rPr>
          <w:rFonts w:ascii="Arial" w:hAnsi="Arial" w:cs="Arial"/>
          <w:lang w:val="en-ID"/>
        </w:rPr>
        <w:t xml:space="preserve"> </w:t>
      </w:r>
      <w:proofErr w:type="spellStart"/>
      <w:r w:rsidRPr="00CF43E0">
        <w:rPr>
          <w:rFonts w:ascii="Arial" w:hAnsi="Arial" w:cs="Arial"/>
          <w:lang w:val="en-ID"/>
        </w:rPr>
        <w:t>Akuntansi</w:t>
      </w:r>
      <w:proofErr w:type="spellEnd"/>
      <w:r w:rsidRPr="00CF43E0">
        <w:rPr>
          <w:rFonts w:ascii="Arial" w:hAnsi="Arial" w:cs="Arial"/>
          <w:lang w:val="en-ID"/>
        </w:rPr>
        <w:t xml:space="preserve"> (JENSI), 7(2), 294–306. https://doi.org/10.33059/jensi.v7i2.8423</w:t>
      </w:r>
    </w:p>
    <w:p w:rsidR="00037274" w:rsidRPr="00CF43E0" w:rsidRDefault="00075255" w:rsidP="003453FD">
      <w:pPr>
        <w:pStyle w:val="Body"/>
        <w:spacing w:after="0"/>
        <w:ind w:left="540" w:hanging="540"/>
        <w:rPr>
          <w:rFonts w:ascii="Arial" w:hAnsi="Arial" w:cs="Arial"/>
          <w:highlight w:val="yellow"/>
          <w:lang w:val="en-ID"/>
        </w:rPr>
      </w:pPr>
      <w:r w:rsidRPr="00075255">
        <w:rPr>
          <w:rFonts w:ascii="Arial" w:hAnsi="Arial" w:cs="Arial"/>
          <w:lang w:val="en-ID"/>
        </w:rPr>
        <w:t>Rogoff, K. (1990). Equilibrium political budget cycles. The American Economic Review, 80(1), 21–36. https://doi.org/10.2307/2006731</w:t>
      </w:r>
    </w:p>
    <w:p w:rsidR="00D01A3D" w:rsidRPr="00CF43E0" w:rsidRDefault="00F11DF0" w:rsidP="003453FD">
      <w:pPr>
        <w:pStyle w:val="Body"/>
        <w:spacing w:after="0"/>
        <w:ind w:left="540" w:hanging="540"/>
        <w:rPr>
          <w:rFonts w:ascii="Arial" w:hAnsi="Arial" w:cs="Arial"/>
          <w:color w:val="EE0000"/>
          <w:highlight w:val="yellow"/>
        </w:rPr>
      </w:pPr>
      <w:proofErr w:type="spellStart"/>
      <w:r w:rsidRPr="00F11DF0">
        <w:rPr>
          <w:rFonts w:ascii="Arial" w:hAnsi="Arial" w:cs="Arial"/>
        </w:rPr>
        <w:t>Syukri</w:t>
      </w:r>
      <w:proofErr w:type="spellEnd"/>
      <w:r w:rsidRPr="00F11DF0">
        <w:rPr>
          <w:rFonts w:ascii="Arial" w:hAnsi="Arial" w:cs="Arial"/>
        </w:rPr>
        <w:t xml:space="preserve">, S., </w:t>
      </w:r>
      <w:proofErr w:type="spellStart"/>
      <w:r w:rsidRPr="00F11DF0">
        <w:rPr>
          <w:rFonts w:ascii="Arial" w:hAnsi="Arial" w:cs="Arial"/>
        </w:rPr>
        <w:t>Sofiaturrohmah</w:t>
      </w:r>
      <w:proofErr w:type="spellEnd"/>
      <w:r w:rsidRPr="00F11DF0">
        <w:rPr>
          <w:rFonts w:ascii="Arial" w:hAnsi="Arial" w:cs="Arial"/>
        </w:rPr>
        <w:t xml:space="preserve">, S., &amp; </w:t>
      </w:r>
      <w:proofErr w:type="spellStart"/>
      <w:r w:rsidRPr="00F11DF0">
        <w:rPr>
          <w:rFonts w:ascii="Arial" w:hAnsi="Arial" w:cs="Arial"/>
        </w:rPr>
        <w:t>Kasman</w:t>
      </w:r>
      <w:proofErr w:type="spellEnd"/>
      <w:r w:rsidRPr="00F11DF0">
        <w:rPr>
          <w:rFonts w:ascii="Arial" w:hAnsi="Arial" w:cs="Arial"/>
        </w:rPr>
        <w:t xml:space="preserve">, A. (2025). </w:t>
      </w:r>
      <w:proofErr w:type="spellStart"/>
      <w:r w:rsidRPr="00F11DF0">
        <w:rPr>
          <w:rFonts w:ascii="Arial" w:hAnsi="Arial" w:cs="Arial"/>
        </w:rPr>
        <w:t>Efisiensi</w:t>
      </w:r>
      <w:proofErr w:type="spellEnd"/>
      <w:r w:rsidRPr="00F11DF0">
        <w:rPr>
          <w:rFonts w:ascii="Arial" w:hAnsi="Arial" w:cs="Arial"/>
        </w:rPr>
        <w:t xml:space="preserve"> </w:t>
      </w:r>
      <w:proofErr w:type="spellStart"/>
      <w:r w:rsidRPr="00F11DF0">
        <w:rPr>
          <w:rFonts w:ascii="Arial" w:hAnsi="Arial" w:cs="Arial"/>
        </w:rPr>
        <w:t>Fiskal</w:t>
      </w:r>
      <w:proofErr w:type="spellEnd"/>
      <w:r w:rsidRPr="00F11DF0">
        <w:rPr>
          <w:rFonts w:ascii="Arial" w:hAnsi="Arial" w:cs="Arial"/>
        </w:rPr>
        <w:t xml:space="preserve"> dan </w:t>
      </w:r>
      <w:proofErr w:type="spellStart"/>
      <w:r w:rsidRPr="00F11DF0">
        <w:rPr>
          <w:rFonts w:ascii="Arial" w:hAnsi="Arial" w:cs="Arial"/>
        </w:rPr>
        <w:t>Dampaknya</w:t>
      </w:r>
      <w:proofErr w:type="spellEnd"/>
      <w:r w:rsidRPr="00F11DF0">
        <w:rPr>
          <w:rFonts w:ascii="Arial" w:hAnsi="Arial" w:cs="Arial"/>
        </w:rPr>
        <w:t xml:space="preserve"> </w:t>
      </w:r>
      <w:proofErr w:type="spellStart"/>
      <w:r w:rsidRPr="00F11DF0">
        <w:rPr>
          <w:rFonts w:ascii="Arial" w:hAnsi="Arial" w:cs="Arial"/>
        </w:rPr>
        <w:t>terhadap</w:t>
      </w:r>
      <w:proofErr w:type="spellEnd"/>
      <w:r w:rsidRPr="00F11DF0">
        <w:rPr>
          <w:rFonts w:ascii="Arial" w:hAnsi="Arial" w:cs="Arial"/>
        </w:rPr>
        <w:t xml:space="preserve"> Transfer Dana Daerah: </w:t>
      </w:r>
      <w:proofErr w:type="spellStart"/>
      <w:r w:rsidRPr="00F11DF0">
        <w:rPr>
          <w:rFonts w:ascii="Arial" w:hAnsi="Arial" w:cs="Arial"/>
        </w:rPr>
        <w:t>Analisis</w:t>
      </w:r>
      <w:proofErr w:type="spellEnd"/>
      <w:r w:rsidRPr="00F11DF0">
        <w:rPr>
          <w:rFonts w:ascii="Arial" w:hAnsi="Arial" w:cs="Arial"/>
        </w:rPr>
        <w:t xml:space="preserve"> </w:t>
      </w:r>
      <w:proofErr w:type="spellStart"/>
      <w:r w:rsidRPr="00F11DF0">
        <w:rPr>
          <w:rFonts w:ascii="Arial" w:hAnsi="Arial" w:cs="Arial"/>
        </w:rPr>
        <w:t>Kebijakan</w:t>
      </w:r>
      <w:proofErr w:type="spellEnd"/>
      <w:r w:rsidRPr="00F11DF0">
        <w:rPr>
          <w:rFonts w:ascii="Arial" w:hAnsi="Arial" w:cs="Arial"/>
        </w:rPr>
        <w:t xml:space="preserve"> </w:t>
      </w:r>
      <w:proofErr w:type="spellStart"/>
      <w:r w:rsidRPr="00F11DF0">
        <w:rPr>
          <w:rFonts w:ascii="Arial" w:hAnsi="Arial" w:cs="Arial"/>
        </w:rPr>
        <w:t>Inpres</w:t>
      </w:r>
      <w:proofErr w:type="spellEnd"/>
      <w:r w:rsidRPr="00F11DF0">
        <w:rPr>
          <w:rFonts w:ascii="Arial" w:hAnsi="Arial" w:cs="Arial"/>
        </w:rPr>
        <w:t xml:space="preserve"> No. 1 </w:t>
      </w:r>
      <w:proofErr w:type="spellStart"/>
      <w:r w:rsidRPr="00F11DF0">
        <w:rPr>
          <w:rFonts w:ascii="Arial" w:hAnsi="Arial" w:cs="Arial"/>
        </w:rPr>
        <w:t>Tahun</w:t>
      </w:r>
      <w:proofErr w:type="spellEnd"/>
      <w:r w:rsidRPr="00F11DF0">
        <w:rPr>
          <w:rFonts w:ascii="Arial" w:hAnsi="Arial" w:cs="Arial"/>
        </w:rPr>
        <w:t xml:space="preserve"> 2025. Journal of Governance Innovation, 7(1), 347–359. https://doi.org/10.36636/jogiv.v7i1.6832</w:t>
      </w:r>
    </w:p>
    <w:p w:rsidR="00B26D35" w:rsidRPr="00CF43E0" w:rsidRDefault="00CA6EA5" w:rsidP="003453FD">
      <w:pPr>
        <w:pStyle w:val="Body"/>
        <w:spacing w:after="0"/>
        <w:ind w:left="540" w:hanging="540"/>
        <w:rPr>
          <w:rFonts w:ascii="Arial" w:hAnsi="Arial" w:cs="Arial"/>
          <w:highlight w:val="yellow"/>
          <w:lang w:val="en-ID"/>
        </w:rPr>
      </w:pPr>
      <w:proofErr w:type="spellStart"/>
      <w:r w:rsidRPr="00CA6EA5">
        <w:rPr>
          <w:rFonts w:ascii="Arial" w:hAnsi="Arial" w:cs="Arial"/>
        </w:rPr>
        <w:t>Situmorang</w:t>
      </w:r>
      <w:proofErr w:type="spellEnd"/>
      <w:r w:rsidRPr="00CA6EA5">
        <w:rPr>
          <w:rFonts w:ascii="Arial" w:hAnsi="Arial" w:cs="Arial"/>
        </w:rPr>
        <w:t xml:space="preserve">, S. E. (2023). </w:t>
      </w:r>
      <w:proofErr w:type="spellStart"/>
      <w:r w:rsidRPr="00CA6EA5">
        <w:rPr>
          <w:rFonts w:ascii="Arial" w:hAnsi="Arial" w:cs="Arial"/>
        </w:rPr>
        <w:t>Analisis</w:t>
      </w:r>
      <w:proofErr w:type="spellEnd"/>
      <w:r w:rsidRPr="00CA6EA5">
        <w:rPr>
          <w:rFonts w:ascii="Arial" w:hAnsi="Arial" w:cs="Arial"/>
        </w:rPr>
        <w:t xml:space="preserve"> Flypaper Effect </w:t>
      </w:r>
      <w:proofErr w:type="spellStart"/>
      <w:r w:rsidRPr="00CA6EA5">
        <w:rPr>
          <w:rFonts w:ascii="Arial" w:hAnsi="Arial" w:cs="Arial"/>
        </w:rPr>
        <w:t>terhadap</w:t>
      </w:r>
      <w:proofErr w:type="spellEnd"/>
      <w:r w:rsidRPr="00CA6EA5">
        <w:rPr>
          <w:rFonts w:ascii="Arial" w:hAnsi="Arial" w:cs="Arial"/>
        </w:rPr>
        <w:t xml:space="preserve"> </w:t>
      </w:r>
      <w:proofErr w:type="spellStart"/>
      <w:r w:rsidRPr="00CA6EA5">
        <w:rPr>
          <w:rFonts w:ascii="Arial" w:hAnsi="Arial" w:cs="Arial"/>
        </w:rPr>
        <w:t>Belanja</w:t>
      </w:r>
      <w:proofErr w:type="spellEnd"/>
      <w:r w:rsidRPr="00CA6EA5">
        <w:rPr>
          <w:rFonts w:ascii="Arial" w:hAnsi="Arial" w:cs="Arial"/>
        </w:rPr>
        <w:t xml:space="preserve"> dan </w:t>
      </w:r>
      <w:proofErr w:type="spellStart"/>
      <w:r w:rsidRPr="00CA6EA5">
        <w:rPr>
          <w:rFonts w:ascii="Arial" w:hAnsi="Arial" w:cs="Arial"/>
        </w:rPr>
        <w:t>Kinerja</w:t>
      </w:r>
      <w:proofErr w:type="spellEnd"/>
      <w:r w:rsidRPr="00CA6EA5">
        <w:rPr>
          <w:rFonts w:ascii="Arial" w:hAnsi="Arial" w:cs="Arial"/>
        </w:rPr>
        <w:t xml:space="preserve"> </w:t>
      </w:r>
      <w:proofErr w:type="spellStart"/>
      <w:r w:rsidRPr="00CA6EA5">
        <w:rPr>
          <w:rFonts w:ascii="Arial" w:hAnsi="Arial" w:cs="Arial"/>
        </w:rPr>
        <w:t>Keuangan</w:t>
      </w:r>
      <w:proofErr w:type="spellEnd"/>
      <w:r w:rsidRPr="00CA6EA5">
        <w:rPr>
          <w:rFonts w:ascii="Arial" w:hAnsi="Arial" w:cs="Arial"/>
        </w:rPr>
        <w:t xml:space="preserve"> Daerah di </w:t>
      </w:r>
      <w:proofErr w:type="spellStart"/>
      <w:r w:rsidRPr="00CA6EA5">
        <w:rPr>
          <w:rFonts w:ascii="Arial" w:hAnsi="Arial" w:cs="Arial"/>
        </w:rPr>
        <w:t>Kabupaten</w:t>
      </w:r>
      <w:proofErr w:type="spellEnd"/>
      <w:r w:rsidRPr="00CA6EA5">
        <w:rPr>
          <w:rFonts w:ascii="Arial" w:hAnsi="Arial" w:cs="Arial"/>
        </w:rPr>
        <w:t xml:space="preserve"> Jayapura </w:t>
      </w:r>
      <w:proofErr w:type="spellStart"/>
      <w:r w:rsidRPr="00CA6EA5">
        <w:rPr>
          <w:rFonts w:ascii="Arial" w:hAnsi="Arial" w:cs="Arial"/>
        </w:rPr>
        <w:t>Tahun</w:t>
      </w:r>
      <w:proofErr w:type="spellEnd"/>
      <w:r w:rsidRPr="00CA6EA5">
        <w:rPr>
          <w:rFonts w:ascii="Arial" w:hAnsi="Arial" w:cs="Arial"/>
        </w:rPr>
        <w:t xml:space="preserve"> 2022. </w:t>
      </w:r>
      <w:proofErr w:type="spellStart"/>
      <w:r w:rsidRPr="00CA6EA5">
        <w:rPr>
          <w:rFonts w:ascii="Arial" w:hAnsi="Arial" w:cs="Arial"/>
        </w:rPr>
        <w:t>Langgas</w:t>
      </w:r>
      <w:proofErr w:type="spellEnd"/>
      <w:r w:rsidRPr="00CA6EA5">
        <w:rPr>
          <w:rFonts w:ascii="Arial" w:hAnsi="Arial" w:cs="Arial"/>
        </w:rPr>
        <w:t xml:space="preserve">: </w:t>
      </w:r>
      <w:proofErr w:type="spellStart"/>
      <w:r w:rsidRPr="00CA6EA5">
        <w:rPr>
          <w:rFonts w:ascii="Arial" w:hAnsi="Arial" w:cs="Arial"/>
        </w:rPr>
        <w:t>Jurnal</w:t>
      </w:r>
      <w:proofErr w:type="spellEnd"/>
      <w:r w:rsidRPr="00CA6EA5">
        <w:rPr>
          <w:rFonts w:ascii="Arial" w:hAnsi="Arial" w:cs="Arial"/>
        </w:rPr>
        <w:t xml:space="preserve"> </w:t>
      </w:r>
      <w:proofErr w:type="spellStart"/>
      <w:r w:rsidRPr="00CA6EA5">
        <w:rPr>
          <w:rFonts w:ascii="Arial" w:hAnsi="Arial" w:cs="Arial"/>
        </w:rPr>
        <w:t>Studi</w:t>
      </w:r>
      <w:proofErr w:type="spellEnd"/>
      <w:r w:rsidRPr="00CA6EA5">
        <w:rPr>
          <w:rFonts w:ascii="Arial" w:hAnsi="Arial" w:cs="Arial"/>
        </w:rPr>
        <w:t xml:space="preserve"> Pembangunan. https://doi.org/10.32734/ljsp.v2i1.11383</w:t>
      </w:r>
      <w:r w:rsidR="00B26D35" w:rsidRPr="00CF43E0">
        <w:rPr>
          <w:rFonts w:ascii="Arial" w:hAnsi="Arial" w:cs="Arial"/>
          <w:highlight w:val="yellow"/>
          <w:lang w:val="en-ID"/>
        </w:rPr>
        <w:t xml:space="preserve"> </w:t>
      </w:r>
    </w:p>
    <w:p w:rsidR="00037274" w:rsidRPr="00CF43E0" w:rsidRDefault="00B9210F" w:rsidP="003453FD">
      <w:pPr>
        <w:pStyle w:val="Body"/>
        <w:spacing w:after="0"/>
        <w:ind w:left="540" w:hanging="540"/>
        <w:rPr>
          <w:rFonts w:ascii="Arial" w:hAnsi="Arial" w:cs="Arial"/>
          <w:highlight w:val="yellow"/>
          <w:lang w:val="en-ID"/>
        </w:rPr>
      </w:pPr>
      <w:r w:rsidRPr="00B9210F">
        <w:rPr>
          <w:rFonts w:ascii="Arial" w:hAnsi="Arial" w:cs="Arial"/>
          <w:lang w:val="en-ID"/>
        </w:rPr>
        <w:t>Snyder, H. (2019). Literature review as a research methodology: An overview and guidelines. Journal of Business Research. https://doi.org/10.1016/j.jbusres.2019.07.039</w:t>
      </w:r>
    </w:p>
    <w:p w:rsidR="00846967" w:rsidRPr="00CF43E0" w:rsidRDefault="000D13A5" w:rsidP="003453FD">
      <w:pPr>
        <w:pStyle w:val="Body"/>
        <w:spacing w:after="0"/>
        <w:ind w:left="540" w:hanging="540"/>
        <w:rPr>
          <w:rFonts w:ascii="Arial" w:hAnsi="Arial" w:cs="Arial"/>
          <w:color w:val="EE0000"/>
          <w:highlight w:val="yellow"/>
        </w:rPr>
      </w:pPr>
      <w:proofErr w:type="spellStart"/>
      <w:r w:rsidRPr="000D13A5">
        <w:rPr>
          <w:rFonts w:ascii="Arial" w:hAnsi="Arial" w:cs="Arial"/>
        </w:rPr>
        <w:t>Soetedjo</w:t>
      </w:r>
      <w:proofErr w:type="spellEnd"/>
      <w:r w:rsidRPr="000D13A5">
        <w:rPr>
          <w:rFonts w:ascii="Arial" w:hAnsi="Arial" w:cs="Arial"/>
        </w:rPr>
        <w:t xml:space="preserve">, S., </w:t>
      </w:r>
      <w:proofErr w:type="spellStart"/>
      <w:r w:rsidRPr="000D13A5">
        <w:rPr>
          <w:rFonts w:ascii="Arial" w:hAnsi="Arial" w:cs="Arial"/>
        </w:rPr>
        <w:t>Iswajuni</w:t>
      </w:r>
      <w:proofErr w:type="spellEnd"/>
      <w:r w:rsidRPr="000D13A5">
        <w:rPr>
          <w:rFonts w:ascii="Arial" w:hAnsi="Arial" w:cs="Arial"/>
        </w:rPr>
        <w:t xml:space="preserve">, &amp; </w:t>
      </w:r>
      <w:proofErr w:type="spellStart"/>
      <w:r w:rsidRPr="000D13A5">
        <w:rPr>
          <w:rFonts w:ascii="Arial" w:hAnsi="Arial" w:cs="Arial"/>
        </w:rPr>
        <w:t>Fitri</w:t>
      </w:r>
      <w:proofErr w:type="spellEnd"/>
      <w:r w:rsidRPr="000D13A5">
        <w:rPr>
          <w:rFonts w:ascii="Arial" w:hAnsi="Arial" w:cs="Arial"/>
        </w:rPr>
        <w:t xml:space="preserve">, D. N. (2018). Opportunistic Behavior Budgeting </w:t>
      </w:r>
      <w:proofErr w:type="gramStart"/>
      <w:r w:rsidRPr="000D13A5">
        <w:rPr>
          <w:rFonts w:ascii="Arial" w:hAnsi="Arial" w:cs="Arial"/>
        </w:rPr>
        <w:t>In</w:t>
      </w:r>
      <w:proofErr w:type="gramEnd"/>
      <w:r w:rsidRPr="000D13A5">
        <w:rPr>
          <w:rFonts w:ascii="Arial" w:hAnsi="Arial" w:cs="Arial"/>
        </w:rPr>
        <w:t xml:space="preserve"> Regional Approach To Agency Theory - Empirical Study On Regency / City In East Java. </w:t>
      </w:r>
      <w:proofErr w:type="spellStart"/>
      <w:r w:rsidRPr="000D13A5">
        <w:rPr>
          <w:rFonts w:ascii="Arial" w:hAnsi="Arial" w:cs="Arial"/>
        </w:rPr>
        <w:t>Jcae</w:t>
      </w:r>
      <w:proofErr w:type="spellEnd"/>
      <w:r w:rsidRPr="000D13A5">
        <w:rPr>
          <w:rFonts w:ascii="Arial" w:hAnsi="Arial" w:cs="Arial"/>
        </w:rPr>
        <w:t>, 84–90. https://doi.org/10.5220/0007017705220528</w:t>
      </w:r>
    </w:p>
    <w:p w:rsidR="00037274" w:rsidRPr="00CF43E0" w:rsidRDefault="009E313E" w:rsidP="003453FD">
      <w:pPr>
        <w:pStyle w:val="Body"/>
        <w:spacing w:after="0"/>
        <w:ind w:left="540" w:hanging="540"/>
        <w:rPr>
          <w:rFonts w:ascii="Arial" w:hAnsi="Arial" w:cs="Arial"/>
          <w:highlight w:val="yellow"/>
          <w:lang w:val="en-ID"/>
        </w:rPr>
      </w:pPr>
      <w:proofErr w:type="spellStart"/>
      <w:r w:rsidRPr="009E313E">
        <w:rPr>
          <w:rFonts w:ascii="Arial" w:hAnsi="Arial" w:cs="Arial"/>
          <w:lang w:val="en-ID"/>
        </w:rPr>
        <w:t>Stalebrink</w:t>
      </w:r>
      <w:proofErr w:type="spellEnd"/>
      <w:r w:rsidRPr="009E313E">
        <w:rPr>
          <w:rFonts w:ascii="Arial" w:hAnsi="Arial" w:cs="Arial"/>
          <w:lang w:val="en-ID"/>
        </w:rPr>
        <w:t>, O. J., &amp; Donatella, P. (2021). Public pension governance and opportunistic accounting choice: A politico-economic approach. American Review of Public Administration, 51(3), 227–245. https://doi.org/10.1177/0275074020954397</w:t>
      </w:r>
    </w:p>
    <w:p w:rsidR="008143EE" w:rsidRPr="00CF43E0" w:rsidRDefault="00BC6092" w:rsidP="003453FD">
      <w:pPr>
        <w:pStyle w:val="Body"/>
        <w:spacing w:after="0"/>
        <w:ind w:left="540" w:hanging="540"/>
        <w:rPr>
          <w:rFonts w:ascii="Arial" w:hAnsi="Arial" w:cs="Arial"/>
          <w:color w:val="EE0000"/>
          <w:highlight w:val="yellow"/>
        </w:rPr>
      </w:pPr>
      <w:proofErr w:type="spellStart"/>
      <w:r w:rsidRPr="00BC6092">
        <w:rPr>
          <w:rFonts w:ascii="Arial" w:hAnsi="Arial" w:cs="Arial"/>
          <w:color w:val="000000" w:themeColor="text1"/>
        </w:rPr>
        <w:t>Syahrani</w:t>
      </w:r>
      <w:proofErr w:type="spellEnd"/>
      <w:r w:rsidRPr="00BC6092">
        <w:rPr>
          <w:rFonts w:ascii="Arial" w:hAnsi="Arial" w:cs="Arial"/>
          <w:color w:val="000000" w:themeColor="text1"/>
        </w:rPr>
        <w:t xml:space="preserve">, A. P., </w:t>
      </w:r>
      <w:proofErr w:type="spellStart"/>
      <w:r w:rsidRPr="00BC6092">
        <w:rPr>
          <w:rFonts w:ascii="Arial" w:hAnsi="Arial" w:cs="Arial"/>
          <w:color w:val="000000" w:themeColor="text1"/>
        </w:rPr>
        <w:t>Fithri</w:t>
      </w:r>
      <w:proofErr w:type="spellEnd"/>
      <w:r w:rsidRPr="00BC6092">
        <w:rPr>
          <w:rFonts w:ascii="Arial" w:hAnsi="Arial" w:cs="Arial"/>
          <w:color w:val="000000" w:themeColor="text1"/>
        </w:rPr>
        <w:t xml:space="preserve">, E. J., &amp; Sari, K. R. (2025). </w:t>
      </w:r>
      <w:proofErr w:type="spellStart"/>
      <w:r w:rsidRPr="00BC6092">
        <w:rPr>
          <w:rFonts w:ascii="Arial" w:hAnsi="Arial" w:cs="Arial"/>
          <w:color w:val="000000" w:themeColor="text1"/>
        </w:rPr>
        <w:t>Pengaruh</w:t>
      </w:r>
      <w:proofErr w:type="spellEnd"/>
      <w:r w:rsidRPr="00BC6092">
        <w:rPr>
          <w:rFonts w:ascii="Arial" w:hAnsi="Arial" w:cs="Arial"/>
          <w:color w:val="000000" w:themeColor="text1"/>
        </w:rPr>
        <w:t xml:space="preserve"> PAD, DAK, dan DAU </w:t>
      </w:r>
      <w:proofErr w:type="spellStart"/>
      <w:r w:rsidRPr="00BC6092">
        <w:rPr>
          <w:rFonts w:ascii="Arial" w:hAnsi="Arial" w:cs="Arial"/>
          <w:color w:val="000000" w:themeColor="text1"/>
        </w:rPr>
        <w:t>Terhadap</w:t>
      </w:r>
      <w:proofErr w:type="spellEnd"/>
      <w:r w:rsidRPr="00BC6092">
        <w:rPr>
          <w:rFonts w:ascii="Arial" w:hAnsi="Arial" w:cs="Arial"/>
          <w:color w:val="000000" w:themeColor="text1"/>
        </w:rPr>
        <w:t xml:space="preserve"> </w:t>
      </w:r>
      <w:proofErr w:type="spellStart"/>
      <w:r w:rsidRPr="00BC6092">
        <w:rPr>
          <w:rFonts w:ascii="Arial" w:hAnsi="Arial" w:cs="Arial"/>
          <w:color w:val="000000" w:themeColor="text1"/>
        </w:rPr>
        <w:t>Perilaku</w:t>
      </w:r>
      <w:proofErr w:type="spellEnd"/>
      <w:r w:rsidRPr="00BC6092">
        <w:rPr>
          <w:rFonts w:ascii="Arial" w:hAnsi="Arial" w:cs="Arial"/>
          <w:color w:val="000000" w:themeColor="text1"/>
        </w:rPr>
        <w:t xml:space="preserve"> </w:t>
      </w:r>
      <w:proofErr w:type="spellStart"/>
      <w:r w:rsidRPr="00BC6092">
        <w:rPr>
          <w:rFonts w:ascii="Arial" w:hAnsi="Arial" w:cs="Arial"/>
          <w:color w:val="000000" w:themeColor="text1"/>
        </w:rPr>
        <w:t>Oportunistik</w:t>
      </w:r>
      <w:proofErr w:type="spellEnd"/>
      <w:r w:rsidRPr="00BC6092">
        <w:rPr>
          <w:rFonts w:ascii="Arial" w:hAnsi="Arial" w:cs="Arial"/>
          <w:color w:val="000000" w:themeColor="text1"/>
        </w:rPr>
        <w:t xml:space="preserve"> </w:t>
      </w:r>
      <w:proofErr w:type="spellStart"/>
      <w:r w:rsidRPr="00BC6092">
        <w:rPr>
          <w:rFonts w:ascii="Arial" w:hAnsi="Arial" w:cs="Arial"/>
          <w:color w:val="000000" w:themeColor="text1"/>
        </w:rPr>
        <w:t>Penyusun</w:t>
      </w:r>
      <w:proofErr w:type="spellEnd"/>
      <w:r w:rsidRPr="00BC6092">
        <w:rPr>
          <w:rFonts w:ascii="Arial" w:hAnsi="Arial" w:cs="Arial"/>
          <w:color w:val="000000" w:themeColor="text1"/>
        </w:rPr>
        <w:t xml:space="preserve"> </w:t>
      </w:r>
      <w:proofErr w:type="spellStart"/>
      <w:r w:rsidRPr="00BC6092">
        <w:rPr>
          <w:rFonts w:ascii="Arial" w:hAnsi="Arial" w:cs="Arial"/>
          <w:color w:val="000000" w:themeColor="text1"/>
        </w:rPr>
        <w:t>Anggaran</w:t>
      </w:r>
      <w:proofErr w:type="spellEnd"/>
      <w:r w:rsidRPr="00BC6092">
        <w:rPr>
          <w:rFonts w:ascii="Arial" w:hAnsi="Arial" w:cs="Arial"/>
          <w:color w:val="000000" w:themeColor="text1"/>
        </w:rPr>
        <w:t xml:space="preserve"> pada </w:t>
      </w:r>
      <w:proofErr w:type="spellStart"/>
      <w:r w:rsidRPr="00BC6092">
        <w:rPr>
          <w:rFonts w:ascii="Arial" w:hAnsi="Arial" w:cs="Arial"/>
          <w:color w:val="000000" w:themeColor="text1"/>
        </w:rPr>
        <w:t>Pemerintah</w:t>
      </w:r>
      <w:proofErr w:type="spellEnd"/>
      <w:r w:rsidRPr="00BC6092">
        <w:rPr>
          <w:rFonts w:ascii="Arial" w:hAnsi="Arial" w:cs="Arial"/>
          <w:color w:val="000000" w:themeColor="text1"/>
        </w:rPr>
        <w:t xml:space="preserve"> </w:t>
      </w:r>
      <w:proofErr w:type="spellStart"/>
      <w:r w:rsidRPr="00BC6092">
        <w:rPr>
          <w:rFonts w:ascii="Arial" w:hAnsi="Arial" w:cs="Arial"/>
          <w:color w:val="000000" w:themeColor="text1"/>
        </w:rPr>
        <w:t>Provinsi</w:t>
      </w:r>
      <w:proofErr w:type="spellEnd"/>
      <w:r w:rsidRPr="00BC6092">
        <w:rPr>
          <w:rFonts w:ascii="Arial" w:hAnsi="Arial" w:cs="Arial"/>
          <w:color w:val="000000" w:themeColor="text1"/>
        </w:rPr>
        <w:t xml:space="preserve"> Sumatera. Al-</w:t>
      </w:r>
      <w:proofErr w:type="spellStart"/>
      <w:r w:rsidRPr="00BC6092">
        <w:rPr>
          <w:rFonts w:ascii="Arial" w:hAnsi="Arial" w:cs="Arial"/>
          <w:color w:val="000000" w:themeColor="text1"/>
        </w:rPr>
        <w:t>Kharaj</w:t>
      </w:r>
      <w:proofErr w:type="spellEnd"/>
      <w:r w:rsidRPr="00BC6092">
        <w:rPr>
          <w:rFonts w:ascii="Arial" w:hAnsi="Arial" w:cs="Arial"/>
          <w:color w:val="000000" w:themeColor="text1"/>
        </w:rPr>
        <w:t xml:space="preserve">: </w:t>
      </w:r>
      <w:proofErr w:type="spellStart"/>
      <w:r w:rsidRPr="00BC6092">
        <w:rPr>
          <w:rFonts w:ascii="Arial" w:hAnsi="Arial" w:cs="Arial"/>
          <w:color w:val="000000" w:themeColor="text1"/>
        </w:rPr>
        <w:t>Jurnal</w:t>
      </w:r>
      <w:proofErr w:type="spellEnd"/>
      <w:r w:rsidRPr="00BC6092">
        <w:rPr>
          <w:rFonts w:ascii="Arial" w:hAnsi="Arial" w:cs="Arial"/>
          <w:color w:val="000000" w:themeColor="text1"/>
        </w:rPr>
        <w:t xml:space="preserve"> </w:t>
      </w:r>
      <w:proofErr w:type="spellStart"/>
      <w:r w:rsidRPr="00BC6092">
        <w:rPr>
          <w:rFonts w:ascii="Arial" w:hAnsi="Arial" w:cs="Arial"/>
          <w:color w:val="000000" w:themeColor="text1"/>
        </w:rPr>
        <w:t>Ekonomi</w:t>
      </w:r>
      <w:proofErr w:type="spellEnd"/>
      <w:r w:rsidRPr="00BC6092">
        <w:rPr>
          <w:rFonts w:ascii="Arial" w:hAnsi="Arial" w:cs="Arial"/>
          <w:color w:val="000000" w:themeColor="text1"/>
        </w:rPr>
        <w:t xml:space="preserve">, </w:t>
      </w:r>
      <w:proofErr w:type="spellStart"/>
      <w:r w:rsidRPr="00BC6092">
        <w:rPr>
          <w:rFonts w:ascii="Arial" w:hAnsi="Arial" w:cs="Arial"/>
          <w:color w:val="000000" w:themeColor="text1"/>
        </w:rPr>
        <w:t>Keuangan</w:t>
      </w:r>
      <w:proofErr w:type="spellEnd"/>
      <w:r w:rsidRPr="00BC6092">
        <w:rPr>
          <w:rFonts w:ascii="Arial" w:hAnsi="Arial" w:cs="Arial"/>
          <w:color w:val="000000" w:themeColor="text1"/>
        </w:rPr>
        <w:t xml:space="preserve"> &amp; </w:t>
      </w:r>
      <w:proofErr w:type="spellStart"/>
      <w:r w:rsidRPr="00BC6092">
        <w:rPr>
          <w:rFonts w:ascii="Arial" w:hAnsi="Arial" w:cs="Arial"/>
          <w:color w:val="000000" w:themeColor="text1"/>
        </w:rPr>
        <w:t>Bisnis</w:t>
      </w:r>
      <w:proofErr w:type="spellEnd"/>
      <w:r w:rsidRPr="00BC6092">
        <w:rPr>
          <w:rFonts w:ascii="Arial" w:hAnsi="Arial" w:cs="Arial"/>
          <w:color w:val="000000" w:themeColor="text1"/>
        </w:rPr>
        <w:t xml:space="preserve"> Syariah, 7(2), 359–374. https://doi.org/10.47467/alkharaj.v7i2.4574</w:t>
      </w:r>
    </w:p>
    <w:p w:rsidR="00B56CDA" w:rsidRPr="00CF43E0" w:rsidRDefault="00331B6E" w:rsidP="003453FD">
      <w:pPr>
        <w:pStyle w:val="Body"/>
        <w:spacing w:after="0"/>
        <w:ind w:left="540" w:hanging="540"/>
        <w:rPr>
          <w:rFonts w:ascii="Arial" w:hAnsi="Arial" w:cs="Arial"/>
          <w:color w:val="222222"/>
          <w:highlight w:val="yellow"/>
          <w:shd w:val="clear" w:color="auto" w:fill="FFFFFF"/>
        </w:rPr>
      </w:pPr>
      <w:proofErr w:type="spellStart"/>
      <w:r w:rsidRPr="00331B6E">
        <w:rPr>
          <w:rFonts w:ascii="Arial" w:hAnsi="Arial" w:cs="Arial"/>
          <w:color w:val="222222"/>
          <w:shd w:val="clear" w:color="auto" w:fill="FFFFFF"/>
        </w:rPr>
        <w:t>Syukri</w:t>
      </w:r>
      <w:proofErr w:type="spellEnd"/>
      <w:r w:rsidRPr="00331B6E">
        <w:rPr>
          <w:rFonts w:ascii="Arial" w:hAnsi="Arial" w:cs="Arial"/>
          <w:color w:val="222222"/>
          <w:shd w:val="clear" w:color="auto" w:fill="FFFFFF"/>
        </w:rPr>
        <w:t xml:space="preserve">, U., </w:t>
      </w:r>
      <w:proofErr w:type="spellStart"/>
      <w:r w:rsidRPr="00331B6E">
        <w:rPr>
          <w:rFonts w:ascii="Arial" w:hAnsi="Arial" w:cs="Arial"/>
          <w:color w:val="222222"/>
          <w:shd w:val="clear" w:color="auto" w:fill="FFFFFF"/>
        </w:rPr>
        <w:t>Sofiaturrohmah</w:t>
      </w:r>
      <w:proofErr w:type="spellEnd"/>
      <w:r w:rsidRPr="00331B6E">
        <w:rPr>
          <w:rFonts w:ascii="Arial" w:hAnsi="Arial" w:cs="Arial"/>
          <w:color w:val="222222"/>
          <w:shd w:val="clear" w:color="auto" w:fill="FFFFFF"/>
        </w:rPr>
        <w:t xml:space="preserve">, S., &amp; </w:t>
      </w:r>
      <w:proofErr w:type="spellStart"/>
      <w:r w:rsidRPr="00331B6E">
        <w:rPr>
          <w:rFonts w:ascii="Arial" w:hAnsi="Arial" w:cs="Arial"/>
          <w:color w:val="222222"/>
          <w:shd w:val="clear" w:color="auto" w:fill="FFFFFF"/>
        </w:rPr>
        <w:t>Kasman</w:t>
      </w:r>
      <w:proofErr w:type="spellEnd"/>
      <w:r w:rsidRPr="00331B6E">
        <w:rPr>
          <w:rFonts w:ascii="Arial" w:hAnsi="Arial" w:cs="Arial"/>
          <w:color w:val="222222"/>
          <w:shd w:val="clear" w:color="auto" w:fill="FFFFFF"/>
        </w:rPr>
        <w:t xml:space="preserve">, A. (2025). </w:t>
      </w:r>
      <w:proofErr w:type="spellStart"/>
      <w:r w:rsidRPr="00331B6E">
        <w:rPr>
          <w:rFonts w:ascii="Arial" w:hAnsi="Arial" w:cs="Arial"/>
          <w:color w:val="222222"/>
          <w:shd w:val="clear" w:color="auto" w:fill="FFFFFF"/>
        </w:rPr>
        <w:t>Efisiensi</w:t>
      </w:r>
      <w:proofErr w:type="spellEnd"/>
      <w:r w:rsidRPr="00331B6E">
        <w:rPr>
          <w:rFonts w:ascii="Arial" w:hAnsi="Arial" w:cs="Arial"/>
          <w:color w:val="222222"/>
          <w:shd w:val="clear" w:color="auto" w:fill="FFFFFF"/>
        </w:rPr>
        <w:t xml:space="preserve"> </w:t>
      </w:r>
      <w:proofErr w:type="spellStart"/>
      <w:r w:rsidRPr="00331B6E">
        <w:rPr>
          <w:rFonts w:ascii="Arial" w:hAnsi="Arial" w:cs="Arial"/>
          <w:color w:val="222222"/>
          <w:shd w:val="clear" w:color="auto" w:fill="FFFFFF"/>
        </w:rPr>
        <w:t>Fiskal</w:t>
      </w:r>
      <w:proofErr w:type="spellEnd"/>
      <w:r w:rsidRPr="00331B6E">
        <w:rPr>
          <w:rFonts w:ascii="Arial" w:hAnsi="Arial" w:cs="Arial"/>
          <w:color w:val="222222"/>
          <w:shd w:val="clear" w:color="auto" w:fill="FFFFFF"/>
        </w:rPr>
        <w:t xml:space="preserve"> dan </w:t>
      </w:r>
      <w:proofErr w:type="spellStart"/>
      <w:r w:rsidRPr="00331B6E">
        <w:rPr>
          <w:rFonts w:ascii="Arial" w:hAnsi="Arial" w:cs="Arial"/>
          <w:color w:val="222222"/>
          <w:shd w:val="clear" w:color="auto" w:fill="FFFFFF"/>
        </w:rPr>
        <w:t>Dampaknya</w:t>
      </w:r>
      <w:proofErr w:type="spellEnd"/>
      <w:r w:rsidRPr="00331B6E">
        <w:rPr>
          <w:rFonts w:ascii="Arial" w:hAnsi="Arial" w:cs="Arial"/>
          <w:color w:val="222222"/>
          <w:shd w:val="clear" w:color="auto" w:fill="FFFFFF"/>
        </w:rPr>
        <w:t xml:space="preserve"> </w:t>
      </w:r>
      <w:proofErr w:type="spellStart"/>
      <w:r w:rsidRPr="00331B6E">
        <w:rPr>
          <w:rFonts w:ascii="Arial" w:hAnsi="Arial" w:cs="Arial"/>
          <w:color w:val="222222"/>
          <w:shd w:val="clear" w:color="auto" w:fill="FFFFFF"/>
        </w:rPr>
        <w:t>terhadap</w:t>
      </w:r>
      <w:proofErr w:type="spellEnd"/>
      <w:r w:rsidRPr="00331B6E">
        <w:rPr>
          <w:rFonts w:ascii="Arial" w:hAnsi="Arial" w:cs="Arial"/>
          <w:color w:val="222222"/>
          <w:shd w:val="clear" w:color="auto" w:fill="FFFFFF"/>
        </w:rPr>
        <w:t xml:space="preserve"> Transfer Dana Daerah: </w:t>
      </w:r>
      <w:proofErr w:type="spellStart"/>
      <w:r w:rsidRPr="00331B6E">
        <w:rPr>
          <w:rFonts w:ascii="Arial" w:hAnsi="Arial" w:cs="Arial"/>
          <w:color w:val="222222"/>
          <w:shd w:val="clear" w:color="auto" w:fill="FFFFFF"/>
        </w:rPr>
        <w:t>Analisis</w:t>
      </w:r>
      <w:proofErr w:type="spellEnd"/>
      <w:r w:rsidRPr="00331B6E">
        <w:rPr>
          <w:rFonts w:ascii="Arial" w:hAnsi="Arial" w:cs="Arial"/>
          <w:color w:val="222222"/>
          <w:shd w:val="clear" w:color="auto" w:fill="FFFFFF"/>
        </w:rPr>
        <w:t xml:space="preserve"> </w:t>
      </w:r>
      <w:proofErr w:type="spellStart"/>
      <w:r w:rsidRPr="00331B6E">
        <w:rPr>
          <w:rFonts w:ascii="Arial" w:hAnsi="Arial" w:cs="Arial"/>
          <w:color w:val="222222"/>
          <w:shd w:val="clear" w:color="auto" w:fill="FFFFFF"/>
        </w:rPr>
        <w:t>Kebijakan</w:t>
      </w:r>
      <w:proofErr w:type="spellEnd"/>
      <w:r w:rsidRPr="00331B6E">
        <w:rPr>
          <w:rFonts w:ascii="Arial" w:hAnsi="Arial" w:cs="Arial"/>
          <w:color w:val="222222"/>
          <w:shd w:val="clear" w:color="auto" w:fill="FFFFFF"/>
        </w:rPr>
        <w:t xml:space="preserve"> </w:t>
      </w:r>
      <w:proofErr w:type="spellStart"/>
      <w:r w:rsidRPr="00331B6E">
        <w:rPr>
          <w:rFonts w:ascii="Arial" w:hAnsi="Arial" w:cs="Arial"/>
          <w:color w:val="222222"/>
          <w:shd w:val="clear" w:color="auto" w:fill="FFFFFF"/>
        </w:rPr>
        <w:t>Inpres</w:t>
      </w:r>
      <w:proofErr w:type="spellEnd"/>
      <w:r w:rsidRPr="00331B6E">
        <w:rPr>
          <w:rFonts w:ascii="Arial" w:hAnsi="Arial" w:cs="Arial"/>
          <w:color w:val="222222"/>
          <w:shd w:val="clear" w:color="auto" w:fill="FFFFFF"/>
        </w:rPr>
        <w:t xml:space="preserve"> No. 1 </w:t>
      </w:r>
      <w:proofErr w:type="spellStart"/>
      <w:r w:rsidRPr="00331B6E">
        <w:rPr>
          <w:rFonts w:ascii="Arial" w:hAnsi="Arial" w:cs="Arial"/>
          <w:color w:val="222222"/>
          <w:shd w:val="clear" w:color="auto" w:fill="FFFFFF"/>
        </w:rPr>
        <w:t>Tahun</w:t>
      </w:r>
      <w:proofErr w:type="spellEnd"/>
      <w:r w:rsidRPr="00331B6E">
        <w:rPr>
          <w:rFonts w:ascii="Arial" w:hAnsi="Arial" w:cs="Arial"/>
          <w:color w:val="222222"/>
          <w:shd w:val="clear" w:color="auto" w:fill="FFFFFF"/>
        </w:rPr>
        <w:t xml:space="preserve"> 2025. Journal of Governance Innovation, 7(1), 347-359. https://doi.org/10.36636/jogiv.v7i1.6832</w:t>
      </w:r>
      <w:r w:rsidR="00B56CDA" w:rsidRPr="00CF43E0">
        <w:rPr>
          <w:rFonts w:ascii="Arial" w:hAnsi="Arial" w:cs="Arial"/>
          <w:highlight w:val="yellow"/>
          <w:lang w:val="en-ID"/>
        </w:rPr>
        <w:t xml:space="preserve"> </w:t>
      </w:r>
    </w:p>
    <w:p w:rsidR="00004F23" w:rsidRPr="00004F23" w:rsidRDefault="001F3D92" w:rsidP="003453FD">
      <w:pPr>
        <w:pStyle w:val="Body"/>
        <w:spacing w:after="0"/>
        <w:ind w:left="540" w:hanging="540"/>
        <w:rPr>
          <w:rFonts w:ascii="Arial" w:hAnsi="Arial" w:cs="Arial"/>
          <w:lang w:val="en-ID"/>
        </w:rPr>
      </w:pPr>
      <w:proofErr w:type="spellStart"/>
      <w:r w:rsidRPr="001F3D92">
        <w:rPr>
          <w:rFonts w:ascii="Arial" w:hAnsi="Arial" w:cs="Arial"/>
          <w:lang w:val="en-ID"/>
        </w:rPr>
        <w:t>Wenas</w:t>
      </w:r>
      <w:proofErr w:type="spellEnd"/>
      <w:r w:rsidRPr="001F3D92">
        <w:rPr>
          <w:rFonts w:ascii="Arial" w:hAnsi="Arial" w:cs="Arial"/>
          <w:lang w:val="en-ID"/>
        </w:rPr>
        <w:t xml:space="preserve">, J. G., </w:t>
      </w:r>
      <w:proofErr w:type="spellStart"/>
      <w:r w:rsidRPr="001F3D92">
        <w:rPr>
          <w:rFonts w:ascii="Arial" w:hAnsi="Arial" w:cs="Arial"/>
          <w:lang w:val="en-ID"/>
        </w:rPr>
        <w:t>Karamoy</w:t>
      </w:r>
      <w:proofErr w:type="spellEnd"/>
      <w:r w:rsidRPr="001F3D92">
        <w:rPr>
          <w:rFonts w:ascii="Arial" w:hAnsi="Arial" w:cs="Arial"/>
          <w:lang w:val="en-ID"/>
        </w:rPr>
        <w:t xml:space="preserve">, H., &amp; </w:t>
      </w:r>
      <w:proofErr w:type="spellStart"/>
      <w:r w:rsidRPr="001F3D92">
        <w:rPr>
          <w:rFonts w:ascii="Arial" w:hAnsi="Arial" w:cs="Arial"/>
          <w:lang w:val="en-ID"/>
        </w:rPr>
        <w:t>Morasa</w:t>
      </w:r>
      <w:proofErr w:type="spellEnd"/>
      <w:r w:rsidRPr="001F3D92">
        <w:rPr>
          <w:rFonts w:ascii="Arial" w:hAnsi="Arial" w:cs="Arial"/>
          <w:lang w:val="en-ID"/>
        </w:rPr>
        <w:t xml:space="preserve">, J. (2020). </w:t>
      </w:r>
      <w:proofErr w:type="spellStart"/>
      <w:r w:rsidRPr="001F3D92">
        <w:rPr>
          <w:rFonts w:ascii="Arial" w:hAnsi="Arial" w:cs="Arial"/>
          <w:lang w:val="en-ID"/>
        </w:rPr>
        <w:t>Perilaku</w:t>
      </w:r>
      <w:proofErr w:type="spellEnd"/>
      <w:r w:rsidRPr="001F3D92">
        <w:rPr>
          <w:rFonts w:ascii="Arial" w:hAnsi="Arial" w:cs="Arial"/>
          <w:lang w:val="en-ID"/>
        </w:rPr>
        <w:t xml:space="preserve"> </w:t>
      </w:r>
      <w:proofErr w:type="spellStart"/>
      <w:r w:rsidRPr="001F3D92">
        <w:rPr>
          <w:rFonts w:ascii="Arial" w:hAnsi="Arial" w:cs="Arial"/>
          <w:lang w:val="en-ID"/>
        </w:rPr>
        <w:t>oportunistik</w:t>
      </w:r>
      <w:proofErr w:type="spellEnd"/>
      <w:r w:rsidRPr="001F3D92">
        <w:rPr>
          <w:rFonts w:ascii="Arial" w:hAnsi="Arial" w:cs="Arial"/>
          <w:lang w:val="en-ID"/>
        </w:rPr>
        <w:t xml:space="preserve"> </w:t>
      </w:r>
      <w:proofErr w:type="spellStart"/>
      <w:r w:rsidRPr="001F3D92">
        <w:rPr>
          <w:rFonts w:ascii="Arial" w:hAnsi="Arial" w:cs="Arial"/>
          <w:lang w:val="en-ID"/>
        </w:rPr>
        <w:t>pemerintah</w:t>
      </w:r>
      <w:proofErr w:type="spellEnd"/>
      <w:r w:rsidRPr="001F3D92">
        <w:rPr>
          <w:rFonts w:ascii="Arial" w:hAnsi="Arial" w:cs="Arial"/>
          <w:lang w:val="en-ID"/>
        </w:rPr>
        <w:t xml:space="preserve"> </w:t>
      </w:r>
      <w:proofErr w:type="spellStart"/>
      <w:r w:rsidRPr="001F3D92">
        <w:rPr>
          <w:rFonts w:ascii="Arial" w:hAnsi="Arial" w:cs="Arial"/>
          <w:lang w:val="en-ID"/>
        </w:rPr>
        <w:t>kota</w:t>
      </w:r>
      <w:proofErr w:type="spellEnd"/>
      <w:r w:rsidRPr="001F3D92">
        <w:rPr>
          <w:rFonts w:ascii="Arial" w:hAnsi="Arial" w:cs="Arial"/>
          <w:lang w:val="en-ID"/>
        </w:rPr>
        <w:t xml:space="preserve"> Manado </w:t>
      </w:r>
      <w:proofErr w:type="spellStart"/>
      <w:r w:rsidRPr="001F3D92">
        <w:rPr>
          <w:rFonts w:ascii="Arial" w:hAnsi="Arial" w:cs="Arial"/>
          <w:lang w:val="en-ID"/>
        </w:rPr>
        <w:t>atas</w:t>
      </w:r>
      <w:proofErr w:type="spellEnd"/>
      <w:r w:rsidRPr="001F3D92">
        <w:rPr>
          <w:rFonts w:ascii="Arial" w:hAnsi="Arial" w:cs="Arial"/>
          <w:lang w:val="en-ID"/>
        </w:rPr>
        <w:t xml:space="preserve"> </w:t>
      </w:r>
      <w:proofErr w:type="spellStart"/>
      <w:r w:rsidRPr="001F3D92">
        <w:rPr>
          <w:rFonts w:ascii="Arial" w:hAnsi="Arial" w:cs="Arial"/>
          <w:lang w:val="en-ID"/>
        </w:rPr>
        <w:t>perubahan</w:t>
      </w:r>
      <w:proofErr w:type="spellEnd"/>
      <w:r w:rsidRPr="001F3D92">
        <w:rPr>
          <w:rFonts w:ascii="Arial" w:hAnsi="Arial" w:cs="Arial"/>
          <w:lang w:val="en-ID"/>
        </w:rPr>
        <w:t xml:space="preserve"> dana </w:t>
      </w:r>
      <w:proofErr w:type="spellStart"/>
      <w:r w:rsidRPr="001F3D92">
        <w:rPr>
          <w:rFonts w:ascii="Arial" w:hAnsi="Arial" w:cs="Arial"/>
          <w:lang w:val="en-ID"/>
        </w:rPr>
        <w:t>alokasi</w:t>
      </w:r>
      <w:proofErr w:type="spellEnd"/>
      <w:r w:rsidRPr="001F3D92">
        <w:rPr>
          <w:rFonts w:ascii="Arial" w:hAnsi="Arial" w:cs="Arial"/>
          <w:lang w:val="en-ID"/>
        </w:rPr>
        <w:t xml:space="preserve"> </w:t>
      </w:r>
      <w:proofErr w:type="spellStart"/>
      <w:r w:rsidRPr="001F3D92">
        <w:rPr>
          <w:rFonts w:ascii="Arial" w:hAnsi="Arial" w:cs="Arial"/>
          <w:lang w:val="en-ID"/>
        </w:rPr>
        <w:t>umum</w:t>
      </w:r>
      <w:proofErr w:type="spellEnd"/>
      <w:r w:rsidRPr="001F3D92">
        <w:rPr>
          <w:rFonts w:ascii="Arial" w:hAnsi="Arial" w:cs="Arial"/>
          <w:lang w:val="en-ID"/>
        </w:rPr>
        <w:t xml:space="preserve">: </w:t>
      </w:r>
      <w:proofErr w:type="spellStart"/>
      <w:r w:rsidRPr="001F3D92">
        <w:rPr>
          <w:rFonts w:ascii="Arial" w:hAnsi="Arial" w:cs="Arial"/>
          <w:lang w:val="en-ID"/>
        </w:rPr>
        <w:t>Suatu</w:t>
      </w:r>
      <w:proofErr w:type="spellEnd"/>
      <w:r w:rsidRPr="001F3D92">
        <w:rPr>
          <w:rFonts w:ascii="Arial" w:hAnsi="Arial" w:cs="Arial"/>
          <w:lang w:val="en-ID"/>
        </w:rPr>
        <w:t xml:space="preserve"> </w:t>
      </w:r>
      <w:proofErr w:type="spellStart"/>
      <w:r w:rsidRPr="001F3D92">
        <w:rPr>
          <w:rFonts w:ascii="Arial" w:hAnsi="Arial" w:cs="Arial"/>
          <w:lang w:val="en-ID"/>
        </w:rPr>
        <w:t>kajian</w:t>
      </w:r>
      <w:proofErr w:type="spellEnd"/>
      <w:r w:rsidRPr="001F3D92">
        <w:rPr>
          <w:rFonts w:ascii="Arial" w:hAnsi="Arial" w:cs="Arial"/>
          <w:lang w:val="en-ID"/>
        </w:rPr>
        <w:t xml:space="preserve"> </w:t>
      </w:r>
      <w:proofErr w:type="spellStart"/>
      <w:r w:rsidRPr="001F3D92">
        <w:rPr>
          <w:rFonts w:ascii="Arial" w:hAnsi="Arial" w:cs="Arial"/>
          <w:lang w:val="en-ID"/>
        </w:rPr>
        <w:t>kualitatif</w:t>
      </w:r>
      <w:proofErr w:type="spellEnd"/>
      <w:r w:rsidRPr="001F3D92">
        <w:rPr>
          <w:rFonts w:ascii="Arial" w:hAnsi="Arial" w:cs="Arial"/>
          <w:lang w:val="en-ID"/>
        </w:rPr>
        <w:t>. JMBI UNSRAT (</w:t>
      </w:r>
      <w:proofErr w:type="spellStart"/>
      <w:r w:rsidRPr="001F3D92">
        <w:rPr>
          <w:rFonts w:ascii="Arial" w:hAnsi="Arial" w:cs="Arial"/>
          <w:lang w:val="en-ID"/>
        </w:rPr>
        <w:t>Jurnal</w:t>
      </w:r>
      <w:proofErr w:type="spellEnd"/>
      <w:r w:rsidRPr="001F3D92">
        <w:rPr>
          <w:rFonts w:ascii="Arial" w:hAnsi="Arial" w:cs="Arial"/>
          <w:lang w:val="en-ID"/>
        </w:rPr>
        <w:t xml:space="preserve"> </w:t>
      </w:r>
      <w:proofErr w:type="spellStart"/>
      <w:r w:rsidRPr="001F3D92">
        <w:rPr>
          <w:rFonts w:ascii="Arial" w:hAnsi="Arial" w:cs="Arial"/>
          <w:lang w:val="en-ID"/>
        </w:rPr>
        <w:t>Ilmiah</w:t>
      </w:r>
      <w:proofErr w:type="spellEnd"/>
      <w:r w:rsidRPr="001F3D92">
        <w:rPr>
          <w:rFonts w:ascii="Arial" w:hAnsi="Arial" w:cs="Arial"/>
          <w:lang w:val="en-ID"/>
        </w:rPr>
        <w:t xml:space="preserve"> </w:t>
      </w:r>
      <w:proofErr w:type="spellStart"/>
      <w:r w:rsidRPr="001F3D92">
        <w:rPr>
          <w:rFonts w:ascii="Arial" w:hAnsi="Arial" w:cs="Arial"/>
          <w:lang w:val="en-ID"/>
        </w:rPr>
        <w:t>Manajemen</w:t>
      </w:r>
      <w:proofErr w:type="spellEnd"/>
      <w:r w:rsidRPr="001F3D92">
        <w:rPr>
          <w:rFonts w:ascii="Arial" w:hAnsi="Arial" w:cs="Arial"/>
          <w:lang w:val="en-ID"/>
        </w:rPr>
        <w:t xml:space="preserve"> </w:t>
      </w:r>
      <w:proofErr w:type="spellStart"/>
      <w:r w:rsidRPr="001F3D92">
        <w:rPr>
          <w:rFonts w:ascii="Arial" w:hAnsi="Arial" w:cs="Arial"/>
          <w:lang w:val="en-ID"/>
        </w:rPr>
        <w:t>Bisnis</w:t>
      </w:r>
      <w:proofErr w:type="spellEnd"/>
      <w:r w:rsidRPr="001F3D92">
        <w:rPr>
          <w:rFonts w:ascii="Arial" w:hAnsi="Arial" w:cs="Arial"/>
          <w:lang w:val="en-ID"/>
        </w:rPr>
        <w:t xml:space="preserve"> dan </w:t>
      </w:r>
      <w:proofErr w:type="spellStart"/>
      <w:r w:rsidRPr="001F3D92">
        <w:rPr>
          <w:rFonts w:ascii="Arial" w:hAnsi="Arial" w:cs="Arial"/>
          <w:lang w:val="en-ID"/>
        </w:rPr>
        <w:t>Inovasi</w:t>
      </w:r>
      <w:proofErr w:type="spellEnd"/>
      <w:r w:rsidRPr="001F3D92">
        <w:rPr>
          <w:rFonts w:ascii="Arial" w:hAnsi="Arial" w:cs="Arial"/>
          <w:lang w:val="en-ID"/>
        </w:rPr>
        <w:t xml:space="preserve"> </w:t>
      </w:r>
      <w:proofErr w:type="spellStart"/>
      <w:r w:rsidRPr="001F3D92">
        <w:rPr>
          <w:rFonts w:ascii="Arial" w:hAnsi="Arial" w:cs="Arial"/>
          <w:lang w:val="en-ID"/>
        </w:rPr>
        <w:t>Universitas</w:t>
      </w:r>
      <w:proofErr w:type="spellEnd"/>
      <w:r w:rsidRPr="001F3D92">
        <w:rPr>
          <w:rFonts w:ascii="Arial" w:hAnsi="Arial" w:cs="Arial"/>
          <w:lang w:val="en-ID"/>
        </w:rPr>
        <w:t xml:space="preserve"> Sam </w:t>
      </w:r>
      <w:proofErr w:type="spellStart"/>
      <w:r w:rsidRPr="001F3D92">
        <w:rPr>
          <w:rFonts w:ascii="Arial" w:hAnsi="Arial" w:cs="Arial"/>
          <w:lang w:val="en-ID"/>
        </w:rPr>
        <w:t>Ratulangi</w:t>
      </w:r>
      <w:proofErr w:type="spellEnd"/>
      <w:r w:rsidRPr="001F3D92">
        <w:rPr>
          <w:rFonts w:ascii="Arial" w:hAnsi="Arial" w:cs="Arial"/>
          <w:lang w:val="en-ID"/>
        </w:rPr>
        <w:t>), 7(1), 21–34. https://doi.org/10.35794/jmbi.v7i1.27823</w:t>
      </w:r>
    </w:p>
    <w:p w:rsidR="005A0CEC" w:rsidRDefault="005A0CEC" w:rsidP="00004F23">
      <w:pPr>
        <w:pStyle w:val="Body"/>
        <w:spacing w:after="0"/>
        <w:rPr>
          <w:rFonts w:ascii="Arial" w:hAnsi="Arial" w:cs="Arial"/>
        </w:rPr>
      </w:pPr>
    </w:p>
    <w:p w:rsidR="00B01FCD" w:rsidRPr="00FB3A86" w:rsidRDefault="00B01FCD" w:rsidP="00441B6F">
      <w:pPr>
        <w:pStyle w:val="Appendix"/>
        <w:spacing w:after="0"/>
        <w:jc w:val="both"/>
        <w:rPr>
          <w:rFonts w:ascii="Arial" w:hAnsi="Arial" w:cs="Arial"/>
          <w:b w:val="0"/>
        </w:rPr>
      </w:pPr>
    </w:p>
    <w:sectPr w:rsidR="00B01FCD" w:rsidRPr="00FB3A86" w:rsidSect="00E43365">
      <w:headerReference w:type="even" r:id="rId19"/>
      <w:headerReference w:type="default" r:id="rId20"/>
      <w:footerReference w:type="default" r:id="rId21"/>
      <w:headerReference w:type="first" r:id="rId2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2402" w:rsidRDefault="00832402" w:rsidP="00C37E61">
      <w:r>
        <w:separator/>
      </w:r>
    </w:p>
  </w:endnote>
  <w:endnote w:type="continuationSeparator" w:id="0">
    <w:p w:rsidR="00832402" w:rsidRDefault="0083240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365" w:rsidRDefault="00E433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365" w:rsidRDefault="00E433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2402" w:rsidRDefault="00832402" w:rsidP="00C37E61">
      <w:r>
        <w:separator/>
      </w:r>
    </w:p>
  </w:footnote>
  <w:footnote w:type="continuationSeparator" w:id="0">
    <w:p w:rsidR="00832402" w:rsidRDefault="0083240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365" w:rsidRDefault="00E4336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123079"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365" w:rsidRDefault="00E4336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123080"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E43365"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123078"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365" w:rsidRDefault="00E4336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123082"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365" w:rsidRDefault="00E4336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123083"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365" w:rsidRDefault="00E4336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123081"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9844D55"/>
    <w:multiLevelType w:val="hybridMultilevel"/>
    <w:tmpl w:val="C11E4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45B0A40"/>
    <w:multiLevelType w:val="hybridMultilevel"/>
    <w:tmpl w:val="FD3C8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4B2EBA"/>
    <w:multiLevelType w:val="multilevel"/>
    <w:tmpl w:val="96002A8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4"/>
  </w:num>
  <w:num w:numId="9">
    <w:abstractNumId w:val="28"/>
  </w:num>
  <w:num w:numId="10">
    <w:abstractNumId w:val="2"/>
  </w:num>
  <w:num w:numId="11">
    <w:abstractNumId w:val="21"/>
  </w:num>
  <w:num w:numId="12">
    <w:abstractNumId w:val="3"/>
  </w:num>
  <w:num w:numId="13">
    <w:abstractNumId w:val="20"/>
  </w:num>
  <w:num w:numId="14">
    <w:abstractNumId w:val="10"/>
  </w:num>
  <w:num w:numId="15">
    <w:abstractNumId w:val="24"/>
  </w:num>
  <w:num w:numId="16">
    <w:abstractNumId w:val="5"/>
  </w:num>
  <w:num w:numId="17">
    <w:abstractNumId w:val="25"/>
  </w:num>
  <w:num w:numId="18">
    <w:abstractNumId w:val="16"/>
  </w:num>
  <w:num w:numId="19">
    <w:abstractNumId w:val="31"/>
  </w:num>
  <w:num w:numId="20">
    <w:abstractNumId w:val="13"/>
  </w:num>
  <w:num w:numId="21">
    <w:abstractNumId w:val="11"/>
  </w:num>
  <w:num w:numId="22">
    <w:abstractNumId w:val="15"/>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2"/>
  </w:num>
  <w:num w:numId="31">
    <w:abstractNumId w:val="6"/>
  </w:num>
  <w:num w:numId="32">
    <w:abstractNumId w:val="19"/>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259F"/>
    <w:rsid w:val="00003EB4"/>
    <w:rsid w:val="00004F23"/>
    <w:rsid w:val="000103F1"/>
    <w:rsid w:val="00030174"/>
    <w:rsid w:val="00034B41"/>
    <w:rsid w:val="00037274"/>
    <w:rsid w:val="0004579C"/>
    <w:rsid w:val="00045C77"/>
    <w:rsid w:val="0005569C"/>
    <w:rsid w:val="000614F4"/>
    <w:rsid w:val="00062437"/>
    <w:rsid w:val="000646D0"/>
    <w:rsid w:val="00075255"/>
    <w:rsid w:val="00087F04"/>
    <w:rsid w:val="000A47FA"/>
    <w:rsid w:val="000A65D3"/>
    <w:rsid w:val="000A7392"/>
    <w:rsid w:val="000B1E33"/>
    <w:rsid w:val="000D13A5"/>
    <w:rsid w:val="000D15A8"/>
    <w:rsid w:val="000D5580"/>
    <w:rsid w:val="000D689F"/>
    <w:rsid w:val="000E23B8"/>
    <w:rsid w:val="000E7B7B"/>
    <w:rsid w:val="000E7D62"/>
    <w:rsid w:val="00100C1B"/>
    <w:rsid w:val="00103357"/>
    <w:rsid w:val="00123C9F"/>
    <w:rsid w:val="00126190"/>
    <w:rsid w:val="00130F17"/>
    <w:rsid w:val="001320BF"/>
    <w:rsid w:val="00163BC4"/>
    <w:rsid w:val="00170081"/>
    <w:rsid w:val="001761E0"/>
    <w:rsid w:val="00191062"/>
    <w:rsid w:val="00192B72"/>
    <w:rsid w:val="001A29D8"/>
    <w:rsid w:val="001A3A8C"/>
    <w:rsid w:val="001A5CAA"/>
    <w:rsid w:val="001B0427"/>
    <w:rsid w:val="001B7052"/>
    <w:rsid w:val="001D0FA9"/>
    <w:rsid w:val="001D3A51"/>
    <w:rsid w:val="001E10D2"/>
    <w:rsid w:val="001E25B4"/>
    <w:rsid w:val="001E44FE"/>
    <w:rsid w:val="001F3D92"/>
    <w:rsid w:val="001F7142"/>
    <w:rsid w:val="00200595"/>
    <w:rsid w:val="00204835"/>
    <w:rsid w:val="0020700E"/>
    <w:rsid w:val="00226357"/>
    <w:rsid w:val="00226B64"/>
    <w:rsid w:val="00231920"/>
    <w:rsid w:val="0023195C"/>
    <w:rsid w:val="0024282C"/>
    <w:rsid w:val="002455A1"/>
    <w:rsid w:val="002460DC"/>
    <w:rsid w:val="00250985"/>
    <w:rsid w:val="002556F6"/>
    <w:rsid w:val="00271824"/>
    <w:rsid w:val="002749A7"/>
    <w:rsid w:val="00282A64"/>
    <w:rsid w:val="00283105"/>
    <w:rsid w:val="00284C4C"/>
    <w:rsid w:val="00287E68"/>
    <w:rsid w:val="00296529"/>
    <w:rsid w:val="002A6FC1"/>
    <w:rsid w:val="002B27FB"/>
    <w:rsid w:val="002B685A"/>
    <w:rsid w:val="002C57D2"/>
    <w:rsid w:val="002E0D56"/>
    <w:rsid w:val="00315186"/>
    <w:rsid w:val="003279D4"/>
    <w:rsid w:val="00331B6E"/>
    <w:rsid w:val="0033343E"/>
    <w:rsid w:val="003453FD"/>
    <w:rsid w:val="003512C2"/>
    <w:rsid w:val="00371FB6"/>
    <w:rsid w:val="003727E3"/>
    <w:rsid w:val="003763C1"/>
    <w:rsid w:val="00376AF3"/>
    <w:rsid w:val="00376BBE"/>
    <w:rsid w:val="0039224F"/>
    <w:rsid w:val="00395A88"/>
    <w:rsid w:val="003A43A4"/>
    <w:rsid w:val="003A7E18"/>
    <w:rsid w:val="003B7A3E"/>
    <w:rsid w:val="003C2B39"/>
    <w:rsid w:val="003C4C86"/>
    <w:rsid w:val="003C6258"/>
    <w:rsid w:val="003E2904"/>
    <w:rsid w:val="003E3555"/>
    <w:rsid w:val="00401927"/>
    <w:rsid w:val="0041027F"/>
    <w:rsid w:val="00410F52"/>
    <w:rsid w:val="00412475"/>
    <w:rsid w:val="00423789"/>
    <w:rsid w:val="0043685B"/>
    <w:rsid w:val="00440F43"/>
    <w:rsid w:val="00441B6F"/>
    <w:rsid w:val="00446221"/>
    <w:rsid w:val="00450E62"/>
    <w:rsid w:val="004539DB"/>
    <w:rsid w:val="00471A80"/>
    <w:rsid w:val="004870D4"/>
    <w:rsid w:val="004A16B8"/>
    <w:rsid w:val="004D305E"/>
    <w:rsid w:val="004D4277"/>
    <w:rsid w:val="00502516"/>
    <w:rsid w:val="00505F06"/>
    <w:rsid w:val="00506828"/>
    <w:rsid w:val="00510316"/>
    <w:rsid w:val="005149D8"/>
    <w:rsid w:val="00524233"/>
    <w:rsid w:val="0053056E"/>
    <w:rsid w:val="005473B7"/>
    <w:rsid w:val="00554FDA"/>
    <w:rsid w:val="0055581D"/>
    <w:rsid w:val="005777F9"/>
    <w:rsid w:val="00580129"/>
    <w:rsid w:val="00587A5B"/>
    <w:rsid w:val="005A0BC4"/>
    <w:rsid w:val="005A0CEC"/>
    <w:rsid w:val="005A2DE0"/>
    <w:rsid w:val="005A40D7"/>
    <w:rsid w:val="005A6E01"/>
    <w:rsid w:val="005A7313"/>
    <w:rsid w:val="005A7B69"/>
    <w:rsid w:val="005B5FFB"/>
    <w:rsid w:val="005C784C"/>
    <w:rsid w:val="005D17F6"/>
    <w:rsid w:val="005E5539"/>
    <w:rsid w:val="005F6266"/>
    <w:rsid w:val="005F70ED"/>
    <w:rsid w:val="00602BF5"/>
    <w:rsid w:val="00606A58"/>
    <w:rsid w:val="00617FDD"/>
    <w:rsid w:val="00633614"/>
    <w:rsid w:val="00633F68"/>
    <w:rsid w:val="00636EB2"/>
    <w:rsid w:val="006375B8"/>
    <w:rsid w:val="00653990"/>
    <w:rsid w:val="006618A4"/>
    <w:rsid w:val="00664482"/>
    <w:rsid w:val="0066510A"/>
    <w:rsid w:val="0067184A"/>
    <w:rsid w:val="00673496"/>
    <w:rsid w:val="00673F9F"/>
    <w:rsid w:val="00676296"/>
    <w:rsid w:val="00681FB4"/>
    <w:rsid w:val="00682608"/>
    <w:rsid w:val="00686953"/>
    <w:rsid w:val="00687DEA"/>
    <w:rsid w:val="00687E67"/>
    <w:rsid w:val="0069028E"/>
    <w:rsid w:val="0069283E"/>
    <w:rsid w:val="006967F7"/>
    <w:rsid w:val="006A250C"/>
    <w:rsid w:val="006B21D3"/>
    <w:rsid w:val="006B57D0"/>
    <w:rsid w:val="006C2118"/>
    <w:rsid w:val="006C5AA0"/>
    <w:rsid w:val="006D30FF"/>
    <w:rsid w:val="006D6940"/>
    <w:rsid w:val="006F11EC"/>
    <w:rsid w:val="0070082C"/>
    <w:rsid w:val="007061C3"/>
    <w:rsid w:val="007369E6"/>
    <w:rsid w:val="00746E59"/>
    <w:rsid w:val="00754C9A"/>
    <w:rsid w:val="0075599A"/>
    <w:rsid w:val="00761D52"/>
    <w:rsid w:val="0076487A"/>
    <w:rsid w:val="0077749E"/>
    <w:rsid w:val="007779F7"/>
    <w:rsid w:val="00790ADA"/>
    <w:rsid w:val="0079170A"/>
    <w:rsid w:val="007A38D6"/>
    <w:rsid w:val="007D2288"/>
    <w:rsid w:val="007E088F"/>
    <w:rsid w:val="007F598F"/>
    <w:rsid w:val="007F6853"/>
    <w:rsid w:val="007F7B32"/>
    <w:rsid w:val="00804BC2"/>
    <w:rsid w:val="00805568"/>
    <w:rsid w:val="0081431A"/>
    <w:rsid w:val="008143EE"/>
    <w:rsid w:val="0083216F"/>
    <w:rsid w:val="00832402"/>
    <w:rsid w:val="00846967"/>
    <w:rsid w:val="00860000"/>
    <w:rsid w:val="00863BD3"/>
    <w:rsid w:val="008641ED"/>
    <w:rsid w:val="00864AD8"/>
    <w:rsid w:val="00866D66"/>
    <w:rsid w:val="008671C6"/>
    <w:rsid w:val="00875803"/>
    <w:rsid w:val="00876864"/>
    <w:rsid w:val="00880D2A"/>
    <w:rsid w:val="00892420"/>
    <w:rsid w:val="008B459E"/>
    <w:rsid w:val="008B6BDD"/>
    <w:rsid w:val="008C6CCE"/>
    <w:rsid w:val="008D7FBB"/>
    <w:rsid w:val="008E13AE"/>
    <w:rsid w:val="008E1506"/>
    <w:rsid w:val="008E710C"/>
    <w:rsid w:val="008E75A0"/>
    <w:rsid w:val="008F1AAC"/>
    <w:rsid w:val="008F69D6"/>
    <w:rsid w:val="00902823"/>
    <w:rsid w:val="009142E8"/>
    <w:rsid w:val="00915CA6"/>
    <w:rsid w:val="00921DB2"/>
    <w:rsid w:val="00927834"/>
    <w:rsid w:val="00945CCC"/>
    <w:rsid w:val="009500A6"/>
    <w:rsid w:val="00957C18"/>
    <w:rsid w:val="009659BA"/>
    <w:rsid w:val="009732B1"/>
    <w:rsid w:val="0098005C"/>
    <w:rsid w:val="00983040"/>
    <w:rsid w:val="00985618"/>
    <w:rsid w:val="009A3BC5"/>
    <w:rsid w:val="009B3FB9"/>
    <w:rsid w:val="009C2465"/>
    <w:rsid w:val="009D13F7"/>
    <w:rsid w:val="009D211B"/>
    <w:rsid w:val="009D35A0"/>
    <w:rsid w:val="009D7EB7"/>
    <w:rsid w:val="009E048A"/>
    <w:rsid w:val="009E08E9"/>
    <w:rsid w:val="009E313E"/>
    <w:rsid w:val="009E3D96"/>
    <w:rsid w:val="009E3DB9"/>
    <w:rsid w:val="009E6E35"/>
    <w:rsid w:val="009F0EDA"/>
    <w:rsid w:val="00A03B96"/>
    <w:rsid w:val="00A05B19"/>
    <w:rsid w:val="00A1134E"/>
    <w:rsid w:val="00A12009"/>
    <w:rsid w:val="00A16D5C"/>
    <w:rsid w:val="00A24E7E"/>
    <w:rsid w:val="00A258C3"/>
    <w:rsid w:val="00A27998"/>
    <w:rsid w:val="00A347C0"/>
    <w:rsid w:val="00A51431"/>
    <w:rsid w:val="00A539AD"/>
    <w:rsid w:val="00A94063"/>
    <w:rsid w:val="00AA6219"/>
    <w:rsid w:val="00AA74E0"/>
    <w:rsid w:val="00AB703F"/>
    <w:rsid w:val="00AC6BB8"/>
    <w:rsid w:val="00AE008F"/>
    <w:rsid w:val="00AE0F36"/>
    <w:rsid w:val="00AF3D9C"/>
    <w:rsid w:val="00B01FCD"/>
    <w:rsid w:val="00B074F2"/>
    <w:rsid w:val="00B172D1"/>
    <w:rsid w:val="00B1776C"/>
    <w:rsid w:val="00B26D35"/>
    <w:rsid w:val="00B341C1"/>
    <w:rsid w:val="00B507C3"/>
    <w:rsid w:val="00B52583"/>
    <w:rsid w:val="00B52896"/>
    <w:rsid w:val="00B543EE"/>
    <w:rsid w:val="00B56CDA"/>
    <w:rsid w:val="00B776BB"/>
    <w:rsid w:val="00B80FBA"/>
    <w:rsid w:val="00B9210F"/>
    <w:rsid w:val="00B95236"/>
    <w:rsid w:val="00B96BD9"/>
    <w:rsid w:val="00BA1B01"/>
    <w:rsid w:val="00BA2641"/>
    <w:rsid w:val="00BA6A93"/>
    <w:rsid w:val="00BA6E7A"/>
    <w:rsid w:val="00BB37AA"/>
    <w:rsid w:val="00BC3B36"/>
    <w:rsid w:val="00BC53A0"/>
    <w:rsid w:val="00BC6092"/>
    <w:rsid w:val="00BE62AD"/>
    <w:rsid w:val="00BE69BD"/>
    <w:rsid w:val="00BF0028"/>
    <w:rsid w:val="00BF03E9"/>
    <w:rsid w:val="00BF0BB7"/>
    <w:rsid w:val="00BF121F"/>
    <w:rsid w:val="00BF1F80"/>
    <w:rsid w:val="00C02EBA"/>
    <w:rsid w:val="00C166EF"/>
    <w:rsid w:val="00C17EB0"/>
    <w:rsid w:val="00C23B46"/>
    <w:rsid w:val="00C24054"/>
    <w:rsid w:val="00C27F5F"/>
    <w:rsid w:val="00C30A0F"/>
    <w:rsid w:val="00C37E61"/>
    <w:rsid w:val="00C70F1B"/>
    <w:rsid w:val="00C71A47"/>
    <w:rsid w:val="00C7464C"/>
    <w:rsid w:val="00C8211F"/>
    <w:rsid w:val="00C85588"/>
    <w:rsid w:val="00CA6EA5"/>
    <w:rsid w:val="00CC24F6"/>
    <w:rsid w:val="00CD6755"/>
    <w:rsid w:val="00CD6856"/>
    <w:rsid w:val="00CE0089"/>
    <w:rsid w:val="00CE02FE"/>
    <w:rsid w:val="00CE1850"/>
    <w:rsid w:val="00CE793C"/>
    <w:rsid w:val="00CF193C"/>
    <w:rsid w:val="00CF43E0"/>
    <w:rsid w:val="00D01A3D"/>
    <w:rsid w:val="00D173F1"/>
    <w:rsid w:val="00D224C3"/>
    <w:rsid w:val="00D24CA9"/>
    <w:rsid w:val="00D55EB6"/>
    <w:rsid w:val="00D57255"/>
    <w:rsid w:val="00D74CB0"/>
    <w:rsid w:val="00D8295D"/>
    <w:rsid w:val="00D8734F"/>
    <w:rsid w:val="00D87C40"/>
    <w:rsid w:val="00D926C0"/>
    <w:rsid w:val="00D9430A"/>
    <w:rsid w:val="00DA3E2D"/>
    <w:rsid w:val="00DA41F1"/>
    <w:rsid w:val="00DA6E65"/>
    <w:rsid w:val="00DB7CA1"/>
    <w:rsid w:val="00DC2A65"/>
    <w:rsid w:val="00DE0CA7"/>
    <w:rsid w:val="00DE15F0"/>
    <w:rsid w:val="00DE5663"/>
    <w:rsid w:val="00DE78AA"/>
    <w:rsid w:val="00DF0B2A"/>
    <w:rsid w:val="00DF502A"/>
    <w:rsid w:val="00E009DA"/>
    <w:rsid w:val="00E053D0"/>
    <w:rsid w:val="00E12913"/>
    <w:rsid w:val="00E14CD9"/>
    <w:rsid w:val="00E15994"/>
    <w:rsid w:val="00E3114E"/>
    <w:rsid w:val="00E31A70"/>
    <w:rsid w:val="00E35B02"/>
    <w:rsid w:val="00E43365"/>
    <w:rsid w:val="00E5251C"/>
    <w:rsid w:val="00E66496"/>
    <w:rsid w:val="00E66B35"/>
    <w:rsid w:val="00E66E10"/>
    <w:rsid w:val="00E769F6"/>
    <w:rsid w:val="00E82FB7"/>
    <w:rsid w:val="00E8407C"/>
    <w:rsid w:val="00E84F3C"/>
    <w:rsid w:val="00E86C45"/>
    <w:rsid w:val="00E872EE"/>
    <w:rsid w:val="00EA012C"/>
    <w:rsid w:val="00EB2EB4"/>
    <w:rsid w:val="00EB4658"/>
    <w:rsid w:val="00EC6A55"/>
    <w:rsid w:val="00ED0288"/>
    <w:rsid w:val="00ED6320"/>
    <w:rsid w:val="00ED7118"/>
    <w:rsid w:val="00EE52CB"/>
    <w:rsid w:val="00EF581D"/>
    <w:rsid w:val="00EF7FD8"/>
    <w:rsid w:val="00F06F59"/>
    <w:rsid w:val="00F11DF0"/>
    <w:rsid w:val="00F17988"/>
    <w:rsid w:val="00F25FBB"/>
    <w:rsid w:val="00F44B11"/>
    <w:rsid w:val="00F469F0"/>
    <w:rsid w:val="00F46C2C"/>
    <w:rsid w:val="00F53273"/>
    <w:rsid w:val="00F542C8"/>
    <w:rsid w:val="00F709C5"/>
    <w:rsid w:val="00F755E4"/>
    <w:rsid w:val="00F77D02"/>
    <w:rsid w:val="00FA0F5C"/>
    <w:rsid w:val="00FB3A86"/>
    <w:rsid w:val="00FB3C0B"/>
    <w:rsid w:val="00FB5C49"/>
    <w:rsid w:val="00FC6B4E"/>
    <w:rsid w:val="00FD36C8"/>
    <w:rsid w:val="00FE2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05569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05569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balaiyanpus.jogjaprov.go.id/opac/detail-opac?id=348126"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29259/jep.v29i1.15000" TargetMode="External"/><Relationship Id="rId2" Type="http://schemas.openxmlformats.org/officeDocument/2006/relationships/numbering" Target="numbering.xml"/><Relationship Id="rId16" Type="http://schemas.openxmlformats.org/officeDocument/2006/relationships/hyperlink" Target="https://books.google.com/books?id=y_Q_AAAAMAAJ&amp;q=Lump-Sum+Intergovernmental+Grants+Have+Price"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ooks.google.com/books/about/Public_Sector_Accounting.html?id=210oAAAACAAJ"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books.google.co.id/books/about/Akuntansi_keuangan_daerah.html?id=53xTNgAACAAJ&amp;redir_esc=y" TargetMode="Externa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1B6C9-60FC-4C86-9AEC-CB9BFEAE0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61</TotalTime>
  <Pages>8</Pages>
  <Words>5642</Words>
  <Characters>32161</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37728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210</cp:revision>
  <cp:lastPrinted>1999-07-06T11:00:00Z</cp:lastPrinted>
  <dcterms:created xsi:type="dcterms:W3CDTF">2014-10-25T14:34:00Z</dcterms:created>
  <dcterms:modified xsi:type="dcterms:W3CDTF">2025-12-08T11:06:00Z</dcterms:modified>
</cp:coreProperties>
</file>