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E61" w:rsidRDefault="00B825A8">
      <w:pPr>
        <w:rPr>
          <w:rFonts w:ascii="Times New Roman" w:hAnsi="Times New Roman" w:cs="Times New Roman"/>
          <w:b/>
          <w:bCs/>
        </w:rPr>
      </w:pPr>
      <w:r>
        <w:rPr>
          <w:rFonts w:ascii="Times New Roman" w:hAnsi="Times New Roman" w:cs="Times New Roman"/>
          <w:b/>
          <w:bCs/>
        </w:rPr>
        <w:t>The Strategic Role of Brand Differentiation in Achieving Competitive Advantage: Evidence from International Brewery PLC</w:t>
      </w:r>
    </w:p>
    <w:p w:rsidR="005B650C" w:rsidRDefault="005B650C">
      <w:pPr>
        <w:rPr>
          <w:rFonts w:ascii="Times New Roman" w:hAnsi="Times New Roman" w:cs="Times New Roman"/>
          <w:b/>
          <w:bCs/>
        </w:rPr>
      </w:pPr>
    </w:p>
    <w:p w:rsidR="00337E61" w:rsidRDefault="00B825A8">
      <w:pPr>
        <w:rPr>
          <w:rFonts w:ascii="Times New Roman" w:hAnsi="Times New Roman" w:cs="Times New Roman"/>
          <w:b/>
          <w:bCs/>
        </w:rPr>
      </w:pPr>
      <w:r>
        <w:rPr>
          <w:rFonts w:ascii="Times New Roman" w:hAnsi="Times New Roman" w:cs="Times New Roman"/>
          <w:b/>
          <w:bCs/>
        </w:rPr>
        <w:t>Abstract</w:t>
      </w:r>
    </w:p>
    <w:p w:rsidR="00337E61" w:rsidRDefault="00B825A8">
      <w:pPr>
        <w:jc w:val="both"/>
        <w:rPr>
          <w:rFonts w:ascii="Times New Roman" w:hAnsi="Times New Roman" w:cs="Times New Roman"/>
        </w:rPr>
      </w:pPr>
      <w:r>
        <w:rPr>
          <w:rFonts w:ascii="Times New Roman" w:hAnsi="Times New Roman" w:cs="Times New Roman"/>
        </w:rPr>
        <w:t>This study examines the strategic role of brand differentiation in achieving competitive advantage, using International Brewery Plc as a case study. The research investigates the extent to which brand differentiation and positioning influence a firm’s ability to gain maximum competitive advantage in the marketplace. With consumers becoming increasingly informed and selective, the ability of a firm to differentiate and position its products effectively has become a critical success factor. The study population included 600 employees of International Brewery Plc, from which statistical procedures selected a sample of 250 respondents. A survey method was adopted for primary data collection, complemented by secondary data from journals, textbooks, previous studies, and online materials. Findings revealed that brand differentiation significantly contributes to competitive advantage, accounting for a 44.2% improvement in the firm’s competitive position. Similarly, brand positioning was found to impact competitive advantage positively by 61.5%.  The study concludes that both brand differentiation and positioning are crucial strategic tools for enhancing competitive advantage within International Brewery Plc. It recommends that organizations continuously invest in brand strategies that strengthen market positioning and foster customer retention.</w:t>
      </w:r>
    </w:p>
    <w:p w:rsidR="00337E61" w:rsidRDefault="00B825A8">
      <w:pPr>
        <w:rPr>
          <w:rFonts w:ascii="Times New Roman" w:hAnsi="Times New Roman" w:cs="Times New Roman"/>
          <w:lang w:val="en-GB"/>
        </w:rPr>
      </w:pPr>
      <w:r>
        <w:rPr>
          <w:rFonts w:ascii="Times New Roman" w:hAnsi="Times New Roman" w:cs="Times New Roman"/>
          <w:b/>
          <w:bCs/>
        </w:rPr>
        <w:t>Keywords:</w:t>
      </w:r>
      <w:r>
        <w:rPr>
          <w:rFonts w:ascii="Times New Roman" w:hAnsi="Times New Roman" w:cs="Times New Roman"/>
        </w:rPr>
        <w:t xml:space="preserve"> Brand</w:t>
      </w:r>
      <w:r>
        <w:rPr>
          <w:rFonts w:ascii="Times New Roman" w:hAnsi="Times New Roman" w:cs="Times New Roman"/>
          <w:lang w:val="en-GB"/>
        </w:rPr>
        <w:t xml:space="preserve"> </w:t>
      </w:r>
      <w:r>
        <w:rPr>
          <w:rFonts w:ascii="Times New Roman" w:hAnsi="Times New Roman" w:cs="Times New Roman"/>
        </w:rPr>
        <w:t>Differentiation, Positioning, Competitive Advantage, Customer Retention</w:t>
      </w:r>
      <w:r>
        <w:rPr>
          <w:rFonts w:ascii="Times New Roman" w:hAnsi="Times New Roman" w:cs="Times New Roman"/>
          <w:lang w:val="en-GB"/>
        </w:rPr>
        <w:t>, International Brewery</w:t>
      </w:r>
    </w:p>
    <w:p w:rsidR="00337E61" w:rsidRDefault="00B825A8">
      <w:pPr>
        <w:rPr>
          <w:rFonts w:ascii="Times New Roman" w:hAnsi="Times New Roman" w:cs="Times New Roman"/>
          <w:b/>
          <w:bCs/>
        </w:rPr>
      </w:pPr>
      <w:r>
        <w:rPr>
          <w:rFonts w:ascii="Times New Roman" w:hAnsi="Times New Roman" w:cs="Times New Roman"/>
          <w:b/>
          <w:bCs/>
        </w:rPr>
        <w:t>1. Introduction</w:t>
      </w:r>
    </w:p>
    <w:p w:rsidR="00337E61" w:rsidRDefault="00B825A8">
      <w:pPr>
        <w:jc w:val="both"/>
        <w:rPr>
          <w:rFonts w:ascii="Times New Roman" w:hAnsi="Times New Roman" w:cs="Times New Roman"/>
        </w:rPr>
      </w:pPr>
      <w:r>
        <w:rPr>
          <w:rFonts w:ascii="Times New Roman" w:hAnsi="Times New Roman" w:cs="Times New Roman"/>
        </w:rPr>
        <w:t xml:space="preserve">The global business environment is increasingly characterized by intense competition, compelling organizations to develop superior offerings that outperform rival brands. A key source of competitive advantage lies in brand differentiation and positioning, particularly in shaping emotional and cognitive perceptions that build consumer trust and loyalty. In today’s dynamic markets, brands are no longer just goods or services; rather, they have evolved into emotional, </w:t>
      </w:r>
      <w:proofErr w:type="spellStart"/>
      <w:r>
        <w:rPr>
          <w:rFonts w:ascii="Times New Roman" w:hAnsi="Times New Roman" w:cs="Times New Roman"/>
        </w:rPr>
        <w:t>behavioural</w:t>
      </w:r>
      <w:proofErr w:type="spellEnd"/>
      <w:r>
        <w:rPr>
          <w:rFonts w:ascii="Times New Roman" w:hAnsi="Times New Roman" w:cs="Times New Roman"/>
        </w:rPr>
        <w:t>, and symbolic identities that influence consumer choice and drive organizational growth (</w:t>
      </w:r>
      <w:proofErr w:type="spellStart"/>
      <w:r>
        <w:rPr>
          <w:rFonts w:ascii="Times New Roman" w:hAnsi="Times New Roman" w:cs="Times New Roman"/>
        </w:rPr>
        <w:t>Popoli</w:t>
      </w:r>
      <w:proofErr w:type="spellEnd"/>
      <w:r>
        <w:rPr>
          <w:rFonts w:ascii="Times New Roman" w:hAnsi="Times New Roman" w:cs="Times New Roman"/>
        </w:rPr>
        <w:t>, 2015).</w:t>
      </w:r>
    </w:p>
    <w:p w:rsidR="00337E61" w:rsidRDefault="00B825A8">
      <w:pPr>
        <w:jc w:val="both"/>
        <w:rPr>
          <w:rFonts w:ascii="Times New Roman" w:hAnsi="Times New Roman" w:cs="Times New Roman"/>
        </w:rPr>
      </w:pPr>
      <w:r>
        <w:rPr>
          <w:rFonts w:ascii="Times New Roman" w:hAnsi="Times New Roman" w:cs="Times New Roman"/>
        </w:rPr>
        <w:t xml:space="preserve">The concept of competitive advantage has long been central to business and management studies, as it explains performance differences among firms (South, 1981; </w:t>
      </w:r>
      <w:proofErr w:type="spellStart"/>
      <w:r>
        <w:rPr>
          <w:rFonts w:ascii="Times New Roman" w:hAnsi="Times New Roman" w:cs="Times New Roman"/>
        </w:rPr>
        <w:t>Baaij</w:t>
      </w:r>
      <w:proofErr w:type="spellEnd"/>
      <w:r>
        <w:rPr>
          <w:rFonts w:ascii="Times New Roman" w:hAnsi="Times New Roman" w:cs="Times New Roman"/>
        </w:rPr>
        <w:t xml:space="preserve">, </w:t>
      </w:r>
      <w:proofErr w:type="spellStart"/>
      <w:r>
        <w:rPr>
          <w:rFonts w:ascii="Times New Roman" w:hAnsi="Times New Roman" w:cs="Times New Roman"/>
        </w:rPr>
        <w:t>Greevena</w:t>
      </w:r>
      <w:proofErr w:type="spellEnd"/>
      <w:r>
        <w:rPr>
          <w:rFonts w:ascii="Times New Roman" w:hAnsi="Times New Roman" w:cs="Times New Roman"/>
        </w:rPr>
        <w:t xml:space="preserve"> &amp; Dalen, 2004; </w:t>
      </w:r>
      <w:proofErr w:type="spellStart"/>
      <w:r>
        <w:rPr>
          <w:rFonts w:ascii="Times New Roman" w:hAnsi="Times New Roman" w:cs="Times New Roman"/>
        </w:rPr>
        <w:t>Zott</w:t>
      </w:r>
      <w:proofErr w:type="spellEnd"/>
      <w:r>
        <w:rPr>
          <w:rFonts w:ascii="Times New Roman" w:hAnsi="Times New Roman" w:cs="Times New Roman"/>
        </w:rPr>
        <w:t xml:space="preserve"> &amp; Amit, 2008; </w:t>
      </w:r>
      <w:proofErr w:type="spellStart"/>
      <w:r>
        <w:rPr>
          <w:rFonts w:ascii="Times New Roman" w:hAnsi="Times New Roman" w:cs="Times New Roman"/>
        </w:rPr>
        <w:t>Ceccagnoli</w:t>
      </w:r>
      <w:proofErr w:type="spellEnd"/>
      <w:r>
        <w:rPr>
          <w:rFonts w:ascii="Times New Roman" w:hAnsi="Times New Roman" w:cs="Times New Roman"/>
        </w:rPr>
        <w:t xml:space="preserve">, 2009). Business strategy, in turn, defines the long-term plan through which firms achieve these advantages (Zahra &amp; </w:t>
      </w:r>
      <w:proofErr w:type="spellStart"/>
      <w:r>
        <w:rPr>
          <w:rFonts w:ascii="Times New Roman" w:hAnsi="Times New Roman" w:cs="Times New Roman"/>
        </w:rPr>
        <w:t>Covin</w:t>
      </w:r>
      <w:proofErr w:type="spellEnd"/>
      <w:r>
        <w:rPr>
          <w:rFonts w:ascii="Times New Roman" w:hAnsi="Times New Roman" w:cs="Times New Roman"/>
        </w:rPr>
        <w:t>, 1993). Traditional approaches such as economies of scale and heavy marketing budgets are no longer sufficient; instead, flexibility, innovation, speed, and creative brand positioning have become crucial in sustaining a competitive edge in volatile markets.</w:t>
      </w:r>
      <w:r>
        <w:rPr>
          <w:rFonts w:ascii="Times New Roman" w:hAnsi="Times New Roman" w:cs="Times New Roman"/>
          <w:lang w:val="en-GB"/>
        </w:rPr>
        <w:t xml:space="preserve"> </w:t>
      </w:r>
      <w:r>
        <w:rPr>
          <w:rFonts w:ascii="Times New Roman" w:hAnsi="Times New Roman" w:cs="Times New Roman"/>
        </w:rPr>
        <w:t xml:space="preserve">Brands now serve as strategic assets that allow organizations to differentiate themselves by enhancing product quality, service, and consumer perception. A strong brand identity not only creates customer preference but also serves as a protective shield against </w:t>
      </w:r>
      <w:r>
        <w:rPr>
          <w:rFonts w:ascii="Times New Roman" w:hAnsi="Times New Roman" w:cs="Times New Roman"/>
        </w:rPr>
        <w:lastRenderedPageBreak/>
        <w:t>competition. As such, trademarks and branding strategies have become essential in safeguarding value and establishing a unique market presence.</w:t>
      </w:r>
    </w:p>
    <w:p w:rsidR="00337E61" w:rsidRDefault="00B825A8">
      <w:pPr>
        <w:jc w:val="both"/>
        <w:rPr>
          <w:rFonts w:ascii="Times New Roman" w:hAnsi="Times New Roman" w:cs="Times New Roman"/>
          <w:lang w:val="en-GB"/>
        </w:rPr>
      </w:pPr>
      <w:r>
        <w:rPr>
          <w:rFonts w:ascii="Times New Roman" w:hAnsi="Times New Roman" w:cs="Times New Roman"/>
        </w:rPr>
        <w:t>Within this context, International Brewery Plc faces the challenge of understanding evolving consumer demands to achieve sustainable competitive advantage. The brewery industry, operating under economic uncertainties and shifting consumer priorities, must innovate through brand differentiation and effective positioning to strengthen profitability, customer retention, and long-term market leadership.</w:t>
      </w:r>
      <w:r>
        <w:rPr>
          <w:rFonts w:ascii="Times New Roman" w:hAnsi="Times New Roman" w:cs="Times New Roman"/>
          <w:lang w:val="en-GB"/>
        </w:rPr>
        <w:t xml:space="preserve"> </w:t>
      </w:r>
      <w:r>
        <w:rPr>
          <w:rFonts w:ascii="Times New Roman" w:hAnsi="Times New Roman" w:cs="Times New Roman"/>
        </w:rPr>
        <w:t>Therefore, this study investigates the strategic role of brand differentiation and positioning in achieving competitive advantage, with specific reference to International Brewery Plc, Nigeria. The research explores how these strategies influence firm performance, customer retention, and brand recognition in the highly competitive brewery sector.</w:t>
      </w:r>
      <w:r>
        <w:rPr>
          <w:rFonts w:ascii="Times New Roman" w:hAnsi="Times New Roman" w:cs="Times New Roman"/>
          <w:lang w:val="en-GB"/>
        </w:rPr>
        <w:t xml:space="preserve"> </w:t>
      </w:r>
      <w:r>
        <w:rPr>
          <w:rFonts w:ascii="Times New Roman" w:hAnsi="Times New Roman" w:cs="Times New Roman"/>
        </w:rPr>
        <w:t>Scholars have advanced multiple theories relevant to brand differentiation</w:t>
      </w:r>
      <w:r>
        <w:rPr>
          <w:rFonts w:ascii="Times New Roman" w:hAnsi="Times New Roman" w:cs="Times New Roman"/>
          <w:lang w:val="en-GB"/>
        </w:rPr>
        <w:t xml:space="preserve"> otherwise referred to as the theoretical foundations some of these are highlighted below. </w:t>
      </w:r>
      <w:r>
        <w:rPr>
          <w:rFonts w:ascii="Times New Roman" w:hAnsi="Times New Roman" w:cs="Times New Roman"/>
        </w:rPr>
        <w:t xml:space="preserve">Born Global Theory (Rasmussen &amp; Madsen, 2002; </w:t>
      </w:r>
      <w:proofErr w:type="spellStart"/>
      <w:r>
        <w:rPr>
          <w:rFonts w:ascii="Times New Roman" w:hAnsi="Times New Roman" w:cs="Times New Roman"/>
        </w:rPr>
        <w:t>Wictor</w:t>
      </w:r>
      <w:proofErr w:type="spellEnd"/>
      <w:r>
        <w:rPr>
          <w:rFonts w:ascii="Times New Roman" w:hAnsi="Times New Roman" w:cs="Times New Roman"/>
        </w:rPr>
        <w:t>, 2012) explains how firms internationalize quickly through unique brand assets.</w:t>
      </w:r>
      <w:r>
        <w:rPr>
          <w:rFonts w:ascii="Times New Roman" w:hAnsi="Times New Roman" w:cs="Times New Roman"/>
          <w:lang w:val="en-GB"/>
        </w:rPr>
        <w:t xml:space="preserve"> </w:t>
      </w:r>
      <w:r>
        <w:rPr>
          <w:rFonts w:ascii="Times New Roman" w:hAnsi="Times New Roman" w:cs="Times New Roman"/>
        </w:rPr>
        <w:t>Three-Component Theory of Color (</w:t>
      </w:r>
      <w:proofErr w:type="spellStart"/>
      <w:r>
        <w:rPr>
          <w:rFonts w:ascii="Times New Roman" w:hAnsi="Times New Roman" w:cs="Times New Roman"/>
        </w:rPr>
        <w:t>Hurvich</w:t>
      </w:r>
      <w:proofErr w:type="spellEnd"/>
      <w:r>
        <w:rPr>
          <w:rFonts w:ascii="Times New Roman" w:hAnsi="Times New Roman" w:cs="Times New Roman"/>
        </w:rPr>
        <w:t xml:space="preserve"> &amp; Jameson, 1957) demonstrates how color influences consumer emotions and purchasing behavior, making packaging a vital differentiator.</w:t>
      </w:r>
      <w:r>
        <w:rPr>
          <w:rFonts w:ascii="Times New Roman" w:hAnsi="Times New Roman" w:cs="Times New Roman"/>
          <w:lang w:val="en-GB"/>
        </w:rPr>
        <w:t xml:space="preserve"> </w:t>
      </w:r>
      <w:r>
        <w:rPr>
          <w:rFonts w:ascii="Times New Roman" w:hAnsi="Times New Roman" w:cs="Times New Roman"/>
        </w:rPr>
        <w:t>Theory of Trying (</w:t>
      </w:r>
      <w:proofErr w:type="spellStart"/>
      <w:r>
        <w:rPr>
          <w:rFonts w:ascii="Times New Roman" w:hAnsi="Times New Roman" w:cs="Times New Roman"/>
        </w:rPr>
        <w:t>Bagozzi</w:t>
      </w:r>
      <w:proofErr w:type="spellEnd"/>
      <w:r>
        <w:rPr>
          <w:rFonts w:ascii="Times New Roman" w:hAnsi="Times New Roman" w:cs="Times New Roman"/>
        </w:rPr>
        <w:t xml:space="preserve"> &amp; </w:t>
      </w:r>
      <w:proofErr w:type="spellStart"/>
      <w:r>
        <w:rPr>
          <w:rFonts w:ascii="Times New Roman" w:hAnsi="Times New Roman" w:cs="Times New Roman"/>
        </w:rPr>
        <w:t>Warshaw</w:t>
      </w:r>
      <w:proofErr w:type="spellEnd"/>
      <w:r>
        <w:rPr>
          <w:rFonts w:ascii="Times New Roman" w:hAnsi="Times New Roman" w:cs="Times New Roman"/>
        </w:rPr>
        <w:t>, 1990) emphasizes consumer willingness to try a product, influenced by branding strategies.</w:t>
      </w:r>
      <w:r>
        <w:rPr>
          <w:rFonts w:ascii="Times New Roman" w:hAnsi="Times New Roman" w:cs="Times New Roman"/>
          <w:lang w:val="en-GB"/>
        </w:rPr>
        <w:t xml:space="preserve"> </w:t>
      </w:r>
      <w:r>
        <w:rPr>
          <w:rFonts w:ascii="Times New Roman" w:hAnsi="Times New Roman" w:cs="Times New Roman"/>
        </w:rPr>
        <w:t>Kano’s Attractive Quality Model (Kano et al., 1984; Watson, 2003) highlights how unexpected quality features create delight, enhancing brand strength.</w:t>
      </w:r>
      <w:r>
        <w:rPr>
          <w:rFonts w:ascii="Times New Roman" w:hAnsi="Times New Roman" w:cs="Times New Roman"/>
          <w:lang w:val="en-GB"/>
        </w:rPr>
        <w:t xml:space="preserve"> </w:t>
      </w:r>
      <w:r>
        <w:rPr>
          <w:rFonts w:ascii="Times New Roman" w:hAnsi="Times New Roman" w:cs="Times New Roman"/>
        </w:rPr>
        <w:t>Information Integration Theory (Anderson, 1981) suggests that consumer attitudes are formed by integrating new brand information with existing beliefs.</w:t>
      </w:r>
      <w:r>
        <w:rPr>
          <w:rFonts w:ascii="Times New Roman" w:hAnsi="Times New Roman" w:cs="Times New Roman"/>
          <w:lang w:val="en-GB"/>
        </w:rPr>
        <w:t xml:space="preserve"> </w:t>
      </w:r>
      <w:r>
        <w:rPr>
          <w:rFonts w:ascii="Times New Roman" w:hAnsi="Times New Roman" w:cs="Times New Roman"/>
        </w:rPr>
        <w:t>These frameworks collectively highlight branding as both a psychological and strategic tool for securing advantage.</w:t>
      </w:r>
      <w:r>
        <w:rPr>
          <w:rFonts w:ascii="Times New Roman" w:hAnsi="Times New Roman" w:cs="Times New Roman"/>
          <w:lang w:val="en-GB"/>
        </w:rPr>
        <w:t xml:space="preserve"> </w:t>
      </w:r>
      <w:r>
        <w:rPr>
          <w:rFonts w:ascii="Times New Roman" w:hAnsi="Times New Roman" w:cs="Times New Roman"/>
        </w:rPr>
        <w:t>Brand positioning, initially product-centered (</w:t>
      </w:r>
      <w:proofErr w:type="spellStart"/>
      <w:r>
        <w:rPr>
          <w:rFonts w:ascii="Times New Roman" w:hAnsi="Times New Roman" w:cs="Times New Roman"/>
        </w:rPr>
        <w:t>Ries</w:t>
      </w:r>
      <w:proofErr w:type="spellEnd"/>
      <w:r>
        <w:rPr>
          <w:rFonts w:ascii="Times New Roman" w:hAnsi="Times New Roman" w:cs="Times New Roman"/>
        </w:rPr>
        <w:t xml:space="preserve"> &amp; Trout, 1982), has shifted toward shaping consumer perceptions (Blankson &amp; </w:t>
      </w:r>
      <w:proofErr w:type="spellStart"/>
      <w:r>
        <w:rPr>
          <w:rFonts w:ascii="Times New Roman" w:hAnsi="Times New Roman" w:cs="Times New Roman"/>
        </w:rPr>
        <w:t>Kalafatis</w:t>
      </w:r>
      <w:proofErr w:type="spellEnd"/>
      <w:r>
        <w:rPr>
          <w:rFonts w:ascii="Times New Roman" w:hAnsi="Times New Roman" w:cs="Times New Roman"/>
        </w:rPr>
        <w:t>, 2004). Differentiation ensures that consumers perceive value beyond price, thereby fostering loyalty (Keller, 1993, 2003).</w:t>
      </w:r>
      <w:r>
        <w:rPr>
          <w:rFonts w:ascii="Times New Roman" w:hAnsi="Times New Roman" w:cs="Times New Roman"/>
          <w:lang w:val="en-GB"/>
        </w:rPr>
        <w:t xml:space="preserve"> </w:t>
      </w:r>
      <w:r>
        <w:rPr>
          <w:rFonts w:ascii="Times New Roman" w:hAnsi="Times New Roman" w:cs="Times New Roman"/>
        </w:rPr>
        <w:t xml:space="preserve">Empirical studies such as Rahman et al. (2011) and </w:t>
      </w:r>
      <w:proofErr w:type="spellStart"/>
      <w:r>
        <w:rPr>
          <w:rFonts w:ascii="Times New Roman" w:hAnsi="Times New Roman" w:cs="Times New Roman"/>
        </w:rPr>
        <w:t>Dirisu</w:t>
      </w:r>
      <w:proofErr w:type="spellEnd"/>
      <w:r>
        <w:rPr>
          <w:rFonts w:ascii="Times New Roman" w:hAnsi="Times New Roman" w:cs="Times New Roman"/>
        </w:rPr>
        <w:t xml:space="preserve"> et al. (2013) found that differentiation strategies significantly influence market share and long-term success. </w:t>
      </w:r>
      <w:proofErr w:type="spellStart"/>
      <w:r>
        <w:rPr>
          <w:rFonts w:ascii="Times New Roman" w:hAnsi="Times New Roman" w:cs="Times New Roman"/>
        </w:rPr>
        <w:t>Feldwick</w:t>
      </w:r>
      <w:proofErr w:type="spellEnd"/>
      <w:r>
        <w:rPr>
          <w:rFonts w:ascii="Times New Roman" w:hAnsi="Times New Roman" w:cs="Times New Roman"/>
        </w:rPr>
        <w:t xml:space="preserve"> (1996) further notes that differentiation builds brand equity, increasing consumer attachment and firm value.</w:t>
      </w:r>
      <w:r>
        <w:rPr>
          <w:rFonts w:ascii="Times New Roman" w:hAnsi="Times New Roman" w:cs="Times New Roman"/>
          <w:lang w:val="en-GB"/>
        </w:rPr>
        <w:t xml:space="preserve"> </w:t>
      </w:r>
      <w:r>
        <w:rPr>
          <w:rFonts w:ascii="Times New Roman" w:hAnsi="Times New Roman" w:cs="Times New Roman"/>
        </w:rPr>
        <w:t>Established in 1971, International Breweries Plc has expanded from local production to introducing global brands such as Budweiser and Hero Lager. Through mergers, acquisitions, and innovations in product design and packaging, the company has utilized differentiation to thrive in Nigeria’s competitive brewery industry.</w:t>
      </w:r>
      <w:r>
        <w:rPr>
          <w:rFonts w:ascii="Times New Roman" w:hAnsi="Times New Roman" w:cs="Times New Roman"/>
          <w:lang w:val="en-GB"/>
        </w:rPr>
        <w:t xml:space="preserve"> </w:t>
      </w:r>
      <w:r>
        <w:rPr>
          <w:rFonts w:ascii="Times New Roman" w:hAnsi="Times New Roman" w:cs="Times New Roman"/>
        </w:rPr>
        <w:t>The study clarifies the essential concepts of brand differentiation, positioning, and competitive advantage, emphasizing how they interrelate to improve organizational performance.</w:t>
      </w:r>
      <w:r>
        <w:rPr>
          <w:rFonts w:ascii="Times New Roman" w:hAnsi="Times New Roman" w:cs="Times New Roman"/>
          <w:lang w:val="en-GB"/>
        </w:rPr>
        <w:t xml:space="preserve"> Figure 1 shows advantages of strategic brand differentiation and competitive advantage.</w:t>
      </w:r>
    </w:p>
    <w:p w:rsidR="00337E61" w:rsidRDefault="00B825A8">
      <w:pPr>
        <w:rPr>
          <w:rFonts w:ascii="Times New Roman" w:hAnsi="Times New Roman" w:cs="Times New Roman"/>
        </w:rPr>
      </w:pPr>
      <w:r>
        <w:rPr>
          <w:rFonts w:ascii="Times New Roman" w:hAnsi="Times New Roman" w:cs="Times New Roman"/>
          <w:noProof/>
        </w:rPr>
        <w:lastRenderedPageBreak/>
        <w:drawing>
          <wp:inline distT="0" distB="0" distL="0" distR="0">
            <wp:extent cx="5822315" cy="2515870"/>
            <wp:effectExtent l="0" t="0" r="6985" b="0"/>
            <wp:docPr id="210323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30704" name="Picture 1"/>
                    <pic:cNvPicPr>
                      <a:picLocks noChangeAspect="1"/>
                    </pic:cNvPicPr>
                  </pic:nvPicPr>
                  <pic:blipFill>
                    <a:blip r:embed="rId7"/>
                    <a:stretch>
                      <a:fillRect/>
                    </a:stretch>
                  </pic:blipFill>
                  <pic:spPr>
                    <a:xfrm>
                      <a:off x="0" y="0"/>
                      <a:ext cx="5885262" cy="2543186"/>
                    </a:xfrm>
                    <a:prstGeom prst="rect">
                      <a:avLst/>
                    </a:prstGeom>
                  </pic:spPr>
                </pic:pic>
              </a:graphicData>
            </a:graphic>
          </wp:inline>
        </w:drawing>
      </w:r>
      <w:r>
        <w:rPr>
          <w:rFonts w:ascii="Times New Roman" w:hAnsi="Times New Roman" w:cs="Times New Roman"/>
        </w:rPr>
        <w:t xml:space="preserve"> </w:t>
      </w:r>
    </w:p>
    <w:p w:rsidR="00337E61" w:rsidRDefault="00B825A8">
      <w:pPr>
        <w:spacing w:beforeLines="60" w:before="144" w:afterLines="60" w:after="144" w:line="480" w:lineRule="auto"/>
        <w:rPr>
          <w:rFonts w:ascii="Times New Roman" w:hAnsi="Times New Roman" w:cs="Times New Roman"/>
          <w:color w:val="000000" w:themeColor="text1"/>
        </w:rPr>
      </w:pPr>
      <w:r>
        <w:rPr>
          <w:rFonts w:ascii="Times New Roman" w:hAnsi="Times New Roman" w:cs="Times New Roman"/>
          <w:color w:val="000000" w:themeColor="text1"/>
          <w:lang w:val="en-GB"/>
        </w:rPr>
        <w:t xml:space="preserve">Fig. 1: </w:t>
      </w:r>
      <w:r>
        <w:rPr>
          <w:rFonts w:ascii="Times New Roman" w:hAnsi="Times New Roman" w:cs="Times New Roman"/>
          <w:lang w:val="en-GB"/>
        </w:rPr>
        <w:t>advantages of strategic brand differentiation and competitive advantage.</w:t>
      </w:r>
      <w:r>
        <w:rPr>
          <w:rFonts w:ascii="Times New Roman" w:hAnsi="Times New Roman" w:cs="Times New Roman"/>
          <w:color w:val="000000" w:themeColor="text1"/>
          <w:lang w:val="en-GB"/>
        </w:rPr>
        <w:t xml:space="preserve"> </w:t>
      </w:r>
      <w:r>
        <w:rPr>
          <w:rFonts w:ascii="Times New Roman" w:hAnsi="Times New Roman" w:cs="Times New Roman"/>
          <w:color w:val="000000" w:themeColor="text1"/>
        </w:rPr>
        <w:t>Researcher 2025</w:t>
      </w:r>
    </w:p>
    <w:p w:rsidR="00337E61" w:rsidRDefault="00B825A8">
      <w:pPr>
        <w:rPr>
          <w:rFonts w:ascii="Times New Roman" w:hAnsi="Times New Roman" w:cs="Times New Roman"/>
          <w:b/>
          <w:bCs/>
        </w:rPr>
      </w:pPr>
      <w:r>
        <w:rPr>
          <w:rFonts w:ascii="Times New Roman" w:hAnsi="Times New Roman" w:cs="Times New Roman"/>
          <w:b/>
          <w:bCs/>
          <w:lang w:val="en-GB"/>
        </w:rPr>
        <w:t>2.0</w:t>
      </w:r>
      <w:r>
        <w:rPr>
          <w:rFonts w:ascii="Times New Roman" w:hAnsi="Times New Roman" w:cs="Times New Roman"/>
          <w:b/>
          <w:bCs/>
          <w:lang w:val="en-GB"/>
        </w:rPr>
        <w:tab/>
      </w:r>
      <w:r>
        <w:rPr>
          <w:rFonts w:ascii="Times New Roman" w:hAnsi="Times New Roman" w:cs="Times New Roman"/>
          <w:b/>
          <w:bCs/>
        </w:rPr>
        <w:t>Methodology</w:t>
      </w:r>
    </w:p>
    <w:p w:rsidR="00337E61" w:rsidRDefault="00B825A8">
      <w:pPr>
        <w:rPr>
          <w:rFonts w:ascii="Times New Roman" w:hAnsi="Times New Roman" w:cs="Times New Roman"/>
        </w:rPr>
      </w:pPr>
      <w:r>
        <w:rPr>
          <w:rFonts w:ascii="Times New Roman" w:hAnsi="Times New Roman" w:cs="Times New Roman"/>
        </w:rPr>
        <w:t>This chapter outlines the research methodology adopted in examining the strategic role of brand differentiation in achieving competitive advantage at International Brewery PLC. It covers the research design, data sources, population, sample size determination, sampling technique, research instrument, validity and reliability, and methods of data analysis.</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.1 Research Design</w:t>
      </w:r>
    </w:p>
    <w:p w:rsidR="00337E61" w:rsidRDefault="00B825A8">
      <w:pPr>
        <w:rPr>
          <w:rFonts w:ascii="Times New Roman" w:hAnsi="Times New Roman" w:cs="Times New Roman"/>
          <w:lang w:val="en-GB"/>
        </w:rPr>
      </w:pPr>
      <w:r>
        <w:rPr>
          <w:rFonts w:ascii="Times New Roman" w:hAnsi="Times New Roman" w:cs="Times New Roman"/>
        </w:rPr>
        <w:t xml:space="preserve">The study adopted a </w:t>
      </w:r>
      <w:r>
        <w:rPr>
          <w:rFonts w:ascii="Times New Roman" w:hAnsi="Times New Roman" w:cs="Times New Roman"/>
          <w:b/>
          <w:bCs/>
        </w:rPr>
        <w:t>survey research design</w:t>
      </w:r>
      <w:r>
        <w:rPr>
          <w:rFonts w:ascii="Times New Roman" w:hAnsi="Times New Roman" w:cs="Times New Roman"/>
        </w:rPr>
        <w:t>, suitable for investigating relationships between brand differentiation, brand positioning, and competitive advantage without manipulating the independent variables. Since the variables under investigation had already occurred, the survey approach was preferred over experimental design (Stone, 2006)</w:t>
      </w:r>
      <w:r>
        <w:rPr>
          <w:rFonts w:ascii="Times New Roman" w:hAnsi="Times New Roman" w:cs="Times New Roman"/>
          <w:lang w:val="en-GB"/>
        </w:rPr>
        <w:t xml:space="preserve"> and (</w:t>
      </w:r>
      <w:proofErr w:type="spellStart"/>
      <w:r>
        <w:rPr>
          <w:rFonts w:ascii="Times New Roman" w:hAnsi="Times New Roman" w:cs="Times New Roman"/>
          <w:lang w:val="en-GB"/>
        </w:rPr>
        <w:t>Lamidi</w:t>
      </w:r>
      <w:proofErr w:type="spellEnd"/>
      <w:r>
        <w:rPr>
          <w:rFonts w:ascii="Times New Roman" w:hAnsi="Times New Roman" w:cs="Times New Roman"/>
          <w:lang w:val="en-GB"/>
        </w:rPr>
        <w:t xml:space="preserve"> </w:t>
      </w:r>
      <w:r>
        <w:rPr>
          <w:rFonts w:ascii="Times New Roman" w:hAnsi="Times New Roman" w:cs="Times New Roman"/>
          <w:i/>
          <w:iCs/>
          <w:lang w:val="en-GB"/>
        </w:rPr>
        <w:t>et al</w:t>
      </w:r>
      <w:r>
        <w:rPr>
          <w:rFonts w:ascii="Times New Roman" w:hAnsi="Times New Roman" w:cs="Times New Roman"/>
          <w:lang w:val="en-GB"/>
        </w:rPr>
        <w:t>., 2024).</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.2 Sources of Data</w:t>
      </w:r>
    </w:p>
    <w:p w:rsidR="00337E61" w:rsidRDefault="00B825A8">
      <w:pPr>
        <w:rPr>
          <w:rFonts w:ascii="Times New Roman" w:hAnsi="Times New Roman" w:cs="Times New Roman"/>
        </w:rPr>
      </w:pPr>
      <w:r>
        <w:rPr>
          <w:rFonts w:ascii="Times New Roman" w:hAnsi="Times New Roman" w:cs="Times New Roman"/>
        </w:rPr>
        <w:t>Two main data sources were employed:</w:t>
      </w:r>
    </w:p>
    <w:p w:rsidR="00337E61" w:rsidRDefault="00B825A8">
      <w:pPr>
        <w:rPr>
          <w:rFonts w:ascii="Times New Roman" w:hAnsi="Times New Roman" w:cs="Times New Roman"/>
        </w:rPr>
      </w:pPr>
      <w:r>
        <w:rPr>
          <w:rFonts w:ascii="Times New Roman" w:hAnsi="Times New Roman" w:cs="Times New Roman"/>
          <w:b/>
          <w:bCs/>
        </w:rPr>
        <w:t>Primary Data</w:t>
      </w:r>
      <w:r>
        <w:rPr>
          <w:rFonts w:ascii="Times New Roman" w:hAnsi="Times New Roman" w:cs="Times New Roman"/>
        </w:rPr>
        <w:t>: Structured questionnaires administered to staff of International Brewery PLC.</w:t>
      </w:r>
    </w:p>
    <w:p w:rsidR="00337E61" w:rsidRDefault="00B825A8">
      <w:pPr>
        <w:rPr>
          <w:rFonts w:ascii="Times New Roman" w:hAnsi="Times New Roman" w:cs="Times New Roman"/>
        </w:rPr>
      </w:pPr>
      <w:r>
        <w:rPr>
          <w:rFonts w:ascii="Times New Roman" w:hAnsi="Times New Roman" w:cs="Times New Roman"/>
          <w:b/>
          <w:bCs/>
        </w:rPr>
        <w:t>Secondary Data</w:t>
      </w:r>
      <w:r>
        <w:rPr>
          <w:rFonts w:ascii="Times New Roman" w:hAnsi="Times New Roman" w:cs="Times New Roman"/>
        </w:rPr>
        <w:t>: Information drawn from textbooks, journals, periodicals, company records, websites, and other relevant publications on brand differentiation, positioning, and competitive advantage.</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.3 Population of the Study</w:t>
      </w:r>
    </w:p>
    <w:p w:rsidR="00337E61" w:rsidRDefault="00B825A8">
      <w:pPr>
        <w:rPr>
          <w:rFonts w:ascii="Times New Roman" w:hAnsi="Times New Roman" w:cs="Times New Roman"/>
        </w:rPr>
      </w:pPr>
      <w:r>
        <w:rPr>
          <w:rFonts w:ascii="Times New Roman" w:hAnsi="Times New Roman" w:cs="Times New Roman"/>
        </w:rPr>
        <w:t xml:space="preserve">The target population comprised </w:t>
      </w:r>
      <w:r>
        <w:rPr>
          <w:rFonts w:ascii="Times New Roman" w:hAnsi="Times New Roman" w:cs="Times New Roman"/>
          <w:b/>
          <w:bCs/>
        </w:rPr>
        <w:t>1,000 employees</w:t>
      </w:r>
      <w:r>
        <w:rPr>
          <w:rFonts w:ascii="Times New Roman" w:hAnsi="Times New Roman" w:cs="Times New Roman"/>
        </w:rPr>
        <w:t xml:space="preserve"> of International Brewery PLC, including both permanent and contract staff.</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.4 Sample Size Determination</w:t>
      </w:r>
    </w:p>
    <w:p w:rsidR="00337E61" w:rsidRDefault="00B825A8">
      <w:pPr>
        <w:rPr>
          <w:rFonts w:ascii="Times New Roman" w:hAnsi="Times New Roman" w:cs="Times New Roman"/>
        </w:rPr>
      </w:pPr>
      <w:r>
        <w:rPr>
          <w:rFonts w:ascii="Times New Roman" w:hAnsi="Times New Roman" w:cs="Times New Roman"/>
        </w:rPr>
        <w:t xml:space="preserve">Sample size was determined using </w:t>
      </w:r>
      <w:r>
        <w:rPr>
          <w:rFonts w:ascii="Times New Roman" w:hAnsi="Times New Roman" w:cs="Times New Roman"/>
          <w:b/>
          <w:bCs/>
        </w:rPr>
        <w:t>Freund and Williams’ statistical technique</w:t>
      </w:r>
      <w:r>
        <w:rPr>
          <w:rFonts w:ascii="Times New Roman" w:hAnsi="Times New Roman" w:cs="Times New Roman"/>
        </w:rPr>
        <w:t xml:space="preserve"> (</w:t>
      </w:r>
      <w:proofErr w:type="spellStart"/>
      <w:r>
        <w:rPr>
          <w:rFonts w:ascii="Times New Roman" w:hAnsi="Times New Roman" w:cs="Times New Roman"/>
        </w:rPr>
        <w:t>Agbadudu</w:t>
      </w:r>
      <w:proofErr w:type="spellEnd"/>
      <w:r>
        <w:rPr>
          <w:rFonts w:ascii="Times New Roman" w:hAnsi="Times New Roman" w:cs="Times New Roman"/>
        </w:rPr>
        <w:t xml:space="preserve">, 2004) and </w:t>
      </w:r>
      <w:proofErr w:type="spellStart"/>
      <w:r>
        <w:rPr>
          <w:rFonts w:ascii="Times New Roman" w:hAnsi="Times New Roman" w:cs="Times New Roman"/>
        </w:rPr>
        <w:t>Aina’s</w:t>
      </w:r>
      <w:proofErr w:type="spellEnd"/>
      <w:r>
        <w:rPr>
          <w:rFonts w:ascii="Times New Roman" w:hAnsi="Times New Roman" w:cs="Times New Roman"/>
        </w:rPr>
        <w:t xml:space="preserve"> (2000) proportional allocation formula. A pilot study indicated that 90% of </w:t>
      </w:r>
      <w:r>
        <w:rPr>
          <w:rFonts w:ascii="Times New Roman" w:hAnsi="Times New Roman" w:cs="Times New Roman"/>
        </w:rPr>
        <w:lastRenderedPageBreak/>
        <w:t>respondents (p = 0.9) gave positive responses, while 10% (q = 0.1) did not. At a 95% confidence level (z = 1.96) and 5% margin of error (e = 0.025 split two-tailed), the calculated sample size was:</w:t>
      </w:r>
    </w:p>
    <w:p w:rsidR="00337E61" w:rsidRDefault="00B825A8">
      <w:pPr>
        <w:rPr>
          <w:rFonts w:ascii="Times New Roman" w:hAnsi="Times New Roman" w:cs="Times New Roman"/>
        </w:rPr>
      </w:pPr>
      <w:r>
        <w:rPr>
          <w:rFonts w:ascii="Times New Roman" w:hAnsi="Times New Roman" w:cs="Times New Roman"/>
          <w:noProof/>
        </w:rPr>
        <w:drawing>
          <wp:inline distT="0" distB="0" distL="0" distR="0">
            <wp:extent cx="2076450" cy="501650"/>
            <wp:effectExtent l="0" t="0" r="0" b="0"/>
            <wp:docPr id="145816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65489" name="Picture 1"/>
                    <pic:cNvPicPr>
                      <a:picLocks noChangeAspect="1"/>
                    </pic:cNvPicPr>
                  </pic:nvPicPr>
                  <pic:blipFill>
                    <a:blip r:embed="rId8"/>
                    <a:stretch>
                      <a:fillRect/>
                    </a:stretch>
                  </pic:blipFill>
                  <pic:spPr>
                    <a:xfrm>
                      <a:off x="0" y="0"/>
                      <a:ext cx="2076450" cy="501650"/>
                    </a:xfrm>
                    <a:prstGeom prst="rect">
                      <a:avLst/>
                    </a:prstGeom>
                  </pic:spPr>
                </pic:pic>
              </a:graphicData>
            </a:graphic>
          </wp:inline>
        </w:drawing>
      </w:r>
    </w:p>
    <w:p w:rsidR="00337E61" w:rsidRDefault="00B825A8">
      <w:pPr>
        <w:rPr>
          <w:rFonts w:ascii="Times New Roman" w:hAnsi="Times New Roman" w:cs="Times New Roman"/>
          <w:b/>
          <w:bCs/>
        </w:rPr>
      </w:pPr>
      <w:r>
        <w:rPr>
          <w:rFonts w:ascii="Times New Roman" w:hAnsi="Times New Roman" w:cs="Times New Roman"/>
        </w:rPr>
        <w:t xml:space="preserve">Thus, the effective sample size was </w:t>
      </w:r>
      <w:r>
        <w:rPr>
          <w:rFonts w:ascii="Times New Roman" w:hAnsi="Times New Roman" w:cs="Times New Roman"/>
          <w:b/>
          <w:bCs/>
        </w:rPr>
        <w:t>15 respondents</w:t>
      </w:r>
      <w:r>
        <w:rPr>
          <w:rFonts w:ascii="Times New Roman" w:hAnsi="Times New Roman" w:cs="Times New Roman"/>
        </w:rPr>
        <w:t>.</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.5 Research Instrument</w:t>
      </w:r>
    </w:p>
    <w:p w:rsidR="00337E61" w:rsidRDefault="00B825A8">
      <w:pPr>
        <w:rPr>
          <w:rFonts w:ascii="Times New Roman" w:hAnsi="Times New Roman" w:cs="Times New Roman"/>
        </w:rPr>
      </w:pPr>
      <w:r>
        <w:rPr>
          <w:rFonts w:ascii="Times New Roman" w:hAnsi="Times New Roman" w:cs="Times New Roman"/>
        </w:rPr>
        <w:t xml:space="preserve">The primary data collection instrument was a </w:t>
      </w:r>
      <w:r>
        <w:rPr>
          <w:rFonts w:ascii="Times New Roman" w:hAnsi="Times New Roman" w:cs="Times New Roman"/>
          <w:b/>
          <w:bCs/>
        </w:rPr>
        <w:t>structured questionnaire</w:t>
      </w:r>
      <w:r>
        <w:rPr>
          <w:rFonts w:ascii="Times New Roman" w:hAnsi="Times New Roman" w:cs="Times New Roman"/>
        </w:rPr>
        <w:t xml:space="preserve"> consisting of 24 items, measured on a </w:t>
      </w:r>
      <w:r>
        <w:rPr>
          <w:rFonts w:ascii="Times New Roman" w:hAnsi="Times New Roman" w:cs="Times New Roman"/>
          <w:b/>
          <w:bCs/>
        </w:rPr>
        <w:t>five-point Likert scale</w:t>
      </w:r>
      <w:r>
        <w:rPr>
          <w:rFonts w:ascii="Times New Roman" w:hAnsi="Times New Roman" w:cs="Times New Roman"/>
        </w:rPr>
        <w:t xml:space="preserve"> (Strongly Agree – Strongly Disagree). The structured format enhanced response consistency, reliability, and ease of completion.</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.6 Validity of the Instrument</w:t>
      </w:r>
    </w:p>
    <w:p w:rsidR="00337E61" w:rsidRDefault="00B825A8">
      <w:pPr>
        <w:jc w:val="both"/>
        <w:rPr>
          <w:rFonts w:ascii="Times New Roman" w:hAnsi="Times New Roman" w:cs="Times New Roman"/>
        </w:rPr>
      </w:pPr>
      <w:r>
        <w:rPr>
          <w:rFonts w:ascii="Times New Roman" w:hAnsi="Times New Roman" w:cs="Times New Roman"/>
        </w:rPr>
        <w:t>The instrument’s validity was assessed through expert review by academics from Lagos State University of Science and Technology (Ikorodu Campus) and management staff of International Brewery PLC. Their evaluation confirmed the instrument’s content validity in terms of clarity, coverage, and relevance. Furthermore, the use of Google Forms strengthened data authenticity and minimized external manipulation.</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.7 Reliability of Data</w:t>
      </w:r>
    </w:p>
    <w:p w:rsidR="00337E61" w:rsidRDefault="00B825A8">
      <w:pPr>
        <w:jc w:val="both"/>
        <w:rPr>
          <w:rFonts w:ascii="Times New Roman" w:hAnsi="Times New Roman" w:cs="Times New Roman"/>
        </w:rPr>
      </w:pPr>
      <w:r>
        <w:rPr>
          <w:rFonts w:ascii="Times New Roman" w:hAnsi="Times New Roman" w:cs="Times New Roman"/>
        </w:rPr>
        <w:t>The test-retest method was employed to determine reliability. Questionnaires were administered to 20 staff members and repeated after one month. The responses were analyzed using Cronbach’s Alpha, yielding a coefficient of 0.98, indicating excellent reliability</w:t>
      </w:r>
      <w:r>
        <w:rPr>
          <w:rFonts w:ascii="Times New Roman" w:hAnsi="Times New Roman" w:cs="Times New Roman"/>
          <w:lang w:val="en-GB"/>
        </w:rPr>
        <w:t xml:space="preserve"> according to table 1</w:t>
      </w:r>
      <w:r>
        <w:rPr>
          <w:rFonts w:ascii="Times New Roman" w:hAnsi="Times New Roman" w:cs="Times New Roman"/>
        </w:rPr>
        <w:t>.</w:t>
      </w:r>
    </w:p>
    <w:p w:rsidR="00337E61" w:rsidRDefault="00B825A8">
      <w:pPr>
        <w:rPr>
          <w:rFonts w:ascii="Times New Roman" w:hAnsi="Times New Roman" w:cs="Times New Roman"/>
        </w:rPr>
      </w:pPr>
      <w:r>
        <w:rPr>
          <w:rFonts w:ascii="Times New Roman" w:hAnsi="Times New Roman" w:cs="Times New Roman"/>
          <w:b/>
          <w:bCs/>
        </w:rPr>
        <w:t>Table</w:t>
      </w:r>
      <w:r>
        <w:rPr>
          <w:rFonts w:ascii="Times New Roman" w:hAnsi="Times New Roman" w:cs="Times New Roman"/>
          <w:b/>
          <w:bCs/>
          <w:lang w:val="en-GB"/>
        </w:rPr>
        <w:t xml:space="preserve"> 1</w:t>
      </w:r>
      <w:r>
        <w:rPr>
          <w:rFonts w:ascii="Times New Roman" w:hAnsi="Times New Roman" w:cs="Times New Roman"/>
          <w:b/>
          <w:bCs/>
        </w:rPr>
        <w:t>: Reliability Statistics</w:t>
      </w:r>
    </w:p>
    <w:tbl>
      <w:tblPr>
        <w:tblW w:w="2340" w:type="dxa"/>
        <w:tblLook w:val="04A0" w:firstRow="1" w:lastRow="0" w:firstColumn="1" w:lastColumn="0" w:noHBand="0" w:noVBand="1"/>
      </w:tblPr>
      <w:tblGrid>
        <w:gridCol w:w="1123"/>
        <w:gridCol w:w="587"/>
        <w:gridCol w:w="630"/>
      </w:tblGrid>
      <w:tr w:rsidR="00337E61">
        <w:trPr>
          <w:trHeight w:val="300"/>
        </w:trPr>
        <w:tc>
          <w:tcPr>
            <w:tcW w:w="1014" w:type="dxa"/>
            <w:tcBorders>
              <w:top w:val="single" w:sz="8" w:space="0" w:color="auto"/>
              <w:left w:val="single" w:sz="8" w:space="0" w:color="auto"/>
              <w:bottom w:val="single" w:sz="8" w:space="0" w:color="auto"/>
              <w:right w:val="single" w:sz="4" w:space="0" w:color="auto"/>
            </w:tcBorders>
            <w:vAlign w:val="center"/>
          </w:tcPr>
          <w:p w:rsidR="00337E61" w:rsidRDefault="00B825A8">
            <w:pPr>
              <w:rPr>
                <w:rFonts w:ascii="Times New Roman" w:hAnsi="Times New Roman" w:cs="Times New Roman"/>
                <w:b/>
                <w:bCs/>
                <w:color w:val="000000"/>
              </w:rPr>
            </w:pPr>
            <w:r>
              <w:rPr>
                <w:rFonts w:ascii="Times New Roman" w:hAnsi="Times New Roman" w:cs="Times New Roman"/>
                <w:b/>
                <w:bCs/>
                <w:color w:val="000000"/>
              </w:rPr>
              <w:t>Case</w:t>
            </w:r>
          </w:p>
        </w:tc>
        <w:tc>
          <w:tcPr>
            <w:tcW w:w="664" w:type="dxa"/>
            <w:tcBorders>
              <w:top w:val="single" w:sz="8" w:space="0" w:color="auto"/>
              <w:left w:val="nil"/>
              <w:bottom w:val="single" w:sz="8" w:space="0" w:color="auto"/>
              <w:right w:val="single" w:sz="4" w:space="0" w:color="auto"/>
            </w:tcBorders>
            <w:vAlign w:val="center"/>
          </w:tcPr>
          <w:p w:rsidR="00337E61" w:rsidRDefault="00B825A8">
            <w:pPr>
              <w:rPr>
                <w:rFonts w:ascii="Times New Roman" w:hAnsi="Times New Roman" w:cs="Times New Roman"/>
                <w:b/>
                <w:bCs/>
                <w:color w:val="000000"/>
              </w:rPr>
            </w:pPr>
            <w:r>
              <w:rPr>
                <w:rFonts w:ascii="Times New Roman" w:hAnsi="Times New Roman" w:cs="Times New Roman"/>
                <w:b/>
                <w:bCs/>
                <w:color w:val="000000"/>
              </w:rPr>
              <w:t>N</w:t>
            </w:r>
          </w:p>
        </w:tc>
        <w:tc>
          <w:tcPr>
            <w:tcW w:w="662" w:type="dxa"/>
            <w:tcBorders>
              <w:top w:val="single" w:sz="8" w:space="0" w:color="auto"/>
              <w:left w:val="nil"/>
              <w:bottom w:val="single" w:sz="8" w:space="0" w:color="auto"/>
              <w:right w:val="single" w:sz="8" w:space="0" w:color="auto"/>
            </w:tcBorders>
            <w:vAlign w:val="center"/>
          </w:tcPr>
          <w:p w:rsidR="00337E61" w:rsidRDefault="00B825A8">
            <w:pPr>
              <w:rPr>
                <w:rFonts w:ascii="Times New Roman" w:hAnsi="Times New Roman" w:cs="Times New Roman"/>
                <w:b/>
                <w:bCs/>
                <w:color w:val="000000"/>
              </w:rPr>
            </w:pPr>
            <w:r>
              <w:rPr>
                <w:rFonts w:ascii="Times New Roman" w:hAnsi="Times New Roman" w:cs="Times New Roman"/>
                <w:b/>
                <w:bCs/>
                <w:color w:val="000000"/>
              </w:rPr>
              <w:t>%</w:t>
            </w:r>
          </w:p>
        </w:tc>
      </w:tr>
      <w:tr w:rsidR="00337E61">
        <w:trPr>
          <w:trHeight w:val="290"/>
        </w:trPr>
        <w:tc>
          <w:tcPr>
            <w:tcW w:w="1014" w:type="dxa"/>
            <w:tcBorders>
              <w:top w:val="nil"/>
              <w:left w:val="single" w:sz="8" w:space="0" w:color="auto"/>
              <w:bottom w:val="single" w:sz="4" w:space="0" w:color="auto"/>
              <w:right w:val="single" w:sz="4"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Valid</w:t>
            </w:r>
          </w:p>
        </w:tc>
        <w:tc>
          <w:tcPr>
            <w:tcW w:w="664" w:type="dxa"/>
            <w:tcBorders>
              <w:top w:val="nil"/>
              <w:left w:val="nil"/>
              <w:bottom w:val="single" w:sz="4" w:space="0" w:color="auto"/>
              <w:right w:val="single" w:sz="4"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20</w:t>
            </w:r>
          </w:p>
        </w:tc>
        <w:tc>
          <w:tcPr>
            <w:tcW w:w="662" w:type="dxa"/>
            <w:tcBorders>
              <w:top w:val="nil"/>
              <w:left w:val="nil"/>
              <w:bottom w:val="single" w:sz="4" w:space="0" w:color="auto"/>
              <w:right w:val="single" w:sz="8"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100</w:t>
            </w:r>
          </w:p>
        </w:tc>
      </w:tr>
      <w:tr w:rsidR="00337E61">
        <w:trPr>
          <w:trHeight w:val="290"/>
        </w:trPr>
        <w:tc>
          <w:tcPr>
            <w:tcW w:w="1014" w:type="dxa"/>
            <w:tcBorders>
              <w:top w:val="nil"/>
              <w:left w:val="single" w:sz="8" w:space="0" w:color="auto"/>
              <w:bottom w:val="single" w:sz="4" w:space="0" w:color="auto"/>
              <w:right w:val="single" w:sz="4"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Excluded</w:t>
            </w:r>
          </w:p>
        </w:tc>
        <w:tc>
          <w:tcPr>
            <w:tcW w:w="664" w:type="dxa"/>
            <w:tcBorders>
              <w:top w:val="nil"/>
              <w:left w:val="nil"/>
              <w:bottom w:val="single" w:sz="4" w:space="0" w:color="auto"/>
              <w:right w:val="single" w:sz="4"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0</w:t>
            </w:r>
          </w:p>
        </w:tc>
        <w:tc>
          <w:tcPr>
            <w:tcW w:w="662" w:type="dxa"/>
            <w:tcBorders>
              <w:top w:val="nil"/>
              <w:left w:val="nil"/>
              <w:bottom w:val="single" w:sz="4" w:space="0" w:color="auto"/>
              <w:right w:val="single" w:sz="8"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0</w:t>
            </w:r>
          </w:p>
        </w:tc>
      </w:tr>
      <w:tr w:rsidR="00337E61">
        <w:trPr>
          <w:trHeight w:val="300"/>
        </w:trPr>
        <w:tc>
          <w:tcPr>
            <w:tcW w:w="1014" w:type="dxa"/>
            <w:tcBorders>
              <w:top w:val="nil"/>
              <w:left w:val="single" w:sz="8" w:space="0" w:color="auto"/>
              <w:bottom w:val="single" w:sz="8" w:space="0" w:color="auto"/>
              <w:right w:val="single" w:sz="4"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Total</w:t>
            </w:r>
          </w:p>
        </w:tc>
        <w:tc>
          <w:tcPr>
            <w:tcW w:w="664" w:type="dxa"/>
            <w:tcBorders>
              <w:top w:val="nil"/>
              <w:left w:val="nil"/>
              <w:bottom w:val="single" w:sz="8" w:space="0" w:color="auto"/>
              <w:right w:val="single" w:sz="4"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20</w:t>
            </w:r>
          </w:p>
        </w:tc>
        <w:tc>
          <w:tcPr>
            <w:tcW w:w="662" w:type="dxa"/>
            <w:tcBorders>
              <w:top w:val="nil"/>
              <w:left w:val="nil"/>
              <w:bottom w:val="single" w:sz="8" w:space="0" w:color="auto"/>
              <w:right w:val="single" w:sz="8" w:space="0" w:color="auto"/>
            </w:tcBorders>
            <w:vAlign w:val="center"/>
          </w:tcPr>
          <w:p w:rsidR="00337E61" w:rsidRDefault="00B825A8">
            <w:pPr>
              <w:rPr>
                <w:rFonts w:ascii="Times New Roman" w:hAnsi="Times New Roman" w:cs="Times New Roman"/>
                <w:color w:val="000000"/>
              </w:rPr>
            </w:pPr>
            <w:r>
              <w:rPr>
                <w:rFonts w:ascii="Times New Roman" w:hAnsi="Times New Roman" w:cs="Times New Roman"/>
                <w:color w:val="000000"/>
              </w:rPr>
              <w:t>100</w:t>
            </w:r>
          </w:p>
        </w:tc>
      </w:tr>
    </w:tbl>
    <w:p w:rsidR="00337E61" w:rsidRDefault="00B825A8">
      <w:pPr>
        <w:rPr>
          <w:rFonts w:ascii="Times New Roman" w:hAnsi="Times New Roman" w:cs="Times New Roman"/>
        </w:rPr>
      </w:pPr>
      <w:r>
        <w:rPr>
          <w:rFonts w:ascii="Times New Roman" w:hAnsi="Times New Roman" w:cs="Times New Roman"/>
        </w:rPr>
        <w:t>(Source: Field Study, 2025)</w:t>
      </w:r>
    </w:p>
    <w:p w:rsidR="00337E61" w:rsidRDefault="00B825A8">
      <w:pPr>
        <w:rPr>
          <w:rFonts w:ascii="Times New Roman" w:hAnsi="Times New Roman" w:cs="Times New Roman"/>
          <w:b/>
          <w:bCs/>
        </w:rPr>
      </w:pPr>
      <w:r>
        <w:rPr>
          <w:rFonts w:ascii="Times New Roman" w:hAnsi="Times New Roman" w:cs="Times New Roman"/>
          <w:b/>
          <w:bCs/>
          <w:lang w:val="en-GB"/>
        </w:rPr>
        <w:t>2</w:t>
      </w:r>
      <w:r>
        <w:rPr>
          <w:rFonts w:ascii="Times New Roman" w:hAnsi="Times New Roman" w:cs="Times New Roman"/>
          <w:b/>
          <w:bCs/>
        </w:rPr>
        <w:t>.8 Data Analysis</w:t>
      </w:r>
    </w:p>
    <w:p w:rsidR="00337E61" w:rsidRDefault="00B825A8">
      <w:pPr>
        <w:jc w:val="both"/>
        <w:rPr>
          <w:rFonts w:ascii="Times New Roman" w:hAnsi="Times New Roman" w:cs="Times New Roman"/>
        </w:rPr>
      </w:pPr>
      <w:r>
        <w:rPr>
          <w:rFonts w:ascii="Times New Roman" w:hAnsi="Times New Roman" w:cs="Times New Roman"/>
        </w:rPr>
        <w:t>Data collected were analyzed using the correlation coefficient technique in SPSS to determine the degree of association among the key constructs—brand differentiation, brand positioning, and competitive advantage. This statistical approach provided the empirical basis for interpreting findings and drawing conclusions.</w:t>
      </w:r>
    </w:p>
    <w:p w:rsidR="00337E61" w:rsidRDefault="00337E61">
      <w:pPr>
        <w:rPr>
          <w:rFonts w:ascii="Times New Roman" w:hAnsi="Times New Roman" w:cs="Times New Roman"/>
          <w:b/>
          <w:bCs/>
          <w:lang w:val="en-GB"/>
        </w:rPr>
      </w:pPr>
    </w:p>
    <w:p w:rsidR="00337E61" w:rsidRDefault="00337E61">
      <w:pPr>
        <w:rPr>
          <w:rFonts w:ascii="Times New Roman" w:hAnsi="Times New Roman" w:cs="Times New Roman"/>
          <w:b/>
          <w:bCs/>
          <w:lang w:val="en-GB"/>
        </w:rPr>
      </w:pPr>
    </w:p>
    <w:p w:rsidR="00337E61" w:rsidRDefault="00B825A8">
      <w:pPr>
        <w:rPr>
          <w:rFonts w:ascii="Times New Roman" w:hAnsi="Times New Roman" w:cs="Times New Roman"/>
          <w:b/>
          <w:bCs/>
        </w:rPr>
      </w:pPr>
      <w:r>
        <w:rPr>
          <w:rFonts w:ascii="Times New Roman" w:hAnsi="Times New Roman" w:cs="Times New Roman"/>
          <w:b/>
          <w:bCs/>
          <w:lang w:val="en-GB"/>
        </w:rPr>
        <w:lastRenderedPageBreak/>
        <w:t>3</w:t>
      </w:r>
      <w:r>
        <w:rPr>
          <w:rFonts w:ascii="Times New Roman" w:hAnsi="Times New Roman" w:cs="Times New Roman"/>
          <w:b/>
          <w:bCs/>
        </w:rPr>
        <w:t>.0 Data Presentation and Analysis</w:t>
      </w:r>
    </w:p>
    <w:p w:rsidR="00337E61" w:rsidRDefault="00B825A8">
      <w:pPr>
        <w:jc w:val="both"/>
        <w:rPr>
          <w:rFonts w:ascii="Times New Roman" w:hAnsi="Times New Roman" w:cs="Times New Roman"/>
        </w:rPr>
      </w:pPr>
      <w:r>
        <w:rPr>
          <w:rFonts w:ascii="Times New Roman" w:hAnsi="Times New Roman" w:cs="Times New Roman"/>
        </w:rPr>
        <w:t>This section presents the results of the survey administered to employees of International Brewery Plc, analyzed in line with the research objectives. A total of 207 valid responses were retrieved via Google Forms, coded, and analyzed using descriptive and inferential statistics.</w:t>
      </w:r>
    </w:p>
    <w:p w:rsidR="00337E61" w:rsidRDefault="00B825A8">
      <w:pPr>
        <w:rPr>
          <w:rFonts w:ascii="Times New Roman" w:hAnsi="Times New Roman" w:cs="Times New Roman"/>
          <w:b/>
          <w:bCs/>
        </w:rPr>
      </w:pPr>
      <w:r>
        <w:rPr>
          <w:rFonts w:ascii="Times New Roman" w:hAnsi="Times New Roman" w:cs="Times New Roman"/>
          <w:b/>
          <w:bCs/>
          <w:lang w:val="en-GB"/>
        </w:rPr>
        <w:t>3</w:t>
      </w:r>
      <w:r>
        <w:rPr>
          <w:rFonts w:ascii="Times New Roman" w:hAnsi="Times New Roman" w:cs="Times New Roman"/>
          <w:b/>
          <w:bCs/>
        </w:rPr>
        <w:t>.1 Demographic Profile of Respondents</w:t>
      </w:r>
    </w:p>
    <w:p w:rsidR="00337E61" w:rsidRDefault="00B825A8">
      <w:pP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lang w:val="en-GB"/>
        </w:rPr>
        <w:t>2</w:t>
      </w:r>
      <w:r>
        <w:rPr>
          <w:rFonts w:ascii="Times New Roman" w:hAnsi="Times New Roman" w:cs="Times New Roman"/>
        </w:rPr>
        <w:t xml:space="preserve"> to Table </w:t>
      </w:r>
      <w:r>
        <w:rPr>
          <w:rFonts w:ascii="Times New Roman" w:hAnsi="Times New Roman" w:cs="Times New Roman"/>
          <w:lang w:val="en-GB"/>
        </w:rPr>
        <w:t>4</w:t>
      </w:r>
      <w:r>
        <w:rPr>
          <w:rFonts w:ascii="Times New Roman" w:hAnsi="Times New Roman" w:cs="Times New Roman"/>
        </w:rPr>
        <w:t xml:space="preserve"> and Figure </w:t>
      </w:r>
      <w:r>
        <w:rPr>
          <w:rFonts w:ascii="Times New Roman" w:hAnsi="Times New Roman" w:cs="Times New Roman"/>
          <w:lang w:val="en-GB"/>
        </w:rPr>
        <w:t>2</w:t>
      </w:r>
      <w:r>
        <w:rPr>
          <w:rFonts w:ascii="Times New Roman" w:hAnsi="Times New Roman" w:cs="Times New Roman"/>
        </w:rPr>
        <w:t xml:space="preserve"> summarize the demographic information of respondents, which provides a contextual understanding of the workforce that participated in the study.</w:t>
      </w:r>
    </w:p>
    <w:p w:rsidR="00337E61" w:rsidRDefault="00B825A8">
      <w:pPr>
        <w:rPr>
          <w:rFonts w:ascii="Times New Roman" w:hAnsi="Times New Roman" w:cs="Times New Roman"/>
          <w:b/>
          <w:bCs/>
        </w:rPr>
      </w:pPr>
      <w:r>
        <w:rPr>
          <w:rFonts w:ascii="Times New Roman" w:hAnsi="Times New Roman" w:cs="Times New Roman"/>
          <w:b/>
          <w:bCs/>
        </w:rPr>
        <w:t xml:space="preserve">Table </w:t>
      </w:r>
      <w:r>
        <w:rPr>
          <w:rFonts w:ascii="Times New Roman" w:hAnsi="Times New Roman" w:cs="Times New Roman"/>
          <w:b/>
          <w:bCs/>
          <w:lang w:val="en-GB"/>
        </w:rPr>
        <w:t>2</w:t>
      </w:r>
      <w:r>
        <w:rPr>
          <w:rFonts w:ascii="Times New Roman" w:hAnsi="Times New Roman" w:cs="Times New Roman"/>
          <w:b/>
          <w:bCs/>
        </w:rPr>
        <w:t>: Status Distribution of Respondents</w:t>
      </w:r>
    </w:p>
    <w:tbl>
      <w:tblPr>
        <w:tblW w:w="8982" w:type="dxa"/>
        <w:tblInd w:w="108" w:type="dxa"/>
        <w:tblLook w:val="04A0" w:firstRow="1" w:lastRow="0" w:firstColumn="1" w:lastColumn="0" w:noHBand="0" w:noVBand="1"/>
      </w:tblPr>
      <w:tblGrid>
        <w:gridCol w:w="867"/>
        <w:gridCol w:w="1563"/>
        <w:gridCol w:w="1620"/>
        <w:gridCol w:w="1620"/>
        <w:gridCol w:w="1710"/>
        <w:gridCol w:w="1602"/>
      </w:tblGrid>
      <w:tr w:rsidR="00337E61">
        <w:trPr>
          <w:trHeight w:val="360"/>
        </w:trPr>
        <w:tc>
          <w:tcPr>
            <w:tcW w:w="8982" w:type="dxa"/>
            <w:gridSpan w:val="6"/>
            <w:tcBorders>
              <w:top w:val="nil"/>
              <w:left w:val="nil"/>
              <w:bottom w:val="nil"/>
              <w:right w:val="nil"/>
            </w:tcBorders>
            <w:vAlign w:val="center"/>
          </w:tcPr>
          <w:p w:rsidR="00337E61" w:rsidRDefault="00B825A8">
            <w:pPr>
              <w:spacing w:after="0" w:line="240" w:lineRule="auto"/>
              <w:rPr>
                <w:rFonts w:ascii="Times New Roman" w:hAnsi="Times New Roman" w:cs="Times New Roman"/>
                <w:color w:val="000000" w:themeColor="text1"/>
                <w:lang w:val="en-GB"/>
              </w:rPr>
            </w:pPr>
            <w:r>
              <w:rPr>
                <w:rFonts w:ascii="Times New Roman" w:hAnsi="Times New Roman" w:cs="Times New Roman"/>
                <w:color w:val="000000" w:themeColor="text1"/>
              </w:rPr>
              <w:t xml:space="preserve">Table </w:t>
            </w:r>
            <w:r>
              <w:rPr>
                <w:rFonts w:ascii="Times New Roman" w:hAnsi="Times New Roman" w:cs="Times New Roman"/>
                <w:color w:val="000000" w:themeColor="text1"/>
                <w:lang w:val="en-GB"/>
              </w:rPr>
              <w:t>2</w:t>
            </w:r>
            <w:r>
              <w:rPr>
                <w:rFonts w:ascii="Times New Roman" w:hAnsi="Times New Roman" w:cs="Times New Roman"/>
                <w:color w:val="000000" w:themeColor="text1"/>
              </w:rPr>
              <w:t>: Status distribution of the respondents</w:t>
            </w:r>
            <w:r>
              <w:rPr>
                <w:rFonts w:ascii="Times New Roman" w:hAnsi="Times New Roman" w:cs="Times New Roman"/>
                <w:color w:val="000000" w:themeColor="text1"/>
                <w:lang w:val="en-GB"/>
              </w:rPr>
              <w:t xml:space="preserve">  </w:t>
            </w:r>
          </w:p>
        </w:tc>
      </w:tr>
      <w:tr w:rsidR="00337E61">
        <w:trPr>
          <w:trHeight w:val="560"/>
        </w:trPr>
        <w:tc>
          <w:tcPr>
            <w:tcW w:w="2430" w:type="dxa"/>
            <w:gridSpan w:val="2"/>
            <w:tcBorders>
              <w:top w:val="single" w:sz="12" w:space="0" w:color="000000"/>
              <w:left w:val="single" w:sz="12" w:space="0" w:color="000000"/>
              <w:bottom w:val="single" w:sz="12" w:space="0" w:color="000000"/>
              <w:right w:val="single" w:sz="12" w:space="0" w:color="000000"/>
            </w:tcBorders>
            <w:vAlign w:val="bottom"/>
          </w:tcPr>
          <w:p w:rsidR="00337E61" w:rsidRDefault="00B825A8">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b/>
                <w:bCs/>
                <w:color w:val="000000" w:themeColor="text1"/>
              </w:rPr>
              <w:t>Staff Status</w:t>
            </w:r>
          </w:p>
        </w:tc>
        <w:tc>
          <w:tcPr>
            <w:tcW w:w="1620" w:type="dxa"/>
            <w:tcBorders>
              <w:top w:val="single" w:sz="12" w:space="0" w:color="000000"/>
              <w:left w:val="nil"/>
              <w:bottom w:val="single" w:sz="12" w:space="0" w:color="000000"/>
              <w:right w:val="single" w:sz="4"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Frequency</w:t>
            </w:r>
          </w:p>
        </w:tc>
        <w:tc>
          <w:tcPr>
            <w:tcW w:w="1620" w:type="dxa"/>
            <w:tcBorders>
              <w:top w:val="single" w:sz="12" w:space="0" w:color="000000"/>
              <w:left w:val="nil"/>
              <w:bottom w:val="single" w:sz="12" w:space="0" w:color="000000"/>
              <w:right w:val="single" w:sz="4"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Percent</w:t>
            </w:r>
          </w:p>
        </w:tc>
        <w:tc>
          <w:tcPr>
            <w:tcW w:w="1710" w:type="dxa"/>
            <w:tcBorders>
              <w:top w:val="single" w:sz="12" w:space="0" w:color="000000"/>
              <w:left w:val="nil"/>
              <w:bottom w:val="single" w:sz="12" w:space="0" w:color="000000"/>
              <w:right w:val="single" w:sz="4"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Valid Percent</w:t>
            </w:r>
          </w:p>
        </w:tc>
        <w:tc>
          <w:tcPr>
            <w:tcW w:w="1602" w:type="dxa"/>
            <w:tcBorders>
              <w:top w:val="single" w:sz="12" w:space="0" w:color="000000"/>
              <w:left w:val="nil"/>
              <w:bottom w:val="single" w:sz="12" w:space="0" w:color="000000"/>
              <w:right w:val="single" w:sz="12"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Cumulative Percent</w:t>
            </w:r>
          </w:p>
        </w:tc>
      </w:tr>
      <w:tr w:rsidR="00337E61">
        <w:trPr>
          <w:trHeight w:val="300"/>
        </w:trPr>
        <w:tc>
          <w:tcPr>
            <w:tcW w:w="867" w:type="dxa"/>
            <w:vMerge w:val="restart"/>
            <w:tcBorders>
              <w:top w:val="nil"/>
              <w:left w:val="single" w:sz="12" w:space="0" w:color="000000"/>
              <w:bottom w:val="single" w:sz="12" w:space="0" w:color="000000"/>
              <w:right w:val="nil"/>
            </w:tcBorders>
          </w:tcPr>
          <w:p w:rsidR="00337E61" w:rsidRDefault="00337E61">
            <w:pPr>
              <w:spacing w:after="0" w:line="240" w:lineRule="auto"/>
              <w:rPr>
                <w:rFonts w:ascii="Times New Roman" w:eastAsia="Times New Roman" w:hAnsi="Times New Roman" w:cs="Times New Roman"/>
                <w:color w:val="000000" w:themeColor="text1"/>
              </w:rPr>
            </w:pPr>
          </w:p>
        </w:tc>
        <w:tc>
          <w:tcPr>
            <w:tcW w:w="1563" w:type="dxa"/>
            <w:tcBorders>
              <w:top w:val="nil"/>
              <w:left w:val="nil"/>
              <w:bottom w:val="nil"/>
              <w:right w:val="single" w:sz="12" w:space="0" w:color="000000"/>
            </w:tcBorders>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Junior Staff</w:t>
            </w:r>
          </w:p>
        </w:tc>
        <w:tc>
          <w:tcPr>
            <w:tcW w:w="162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97</w:t>
            </w:r>
          </w:p>
        </w:tc>
        <w:tc>
          <w:tcPr>
            <w:tcW w:w="162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46.9</w:t>
            </w:r>
          </w:p>
        </w:tc>
        <w:tc>
          <w:tcPr>
            <w:tcW w:w="171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46.9</w:t>
            </w:r>
          </w:p>
        </w:tc>
        <w:tc>
          <w:tcPr>
            <w:tcW w:w="1602"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46.9</w:t>
            </w:r>
          </w:p>
        </w:tc>
      </w:tr>
      <w:tr w:rsidR="00337E61">
        <w:trPr>
          <w:trHeight w:val="300"/>
        </w:trPr>
        <w:tc>
          <w:tcPr>
            <w:tcW w:w="867"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1563" w:type="dxa"/>
            <w:tcBorders>
              <w:top w:val="nil"/>
              <w:left w:val="nil"/>
              <w:bottom w:val="nil"/>
              <w:right w:val="single" w:sz="12" w:space="0" w:color="000000"/>
            </w:tcBorders>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Senior Staff</w:t>
            </w:r>
          </w:p>
        </w:tc>
        <w:tc>
          <w:tcPr>
            <w:tcW w:w="162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110</w:t>
            </w:r>
          </w:p>
        </w:tc>
        <w:tc>
          <w:tcPr>
            <w:tcW w:w="162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w:t>
            </w:r>
          </w:p>
        </w:tc>
        <w:tc>
          <w:tcPr>
            <w:tcW w:w="171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53.1</w:t>
            </w:r>
          </w:p>
        </w:tc>
        <w:tc>
          <w:tcPr>
            <w:tcW w:w="1602"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r>
      <w:tr w:rsidR="00337E61">
        <w:trPr>
          <w:trHeight w:val="300"/>
        </w:trPr>
        <w:tc>
          <w:tcPr>
            <w:tcW w:w="867"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1563" w:type="dxa"/>
            <w:tcBorders>
              <w:top w:val="nil"/>
              <w:left w:val="nil"/>
              <w:bottom w:val="single" w:sz="12" w:space="0" w:color="000000"/>
              <w:right w:val="single" w:sz="12" w:space="0" w:color="000000"/>
            </w:tcBorders>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1620" w:type="dxa"/>
            <w:tcBorders>
              <w:top w:val="nil"/>
              <w:left w:val="nil"/>
              <w:bottom w:val="single" w:sz="12" w:space="0" w:color="000000"/>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w:t>
            </w:r>
          </w:p>
        </w:tc>
        <w:tc>
          <w:tcPr>
            <w:tcW w:w="1620" w:type="dxa"/>
            <w:tcBorders>
              <w:top w:val="nil"/>
              <w:left w:val="nil"/>
              <w:bottom w:val="single" w:sz="12" w:space="0" w:color="000000"/>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710" w:type="dxa"/>
            <w:tcBorders>
              <w:top w:val="nil"/>
              <w:left w:val="nil"/>
              <w:bottom w:val="single" w:sz="12" w:space="0" w:color="000000"/>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602" w:type="dxa"/>
            <w:tcBorders>
              <w:top w:val="nil"/>
              <w:left w:val="nil"/>
              <w:bottom w:val="single" w:sz="12" w:space="0" w:color="000000"/>
              <w:right w:val="single" w:sz="12" w:space="0" w:color="000000"/>
            </w:tcBorders>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bl>
    <w:p w:rsidR="00337E61" w:rsidRDefault="00B825A8">
      <w:pPr>
        <w:rPr>
          <w:rFonts w:ascii="Times New Roman" w:hAnsi="Times New Roman" w:cs="Times New Roman"/>
          <w:b/>
          <w:bCs/>
        </w:rPr>
      </w:pPr>
      <w:r>
        <w:rPr>
          <w:rFonts w:ascii="Times New Roman" w:hAnsi="Times New Roman" w:cs="Times New Roman"/>
          <w:b/>
          <w:bCs/>
        </w:rPr>
        <w:t>Source: Field Survey (2025)</w:t>
      </w:r>
    </w:p>
    <w:p w:rsidR="00337E61" w:rsidRDefault="00B825A8">
      <w:pPr>
        <w:numPr>
          <w:ilvl w:val="0"/>
          <w:numId w:val="1"/>
        </w:numPr>
        <w:rPr>
          <w:rFonts w:ascii="Times New Roman" w:hAnsi="Times New Roman" w:cs="Times New Roman"/>
        </w:rPr>
      </w:pPr>
      <w:r>
        <w:rPr>
          <w:rFonts w:ascii="Times New Roman" w:hAnsi="Times New Roman" w:cs="Times New Roman"/>
          <w:b/>
          <w:bCs/>
        </w:rPr>
        <w:t>Staff Status</w:t>
      </w:r>
      <w:r>
        <w:rPr>
          <w:rFonts w:ascii="Times New Roman" w:hAnsi="Times New Roman" w:cs="Times New Roman"/>
        </w:rPr>
        <w:t>: 46.9% junior staff, 53.1% senior staff.</w:t>
      </w:r>
    </w:p>
    <w:p w:rsidR="00337E61" w:rsidRDefault="00B825A8">
      <w:pPr>
        <w:ind w:left="90" w:hanging="720"/>
        <w:rPr>
          <w:rFonts w:ascii="Times New Roman" w:hAnsi="Times New Roman" w:cs="Times New Roman"/>
        </w:rPr>
      </w:pPr>
      <w:r>
        <w:rPr>
          <w:rFonts w:ascii="Times New Roman" w:hAnsi="Times New Roman" w:cs="Times New Roman"/>
          <w:noProof/>
        </w:rPr>
        <w:drawing>
          <wp:inline distT="0" distB="0" distL="0" distR="0">
            <wp:extent cx="6623050" cy="2517775"/>
            <wp:effectExtent l="0" t="0" r="6350" b="0"/>
            <wp:docPr id="1389555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555183" name="Picture 1"/>
                    <pic:cNvPicPr>
                      <a:picLocks noChangeAspect="1"/>
                    </pic:cNvPicPr>
                  </pic:nvPicPr>
                  <pic:blipFill>
                    <a:blip r:embed="rId9"/>
                    <a:stretch>
                      <a:fillRect/>
                    </a:stretch>
                  </pic:blipFill>
                  <pic:spPr>
                    <a:xfrm>
                      <a:off x="0" y="0"/>
                      <a:ext cx="6623050" cy="2517775"/>
                    </a:xfrm>
                    <a:prstGeom prst="rect">
                      <a:avLst/>
                    </a:prstGeom>
                  </pic:spPr>
                </pic:pic>
              </a:graphicData>
            </a:graphic>
          </wp:inline>
        </w:drawing>
      </w:r>
    </w:p>
    <w:p w:rsidR="00337E61" w:rsidRDefault="00B825A8">
      <w:pPr>
        <w:ind w:left="90" w:hanging="720"/>
        <w:rPr>
          <w:rFonts w:ascii="Times New Roman" w:hAnsi="Times New Roman" w:cs="Times New Roman"/>
          <w:lang w:val="en-GB"/>
        </w:rPr>
      </w:pPr>
      <w:r>
        <w:rPr>
          <w:rFonts w:ascii="Times New Roman" w:hAnsi="Times New Roman" w:cs="Times New Roman"/>
          <w:lang w:val="en-GB"/>
        </w:rPr>
        <w:tab/>
        <w:t>Fig. 2: Figure showing the status of respondents</w:t>
      </w:r>
    </w:p>
    <w:p w:rsidR="00337E61" w:rsidRDefault="00B825A8">
      <w:pPr>
        <w:tabs>
          <w:tab w:val="left" w:pos="720"/>
        </w:tabs>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Table </w:t>
      </w:r>
      <w:r>
        <w:rPr>
          <w:rFonts w:ascii="Times New Roman" w:hAnsi="Times New Roman" w:cs="Times New Roman"/>
          <w:color w:val="000000" w:themeColor="text1"/>
          <w:lang w:val="en-GB"/>
        </w:rPr>
        <w:t>2</w:t>
      </w:r>
      <w:r>
        <w:rPr>
          <w:rFonts w:ascii="Times New Roman" w:hAnsi="Times New Roman" w:cs="Times New Roman"/>
          <w:color w:val="000000" w:themeColor="text1"/>
        </w:rPr>
        <w:t xml:space="preserve"> and Figure </w:t>
      </w:r>
      <w:r>
        <w:rPr>
          <w:rFonts w:ascii="Times New Roman" w:hAnsi="Times New Roman" w:cs="Times New Roman"/>
          <w:color w:val="000000" w:themeColor="text1"/>
          <w:lang w:val="en-GB"/>
        </w:rPr>
        <w:t>2</w:t>
      </w:r>
      <w:r>
        <w:rPr>
          <w:rFonts w:ascii="Times New Roman" w:hAnsi="Times New Roman" w:cs="Times New Roman"/>
          <w:color w:val="000000" w:themeColor="text1"/>
        </w:rPr>
        <w:t xml:space="preserve"> indicate that 46.9% of the respondents were junior employees (97 staff), while 53.1% (110 staff) were senior employees. This balanced composition suggests adequate representation across hierarchical levels, ensuring that insights reflect both operational and strategic perspectives within International Brewery Plc. </w:t>
      </w:r>
    </w:p>
    <w:p w:rsidR="00337E61" w:rsidRDefault="00337E61">
      <w:pPr>
        <w:tabs>
          <w:tab w:val="left" w:pos="720"/>
        </w:tabs>
        <w:rPr>
          <w:rFonts w:ascii="Times New Roman" w:hAnsi="Times New Roman" w:cs="Times New Roman"/>
          <w:color w:val="000000" w:themeColor="text1"/>
        </w:rPr>
      </w:pPr>
    </w:p>
    <w:p w:rsidR="00337E61" w:rsidRDefault="00B825A8">
      <w:pPr>
        <w:tabs>
          <w:tab w:val="left" w:pos="720"/>
        </w:tabs>
        <w:rPr>
          <w:rFonts w:ascii="Times New Roman" w:hAnsi="Times New Roman" w:cs="Times New Roman"/>
          <w:color w:val="000000" w:themeColor="text1"/>
        </w:rPr>
      </w:pPr>
      <w:r>
        <w:rPr>
          <w:rFonts w:ascii="Times New Roman" w:hAnsi="Times New Roman" w:cs="Times New Roman"/>
          <w:color w:val="000000" w:themeColor="text1"/>
        </w:rPr>
        <w:t xml:space="preserve">Table </w:t>
      </w:r>
      <w:r>
        <w:rPr>
          <w:rFonts w:ascii="Times New Roman" w:hAnsi="Times New Roman" w:cs="Times New Roman"/>
          <w:color w:val="000000" w:themeColor="text1"/>
          <w:lang w:val="en-GB"/>
        </w:rPr>
        <w:t>3</w:t>
      </w:r>
      <w:r>
        <w:rPr>
          <w:rFonts w:ascii="Times New Roman" w:hAnsi="Times New Roman" w:cs="Times New Roman"/>
          <w:color w:val="000000" w:themeColor="text1"/>
        </w:rPr>
        <w:t>: Highest Educational Qualification of Respondents</w:t>
      </w:r>
    </w:p>
    <w:tbl>
      <w:tblPr>
        <w:tblW w:w="9540" w:type="dxa"/>
        <w:tblLook w:val="04A0" w:firstRow="1" w:lastRow="0" w:firstColumn="1" w:lastColumn="0" w:noHBand="0" w:noVBand="1"/>
      </w:tblPr>
      <w:tblGrid>
        <w:gridCol w:w="3160"/>
        <w:gridCol w:w="1860"/>
        <w:gridCol w:w="1820"/>
        <w:gridCol w:w="1003"/>
        <w:gridCol w:w="1740"/>
      </w:tblGrid>
      <w:tr w:rsidR="00337E61">
        <w:trPr>
          <w:trHeight w:val="590"/>
        </w:trPr>
        <w:tc>
          <w:tcPr>
            <w:tcW w:w="3160" w:type="dxa"/>
            <w:tcBorders>
              <w:top w:val="single" w:sz="8" w:space="0" w:color="auto"/>
              <w:left w:val="single" w:sz="8" w:space="0" w:color="auto"/>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Educational Qualification</w:t>
            </w:r>
          </w:p>
        </w:tc>
        <w:tc>
          <w:tcPr>
            <w:tcW w:w="186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Frequency</w:t>
            </w:r>
          </w:p>
        </w:tc>
        <w:tc>
          <w:tcPr>
            <w:tcW w:w="182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Percent</w:t>
            </w:r>
          </w:p>
        </w:tc>
        <w:tc>
          <w:tcPr>
            <w:tcW w:w="96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Valid Percent</w:t>
            </w:r>
          </w:p>
        </w:tc>
        <w:tc>
          <w:tcPr>
            <w:tcW w:w="1740" w:type="dxa"/>
            <w:tcBorders>
              <w:top w:val="single" w:sz="8" w:space="0" w:color="auto"/>
              <w:left w:val="nil"/>
              <w:bottom w:val="single" w:sz="8"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Cumulative Percent</w:t>
            </w:r>
          </w:p>
        </w:tc>
      </w:tr>
      <w:tr w:rsidR="00337E61">
        <w:trPr>
          <w:trHeight w:val="310"/>
        </w:trPr>
        <w:tc>
          <w:tcPr>
            <w:tcW w:w="31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SSCE</w:t>
            </w:r>
          </w:p>
        </w:tc>
        <w:tc>
          <w:tcPr>
            <w:tcW w:w="18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w:t>
            </w:r>
          </w:p>
        </w:tc>
        <w:tc>
          <w:tcPr>
            <w:tcW w:w="182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w:t>
            </w:r>
          </w:p>
        </w:tc>
        <w:tc>
          <w:tcPr>
            <w:tcW w:w="9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w:t>
            </w:r>
          </w:p>
        </w:tc>
        <w:tc>
          <w:tcPr>
            <w:tcW w:w="1740" w:type="dxa"/>
            <w:tcBorders>
              <w:top w:val="nil"/>
              <w:left w:val="nil"/>
              <w:bottom w:val="single" w:sz="4"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0.5</w:t>
            </w:r>
          </w:p>
        </w:tc>
      </w:tr>
      <w:tr w:rsidR="00337E61">
        <w:trPr>
          <w:trHeight w:val="310"/>
        </w:trPr>
        <w:tc>
          <w:tcPr>
            <w:tcW w:w="31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Diploma</w:t>
            </w:r>
          </w:p>
        </w:tc>
        <w:tc>
          <w:tcPr>
            <w:tcW w:w="18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w:t>
            </w:r>
          </w:p>
        </w:tc>
        <w:tc>
          <w:tcPr>
            <w:tcW w:w="182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w:t>
            </w:r>
          </w:p>
        </w:tc>
        <w:tc>
          <w:tcPr>
            <w:tcW w:w="9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w:t>
            </w:r>
          </w:p>
        </w:tc>
        <w:tc>
          <w:tcPr>
            <w:tcW w:w="1740" w:type="dxa"/>
            <w:tcBorders>
              <w:top w:val="nil"/>
              <w:left w:val="nil"/>
              <w:bottom w:val="single" w:sz="4"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7.3</w:t>
            </w:r>
          </w:p>
        </w:tc>
      </w:tr>
      <w:tr w:rsidR="00337E61">
        <w:trPr>
          <w:trHeight w:val="310"/>
        </w:trPr>
        <w:tc>
          <w:tcPr>
            <w:tcW w:w="31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National Diploma</w:t>
            </w:r>
          </w:p>
        </w:tc>
        <w:tc>
          <w:tcPr>
            <w:tcW w:w="18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w:t>
            </w:r>
          </w:p>
        </w:tc>
        <w:tc>
          <w:tcPr>
            <w:tcW w:w="182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w:t>
            </w:r>
          </w:p>
        </w:tc>
        <w:tc>
          <w:tcPr>
            <w:tcW w:w="9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w:t>
            </w:r>
          </w:p>
        </w:tc>
        <w:tc>
          <w:tcPr>
            <w:tcW w:w="1740" w:type="dxa"/>
            <w:tcBorders>
              <w:top w:val="nil"/>
              <w:left w:val="nil"/>
              <w:bottom w:val="single" w:sz="4"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14.5</w:t>
            </w:r>
          </w:p>
        </w:tc>
      </w:tr>
      <w:tr w:rsidR="00337E61">
        <w:trPr>
          <w:trHeight w:val="310"/>
        </w:trPr>
        <w:tc>
          <w:tcPr>
            <w:tcW w:w="31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HND</w:t>
            </w:r>
          </w:p>
        </w:tc>
        <w:tc>
          <w:tcPr>
            <w:tcW w:w="18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52</w:t>
            </w:r>
          </w:p>
        </w:tc>
        <w:tc>
          <w:tcPr>
            <w:tcW w:w="182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25.1</w:t>
            </w:r>
          </w:p>
        </w:tc>
        <w:tc>
          <w:tcPr>
            <w:tcW w:w="9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25.1</w:t>
            </w:r>
          </w:p>
        </w:tc>
        <w:tc>
          <w:tcPr>
            <w:tcW w:w="1740" w:type="dxa"/>
            <w:tcBorders>
              <w:top w:val="nil"/>
              <w:left w:val="nil"/>
              <w:bottom w:val="single" w:sz="4"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39.6</w:t>
            </w:r>
          </w:p>
        </w:tc>
      </w:tr>
      <w:tr w:rsidR="00337E61">
        <w:trPr>
          <w:trHeight w:val="310"/>
        </w:trPr>
        <w:tc>
          <w:tcPr>
            <w:tcW w:w="31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First Degree</w:t>
            </w:r>
          </w:p>
        </w:tc>
        <w:tc>
          <w:tcPr>
            <w:tcW w:w="18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69</w:t>
            </w:r>
          </w:p>
        </w:tc>
        <w:tc>
          <w:tcPr>
            <w:tcW w:w="182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33.3</w:t>
            </w:r>
          </w:p>
        </w:tc>
        <w:tc>
          <w:tcPr>
            <w:tcW w:w="9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33.3</w:t>
            </w:r>
          </w:p>
        </w:tc>
        <w:tc>
          <w:tcPr>
            <w:tcW w:w="1740" w:type="dxa"/>
            <w:tcBorders>
              <w:top w:val="nil"/>
              <w:left w:val="nil"/>
              <w:bottom w:val="single" w:sz="4"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72.9</w:t>
            </w:r>
          </w:p>
        </w:tc>
      </w:tr>
      <w:tr w:rsidR="00337E61">
        <w:trPr>
          <w:trHeight w:val="310"/>
        </w:trPr>
        <w:tc>
          <w:tcPr>
            <w:tcW w:w="31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Second Degree</w:t>
            </w:r>
          </w:p>
        </w:tc>
        <w:tc>
          <w:tcPr>
            <w:tcW w:w="18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w:t>
            </w:r>
          </w:p>
        </w:tc>
        <w:tc>
          <w:tcPr>
            <w:tcW w:w="182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21.7</w:t>
            </w:r>
          </w:p>
        </w:tc>
        <w:tc>
          <w:tcPr>
            <w:tcW w:w="9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21.7</w:t>
            </w:r>
          </w:p>
        </w:tc>
        <w:tc>
          <w:tcPr>
            <w:tcW w:w="1740" w:type="dxa"/>
            <w:tcBorders>
              <w:top w:val="nil"/>
              <w:left w:val="nil"/>
              <w:bottom w:val="single" w:sz="4"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94.7</w:t>
            </w:r>
          </w:p>
        </w:tc>
      </w:tr>
      <w:tr w:rsidR="00337E61">
        <w:trPr>
          <w:trHeight w:val="310"/>
        </w:trPr>
        <w:tc>
          <w:tcPr>
            <w:tcW w:w="31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Ph.D.</w:t>
            </w:r>
          </w:p>
        </w:tc>
        <w:tc>
          <w:tcPr>
            <w:tcW w:w="18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w:t>
            </w:r>
          </w:p>
        </w:tc>
        <w:tc>
          <w:tcPr>
            <w:tcW w:w="182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w:t>
            </w:r>
          </w:p>
        </w:tc>
        <w:tc>
          <w:tcPr>
            <w:tcW w:w="960" w:type="dxa"/>
            <w:tcBorders>
              <w:top w:val="nil"/>
              <w:left w:val="nil"/>
              <w:bottom w:val="single" w:sz="4"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5.3</w:t>
            </w:r>
          </w:p>
        </w:tc>
        <w:tc>
          <w:tcPr>
            <w:tcW w:w="1740" w:type="dxa"/>
            <w:tcBorders>
              <w:top w:val="nil"/>
              <w:left w:val="nil"/>
              <w:bottom w:val="single" w:sz="4"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100</w:t>
            </w:r>
          </w:p>
        </w:tc>
      </w:tr>
      <w:tr w:rsidR="00337E61">
        <w:trPr>
          <w:trHeight w:val="320"/>
        </w:trPr>
        <w:tc>
          <w:tcPr>
            <w:tcW w:w="3160" w:type="dxa"/>
            <w:tcBorders>
              <w:top w:val="nil"/>
              <w:left w:val="single" w:sz="8" w:space="0" w:color="auto"/>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Total</w:t>
            </w:r>
          </w:p>
        </w:tc>
        <w:tc>
          <w:tcPr>
            <w:tcW w:w="1860" w:type="dxa"/>
            <w:tcBorders>
              <w:top w:val="nil"/>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207</w:t>
            </w:r>
          </w:p>
        </w:tc>
        <w:tc>
          <w:tcPr>
            <w:tcW w:w="1820" w:type="dxa"/>
            <w:tcBorders>
              <w:top w:val="nil"/>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100</w:t>
            </w:r>
          </w:p>
        </w:tc>
        <w:tc>
          <w:tcPr>
            <w:tcW w:w="960" w:type="dxa"/>
            <w:tcBorders>
              <w:top w:val="nil"/>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100</w:t>
            </w:r>
          </w:p>
        </w:tc>
        <w:tc>
          <w:tcPr>
            <w:tcW w:w="1740" w:type="dxa"/>
            <w:tcBorders>
              <w:top w:val="nil"/>
              <w:left w:val="nil"/>
              <w:bottom w:val="single" w:sz="8" w:space="0" w:color="auto"/>
              <w:right w:val="single" w:sz="8" w:space="0" w:color="auto"/>
            </w:tcBorders>
            <w:noWrap/>
            <w:vAlign w:val="bottom"/>
          </w:tcPr>
          <w:p w:rsidR="00337E61" w:rsidRDefault="00B825A8">
            <w:pPr>
              <w:spacing w:after="0" w:line="240" w:lineRule="auto"/>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w:t>
            </w:r>
          </w:p>
        </w:tc>
      </w:tr>
      <w:tr w:rsidR="00337E61">
        <w:trPr>
          <w:trHeight w:val="290"/>
        </w:trPr>
        <w:tc>
          <w:tcPr>
            <w:tcW w:w="3160" w:type="dxa"/>
            <w:tcBorders>
              <w:top w:val="nil"/>
              <w:left w:val="nil"/>
              <w:bottom w:val="nil"/>
              <w:right w:val="nil"/>
            </w:tcBorders>
            <w:noWrap/>
            <w:vAlign w:val="bottom"/>
          </w:tcPr>
          <w:p w:rsidR="00337E61" w:rsidRDefault="00337E61">
            <w:pPr>
              <w:spacing w:after="0" w:line="240" w:lineRule="auto"/>
              <w:jc w:val="center"/>
              <w:rPr>
                <w:rFonts w:ascii="Times New Roman" w:eastAsia="Times New Roman" w:hAnsi="Times New Roman" w:cs="Times New Roman"/>
                <w:color w:val="000000"/>
                <w:kern w:val="0"/>
                <w14:ligatures w14:val="none"/>
              </w:rPr>
            </w:pPr>
          </w:p>
        </w:tc>
        <w:tc>
          <w:tcPr>
            <w:tcW w:w="1860" w:type="dxa"/>
            <w:tcBorders>
              <w:top w:val="nil"/>
              <w:left w:val="nil"/>
              <w:bottom w:val="nil"/>
              <w:right w:val="nil"/>
            </w:tcBorders>
            <w:noWrap/>
            <w:vAlign w:val="bottom"/>
          </w:tcPr>
          <w:p w:rsidR="00337E61" w:rsidRDefault="00337E61">
            <w:pPr>
              <w:spacing w:after="0" w:line="240" w:lineRule="auto"/>
              <w:rPr>
                <w:rFonts w:ascii="Times New Roman" w:eastAsia="Times New Roman" w:hAnsi="Times New Roman" w:cs="Times New Roman"/>
                <w:kern w:val="0"/>
                <w14:ligatures w14:val="none"/>
              </w:rPr>
            </w:pPr>
          </w:p>
        </w:tc>
        <w:tc>
          <w:tcPr>
            <w:tcW w:w="1820" w:type="dxa"/>
            <w:tcBorders>
              <w:top w:val="nil"/>
              <w:left w:val="nil"/>
              <w:bottom w:val="nil"/>
              <w:right w:val="nil"/>
            </w:tcBorders>
            <w:noWrap/>
            <w:vAlign w:val="bottom"/>
          </w:tcPr>
          <w:p w:rsidR="00337E61" w:rsidRDefault="00337E61">
            <w:pPr>
              <w:spacing w:after="0" w:line="240" w:lineRule="auto"/>
              <w:rPr>
                <w:rFonts w:ascii="Times New Roman" w:eastAsia="Times New Roman" w:hAnsi="Times New Roman" w:cs="Times New Roman"/>
                <w:kern w:val="0"/>
                <w14:ligatures w14:val="none"/>
              </w:rPr>
            </w:pPr>
          </w:p>
        </w:tc>
        <w:tc>
          <w:tcPr>
            <w:tcW w:w="960" w:type="dxa"/>
            <w:tcBorders>
              <w:top w:val="nil"/>
              <w:left w:val="nil"/>
              <w:bottom w:val="nil"/>
              <w:right w:val="nil"/>
            </w:tcBorders>
            <w:noWrap/>
            <w:vAlign w:val="bottom"/>
          </w:tcPr>
          <w:p w:rsidR="00337E61" w:rsidRDefault="00337E61">
            <w:pPr>
              <w:spacing w:after="0" w:line="240" w:lineRule="auto"/>
              <w:rPr>
                <w:rFonts w:ascii="Times New Roman" w:eastAsia="Times New Roman" w:hAnsi="Times New Roman" w:cs="Times New Roman"/>
                <w:kern w:val="0"/>
                <w14:ligatures w14:val="none"/>
              </w:rPr>
            </w:pPr>
          </w:p>
        </w:tc>
        <w:tc>
          <w:tcPr>
            <w:tcW w:w="1740" w:type="dxa"/>
            <w:tcBorders>
              <w:top w:val="nil"/>
              <w:left w:val="nil"/>
              <w:bottom w:val="nil"/>
              <w:right w:val="nil"/>
            </w:tcBorders>
            <w:noWrap/>
            <w:vAlign w:val="bottom"/>
          </w:tcPr>
          <w:p w:rsidR="00337E61" w:rsidRDefault="00337E61">
            <w:pPr>
              <w:spacing w:after="0" w:line="240" w:lineRule="auto"/>
              <w:rPr>
                <w:rFonts w:ascii="Times New Roman" w:eastAsia="Times New Roman" w:hAnsi="Times New Roman" w:cs="Times New Roman"/>
                <w:kern w:val="0"/>
                <w14:ligatures w14:val="none"/>
              </w:rPr>
            </w:pPr>
          </w:p>
        </w:tc>
      </w:tr>
    </w:tbl>
    <w:p w:rsidR="00337E61" w:rsidRDefault="00B825A8">
      <w:pPr>
        <w:tabs>
          <w:tab w:val="left" w:pos="720"/>
        </w:tabs>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Source:</w:t>
      </w:r>
      <w:r>
        <w:rPr>
          <w:rFonts w:ascii="Times New Roman" w:hAnsi="Times New Roman" w:cs="Times New Roman"/>
          <w:color w:val="000000" w:themeColor="text1"/>
        </w:rPr>
        <w:t xml:space="preserve"> Field Survey (2025)</w:t>
      </w:r>
    </w:p>
    <w:p w:rsidR="00337E61" w:rsidRDefault="00B825A8">
      <w:pPr>
        <w:tabs>
          <w:tab w:val="left" w:pos="720"/>
        </w:tabs>
        <w:spacing w:line="360" w:lineRule="auto"/>
        <w:jc w:val="both"/>
        <w:rPr>
          <w:rFonts w:ascii="Times New Roman" w:hAnsi="Times New Roman" w:cs="Times New Roman"/>
          <w14:ligatures w14:val="none"/>
        </w:rPr>
      </w:pPr>
      <w:r>
        <w:rPr>
          <w:rFonts w:ascii="Times New Roman" w:hAnsi="Times New Roman" w:cs="Times New Roman"/>
          <w:noProof/>
          <w14:ligatures w14:val="none"/>
        </w:rPr>
        <w:drawing>
          <wp:inline distT="0" distB="0" distL="0" distR="0">
            <wp:extent cx="5943600" cy="2367915"/>
            <wp:effectExtent l="0" t="0" r="0" b="0"/>
            <wp:docPr id="527274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74635" name="Picture 1"/>
                    <pic:cNvPicPr>
                      <a:picLocks noChangeAspect="1"/>
                    </pic:cNvPicPr>
                  </pic:nvPicPr>
                  <pic:blipFill>
                    <a:blip r:embed="rId10"/>
                    <a:stretch>
                      <a:fillRect/>
                    </a:stretch>
                  </pic:blipFill>
                  <pic:spPr>
                    <a:xfrm>
                      <a:off x="0" y="0"/>
                      <a:ext cx="5943600" cy="2367915"/>
                    </a:xfrm>
                    <a:prstGeom prst="rect">
                      <a:avLst/>
                    </a:prstGeom>
                  </pic:spPr>
                </pic:pic>
              </a:graphicData>
            </a:graphic>
          </wp:inline>
        </w:drawing>
      </w:r>
    </w:p>
    <w:p w:rsidR="00337E61" w:rsidRDefault="00B825A8">
      <w:pPr>
        <w:tabs>
          <w:tab w:val="left" w:pos="720"/>
        </w:tabs>
        <w:spacing w:line="360" w:lineRule="auto"/>
        <w:jc w:val="both"/>
        <w:rPr>
          <w:rFonts w:ascii="Times New Roman" w:hAnsi="Times New Roman" w:cs="Times New Roman"/>
          <w:color w:val="000000" w:themeColor="text1"/>
        </w:rPr>
      </w:pPr>
      <w:r>
        <w:rPr>
          <w:rFonts w:ascii="Times New Roman" w:hAnsi="Times New Roman" w:cs="Times New Roman"/>
          <w:lang w:val="en-GB"/>
          <w14:ligatures w14:val="none"/>
        </w:rPr>
        <w:t>Fig. 3: Educational Qualification of respondents</w:t>
      </w:r>
      <w:r>
        <w:rPr>
          <w:rFonts w:ascii="Times New Roman" w:hAnsi="Times New Roman" w:cs="Times New Roman"/>
          <w:color w:val="000000" w:themeColor="text1"/>
        </w:rPr>
        <w:br/>
        <w:t xml:space="preserve">Table </w:t>
      </w:r>
      <w:r>
        <w:rPr>
          <w:rFonts w:ascii="Times New Roman" w:hAnsi="Times New Roman" w:cs="Times New Roman"/>
          <w:color w:val="000000" w:themeColor="text1"/>
          <w:lang w:val="en-GB"/>
        </w:rPr>
        <w:t>3</w:t>
      </w:r>
      <w:r>
        <w:rPr>
          <w:rFonts w:ascii="Times New Roman" w:hAnsi="Times New Roman" w:cs="Times New Roman"/>
          <w:color w:val="000000" w:themeColor="text1"/>
        </w:rPr>
        <w:t xml:space="preserve"> and Figure </w:t>
      </w:r>
      <w:r>
        <w:rPr>
          <w:rFonts w:ascii="Times New Roman" w:hAnsi="Times New Roman" w:cs="Times New Roman"/>
          <w:color w:val="000000" w:themeColor="text1"/>
          <w:lang w:val="en-GB"/>
        </w:rPr>
        <w:t>3</w:t>
      </w:r>
      <w:r>
        <w:rPr>
          <w:rFonts w:ascii="Times New Roman" w:hAnsi="Times New Roman" w:cs="Times New Roman"/>
          <w:color w:val="000000" w:themeColor="text1"/>
        </w:rPr>
        <w:t xml:space="preserve"> reveals that the majority of respondents held First Degrees (33.3%) and Higher National Diplomas (25.1%), while 21.7% possessed Second Degrees and 5.3% had Doctoral qualifications. This educational distribution suggests that respondents are well-educated, providing informed and credible responses on brand management and strategic practices.</w:t>
      </w:r>
    </w:p>
    <w:p w:rsidR="00337E61" w:rsidRDefault="00337E61">
      <w:pPr>
        <w:tabs>
          <w:tab w:val="left" w:pos="720"/>
        </w:tabs>
        <w:rPr>
          <w:rFonts w:ascii="Times New Roman" w:hAnsi="Times New Roman" w:cs="Times New Roman"/>
          <w:color w:val="000000" w:themeColor="text1"/>
        </w:rPr>
      </w:pPr>
    </w:p>
    <w:p w:rsidR="00337E61" w:rsidRDefault="00337E61">
      <w:pPr>
        <w:tabs>
          <w:tab w:val="left" w:pos="720"/>
        </w:tabs>
        <w:rPr>
          <w:rFonts w:ascii="Times New Roman" w:hAnsi="Times New Roman" w:cs="Times New Roman"/>
          <w:color w:val="000000" w:themeColor="text1"/>
        </w:rPr>
      </w:pPr>
    </w:p>
    <w:p w:rsidR="00337E61" w:rsidRDefault="00337E61">
      <w:pPr>
        <w:tabs>
          <w:tab w:val="left" w:pos="720"/>
        </w:tabs>
        <w:rPr>
          <w:rFonts w:ascii="Times New Roman" w:hAnsi="Times New Roman" w:cs="Times New Roman"/>
          <w:color w:val="000000" w:themeColor="text1"/>
        </w:rPr>
      </w:pPr>
    </w:p>
    <w:p w:rsidR="00337E61" w:rsidRDefault="00337E61">
      <w:pPr>
        <w:tabs>
          <w:tab w:val="left" w:pos="720"/>
        </w:tabs>
        <w:rPr>
          <w:rFonts w:ascii="Times New Roman" w:hAnsi="Times New Roman" w:cs="Times New Roman"/>
          <w:color w:val="000000" w:themeColor="text1"/>
        </w:rPr>
      </w:pPr>
    </w:p>
    <w:p w:rsidR="00337E61" w:rsidRDefault="00337E61">
      <w:pPr>
        <w:tabs>
          <w:tab w:val="left" w:pos="720"/>
        </w:tabs>
        <w:rPr>
          <w:rFonts w:ascii="Times New Roman" w:hAnsi="Times New Roman" w:cs="Times New Roman"/>
          <w:color w:val="000000" w:themeColor="text1"/>
        </w:rPr>
      </w:pPr>
    </w:p>
    <w:p w:rsidR="00337E61" w:rsidRDefault="00337E61">
      <w:pPr>
        <w:tabs>
          <w:tab w:val="left" w:pos="720"/>
        </w:tabs>
        <w:rPr>
          <w:rFonts w:ascii="Times New Roman" w:hAnsi="Times New Roman" w:cs="Times New Roman"/>
          <w:color w:val="000000" w:themeColor="text1"/>
        </w:rPr>
      </w:pPr>
    </w:p>
    <w:p w:rsidR="00337E61" w:rsidRDefault="00337E61">
      <w:pPr>
        <w:tabs>
          <w:tab w:val="left" w:pos="720"/>
        </w:tabs>
        <w:rPr>
          <w:rFonts w:ascii="Times New Roman" w:hAnsi="Times New Roman" w:cs="Times New Roman"/>
          <w:color w:val="000000" w:themeColor="text1"/>
        </w:rPr>
      </w:pPr>
    </w:p>
    <w:p w:rsidR="00337E61" w:rsidRDefault="00B825A8">
      <w:pPr>
        <w:rPr>
          <w:rFonts w:ascii="Times New Roman" w:hAnsi="Times New Roman" w:cs="Times New Roman"/>
        </w:rPr>
      </w:pPr>
      <w:r>
        <w:rPr>
          <w:rFonts w:ascii="Times New Roman" w:hAnsi="Times New Roman" w:cs="Times New Roman"/>
          <w:b/>
          <w:bCs/>
        </w:rPr>
        <w:lastRenderedPageBreak/>
        <w:t>Length of Service</w:t>
      </w:r>
      <w:r>
        <w:rPr>
          <w:rFonts w:ascii="Times New Roman" w:hAnsi="Times New Roman" w:cs="Times New Roman"/>
        </w:rPr>
        <w:t>: 42% had 6–10 years’ experience; 28% had 0–5 years.</w:t>
      </w:r>
    </w:p>
    <w:tbl>
      <w:tblPr>
        <w:tblW w:w="9107" w:type="dxa"/>
        <w:tblInd w:w="108" w:type="dxa"/>
        <w:tblLook w:val="04A0" w:firstRow="1" w:lastRow="0" w:firstColumn="1" w:lastColumn="0" w:noHBand="0" w:noVBand="1"/>
      </w:tblPr>
      <w:tblGrid>
        <w:gridCol w:w="1220"/>
        <w:gridCol w:w="850"/>
        <w:gridCol w:w="1440"/>
        <w:gridCol w:w="2340"/>
        <w:gridCol w:w="1800"/>
        <w:gridCol w:w="1457"/>
      </w:tblGrid>
      <w:tr w:rsidR="00337E61">
        <w:trPr>
          <w:trHeight w:val="360"/>
        </w:trPr>
        <w:tc>
          <w:tcPr>
            <w:tcW w:w="9107" w:type="dxa"/>
            <w:gridSpan w:val="6"/>
            <w:tcBorders>
              <w:top w:val="nil"/>
              <w:left w:val="nil"/>
              <w:bottom w:val="nil"/>
              <w:right w:val="nil"/>
            </w:tcBorders>
            <w:vAlign w:val="center"/>
          </w:tcPr>
          <w:p w:rsidR="00337E61" w:rsidRDefault="00B825A8">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b/>
                <w:bCs/>
                <w:color w:val="000000" w:themeColor="text1"/>
                <w:lang w:val="en-GB"/>
              </w:rPr>
              <w:t>4</w:t>
            </w:r>
            <w:r>
              <w:rPr>
                <w:rFonts w:ascii="Times New Roman" w:eastAsia="Times New Roman" w:hAnsi="Times New Roman" w:cs="Times New Roman"/>
                <w:b/>
                <w:bCs/>
                <w:color w:val="000000" w:themeColor="text1"/>
              </w:rPr>
              <w:t>: Length of Service distribution of the respondents</w:t>
            </w:r>
          </w:p>
        </w:tc>
      </w:tr>
      <w:tr w:rsidR="00337E61">
        <w:trPr>
          <w:trHeight w:val="560"/>
        </w:trPr>
        <w:tc>
          <w:tcPr>
            <w:tcW w:w="2070" w:type="dxa"/>
            <w:gridSpan w:val="2"/>
            <w:tcBorders>
              <w:top w:val="single" w:sz="12" w:space="0" w:color="000000"/>
              <w:left w:val="single" w:sz="12" w:space="0" w:color="000000"/>
              <w:bottom w:val="single" w:sz="12" w:space="0" w:color="000000"/>
              <w:right w:val="single" w:sz="12"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b/>
                <w:bCs/>
                <w:color w:val="000000" w:themeColor="text1"/>
              </w:rPr>
              <w:t>Length of Service</w:t>
            </w:r>
          </w:p>
        </w:tc>
        <w:tc>
          <w:tcPr>
            <w:tcW w:w="1440" w:type="dxa"/>
            <w:tcBorders>
              <w:top w:val="single" w:sz="12" w:space="0" w:color="000000"/>
              <w:left w:val="nil"/>
              <w:bottom w:val="single" w:sz="12" w:space="0" w:color="000000"/>
              <w:right w:val="single" w:sz="4"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Frequency</w:t>
            </w:r>
          </w:p>
        </w:tc>
        <w:tc>
          <w:tcPr>
            <w:tcW w:w="2340" w:type="dxa"/>
            <w:tcBorders>
              <w:top w:val="single" w:sz="12" w:space="0" w:color="000000"/>
              <w:left w:val="nil"/>
              <w:bottom w:val="single" w:sz="12" w:space="0" w:color="000000"/>
              <w:right w:val="single" w:sz="4"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Percent</w:t>
            </w:r>
          </w:p>
        </w:tc>
        <w:tc>
          <w:tcPr>
            <w:tcW w:w="1800" w:type="dxa"/>
            <w:tcBorders>
              <w:top w:val="single" w:sz="12" w:space="0" w:color="000000"/>
              <w:left w:val="nil"/>
              <w:bottom w:val="single" w:sz="12" w:space="0" w:color="000000"/>
              <w:right w:val="single" w:sz="4"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Valid Percent</w:t>
            </w:r>
          </w:p>
        </w:tc>
        <w:tc>
          <w:tcPr>
            <w:tcW w:w="1457" w:type="dxa"/>
            <w:tcBorders>
              <w:top w:val="single" w:sz="12" w:space="0" w:color="000000"/>
              <w:left w:val="nil"/>
              <w:bottom w:val="single" w:sz="12" w:space="0" w:color="000000"/>
              <w:right w:val="single" w:sz="12" w:space="0" w:color="000000"/>
            </w:tcBorders>
            <w:vAlign w:val="bottom"/>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Cumulative Percent</w:t>
            </w:r>
          </w:p>
        </w:tc>
      </w:tr>
      <w:tr w:rsidR="00337E61">
        <w:trPr>
          <w:trHeight w:val="300"/>
        </w:trPr>
        <w:tc>
          <w:tcPr>
            <w:tcW w:w="1220" w:type="dxa"/>
            <w:vMerge w:val="restart"/>
            <w:tcBorders>
              <w:top w:val="nil"/>
              <w:left w:val="single" w:sz="12" w:space="0" w:color="000000"/>
              <w:bottom w:val="single" w:sz="12" w:space="0" w:color="000000"/>
              <w:right w:val="nil"/>
            </w:tcBorders>
          </w:tcPr>
          <w:p w:rsidR="00337E61" w:rsidRDefault="00337E61">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0-5</w:t>
            </w:r>
          </w:p>
        </w:tc>
        <w:tc>
          <w:tcPr>
            <w:tcW w:w="14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w:t>
            </w:r>
          </w:p>
        </w:tc>
        <w:tc>
          <w:tcPr>
            <w:tcW w:w="23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28.0</w:t>
            </w:r>
          </w:p>
        </w:tc>
        <w:tc>
          <w:tcPr>
            <w:tcW w:w="180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28.0</w:t>
            </w:r>
          </w:p>
        </w:tc>
        <w:tc>
          <w:tcPr>
            <w:tcW w:w="1457"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28.0</w:t>
            </w:r>
          </w:p>
        </w:tc>
      </w:tr>
      <w:tr w:rsidR="00337E61">
        <w:trPr>
          <w:trHeight w:val="300"/>
        </w:trPr>
        <w:tc>
          <w:tcPr>
            <w:tcW w:w="1220"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rsidR="00337E61" w:rsidRDefault="00B825A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6-10</w:t>
            </w:r>
          </w:p>
        </w:tc>
        <w:tc>
          <w:tcPr>
            <w:tcW w:w="14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87</w:t>
            </w:r>
          </w:p>
        </w:tc>
        <w:tc>
          <w:tcPr>
            <w:tcW w:w="23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42.0</w:t>
            </w:r>
          </w:p>
        </w:tc>
        <w:tc>
          <w:tcPr>
            <w:tcW w:w="180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42.0</w:t>
            </w:r>
          </w:p>
        </w:tc>
        <w:tc>
          <w:tcPr>
            <w:tcW w:w="1457"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70.0</w:t>
            </w:r>
          </w:p>
        </w:tc>
      </w:tr>
      <w:tr w:rsidR="00337E61">
        <w:trPr>
          <w:trHeight w:val="300"/>
        </w:trPr>
        <w:tc>
          <w:tcPr>
            <w:tcW w:w="1220"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rsidR="00337E61" w:rsidRDefault="00B825A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11-15</w:t>
            </w:r>
          </w:p>
        </w:tc>
        <w:tc>
          <w:tcPr>
            <w:tcW w:w="14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47</w:t>
            </w:r>
          </w:p>
        </w:tc>
        <w:tc>
          <w:tcPr>
            <w:tcW w:w="23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22.7</w:t>
            </w:r>
          </w:p>
        </w:tc>
        <w:tc>
          <w:tcPr>
            <w:tcW w:w="180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22.7</w:t>
            </w:r>
          </w:p>
        </w:tc>
        <w:tc>
          <w:tcPr>
            <w:tcW w:w="1457"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92.8</w:t>
            </w:r>
          </w:p>
        </w:tc>
      </w:tr>
      <w:tr w:rsidR="00337E61">
        <w:trPr>
          <w:trHeight w:val="300"/>
        </w:trPr>
        <w:tc>
          <w:tcPr>
            <w:tcW w:w="1220"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rsidR="00337E61" w:rsidRDefault="00B825A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16-20</w:t>
            </w:r>
          </w:p>
        </w:tc>
        <w:tc>
          <w:tcPr>
            <w:tcW w:w="14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w:t>
            </w:r>
          </w:p>
        </w:tc>
        <w:tc>
          <w:tcPr>
            <w:tcW w:w="23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w:t>
            </w:r>
          </w:p>
        </w:tc>
        <w:tc>
          <w:tcPr>
            <w:tcW w:w="180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w:t>
            </w:r>
          </w:p>
        </w:tc>
        <w:tc>
          <w:tcPr>
            <w:tcW w:w="1457"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98.6</w:t>
            </w:r>
          </w:p>
        </w:tc>
      </w:tr>
      <w:tr w:rsidR="00337E61">
        <w:trPr>
          <w:trHeight w:val="300"/>
        </w:trPr>
        <w:tc>
          <w:tcPr>
            <w:tcW w:w="1220"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rsidR="00337E61" w:rsidRDefault="00B825A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21-25</w:t>
            </w:r>
          </w:p>
        </w:tc>
        <w:tc>
          <w:tcPr>
            <w:tcW w:w="14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3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80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w:t>
            </w:r>
          </w:p>
        </w:tc>
        <w:tc>
          <w:tcPr>
            <w:tcW w:w="1457"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99.0</w:t>
            </w:r>
          </w:p>
        </w:tc>
      </w:tr>
      <w:tr w:rsidR="00337E61">
        <w:trPr>
          <w:trHeight w:val="300"/>
        </w:trPr>
        <w:tc>
          <w:tcPr>
            <w:tcW w:w="1220"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850" w:type="dxa"/>
            <w:tcBorders>
              <w:top w:val="nil"/>
              <w:left w:val="nil"/>
              <w:bottom w:val="nil"/>
              <w:right w:val="single" w:sz="12" w:space="0" w:color="000000"/>
            </w:tcBorders>
          </w:tcPr>
          <w:p w:rsidR="00337E61" w:rsidRDefault="00B825A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26-30</w:t>
            </w:r>
          </w:p>
        </w:tc>
        <w:tc>
          <w:tcPr>
            <w:tcW w:w="14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234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p>
        </w:tc>
        <w:tc>
          <w:tcPr>
            <w:tcW w:w="1800" w:type="dxa"/>
            <w:tcBorders>
              <w:top w:val="nil"/>
              <w:left w:val="nil"/>
              <w:bottom w:val="nil"/>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p>
        </w:tc>
        <w:tc>
          <w:tcPr>
            <w:tcW w:w="1457" w:type="dxa"/>
            <w:tcBorders>
              <w:top w:val="nil"/>
              <w:left w:val="nil"/>
              <w:bottom w:val="nil"/>
              <w:right w:val="single" w:sz="12"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r>
      <w:tr w:rsidR="00337E61">
        <w:trPr>
          <w:trHeight w:val="528"/>
        </w:trPr>
        <w:tc>
          <w:tcPr>
            <w:tcW w:w="1220" w:type="dxa"/>
            <w:vMerge/>
            <w:tcBorders>
              <w:top w:val="nil"/>
              <w:left w:val="single" w:sz="12" w:space="0" w:color="000000"/>
              <w:bottom w:val="single" w:sz="12" w:space="0" w:color="000000"/>
              <w:right w:val="nil"/>
            </w:tcBorders>
            <w:vAlign w:val="center"/>
          </w:tcPr>
          <w:p w:rsidR="00337E61" w:rsidRDefault="00337E61">
            <w:pPr>
              <w:spacing w:after="0" w:line="240" w:lineRule="auto"/>
              <w:rPr>
                <w:rFonts w:ascii="Times New Roman" w:eastAsia="Times New Roman" w:hAnsi="Times New Roman" w:cs="Times New Roman"/>
                <w:color w:val="000000" w:themeColor="text1"/>
              </w:rPr>
            </w:pPr>
          </w:p>
        </w:tc>
        <w:tc>
          <w:tcPr>
            <w:tcW w:w="850" w:type="dxa"/>
            <w:tcBorders>
              <w:top w:val="nil"/>
              <w:left w:val="nil"/>
              <w:bottom w:val="single" w:sz="12" w:space="0" w:color="000000"/>
              <w:right w:val="single" w:sz="12" w:space="0" w:color="000000"/>
            </w:tcBorders>
          </w:tcPr>
          <w:p w:rsidR="00337E61" w:rsidRDefault="00B825A8">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w:t>
            </w:r>
          </w:p>
        </w:tc>
        <w:tc>
          <w:tcPr>
            <w:tcW w:w="1440" w:type="dxa"/>
            <w:tcBorders>
              <w:top w:val="nil"/>
              <w:left w:val="nil"/>
              <w:bottom w:val="single" w:sz="12" w:space="0" w:color="000000"/>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207</w:t>
            </w:r>
          </w:p>
        </w:tc>
        <w:tc>
          <w:tcPr>
            <w:tcW w:w="2340" w:type="dxa"/>
            <w:tcBorders>
              <w:top w:val="nil"/>
              <w:left w:val="nil"/>
              <w:bottom w:val="single" w:sz="12" w:space="0" w:color="000000"/>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800" w:type="dxa"/>
            <w:tcBorders>
              <w:top w:val="nil"/>
              <w:left w:val="nil"/>
              <w:bottom w:val="single" w:sz="12" w:space="0" w:color="000000"/>
              <w:right w:val="single" w:sz="4" w:space="0" w:color="000000"/>
            </w:tcBorders>
            <w:noWrap/>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100.0</w:t>
            </w:r>
          </w:p>
        </w:tc>
        <w:tc>
          <w:tcPr>
            <w:tcW w:w="1457" w:type="dxa"/>
            <w:tcBorders>
              <w:top w:val="nil"/>
              <w:left w:val="nil"/>
              <w:bottom w:val="single" w:sz="12" w:space="0" w:color="000000"/>
              <w:right w:val="single" w:sz="12" w:space="0" w:color="000000"/>
            </w:tcBorders>
            <w:vAlign w:val="center"/>
          </w:tcPr>
          <w:p w:rsidR="00337E61" w:rsidRDefault="00B825A8">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p>
        </w:tc>
      </w:tr>
    </w:tbl>
    <w:p w:rsidR="00337E61" w:rsidRDefault="00B825A8">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color w:val="000000" w:themeColor="text1"/>
        </w:rPr>
        <w:t>Source: Field Survey (2025)</w:t>
      </w:r>
    </w:p>
    <w:p w:rsidR="00337E61" w:rsidRDefault="00B825A8">
      <w:pPr>
        <w:spacing w:after="0" w:line="24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br w:type="page"/>
      </w:r>
    </w:p>
    <w:p w:rsidR="00337E61" w:rsidRDefault="00B825A8">
      <w:pPr>
        <w:spacing w:beforeLines="60" w:before="144" w:afterLines="60" w:after="144" w:line="480" w:lineRule="auto"/>
        <w:jc w:val="both"/>
        <w:rPr>
          <w:rFonts w:ascii="Times New Roman" w:hAnsi="Times New Roman" w:cs="Times New Roman"/>
          <w:color w:val="000000" w:themeColor="text1"/>
        </w:rPr>
      </w:pPr>
      <w:r>
        <w:rPr>
          <w:rFonts w:ascii="Times New Roman" w:eastAsia="Times New Roman" w:hAnsi="Times New Roman" w:cs="Times New Roman"/>
          <w:b/>
          <w:bCs/>
          <w:color w:val="000000" w:themeColor="text1"/>
        </w:rPr>
        <w:lastRenderedPageBreak/>
        <w:t>Figure 3: Length of Service distribution of the respondents</w:t>
      </w:r>
    </w:p>
    <w:p w:rsidR="00337E61" w:rsidRDefault="00B825A8">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extent cx="5943600" cy="27489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43600" cy="2749526"/>
                    </a:xfrm>
                    <a:prstGeom prst="rect">
                      <a:avLst/>
                    </a:prstGeom>
                    <a:noFill/>
                    <a:ln>
                      <a:noFill/>
                    </a:ln>
                  </pic:spPr>
                </pic:pic>
              </a:graphicData>
            </a:graphic>
          </wp:inline>
        </w:drawing>
      </w:r>
    </w:p>
    <w:p w:rsidR="00337E61" w:rsidRDefault="00B825A8">
      <w:pPr>
        <w:spacing w:beforeLines="60" w:before="144" w:afterLines="60" w:after="144"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lang w:val="en-GB"/>
        </w:rPr>
        <w:t>Fig. 4: Length of service of respondents</w:t>
      </w:r>
      <w:r>
        <w:rPr>
          <w:rFonts w:ascii="Times New Roman" w:hAnsi="Times New Roman" w:cs="Times New Roman"/>
          <w:color w:val="000000" w:themeColor="text1"/>
        </w:rPr>
        <w:br/>
      </w:r>
      <w:bookmarkStart w:id="0" w:name="_Hlk119413231"/>
      <w:r>
        <w:rPr>
          <w:rFonts w:ascii="Times New Roman" w:hAnsi="Times New Roman" w:cs="Times New Roman"/>
          <w:color w:val="000000" w:themeColor="text1"/>
        </w:rPr>
        <w:t xml:space="preserve">According to Table </w:t>
      </w:r>
      <w:r>
        <w:rPr>
          <w:rFonts w:ascii="Times New Roman" w:hAnsi="Times New Roman" w:cs="Times New Roman"/>
          <w:color w:val="000000" w:themeColor="text1"/>
          <w:lang w:val="en-GB"/>
        </w:rPr>
        <w:t>4</w:t>
      </w:r>
      <w:r>
        <w:rPr>
          <w:rFonts w:ascii="Times New Roman" w:hAnsi="Times New Roman" w:cs="Times New Roman"/>
          <w:color w:val="000000" w:themeColor="text1"/>
        </w:rPr>
        <w:t xml:space="preserve"> and Figure</w:t>
      </w:r>
      <w:r>
        <w:rPr>
          <w:rFonts w:ascii="Times New Roman" w:hAnsi="Times New Roman" w:cs="Times New Roman"/>
          <w:color w:val="000000" w:themeColor="text1"/>
          <w:lang w:val="en-GB"/>
        </w:rPr>
        <w:t xml:space="preserve"> 4</w:t>
      </w:r>
      <w:r>
        <w:rPr>
          <w:rFonts w:ascii="Times New Roman" w:hAnsi="Times New Roman" w:cs="Times New Roman"/>
          <w:color w:val="000000" w:themeColor="text1"/>
        </w:rPr>
        <w:t>, 42% of respondents had 6–10 years of experience, 28% had 0–5 years, and 22.7% had 11–15 years of service. The remaining 7.3% had over 15 years of experience. This indicates that a significant proportion of respondents possess substantial tenure, implying familiarity with the organization’s brand development and market strategies.</w:t>
      </w:r>
      <w:r>
        <w:rPr>
          <w:rFonts w:ascii="Times New Roman" w:hAnsi="Times New Roman" w:cs="Times New Roman"/>
          <w:color w:val="000000" w:themeColor="text1"/>
        </w:rPr>
        <w:br/>
        <w:t>Overall, the demographic spread confirms that the respondents were well-qualified, experienced, and suitably positioned to provide valid and reliable insights into International Brewery Plc’s brand differentiation and competitive strategies.</w:t>
      </w:r>
    </w:p>
    <w:p w:rsidR="00337E61" w:rsidRDefault="00B825A8">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demographic spread confirms that the respondents were well-qualified, experienced, and suitably positioned to provide valid and reliable insights into the strategic role of brand differentiation in achieving competitive advantage at International Brewery Plc. The combination of a balanced representation between junior and senior staff, coupled with the high educational qualifications and considerable years of service of respondents, suggests that they possess deep organizational knowledge and an informed understanding of the company’s brand management practices. This mix of operational and managerial perspectives enhances the credibility of the data, </w:t>
      </w:r>
      <w:r>
        <w:rPr>
          <w:rFonts w:ascii="Times New Roman" w:hAnsi="Times New Roman" w:cs="Times New Roman"/>
          <w:color w:val="000000" w:themeColor="text1"/>
        </w:rPr>
        <w:lastRenderedPageBreak/>
        <w:t>as employees at different hierarchical levels experience firsthand the implementation and outcomes of the brewery’s differentiation and competitive strategies. Consequently, their responses provide a comprehensive view of how International Brewery Plc leverages brand uniqueness, innovation, and positioning tactics to strengthen its competitive standing within the Nigerian brewery industry.</w:t>
      </w:r>
      <w:bookmarkEnd w:id="0"/>
    </w:p>
    <w:p w:rsidR="00337E61" w:rsidRDefault="00B825A8">
      <w:pPr>
        <w:spacing w:beforeLines="60" w:before="144" w:afterLines="60" w:after="144"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3.2 Analysis of Research Question 1: Brand Differentiation and Competitive Advantage</w:t>
      </w:r>
    </w:p>
    <w:p w:rsidR="00337E61" w:rsidRDefault="00B825A8">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Table </w:t>
      </w:r>
      <w:r>
        <w:rPr>
          <w:rFonts w:ascii="Times New Roman" w:hAnsi="Times New Roman" w:cs="Times New Roman"/>
          <w:b/>
          <w:bCs/>
          <w:color w:val="000000" w:themeColor="text1"/>
          <w:lang w:val="en-GB"/>
        </w:rPr>
        <w:t>5</w:t>
      </w:r>
      <w:r>
        <w:rPr>
          <w:rFonts w:ascii="Times New Roman" w:hAnsi="Times New Roman" w:cs="Times New Roman"/>
          <w:b/>
          <w:bCs/>
          <w:color w:val="000000" w:themeColor="text1"/>
        </w:rPr>
        <w:t>: Employees’ Perceptions of Brand Differentiation Strategies</w:t>
      </w:r>
    </w:p>
    <w:tbl>
      <w:tblPr>
        <w:tblW w:w="10170" w:type="dxa"/>
        <w:tblInd w:w="-460" w:type="dxa"/>
        <w:tblLook w:val="04A0" w:firstRow="1" w:lastRow="0" w:firstColumn="1" w:lastColumn="0" w:noHBand="0" w:noVBand="1"/>
      </w:tblPr>
      <w:tblGrid>
        <w:gridCol w:w="3870"/>
        <w:gridCol w:w="1260"/>
        <w:gridCol w:w="1260"/>
        <w:gridCol w:w="1410"/>
        <w:gridCol w:w="1200"/>
        <w:gridCol w:w="1170"/>
      </w:tblGrid>
      <w:tr w:rsidR="00337E61">
        <w:trPr>
          <w:trHeight w:val="300"/>
        </w:trPr>
        <w:tc>
          <w:tcPr>
            <w:tcW w:w="3870" w:type="dxa"/>
            <w:tcBorders>
              <w:top w:val="single" w:sz="8" w:space="0" w:color="auto"/>
              <w:left w:val="single" w:sz="8" w:space="0" w:color="auto"/>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Statement</w:t>
            </w:r>
          </w:p>
        </w:tc>
        <w:tc>
          <w:tcPr>
            <w:tcW w:w="126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SD</w:t>
            </w:r>
          </w:p>
        </w:tc>
        <w:tc>
          <w:tcPr>
            <w:tcW w:w="126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D</w:t>
            </w:r>
          </w:p>
        </w:tc>
        <w:tc>
          <w:tcPr>
            <w:tcW w:w="141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UD</w:t>
            </w:r>
          </w:p>
        </w:tc>
        <w:tc>
          <w:tcPr>
            <w:tcW w:w="120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A</w:t>
            </w:r>
          </w:p>
        </w:tc>
        <w:tc>
          <w:tcPr>
            <w:tcW w:w="1170" w:type="dxa"/>
            <w:tcBorders>
              <w:top w:val="single" w:sz="8" w:space="0" w:color="auto"/>
              <w:left w:val="nil"/>
              <w:bottom w:val="single" w:sz="8" w:space="0" w:color="auto"/>
              <w:right w:val="single" w:sz="8" w:space="0" w:color="auto"/>
            </w:tcBorders>
            <w:vAlign w:val="center"/>
          </w:tcPr>
          <w:p w:rsidR="00337E61" w:rsidRDefault="00B825A8">
            <w:pPr>
              <w:spacing w:after="0" w:line="240" w:lineRule="auto"/>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SA</w:t>
            </w:r>
          </w:p>
        </w:tc>
      </w:tr>
      <w:tr w:rsidR="00337E61">
        <w:trPr>
          <w:trHeight w:val="870"/>
        </w:trPr>
        <w:tc>
          <w:tcPr>
            <w:tcW w:w="387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is continually committed to adding value to its numerous brands</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(0.01)</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41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33 (0.16)</w:t>
            </w:r>
          </w:p>
        </w:tc>
        <w:tc>
          <w:tcPr>
            <w:tcW w:w="120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50 (0.24)</w:t>
            </w:r>
          </w:p>
        </w:tc>
        <w:tc>
          <w:tcPr>
            <w:tcW w:w="117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116 (0.56)</w:t>
            </w:r>
          </w:p>
        </w:tc>
      </w:tr>
      <w:tr w:rsidR="00337E61">
        <w:trPr>
          <w:trHeight w:val="870"/>
        </w:trPr>
        <w:tc>
          <w:tcPr>
            <w:tcW w:w="387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builds strong brand recognition known for quality and value for money</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 (0.024)</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41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 (0.17)</w:t>
            </w:r>
          </w:p>
        </w:tc>
        <w:tc>
          <w:tcPr>
            <w:tcW w:w="120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90 (0.43)</w:t>
            </w:r>
          </w:p>
        </w:tc>
        <w:tc>
          <w:tcPr>
            <w:tcW w:w="117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71 (0.34)</w:t>
            </w:r>
          </w:p>
        </w:tc>
      </w:tr>
      <w:tr w:rsidR="00337E61">
        <w:trPr>
          <w:trHeight w:val="870"/>
        </w:trPr>
        <w:tc>
          <w:tcPr>
            <w:tcW w:w="387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is committed to strong brand equity reflecting brand image</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 (0.02)</w:t>
            </w:r>
          </w:p>
        </w:tc>
        <w:tc>
          <w:tcPr>
            <w:tcW w:w="141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 (0.12)</w:t>
            </w:r>
          </w:p>
        </w:tc>
        <w:tc>
          <w:tcPr>
            <w:tcW w:w="120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75 (0.33)</w:t>
            </w:r>
          </w:p>
        </w:tc>
        <w:tc>
          <w:tcPr>
            <w:tcW w:w="117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 (0.37)</w:t>
            </w:r>
          </w:p>
        </w:tc>
      </w:tr>
      <w:tr w:rsidR="00337E61">
        <w:trPr>
          <w:trHeight w:val="580"/>
        </w:trPr>
        <w:tc>
          <w:tcPr>
            <w:tcW w:w="387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is known for its uniqueness</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 (0.024)</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 (0.028)</w:t>
            </w:r>
          </w:p>
        </w:tc>
        <w:tc>
          <w:tcPr>
            <w:tcW w:w="141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50 (0.24)</w:t>
            </w:r>
          </w:p>
        </w:tc>
        <w:tc>
          <w:tcPr>
            <w:tcW w:w="120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62 (0.30)</w:t>
            </w:r>
          </w:p>
        </w:tc>
        <w:tc>
          <w:tcPr>
            <w:tcW w:w="117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84 (0.41)</w:t>
            </w:r>
          </w:p>
        </w:tc>
      </w:tr>
      <w:tr w:rsidR="00337E61">
        <w:trPr>
          <w:trHeight w:val="870"/>
        </w:trPr>
        <w:tc>
          <w:tcPr>
            <w:tcW w:w="387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company’s brand image is high due to strong brand recognition</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jc w:val="right"/>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15 (0.11)</w:t>
            </w:r>
          </w:p>
        </w:tc>
        <w:tc>
          <w:tcPr>
            <w:tcW w:w="141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45 (0.18)</w:t>
            </w:r>
          </w:p>
        </w:tc>
        <w:tc>
          <w:tcPr>
            <w:tcW w:w="120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77 (0.29)</w:t>
            </w:r>
          </w:p>
        </w:tc>
        <w:tc>
          <w:tcPr>
            <w:tcW w:w="117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70 (0.35)</w:t>
            </w:r>
          </w:p>
        </w:tc>
      </w:tr>
      <w:tr w:rsidR="00337E61">
        <w:trPr>
          <w:trHeight w:val="870"/>
        </w:trPr>
        <w:tc>
          <w:tcPr>
            <w:tcW w:w="387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company’s image is perceived higher than rival brands</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 (0.02)</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5 (0.03)</w:t>
            </w:r>
          </w:p>
        </w:tc>
        <w:tc>
          <w:tcPr>
            <w:tcW w:w="141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47 (0.23)</w:t>
            </w:r>
          </w:p>
        </w:tc>
        <w:tc>
          <w:tcPr>
            <w:tcW w:w="120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76 (0.37)</w:t>
            </w:r>
          </w:p>
        </w:tc>
        <w:tc>
          <w:tcPr>
            <w:tcW w:w="117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75 (0.36)</w:t>
            </w:r>
          </w:p>
        </w:tc>
      </w:tr>
      <w:tr w:rsidR="00337E61">
        <w:trPr>
          <w:trHeight w:val="870"/>
        </w:trPr>
        <w:tc>
          <w:tcPr>
            <w:tcW w:w="387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The company regularly reviews feedback about brand performance</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2 (0.01)</w:t>
            </w:r>
          </w:p>
        </w:tc>
        <w:tc>
          <w:tcPr>
            <w:tcW w:w="126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 (0.03)</w:t>
            </w:r>
          </w:p>
        </w:tc>
        <w:tc>
          <w:tcPr>
            <w:tcW w:w="141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39 (0.19)</w:t>
            </w:r>
          </w:p>
        </w:tc>
        <w:tc>
          <w:tcPr>
            <w:tcW w:w="120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91 (0.44)</w:t>
            </w:r>
          </w:p>
        </w:tc>
        <w:tc>
          <w:tcPr>
            <w:tcW w:w="117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68 (0.33)</w:t>
            </w:r>
          </w:p>
        </w:tc>
      </w:tr>
      <w:tr w:rsidR="00337E61">
        <w:trPr>
          <w:trHeight w:val="590"/>
        </w:trPr>
        <w:tc>
          <w:tcPr>
            <w:tcW w:w="3870" w:type="dxa"/>
            <w:tcBorders>
              <w:top w:val="nil"/>
              <w:left w:val="single" w:sz="8" w:space="0" w:color="auto"/>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Feedback about brand performance satisfies employees</w:t>
            </w:r>
          </w:p>
        </w:tc>
        <w:tc>
          <w:tcPr>
            <w:tcW w:w="1260" w:type="dxa"/>
            <w:tcBorders>
              <w:top w:val="nil"/>
              <w:left w:val="nil"/>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17 (0.08)</w:t>
            </w:r>
          </w:p>
        </w:tc>
        <w:tc>
          <w:tcPr>
            <w:tcW w:w="1260" w:type="dxa"/>
            <w:tcBorders>
              <w:top w:val="nil"/>
              <w:left w:val="nil"/>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12 (0.06)</w:t>
            </w:r>
          </w:p>
        </w:tc>
        <w:tc>
          <w:tcPr>
            <w:tcW w:w="1410" w:type="dxa"/>
            <w:tcBorders>
              <w:top w:val="nil"/>
              <w:left w:val="nil"/>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35 (0.17)</w:t>
            </w:r>
          </w:p>
        </w:tc>
        <w:tc>
          <w:tcPr>
            <w:tcW w:w="1200" w:type="dxa"/>
            <w:tcBorders>
              <w:top w:val="nil"/>
              <w:left w:val="nil"/>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89 (0.43)</w:t>
            </w:r>
          </w:p>
        </w:tc>
        <w:tc>
          <w:tcPr>
            <w:tcW w:w="1170" w:type="dxa"/>
            <w:tcBorders>
              <w:top w:val="nil"/>
              <w:left w:val="nil"/>
              <w:bottom w:val="single" w:sz="8"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73 (0.35)</w:t>
            </w:r>
          </w:p>
        </w:tc>
      </w:tr>
    </w:tbl>
    <w:p w:rsidR="00337E61" w:rsidRDefault="00337E61">
      <w:pPr>
        <w:rPr>
          <w:rFonts w:ascii="Times New Roman" w:hAnsi="Times New Roman" w:cs="Times New Roman"/>
          <w:b/>
          <w:bCs/>
        </w:rPr>
      </w:pPr>
    </w:p>
    <w:p w:rsidR="00337E61" w:rsidRDefault="00B825A8">
      <w:pPr>
        <w:rPr>
          <w:rFonts w:ascii="Times New Roman" w:hAnsi="Times New Roman" w:cs="Times New Roman"/>
        </w:rPr>
      </w:pPr>
      <w:r>
        <w:rPr>
          <w:rFonts w:ascii="Times New Roman" w:hAnsi="Times New Roman" w:cs="Times New Roman"/>
        </w:rPr>
        <w:t>Source: Field Survey (2025)</w:t>
      </w:r>
    </w:p>
    <w:p w:rsidR="00337E61" w:rsidRDefault="00B825A8">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Figure </w:t>
      </w:r>
      <w:r>
        <w:rPr>
          <w:rFonts w:ascii="Times New Roman" w:hAnsi="Times New Roman" w:cs="Times New Roman"/>
          <w:b/>
          <w:bCs/>
          <w:color w:val="000000" w:themeColor="text1"/>
          <w:lang w:val="en-GB"/>
        </w:rPr>
        <w:t>5</w:t>
      </w:r>
      <w:r>
        <w:rPr>
          <w:rFonts w:ascii="Times New Roman" w:hAnsi="Times New Roman" w:cs="Times New Roman"/>
          <w:b/>
          <w:bCs/>
          <w:color w:val="000000" w:themeColor="text1"/>
        </w:rPr>
        <w:t>: Employees’ Perceptions of Brand Differentiation Strategies</w:t>
      </w:r>
    </w:p>
    <w:p w:rsidR="00337E61" w:rsidRDefault="00B825A8">
      <w:pPr>
        <w:rPr>
          <w:rFonts w:ascii="Times New Roman" w:hAnsi="Times New Roman" w:cs="Times New Roman"/>
          <w14:ligatures w14:val="none"/>
        </w:rPr>
      </w:pPr>
      <w:r>
        <w:rPr>
          <w:rFonts w:ascii="Times New Roman" w:hAnsi="Times New Roman" w:cs="Times New Roman"/>
          <w:noProof/>
          <w14:ligatures w14:val="none"/>
        </w:rPr>
        <w:lastRenderedPageBreak/>
        <w:drawing>
          <wp:inline distT="0" distB="0" distL="0" distR="0">
            <wp:extent cx="5943600" cy="1828800"/>
            <wp:effectExtent l="0" t="0" r="0" b="0"/>
            <wp:docPr id="2072710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10423" name="Picture 1"/>
                    <pic:cNvPicPr>
                      <a:picLocks noChangeAspect="1"/>
                    </pic:cNvPicPr>
                  </pic:nvPicPr>
                  <pic:blipFill>
                    <a:blip r:embed="rId12"/>
                    <a:stretch>
                      <a:fillRect/>
                    </a:stretch>
                  </pic:blipFill>
                  <pic:spPr>
                    <a:xfrm>
                      <a:off x="0" y="0"/>
                      <a:ext cx="5943600" cy="1828800"/>
                    </a:xfrm>
                    <a:prstGeom prst="rect">
                      <a:avLst/>
                    </a:prstGeom>
                  </pic:spPr>
                </pic:pic>
              </a:graphicData>
            </a:graphic>
          </wp:inline>
        </w:drawing>
      </w:r>
    </w:p>
    <w:p w:rsidR="00337E61" w:rsidRDefault="00B825A8">
      <w:pPr>
        <w:rPr>
          <w:rFonts w:ascii="Times New Roman" w:hAnsi="Times New Roman" w:cs="Times New Roman"/>
          <w:lang w:val="en-GB"/>
          <w14:ligatures w14:val="none"/>
        </w:rPr>
      </w:pPr>
      <w:r>
        <w:rPr>
          <w:rFonts w:ascii="Times New Roman" w:hAnsi="Times New Roman" w:cs="Times New Roman"/>
          <w:lang w:val="en-GB"/>
          <w14:ligatures w14:val="none"/>
        </w:rPr>
        <w:tab/>
        <w:t>Fig. 5: Employer’s perception of Brand differentiation</w:t>
      </w:r>
    </w:p>
    <w:p w:rsidR="00337E61" w:rsidRDefault="00B825A8">
      <w:pP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lang w:val="en-GB"/>
        </w:rPr>
        <w:t>5</w:t>
      </w:r>
      <w:r>
        <w:rPr>
          <w:rFonts w:ascii="Times New Roman" w:hAnsi="Times New Roman" w:cs="Times New Roman"/>
        </w:rPr>
        <w:t xml:space="preserve"> and Figure </w:t>
      </w:r>
      <w:r>
        <w:rPr>
          <w:rFonts w:ascii="Times New Roman" w:hAnsi="Times New Roman" w:cs="Times New Roman"/>
          <w:lang w:val="en-GB"/>
        </w:rPr>
        <w:t>5</w:t>
      </w:r>
      <w:r>
        <w:rPr>
          <w:rFonts w:ascii="Times New Roman" w:hAnsi="Times New Roman" w:cs="Times New Roman"/>
        </w:rPr>
        <w:t>, the majority of respondents strongly agreed that International Brewery Plc is committed to brand value creation (80%), strong brand recognition (77%), and uniqueness in brand equity (70%+). These findings underscore that brand differentiation is a central strategic focus for the organization and a key factor enhancing its market distinctiveness and competitive positioning.</w:t>
      </w:r>
    </w:p>
    <w:p w:rsidR="00337E61" w:rsidRDefault="00B825A8">
      <w:pPr>
        <w:jc w:val="both"/>
        <w:rPr>
          <w:rFonts w:ascii="Times New Roman" w:hAnsi="Times New Roman" w:cs="Times New Roman"/>
          <w:b/>
          <w:bCs/>
        </w:rPr>
      </w:pPr>
      <w:r>
        <w:rPr>
          <w:rFonts w:ascii="Times New Roman" w:hAnsi="Times New Roman" w:cs="Times New Roman"/>
          <w:b/>
          <w:bCs/>
        </w:rPr>
        <w:t>3.3 Analysis of Research Question 2: Brand Positioning and Competitive Advantage</w:t>
      </w:r>
    </w:p>
    <w:p w:rsidR="00337E61" w:rsidRDefault="00B825A8">
      <w:pPr>
        <w:jc w:val="both"/>
        <w:rPr>
          <w:rFonts w:ascii="Times New Roman" w:hAnsi="Times New Roman" w:cs="Times New Roman"/>
        </w:rPr>
      </w:pPr>
      <w:r>
        <w:rPr>
          <w:rFonts w:ascii="Times New Roman" w:hAnsi="Times New Roman" w:cs="Times New Roman"/>
        </w:rPr>
        <w:t>Findings from related survey items revealed that</w:t>
      </w:r>
      <w:r>
        <w:rPr>
          <w:rFonts w:ascii="Times New Roman" w:hAnsi="Times New Roman" w:cs="Times New Roman"/>
          <w:lang w:val="en-GB"/>
        </w:rPr>
        <w:t xml:space="preserve"> </w:t>
      </w:r>
      <w:r>
        <w:rPr>
          <w:rFonts w:ascii="Times New Roman" w:hAnsi="Times New Roman" w:cs="Times New Roman"/>
        </w:rPr>
        <w:t>72% of respondents agreed that customer needs and lifestyle shifts are incorporated into branding decisions</w:t>
      </w:r>
      <w:r>
        <w:rPr>
          <w:rFonts w:ascii="Times New Roman" w:hAnsi="Times New Roman" w:cs="Times New Roman"/>
          <w:lang w:val="en-GB"/>
        </w:rPr>
        <w:t xml:space="preserve"> and </w:t>
      </w:r>
      <w:r>
        <w:rPr>
          <w:rFonts w:ascii="Times New Roman" w:hAnsi="Times New Roman" w:cs="Times New Roman"/>
        </w:rPr>
        <w:t>68% confirmed that feedback informs promotional strategies.</w:t>
      </w:r>
      <w:r>
        <w:rPr>
          <w:rFonts w:ascii="Times New Roman" w:hAnsi="Times New Roman" w:cs="Times New Roman"/>
          <w:lang w:val="en-GB"/>
        </w:rPr>
        <w:t xml:space="preserve"> Also, o</w:t>
      </w:r>
      <w:proofErr w:type="spellStart"/>
      <w:r>
        <w:rPr>
          <w:rFonts w:ascii="Times New Roman" w:hAnsi="Times New Roman" w:cs="Times New Roman"/>
        </w:rPr>
        <w:t>ver</w:t>
      </w:r>
      <w:proofErr w:type="spellEnd"/>
      <w:r>
        <w:rPr>
          <w:rFonts w:ascii="Times New Roman" w:hAnsi="Times New Roman" w:cs="Times New Roman"/>
        </w:rPr>
        <w:t xml:space="preserve"> 70% agreed that brand positioning efforts enhance sales performance and market share.</w:t>
      </w:r>
      <w:r>
        <w:rPr>
          <w:rFonts w:ascii="Times New Roman" w:hAnsi="Times New Roman" w:cs="Times New Roman"/>
          <w:lang w:val="en-GB"/>
        </w:rPr>
        <w:t xml:space="preserve"> </w:t>
      </w:r>
      <w:r>
        <w:rPr>
          <w:rFonts w:ascii="Times New Roman" w:hAnsi="Times New Roman" w:cs="Times New Roman"/>
        </w:rPr>
        <w:t>These results demonstrate that International Brewery Plc strategically aligns its brand positioning with consumer trends, leveraging this alignment to strengthen its market competitiveness.</w:t>
      </w:r>
    </w:p>
    <w:p w:rsidR="00337E61" w:rsidRDefault="00B825A8">
      <w:pPr>
        <w:jc w:val="both"/>
        <w:rPr>
          <w:rFonts w:ascii="Times New Roman" w:hAnsi="Times New Roman" w:cs="Times New Roman"/>
          <w:b/>
          <w:bCs/>
        </w:rPr>
      </w:pPr>
      <w:r>
        <w:rPr>
          <w:rFonts w:ascii="Times New Roman" w:hAnsi="Times New Roman" w:cs="Times New Roman"/>
          <w:b/>
          <w:bCs/>
        </w:rPr>
        <w:t>3.4 Analysis of Research Question 3: Competitive Advantage Outcomes</w:t>
      </w:r>
    </w:p>
    <w:p w:rsidR="00337E61" w:rsidRDefault="00B825A8">
      <w:pPr>
        <w:jc w:val="both"/>
        <w:rPr>
          <w:rFonts w:ascii="Times New Roman" w:hAnsi="Times New Roman" w:cs="Times New Roman"/>
        </w:rPr>
      </w:pPr>
      <w:r>
        <w:rPr>
          <w:rFonts w:ascii="Times New Roman" w:hAnsi="Times New Roman" w:cs="Times New Roman"/>
        </w:rPr>
        <w:t>Respondents strongly agreed that brand differentiation and positioning lead to measurable organizational outcomes such as</w:t>
      </w:r>
      <w:r>
        <w:rPr>
          <w:rFonts w:ascii="Times New Roman" w:hAnsi="Times New Roman" w:cs="Times New Roman"/>
          <w:lang w:val="en-GB"/>
        </w:rPr>
        <w:t xml:space="preserve"> </w:t>
      </w:r>
      <w:proofErr w:type="spellStart"/>
      <w:r>
        <w:rPr>
          <w:rFonts w:ascii="Times New Roman" w:hAnsi="Times New Roman" w:cs="Times New Roman"/>
          <w:lang w:val="en-GB"/>
        </w:rPr>
        <w:t>i</w:t>
      </w:r>
      <w:r>
        <w:rPr>
          <w:rFonts w:ascii="Times New Roman" w:hAnsi="Times New Roman" w:cs="Times New Roman"/>
        </w:rPr>
        <w:t>ncreased</w:t>
      </w:r>
      <w:proofErr w:type="spellEnd"/>
      <w:r>
        <w:rPr>
          <w:rFonts w:ascii="Times New Roman" w:hAnsi="Times New Roman" w:cs="Times New Roman"/>
        </w:rPr>
        <w:t xml:space="preserve"> sales targets (69%)</w:t>
      </w:r>
      <w:r>
        <w:rPr>
          <w:rFonts w:ascii="Times New Roman" w:hAnsi="Times New Roman" w:cs="Times New Roman"/>
          <w:lang w:val="en-GB"/>
        </w:rPr>
        <w:t>, s</w:t>
      </w:r>
      <w:proofErr w:type="spellStart"/>
      <w:r>
        <w:rPr>
          <w:rFonts w:ascii="Times New Roman" w:hAnsi="Times New Roman" w:cs="Times New Roman"/>
        </w:rPr>
        <w:t>tronger</w:t>
      </w:r>
      <w:proofErr w:type="spellEnd"/>
      <w:r>
        <w:rPr>
          <w:rFonts w:ascii="Times New Roman" w:hAnsi="Times New Roman" w:cs="Times New Roman"/>
        </w:rPr>
        <w:t xml:space="preserve"> consumer preference (81%)</w:t>
      </w:r>
      <w:r>
        <w:rPr>
          <w:rFonts w:ascii="Times New Roman" w:hAnsi="Times New Roman" w:cs="Times New Roman"/>
          <w:lang w:val="en-GB"/>
        </w:rPr>
        <w:t>, and h</w:t>
      </w:r>
      <w:proofErr w:type="spellStart"/>
      <w:r>
        <w:rPr>
          <w:rFonts w:ascii="Times New Roman" w:hAnsi="Times New Roman" w:cs="Times New Roman"/>
        </w:rPr>
        <w:t>igher</w:t>
      </w:r>
      <w:proofErr w:type="spellEnd"/>
      <w:r>
        <w:rPr>
          <w:rFonts w:ascii="Times New Roman" w:hAnsi="Times New Roman" w:cs="Times New Roman"/>
        </w:rPr>
        <w:t xml:space="preserve"> corporate image and profitability (75%)</w:t>
      </w:r>
      <w:r>
        <w:rPr>
          <w:rFonts w:ascii="Times New Roman" w:hAnsi="Times New Roman" w:cs="Times New Roman"/>
          <w:lang w:val="en-GB"/>
        </w:rPr>
        <w:t xml:space="preserve"> as well as </w:t>
      </w:r>
      <w:proofErr w:type="spellStart"/>
      <w:r>
        <w:rPr>
          <w:rFonts w:ascii="Times New Roman" w:hAnsi="Times New Roman" w:cs="Times New Roman"/>
          <w:lang w:val="en-GB"/>
        </w:rPr>
        <w:t>i</w:t>
      </w:r>
      <w:r>
        <w:rPr>
          <w:rFonts w:ascii="Times New Roman" w:hAnsi="Times New Roman" w:cs="Times New Roman"/>
        </w:rPr>
        <w:t>mproved</w:t>
      </w:r>
      <w:proofErr w:type="spellEnd"/>
      <w:r>
        <w:rPr>
          <w:rFonts w:ascii="Times New Roman" w:hAnsi="Times New Roman" w:cs="Times New Roman"/>
        </w:rPr>
        <w:t xml:space="preserve"> investor confidence and reputation (78%)</w:t>
      </w:r>
      <w:r>
        <w:rPr>
          <w:rFonts w:ascii="Times New Roman" w:hAnsi="Times New Roman" w:cs="Times New Roman"/>
          <w:lang w:val="en-GB"/>
        </w:rPr>
        <w:t xml:space="preserve">. </w:t>
      </w:r>
      <w:r>
        <w:rPr>
          <w:rFonts w:ascii="Times New Roman" w:hAnsi="Times New Roman" w:cs="Times New Roman"/>
        </w:rPr>
        <w:t>This confirms that both differentiation and positioning translate into sustainable competitive advantage, reinforcing International Brewery Plc’s strong market presence.</w:t>
      </w:r>
    </w:p>
    <w:p w:rsidR="00337E61" w:rsidRDefault="00337E61">
      <w:pPr>
        <w:jc w:val="both"/>
        <w:rPr>
          <w:rFonts w:ascii="Times New Roman" w:hAnsi="Times New Roman" w:cs="Times New Roman"/>
        </w:rPr>
      </w:pPr>
    </w:p>
    <w:p w:rsidR="00337E61" w:rsidRDefault="00B825A8">
      <w:pPr>
        <w:jc w:val="both"/>
        <w:rPr>
          <w:rFonts w:ascii="Times New Roman" w:hAnsi="Times New Roman" w:cs="Times New Roman"/>
          <w:b/>
          <w:bCs/>
        </w:rPr>
      </w:pPr>
      <w:r>
        <w:rPr>
          <w:rFonts w:ascii="Times New Roman" w:hAnsi="Times New Roman" w:cs="Times New Roman"/>
          <w:b/>
          <w:bCs/>
        </w:rPr>
        <w:t>3.4 Analysis of Research Question 3: Competitive Advantage Outcomes</w:t>
      </w:r>
    </w:p>
    <w:p w:rsidR="00337E61" w:rsidRDefault="00B825A8">
      <w:pPr>
        <w:jc w:val="both"/>
        <w:rPr>
          <w:rFonts w:ascii="Times New Roman" w:hAnsi="Times New Roman" w:cs="Times New Roman"/>
        </w:rPr>
      </w:pPr>
      <w:r>
        <w:rPr>
          <w:rFonts w:ascii="Times New Roman" w:hAnsi="Times New Roman" w:cs="Times New Roman"/>
        </w:rPr>
        <w:t>Respondents strongly agreed that brand differentiation and positioning lead to measurable organizational outcomes such as</w:t>
      </w:r>
      <w:r>
        <w:rPr>
          <w:rFonts w:ascii="Times New Roman" w:hAnsi="Times New Roman" w:cs="Times New Roman"/>
          <w:lang w:val="en-GB"/>
        </w:rPr>
        <w:t xml:space="preserve"> </w:t>
      </w:r>
      <w:proofErr w:type="spellStart"/>
      <w:r>
        <w:rPr>
          <w:rFonts w:ascii="Times New Roman" w:hAnsi="Times New Roman" w:cs="Times New Roman"/>
          <w:lang w:val="en-GB"/>
        </w:rPr>
        <w:t>i</w:t>
      </w:r>
      <w:r>
        <w:rPr>
          <w:rFonts w:ascii="Times New Roman" w:hAnsi="Times New Roman" w:cs="Times New Roman"/>
        </w:rPr>
        <w:t>ncreased</w:t>
      </w:r>
      <w:proofErr w:type="spellEnd"/>
      <w:r>
        <w:rPr>
          <w:rFonts w:ascii="Times New Roman" w:hAnsi="Times New Roman" w:cs="Times New Roman"/>
        </w:rPr>
        <w:t xml:space="preserve"> sales targets (69%)</w:t>
      </w:r>
      <w:r>
        <w:rPr>
          <w:rFonts w:ascii="Times New Roman" w:hAnsi="Times New Roman" w:cs="Times New Roman"/>
          <w:lang w:val="en-GB"/>
        </w:rPr>
        <w:t>, s</w:t>
      </w:r>
      <w:proofErr w:type="spellStart"/>
      <w:r>
        <w:rPr>
          <w:rFonts w:ascii="Times New Roman" w:hAnsi="Times New Roman" w:cs="Times New Roman"/>
        </w:rPr>
        <w:t>tronger</w:t>
      </w:r>
      <w:proofErr w:type="spellEnd"/>
      <w:r>
        <w:rPr>
          <w:rFonts w:ascii="Times New Roman" w:hAnsi="Times New Roman" w:cs="Times New Roman"/>
        </w:rPr>
        <w:t xml:space="preserve"> consumer preference (81%)</w:t>
      </w:r>
      <w:r>
        <w:rPr>
          <w:rFonts w:ascii="Times New Roman" w:hAnsi="Times New Roman" w:cs="Times New Roman"/>
          <w:lang w:val="en-GB"/>
        </w:rPr>
        <w:t>, h</w:t>
      </w:r>
      <w:proofErr w:type="spellStart"/>
      <w:r>
        <w:rPr>
          <w:rFonts w:ascii="Times New Roman" w:hAnsi="Times New Roman" w:cs="Times New Roman"/>
        </w:rPr>
        <w:t>igher</w:t>
      </w:r>
      <w:proofErr w:type="spellEnd"/>
      <w:r>
        <w:rPr>
          <w:rFonts w:ascii="Times New Roman" w:hAnsi="Times New Roman" w:cs="Times New Roman"/>
        </w:rPr>
        <w:t xml:space="preserve"> corporate image and profitability (75%)</w:t>
      </w:r>
      <w:r>
        <w:rPr>
          <w:rFonts w:ascii="Times New Roman" w:hAnsi="Times New Roman" w:cs="Times New Roman"/>
          <w:lang w:val="en-GB"/>
        </w:rPr>
        <w:t xml:space="preserve">, </w:t>
      </w:r>
      <w:proofErr w:type="spellStart"/>
      <w:r>
        <w:rPr>
          <w:rFonts w:ascii="Times New Roman" w:hAnsi="Times New Roman" w:cs="Times New Roman"/>
          <w:lang w:val="en-GB"/>
        </w:rPr>
        <w:t>i</w:t>
      </w:r>
      <w:r>
        <w:rPr>
          <w:rFonts w:ascii="Times New Roman" w:hAnsi="Times New Roman" w:cs="Times New Roman"/>
        </w:rPr>
        <w:t>mproved</w:t>
      </w:r>
      <w:proofErr w:type="spellEnd"/>
      <w:r>
        <w:rPr>
          <w:rFonts w:ascii="Times New Roman" w:hAnsi="Times New Roman" w:cs="Times New Roman"/>
        </w:rPr>
        <w:t xml:space="preserve"> investor confidence and reputation (78%)</w:t>
      </w:r>
      <w:r>
        <w:rPr>
          <w:rFonts w:ascii="Times New Roman" w:hAnsi="Times New Roman" w:cs="Times New Roman"/>
          <w:lang w:val="en-GB"/>
        </w:rPr>
        <w:t xml:space="preserve">. </w:t>
      </w:r>
      <w:r>
        <w:rPr>
          <w:rFonts w:ascii="Times New Roman" w:hAnsi="Times New Roman" w:cs="Times New Roman"/>
        </w:rPr>
        <w:t>This confirms that both differentiation and positioning translate into sustainable competitive advantage, reinforcing International Brewery Plc’s strong market presence.</w:t>
      </w:r>
    </w:p>
    <w:p w:rsidR="00337E61" w:rsidRDefault="00B825A8">
      <w:pPr>
        <w:jc w:val="both"/>
        <w:rPr>
          <w:rFonts w:ascii="Times New Roman" w:hAnsi="Times New Roman" w:cs="Times New Roman"/>
          <w:b/>
          <w:bCs/>
        </w:rPr>
      </w:pPr>
      <w:r>
        <w:rPr>
          <w:rFonts w:ascii="Times New Roman" w:hAnsi="Times New Roman" w:cs="Times New Roman"/>
          <w:b/>
          <w:bCs/>
        </w:rPr>
        <w:t>3.5 Reliability and Hypothesis Testing</w:t>
      </w:r>
    </w:p>
    <w:p w:rsidR="00337E61" w:rsidRDefault="00B825A8">
      <w:pPr>
        <w:jc w:val="both"/>
        <w:rPr>
          <w:rFonts w:ascii="Times New Roman" w:hAnsi="Times New Roman" w:cs="Times New Roman"/>
          <w:b/>
          <w:bCs/>
          <w:lang w:val="en-GB"/>
        </w:rPr>
      </w:pPr>
      <w:r>
        <w:rPr>
          <w:rFonts w:ascii="Times New Roman" w:hAnsi="Times New Roman" w:cs="Times New Roman"/>
          <w:b/>
          <w:bCs/>
          <w:lang w:val="en-GB"/>
        </w:rPr>
        <w:lastRenderedPageBreak/>
        <w:t xml:space="preserve">Table 6: Reliability and hypothesis </w:t>
      </w:r>
      <w:proofErr w:type="spellStart"/>
      <w:r>
        <w:rPr>
          <w:rFonts w:ascii="Times New Roman" w:hAnsi="Times New Roman" w:cs="Times New Roman"/>
          <w:b/>
          <w:bCs/>
          <w:lang w:val="en-GB"/>
        </w:rPr>
        <w:t>tesing</w:t>
      </w:r>
      <w:proofErr w:type="spellEnd"/>
    </w:p>
    <w:tbl>
      <w:tblPr>
        <w:tblW w:w="8800" w:type="dxa"/>
        <w:tblLook w:val="04A0" w:firstRow="1" w:lastRow="0" w:firstColumn="1" w:lastColumn="0" w:noHBand="0" w:noVBand="1"/>
      </w:tblPr>
      <w:tblGrid>
        <w:gridCol w:w="3760"/>
        <w:gridCol w:w="2080"/>
        <w:gridCol w:w="2960"/>
      </w:tblGrid>
      <w:tr w:rsidR="00337E61">
        <w:trPr>
          <w:trHeight w:val="700"/>
        </w:trPr>
        <w:tc>
          <w:tcPr>
            <w:tcW w:w="3760" w:type="dxa"/>
            <w:tcBorders>
              <w:top w:val="single" w:sz="8" w:space="0" w:color="auto"/>
              <w:left w:val="single" w:sz="8" w:space="0" w:color="auto"/>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TEST</w:t>
            </w:r>
          </w:p>
        </w:tc>
        <w:tc>
          <w:tcPr>
            <w:tcW w:w="2080" w:type="dxa"/>
            <w:tcBorders>
              <w:top w:val="single" w:sz="8" w:space="0" w:color="auto"/>
              <w:left w:val="nil"/>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RESULT</w:t>
            </w:r>
          </w:p>
        </w:tc>
        <w:tc>
          <w:tcPr>
            <w:tcW w:w="2960" w:type="dxa"/>
            <w:tcBorders>
              <w:top w:val="single" w:sz="8" w:space="0" w:color="auto"/>
              <w:left w:val="nil"/>
              <w:bottom w:val="single" w:sz="8"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INTERPRETATION</w:t>
            </w:r>
          </w:p>
        </w:tc>
      </w:tr>
      <w:tr w:rsidR="00337E61">
        <w:trPr>
          <w:trHeight w:val="930"/>
        </w:trPr>
        <w:tc>
          <w:tcPr>
            <w:tcW w:w="37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Cronbach’s Alpha</w:t>
            </w:r>
          </w:p>
        </w:tc>
        <w:tc>
          <w:tcPr>
            <w:tcW w:w="208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0.892</w:t>
            </w:r>
          </w:p>
        </w:tc>
        <w:tc>
          <w:tcPr>
            <w:tcW w:w="296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High internal consistency and instrument reliability</w:t>
            </w:r>
          </w:p>
        </w:tc>
      </w:tr>
      <w:tr w:rsidR="00337E61">
        <w:trPr>
          <w:trHeight w:val="930"/>
        </w:trPr>
        <w:tc>
          <w:tcPr>
            <w:tcW w:w="3760" w:type="dxa"/>
            <w:tcBorders>
              <w:top w:val="nil"/>
              <w:left w:val="single" w:sz="8" w:space="0" w:color="auto"/>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Correlation (Brand Differentiation ↔ Competitive Advantage)</w:t>
            </w:r>
          </w:p>
        </w:tc>
        <w:tc>
          <w:tcPr>
            <w:tcW w:w="2080" w:type="dxa"/>
            <w:tcBorders>
              <w:top w:val="nil"/>
              <w:left w:val="nil"/>
              <w:bottom w:val="single" w:sz="4"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 = 0.442, p &lt; 0.05</w:t>
            </w:r>
          </w:p>
        </w:tc>
        <w:tc>
          <w:tcPr>
            <w:tcW w:w="2960" w:type="dxa"/>
            <w:tcBorders>
              <w:top w:val="nil"/>
              <w:left w:val="nil"/>
              <w:bottom w:val="single" w:sz="4"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Significant positive relationship</w:t>
            </w:r>
          </w:p>
        </w:tc>
      </w:tr>
      <w:tr w:rsidR="00337E61">
        <w:trPr>
          <w:trHeight w:val="940"/>
        </w:trPr>
        <w:tc>
          <w:tcPr>
            <w:tcW w:w="3760" w:type="dxa"/>
            <w:tcBorders>
              <w:top w:val="nil"/>
              <w:left w:val="single" w:sz="8" w:space="0" w:color="auto"/>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Correlation (Brand Positioning ↔ Competitive Advantage)</w:t>
            </w:r>
          </w:p>
        </w:tc>
        <w:tc>
          <w:tcPr>
            <w:tcW w:w="2080" w:type="dxa"/>
            <w:tcBorders>
              <w:top w:val="nil"/>
              <w:left w:val="nil"/>
              <w:bottom w:val="single" w:sz="8" w:space="0" w:color="auto"/>
              <w:right w:val="single" w:sz="4"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 = 0.615, p &lt; 0.05</w:t>
            </w:r>
          </w:p>
        </w:tc>
        <w:tc>
          <w:tcPr>
            <w:tcW w:w="2960" w:type="dxa"/>
            <w:tcBorders>
              <w:top w:val="nil"/>
              <w:left w:val="nil"/>
              <w:bottom w:val="single" w:sz="8" w:space="0" w:color="auto"/>
              <w:right w:val="single" w:sz="8" w:space="0" w:color="auto"/>
            </w:tcBorders>
            <w:vAlign w:val="center"/>
          </w:tcPr>
          <w:p w:rsidR="00337E61" w:rsidRDefault="00B825A8">
            <w:pPr>
              <w:spacing w:after="0"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Stronger significant positive relationship</w:t>
            </w:r>
          </w:p>
        </w:tc>
      </w:tr>
    </w:tbl>
    <w:p w:rsidR="00337E61" w:rsidRDefault="00337E61">
      <w:pPr>
        <w:rPr>
          <w:rFonts w:ascii="Times New Roman" w:hAnsi="Times New Roman" w:cs="Times New Roman"/>
        </w:rPr>
      </w:pPr>
    </w:p>
    <w:p w:rsidR="00337E61" w:rsidRDefault="00B825A8">
      <w:pPr>
        <w:spacing w:line="360" w:lineRule="auto"/>
        <w:jc w:val="both"/>
        <w:rPr>
          <w:rFonts w:ascii="Times New Roman" w:hAnsi="Times New Roman" w:cs="Times New Roman"/>
        </w:rPr>
      </w:pPr>
      <w:r>
        <w:rPr>
          <w:rFonts w:ascii="Times New Roman" w:hAnsi="Times New Roman" w:cs="Times New Roman"/>
          <w:lang w:val="en-GB"/>
        </w:rPr>
        <w:t>According to table 6, t</w:t>
      </w:r>
      <w:r>
        <w:rPr>
          <w:rFonts w:ascii="Times New Roman" w:hAnsi="Times New Roman" w:cs="Times New Roman"/>
        </w:rPr>
        <w:t>he statistical results supported both hypotheses, indicating that brand differentiation and brand positioning exert a significant and positive influence on competitive advantage within International Brewery Plc. This outcome provides empirical support that the company’s branding practices are not only intentional but also strategically effective in enhancing market performance. The positive correlations suggest that as the firm deepens its differentiation and positioning strategies, its competitive strength reflected in increased market share, stronger customer loyalty, and improved profitability correspondingly grows.</w:t>
      </w:r>
      <w:r>
        <w:rPr>
          <w:rFonts w:ascii="Times New Roman" w:hAnsi="Times New Roman" w:cs="Times New Roman"/>
          <w:lang w:val="en-GB"/>
        </w:rPr>
        <w:t xml:space="preserve"> </w:t>
      </w:r>
      <w:r>
        <w:rPr>
          <w:rFonts w:ascii="Times New Roman" w:hAnsi="Times New Roman" w:cs="Times New Roman"/>
        </w:rPr>
        <w:t>Moreover, the relatively stronger correlation for brand positioning (r = 0.615) compared with brand differentiation (r = 0.442) suggests that, although innovation and distinctiveness remain essential, the strategic alignment of the brand with evolving market expectations and consumer preferences delivers a more substantial performance impact. This highlights International Brewery Plc’s responsiveness to market dynamics and its ability to sustain a clear, value-oriented brand identity that connects with its target audience.</w:t>
      </w:r>
      <w:r>
        <w:rPr>
          <w:rFonts w:ascii="Times New Roman" w:hAnsi="Times New Roman" w:cs="Times New Roman"/>
          <w:lang w:val="en-GB"/>
        </w:rPr>
        <w:t xml:space="preserve"> </w:t>
      </w:r>
      <w:r>
        <w:rPr>
          <w:rFonts w:ascii="Times New Roman" w:hAnsi="Times New Roman" w:cs="Times New Roman"/>
        </w:rPr>
        <w:t>Brand differentiation establishes the foundation for uniqueness and quality perception, effective brand positioning reinforces these advantages by enhancing visibility, consumer relevance, and emotional engagement. Collectively, they create a complementary framework through which International Brewery Plc maintains a strong and enduring competitive advantage in an increasingly competitive and dynamic industry environment.</w:t>
      </w:r>
    </w:p>
    <w:p w:rsidR="00337E61" w:rsidRDefault="00337E61">
      <w:pPr>
        <w:rPr>
          <w:rFonts w:ascii="Times New Roman" w:hAnsi="Times New Roman" w:cs="Times New Roman"/>
        </w:rPr>
      </w:pPr>
    </w:p>
    <w:p w:rsidR="00337E61" w:rsidRDefault="00337E61">
      <w:pPr>
        <w:rPr>
          <w:rFonts w:ascii="Times New Roman" w:hAnsi="Times New Roman" w:cs="Times New Roman"/>
        </w:rPr>
      </w:pPr>
    </w:p>
    <w:p w:rsidR="00337E61" w:rsidRDefault="00337E61">
      <w:pPr>
        <w:rPr>
          <w:rFonts w:ascii="Times New Roman" w:hAnsi="Times New Roman" w:cs="Times New Roman"/>
        </w:rPr>
      </w:pPr>
    </w:p>
    <w:p w:rsidR="005B650C" w:rsidRDefault="005B650C">
      <w:pPr>
        <w:rPr>
          <w:rFonts w:ascii="Times New Roman" w:hAnsi="Times New Roman" w:cs="Times New Roman"/>
        </w:rPr>
      </w:pPr>
    </w:p>
    <w:p w:rsidR="005B650C" w:rsidRDefault="005B650C">
      <w:pPr>
        <w:rPr>
          <w:rFonts w:ascii="Times New Roman" w:hAnsi="Times New Roman" w:cs="Times New Roman"/>
        </w:rPr>
      </w:pPr>
      <w:bookmarkStart w:id="1" w:name="_GoBack"/>
      <w:bookmarkEnd w:id="1"/>
    </w:p>
    <w:p w:rsidR="00337E61" w:rsidRDefault="00337E61">
      <w:pPr>
        <w:rPr>
          <w:rFonts w:ascii="Times New Roman" w:hAnsi="Times New Roman" w:cs="Times New Roman"/>
        </w:rPr>
      </w:pPr>
    </w:p>
    <w:p w:rsidR="00337E61" w:rsidRDefault="00B825A8">
      <w:pPr>
        <w:rPr>
          <w:rFonts w:ascii="Times New Roman" w:hAnsi="Times New Roman" w:cs="Times New Roman"/>
          <w:b/>
          <w:bCs/>
        </w:rPr>
      </w:pPr>
      <w:r>
        <w:rPr>
          <w:rFonts w:ascii="Times New Roman" w:hAnsi="Times New Roman" w:cs="Times New Roman"/>
          <w:b/>
          <w:bCs/>
        </w:rPr>
        <w:t>4.0 Discussion of Findings</w:t>
      </w:r>
    </w:p>
    <w:p w:rsidR="00337E61" w:rsidRDefault="00B825A8">
      <w:pPr>
        <w:spacing w:line="360" w:lineRule="auto"/>
        <w:jc w:val="both"/>
        <w:rPr>
          <w:rFonts w:ascii="Times New Roman" w:hAnsi="Times New Roman" w:cs="Times New Roman"/>
        </w:rPr>
      </w:pPr>
      <w:r>
        <w:rPr>
          <w:rFonts w:ascii="Times New Roman" w:hAnsi="Times New Roman" w:cs="Times New Roman"/>
        </w:rPr>
        <w:t>The study’s findings corroborate the theoretical expectation that brand differentiation and brand positioning are strategic levers of competitive advantage. The evidence from International Brewery Plc shows that differentiation ensures brand uniqueness, quality perception, and emotional appeal, while positioning strengthens brand relevance, visibility, and customer loyalty.</w:t>
      </w:r>
      <w:r>
        <w:rPr>
          <w:rFonts w:ascii="Times New Roman" w:hAnsi="Times New Roman" w:cs="Times New Roman"/>
          <w:lang w:val="en-GB"/>
        </w:rPr>
        <w:t xml:space="preserve"> </w:t>
      </w:r>
      <w:r>
        <w:rPr>
          <w:rFonts w:ascii="Times New Roman" w:hAnsi="Times New Roman" w:cs="Times New Roman"/>
        </w:rPr>
        <w:t>The high level of employee agreement across survey items indicates a strong internal understanding of branding as a performance driver. This internal brand commitment likely contributes to the company’s robust market share and consumer preference in Nigeria’s competitive brewery industry.</w:t>
      </w:r>
      <w:r>
        <w:rPr>
          <w:rFonts w:ascii="Times New Roman" w:hAnsi="Times New Roman" w:cs="Times New Roman"/>
          <w:lang w:val="en-GB"/>
        </w:rPr>
        <w:t xml:space="preserve"> </w:t>
      </w:r>
      <w:r>
        <w:rPr>
          <w:rFonts w:ascii="Times New Roman" w:hAnsi="Times New Roman" w:cs="Times New Roman"/>
        </w:rPr>
        <w:t>Furthermore, the statistical results (r = 0.442 and r = 0.615, p &lt; 0.05) empirically validate that both differentiation and positioning jointly predict superior organizational outcomes such as profitability, reputation, and investor confidence. These align with global branding theories by Porter (1985) and Keller (2013), which emphasize that sustainable differentiation and effective positioning underpin enduring competitive advantage.</w:t>
      </w:r>
    </w:p>
    <w:p w:rsidR="00337E61" w:rsidRDefault="00B825A8">
      <w:pPr>
        <w:rPr>
          <w:rFonts w:ascii="Times New Roman" w:hAnsi="Times New Roman" w:cs="Times New Roman"/>
        </w:rPr>
      </w:pPr>
      <w:r>
        <w:rPr>
          <w:rFonts w:ascii="Times New Roman" w:hAnsi="Times New Roman" w:cs="Times New Roman"/>
          <w:b/>
          <w:bCs/>
          <w:lang w:val="en-GB"/>
        </w:rPr>
        <w:t>4</w:t>
      </w:r>
      <w:r>
        <w:rPr>
          <w:rFonts w:ascii="Times New Roman" w:hAnsi="Times New Roman" w:cs="Times New Roman"/>
          <w:b/>
          <w:bCs/>
        </w:rPr>
        <w:t>.</w:t>
      </w:r>
      <w:r>
        <w:rPr>
          <w:rFonts w:ascii="Times New Roman" w:hAnsi="Times New Roman" w:cs="Times New Roman"/>
          <w:b/>
          <w:bCs/>
          <w:lang w:val="en-GB"/>
        </w:rPr>
        <w:t>1</w:t>
      </w:r>
      <w:r>
        <w:rPr>
          <w:rFonts w:ascii="Times New Roman" w:hAnsi="Times New Roman" w:cs="Times New Roman"/>
          <w:b/>
          <w:bCs/>
        </w:rPr>
        <w:t xml:space="preserve"> Conclusion</w:t>
      </w:r>
      <w:r>
        <w:rPr>
          <w:rFonts w:ascii="Times New Roman" w:hAnsi="Times New Roman" w:cs="Times New Roman"/>
        </w:rPr>
        <w:br/>
        <w:t>The study concludes that brand differentiation and positioning are complementary strategies essential for sustaining competitive advantage in the brewery industry. While differentiation creates unique value, positioning enhances visibility and customer preference.</w:t>
      </w:r>
    </w:p>
    <w:p w:rsidR="00337E61" w:rsidRDefault="00B825A8">
      <w:pPr>
        <w:rPr>
          <w:rFonts w:ascii="Times New Roman" w:hAnsi="Times New Roman" w:cs="Times New Roman"/>
        </w:rPr>
      </w:pPr>
      <w:r>
        <w:rPr>
          <w:rFonts w:ascii="Times New Roman" w:hAnsi="Times New Roman" w:cs="Times New Roman"/>
          <w:b/>
          <w:bCs/>
          <w:lang w:val="en-GB"/>
        </w:rPr>
        <w:t>4</w:t>
      </w:r>
      <w:r>
        <w:rPr>
          <w:rFonts w:ascii="Times New Roman" w:hAnsi="Times New Roman" w:cs="Times New Roman"/>
          <w:b/>
          <w:bCs/>
        </w:rPr>
        <w:t>.</w:t>
      </w:r>
      <w:r>
        <w:rPr>
          <w:rFonts w:ascii="Times New Roman" w:hAnsi="Times New Roman" w:cs="Times New Roman"/>
          <w:b/>
          <w:bCs/>
          <w:lang w:val="en-GB"/>
        </w:rPr>
        <w:t>2</w:t>
      </w:r>
      <w:r>
        <w:rPr>
          <w:rFonts w:ascii="Times New Roman" w:hAnsi="Times New Roman" w:cs="Times New Roman"/>
          <w:b/>
          <w:bCs/>
        </w:rPr>
        <w:t xml:space="preserve"> Recommendations</w:t>
      </w:r>
    </w:p>
    <w:p w:rsidR="00337E61" w:rsidRDefault="00B825A8">
      <w:pPr>
        <w:rPr>
          <w:rFonts w:ascii="Times New Roman" w:hAnsi="Times New Roman" w:cs="Times New Roman"/>
        </w:rPr>
      </w:pPr>
      <w:r>
        <w:rPr>
          <w:rFonts w:ascii="Times New Roman" w:hAnsi="Times New Roman" w:cs="Times New Roman"/>
          <w:lang w:val="en-GB"/>
        </w:rPr>
        <w:t>(</w:t>
      </w:r>
      <w:proofErr w:type="spellStart"/>
      <w:r>
        <w:rPr>
          <w:rFonts w:ascii="Times New Roman" w:hAnsi="Times New Roman" w:cs="Times New Roman"/>
          <w:lang w:val="en-GB"/>
        </w:rPr>
        <w:t>i</w:t>
      </w:r>
      <w:proofErr w:type="spellEnd"/>
      <w:r>
        <w:rPr>
          <w:rFonts w:ascii="Times New Roman" w:hAnsi="Times New Roman" w:cs="Times New Roman"/>
          <w:lang w:val="en-GB"/>
        </w:rPr>
        <w:t>)</w:t>
      </w:r>
      <w:r>
        <w:rPr>
          <w:rFonts w:ascii="Times New Roman" w:hAnsi="Times New Roman" w:cs="Times New Roman"/>
          <w:lang w:val="en-GB"/>
        </w:rPr>
        <w:tab/>
      </w:r>
      <w:r>
        <w:rPr>
          <w:rFonts w:ascii="Times New Roman" w:hAnsi="Times New Roman" w:cs="Times New Roman"/>
        </w:rPr>
        <w:t>Intensify differentiation strategies to withstand intense industry rivalry.</w:t>
      </w:r>
    </w:p>
    <w:p w:rsidR="00337E61" w:rsidRDefault="00B825A8">
      <w:pPr>
        <w:rPr>
          <w:rFonts w:ascii="Times New Roman" w:hAnsi="Times New Roman" w:cs="Times New Roman"/>
        </w:rPr>
      </w:pPr>
      <w:r>
        <w:rPr>
          <w:rFonts w:ascii="Times New Roman" w:hAnsi="Times New Roman" w:cs="Times New Roman"/>
          <w:lang w:val="en-GB"/>
        </w:rPr>
        <w:t>(ii)</w:t>
      </w:r>
      <w:r>
        <w:rPr>
          <w:rFonts w:ascii="Times New Roman" w:hAnsi="Times New Roman" w:cs="Times New Roman"/>
          <w:lang w:val="en-GB"/>
        </w:rPr>
        <w:tab/>
      </w:r>
      <w:r>
        <w:rPr>
          <w:rFonts w:ascii="Times New Roman" w:hAnsi="Times New Roman" w:cs="Times New Roman"/>
        </w:rPr>
        <w:t>Continuously track consumer lifestyle shifts and adapt branding accordingly.</w:t>
      </w:r>
    </w:p>
    <w:p w:rsidR="00337E61" w:rsidRDefault="00B825A8">
      <w:pPr>
        <w:rPr>
          <w:rFonts w:ascii="Times New Roman" w:hAnsi="Times New Roman" w:cs="Times New Roman"/>
        </w:rPr>
      </w:pPr>
      <w:r>
        <w:rPr>
          <w:rFonts w:ascii="Times New Roman" w:hAnsi="Times New Roman" w:cs="Times New Roman"/>
          <w:lang w:val="en-GB"/>
        </w:rPr>
        <w:t>(iii)</w:t>
      </w:r>
      <w:r>
        <w:rPr>
          <w:rFonts w:ascii="Times New Roman" w:hAnsi="Times New Roman" w:cs="Times New Roman"/>
          <w:lang w:val="en-GB"/>
        </w:rPr>
        <w:tab/>
      </w:r>
      <w:r>
        <w:rPr>
          <w:rFonts w:ascii="Times New Roman" w:hAnsi="Times New Roman" w:cs="Times New Roman"/>
        </w:rPr>
        <w:t>Strengthen networks and innovate marketing strategies.</w:t>
      </w:r>
    </w:p>
    <w:p w:rsidR="00337E61" w:rsidRDefault="00B825A8">
      <w:pPr>
        <w:rPr>
          <w:rFonts w:ascii="Times New Roman" w:hAnsi="Times New Roman" w:cs="Times New Roman"/>
        </w:rPr>
      </w:pPr>
      <w:r>
        <w:rPr>
          <w:rFonts w:ascii="Times New Roman" w:hAnsi="Times New Roman" w:cs="Times New Roman"/>
          <w:lang w:val="en-GB"/>
        </w:rPr>
        <w:t>(iv)</w:t>
      </w:r>
      <w:r>
        <w:rPr>
          <w:rFonts w:ascii="Times New Roman" w:hAnsi="Times New Roman" w:cs="Times New Roman"/>
          <w:lang w:val="en-GB"/>
        </w:rPr>
        <w:tab/>
      </w:r>
      <w:r>
        <w:rPr>
          <w:rFonts w:ascii="Times New Roman" w:hAnsi="Times New Roman" w:cs="Times New Roman"/>
        </w:rPr>
        <w:t>Enhance staff training to sustain competitiveness.</w:t>
      </w:r>
    </w:p>
    <w:p w:rsidR="00337E61" w:rsidRDefault="00B825A8">
      <w:pPr>
        <w:rPr>
          <w:rFonts w:ascii="Times New Roman" w:hAnsi="Times New Roman" w:cs="Times New Roman"/>
        </w:rPr>
      </w:pPr>
      <w:r>
        <w:rPr>
          <w:rFonts w:ascii="Times New Roman" w:hAnsi="Times New Roman" w:cs="Times New Roman"/>
          <w:b/>
          <w:bCs/>
          <w:lang w:val="en-GB"/>
        </w:rPr>
        <w:t>4</w:t>
      </w:r>
      <w:r>
        <w:rPr>
          <w:rFonts w:ascii="Times New Roman" w:hAnsi="Times New Roman" w:cs="Times New Roman"/>
          <w:b/>
          <w:bCs/>
        </w:rPr>
        <w:t>.</w:t>
      </w:r>
      <w:r>
        <w:rPr>
          <w:rFonts w:ascii="Times New Roman" w:hAnsi="Times New Roman" w:cs="Times New Roman"/>
          <w:b/>
          <w:bCs/>
          <w:lang w:val="en-GB"/>
        </w:rPr>
        <w:t>3</w:t>
      </w:r>
      <w:r>
        <w:rPr>
          <w:rFonts w:ascii="Times New Roman" w:hAnsi="Times New Roman" w:cs="Times New Roman"/>
          <w:b/>
          <w:bCs/>
        </w:rPr>
        <w:t xml:space="preserve"> Contribution to Knowledge</w:t>
      </w:r>
      <w:r>
        <w:rPr>
          <w:rFonts w:ascii="Times New Roman" w:hAnsi="Times New Roman" w:cs="Times New Roman"/>
        </w:rPr>
        <w:br/>
        <w:t>This study empirically demonstrates that brand differentiation and positioning significantly enhance competitive advantage in Nigeria’s brewery industry. It provides actionable evidence that these strategies are critical survival and growth levers in highly competitive consumer markets.</w:t>
      </w:r>
    </w:p>
    <w:p w:rsidR="00337E61" w:rsidRDefault="00B825A8">
      <w:pPr>
        <w:rPr>
          <w:rFonts w:ascii="Times New Roman" w:hAnsi="Times New Roman" w:cs="Times New Roman"/>
          <w:b/>
          <w:bCs/>
        </w:rPr>
      </w:pPr>
      <w:r>
        <w:rPr>
          <w:rFonts w:ascii="Times New Roman" w:hAnsi="Times New Roman" w:cs="Times New Roman"/>
          <w:b/>
          <w:bCs/>
        </w:rPr>
        <w:br w:type="page"/>
      </w:r>
    </w:p>
    <w:p w:rsidR="00337E61" w:rsidRDefault="00337E61">
      <w:pPr>
        <w:rPr>
          <w:rFonts w:ascii="Times New Roman" w:hAnsi="Times New Roman" w:cs="Times New Roman"/>
          <w:b/>
          <w:bCs/>
        </w:rPr>
      </w:pPr>
    </w:p>
    <w:p w:rsidR="00337E61" w:rsidRDefault="00B825A8">
      <w:pPr>
        <w:rPr>
          <w:rFonts w:ascii="Times New Roman" w:hAnsi="Times New Roman" w:cs="Times New Roman"/>
          <w:b/>
          <w:bCs/>
        </w:rPr>
      </w:pPr>
      <w:r>
        <w:rPr>
          <w:rFonts w:ascii="Times New Roman" w:hAnsi="Times New Roman" w:cs="Times New Roman"/>
          <w:b/>
          <w:bCs/>
        </w:rPr>
        <w:t>References</w:t>
      </w:r>
    </w:p>
    <w:p w:rsidR="00337E61" w:rsidRDefault="00B825A8">
      <w:pPr>
        <w:rPr>
          <w:rFonts w:ascii="Times New Roman" w:hAnsi="Times New Roman" w:cs="Times New Roman"/>
        </w:rPr>
      </w:pPr>
      <w:r>
        <w:rPr>
          <w:rFonts w:ascii="Times New Roman" w:hAnsi="Times New Roman" w:cs="Times New Roman"/>
        </w:rPr>
        <w:t xml:space="preserve">Anderson, N. H. (1981). </w:t>
      </w:r>
      <w:r>
        <w:rPr>
          <w:rFonts w:ascii="Times New Roman" w:hAnsi="Times New Roman" w:cs="Times New Roman"/>
          <w:i/>
          <w:iCs/>
        </w:rPr>
        <w:t>Foundations of information integration theory</w:t>
      </w:r>
      <w:r>
        <w:rPr>
          <w:rFonts w:ascii="Times New Roman" w:hAnsi="Times New Roman" w:cs="Times New Roman"/>
        </w:rPr>
        <w:t>. New York: Academic Press.</w:t>
      </w:r>
    </w:p>
    <w:p w:rsidR="00337E61" w:rsidRDefault="00B825A8">
      <w:pPr>
        <w:rPr>
          <w:rFonts w:ascii="Times New Roman" w:hAnsi="Times New Roman" w:cs="Times New Roman"/>
        </w:rPr>
      </w:pPr>
      <w:proofErr w:type="spellStart"/>
      <w:r>
        <w:rPr>
          <w:rFonts w:ascii="Times New Roman" w:hAnsi="Times New Roman" w:cs="Times New Roman"/>
        </w:rPr>
        <w:t>Baaij</w:t>
      </w:r>
      <w:proofErr w:type="spellEnd"/>
      <w:r>
        <w:rPr>
          <w:rFonts w:ascii="Times New Roman" w:hAnsi="Times New Roman" w:cs="Times New Roman"/>
        </w:rPr>
        <w:t xml:space="preserve">, M., </w:t>
      </w:r>
      <w:proofErr w:type="spellStart"/>
      <w:r>
        <w:rPr>
          <w:rFonts w:ascii="Times New Roman" w:hAnsi="Times New Roman" w:cs="Times New Roman"/>
        </w:rPr>
        <w:t>Greevena</w:t>
      </w:r>
      <w:proofErr w:type="spellEnd"/>
      <w:r>
        <w:rPr>
          <w:rFonts w:ascii="Times New Roman" w:hAnsi="Times New Roman" w:cs="Times New Roman"/>
        </w:rPr>
        <w:t xml:space="preserve">, J., &amp; Dalen, J. (2004). Persistent superior economic performance, sustainable competitive advantage, and Schumpeterian innovation: Leading established European companies. </w:t>
      </w:r>
      <w:r>
        <w:rPr>
          <w:rFonts w:ascii="Times New Roman" w:hAnsi="Times New Roman" w:cs="Times New Roman"/>
          <w:i/>
          <w:iCs/>
        </w:rPr>
        <w:t>European Management Journal, 22</w:t>
      </w:r>
      <w:r>
        <w:rPr>
          <w:rFonts w:ascii="Times New Roman" w:hAnsi="Times New Roman" w:cs="Times New Roman"/>
        </w:rPr>
        <w:t xml:space="preserve">(5), 557–574. </w:t>
      </w:r>
      <w:hyperlink r:id="rId13" w:history="1">
        <w:r w:rsidR="005941F5" w:rsidRPr="00986E98">
          <w:rPr>
            <w:rStyle w:val="Hyperlink"/>
            <w:rFonts w:ascii="Times New Roman" w:hAnsi="Times New Roman" w:cs="Times New Roman"/>
          </w:rPr>
          <w:t>https://doi.org/10.1016/j.emj.2004.09.010</w:t>
        </w:r>
      </w:hyperlink>
      <w:r w:rsidR="005941F5">
        <w:rPr>
          <w:rFonts w:ascii="Times New Roman" w:hAnsi="Times New Roman" w:cs="Times New Roman"/>
        </w:rPr>
        <w:t xml:space="preserve"> </w:t>
      </w:r>
    </w:p>
    <w:p w:rsidR="00337E61" w:rsidRDefault="00B825A8">
      <w:pPr>
        <w:rPr>
          <w:rFonts w:ascii="Times New Roman" w:hAnsi="Times New Roman" w:cs="Times New Roman"/>
        </w:rPr>
      </w:pPr>
      <w:proofErr w:type="spellStart"/>
      <w:r>
        <w:rPr>
          <w:rFonts w:ascii="Times New Roman" w:hAnsi="Times New Roman" w:cs="Times New Roman"/>
        </w:rPr>
        <w:t>Bagozzi</w:t>
      </w:r>
      <w:proofErr w:type="spellEnd"/>
      <w:r>
        <w:rPr>
          <w:rFonts w:ascii="Times New Roman" w:hAnsi="Times New Roman" w:cs="Times New Roman"/>
        </w:rPr>
        <w:t xml:space="preserve">, R. P., &amp; </w:t>
      </w:r>
      <w:proofErr w:type="spellStart"/>
      <w:r>
        <w:rPr>
          <w:rFonts w:ascii="Times New Roman" w:hAnsi="Times New Roman" w:cs="Times New Roman"/>
        </w:rPr>
        <w:t>Warshaw</w:t>
      </w:r>
      <w:proofErr w:type="spellEnd"/>
      <w:r>
        <w:rPr>
          <w:rFonts w:ascii="Times New Roman" w:hAnsi="Times New Roman" w:cs="Times New Roman"/>
        </w:rPr>
        <w:t xml:space="preserve">, P. R. (1990). Trying to consume. </w:t>
      </w:r>
      <w:r>
        <w:rPr>
          <w:rFonts w:ascii="Times New Roman" w:hAnsi="Times New Roman" w:cs="Times New Roman"/>
          <w:i/>
          <w:iCs/>
        </w:rPr>
        <w:t>Journal of Consumer Research, 17</w:t>
      </w:r>
      <w:r>
        <w:rPr>
          <w:rFonts w:ascii="Times New Roman" w:hAnsi="Times New Roman" w:cs="Times New Roman"/>
        </w:rPr>
        <w:t xml:space="preserve">(2), 127–140. </w:t>
      </w:r>
      <w:hyperlink r:id="rId14" w:history="1">
        <w:r w:rsidR="005941F5" w:rsidRPr="00986E98">
          <w:rPr>
            <w:rStyle w:val="Hyperlink"/>
            <w:rFonts w:ascii="Times New Roman" w:hAnsi="Times New Roman" w:cs="Times New Roman"/>
          </w:rPr>
          <w:t>https://doi.org/10.1086/208543</w:t>
        </w:r>
      </w:hyperlink>
      <w:r w:rsidR="005941F5">
        <w:rPr>
          <w:rFonts w:ascii="Times New Roman" w:hAnsi="Times New Roman" w:cs="Times New Roman"/>
        </w:rPr>
        <w:t xml:space="preserve"> </w:t>
      </w:r>
    </w:p>
    <w:p w:rsidR="00337E61" w:rsidRDefault="00B825A8">
      <w:pPr>
        <w:rPr>
          <w:rFonts w:ascii="Times New Roman" w:hAnsi="Times New Roman" w:cs="Times New Roman"/>
        </w:rPr>
      </w:pPr>
      <w:r>
        <w:rPr>
          <w:rFonts w:ascii="Times New Roman" w:hAnsi="Times New Roman" w:cs="Times New Roman"/>
        </w:rPr>
        <w:t xml:space="preserve">Blankson, C., &amp; </w:t>
      </w:r>
      <w:proofErr w:type="spellStart"/>
      <w:r>
        <w:rPr>
          <w:rFonts w:ascii="Times New Roman" w:hAnsi="Times New Roman" w:cs="Times New Roman"/>
        </w:rPr>
        <w:t>Kalafatis</w:t>
      </w:r>
      <w:proofErr w:type="spellEnd"/>
      <w:r>
        <w:rPr>
          <w:rFonts w:ascii="Times New Roman" w:hAnsi="Times New Roman" w:cs="Times New Roman"/>
        </w:rPr>
        <w:t xml:space="preserve">, S. P. (2004). The development and validation of a scale measuring consumer/customer-derived generic typology of positioning strategies. </w:t>
      </w:r>
      <w:r>
        <w:rPr>
          <w:rFonts w:ascii="Times New Roman" w:hAnsi="Times New Roman" w:cs="Times New Roman"/>
          <w:i/>
          <w:iCs/>
        </w:rPr>
        <w:t>Journal of Marketing Management, 20</w:t>
      </w:r>
      <w:r>
        <w:rPr>
          <w:rFonts w:ascii="Times New Roman" w:hAnsi="Times New Roman" w:cs="Times New Roman"/>
        </w:rPr>
        <w:t xml:space="preserve">(1–2), 5–43. </w:t>
      </w:r>
      <w:hyperlink r:id="rId15" w:history="1">
        <w:r w:rsidR="005941F5" w:rsidRPr="00986E98">
          <w:rPr>
            <w:rStyle w:val="Hyperlink"/>
            <w:rFonts w:ascii="Times New Roman" w:hAnsi="Times New Roman" w:cs="Times New Roman"/>
          </w:rPr>
          <w:t>https://doi.org/10.1362/026725704773041123</w:t>
        </w:r>
      </w:hyperlink>
      <w:r w:rsidR="005941F5">
        <w:rPr>
          <w:rFonts w:ascii="Times New Roman" w:hAnsi="Times New Roman" w:cs="Times New Roman"/>
        </w:rPr>
        <w:t xml:space="preserve"> </w:t>
      </w:r>
    </w:p>
    <w:p w:rsidR="00337E61" w:rsidRDefault="00B825A8">
      <w:pPr>
        <w:rPr>
          <w:rFonts w:ascii="Times New Roman" w:hAnsi="Times New Roman" w:cs="Times New Roman"/>
        </w:rPr>
      </w:pPr>
      <w:proofErr w:type="spellStart"/>
      <w:r>
        <w:rPr>
          <w:rFonts w:ascii="Times New Roman" w:hAnsi="Times New Roman" w:cs="Times New Roman"/>
        </w:rPr>
        <w:t>Ceccagnoli</w:t>
      </w:r>
      <w:proofErr w:type="spellEnd"/>
      <w:r>
        <w:rPr>
          <w:rFonts w:ascii="Times New Roman" w:hAnsi="Times New Roman" w:cs="Times New Roman"/>
        </w:rPr>
        <w:t xml:space="preserve">, M. (2009). Appropriability, preemption, and firm performance. </w:t>
      </w:r>
      <w:r>
        <w:rPr>
          <w:rFonts w:ascii="Times New Roman" w:hAnsi="Times New Roman" w:cs="Times New Roman"/>
          <w:i/>
          <w:iCs/>
        </w:rPr>
        <w:t>Strategic Management Journal, 30</w:t>
      </w:r>
      <w:r>
        <w:rPr>
          <w:rFonts w:ascii="Times New Roman" w:hAnsi="Times New Roman" w:cs="Times New Roman"/>
        </w:rPr>
        <w:t xml:space="preserve">(1), 81–98. </w:t>
      </w:r>
      <w:hyperlink r:id="rId16" w:history="1">
        <w:r w:rsidR="005941F5" w:rsidRPr="00986E98">
          <w:rPr>
            <w:rStyle w:val="Hyperlink"/>
            <w:rFonts w:ascii="Times New Roman" w:hAnsi="Times New Roman" w:cs="Times New Roman"/>
          </w:rPr>
          <w:t>https://doi.org/10.1002/smj.724</w:t>
        </w:r>
      </w:hyperlink>
      <w:r w:rsidR="005941F5">
        <w:rPr>
          <w:rFonts w:ascii="Times New Roman" w:hAnsi="Times New Roman" w:cs="Times New Roman"/>
        </w:rPr>
        <w:t xml:space="preserve"> </w:t>
      </w:r>
    </w:p>
    <w:p w:rsidR="005941F5" w:rsidRDefault="005941F5">
      <w:pPr>
        <w:rPr>
          <w:rFonts w:ascii="Times New Roman" w:hAnsi="Times New Roman" w:cs="Times New Roman"/>
        </w:rPr>
      </w:pPr>
      <w:r w:rsidRPr="005941F5">
        <w:rPr>
          <w:rFonts w:ascii="Times New Roman" w:hAnsi="Times New Roman" w:cs="Times New Roman"/>
        </w:rPr>
        <w:t xml:space="preserve">Chesbrough, H. W. (2006). Open innovation: The new imperative for creating and profiting from technology. Harvard Business School Press. </w:t>
      </w:r>
      <w:hyperlink r:id="rId17" w:history="1">
        <w:r w:rsidRPr="00986E98">
          <w:rPr>
            <w:rStyle w:val="Hyperlink"/>
            <w:rFonts w:ascii="Times New Roman" w:hAnsi="Times New Roman" w:cs="Times New Roman"/>
          </w:rPr>
          <w:t>https://hbsp.harvard.edu/product/2831-PBK-ENG</w:t>
        </w:r>
      </w:hyperlink>
      <w:r>
        <w:rPr>
          <w:rFonts w:ascii="Times New Roman" w:hAnsi="Times New Roman" w:cs="Times New Roman"/>
        </w:rPr>
        <w:t xml:space="preserve"> </w:t>
      </w:r>
    </w:p>
    <w:p w:rsidR="00337E61" w:rsidRDefault="00B825A8">
      <w:pPr>
        <w:rPr>
          <w:rFonts w:ascii="Times New Roman" w:hAnsi="Times New Roman" w:cs="Times New Roman"/>
        </w:rPr>
      </w:pPr>
      <w:proofErr w:type="spellStart"/>
      <w:r>
        <w:rPr>
          <w:rFonts w:ascii="Times New Roman" w:hAnsi="Times New Roman" w:cs="Times New Roman"/>
        </w:rPr>
        <w:t>Dirisu</w:t>
      </w:r>
      <w:proofErr w:type="spellEnd"/>
      <w:r>
        <w:rPr>
          <w:rFonts w:ascii="Times New Roman" w:hAnsi="Times New Roman" w:cs="Times New Roman"/>
        </w:rPr>
        <w:t xml:space="preserve">, J. I., </w:t>
      </w:r>
      <w:proofErr w:type="spellStart"/>
      <w:r>
        <w:rPr>
          <w:rFonts w:ascii="Times New Roman" w:hAnsi="Times New Roman" w:cs="Times New Roman"/>
        </w:rPr>
        <w:t>Iyiola</w:t>
      </w:r>
      <w:proofErr w:type="spellEnd"/>
      <w:r>
        <w:rPr>
          <w:rFonts w:ascii="Times New Roman" w:hAnsi="Times New Roman" w:cs="Times New Roman"/>
        </w:rPr>
        <w:t xml:space="preserve">, O., &amp; </w:t>
      </w:r>
      <w:proofErr w:type="spellStart"/>
      <w:r>
        <w:rPr>
          <w:rFonts w:ascii="Times New Roman" w:hAnsi="Times New Roman" w:cs="Times New Roman"/>
        </w:rPr>
        <w:t>Ibidunni</w:t>
      </w:r>
      <w:proofErr w:type="spellEnd"/>
      <w:r>
        <w:rPr>
          <w:rFonts w:ascii="Times New Roman" w:hAnsi="Times New Roman" w:cs="Times New Roman"/>
        </w:rPr>
        <w:t xml:space="preserve">, O. S. (2013). Product differentiation: A tool of competitive advantage and optimal organizational performance. </w:t>
      </w:r>
      <w:r>
        <w:rPr>
          <w:rFonts w:ascii="Times New Roman" w:hAnsi="Times New Roman" w:cs="Times New Roman"/>
          <w:i/>
          <w:iCs/>
        </w:rPr>
        <w:t>European Scientific Journal, 9</w:t>
      </w:r>
      <w:r>
        <w:rPr>
          <w:rFonts w:ascii="Times New Roman" w:hAnsi="Times New Roman" w:cs="Times New Roman"/>
        </w:rPr>
        <w:t xml:space="preserve">(34), 258–281. </w:t>
      </w:r>
      <w:hyperlink r:id="rId18" w:history="1">
        <w:r w:rsidR="005941F5" w:rsidRPr="00986E98">
          <w:rPr>
            <w:rStyle w:val="Hyperlink"/>
            <w:rFonts w:ascii="Times New Roman" w:hAnsi="Times New Roman" w:cs="Times New Roman"/>
          </w:rPr>
          <w:t>https://doi.org/10.19044/esj.2013.v9n34p%25p</w:t>
        </w:r>
      </w:hyperlink>
      <w:r w:rsidR="005941F5">
        <w:rPr>
          <w:rFonts w:ascii="Times New Roman" w:hAnsi="Times New Roman" w:cs="Times New Roman"/>
        </w:rPr>
        <w:t xml:space="preserve"> </w:t>
      </w:r>
    </w:p>
    <w:p w:rsidR="005941F5" w:rsidRDefault="005941F5">
      <w:pPr>
        <w:rPr>
          <w:rFonts w:ascii="Times New Roman" w:hAnsi="Times New Roman" w:cs="Times New Roman"/>
        </w:rPr>
      </w:pPr>
      <w:proofErr w:type="spellStart"/>
      <w:r w:rsidRPr="005941F5">
        <w:rPr>
          <w:rFonts w:ascii="Times New Roman" w:hAnsi="Times New Roman" w:cs="Times New Roman"/>
        </w:rPr>
        <w:t>Feldwick</w:t>
      </w:r>
      <w:proofErr w:type="spellEnd"/>
      <w:r w:rsidRPr="005941F5">
        <w:rPr>
          <w:rFonts w:ascii="Times New Roman" w:hAnsi="Times New Roman" w:cs="Times New Roman"/>
        </w:rPr>
        <w:t xml:space="preserve">, P. (1996). What is brand equity anyway, and how do you measure it? Journal of the Market Research Society, 38(2), 85–104. </w:t>
      </w:r>
      <w:hyperlink r:id="rId19" w:history="1">
        <w:r w:rsidRPr="00986E98">
          <w:rPr>
            <w:rStyle w:val="Hyperlink"/>
            <w:rFonts w:ascii="Times New Roman" w:hAnsi="Times New Roman" w:cs="Times New Roman"/>
          </w:rPr>
          <w:t>https://doi.org/10.1177/147078539603800201</w:t>
        </w:r>
      </w:hyperlink>
      <w:r>
        <w:rPr>
          <w:rFonts w:ascii="Times New Roman" w:hAnsi="Times New Roman" w:cs="Times New Roman"/>
        </w:rPr>
        <w:t xml:space="preserve"> </w:t>
      </w:r>
    </w:p>
    <w:p w:rsidR="00337E61" w:rsidRDefault="00B825A8">
      <w:pPr>
        <w:rPr>
          <w:rFonts w:ascii="Times New Roman" w:hAnsi="Times New Roman" w:cs="Times New Roman"/>
        </w:rPr>
      </w:pPr>
      <w:proofErr w:type="spellStart"/>
      <w:r>
        <w:rPr>
          <w:rFonts w:ascii="Times New Roman" w:hAnsi="Times New Roman" w:cs="Times New Roman"/>
        </w:rPr>
        <w:t>Hurvich</w:t>
      </w:r>
      <w:proofErr w:type="spellEnd"/>
      <w:r>
        <w:rPr>
          <w:rFonts w:ascii="Times New Roman" w:hAnsi="Times New Roman" w:cs="Times New Roman"/>
        </w:rPr>
        <w:t xml:space="preserve">, L. M., &amp; Jameson, D. (1957). An opponent-process theory of color vision. </w:t>
      </w:r>
      <w:r>
        <w:rPr>
          <w:rFonts w:ascii="Times New Roman" w:hAnsi="Times New Roman" w:cs="Times New Roman"/>
          <w:i/>
          <w:iCs/>
        </w:rPr>
        <w:t>Psychological Review, 64</w:t>
      </w:r>
      <w:r>
        <w:rPr>
          <w:rFonts w:ascii="Times New Roman" w:hAnsi="Times New Roman" w:cs="Times New Roman"/>
        </w:rPr>
        <w:t xml:space="preserve">(6), 384–404. </w:t>
      </w:r>
      <w:hyperlink r:id="rId20" w:history="1">
        <w:r w:rsidR="005941F5" w:rsidRPr="00986E98">
          <w:rPr>
            <w:rStyle w:val="Hyperlink"/>
            <w:rFonts w:ascii="Times New Roman" w:hAnsi="Times New Roman" w:cs="Times New Roman"/>
          </w:rPr>
          <w:t>https://doi.org/10.1037/h0041403</w:t>
        </w:r>
      </w:hyperlink>
      <w:r w:rsidR="005941F5">
        <w:rPr>
          <w:rFonts w:ascii="Times New Roman" w:hAnsi="Times New Roman" w:cs="Times New Roman"/>
        </w:rPr>
        <w:t xml:space="preserve"> </w:t>
      </w:r>
    </w:p>
    <w:p w:rsidR="00337E61" w:rsidRDefault="00B825A8">
      <w:pPr>
        <w:rPr>
          <w:rFonts w:ascii="Times New Roman" w:hAnsi="Times New Roman" w:cs="Times New Roman"/>
        </w:rPr>
      </w:pPr>
      <w:r>
        <w:rPr>
          <w:rFonts w:ascii="Times New Roman" w:hAnsi="Times New Roman" w:cs="Times New Roman"/>
        </w:rPr>
        <w:t xml:space="preserve">Kano, N., </w:t>
      </w:r>
      <w:proofErr w:type="spellStart"/>
      <w:r>
        <w:rPr>
          <w:rFonts w:ascii="Times New Roman" w:hAnsi="Times New Roman" w:cs="Times New Roman"/>
        </w:rPr>
        <w:t>Seraku</w:t>
      </w:r>
      <w:proofErr w:type="spellEnd"/>
      <w:r>
        <w:rPr>
          <w:rFonts w:ascii="Times New Roman" w:hAnsi="Times New Roman" w:cs="Times New Roman"/>
        </w:rPr>
        <w:t xml:space="preserve">, N., Takahashi, F., &amp; Tsuji, S. (1984). Attractive quality and must-be quality. </w:t>
      </w:r>
      <w:r>
        <w:rPr>
          <w:rFonts w:ascii="Times New Roman" w:hAnsi="Times New Roman" w:cs="Times New Roman"/>
          <w:i/>
          <w:iCs/>
        </w:rPr>
        <w:t>Journal of the Japanese Society for Quality Control, 14</w:t>
      </w:r>
      <w:r>
        <w:rPr>
          <w:rFonts w:ascii="Times New Roman" w:hAnsi="Times New Roman" w:cs="Times New Roman"/>
        </w:rPr>
        <w:t>(2), 39–48.</w:t>
      </w:r>
    </w:p>
    <w:p w:rsidR="00337E61" w:rsidRDefault="00B825A8">
      <w:pPr>
        <w:rPr>
          <w:rFonts w:ascii="Times New Roman" w:hAnsi="Times New Roman" w:cs="Times New Roman"/>
        </w:rPr>
      </w:pPr>
      <w:r>
        <w:rPr>
          <w:rFonts w:ascii="Times New Roman" w:hAnsi="Times New Roman" w:cs="Times New Roman"/>
        </w:rPr>
        <w:t xml:space="preserve">Keller, K. L. (1993). Conceptualizing, measuring, and managing customer-based brand equity. </w:t>
      </w:r>
      <w:r>
        <w:rPr>
          <w:rFonts w:ascii="Times New Roman" w:hAnsi="Times New Roman" w:cs="Times New Roman"/>
          <w:i/>
          <w:iCs/>
        </w:rPr>
        <w:t>Journal of Marketing, 57</w:t>
      </w:r>
      <w:r>
        <w:rPr>
          <w:rFonts w:ascii="Times New Roman" w:hAnsi="Times New Roman" w:cs="Times New Roman"/>
        </w:rPr>
        <w:t xml:space="preserve">(1), 1–22. </w:t>
      </w:r>
      <w:hyperlink r:id="rId21" w:history="1">
        <w:r w:rsidR="005941F5" w:rsidRPr="00986E98">
          <w:rPr>
            <w:rStyle w:val="Hyperlink"/>
            <w:rFonts w:ascii="Times New Roman" w:hAnsi="Times New Roman" w:cs="Times New Roman"/>
          </w:rPr>
          <w:t>https://doi.org/10.1177/002224299305700101</w:t>
        </w:r>
      </w:hyperlink>
      <w:r w:rsidR="005941F5">
        <w:rPr>
          <w:rFonts w:ascii="Times New Roman" w:hAnsi="Times New Roman" w:cs="Times New Roman"/>
        </w:rPr>
        <w:t xml:space="preserve"> </w:t>
      </w:r>
    </w:p>
    <w:p w:rsidR="00337E61" w:rsidRDefault="00B825A8">
      <w:pPr>
        <w:rPr>
          <w:rFonts w:ascii="Times New Roman" w:hAnsi="Times New Roman" w:cs="Times New Roman"/>
        </w:rPr>
      </w:pPr>
      <w:r>
        <w:rPr>
          <w:rFonts w:ascii="Times New Roman" w:hAnsi="Times New Roman" w:cs="Times New Roman"/>
        </w:rPr>
        <w:t xml:space="preserve">Keller, K. L. (2003). </w:t>
      </w:r>
      <w:r>
        <w:rPr>
          <w:rFonts w:ascii="Times New Roman" w:hAnsi="Times New Roman" w:cs="Times New Roman"/>
          <w:i/>
          <w:iCs/>
        </w:rPr>
        <w:t>Strategic brand management: Building, measuring, and managing brand equity</w:t>
      </w:r>
      <w:r>
        <w:rPr>
          <w:rFonts w:ascii="Times New Roman" w:hAnsi="Times New Roman" w:cs="Times New Roman"/>
        </w:rPr>
        <w:t xml:space="preserve"> (2nd ed.). Upper Saddle River, NJ: Prentice Hall.</w:t>
      </w:r>
    </w:p>
    <w:p w:rsidR="005941F5" w:rsidRDefault="005941F5">
      <w:pPr>
        <w:rPr>
          <w:rFonts w:ascii="Times New Roman" w:hAnsi="Times New Roman" w:cs="Times New Roman"/>
        </w:rPr>
      </w:pPr>
      <w:proofErr w:type="spellStart"/>
      <w:r w:rsidRPr="005941F5">
        <w:rPr>
          <w:rFonts w:ascii="Times New Roman" w:hAnsi="Times New Roman" w:cs="Times New Roman"/>
        </w:rPr>
        <w:t>Popoli</w:t>
      </w:r>
      <w:proofErr w:type="spellEnd"/>
      <w:r w:rsidRPr="005941F5">
        <w:rPr>
          <w:rFonts w:ascii="Times New Roman" w:hAnsi="Times New Roman" w:cs="Times New Roman"/>
        </w:rPr>
        <w:t xml:space="preserve">, P. (2011). Linking CSR strategy and brand image: Different approaches in local and global markets. Marketing Theory, 11(4), 419–433. </w:t>
      </w:r>
      <w:hyperlink r:id="rId22" w:history="1">
        <w:r w:rsidRPr="00986E98">
          <w:rPr>
            <w:rStyle w:val="Hyperlink"/>
            <w:rFonts w:ascii="Times New Roman" w:hAnsi="Times New Roman" w:cs="Times New Roman"/>
          </w:rPr>
          <w:t>https://doi.org/10.1177/1470593111418795</w:t>
        </w:r>
      </w:hyperlink>
      <w:r>
        <w:rPr>
          <w:rFonts w:ascii="Times New Roman" w:hAnsi="Times New Roman" w:cs="Times New Roman"/>
        </w:rPr>
        <w:t xml:space="preserve"> </w:t>
      </w:r>
    </w:p>
    <w:p w:rsidR="005941F5" w:rsidRDefault="005941F5">
      <w:pPr>
        <w:rPr>
          <w:rFonts w:ascii="Times New Roman" w:hAnsi="Times New Roman" w:cs="Times New Roman"/>
        </w:rPr>
      </w:pPr>
      <w:r w:rsidRPr="005941F5">
        <w:rPr>
          <w:rFonts w:ascii="Times New Roman" w:hAnsi="Times New Roman" w:cs="Times New Roman"/>
        </w:rPr>
        <w:t xml:space="preserve">Porter, M. E. (1990). The competitive advantage of nations. New York: Free Press. </w:t>
      </w:r>
      <w:hyperlink r:id="rId23" w:history="1">
        <w:r w:rsidRPr="00986E98">
          <w:rPr>
            <w:rStyle w:val="Hyperlink"/>
            <w:rFonts w:ascii="Times New Roman" w:hAnsi="Times New Roman" w:cs="Times New Roman"/>
          </w:rPr>
          <w:t>https://www.simonandschuster.com/books/Competitive-Advantage-of-Nations/Michael-E-Porter/9780684841472</w:t>
        </w:r>
      </w:hyperlink>
      <w:r>
        <w:rPr>
          <w:rFonts w:ascii="Times New Roman" w:hAnsi="Times New Roman" w:cs="Times New Roman"/>
        </w:rPr>
        <w:t xml:space="preserve"> </w:t>
      </w:r>
    </w:p>
    <w:p w:rsidR="00337E61" w:rsidRDefault="00B825A8">
      <w:pPr>
        <w:rPr>
          <w:rFonts w:ascii="Times New Roman" w:hAnsi="Times New Roman" w:cs="Times New Roman"/>
        </w:rPr>
      </w:pPr>
      <w:r>
        <w:rPr>
          <w:rFonts w:ascii="Times New Roman" w:hAnsi="Times New Roman" w:cs="Times New Roman"/>
        </w:rPr>
        <w:lastRenderedPageBreak/>
        <w:t xml:space="preserve">Rahman, M., Haque, M. M., &amp; Ahmad, M. I. (2011). Brand differentiation to create customer value. </w:t>
      </w:r>
      <w:r>
        <w:rPr>
          <w:rFonts w:ascii="Times New Roman" w:hAnsi="Times New Roman" w:cs="Times New Roman"/>
          <w:i/>
          <w:iCs/>
        </w:rPr>
        <w:t>International Journal of Business and Management, 6</w:t>
      </w:r>
      <w:r>
        <w:rPr>
          <w:rFonts w:ascii="Times New Roman" w:hAnsi="Times New Roman" w:cs="Times New Roman"/>
        </w:rPr>
        <w:t xml:space="preserve">(3), 187–195. </w:t>
      </w:r>
      <w:hyperlink r:id="rId24" w:history="1">
        <w:r w:rsidR="005941F5" w:rsidRPr="00986E98">
          <w:rPr>
            <w:rStyle w:val="Hyperlink"/>
            <w:rFonts w:ascii="Times New Roman" w:hAnsi="Times New Roman" w:cs="Times New Roman"/>
          </w:rPr>
          <w:t>https://doi.org/10.5539/ijbm.v6n3p187</w:t>
        </w:r>
      </w:hyperlink>
      <w:r w:rsidR="005941F5">
        <w:rPr>
          <w:rFonts w:ascii="Times New Roman" w:hAnsi="Times New Roman" w:cs="Times New Roman"/>
        </w:rPr>
        <w:t xml:space="preserve"> </w:t>
      </w:r>
    </w:p>
    <w:p w:rsidR="005941F5" w:rsidRDefault="005941F5">
      <w:pPr>
        <w:rPr>
          <w:rFonts w:ascii="Times New Roman" w:hAnsi="Times New Roman" w:cs="Times New Roman"/>
        </w:rPr>
      </w:pPr>
      <w:r w:rsidRPr="005941F5">
        <w:rPr>
          <w:rFonts w:ascii="Times New Roman" w:hAnsi="Times New Roman" w:cs="Times New Roman"/>
        </w:rPr>
        <w:t xml:space="preserve">Rasmussen, E. S., &amp; Madsen, T. K. (2002). The born global concept. Paper presented at the 28th EIBA Conference, Athens, Greece. </w:t>
      </w:r>
      <w:hyperlink r:id="rId25" w:history="1">
        <w:r w:rsidRPr="00986E98">
          <w:rPr>
            <w:rStyle w:val="Hyperlink"/>
            <w:rFonts w:ascii="Times New Roman" w:hAnsi="Times New Roman" w:cs="Times New Roman"/>
          </w:rPr>
          <w:t>http://www.sam.sdu.dk/~era/EIBA%20Rasmussen%202002%20.pdf</w:t>
        </w:r>
      </w:hyperlink>
      <w:r>
        <w:rPr>
          <w:rFonts w:ascii="Times New Roman" w:hAnsi="Times New Roman" w:cs="Times New Roman"/>
        </w:rPr>
        <w:t xml:space="preserve"> </w:t>
      </w:r>
    </w:p>
    <w:p w:rsidR="00337E61" w:rsidRDefault="00B825A8">
      <w:pPr>
        <w:rPr>
          <w:rFonts w:ascii="Times New Roman" w:hAnsi="Times New Roman" w:cs="Times New Roman"/>
        </w:rPr>
      </w:pPr>
      <w:proofErr w:type="spellStart"/>
      <w:r>
        <w:rPr>
          <w:rFonts w:ascii="Times New Roman" w:hAnsi="Times New Roman" w:cs="Times New Roman"/>
        </w:rPr>
        <w:t>Ries</w:t>
      </w:r>
      <w:proofErr w:type="spellEnd"/>
      <w:r>
        <w:rPr>
          <w:rFonts w:ascii="Times New Roman" w:hAnsi="Times New Roman" w:cs="Times New Roman"/>
        </w:rPr>
        <w:t xml:space="preserve">, A., &amp; Trout, J. (1982). </w:t>
      </w:r>
      <w:r>
        <w:rPr>
          <w:rFonts w:ascii="Times New Roman" w:hAnsi="Times New Roman" w:cs="Times New Roman"/>
          <w:i/>
          <w:iCs/>
        </w:rPr>
        <w:t>Positioning: The battle for your mind</w:t>
      </w:r>
      <w:r>
        <w:rPr>
          <w:rFonts w:ascii="Times New Roman" w:hAnsi="Times New Roman" w:cs="Times New Roman"/>
        </w:rPr>
        <w:t>. New York: McGraw-Hill.</w:t>
      </w:r>
    </w:p>
    <w:p w:rsidR="005941F5" w:rsidRDefault="005941F5">
      <w:pPr>
        <w:rPr>
          <w:rFonts w:ascii="Times New Roman" w:hAnsi="Times New Roman" w:cs="Times New Roman"/>
        </w:rPr>
      </w:pPr>
      <w:r w:rsidRPr="005941F5">
        <w:rPr>
          <w:rFonts w:ascii="Times New Roman" w:hAnsi="Times New Roman" w:cs="Times New Roman"/>
        </w:rPr>
        <w:t xml:space="preserve">South, S. E. (1981). Competitive advantage: The cornerstone of strategic thinking. Journal of Business Strategy, 1(4), 15–25. </w:t>
      </w:r>
      <w:hyperlink r:id="rId26" w:history="1">
        <w:r w:rsidRPr="00986E98">
          <w:rPr>
            <w:rStyle w:val="Hyperlink"/>
            <w:rFonts w:ascii="Times New Roman" w:hAnsi="Times New Roman" w:cs="Times New Roman"/>
          </w:rPr>
          <w:t>https://doi.org/10.1108/eb038908</w:t>
        </w:r>
      </w:hyperlink>
      <w:r>
        <w:rPr>
          <w:rFonts w:ascii="Times New Roman" w:hAnsi="Times New Roman" w:cs="Times New Roman"/>
        </w:rPr>
        <w:t xml:space="preserve"> </w:t>
      </w:r>
    </w:p>
    <w:p w:rsidR="005941F5" w:rsidRDefault="005941F5">
      <w:pPr>
        <w:rPr>
          <w:rFonts w:ascii="Times New Roman" w:hAnsi="Times New Roman" w:cs="Times New Roman"/>
          <w:lang w:val="en-GB"/>
        </w:rPr>
      </w:pPr>
      <w:proofErr w:type="spellStart"/>
      <w:r w:rsidRPr="005941F5">
        <w:rPr>
          <w:rFonts w:ascii="Times New Roman" w:hAnsi="Times New Roman" w:cs="Times New Roman"/>
          <w:lang w:val="en-GB"/>
        </w:rPr>
        <w:t>Lamidi</w:t>
      </w:r>
      <w:proofErr w:type="spellEnd"/>
      <w:r w:rsidRPr="005941F5">
        <w:rPr>
          <w:rFonts w:ascii="Times New Roman" w:hAnsi="Times New Roman" w:cs="Times New Roman"/>
          <w:lang w:val="en-GB"/>
        </w:rPr>
        <w:t xml:space="preserve">, S., </w:t>
      </w:r>
      <w:proofErr w:type="spellStart"/>
      <w:r w:rsidRPr="005941F5">
        <w:rPr>
          <w:rFonts w:ascii="Times New Roman" w:hAnsi="Times New Roman" w:cs="Times New Roman"/>
          <w:lang w:val="en-GB"/>
        </w:rPr>
        <w:t>Olalere</w:t>
      </w:r>
      <w:proofErr w:type="spellEnd"/>
      <w:r w:rsidRPr="005941F5">
        <w:rPr>
          <w:rFonts w:ascii="Times New Roman" w:hAnsi="Times New Roman" w:cs="Times New Roman"/>
          <w:lang w:val="en-GB"/>
        </w:rPr>
        <w:t xml:space="preserve">, R., </w:t>
      </w:r>
      <w:proofErr w:type="spellStart"/>
      <w:r w:rsidRPr="005941F5">
        <w:rPr>
          <w:rFonts w:ascii="Times New Roman" w:hAnsi="Times New Roman" w:cs="Times New Roman"/>
          <w:lang w:val="en-GB"/>
        </w:rPr>
        <w:t>Yekinni</w:t>
      </w:r>
      <w:proofErr w:type="spellEnd"/>
      <w:r w:rsidRPr="005941F5">
        <w:rPr>
          <w:rFonts w:ascii="Times New Roman" w:hAnsi="Times New Roman" w:cs="Times New Roman"/>
          <w:lang w:val="en-GB"/>
        </w:rPr>
        <w:t xml:space="preserve">, A., &amp; Adesina, K. (2024). Design of Experiments (DOE): Applications and Benefits in Quality Control and Assurance. </w:t>
      </w:r>
      <w:proofErr w:type="spellStart"/>
      <w:r w:rsidRPr="005941F5">
        <w:rPr>
          <w:rFonts w:ascii="Times New Roman" w:hAnsi="Times New Roman" w:cs="Times New Roman"/>
          <w:lang w:val="en-GB"/>
        </w:rPr>
        <w:t>IntechOpen</w:t>
      </w:r>
      <w:proofErr w:type="spellEnd"/>
      <w:r w:rsidRPr="005941F5">
        <w:rPr>
          <w:rFonts w:ascii="Times New Roman" w:hAnsi="Times New Roman" w:cs="Times New Roman"/>
          <w:lang w:val="en-GB"/>
        </w:rPr>
        <w:t xml:space="preserve">. </w:t>
      </w:r>
      <w:hyperlink r:id="rId27" w:history="1">
        <w:r w:rsidRPr="00986E98">
          <w:rPr>
            <w:rStyle w:val="Hyperlink"/>
            <w:rFonts w:ascii="Times New Roman" w:hAnsi="Times New Roman" w:cs="Times New Roman"/>
            <w:lang w:val="en-GB"/>
          </w:rPr>
          <w:t>https://doi.org/10.5772/intechopen.113987</w:t>
        </w:r>
      </w:hyperlink>
      <w:r>
        <w:rPr>
          <w:rFonts w:ascii="Times New Roman" w:hAnsi="Times New Roman" w:cs="Times New Roman"/>
          <w:lang w:val="en-GB"/>
        </w:rPr>
        <w:t xml:space="preserve"> </w:t>
      </w:r>
    </w:p>
    <w:p w:rsidR="005941F5" w:rsidRDefault="005941F5">
      <w:pPr>
        <w:rPr>
          <w:rFonts w:ascii="Times New Roman" w:hAnsi="Times New Roman" w:cs="Times New Roman"/>
        </w:rPr>
      </w:pPr>
      <w:r w:rsidRPr="005941F5">
        <w:rPr>
          <w:rFonts w:ascii="Times New Roman" w:hAnsi="Times New Roman" w:cs="Times New Roman"/>
        </w:rPr>
        <w:t xml:space="preserve">Watson, G. H. (2007). Strategic benchmarking reloaded with Six Sigma: Improving your company’s performance using global best practice. New York: Wiley. </w:t>
      </w:r>
      <w:hyperlink r:id="rId28" w:history="1">
        <w:r w:rsidRPr="00986E98">
          <w:rPr>
            <w:rStyle w:val="Hyperlink"/>
            <w:rFonts w:ascii="Times New Roman" w:hAnsi="Times New Roman" w:cs="Times New Roman"/>
          </w:rPr>
          <w:t>https://doi.org/10.1002/9781119196648</w:t>
        </w:r>
      </w:hyperlink>
      <w:r>
        <w:rPr>
          <w:rFonts w:ascii="Times New Roman" w:hAnsi="Times New Roman" w:cs="Times New Roman"/>
        </w:rPr>
        <w:t xml:space="preserve"> </w:t>
      </w:r>
    </w:p>
    <w:p w:rsidR="005941F5" w:rsidRDefault="005941F5">
      <w:pPr>
        <w:rPr>
          <w:rFonts w:ascii="Times New Roman" w:hAnsi="Times New Roman" w:cs="Times New Roman"/>
        </w:rPr>
      </w:pPr>
      <w:proofErr w:type="spellStart"/>
      <w:r w:rsidRPr="005941F5">
        <w:rPr>
          <w:rFonts w:ascii="Times New Roman" w:hAnsi="Times New Roman" w:cs="Times New Roman"/>
        </w:rPr>
        <w:t>Wictor</w:t>
      </w:r>
      <w:proofErr w:type="spellEnd"/>
      <w:r w:rsidRPr="005941F5">
        <w:rPr>
          <w:rFonts w:ascii="Times New Roman" w:hAnsi="Times New Roman" w:cs="Times New Roman"/>
        </w:rPr>
        <w:t xml:space="preserve">, I. (2012). Born </w:t>
      </w:r>
      <w:proofErr w:type="spellStart"/>
      <w:r w:rsidRPr="005941F5">
        <w:rPr>
          <w:rFonts w:ascii="Times New Roman" w:hAnsi="Times New Roman" w:cs="Times New Roman"/>
        </w:rPr>
        <w:t>globals</w:t>
      </w:r>
      <w:proofErr w:type="spellEnd"/>
      <w:r w:rsidRPr="005941F5">
        <w:rPr>
          <w:rFonts w:ascii="Times New Roman" w:hAnsi="Times New Roman" w:cs="Times New Roman"/>
        </w:rPr>
        <w:t xml:space="preserve">: rapid international growth in new ventures. Jönköping International Business School. </w:t>
      </w:r>
      <w:hyperlink r:id="rId29" w:history="1">
        <w:r w:rsidRPr="00986E98">
          <w:rPr>
            <w:rStyle w:val="Hyperlink"/>
            <w:rFonts w:ascii="Times New Roman" w:hAnsi="Times New Roman" w:cs="Times New Roman"/>
          </w:rPr>
          <w:t>https://ju.diva-portal.org/smash/record.jsf?pid=diva2:534083</w:t>
        </w:r>
      </w:hyperlink>
      <w:r>
        <w:rPr>
          <w:rFonts w:ascii="Times New Roman" w:hAnsi="Times New Roman" w:cs="Times New Roman"/>
        </w:rPr>
        <w:t xml:space="preserve"> </w:t>
      </w:r>
    </w:p>
    <w:p w:rsidR="00337E61" w:rsidRDefault="00B825A8">
      <w:pPr>
        <w:rPr>
          <w:rFonts w:ascii="Times New Roman" w:hAnsi="Times New Roman" w:cs="Times New Roman"/>
        </w:rPr>
      </w:pPr>
      <w:r>
        <w:rPr>
          <w:rFonts w:ascii="Times New Roman" w:hAnsi="Times New Roman" w:cs="Times New Roman"/>
        </w:rPr>
        <w:t xml:space="preserve">Zahra, S. A., &amp; </w:t>
      </w:r>
      <w:proofErr w:type="spellStart"/>
      <w:r>
        <w:rPr>
          <w:rFonts w:ascii="Times New Roman" w:hAnsi="Times New Roman" w:cs="Times New Roman"/>
        </w:rPr>
        <w:t>Covin</w:t>
      </w:r>
      <w:proofErr w:type="spellEnd"/>
      <w:r>
        <w:rPr>
          <w:rFonts w:ascii="Times New Roman" w:hAnsi="Times New Roman" w:cs="Times New Roman"/>
        </w:rPr>
        <w:t xml:space="preserve">, J. G. (1993). Business strategy, technology policy and firm performance. </w:t>
      </w:r>
      <w:r>
        <w:rPr>
          <w:rFonts w:ascii="Times New Roman" w:hAnsi="Times New Roman" w:cs="Times New Roman"/>
          <w:i/>
          <w:iCs/>
        </w:rPr>
        <w:t>Strategic Management Journal, 14</w:t>
      </w:r>
      <w:r>
        <w:rPr>
          <w:rFonts w:ascii="Times New Roman" w:hAnsi="Times New Roman" w:cs="Times New Roman"/>
        </w:rPr>
        <w:t>(6), 451–478. https://doi.org/10.1002/smj.4250140605</w:t>
      </w:r>
    </w:p>
    <w:p w:rsidR="00337E61" w:rsidRDefault="005941F5">
      <w:pPr>
        <w:rPr>
          <w:rFonts w:ascii="Times New Roman" w:hAnsi="Times New Roman" w:cs="Times New Roman"/>
        </w:rPr>
      </w:pPr>
      <w:proofErr w:type="spellStart"/>
      <w:r w:rsidRPr="005941F5">
        <w:rPr>
          <w:rFonts w:ascii="Times New Roman" w:hAnsi="Times New Roman" w:cs="Times New Roman"/>
        </w:rPr>
        <w:t>Zott</w:t>
      </w:r>
      <w:proofErr w:type="spellEnd"/>
      <w:r w:rsidRPr="005941F5">
        <w:rPr>
          <w:rFonts w:ascii="Times New Roman" w:hAnsi="Times New Roman" w:cs="Times New Roman"/>
        </w:rPr>
        <w:t xml:space="preserve">, C., &amp; Amit, R. (2008). The fit between product market strategy and business model: Implications for firm performance. Strategic Management Journal, 29(1), 1–26. </w:t>
      </w:r>
      <w:hyperlink r:id="rId30" w:history="1">
        <w:r w:rsidRPr="00986E98">
          <w:rPr>
            <w:rStyle w:val="Hyperlink"/>
            <w:rFonts w:ascii="Times New Roman" w:hAnsi="Times New Roman" w:cs="Times New Roman"/>
          </w:rPr>
          <w:t>https://doi.org/10.1002/smj.642</w:t>
        </w:r>
      </w:hyperlink>
      <w:r>
        <w:rPr>
          <w:rFonts w:ascii="Times New Roman" w:hAnsi="Times New Roman" w:cs="Times New Roman"/>
        </w:rPr>
        <w:t xml:space="preserve"> </w:t>
      </w:r>
    </w:p>
    <w:p w:rsidR="005941F5" w:rsidRDefault="005941F5">
      <w:pPr>
        <w:rPr>
          <w:rFonts w:ascii="Times New Roman" w:hAnsi="Times New Roman" w:cs="Times New Roman"/>
        </w:rPr>
      </w:pPr>
    </w:p>
    <w:sectPr w:rsidR="005941F5">
      <w:headerReference w:type="even" r:id="rId31"/>
      <w:headerReference w:type="default" r:id="rId32"/>
      <w:footerReference w:type="even" r:id="rId33"/>
      <w:footerReference w:type="default" r:id="rId34"/>
      <w:headerReference w:type="first" r:id="rId35"/>
      <w:footerReference w:type="first" r:id="rId36"/>
      <w:pgSz w:w="12240" w:h="15840"/>
      <w:pgMar w:top="8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78B" w:rsidRDefault="0077678B">
      <w:pPr>
        <w:spacing w:line="240" w:lineRule="auto"/>
      </w:pPr>
      <w:r>
        <w:separator/>
      </w:r>
    </w:p>
  </w:endnote>
  <w:endnote w:type="continuationSeparator" w:id="0">
    <w:p w:rsidR="0077678B" w:rsidRDefault="00776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0C" w:rsidRDefault="005B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0C" w:rsidRDefault="005B65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0C" w:rsidRDefault="005B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78B" w:rsidRDefault="0077678B">
      <w:pPr>
        <w:spacing w:after="0"/>
      </w:pPr>
      <w:r>
        <w:separator/>
      </w:r>
    </w:p>
  </w:footnote>
  <w:footnote w:type="continuationSeparator" w:id="0">
    <w:p w:rsidR="0077678B" w:rsidRDefault="007767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0C" w:rsidRDefault="005B6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0C" w:rsidRDefault="005B6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50C" w:rsidRDefault="005B65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30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B2B3C"/>
    <w:multiLevelType w:val="multilevel"/>
    <w:tmpl w:val="2DFB2B3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7F"/>
    <w:rsid w:val="00082F0E"/>
    <w:rsid w:val="000E3C96"/>
    <w:rsid w:val="000F346A"/>
    <w:rsid w:val="00112532"/>
    <w:rsid w:val="00117B2D"/>
    <w:rsid w:val="00157DDB"/>
    <w:rsid w:val="001B78A9"/>
    <w:rsid w:val="001C6096"/>
    <w:rsid w:val="001D5253"/>
    <w:rsid w:val="001D6897"/>
    <w:rsid w:val="00222D07"/>
    <w:rsid w:val="00237F56"/>
    <w:rsid w:val="002F5EAE"/>
    <w:rsid w:val="00337E61"/>
    <w:rsid w:val="00361DC9"/>
    <w:rsid w:val="0036607F"/>
    <w:rsid w:val="003949D8"/>
    <w:rsid w:val="005844BF"/>
    <w:rsid w:val="005941F5"/>
    <w:rsid w:val="005A4112"/>
    <w:rsid w:val="005B650C"/>
    <w:rsid w:val="00601B60"/>
    <w:rsid w:val="006534FD"/>
    <w:rsid w:val="00755334"/>
    <w:rsid w:val="0077678B"/>
    <w:rsid w:val="007D3489"/>
    <w:rsid w:val="0081241A"/>
    <w:rsid w:val="00856793"/>
    <w:rsid w:val="008B1D94"/>
    <w:rsid w:val="009231DC"/>
    <w:rsid w:val="0098550A"/>
    <w:rsid w:val="00994A8C"/>
    <w:rsid w:val="009A394F"/>
    <w:rsid w:val="009B5767"/>
    <w:rsid w:val="009D0F90"/>
    <w:rsid w:val="00A1639E"/>
    <w:rsid w:val="00A60A86"/>
    <w:rsid w:val="00A90C96"/>
    <w:rsid w:val="00AA4088"/>
    <w:rsid w:val="00B32272"/>
    <w:rsid w:val="00B825A8"/>
    <w:rsid w:val="00C20370"/>
    <w:rsid w:val="00D66895"/>
    <w:rsid w:val="00EB356C"/>
    <w:rsid w:val="00F25BE4"/>
    <w:rsid w:val="00F571F1"/>
    <w:rsid w:val="00FE652C"/>
    <w:rsid w:val="07DB0BF3"/>
    <w:rsid w:val="0E616D3D"/>
    <w:rsid w:val="0EFA6A4F"/>
    <w:rsid w:val="10E20F9C"/>
    <w:rsid w:val="373621B2"/>
    <w:rsid w:val="55F953A8"/>
    <w:rsid w:val="57E21745"/>
    <w:rsid w:val="58015CD8"/>
    <w:rsid w:val="6665550D"/>
    <w:rsid w:val="6D3700DB"/>
    <w:rsid w:val="7BEB1505"/>
    <w:rsid w:val="7C1E487D"/>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CAEDA1"/>
  <w15:docId w15:val="{9E52BBC5-56B4-48B6-8E26-9E6F93C7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s-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bidi="ar-SA"/>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bidi="ar-SA"/>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table" w:customStyle="1" w:styleId="PlainTable21">
    <w:name w:val="Plain Table 21"/>
    <w:basedOn w:val="TableNormal"/>
    <w:uiPriority w:val="42"/>
    <w:qFormat/>
    <w:rPr>
      <w:sz w:val="22"/>
      <w:szCs w:val="22"/>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5941F5"/>
    <w:rPr>
      <w:color w:val="605E5C"/>
      <w:shd w:val="clear" w:color="auto" w:fill="E1DFDD"/>
    </w:rPr>
  </w:style>
  <w:style w:type="paragraph" w:styleId="Header">
    <w:name w:val="header"/>
    <w:basedOn w:val="Normal"/>
    <w:link w:val="HeaderChar"/>
    <w:uiPriority w:val="99"/>
    <w:unhideWhenUsed/>
    <w:rsid w:val="005B6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50C"/>
    <w:rPr>
      <w:rFonts w:asciiTheme="minorHAnsi" w:eastAsiaTheme="minorHAnsi" w:hAnsiTheme="minorHAnsi" w:cstheme="minorBidi"/>
      <w:kern w:val="2"/>
      <w:sz w:val="24"/>
      <w:szCs w:val="24"/>
      <w:lang w:val="en-US" w:eastAsia="en-US" w:bidi="ar-SA"/>
      <w14:ligatures w14:val="standardContextual"/>
    </w:rPr>
  </w:style>
  <w:style w:type="paragraph" w:styleId="Footer">
    <w:name w:val="footer"/>
    <w:basedOn w:val="Normal"/>
    <w:link w:val="FooterChar"/>
    <w:uiPriority w:val="99"/>
    <w:unhideWhenUsed/>
    <w:rsid w:val="005B6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50C"/>
    <w:rPr>
      <w:rFonts w:asciiTheme="minorHAnsi" w:eastAsiaTheme="minorHAnsi" w:hAnsiTheme="minorHAnsi" w:cstheme="minorBidi"/>
      <w:kern w:val="2"/>
      <w:sz w:val="24"/>
      <w:szCs w:val="24"/>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emj.2004.09.010" TargetMode="External"/><Relationship Id="rId18" Type="http://schemas.openxmlformats.org/officeDocument/2006/relationships/hyperlink" Target="https://doi.org/10.19044/esj.2013.v9n34p%25p" TargetMode="External"/><Relationship Id="rId26" Type="http://schemas.openxmlformats.org/officeDocument/2006/relationships/hyperlink" Target="https://doi.org/10.1108/eb038908" TargetMode="External"/><Relationship Id="rId21" Type="http://schemas.openxmlformats.org/officeDocument/2006/relationships/hyperlink" Target="https://doi.org/10.1177/002224299305700101"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hbsp.harvard.edu/product/2831-PBK-ENG" TargetMode="External"/><Relationship Id="rId25" Type="http://schemas.openxmlformats.org/officeDocument/2006/relationships/hyperlink" Target="http://www.sam.sdu.dk/~era/EIBA%20Rasmussen%202002%20.pdf"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02/smj.724" TargetMode="External"/><Relationship Id="rId20" Type="http://schemas.openxmlformats.org/officeDocument/2006/relationships/hyperlink" Target="https://doi.org/10.1037/h0041403" TargetMode="External"/><Relationship Id="rId29" Type="http://schemas.openxmlformats.org/officeDocument/2006/relationships/hyperlink" Target="https://ju.diva-portal.org/smash/record.jsf?pid=diva2:5340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5539/ijbm.v6n3p187"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362/026725704773041123" TargetMode="External"/><Relationship Id="rId23" Type="http://schemas.openxmlformats.org/officeDocument/2006/relationships/hyperlink" Target="https://www.simonandschuster.com/books/Competitive-Advantage-of-Nations/Michael-E-Porter/9780684841472" TargetMode="External"/><Relationship Id="rId28" Type="http://schemas.openxmlformats.org/officeDocument/2006/relationships/hyperlink" Target="https://doi.org/10.1002/9781119196648" TargetMode="External"/><Relationship Id="rId36"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177/147078539603800201"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86/208543" TargetMode="External"/><Relationship Id="rId22" Type="http://schemas.openxmlformats.org/officeDocument/2006/relationships/hyperlink" Target="https://doi.org/10.1177/1470593111418795" TargetMode="External"/><Relationship Id="rId27" Type="http://schemas.openxmlformats.org/officeDocument/2006/relationships/hyperlink" Target="https://doi.org/10.5772/intechopen.113987" TargetMode="External"/><Relationship Id="rId30" Type="http://schemas.openxmlformats.org/officeDocument/2006/relationships/hyperlink" Target="https://doi.org/10.1002/smj.642" TargetMode="External"/><Relationship Id="rId35"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14</Pages>
  <Words>3917</Words>
  <Characters>22331</Characters>
  <Application>Microsoft Office Word</Application>
  <DocSecurity>0</DocSecurity>
  <Lines>186</Lines>
  <Paragraphs>52</Paragraphs>
  <ScaleCrop>false</ScaleCrop>
  <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Idris ADIGUN</dc:creator>
  <cp:lastModifiedBy>SDI 1084</cp:lastModifiedBy>
  <cp:revision>13</cp:revision>
  <dcterms:created xsi:type="dcterms:W3CDTF">2025-08-21T16:49:00Z</dcterms:created>
  <dcterms:modified xsi:type="dcterms:W3CDTF">2025-12-27T07:48:00Z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EE26FEC2719749F692A67B25ED7F330F_13</vt:lpwstr>
  </property>
</Properties>
</file>