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4B07E" w14:textId="77777777" w:rsidR="00762CF1" w:rsidRPr="001E6906" w:rsidRDefault="00762CF1" w:rsidP="006E2238">
      <w:pPr>
        <w:spacing w:after="160" w:line="360" w:lineRule="auto"/>
        <w:jc w:val="both"/>
        <w:rPr>
          <w:rFonts w:ascii="Arial" w:hAnsi="Arial" w:cs="Arial"/>
          <w:sz w:val="22"/>
          <w:szCs w:val="22"/>
        </w:rPr>
      </w:pPr>
    </w:p>
    <w:p w14:paraId="42C48A91" w14:textId="5F40B007" w:rsidR="00175278" w:rsidRDefault="00175278" w:rsidP="006E2238">
      <w:pPr>
        <w:spacing w:after="160" w:line="360" w:lineRule="auto"/>
        <w:jc w:val="center"/>
        <w:rPr>
          <w:rFonts w:ascii="Arial" w:hAnsi="Arial" w:cs="Arial"/>
          <w:b/>
          <w:bCs/>
          <w:sz w:val="22"/>
          <w:szCs w:val="22"/>
        </w:rPr>
      </w:pPr>
      <w:r w:rsidRPr="00175278">
        <w:rPr>
          <w:rFonts w:ascii="Arial" w:hAnsi="Arial" w:cs="Arial"/>
          <w:b/>
          <w:bCs/>
          <w:sz w:val="22"/>
          <w:szCs w:val="22"/>
        </w:rPr>
        <w:t>Original Research Article</w:t>
      </w:r>
    </w:p>
    <w:p w14:paraId="0E63BDAC" w14:textId="703F2D94" w:rsidR="00CD3539" w:rsidRPr="001E6906" w:rsidRDefault="00CD3539" w:rsidP="006E2238">
      <w:pPr>
        <w:spacing w:after="160" w:line="360" w:lineRule="auto"/>
        <w:jc w:val="center"/>
        <w:rPr>
          <w:rFonts w:ascii="Arial" w:hAnsi="Arial" w:cs="Arial"/>
          <w:b/>
          <w:bCs/>
          <w:sz w:val="22"/>
          <w:szCs w:val="22"/>
        </w:rPr>
      </w:pPr>
      <w:r w:rsidRPr="001E6906">
        <w:rPr>
          <w:rFonts w:ascii="Arial" w:hAnsi="Arial" w:cs="Arial"/>
          <w:b/>
          <w:bCs/>
          <w:sz w:val="22"/>
          <w:szCs w:val="22"/>
        </w:rPr>
        <w:t xml:space="preserve"> COVID-19</w:t>
      </w:r>
      <w:r w:rsidR="00F17EF4" w:rsidRPr="001E6906">
        <w:rPr>
          <w:rFonts w:ascii="Arial" w:hAnsi="Arial" w:cs="Arial"/>
          <w:b/>
          <w:bCs/>
          <w:sz w:val="22"/>
          <w:szCs w:val="22"/>
        </w:rPr>
        <w:t xml:space="preserve"> Pandemic</w:t>
      </w:r>
      <w:r w:rsidRPr="001E6906">
        <w:rPr>
          <w:rFonts w:ascii="Arial" w:hAnsi="Arial" w:cs="Arial"/>
          <w:b/>
          <w:bCs/>
          <w:sz w:val="22"/>
          <w:szCs w:val="22"/>
        </w:rPr>
        <w:t xml:space="preserve"> and Gendered Labour Market Shocks</w:t>
      </w:r>
      <w:r w:rsidR="00F17EF4" w:rsidRPr="001E6906">
        <w:rPr>
          <w:rFonts w:ascii="Arial" w:hAnsi="Arial" w:cs="Arial"/>
          <w:b/>
          <w:bCs/>
          <w:sz w:val="22"/>
          <w:szCs w:val="22"/>
        </w:rPr>
        <w:t xml:space="preserve"> in </w:t>
      </w:r>
      <w:r w:rsidR="00203DE4" w:rsidRPr="001E6906">
        <w:rPr>
          <w:rFonts w:ascii="Arial" w:hAnsi="Arial" w:cs="Arial"/>
          <w:b/>
          <w:bCs/>
          <w:sz w:val="22"/>
          <w:szCs w:val="22"/>
        </w:rPr>
        <w:t xml:space="preserve">India </w:t>
      </w:r>
    </w:p>
    <w:p w14:paraId="312DE14B" w14:textId="77777777" w:rsidR="008658E8" w:rsidRDefault="008658E8" w:rsidP="006E2238">
      <w:pPr>
        <w:spacing w:line="360" w:lineRule="auto"/>
        <w:jc w:val="center"/>
        <w:rPr>
          <w:rFonts w:ascii="Arial" w:hAnsi="Arial" w:cs="Arial"/>
          <w:sz w:val="22"/>
          <w:szCs w:val="22"/>
        </w:rPr>
      </w:pPr>
    </w:p>
    <w:p w14:paraId="314A54CE" w14:textId="16901978" w:rsidR="00C463B3" w:rsidRPr="001E6906" w:rsidRDefault="00CD3539" w:rsidP="006E2238">
      <w:pPr>
        <w:spacing w:line="360" w:lineRule="auto"/>
        <w:jc w:val="center"/>
        <w:rPr>
          <w:rFonts w:ascii="Arial" w:hAnsi="Arial" w:cs="Arial"/>
          <w:b/>
          <w:bCs/>
          <w:sz w:val="22"/>
          <w:szCs w:val="22"/>
        </w:rPr>
      </w:pPr>
      <w:bookmarkStart w:id="0" w:name="_GoBack"/>
      <w:bookmarkEnd w:id="0"/>
      <w:r w:rsidRPr="001E6906">
        <w:rPr>
          <w:rFonts w:ascii="Arial" w:hAnsi="Arial" w:cs="Arial"/>
          <w:b/>
          <w:bCs/>
          <w:sz w:val="22"/>
          <w:szCs w:val="22"/>
        </w:rPr>
        <w:t>Abstract:</w:t>
      </w:r>
    </w:p>
    <w:p w14:paraId="0BA41DCF" w14:textId="77777777" w:rsidR="00D33E22" w:rsidRPr="001E6906" w:rsidRDefault="00D33E22" w:rsidP="006E2238">
      <w:pPr>
        <w:spacing w:line="360" w:lineRule="auto"/>
        <w:jc w:val="both"/>
        <w:rPr>
          <w:rFonts w:ascii="Arial" w:hAnsi="Arial" w:cs="Arial"/>
          <w:i/>
          <w:iCs/>
          <w:color w:val="000000"/>
          <w:sz w:val="22"/>
          <w:szCs w:val="22"/>
        </w:rPr>
      </w:pPr>
      <w:r w:rsidRPr="001E6906">
        <w:rPr>
          <w:rFonts w:ascii="Arial" w:hAnsi="Arial" w:cs="Arial"/>
          <w:i/>
          <w:iCs/>
          <w:color w:val="000000"/>
          <w:sz w:val="22"/>
          <w:szCs w:val="22"/>
        </w:rPr>
        <w:t>The COVID-19 pandemic triggered a major economic shock in India, disrupting labour markets and livelihoods across sectors. Although the crisis was not gender-neutral, the labour-market data from the Periodic Labour Force Survey (PLFS) show a pattern different from what global evidence suggests. This study analyses gendered labour-market outcomes before, durin</w:t>
      </w:r>
      <w:r w:rsidR="00495A1C" w:rsidRPr="001E6906">
        <w:rPr>
          <w:rFonts w:ascii="Arial" w:hAnsi="Arial" w:cs="Arial"/>
          <w:i/>
          <w:iCs/>
          <w:color w:val="000000"/>
          <w:sz w:val="22"/>
          <w:szCs w:val="22"/>
        </w:rPr>
        <w:t xml:space="preserve">g </w:t>
      </w:r>
      <w:r w:rsidRPr="001E6906">
        <w:rPr>
          <w:rFonts w:ascii="Arial" w:hAnsi="Arial" w:cs="Arial"/>
          <w:i/>
          <w:iCs/>
          <w:color w:val="000000"/>
          <w:sz w:val="22"/>
          <w:szCs w:val="22"/>
        </w:rPr>
        <w:t>and after the pandemic using key indicators</w:t>
      </w:r>
      <w:r w:rsidR="00495A1C" w:rsidRPr="001E6906">
        <w:rPr>
          <w:rFonts w:ascii="Arial" w:hAnsi="Arial" w:cs="Arial"/>
          <w:i/>
          <w:iCs/>
          <w:color w:val="000000"/>
          <w:sz w:val="22"/>
          <w:szCs w:val="22"/>
        </w:rPr>
        <w:t xml:space="preserve">- </w:t>
      </w:r>
      <w:r w:rsidRPr="001E6906">
        <w:rPr>
          <w:rFonts w:ascii="Arial" w:hAnsi="Arial" w:cs="Arial"/>
          <w:i/>
          <w:iCs/>
          <w:color w:val="000000"/>
          <w:sz w:val="22"/>
          <w:szCs w:val="22"/>
        </w:rPr>
        <w:t>Labour Force Participation Rate (LFPR), Worker Population Ratio (WPR), and the Unemployment Rate</w:t>
      </w:r>
      <w:r w:rsidR="00164633" w:rsidRPr="001E6906">
        <w:rPr>
          <w:rFonts w:ascii="Arial" w:hAnsi="Arial" w:cs="Arial"/>
          <w:i/>
          <w:iCs/>
          <w:color w:val="000000"/>
          <w:sz w:val="22"/>
          <w:szCs w:val="22"/>
        </w:rPr>
        <w:t xml:space="preserve"> </w:t>
      </w:r>
      <w:r w:rsidRPr="001E6906">
        <w:rPr>
          <w:rFonts w:ascii="Arial" w:hAnsi="Arial" w:cs="Arial"/>
          <w:i/>
          <w:iCs/>
          <w:color w:val="000000"/>
          <w:sz w:val="22"/>
          <w:szCs w:val="22"/>
        </w:rPr>
        <w:t>disaggregated by sex. The findings show that female LFPR and WPR</w:t>
      </w:r>
      <w:r w:rsidRPr="001E6906">
        <w:rPr>
          <w:rStyle w:val="apple-converted-space"/>
          <w:rFonts w:ascii="Arial" w:eastAsiaTheme="majorEastAsia" w:hAnsi="Arial" w:cs="Arial"/>
          <w:i/>
          <w:iCs/>
          <w:color w:val="000000"/>
          <w:sz w:val="22"/>
          <w:szCs w:val="22"/>
        </w:rPr>
        <w:t> </w:t>
      </w:r>
      <w:r w:rsidRPr="001E6906">
        <w:rPr>
          <w:rStyle w:val="Strong"/>
          <w:rFonts w:ascii="Arial" w:eastAsiaTheme="majorEastAsia" w:hAnsi="Arial" w:cs="Arial"/>
          <w:b w:val="0"/>
          <w:bCs w:val="0"/>
          <w:i/>
          <w:iCs/>
          <w:color w:val="000000"/>
          <w:sz w:val="22"/>
          <w:szCs w:val="22"/>
        </w:rPr>
        <w:t>increased</w:t>
      </w:r>
      <w:r w:rsidRPr="001E6906">
        <w:rPr>
          <w:rFonts w:ascii="Arial" w:hAnsi="Arial" w:cs="Arial"/>
          <w:b/>
          <w:bCs/>
          <w:i/>
          <w:iCs/>
          <w:color w:val="000000"/>
          <w:sz w:val="22"/>
          <w:szCs w:val="22"/>
        </w:rPr>
        <w:t>,</w:t>
      </w:r>
      <w:r w:rsidRPr="001E6906">
        <w:rPr>
          <w:rFonts w:ascii="Arial" w:hAnsi="Arial" w:cs="Arial"/>
          <w:i/>
          <w:iCs/>
          <w:color w:val="000000"/>
          <w:sz w:val="22"/>
          <w:szCs w:val="22"/>
        </w:rPr>
        <w:t xml:space="preserve"> particularly in rural areas, as women moved into agriculture, livestock rearing, home-based work, and other forms of unpaid family labour during the pandemic and post-pandemic periods. At the same time, female unemployment</w:t>
      </w:r>
      <w:r w:rsidRPr="001E6906">
        <w:rPr>
          <w:rStyle w:val="apple-converted-space"/>
          <w:rFonts w:ascii="Arial" w:eastAsiaTheme="majorEastAsia" w:hAnsi="Arial" w:cs="Arial"/>
          <w:i/>
          <w:iCs/>
          <w:color w:val="000000"/>
          <w:sz w:val="22"/>
          <w:szCs w:val="22"/>
        </w:rPr>
        <w:t> </w:t>
      </w:r>
      <w:r w:rsidRPr="001E6906">
        <w:rPr>
          <w:rStyle w:val="Strong"/>
          <w:rFonts w:ascii="Arial" w:eastAsiaTheme="majorEastAsia" w:hAnsi="Arial" w:cs="Arial"/>
          <w:b w:val="0"/>
          <w:bCs w:val="0"/>
          <w:i/>
          <w:iCs/>
          <w:color w:val="000000"/>
          <w:sz w:val="22"/>
          <w:szCs w:val="22"/>
        </w:rPr>
        <w:t>declined</w:t>
      </w:r>
      <w:r w:rsidRPr="001E6906">
        <w:rPr>
          <w:rFonts w:ascii="Arial" w:hAnsi="Arial" w:cs="Arial"/>
          <w:i/>
          <w:iCs/>
          <w:color w:val="000000"/>
          <w:sz w:val="22"/>
          <w:szCs w:val="22"/>
        </w:rPr>
        <w:t>, partly because women were absorbed into informal, low-productivity activities rather than exiting the labour force. Male LFPR and WPR remained relatively stable, while male unemployment decreased gradually over time. Sectoral trends indicate a shift of both men and women into agriculture and self-employment, reflecting distress-driven adjustments after the pandemic. Overall, the results suggest that the rise in women’s participation was</w:t>
      </w:r>
      <w:r w:rsidRPr="001E6906">
        <w:rPr>
          <w:rStyle w:val="apple-converted-space"/>
          <w:rFonts w:ascii="Arial" w:eastAsiaTheme="majorEastAsia" w:hAnsi="Arial" w:cs="Arial"/>
          <w:i/>
          <w:iCs/>
          <w:color w:val="000000"/>
          <w:sz w:val="22"/>
          <w:szCs w:val="22"/>
        </w:rPr>
        <w:t> </w:t>
      </w:r>
      <w:r w:rsidRPr="001E6906">
        <w:rPr>
          <w:rStyle w:val="Strong"/>
          <w:rFonts w:ascii="Arial" w:eastAsiaTheme="majorEastAsia" w:hAnsi="Arial" w:cs="Arial"/>
          <w:b w:val="0"/>
          <w:bCs w:val="0"/>
          <w:i/>
          <w:iCs/>
          <w:color w:val="000000"/>
          <w:sz w:val="22"/>
          <w:szCs w:val="22"/>
        </w:rPr>
        <w:t>not due to improved job opportunities</w:t>
      </w:r>
      <w:r w:rsidRPr="001E6906">
        <w:rPr>
          <w:rFonts w:ascii="Arial" w:hAnsi="Arial" w:cs="Arial"/>
          <w:i/>
          <w:iCs/>
          <w:color w:val="000000"/>
          <w:sz w:val="22"/>
          <w:szCs w:val="22"/>
        </w:rPr>
        <w:t>, but rather due to</w:t>
      </w:r>
      <w:r w:rsidRPr="001E6906">
        <w:rPr>
          <w:rStyle w:val="apple-converted-space"/>
          <w:rFonts w:ascii="Arial" w:eastAsiaTheme="majorEastAsia" w:hAnsi="Arial" w:cs="Arial"/>
          <w:b/>
          <w:bCs/>
          <w:i/>
          <w:iCs/>
          <w:color w:val="000000"/>
          <w:sz w:val="22"/>
          <w:szCs w:val="22"/>
        </w:rPr>
        <w:t> </w:t>
      </w:r>
      <w:r w:rsidRPr="001E6906">
        <w:rPr>
          <w:rStyle w:val="Strong"/>
          <w:rFonts w:ascii="Arial" w:eastAsiaTheme="majorEastAsia" w:hAnsi="Arial" w:cs="Arial"/>
          <w:b w:val="0"/>
          <w:bCs w:val="0"/>
          <w:i/>
          <w:iCs/>
          <w:color w:val="000000"/>
          <w:sz w:val="22"/>
          <w:szCs w:val="22"/>
        </w:rPr>
        <w:t>economic necessity</w:t>
      </w:r>
      <w:r w:rsidRPr="001E6906">
        <w:rPr>
          <w:rFonts w:ascii="Arial" w:hAnsi="Arial" w:cs="Arial"/>
          <w:i/>
          <w:iCs/>
          <w:color w:val="000000"/>
          <w:sz w:val="22"/>
          <w:szCs w:val="22"/>
        </w:rPr>
        <w:t>, reverse migratio</w:t>
      </w:r>
      <w:r w:rsidR="00495A1C" w:rsidRPr="001E6906">
        <w:rPr>
          <w:rFonts w:ascii="Arial" w:hAnsi="Arial" w:cs="Arial"/>
          <w:i/>
          <w:iCs/>
          <w:color w:val="000000"/>
          <w:sz w:val="22"/>
          <w:szCs w:val="22"/>
        </w:rPr>
        <w:t>n</w:t>
      </w:r>
      <w:r w:rsidRPr="001E6906">
        <w:rPr>
          <w:rFonts w:ascii="Arial" w:hAnsi="Arial" w:cs="Arial"/>
          <w:i/>
          <w:iCs/>
          <w:color w:val="000000"/>
          <w:sz w:val="22"/>
          <w:szCs w:val="22"/>
        </w:rPr>
        <w:t xml:space="preserve"> and increased reliance on informal rural work. The study highlights the gendered nature of these adjustments and underscores the need for policies that distinguish between empowerment-led and distress-led labour-force participation.</w:t>
      </w:r>
    </w:p>
    <w:p w14:paraId="32183FCE" w14:textId="77777777" w:rsidR="00164633" w:rsidRPr="001E6906" w:rsidRDefault="00164633" w:rsidP="006E2238">
      <w:pPr>
        <w:spacing w:line="360" w:lineRule="auto"/>
        <w:jc w:val="both"/>
        <w:rPr>
          <w:rFonts w:ascii="Arial" w:hAnsi="Arial" w:cs="Arial"/>
          <w:i/>
          <w:iCs/>
          <w:color w:val="000000"/>
          <w:sz w:val="22"/>
          <w:szCs w:val="22"/>
        </w:rPr>
      </w:pPr>
    </w:p>
    <w:p w14:paraId="67547EC0" w14:textId="77777777" w:rsidR="001E6906" w:rsidRDefault="00D33E22" w:rsidP="006E2238">
      <w:pPr>
        <w:spacing w:line="360" w:lineRule="auto"/>
        <w:jc w:val="both"/>
        <w:rPr>
          <w:rFonts w:ascii="Arial" w:hAnsi="Arial" w:cs="Arial"/>
          <w:b/>
          <w:bCs/>
          <w:sz w:val="20"/>
          <w:szCs w:val="20"/>
        </w:rPr>
      </w:pPr>
      <w:r w:rsidRPr="001E6906">
        <w:rPr>
          <w:rFonts w:ascii="Arial" w:hAnsi="Arial" w:cs="Arial"/>
          <w:color w:val="000000"/>
          <w:sz w:val="20"/>
          <w:szCs w:val="20"/>
        </w:rPr>
        <w:t xml:space="preserve">Keywords: </w:t>
      </w:r>
      <w:r w:rsidR="00164633" w:rsidRPr="001E6906">
        <w:rPr>
          <w:rFonts w:ascii="Arial" w:hAnsi="Arial" w:cs="Arial"/>
          <w:color w:val="000000"/>
          <w:sz w:val="20"/>
          <w:szCs w:val="20"/>
        </w:rPr>
        <w:t>COVID-19 pandemic</w:t>
      </w:r>
      <w:r w:rsidR="00E11682" w:rsidRPr="001E6906">
        <w:rPr>
          <w:rFonts w:ascii="Arial" w:hAnsi="Arial" w:cs="Arial"/>
          <w:color w:val="000000"/>
          <w:sz w:val="20"/>
          <w:szCs w:val="20"/>
        </w:rPr>
        <w:t>;</w:t>
      </w:r>
      <w:r w:rsidR="00164633" w:rsidRPr="001E6906">
        <w:rPr>
          <w:rFonts w:ascii="Arial" w:hAnsi="Arial" w:cs="Arial"/>
          <w:color w:val="000000"/>
          <w:sz w:val="20"/>
          <w:szCs w:val="20"/>
        </w:rPr>
        <w:t xml:space="preserve"> gender-neutral</w:t>
      </w:r>
      <w:r w:rsidR="00E11682" w:rsidRPr="001E6906">
        <w:rPr>
          <w:rFonts w:ascii="Arial" w:hAnsi="Arial" w:cs="Arial"/>
          <w:color w:val="000000"/>
          <w:sz w:val="20"/>
          <w:szCs w:val="20"/>
        </w:rPr>
        <w:t>;</w:t>
      </w:r>
      <w:r w:rsidR="00164633" w:rsidRPr="001E6906">
        <w:rPr>
          <w:rFonts w:ascii="Arial" w:hAnsi="Arial" w:cs="Arial"/>
          <w:color w:val="000000"/>
          <w:sz w:val="20"/>
          <w:szCs w:val="20"/>
        </w:rPr>
        <w:t xml:space="preserve"> labour market</w:t>
      </w:r>
      <w:r w:rsidR="00E11682" w:rsidRPr="001E6906">
        <w:rPr>
          <w:rFonts w:ascii="Arial" w:hAnsi="Arial" w:cs="Arial"/>
          <w:color w:val="000000"/>
          <w:sz w:val="20"/>
          <w:szCs w:val="20"/>
        </w:rPr>
        <w:t>; unemployment; LFPR; WPR</w:t>
      </w:r>
    </w:p>
    <w:p w14:paraId="2F8F7F71" w14:textId="77777777" w:rsidR="00341525" w:rsidRPr="001E6906" w:rsidRDefault="008445C4" w:rsidP="006E2238">
      <w:pPr>
        <w:spacing w:line="360" w:lineRule="auto"/>
        <w:jc w:val="both"/>
        <w:rPr>
          <w:rFonts w:ascii="Arial" w:hAnsi="Arial" w:cs="Arial"/>
          <w:b/>
          <w:bCs/>
          <w:sz w:val="20"/>
          <w:szCs w:val="20"/>
        </w:rPr>
      </w:pPr>
      <w:r w:rsidRPr="001E6906">
        <w:rPr>
          <w:rFonts w:ascii="Arial" w:hAnsi="Arial" w:cs="Arial"/>
          <w:b/>
          <w:bCs/>
          <w:i/>
          <w:iCs/>
          <w:sz w:val="22"/>
          <w:szCs w:val="22"/>
        </w:rPr>
        <w:tab/>
      </w:r>
    </w:p>
    <w:p w14:paraId="2F18D6E9" w14:textId="77777777" w:rsidR="00CD3539" w:rsidRPr="001E6906" w:rsidRDefault="00357DB7" w:rsidP="00357DB7">
      <w:pPr>
        <w:pStyle w:val="p2"/>
        <w:spacing w:line="360" w:lineRule="auto"/>
        <w:jc w:val="both"/>
        <w:rPr>
          <w:rFonts w:ascii="Arial" w:hAnsi="Arial" w:cs="Arial"/>
          <w:sz w:val="22"/>
          <w:szCs w:val="22"/>
        </w:rPr>
      </w:pPr>
      <w:r w:rsidRPr="001E6906">
        <w:rPr>
          <w:rFonts w:ascii="Arial" w:hAnsi="Arial" w:cs="Arial"/>
          <w:b/>
          <w:bCs/>
          <w:sz w:val="22"/>
          <w:szCs w:val="22"/>
        </w:rPr>
        <w:t>1.</w:t>
      </w:r>
      <w:r w:rsidR="00AA0367" w:rsidRPr="001E6906">
        <w:rPr>
          <w:rFonts w:ascii="Arial" w:hAnsi="Arial" w:cs="Arial"/>
          <w:b/>
          <w:bCs/>
          <w:sz w:val="22"/>
          <w:szCs w:val="22"/>
        </w:rPr>
        <w:t xml:space="preserve"> </w:t>
      </w:r>
      <w:r w:rsidR="00CD3539" w:rsidRPr="001E6906">
        <w:rPr>
          <w:rFonts w:ascii="Arial" w:hAnsi="Arial" w:cs="Arial"/>
          <w:b/>
          <w:bCs/>
          <w:sz w:val="22"/>
          <w:szCs w:val="22"/>
        </w:rPr>
        <w:t xml:space="preserve">Introduction: </w:t>
      </w:r>
      <w:r w:rsidR="00CD3539" w:rsidRPr="001E6906">
        <w:rPr>
          <w:rFonts w:ascii="Arial" w:hAnsi="Arial" w:cs="Arial"/>
          <w:sz w:val="22"/>
          <w:szCs w:val="22"/>
        </w:rPr>
        <w:t xml:space="preserve">The outbreak of </w:t>
      </w:r>
      <w:r w:rsidR="006E00A7" w:rsidRPr="001E6906">
        <w:rPr>
          <w:rFonts w:ascii="Arial" w:hAnsi="Arial" w:cs="Arial"/>
          <w:sz w:val="22"/>
          <w:szCs w:val="22"/>
        </w:rPr>
        <w:t xml:space="preserve">the </w:t>
      </w:r>
      <w:r w:rsidR="00CD3539" w:rsidRPr="001E6906">
        <w:rPr>
          <w:rFonts w:ascii="Arial" w:hAnsi="Arial" w:cs="Arial"/>
          <w:sz w:val="22"/>
          <w:szCs w:val="22"/>
        </w:rPr>
        <w:t>COVID-19 Pandemic in early 2020 precipitated not only a global</w:t>
      </w:r>
      <w:r w:rsidR="00D41589" w:rsidRPr="001E6906">
        <w:rPr>
          <w:rFonts w:ascii="Arial" w:hAnsi="Arial" w:cs="Arial"/>
          <w:sz w:val="22"/>
          <w:szCs w:val="22"/>
        </w:rPr>
        <w:t xml:space="preserve"> </w:t>
      </w:r>
      <w:r w:rsidR="00CD3539" w:rsidRPr="001E6906">
        <w:rPr>
          <w:rFonts w:ascii="Arial" w:hAnsi="Arial" w:cs="Arial"/>
          <w:sz w:val="22"/>
          <w:szCs w:val="22"/>
        </w:rPr>
        <w:t>health cris</w:t>
      </w:r>
      <w:r w:rsidR="00365489" w:rsidRPr="001E6906">
        <w:rPr>
          <w:rFonts w:ascii="Arial" w:hAnsi="Arial" w:cs="Arial"/>
          <w:sz w:val="22"/>
          <w:szCs w:val="22"/>
        </w:rPr>
        <w:t>is</w:t>
      </w:r>
      <w:r w:rsidR="00CD3539" w:rsidRPr="001E6906">
        <w:rPr>
          <w:rFonts w:ascii="Arial" w:hAnsi="Arial" w:cs="Arial"/>
          <w:sz w:val="22"/>
          <w:szCs w:val="22"/>
        </w:rPr>
        <w:t xml:space="preserve"> but also unprecedented economic disruption across the world. The Pandemic has left a worldwide long</w:t>
      </w:r>
      <w:r w:rsidR="00365489" w:rsidRPr="001E6906">
        <w:rPr>
          <w:rFonts w:ascii="Arial" w:hAnsi="Arial" w:cs="Arial"/>
          <w:sz w:val="22"/>
          <w:szCs w:val="22"/>
        </w:rPr>
        <w:t>-</w:t>
      </w:r>
      <w:r w:rsidR="00CD3539" w:rsidRPr="001E6906">
        <w:rPr>
          <w:rFonts w:ascii="Arial" w:hAnsi="Arial" w:cs="Arial"/>
          <w:sz w:val="22"/>
          <w:szCs w:val="22"/>
        </w:rPr>
        <w:t>lasting impact. During the pandemic</w:t>
      </w:r>
      <w:r w:rsidR="00365489" w:rsidRPr="001E6906">
        <w:rPr>
          <w:rFonts w:ascii="Arial" w:hAnsi="Arial" w:cs="Arial"/>
          <w:sz w:val="22"/>
          <w:szCs w:val="22"/>
        </w:rPr>
        <w:t>,</w:t>
      </w:r>
      <w:r w:rsidR="00CD3539" w:rsidRPr="001E6906">
        <w:rPr>
          <w:rFonts w:ascii="Arial" w:hAnsi="Arial" w:cs="Arial"/>
          <w:sz w:val="22"/>
          <w:szCs w:val="22"/>
        </w:rPr>
        <w:t xml:space="preserve"> the countries of the world are facing economic downfall. To curb the spread of the virus, countries implemented strict lockdowns and social distancing measures, which </w:t>
      </w:r>
      <w:r w:rsidR="006E00A7" w:rsidRPr="001E6906">
        <w:rPr>
          <w:rFonts w:ascii="Arial" w:hAnsi="Arial" w:cs="Arial"/>
          <w:sz w:val="22"/>
          <w:szCs w:val="22"/>
        </w:rPr>
        <w:t xml:space="preserve">had </w:t>
      </w:r>
      <w:r w:rsidR="00CD3539" w:rsidRPr="001E6906">
        <w:rPr>
          <w:rFonts w:ascii="Arial" w:hAnsi="Arial" w:cs="Arial"/>
          <w:sz w:val="22"/>
          <w:szCs w:val="22"/>
        </w:rPr>
        <w:t>a profound impact on employment. These measures led to widespread reductions in working hours, furloughs, and a shift to work-from home arrangements</w:t>
      </w:r>
      <w:r w:rsidR="00BF1F0B" w:rsidRPr="001E6906">
        <w:rPr>
          <w:rFonts w:ascii="Arial" w:hAnsi="Arial" w:cs="Arial"/>
          <w:sz w:val="22"/>
          <w:szCs w:val="22"/>
        </w:rPr>
        <w:t>.</w:t>
      </w:r>
      <w:r w:rsidR="00F17919" w:rsidRPr="001E6906">
        <w:rPr>
          <w:rFonts w:ascii="Arial" w:hAnsi="Arial" w:cs="Arial"/>
          <w:sz w:val="22"/>
          <w:szCs w:val="22"/>
        </w:rPr>
        <w:t xml:space="preserve"> </w:t>
      </w:r>
      <w:r w:rsidR="00CD3539" w:rsidRPr="001E6906">
        <w:rPr>
          <w:rFonts w:ascii="Arial" w:hAnsi="Arial" w:cs="Arial"/>
          <w:sz w:val="22"/>
          <w:szCs w:val="22"/>
        </w:rPr>
        <w:t xml:space="preserve">The ensuing economic downturn forced many companies to downsize or declare bankruptcy, resulting </w:t>
      </w:r>
      <w:r w:rsidR="006E00A7" w:rsidRPr="001E6906">
        <w:rPr>
          <w:rFonts w:ascii="Arial" w:hAnsi="Arial" w:cs="Arial"/>
          <w:sz w:val="22"/>
          <w:szCs w:val="22"/>
        </w:rPr>
        <w:t>in</w:t>
      </w:r>
      <w:r w:rsidR="00CD3539" w:rsidRPr="001E6906">
        <w:rPr>
          <w:rFonts w:ascii="Arial" w:hAnsi="Arial" w:cs="Arial"/>
          <w:sz w:val="22"/>
          <w:szCs w:val="22"/>
        </w:rPr>
        <w:t xml:space="preserve"> many employees </w:t>
      </w:r>
      <w:r w:rsidR="00AA0367" w:rsidRPr="001E6906">
        <w:rPr>
          <w:rFonts w:ascii="Arial" w:hAnsi="Arial" w:cs="Arial"/>
          <w:sz w:val="22"/>
          <w:szCs w:val="22"/>
        </w:rPr>
        <w:t>working</w:t>
      </w:r>
      <w:r w:rsidR="00CD3539" w:rsidRPr="001E6906">
        <w:rPr>
          <w:rFonts w:ascii="Arial" w:hAnsi="Arial" w:cs="Arial"/>
          <w:sz w:val="22"/>
          <w:szCs w:val="22"/>
        </w:rPr>
        <w:t xml:space="preserve"> fewer hours, reduced pay, or complete job loss</w:t>
      </w:r>
      <w:r w:rsidR="00762CF1" w:rsidRPr="001E6906">
        <w:rPr>
          <w:rFonts w:ascii="Arial" w:hAnsi="Arial" w:cs="Arial"/>
          <w:sz w:val="22"/>
          <w:szCs w:val="22"/>
        </w:rPr>
        <w:t xml:space="preserve"> </w:t>
      </w:r>
      <w:r w:rsidR="00CD57E4" w:rsidRPr="001E6906">
        <w:rPr>
          <w:rFonts w:ascii="Arial" w:hAnsi="Arial" w:cs="Arial"/>
          <w:sz w:val="22"/>
          <w:szCs w:val="22"/>
        </w:rPr>
        <w:lastRenderedPageBreak/>
        <w:t>(</w:t>
      </w:r>
      <w:r w:rsidR="00A663E5" w:rsidRPr="001E6906">
        <w:rPr>
          <w:rFonts w:ascii="Arial" w:hAnsi="Arial" w:cs="Arial"/>
          <w:sz w:val="22"/>
          <w:szCs w:val="22"/>
        </w:rPr>
        <w:t>Malte Reichelt et</w:t>
      </w:r>
      <w:r w:rsidR="006E00A7" w:rsidRPr="001E6906">
        <w:rPr>
          <w:rFonts w:ascii="Arial" w:hAnsi="Arial" w:cs="Arial"/>
          <w:sz w:val="22"/>
          <w:szCs w:val="22"/>
        </w:rPr>
        <w:t xml:space="preserve"> </w:t>
      </w:r>
      <w:r w:rsidR="00AA0367" w:rsidRPr="001E6906">
        <w:rPr>
          <w:rFonts w:ascii="Arial" w:hAnsi="Arial" w:cs="Arial"/>
          <w:sz w:val="22"/>
          <w:szCs w:val="22"/>
        </w:rPr>
        <w:t>a</w:t>
      </w:r>
      <w:r w:rsidR="00A663E5" w:rsidRPr="001E6906">
        <w:rPr>
          <w:rFonts w:ascii="Arial" w:hAnsi="Arial" w:cs="Arial"/>
          <w:sz w:val="22"/>
          <w:szCs w:val="22"/>
        </w:rPr>
        <w:t>l</w:t>
      </w:r>
      <w:r w:rsidR="00AA0367" w:rsidRPr="001E6906">
        <w:rPr>
          <w:rFonts w:ascii="Arial" w:hAnsi="Arial" w:cs="Arial"/>
          <w:sz w:val="22"/>
          <w:szCs w:val="22"/>
        </w:rPr>
        <w:t>.</w:t>
      </w:r>
      <w:r w:rsidR="00A663E5" w:rsidRPr="001E6906">
        <w:rPr>
          <w:rFonts w:ascii="Arial" w:hAnsi="Arial" w:cs="Arial"/>
          <w:sz w:val="22"/>
          <w:szCs w:val="22"/>
        </w:rPr>
        <w:t>,</w:t>
      </w:r>
      <w:r w:rsidR="006E00A7" w:rsidRPr="001E6906">
        <w:rPr>
          <w:rFonts w:ascii="Arial" w:hAnsi="Arial" w:cs="Arial"/>
          <w:sz w:val="22"/>
          <w:szCs w:val="22"/>
        </w:rPr>
        <w:t xml:space="preserve"> </w:t>
      </w:r>
      <w:r w:rsidR="00E50A4F" w:rsidRPr="001E6906">
        <w:rPr>
          <w:rFonts w:ascii="Arial" w:hAnsi="Arial" w:cs="Arial"/>
          <w:sz w:val="22"/>
          <w:szCs w:val="22"/>
        </w:rPr>
        <w:t>2021</w:t>
      </w:r>
      <w:r w:rsidR="00CD57E4" w:rsidRPr="001E6906">
        <w:rPr>
          <w:rFonts w:ascii="Arial" w:hAnsi="Arial" w:cs="Arial"/>
          <w:sz w:val="22"/>
          <w:szCs w:val="22"/>
        </w:rPr>
        <w:t>)</w:t>
      </w:r>
      <w:r w:rsidR="00CD3539" w:rsidRPr="001E6906">
        <w:rPr>
          <w:rFonts w:ascii="Arial" w:hAnsi="Arial" w:cs="Arial"/>
          <w:sz w:val="22"/>
          <w:szCs w:val="22"/>
        </w:rPr>
        <w:t xml:space="preserve">. As a result of </w:t>
      </w:r>
      <w:r w:rsidR="006E00A7" w:rsidRPr="001E6906">
        <w:rPr>
          <w:rFonts w:ascii="Arial" w:hAnsi="Arial" w:cs="Arial"/>
          <w:sz w:val="22"/>
          <w:szCs w:val="22"/>
        </w:rPr>
        <w:t>this</w:t>
      </w:r>
      <w:r w:rsidR="00CD3539" w:rsidRPr="001E6906">
        <w:rPr>
          <w:rFonts w:ascii="Arial" w:hAnsi="Arial" w:cs="Arial"/>
          <w:sz w:val="22"/>
          <w:szCs w:val="22"/>
        </w:rPr>
        <w:t>, there w</w:t>
      </w:r>
      <w:r w:rsidR="006E00A7" w:rsidRPr="001E6906">
        <w:rPr>
          <w:rFonts w:ascii="Arial" w:hAnsi="Arial" w:cs="Arial"/>
          <w:sz w:val="22"/>
          <w:szCs w:val="22"/>
        </w:rPr>
        <w:t>ere</w:t>
      </w:r>
      <w:r w:rsidR="00CD3539" w:rsidRPr="001E6906">
        <w:rPr>
          <w:rFonts w:ascii="Arial" w:hAnsi="Arial" w:cs="Arial"/>
          <w:sz w:val="22"/>
          <w:szCs w:val="22"/>
        </w:rPr>
        <w:t xml:space="preserve"> widespread job losses that severely impacted its labour market. </w:t>
      </w:r>
      <w:r w:rsidR="00D87D6A" w:rsidRPr="001E6906">
        <w:rPr>
          <w:rFonts w:ascii="Arial" w:hAnsi="Arial" w:cs="Arial"/>
          <w:sz w:val="22"/>
          <w:szCs w:val="22"/>
        </w:rPr>
        <w:t xml:space="preserve">These developments had immediate negative effects and raised broader concerns about </w:t>
      </w:r>
      <w:r w:rsidR="006E00A7" w:rsidRPr="001E6906">
        <w:rPr>
          <w:rFonts w:ascii="Arial" w:hAnsi="Arial" w:cs="Arial"/>
          <w:sz w:val="22"/>
          <w:szCs w:val="22"/>
        </w:rPr>
        <w:t xml:space="preserve">the </w:t>
      </w:r>
      <w:r w:rsidR="00D87D6A" w:rsidRPr="001E6906">
        <w:rPr>
          <w:rFonts w:ascii="Arial" w:hAnsi="Arial" w:cs="Arial"/>
          <w:sz w:val="22"/>
          <w:szCs w:val="22"/>
        </w:rPr>
        <w:t>pandemic’s implications for gender inequality in the workforce.</w:t>
      </w:r>
    </w:p>
    <w:p w14:paraId="66F97FB6" w14:textId="77777777" w:rsidR="001C59C7" w:rsidRPr="001E6906" w:rsidRDefault="00CD3539" w:rsidP="006E2238">
      <w:pPr>
        <w:pStyle w:val="p2"/>
        <w:spacing w:line="360" w:lineRule="auto"/>
        <w:jc w:val="both"/>
        <w:rPr>
          <w:rFonts w:ascii="Arial" w:hAnsi="Arial" w:cs="Arial"/>
          <w:sz w:val="22"/>
          <w:szCs w:val="22"/>
        </w:rPr>
      </w:pPr>
      <w:r w:rsidRPr="001E6906">
        <w:rPr>
          <w:rFonts w:ascii="Arial" w:hAnsi="Arial" w:cs="Arial"/>
          <w:sz w:val="22"/>
          <w:szCs w:val="22"/>
        </w:rPr>
        <w:t xml:space="preserve">              </w:t>
      </w:r>
      <w:r w:rsidR="001C59C7" w:rsidRPr="001E6906">
        <w:rPr>
          <w:rFonts w:ascii="Arial" w:hAnsi="Arial" w:cs="Arial"/>
          <w:sz w:val="22"/>
          <w:szCs w:val="22"/>
        </w:rPr>
        <w:t xml:space="preserve">   Research highlights a sharp contrast in how men and women navigated the crisis. A study by the World Bank (2020) found that while 43% of those employed in December 2019 had lost employment by April 2020, 95% of that pre-pandemic workforce was back in employment by August. However, this recovery was accompanied by a </w:t>
      </w:r>
      <w:r w:rsidR="006E00A7" w:rsidRPr="001E6906">
        <w:rPr>
          <w:rFonts w:ascii="Arial" w:hAnsi="Arial" w:cs="Arial"/>
          <w:sz w:val="22"/>
          <w:szCs w:val="22"/>
        </w:rPr>
        <w:t>significant</w:t>
      </w:r>
      <w:r w:rsidR="001C59C7" w:rsidRPr="001E6906">
        <w:rPr>
          <w:rFonts w:ascii="Arial" w:hAnsi="Arial" w:cs="Arial"/>
          <w:sz w:val="22"/>
          <w:szCs w:val="22"/>
        </w:rPr>
        <w:t xml:space="preserve"> </w:t>
      </w:r>
      <w:r w:rsidR="006E00A7" w:rsidRPr="001E6906">
        <w:rPr>
          <w:rFonts w:ascii="Arial" w:hAnsi="Arial" w:cs="Arial"/>
          <w:sz w:val="22"/>
          <w:szCs w:val="22"/>
        </w:rPr>
        <w:t>shift</w:t>
      </w:r>
      <w:r w:rsidR="001C59C7" w:rsidRPr="001E6906">
        <w:rPr>
          <w:rFonts w:ascii="Arial" w:hAnsi="Arial" w:cs="Arial"/>
          <w:sz w:val="22"/>
          <w:szCs w:val="22"/>
        </w:rPr>
        <w:t xml:space="preserve"> </w:t>
      </w:r>
      <w:r w:rsidR="006E00A7" w:rsidRPr="001E6906">
        <w:rPr>
          <w:rFonts w:ascii="Arial" w:hAnsi="Arial" w:cs="Arial"/>
          <w:sz w:val="22"/>
          <w:szCs w:val="22"/>
        </w:rPr>
        <w:t>in</w:t>
      </w:r>
      <w:r w:rsidR="001C59C7" w:rsidRPr="001E6906">
        <w:rPr>
          <w:rFonts w:ascii="Arial" w:hAnsi="Arial" w:cs="Arial"/>
          <w:sz w:val="22"/>
          <w:szCs w:val="22"/>
        </w:rPr>
        <w:t xml:space="preserve"> workers </w:t>
      </w:r>
      <w:r w:rsidR="006E00A7" w:rsidRPr="001E6906">
        <w:rPr>
          <w:rFonts w:ascii="Arial" w:hAnsi="Arial" w:cs="Arial"/>
          <w:sz w:val="22"/>
          <w:szCs w:val="22"/>
        </w:rPr>
        <w:t>toward</w:t>
      </w:r>
      <w:r w:rsidR="001C59C7" w:rsidRPr="001E6906">
        <w:rPr>
          <w:rFonts w:ascii="Arial" w:hAnsi="Arial" w:cs="Arial"/>
          <w:sz w:val="22"/>
          <w:szCs w:val="22"/>
        </w:rPr>
        <w:t xml:space="preserve"> informal employment, particularly self-employment. Nearly 30% of those who held formal jobs in April were engaged in self-employment by August. This transition was highly gendered. A large share of men </w:t>
      </w:r>
      <w:r w:rsidR="006E00A7" w:rsidRPr="001E6906">
        <w:rPr>
          <w:rFonts w:ascii="Arial" w:hAnsi="Arial" w:cs="Arial"/>
          <w:sz w:val="22"/>
          <w:szCs w:val="22"/>
        </w:rPr>
        <w:t>transition</w:t>
      </w:r>
      <w:r w:rsidR="001C59C7" w:rsidRPr="001E6906">
        <w:rPr>
          <w:rFonts w:ascii="Arial" w:hAnsi="Arial" w:cs="Arial"/>
          <w:sz w:val="22"/>
          <w:szCs w:val="22"/>
        </w:rPr>
        <w:t xml:space="preserve">ed into self-employment or daily wage work in sectors </w:t>
      </w:r>
      <w:r w:rsidR="006E00A7" w:rsidRPr="001E6906">
        <w:rPr>
          <w:rFonts w:ascii="Arial" w:hAnsi="Arial" w:cs="Arial"/>
          <w:sz w:val="22"/>
          <w:szCs w:val="22"/>
        </w:rPr>
        <w:t>such as</w:t>
      </w:r>
      <w:r w:rsidR="001C59C7" w:rsidRPr="001E6906">
        <w:rPr>
          <w:rFonts w:ascii="Arial" w:hAnsi="Arial" w:cs="Arial"/>
          <w:sz w:val="22"/>
          <w:szCs w:val="22"/>
        </w:rPr>
        <w:t xml:space="preserve"> agriculture, trade, or construction. For women, on the other hand, there was limited movement into such alternate employment arrangements or industries. Faced with job losses and increased domestic duties, women were often forced to exit the workforce altogether, while men were able to negotiate across different industries and employment types (Abraham et</w:t>
      </w:r>
      <w:r w:rsidR="00AA0367" w:rsidRPr="001E6906">
        <w:rPr>
          <w:rFonts w:ascii="Arial" w:hAnsi="Arial" w:cs="Arial"/>
          <w:sz w:val="22"/>
          <w:szCs w:val="22"/>
        </w:rPr>
        <w:t xml:space="preserve"> al.</w:t>
      </w:r>
      <w:r w:rsidR="001C59C7" w:rsidRPr="001E6906">
        <w:rPr>
          <w:rFonts w:ascii="Arial" w:hAnsi="Arial" w:cs="Arial"/>
          <w:sz w:val="22"/>
          <w:szCs w:val="22"/>
        </w:rPr>
        <w:t>,</w:t>
      </w:r>
      <w:r w:rsidR="006A7296" w:rsidRPr="001E6906">
        <w:rPr>
          <w:rFonts w:ascii="Arial" w:hAnsi="Arial" w:cs="Arial"/>
          <w:sz w:val="22"/>
          <w:szCs w:val="22"/>
        </w:rPr>
        <w:t xml:space="preserve"> 2022</w:t>
      </w:r>
      <w:r w:rsidR="001C59C7" w:rsidRPr="001E6906">
        <w:rPr>
          <w:rFonts w:ascii="Arial" w:hAnsi="Arial" w:cs="Arial"/>
          <w:sz w:val="22"/>
          <w:szCs w:val="22"/>
        </w:rPr>
        <w:t>). This is supported by Deshpande (2020), who reported larger absolute employment losses for men. Bertrand et</w:t>
      </w:r>
      <w:r w:rsidR="00AA0367" w:rsidRPr="001E6906">
        <w:rPr>
          <w:rFonts w:ascii="Arial" w:hAnsi="Arial" w:cs="Arial"/>
          <w:sz w:val="22"/>
          <w:szCs w:val="22"/>
        </w:rPr>
        <w:t xml:space="preserve"> al.</w:t>
      </w:r>
      <w:r w:rsidR="00BC7067" w:rsidRPr="001E6906">
        <w:rPr>
          <w:rFonts w:ascii="Arial" w:hAnsi="Arial" w:cs="Arial"/>
          <w:sz w:val="22"/>
          <w:szCs w:val="22"/>
        </w:rPr>
        <w:t xml:space="preserve"> </w:t>
      </w:r>
      <w:r w:rsidR="001C59C7" w:rsidRPr="001E6906">
        <w:rPr>
          <w:rFonts w:ascii="Arial" w:hAnsi="Arial" w:cs="Arial"/>
          <w:sz w:val="22"/>
          <w:szCs w:val="22"/>
        </w:rPr>
        <w:t>(2020) noted that despite unemployment rates returning to pre-lockdown levels, workforce participation rates remained two to three percentage points below, indicating a persistent decline in engagement, likely driven by women's exit. Emotional exhaustion, psychological stress, and work–life conflict were found to be disproportionately severe for mothers (</w:t>
      </w:r>
      <w:proofErr w:type="spellStart"/>
      <w:r w:rsidR="001C59C7" w:rsidRPr="001E6906">
        <w:rPr>
          <w:rFonts w:ascii="Arial" w:hAnsi="Arial" w:cs="Arial"/>
          <w:sz w:val="22"/>
          <w:szCs w:val="22"/>
        </w:rPr>
        <w:t>Heggeness</w:t>
      </w:r>
      <w:proofErr w:type="spellEnd"/>
      <w:r w:rsidR="001C59C7" w:rsidRPr="001E6906">
        <w:rPr>
          <w:rFonts w:ascii="Arial" w:hAnsi="Arial" w:cs="Arial"/>
          <w:sz w:val="22"/>
          <w:szCs w:val="22"/>
        </w:rPr>
        <w:t>, 2020).</w:t>
      </w:r>
    </w:p>
    <w:p w14:paraId="0CA54582" w14:textId="77777777" w:rsidR="00762CF1" w:rsidRPr="001E6906" w:rsidRDefault="001C59C7" w:rsidP="006E2238">
      <w:pPr>
        <w:pStyle w:val="p2"/>
        <w:spacing w:line="360" w:lineRule="auto"/>
        <w:jc w:val="both"/>
        <w:rPr>
          <w:rFonts w:ascii="Arial" w:hAnsi="Arial" w:cs="Arial"/>
          <w:sz w:val="22"/>
          <w:szCs w:val="22"/>
        </w:rPr>
      </w:pPr>
      <w:r w:rsidRPr="001E6906">
        <w:rPr>
          <w:rFonts w:ascii="Arial" w:hAnsi="Arial" w:cs="Arial"/>
          <w:sz w:val="22"/>
          <w:szCs w:val="22"/>
        </w:rPr>
        <w:t xml:space="preserve">              </w:t>
      </w:r>
      <w:r w:rsidR="00CD3539" w:rsidRPr="001E6906">
        <w:rPr>
          <w:rFonts w:ascii="Arial" w:hAnsi="Arial" w:cs="Arial"/>
          <w:sz w:val="22"/>
          <w:szCs w:val="22"/>
        </w:rPr>
        <w:t xml:space="preserve"> Like other developing nations, India also faced severe consequences of the pandemic. According to the International Labour Organization (ILO, 2021), around 114 million people lost their jobs in India during the first lockdown alone. These losses were heavily concentrated in the informal sector, where women constitute a significant portion of the workforce.</w:t>
      </w:r>
      <w:r w:rsidR="00762CF1" w:rsidRPr="001E6906">
        <w:rPr>
          <w:rFonts w:ascii="Arial" w:hAnsi="Arial" w:cs="Arial"/>
          <w:sz w:val="22"/>
          <w:szCs w:val="22"/>
        </w:rPr>
        <w:t xml:space="preserve"> </w:t>
      </w:r>
      <w:r w:rsidR="00CD3539" w:rsidRPr="001E6906">
        <w:rPr>
          <w:rFonts w:ascii="Arial" w:hAnsi="Arial" w:cs="Arial"/>
          <w:sz w:val="22"/>
          <w:szCs w:val="22"/>
        </w:rPr>
        <w:t>The economic impact of the pandemic has been deeply gendered. Women in India are predominantly engaged in low-paid, informal, and service-based occupations such as daycare, domestic work, retail, and small</w:t>
      </w:r>
      <w:r w:rsidR="00CD57E4" w:rsidRPr="001E6906">
        <w:rPr>
          <w:rFonts w:ascii="Arial" w:hAnsi="Arial" w:cs="Arial"/>
          <w:sz w:val="22"/>
          <w:szCs w:val="22"/>
        </w:rPr>
        <w:t>-</w:t>
      </w:r>
      <w:r w:rsidR="00CD3539" w:rsidRPr="001E6906">
        <w:rPr>
          <w:rFonts w:ascii="Arial" w:hAnsi="Arial" w:cs="Arial"/>
          <w:sz w:val="22"/>
          <w:szCs w:val="22"/>
        </w:rPr>
        <w:t>scale industries that were largely shut down during the lockdowns. As a result, women were more vulnerable to job losses and income reduction than men. COVID-19 and the lockdown measures may</w:t>
      </w:r>
      <w:r w:rsidR="00AA0367" w:rsidRPr="001E6906">
        <w:rPr>
          <w:rFonts w:ascii="Arial" w:hAnsi="Arial" w:cs="Arial"/>
          <w:sz w:val="22"/>
          <w:szCs w:val="22"/>
        </w:rPr>
        <w:t>,</w:t>
      </w:r>
      <w:r w:rsidR="00CD3539" w:rsidRPr="001E6906">
        <w:rPr>
          <w:rFonts w:ascii="Arial" w:hAnsi="Arial" w:cs="Arial"/>
          <w:sz w:val="22"/>
          <w:szCs w:val="22"/>
        </w:rPr>
        <w:t xml:space="preserve"> in addition</w:t>
      </w:r>
      <w:r w:rsidR="00153E90" w:rsidRPr="001E6906">
        <w:rPr>
          <w:rFonts w:ascii="Arial" w:hAnsi="Arial" w:cs="Arial"/>
          <w:sz w:val="22"/>
          <w:szCs w:val="22"/>
        </w:rPr>
        <w:t>,</w:t>
      </w:r>
      <w:r w:rsidR="00CD3539" w:rsidRPr="001E6906">
        <w:rPr>
          <w:rFonts w:ascii="Arial" w:hAnsi="Arial" w:cs="Arial"/>
          <w:sz w:val="22"/>
          <w:szCs w:val="22"/>
        </w:rPr>
        <w:t xml:space="preserve"> </w:t>
      </w:r>
      <w:r w:rsidR="00CD57E4" w:rsidRPr="001E6906">
        <w:rPr>
          <w:rFonts w:ascii="Arial" w:hAnsi="Arial" w:cs="Arial"/>
          <w:sz w:val="22"/>
          <w:szCs w:val="22"/>
        </w:rPr>
        <w:t xml:space="preserve">have </w:t>
      </w:r>
      <w:r w:rsidR="00CD3539" w:rsidRPr="001E6906">
        <w:rPr>
          <w:rFonts w:ascii="Arial" w:hAnsi="Arial" w:cs="Arial"/>
          <w:sz w:val="22"/>
          <w:szCs w:val="22"/>
        </w:rPr>
        <w:t>immediate negative e</w:t>
      </w:r>
      <w:r w:rsidR="00CD3539" w:rsidRPr="001E6906">
        <w:rPr>
          <w:rFonts w:ascii="Cambria Math" w:hAnsi="Cambria Math" w:cs="Cambria Math"/>
          <w:sz w:val="22"/>
          <w:szCs w:val="22"/>
        </w:rPr>
        <w:t>ﬀ</w:t>
      </w:r>
      <w:r w:rsidR="00CD3539" w:rsidRPr="001E6906">
        <w:rPr>
          <w:rFonts w:ascii="Arial" w:hAnsi="Arial" w:cs="Arial"/>
          <w:sz w:val="22"/>
          <w:szCs w:val="22"/>
        </w:rPr>
        <w:t>ects for women’s employment</w:t>
      </w:r>
      <w:r w:rsidR="00D87D6A" w:rsidRPr="001E6906">
        <w:rPr>
          <w:rFonts w:ascii="Arial" w:hAnsi="Arial" w:cs="Arial"/>
          <w:sz w:val="22"/>
          <w:szCs w:val="22"/>
        </w:rPr>
        <w:t>, deepen</w:t>
      </w:r>
      <w:r w:rsidRPr="001E6906">
        <w:rPr>
          <w:rFonts w:ascii="Arial" w:hAnsi="Arial" w:cs="Arial"/>
          <w:sz w:val="22"/>
          <w:szCs w:val="22"/>
        </w:rPr>
        <w:t xml:space="preserve"> already existing unemployment and</w:t>
      </w:r>
      <w:r w:rsidR="00CD3539" w:rsidRPr="001E6906">
        <w:rPr>
          <w:rFonts w:ascii="Arial" w:hAnsi="Arial" w:cs="Arial"/>
          <w:sz w:val="22"/>
          <w:szCs w:val="22"/>
        </w:rPr>
        <w:t xml:space="preserve"> gender inequality</w:t>
      </w:r>
      <w:r w:rsidRPr="001E6906">
        <w:rPr>
          <w:rFonts w:ascii="Arial" w:hAnsi="Arial" w:cs="Arial"/>
          <w:sz w:val="22"/>
          <w:szCs w:val="22"/>
        </w:rPr>
        <w:t xml:space="preserve"> problem</w:t>
      </w:r>
      <w:r w:rsidR="00153E90" w:rsidRPr="001E6906">
        <w:rPr>
          <w:rFonts w:ascii="Arial" w:hAnsi="Arial" w:cs="Arial"/>
          <w:sz w:val="22"/>
          <w:szCs w:val="22"/>
        </w:rPr>
        <w:t>s</w:t>
      </w:r>
      <w:r w:rsidR="00CD3539" w:rsidRPr="001E6906">
        <w:rPr>
          <w:rFonts w:ascii="Arial" w:hAnsi="Arial" w:cs="Arial"/>
          <w:sz w:val="22"/>
          <w:szCs w:val="22"/>
        </w:rPr>
        <w:t xml:space="preserve"> (</w:t>
      </w:r>
      <w:r w:rsidR="00A663E5" w:rsidRPr="001E6906">
        <w:rPr>
          <w:rFonts w:ascii="Arial" w:hAnsi="Arial" w:cs="Arial"/>
          <w:sz w:val="22"/>
          <w:szCs w:val="22"/>
        </w:rPr>
        <w:t>Malte Reichelt et</w:t>
      </w:r>
      <w:r w:rsidR="00AA0367" w:rsidRPr="001E6906">
        <w:rPr>
          <w:rFonts w:ascii="Arial" w:hAnsi="Arial" w:cs="Arial"/>
          <w:sz w:val="22"/>
          <w:szCs w:val="22"/>
        </w:rPr>
        <w:t xml:space="preserve"> al.</w:t>
      </w:r>
      <w:r w:rsidR="00A663E5" w:rsidRPr="001E6906">
        <w:rPr>
          <w:rFonts w:ascii="Arial" w:hAnsi="Arial" w:cs="Arial"/>
          <w:sz w:val="22"/>
          <w:szCs w:val="22"/>
        </w:rPr>
        <w:t>,</w:t>
      </w:r>
      <w:r w:rsidR="001961A9" w:rsidRPr="001E6906">
        <w:rPr>
          <w:rFonts w:ascii="Arial" w:hAnsi="Arial" w:cs="Arial"/>
          <w:sz w:val="22"/>
          <w:szCs w:val="22"/>
        </w:rPr>
        <w:t xml:space="preserve"> </w:t>
      </w:r>
      <w:r w:rsidR="00E50A4F" w:rsidRPr="001E6906">
        <w:rPr>
          <w:rFonts w:ascii="Arial" w:hAnsi="Arial" w:cs="Arial"/>
          <w:sz w:val="22"/>
          <w:szCs w:val="22"/>
        </w:rPr>
        <w:t>2021</w:t>
      </w:r>
      <w:r w:rsidR="00CD3539" w:rsidRPr="001E6906">
        <w:rPr>
          <w:rFonts w:ascii="Arial" w:hAnsi="Arial" w:cs="Arial"/>
          <w:sz w:val="22"/>
          <w:szCs w:val="22"/>
        </w:rPr>
        <w:t>).</w:t>
      </w:r>
      <w:r w:rsidR="00D561D0" w:rsidRPr="001E6906">
        <w:rPr>
          <w:rFonts w:ascii="Arial" w:hAnsi="Arial" w:cs="Arial"/>
          <w:sz w:val="22"/>
          <w:szCs w:val="22"/>
        </w:rPr>
        <w:t xml:space="preserve"> </w:t>
      </w:r>
      <w:r w:rsidR="0020468E" w:rsidRPr="001E6906">
        <w:rPr>
          <w:rFonts w:ascii="Arial" w:hAnsi="Arial" w:cs="Arial"/>
          <w:sz w:val="22"/>
          <w:szCs w:val="22"/>
        </w:rPr>
        <w:t>Furthermore, the closure of schools and limited access to childcare facilities significantly increased women’s unpaid care burden, forcing many to withdraw from the labour market entirely as they spent more time on domestic responsibilities and childcare</w:t>
      </w:r>
      <w:r w:rsidR="00341525" w:rsidRPr="001E6906">
        <w:rPr>
          <w:rFonts w:ascii="Arial" w:hAnsi="Arial" w:cs="Arial"/>
          <w:sz w:val="22"/>
          <w:szCs w:val="22"/>
        </w:rPr>
        <w:t>.</w:t>
      </w:r>
      <w:r w:rsidR="0020468E" w:rsidRPr="001E6906">
        <w:rPr>
          <w:rFonts w:ascii="Arial" w:hAnsi="Arial" w:cs="Arial"/>
          <w:sz w:val="22"/>
          <w:szCs w:val="22"/>
        </w:rPr>
        <w:t xml:space="preserve"> </w:t>
      </w:r>
      <w:r w:rsidR="00877418" w:rsidRPr="001E6906">
        <w:rPr>
          <w:rFonts w:ascii="Arial" w:hAnsi="Arial" w:cs="Arial"/>
          <w:sz w:val="22"/>
          <w:szCs w:val="22"/>
        </w:rPr>
        <w:t>(</w:t>
      </w:r>
      <w:proofErr w:type="spellStart"/>
      <w:r w:rsidR="00877418" w:rsidRPr="001E6906">
        <w:rPr>
          <w:rFonts w:ascii="Arial" w:hAnsi="Arial" w:cs="Arial"/>
          <w:sz w:val="22"/>
          <w:szCs w:val="22"/>
        </w:rPr>
        <w:t>Gottardello</w:t>
      </w:r>
      <w:proofErr w:type="spellEnd"/>
      <w:r w:rsidR="00877418" w:rsidRPr="001E6906">
        <w:rPr>
          <w:rFonts w:ascii="Arial" w:hAnsi="Arial" w:cs="Arial"/>
          <w:sz w:val="22"/>
          <w:szCs w:val="22"/>
        </w:rPr>
        <w:t xml:space="preserve"> &amp; </w:t>
      </w:r>
      <w:proofErr w:type="spellStart"/>
      <w:r w:rsidR="00877418" w:rsidRPr="001E6906">
        <w:rPr>
          <w:rFonts w:ascii="Arial" w:hAnsi="Arial" w:cs="Arial"/>
          <w:sz w:val="22"/>
          <w:szCs w:val="22"/>
        </w:rPr>
        <w:t>Mazrekaj</w:t>
      </w:r>
      <w:proofErr w:type="spellEnd"/>
      <w:r w:rsidR="00877418" w:rsidRPr="001E6906">
        <w:rPr>
          <w:rFonts w:ascii="Arial" w:hAnsi="Arial" w:cs="Arial"/>
          <w:sz w:val="22"/>
          <w:szCs w:val="22"/>
        </w:rPr>
        <w:t>, 2022)</w:t>
      </w:r>
    </w:p>
    <w:p w14:paraId="3B683E47" w14:textId="77777777" w:rsidR="00C2320E" w:rsidRPr="001E6906" w:rsidRDefault="001C59C7" w:rsidP="00197905">
      <w:pPr>
        <w:pStyle w:val="p2"/>
        <w:spacing w:line="360" w:lineRule="auto"/>
        <w:jc w:val="both"/>
        <w:rPr>
          <w:rFonts w:ascii="Arial" w:hAnsi="Arial" w:cs="Arial"/>
          <w:sz w:val="22"/>
          <w:szCs w:val="22"/>
        </w:rPr>
      </w:pPr>
      <w:r w:rsidRPr="001E6906">
        <w:rPr>
          <w:rFonts w:ascii="Arial" w:hAnsi="Arial" w:cs="Arial"/>
          <w:sz w:val="22"/>
          <w:szCs w:val="22"/>
        </w:rPr>
        <w:lastRenderedPageBreak/>
        <w:t xml:space="preserve">                In this paper</w:t>
      </w:r>
      <w:r w:rsidR="00153E90" w:rsidRPr="001E6906">
        <w:rPr>
          <w:rFonts w:ascii="Arial" w:hAnsi="Arial" w:cs="Arial"/>
          <w:sz w:val="22"/>
          <w:szCs w:val="22"/>
        </w:rPr>
        <w:t>,</w:t>
      </w:r>
      <w:r w:rsidRPr="001E6906">
        <w:rPr>
          <w:rFonts w:ascii="Arial" w:hAnsi="Arial" w:cs="Arial"/>
          <w:sz w:val="22"/>
          <w:szCs w:val="22"/>
        </w:rPr>
        <w:t xml:space="preserve"> an attempt has been made to analyse the impact of </w:t>
      </w:r>
      <w:r w:rsidR="00153E90" w:rsidRPr="001E6906">
        <w:rPr>
          <w:rFonts w:ascii="Arial" w:hAnsi="Arial" w:cs="Arial"/>
          <w:sz w:val="22"/>
          <w:szCs w:val="22"/>
        </w:rPr>
        <w:t xml:space="preserve">the </w:t>
      </w:r>
      <w:r w:rsidRPr="001E6906">
        <w:rPr>
          <w:rFonts w:ascii="Arial" w:hAnsi="Arial" w:cs="Arial"/>
          <w:sz w:val="22"/>
          <w:szCs w:val="22"/>
        </w:rPr>
        <w:t xml:space="preserve">COVID-19 pandemic on India’s </w:t>
      </w:r>
      <w:r w:rsidR="00E44F52" w:rsidRPr="001E6906">
        <w:rPr>
          <w:rFonts w:ascii="Arial" w:hAnsi="Arial" w:cs="Arial"/>
          <w:sz w:val="22"/>
          <w:szCs w:val="22"/>
        </w:rPr>
        <w:t xml:space="preserve">gendered </w:t>
      </w:r>
      <w:r w:rsidRPr="001E6906">
        <w:rPr>
          <w:rFonts w:ascii="Arial" w:hAnsi="Arial" w:cs="Arial"/>
          <w:sz w:val="22"/>
          <w:szCs w:val="22"/>
        </w:rPr>
        <w:t>labour market</w:t>
      </w:r>
      <w:r w:rsidR="006D3402" w:rsidRPr="001E6906">
        <w:rPr>
          <w:rFonts w:ascii="Arial" w:hAnsi="Arial" w:cs="Arial"/>
          <w:sz w:val="22"/>
          <w:szCs w:val="22"/>
        </w:rPr>
        <w:t>.</w:t>
      </w:r>
      <w:r w:rsidR="00D87D6A" w:rsidRPr="001E6906">
        <w:rPr>
          <w:rFonts w:ascii="Arial" w:hAnsi="Arial" w:cs="Arial"/>
          <w:sz w:val="22"/>
          <w:szCs w:val="22"/>
        </w:rPr>
        <w:t xml:space="preserve"> </w:t>
      </w:r>
      <w:r w:rsidR="00197905" w:rsidRPr="001E6906">
        <w:rPr>
          <w:rFonts w:ascii="Arial" w:hAnsi="Arial" w:cs="Arial"/>
          <w:sz w:val="22"/>
          <w:szCs w:val="22"/>
        </w:rPr>
        <w:t>In order to present this analysis clearly, the paper is structured into seven sections. First, the introduction sets the stage by outlining the key issues and objectives of our study. Second, the literature review provides an overview of existing research related to our topic. Third, we present the key research questions that guide our inquiry. Fourth, we outline the specific research objectives that this paper aims to achieve. Fifth, the methodology section explains the methods and data used in our analysis. Sixth, we discuss our findings in the results and discussion section. Finally, the conclusion summarizes the main insights and suggests directions for future research.</w:t>
      </w:r>
    </w:p>
    <w:p w14:paraId="292A1085" w14:textId="77777777" w:rsidR="00197905" w:rsidRPr="001E6906" w:rsidRDefault="00197905" w:rsidP="00197905">
      <w:pPr>
        <w:pStyle w:val="p2"/>
        <w:spacing w:line="360" w:lineRule="auto"/>
        <w:jc w:val="both"/>
        <w:rPr>
          <w:rFonts w:ascii="Arial" w:hAnsi="Arial" w:cs="Arial"/>
          <w:sz w:val="22"/>
          <w:szCs w:val="22"/>
        </w:rPr>
      </w:pPr>
    </w:p>
    <w:p w14:paraId="4DC89947" w14:textId="77777777" w:rsidR="00C2320E" w:rsidRPr="001E6906" w:rsidRDefault="00E44F52" w:rsidP="00197905">
      <w:pPr>
        <w:spacing w:line="360" w:lineRule="auto"/>
        <w:jc w:val="both"/>
        <w:rPr>
          <w:rFonts w:ascii="Arial" w:hAnsi="Arial" w:cs="Arial"/>
          <w:b/>
          <w:bCs/>
          <w:sz w:val="22"/>
          <w:szCs w:val="22"/>
        </w:rPr>
      </w:pPr>
      <w:r w:rsidRPr="001E6906">
        <w:rPr>
          <w:rFonts w:ascii="Arial" w:hAnsi="Arial" w:cs="Arial"/>
          <w:b/>
          <w:bCs/>
          <w:sz w:val="22"/>
          <w:szCs w:val="22"/>
        </w:rPr>
        <w:t>2.</w:t>
      </w:r>
      <w:r w:rsidR="00197905" w:rsidRPr="001E6906">
        <w:rPr>
          <w:rFonts w:ascii="Arial" w:hAnsi="Arial" w:cs="Arial"/>
          <w:b/>
          <w:bCs/>
          <w:sz w:val="22"/>
          <w:szCs w:val="22"/>
        </w:rPr>
        <w:t xml:space="preserve"> </w:t>
      </w:r>
      <w:r w:rsidR="00C2320E" w:rsidRPr="001E6906">
        <w:rPr>
          <w:rFonts w:ascii="Arial" w:hAnsi="Arial" w:cs="Arial"/>
          <w:b/>
          <w:bCs/>
          <w:sz w:val="22"/>
          <w:szCs w:val="22"/>
        </w:rPr>
        <w:t xml:space="preserve">Review of Literature: </w:t>
      </w:r>
    </w:p>
    <w:p w14:paraId="23AD2644" w14:textId="77777777" w:rsidR="00C2320E" w:rsidRPr="001E6906" w:rsidRDefault="00E44F52" w:rsidP="006E2238">
      <w:pPr>
        <w:pStyle w:val="NormalWeb"/>
        <w:spacing w:line="360" w:lineRule="auto"/>
        <w:jc w:val="both"/>
        <w:rPr>
          <w:rFonts w:ascii="Arial" w:hAnsi="Arial" w:cs="Arial"/>
          <w:color w:val="000000"/>
          <w:sz w:val="22"/>
          <w:szCs w:val="22"/>
        </w:rPr>
      </w:pPr>
      <w:r w:rsidRPr="001E6906">
        <w:rPr>
          <w:rFonts w:ascii="Arial" w:hAnsi="Arial" w:cs="Arial"/>
          <w:b/>
          <w:bCs/>
          <w:i/>
          <w:iCs/>
          <w:sz w:val="22"/>
          <w:szCs w:val="22"/>
        </w:rPr>
        <w:t xml:space="preserve">2.1 </w:t>
      </w:r>
      <w:r w:rsidR="00483E8A" w:rsidRPr="001E6906">
        <w:rPr>
          <w:rFonts w:ascii="Arial" w:hAnsi="Arial" w:cs="Arial"/>
          <w:b/>
          <w:bCs/>
          <w:i/>
          <w:iCs/>
          <w:sz w:val="22"/>
          <w:szCs w:val="22"/>
        </w:rPr>
        <w:t>COVID-19 and Gender Labour Market</w:t>
      </w:r>
      <w:r w:rsidR="00C2320E" w:rsidRPr="001E6906">
        <w:rPr>
          <w:rFonts w:ascii="Arial" w:hAnsi="Arial" w:cs="Arial"/>
          <w:b/>
          <w:bCs/>
          <w:sz w:val="22"/>
          <w:szCs w:val="22"/>
        </w:rPr>
        <w:t>:</w:t>
      </w:r>
      <w:r w:rsidR="00C2320E" w:rsidRPr="001E6906">
        <w:rPr>
          <w:rFonts w:ascii="Arial" w:hAnsi="Arial" w:cs="Arial"/>
          <w:sz w:val="22"/>
          <w:szCs w:val="22"/>
        </w:rPr>
        <w:t xml:space="preserve"> There are ample studies </w:t>
      </w:r>
      <w:r w:rsidR="00AA0367" w:rsidRPr="001E6906">
        <w:rPr>
          <w:rFonts w:ascii="Arial" w:hAnsi="Arial" w:cs="Arial"/>
          <w:sz w:val="22"/>
          <w:szCs w:val="22"/>
        </w:rPr>
        <w:t>that</w:t>
      </w:r>
      <w:r w:rsidR="00C2320E" w:rsidRPr="001E6906">
        <w:rPr>
          <w:rFonts w:ascii="Arial" w:hAnsi="Arial" w:cs="Arial"/>
          <w:sz w:val="22"/>
          <w:szCs w:val="22"/>
        </w:rPr>
        <w:t xml:space="preserve"> state that there</w:t>
      </w:r>
      <w:r w:rsidR="00153E90" w:rsidRPr="001E6906">
        <w:rPr>
          <w:rFonts w:ascii="Arial" w:hAnsi="Arial" w:cs="Arial"/>
          <w:sz w:val="22"/>
          <w:szCs w:val="22"/>
        </w:rPr>
        <w:t xml:space="preserve"> is</w:t>
      </w:r>
      <w:r w:rsidR="00C2320E" w:rsidRPr="001E6906">
        <w:rPr>
          <w:rFonts w:ascii="Arial" w:hAnsi="Arial" w:cs="Arial"/>
          <w:sz w:val="22"/>
          <w:szCs w:val="22"/>
        </w:rPr>
        <w:t xml:space="preserve"> </w:t>
      </w:r>
      <w:r w:rsidR="00153E90" w:rsidRPr="001E6906">
        <w:rPr>
          <w:rFonts w:ascii="Arial" w:hAnsi="Arial" w:cs="Arial"/>
          <w:sz w:val="22"/>
          <w:szCs w:val="22"/>
        </w:rPr>
        <w:t xml:space="preserve">a </w:t>
      </w:r>
      <w:r w:rsidR="00C2320E" w:rsidRPr="001E6906">
        <w:rPr>
          <w:rFonts w:ascii="Arial" w:hAnsi="Arial" w:cs="Arial"/>
          <w:sz w:val="22"/>
          <w:szCs w:val="22"/>
        </w:rPr>
        <w:t>loss of job</w:t>
      </w:r>
      <w:r w:rsidR="00153E90" w:rsidRPr="001E6906">
        <w:rPr>
          <w:rFonts w:ascii="Arial" w:hAnsi="Arial" w:cs="Arial"/>
          <w:sz w:val="22"/>
          <w:szCs w:val="22"/>
        </w:rPr>
        <w:t>s</w:t>
      </w:r>
      <w:r w:rsidR="00C2320E" w:rsidRPr="001E6906">
        <w:rPr>
          <w:rFonts w:ascii="Arial" w:hAnsi="Arial" w:cs="Arial"/>
          <w:sz w:val="22"/>
          <w:szCs w:val="22"/>
        </w:rPr>
        <w:t xml:space="preserve"> and income in the world due to the COVID-19 Pandemic. Researchers find that the rate of unemployment</w:t>
      </w:r>
      <w:r w:rsidR="00AA0367" w:rsidRPr="001E6906">
        <w:rPr>
          <w:rFonts w:ascii="Arial" w:hAnsi="Arial" w:cs="Arial"/>
          <w:sz w:val="22"/>
          <w:szCs w:val="22"/>
        </w:rPr>
        <w:t xml:space="preserve"> and</w:t>
      </w:r>
      <w:r w:rsidR="00C2320E" w:rsidRPr="001E6906">
        <w:rPr>
          <w:rFonts w:ascii="Arial" w:hAnsi="Arial" w:cs="Arial"/>
          <w:sz w:val="22"/>
          <w:szCs w:val="22"/>
        </w:rPr>
        <w:t xml:space="preserve"> participation in </w:t>
      </w:r>
      <w:r w:rsidR="00153E90" w:rsidRPr="001E6906">
        <w:rPr>
          <w:rFonts w:ascii="Arial" w:hAnsi="Arial" w:cs="Arial"/>
          <w:sz w:val="22"/>
          <w:szCs w:val="22"/>
        </w:rPr>
        <w:t xml:space="preserve">the </w:t>
      </w:r>
      <w:r w:rsidR="00C2320E" w:rsidRPr="001E6906">
        <w:rPr>
          <w:rFonts w:ascii="Arial" w:hAnsi="Arial" w:cs="Arial"/>
          <w:sz w:val="22"/>
          <w:szCs w:val="22"/>
        </w:rPr>
        <w:t>workforce vary across gender and across regions globally due to the pandemic. The global literature on COVID-19 and employment reveals a consistent pattern of gendered impacts. Studies by UN women (2020), Alon et.al (2020), Malte Reichelt et.al (2021),</w:t>
      </w:r>
      <w:r w:rsidR="006A7296" w:rsidRPr="001E6906">
        <w:rPr>
          <w:rFonts w:ascii="Arial" w:hAnsi="Arial" w:cs="Arial"/>
          <w:sz w:val="22"/>
          <w:szCs w:val="22"/>
        </w:rPr>
        <w:t xml:space="preserve"> </w:t>
      </w:r>
      <w:r w:rsidR="00C2320E" w:rsidRPr="001E6906">
        <w:rPr>
          <w:rFonts w:ascii="Arial" w:hAnsi="Arial" w:cs="Arial"/>
          <w:color w:val="000000"/>
          <w:sz w:val="22"/>
          <w:szCs w:val="22"/>
        </w:rPr>
        <w:t xml:space="preserve">Abraham et.al (2021), Misty L. </w:t>
      </w:r>
      <w:proofErr w:type="spellStart"/>
      <w:r w:rsidR="00C2320E" w:rsidRPr="001E6906">
        <w:rPr>
          <w:rFonts w:ascii="Arial" w:hAnsi="Arial" w:cs="Arial"/>
          <w:color w:val="000000"/>
          <w:sz w:val="22"/>
          <w:szCs w:val="22"/>
        </w:rPr>
        <w:t>Heggeness</w:t>
      </w:r>
      <w:proofErr w:type="spellEnd"/>
      <w:r w:rsidR="00C2320E" w:rsidRPr="001E6906">
        <w:rPr>
          <w:rFonts w:ascii="Arial" w:hAnsi="Arial" w:cs="Arial"/>
          <w:color w:val="000000"/>
          <w:sz w:val="22"/>
          <w:szCs w:val="22"/>
        </w:rPr>
        <w:t xml:space="preserve"> (2020) and many other researchers </w:t>
      </w:r>
      <w:r w:rsidR="00C2320E" w:rsidRPr="001E6906">
        <w:rPr>
          <w:rFonts w:ascii="Arial" w:hAnsi="Arial" w:cs="Arial"/>
          <w:sz w:val="22"/>
          <w:szCs w:val="22"/>
        </w:rPr>
        <w:t xml:space="preserve">observed that women globally were more likely to experience job losses because they are overrepresented in sectors most affected by lockdowns such as hospitality, retail, and education and carry a disproportionate share of unpaid domestic work. Malte Reichelt et.al (2021) show that in </w:t>
      </w:r>
      <w:r w:rsidR="00153E90" w:rsidRPr="001E6906">
        <w:rPr>
          <w:rFonts w:ascii="Arial" w:hAnsi="Arial" w:cs="Arial"/>
          <w:sz w:val="22"/>
          <w:szCs w:val="22"/>
        </w:rPr>
        <w:t xml:space="preserve">the </w:t>
      </w:r>
      <w:r w:rsidR="00C2320E" w:rsidRPr="001E6906">
        <w:rPr>
          <w:rFonts w:ascii="Arial" w:hAnsi="Arial" w:cs="Arial"/>
          <w:sz w:val="22"/>
          <w:szCs w:val="22"/>
        </w:rPr>
        <w:t>U.S., Germany, and Singapore</w:t>
      </w:r>
      <w:r w:rsidR="00153E90" w:rsidRPr="001E6906">
        <w:rPr>
          <w:rFonts w:ascii="Arial" w:hAnsi="Arial" w:cs="Arial"/>
          <w:sz w:val="22"/>
          <w:szCs w:val="22"/>
        </w:rPr>
        <w:t>,</w:t>
      </w:r>
      <w:r w:rsidR="00C2320E" w:rsidRPr="001E6906">
        <w:rPr>
          <w:rFonts w:ascii="Arial" w:hAnsi="Arial" w:cs="Arial"/>
          <w:sz w:val="22"/>
          <w:szCs w:val="22"/>
        </w:rPr>
        <w:t xml:space="preserve"> transitions to unemployment, reductions in working hours and transitions to working from home have been more frequent for women than for men</w:t>
      </w:r>
      <w:r w:rsidR="00EE7072" w:rsidRPr="001E6906">
        <w:rPr>
          <w:rFonts w:ascii="Arial" w:hAnsi="Arial" w:cs="Arial"/>
          <w:sz w:val="22"/>
          <w:szCs w:val="22"/>
        </w:rPr>
        <w:t>,</w:t>
      </w:r>
      <w:r w:rsidR="00C2320E" w:rsidRPr="001E6906">
        <w:rPr>
          <w:rFonts w:ascii="Arial" w:hAnsi="Arial" w:cs="Arial"/>
          <w:sz w:val="22"/>
          <w:szCs w:val="22"/>
        </w:rPr>
        <w:t xml:space="preserve"> although not to the same extent across the three countries. They also demonstrate that among couples who had been employed at the start of the pandemic, men express more egalitarian gender-role attitudes if they became unemployed but their partners remained employed, while women express more traditional attitudes if they became unemployed and their partners remained employed. Additionally, societal norms and expectations have been shown to shape the gendered division of household </w:t>
      </w:r>
      <w:proofErr w:type="spellStart"/>
      <w:r w:rsidR="00C2320E" w:rsidRPr="001E6906">
        <w:rPr>
          <w:rFonts w:ascii="Arial" w:hAnsi="Arial" w:cs="Arial"/>
          <w:sz w:val="22"/>
          <w:szCs w:val="22"/>
        </w:rPr>
        <w:t>labor</w:t>
      </w:r>
      <w:proofErr w:type="spellEnd"/>
      <w:r w:rsidR="00C2320E" w:rsidRPr="001E6906">
        <w:rPr>
          <w:rFonts w:ascii="Arial" w:hAnsi="Arial" w:cs="Arial"/>
          <w:sz w:val="22"/>
          <w:szCs w:val="22"/>
        </w:rPr>
        <w:t xml:space="preserve"> and contribute to the gender pay gap. </w:t>
      </w:r>
      <w:r w:rsidR="00C2320E" w:rsidRPr="001E6906">
        <w:rPr>
          <w:rFonts w:ascii="Arial" w:hAnsi="Arial" w:cs="Arial"/>
          <w:color w:val="000000"/>
          <w:sz w:val="22"/>
          <w:szCs w:val="22"/>
        </w:rPr>
        <w:t>Cross</w:t>
      </w:r>
      <w:r w:rsidR="00153E90" w:rsidRPr="001E6906">
        <w:rPr>
          <w:rFonts w:ascii="Arial" w:hAnsi="Arial" w:cs="Arial"/>
          <w:color w:val="000000"/>
          <w:sz w:val="22"/>
          <w:szCs w:val="22"/>
        </w:rPr>
        <w:t>-</w:t>
      </w:r>
      <w:r w:rsidR="00C2320E" w:rsidRPr="001E6906">
        <w:rPr>
          <w:rFonts w:ascii="Arial" w:hAnsi="Arial" w:cs="Arial"/>
          <w:color w:val="000000"/>
          <w:sz w:val="22"/>
          <w:szCs w:val="22"/>
        </w:rPr>
        <w:t xml:space="preserve">country evidence from </w:t>
      </w:r>
      <w:r w:rsidR="00153E90" w:rsidRPr="001E6906">
        <w:rPr>
          <w:rFonts w:ascii="Arial" w:hAnsi="Arial" w:cs="Arial"/>
          <w:color w:val="000000"/>
          <w:sz w:val="22"/>
          <w:szCs w:val="22"/>
        </w:rPr>
        <w:t xml:space="preserve">the </w:t>
      </w:r>
      <w:r w:rsidR="00C2320E" w:rsidRPr="001E6906">
        <w:rPr>
          <w:rFonts w:ascii="Arial" w:hAnsi="Arial" w:cs="Arial"/>
          <w:color w:val="000000"/>
          <w:sz w:val="22"/>
          <w:szCs w:val="22"/>
        </w:rPr>
        <w:t>IMF (Bluedorn et al., 2021) demonstrates that the pandemic caused a “she-cession,” with women’s employment declining more sharply than men in over two-thirds of countries, primarily due to high female concentration in contact-intensive sectors and increased unpaid care burdens. Similar patterns are reaffirmed in advanced economies</w:t>
      </w:r>
      <w:r w:rsidR="00153E90" w:rsidRPr="001E6906">
        <w:rPr>
          <w:rFonts w:ascii="Arial" w:hAnsi="Arial" w:cs="Arial"/>
          <w:color w:val="000000"/>
          <w:sz w:val="22"/>
          <w:szCs w:val="22"/>
        </w:rPr>
        <w:t>.</w:t>
      </w:r>
      <w:r w:rsidR="00C2320E" w:rsidRPr="001E6906">
        <w:rPr>
          <w:rFonts w:ascii="Arial" w:hAnsi="Arial" w:cs="Arial"/>
          <w:color w:val="000000"/>
          <w:sz w:val="22"/>
          <w:szCs w:val="22"/>
        </w:rPr>
        <w:t xml:space="preserve"> Albanesi and Kim (2021) show that in the U.S., women suffered larger and more persistent employment and labour </w:t>
      </w:r>
      <w:r w:rsidR="00C2320E" w:rsidRPr="001E6906">
        <w:rPr>
          <w:rFonts w:ascii="Arial" w:hAnsi="Arial" w:cs="Arial"/>
          <w:color w:val="000000"/>
          <w:sz w:val="22"/>
          <w:szCs w:val="22"/>
        </w:rPr>
        <w:lastRenderedPageBreak/>
        <w:t>force participation losses due to childcare disruptions and service-sector closures. In Europe, Bettin et</w:t>
      </w:r>
      <w:r w:rsidR="002516B4" w:rsidRPr="001E6906">
        <w:rPr>
          <w:rFonts w:ascii="Arial" w:hAnsi="Arial" w:cs="Arial"/>
          <w:color w:val="000000"/>
          <w:sz w:val="22"/>
          <w:szCs w:val="22"/>
        </w:rPr>
        <w:t xml:space="preserve"> </w:t>
      </w:r>
      <w:r w:rsidR="00C2320E" w:rsidRPr="001E6906">
        <w:rPr>
          <w:rFonts w:ascii="Arial" w:hAnsi="Arial" w:cs="Arial"/>
          <w:color w:val="000000"/>
          <w:sz w:val="22"/>
          <w:szCs w:val="22"/>
        </w:rPr>
        <w:t>al</w:t>
      </w:r>
      <w:r w:rsidR="002516B4" w:rsidRPr="001E6906">
        <w:rPr>
          <w:rFonts w:ascii="Arial" w:hAnsi="Arial" w:cs="Arial"/>
          <w:color w:val="000000"/>
          <w:sz w:val="22"/>
          <w:szCs w:val="22"/>
        </w:rPr>
        <w:t>.</w:t>
      </w:r>
      <w:r w:rsidR="00C2320E" w:rsidRPr="001E6906">
        <w:rPr>
          <w:rFonts w:ascii="Arial" w:hAnsi="Arial" w:cs="Arial"/>
          <w:color w:val="000000"/>
          <w:sz w:val="22"/>
          <w:szCs w:val="22"/>
        </w:rPr>
        <w:t xml:space="preserve"> (2023) find that Italy’s strict lockdown produced significant job losses among women in hospitality, retail, and personal services sectors</w:t>
      </w:r>
      <w:r w:rsidR="00153E90" w:rsidRPr="001E6906">
        <w:rPr>
          <w:rFonts w:ascii="Arial" w:hAnsi="Arial" w:cs="Arial"/>
          <w:color w:val="000000"/>
          <w:sz w:val="22"/>
          <w:szCs w:val="22"/>
        </w:rPr>
        <w:t>,</w:t>
      </w:r>
      <w:r w:rsidR="00C2320E" w:rsidRPr="001E6906">
        <w:rPr>
          <w:rFonts w:ascii="Arial" w:hAnsi="Arial" w:cs="Arial"/>
          <w:color w:val="000000"/>
          <w:sz w:val="22"/>
          <w:szCs w:val="22"/>
        </w:rPr>
        <w:t xml:space="preserve"> where remote work was limited. The gender gap widened not only because of sectoral exposure but also because of increased unpaid work. Evidence from the UK (Sevilla &amp; Smith, 2020) and cross-country analyses (</w:t>
      </w:r>
      <w:proofErr w:type="spellStart"/>
      <w:r w:rsidR="00C2320E" w:rsidRPr="001E6906">
        <w:rPr>
          <w:rFonts w:ascii="Arial" w:hAnsi="Arial" w:cs="Arial"/>
          <w:color w:val="000000"/>
          <w:sz w:val="22"/>
          <w:szCs w:val="22"/>
        </w:rPr>
        <w:t>Hupkau</w:t>
      </w:r>
      <w:proofErr w:type="spellEnd"/>
      <w:r w:rsidR="00C2320E" w:rsidRPr="001E6906">
        <w:rPr>
          <w:rFonts w:ascii="Arial" w:hAnsi="Arial" w:cs="Arial"/>
          <w:color w:val="000000"/>
          <w:sz w:val="22"/>
          <w:szCs w:val="22"/>
        </w:rPr>
        <w:t xml:space="preserve"> &amp; </w:t>
      </w:r>
      <w:proofErr w:type="spellStart"/>
      <w:r w:rsidR="00C2320E" w:rsidRPr="001E6906">
        <w:rPr>
          <w:rFonts w:ascii="Arial" w:hAnsi="Arial" w:cs="Arial"/>
          <w:color w:val="000000"/>
          <w:sz w:val="22"/>
          <w:szCs w:val="22"/>
        </w:rPr>
        <w:t>Petrongolo</w:t>
      </w:r>
      <w:proofErr w:type="spellEnd"/>
      <w:r w:rsidR="00C2320E" w:rsidRPr="001E6906">
        <w:rPr>
          <w:rFonts w:ascii="Arial" w:hAnsi="Arial" w:cs="Arial"/>
          <w:color w:val="000000"/>
          <w:sz w:val="22"/>
          <w:szCs w:val="22"/>
        </w:rPr>
        <w:t>, 2020) show that women disproportionately absorbed childcare and household responsibilities during school closures, reducing hours of paid work and increasing withdrawals from the labour force. Feminist economic perspectives further highlight how the pandemic deepened structural inequalities, particularly in care work, where women especially migrant women</w:t>
      </w:r>
      <w:r w:rsidR="00EE7072" w:rsidRPr="001E6906">
        <w:rPr>
          <w:rFonts w:ascii="Arial" w:hAnsi="Arial" w:cs="Arial"/>
          <w:color w:val="000000"/>
          <w:sz w:val="22"/>
          <w:szCs w:val="22"/>
        </w:rPr>
        <w:t>,</w:t>
      </w:r>
      <w:r w:rsidR="00C2320E" w:rsidRPr="001E6906">
        <w:rPr>
          <w:rFonts w:ascii="Arial" w:hAnsi="Arial" w:cs="Arial"/>
          <w:color w:val="000000"/>
          <w:sz w:val="22"/>
          <w:szCs w:val="22"/>
        </w:rPr>
        <w:t xml:space="preserve"> faced heightened health risks and job insecurity (Cantillon et al., 2021)</w:t>
      </w:r>
      <w:r w:rsidR="00FA5648" w:rsidRPr="001E6906">
        <w:rPr>
          <w:rFonts w:ascii="Arial" w:hAnsi="Arial" w:cs="Arial"/>
          <w:color w:val="000000"/>
          <w:sz w:val="22"/>
          <w:szCs w:val="22"/>
        </w:rPr>
        <w:t>. Using high-frequency data, Abraham et al. (2021) and others show that women were</w:t>
      </w:r>
      <w:r w:rsidR="00FA5648" w:rsidRPr="001E6906">
        <w:rPr>
          <w:rStyle w:val="apple-converted-space"/>
          <w:rFonts w:ascii="Arial" w:eastAsiaTheme="majorEastAsia" w:hAnsi="Arial" w:cs="Arial"/>
          <w:color w:val="000000"/>
          <w:sz w:val="22"/>
          <w:szCs w:val="22"/>
        </w:rPr>
        <w:t> </w:t>
      </w:r>
      <w:r w:rsidR="00FA5648" w:rsidRPr="001E6906">
        <w:rPr>
          <w:rStyle w:val="Strong"/>
          <w:rFonts w:ascii="Arial" w:eastAsiaTheme="majorEastAsia" w:hAnsi="Arial" w:cs="Arial"/>
          <w:b w:val="0"/>
          <w:bCs w:val="0"/>
          <w:color w:val="000000"/>
          <w:sz w:val="22"/>
          <w:szCs w:val="22"/>
        </w:rPr>
        <w:t>seven times more likely</w:t>
      </w:r>
      <w:r w:rsidR="00FA5648" w:rsidRPr="001E6906">
        <w:rPr>
          <w:rStyle w:val="apple-converted-space"/>
          <w:rFonts w:ascii="Arial" w:eastAsiaTheme="majorEastAsia" w:hAnsi="Arial" w:cs="Arial"/>
          <w:color w:val="000000"/>
          <w:sz w:val="22"/>
          <w:szCs w:val="22"/>
        </w:rPr>
        <w:t> </w:t>
      </w:r>
      <w:r w:rsidR="00FA5648" w:rsidRPr="001E6906">
        <w:rPr>
          <w:rFonts w:ascii="Arial" w:hAnsi="Arial" w:cs="Arial"/>
          <w:color w:val="000000"/>
          <w:sz w:val="22"/>
          <w:szCs w:val="22"/>
        </w:rPr>
        <w:t>than men to lose work during the national lockdown. Nearly</w:t>
      </w:r>
      <w:r w:rsidR="00FA5648" w:rsidRPr="001E6906">
        <w:rPr>
          <w:rStyle w:val="apple-converted-space"/>
          <w:rFonts w:ascii="Arial" w:eastAsiaTheme="majorEastAsia" w:hAnsi="Arial" w:cs="Arial"/>
          <w:color w:val="000000"/>
          <w:sz w:val="22"/>
          <w:szCs w:val="22"/>
        </w:rPr>
        <w:t> </w:t>
      </w:r>
      <w:r w:rsidR="00FA5648" w:rsidRPr="001E6906">
        <w:rPr>
          <w:rStyle w:val="Strong"/>
          <w:rFonts w:ascii="Arial" w:eastAsiaTheme="majorEastAsia" w:hAnsi="Arial" w:cs="Arial"/>
          <w:b w:val="0"/>
          <w:bCs w:val="0"/>
          <w:color w:val="000000"/>
          <w:sz w:val="22"/>
          <w:szCs w:val="22"/>
        </w:rPr>
        <w:t>37% of women remained jobless three months later</w:t>
      </w:r>
      <w:r w:rsidR="00FA5648" w:rsidRPr="001E6906">
        <w:rPr>
          <w:rFonts w:ascii="Arial" w:hAnsi="Arial" w:cs="Arial"/>
          <w:color w:val="000000"/>
          <w:sz w:val="22"/>
          <w:szCs w:val="22"/>
        </w:rPr>
        <w:t>, compared with only 10% of men. Married women were significantly less likely to return to work, while educated women were relatively sheltered. In contrast, men shifted into self-employment, agriculture, construction, and daily wage work, while women largely exited the labour market. This contributed to India’s female labour force participation falling to one of the lowest levels globally.</w:t>
      </w:r>
    </w:p>
    <w:p w14:paraId="44A1C0A4" w14:textId="77777777" w:rsidR="00B712DE" w:rsidRPr="001E6906" w:rsidRDefault="00E44F52" w:rsidP="006E2238">
      <w:pPr>
        <w:spacing w:line="360" w:lineRule="auto"/>
        <w:jc w:val="both"/>
        <w:rPr>
          <w:rFonts w:ascii="Arial" w:hAnsi="Arial" w:cs="Arial"/>
          <w:color w:val="000000"/>
          <w:sz w:val="22"/>
          <w:szCs w:val="22"/>
        </w:rPr>
      </w:pPr>
      <w:r w:rsidRPr="001E6906">
        <w:rPr>
          <w:rFonts w:ascii="Arial" w:hAnsi="Arial" w:cs="Arial"/>
          <w:b/>
          <w:bCs/>
          <w:i/>
          <w:iCs/>
          <w:color w:val="000000"/>
          <w:sz w:val="22"/>
          <w:szCs w:val="22"/>
        </w:rPr>
        <w:t xml:space="preserve">2.2 </w:t>
      </w:r>
      <w:r w:rsidR="00483E8A" w:rsidRPr="001E6906">
        <w:rPr>
          <w:rFonts w:ascii="Arial" w:hAnsi="Arial" w:cs="Arial"/>
          <w:b/>
          <w:bCs/>
          <w:i/>
          <w:iCs/>
          <w:color w:val="000000"/>
          <w:sz w:val="22"/>
          <w:szCs w:val="22"/>
        </w:rPr>
        <w:t>Sectoral and Occupational Impacts</w:t>
      </w:r>
      <w:r w:rsidR="00483E8A" w:rsidRPr="001E6906">
        <w:rPr>
          <w:rFonts w:ascii="Arial" w:hAnsi="Arial" w:cs="Arial"/>
          <w:b/>
          <w:bCs/>
          <w:color w:val="000000"/>
          <w:sz w:val="22"/>
          <w:szCs w:val="22"/>
        </w:rPr>
        <w:t>:</w:t>
      </w:r>
      <w:r w:rsidR="00C2320E" w:rsidRPr="001E6906">
        <w:rPr>
          <w:rFonts w:ascii="Arial" w:hAnsi="Arial" w:cs="Arial"/>
          <w:color w:val="000000"/>
          <w:sz w:val="22"/>
          <w:szCs w:val="22"/>
        </w:rPr>
        <w:t xml:space="preserve">  Sectoral and occupational shocks were uneven. Globally, ILO (2020) data indicate that women dominate the hardest-hit sectors</w:t>
      </w:r>
      <w:r w:rsidR="00153E90" w:rsidRPr="001E6906">
        <w:rPr>
          <w:rFonts w:ascii="Arial" w:hAnsi="Arial" w:cs="Arial"/>
          <w:color w:val="000000"/>
          <w:sz w:val="22"/>
          <w:szCs w:val="22"/>
        </w:rPr>
        <w:t>,</w:t>
      </w:r>
      <w:r w:rsidR="00C2320E" w:rsidRPr="001E6906">
        <w:rPr>
          <w:rFonts w:ascii="Arial" w:hAnsi="Arial" w:cs="Arial"/>
          <w:color w:val="000000"/>
          <w:sz w:val="22"/>
          <w:szCs w:val="22"/>
        </w:rPr>
        <w:t xml:space="preserve"> accommodation and food services (54% women), retail, manufacturing, and domestic care work</w:t>
      </w:r>
      <w:r w:rsidR="00B927A1" w:rsidRPr="001E6906">
        <w:rPr>
          <w:rFonts w:ascii="Arial" w:hAnsi="Arial" w:cs="Arial"/>
          <w:color w:val="000000"/>
          <w:sz w:val="22"/>
          <w:szCs w:val="22"/>
        </w:rPr>
        <w:t xml:space="preserve">, </w:t>
      </w:r>
      <w:r w:rsidR="00C2320E" w:rsidRPr="001E6906">
        <w:rPr>
          <w:rFonts w:ascii="Arial" w:hAnsi="Arial" w:cs="Arial"/>
          <w:sz w:val="22"/>
          <w:szCs w:val="22"/>
        </w:rPr>
        <w:t xml:space="preserve">non-essential service roles </w:t>
      </w:r>
      <w:r w:rsidR="00B927A1" w:rsidRPr="001E6906">
        <w:rPr>
          <w:rFonts w:ascii="Arial" w:hAnsi="Arial" w:cs="Arial"/>
          <w:sz w:val="22"/>
          <w:szCs w:val="22"/>
        </w:rPr>
        <w:t xml:space="preserve">such as </w:t>
      </w:r>
      <w:r w:rsidR="00C2320E" w:rsidRPr="001E6906">
        <w:rPr>
          <w:rFonts w:ascii="Arial" w:hAnsi="Arial" w:cs="Arial"/>
          <w:sz w:val="22"/>
          <w:szCs w:val="22"/>
        </w:rPr>
        <w:t>hairdressing, waitressing</w:t>
      </w:r>
      <w:r w:rsidR="00B927A1" w:rsidRPr="001E6906">
        <w:rPr>
          <w:rFonts w:ascii="Arial" w:hAnsi="Arial" w:cs="Arial"/>
          <w:sz w:val="22"/>
          <w:szCs w:val="22"/>
        </w:rPr>
        <w:t xml:space="preserve"> </w:t>
      </w:r>
      <w:r w:rsidR="00C2320E" w:rsidRPr="001E6906">
        <w:rPr>
          <w:rFonts w:ascii="Arial" w:hAnsi="Arial" w:cs="Arial"/>
          <w:sz w:val="22"/>
          <w:szCs w:val="22"/>
        </w:rPr>
        <w:t>and low-paid service industries</w:t>
      </w:r>
      <w:r w:rsidR="00153E90" w:rsidRPr="001E6906">
        <w:rPr>
          <w:rFonts w:ascii="Arial" w:hAnsi="Arial" w:cs="Arial"/>
          <w:sz w:val="22"/>
          <w:szCs w:val="22"/>
        </w:rPr>
        <w:t>,</w:t>
      </w:r>
      <w:r w:rsidR="00B927A1" w:rsidRPr="001E6906">
        <w:rPr>
          <w:rFonts w:ascii="Arial" w:hAnsi="Arial" w:cs="Arial"/>
          <w:sz w:val="22"/>
          <w:szCs w:val="22"/>
        </w:rPr>
        <w:t xml:space="preserve"> etc</w:t>
      </w:r>
      <w:r w:rsidR="00C2320E" w:rsidRPr="001E6906">
        <w:rPr>
          <w:rFonts w:ascii="Arial" w:hAnsi="Arial" w:cs="Arial"/>
          <w:sz w:val="22"/>
          <w:szCs w:val="22"/>
        </w:rPr>
        <w:t>. While a minority of traditionally female-dominated occupations</w:t>
      </w:r>
      <w:r w:rsidR="00EE7072" w:rsidRPr="001E6906">
        <w:rPr>
          <w:rFonts w:ascii="Arial" w:hAnsi="Arial" w:cs="Arial"/>
          <w:sz w:val="22"/>
          <w:szCs w:val="22"/>
        </w:rPr>
        <w:t>,</w:t>
      </w:r>
      <w:r w:rsidR="00C2320E" w:rsidRPr="001E6906">
        <w:rPr>
          <w:rFonts w:ascii="Arial" w:hAnsi="Arial" w:cs="Arial"/>
          <w:sz w:val="22"/>
          <w:szCs w:val="22"/>
        </w:rPr>
        <w:t xml:space="preserve"> including social and health care were deemed essential. They often involved high-risk environments, hindering women from working or receiving full pay </w:t>
      </w:r>
      <w:r w:rsidR="00341525" w:rsidRPr="001E6906">
        <w:rPr>
          <w:rFonts w:ascii="Arial" w:hAnsi="Arial" w:cs="Arial"/>
          <w:color w:val="000000"/>
          <w:sz w:val="22"/>
          <w:szCs w:val="22"/>
        </w:rPr>
        <w:t>(</w:t>
      </w:r>
      <w:proofErr w:type="spellStart"/>
      <w:r w:rsidR="00341525" w:rsidRPr="001E6906">
        <w:rPr>
          <w:rFonts w:ascii="Arial" w:hAnsi="Arial" w:cs="Arial"/>
          <w:color w:val="000000"/>
          <w:sz w:val="22"/>
          <w:szCs w:val="22"/>
        </w:rPr>
        <w:t>Gottardello</w:t>
      </w:r>
      <w:proofErr w:type="spellEnd"/>
      <w:r w:rsidR="00341525" w:rsidRPr="001E6906">
        <w:rPr>
          <w:rFonts w:ascii="Arial" w:hAnsi="Arial" w:cs="Arial"/>
          <w:color w:val="000000"/>
          <w:sz w:val="22"/>
          <w:szCs w:val="22"/>
        </w:rPr>
        <w:t xml:space="preserve"> &amp; </w:t>
      </w:r>
      <w:proofErr w:type="spellStart"/>
      <w:r w:rsidR="00341525" w:rsidRPr="001E6906">
        <w:rPr>
          <w:rFonts w:ascii="Arial" w:hAnsi="Arial" w:cs="Arial"/>
          <w:color w:val="000000"/>
          <w:sz w:val="22"/>
          <w:szCs w:val="22"/>
        </w:rPr>
        <w:t>Mazrekaj</w:t>
      </w:r>
      <w:proofErr w:type="spellEnd"/>
      <w:r w:rsidR="00341525" w:rsidRPr="001E6906">
        <w:rPr>
          <w:rFonts w:ascii="Arial" w:hAnsi="Arial" w:cs="Arial"/>
          <w:color w:val="000000"/>
          <w:sz w:val="22"/>
          <w:szCs w:val="22"/>
        </w:rPr>
        <w:t xml:space="preserve">, 2021). </w:t>
      </w:r>
      <w:r w:rsidR="00C2320E" w:rsidRPr="001E6906">
        <w:rPr>
          <w:rFonts w:ascii="Arial" w:hAnsi="Arial" w:cs="Arial"/>
          <w:color w:val="000000"/>
          <w:sz w:val="22"/>
          <w:szCs w:val="22"/>
        </w:rPr>
        <w:t>These sectors experienced significant contractions, while self-employment and informal work increased as survival strategies in developing countries (Hatayama et al., 2020). In developing countries, early surveys reported large job losses among informal and self-employed workers, with slow recovery for women</w:t>
      </w:r>
      <w:r w:rsidR="00B712DE" w:rsidRPr="001E6906">
        <w:rPr>
          <w:rFonts w:ascii="Arial" w:hAnsi="Arial" w:cs="Arial"/>
          <w:color w:val="000000"/>
          <w:sz w:val="22"/>
          <w:szCs w:val="22"/>
        </w:rPr>
        <w:t xml:space="preserve">. </w:t>
      </w:r>
      <w:r w:rsidR="00C2320E" w:rsidRPr="001E6906">
        <w:rPr>
          <w:rFonts w:ascii="Arial" w:hAnsi="Arial" w:cs="Arial"/>
          <w:color w:val="000000"/>
          <w:sz w:val="22"/>
          <w:szCs w:val="22"/>
        </w:rPr>
        <w:t>Evidence from developing countries shows that although women’s employment traditionally acts as a household “insurance mechanism” during economic downturns, the unique nature of COVID-19 mobility restrictions, closure of informal marketplaces, and childcare demands prevented such counter-cyclical labour supply responses (</w:t>
      </w:r>
      <w:r w:rsidR="00B712DE" w:rsidRPr="001E6906">
        <w:rPr>
          <w:rFonts w:ascii="Arial" w:hAnsi="Arial" w:cs="Arial"/>
          <w:color w:val="000000"/>
          <w:sz w:val="22"/>
          <w:szCs w:val="22"/>
        </w:rPr>
        <w:t>Bansal &amp; Mahajan, 2023)</w:t>
      </w:r>
    </w:p>
    <w:p w14:paraId="0C68276D" w14:textId="77777777" w:rsidR="003F6254" w:rsidRPr="001E6906" w:rsidRDefault="00E44F52" w:rsidP="006E2238">
      <w:pPr>
        <w:spacing w:line="360" w:lineRule="auto"/>
        <w:jc w:val="both"/>
        <w:rPr>
          <w:rFonts w:ascii="Arial" w:hAnsi="Arial" w:cs="Arial"/>
          <w:i/>
          <w:iCs/>
          <w:sz w:val="22"/>
          <w:szCs w:val="22"/>
        </w:rPr>
      </w:pPr>
      <w:r w:rsidRPr="001E6906">
        <w:rPr>
          <w:rFonts w:ascii="Arial" w:hAnsi="Arial" w:cs="Arial"/>
          <w:b/>
          <w:bCs/>
          <w:i/>
          <w:iCs/>
          <w:color w:val="000000"/>
          <w:sz w:val="22"/>
          <w:szCs w:val="22"/>
        </w:rPr>
        <w:t xml:space="preserve">2.3 </w:t>
      </w:r>
      <w:r w:rsidR="00483E8A" w:rsidRPr="001E6906">
        <w:rPr>
          <w:rFonts w:ascii="Arial" w:hAnsi="Arial" w:cs="Arial"/>
          <w:b/>
          <w:bCs/>
          <w:i/>
          <w:iCs/>
          <w:color w:val="000000"/>
          <w:sz w:val="22"/>
          <w:szCs w:val="22"/>
        </w:rPr>
        <w:t>Impact on Migrant workers</w:t>
      </w:r>
      <w:r w:rsidR="00483E8A" w:rsidRPr="001E6906">
        <w:rPr>
          <w:rFonts w:ascii="Arial" w:hAnsi="Arial" w:cs="Arial"/>
          <w:b/>
          <w:bCs/>
          <w:color w:val="000000"/>
          <w:sz w:val="22"/>
          <w:szCs w:val="22"/>
        </w:rPr>
        <w:t xml:space="preserve">: </w:t>
      </w:r>
      <w:r w:rsidR="00567791" w:rsidRPr="001E6906">
        <w:rPr>
          <w:rFonts w:ascii="Arial" w:hAnsi="Arial" w:cs="Arial"/>
          <w:color w:val="000000"/>
          <w:sz w:val="22"/>
          <w:szCs w:val="22"/>
        </w:rPr>
        <w:t>Migrant workers (both internal and international) were highly vulnerable because lockdowns removed mobility options, income streams, and access to formal protections. For many migrants</w:t>
      </w:r>
      <w:r w:rsidR="00153E90" w:rsidRPr="001E6906">
        <w:rPr>
          <w:rFonts w:ascii="Arial" w:hAnsi="Arial" w:cs="Arial"/>
          <w:color w:val="000000"/>
          <w:sz w:val="22"/>
          <w:szCs w:val="22"/>
        </w:rPr>
        <w:t>,</w:t>
      </w:r>
      <w:r w:rsidR="00567791" w:rsidRPr="001E6906">
        <w:rPr>
          <w:rFonts w:ascii="Arial" w:hAnsi="Arial" w:cs="Arial"/>
          <w:color w:val="000000"/>
          <w:sz w:val="22"/>
          <w:szCs w:val="22"/>
        </w:rPr>
        <w:t xml:space="preserve"> the shock produced livelihood crises with gendered patterns</w:t>
      </w:r>
      <w:r w:rsidR="00C2320E" w:rsidRPr="001E6906">
        <w:rPr>
          <w:rFonts w:ascii="Arial" w:hAnsi="Arial" w:cs="Arial"/>
          <w:color w:val="000000"/>
          <w:sz w:val="22"/>
          <w:szCs w:val="22"/>
        </w:rPr>
        <w:t xml:space="preserve">. </w:t>
      </w:r>
      <w:r w:rsidR="00C2320E" w:rsidRPr="001E6906">
        <w:rPr>
          <w:rFonts w:ascii="Arial" w:hAnsi="Arial" w:cs="Arial"/>
          <w:color w:val="000000"/>
          <w:sz w:val="22"/>
          <w:szCs w:val="22"/>
        </w:rPr>
        <w:lastRenderedPageBreak/>
        <w:t>Migrant care workers in Europe</w:t>
      </w:r>
      <w:r w:rsidR="00567791" w:rsidRPr="001E6906">
        <w:rPr>
          <w:rFonts w:ascii="Arial" w:hAnsi="Arial" w:cs="Arial"/>
          <w:color w:val="000000"/>
          <w:sz w:val="22"/>
          <w:szCs w:val="22"/>
        </w:rPr>
        <w:t xml:space="preserve">, </w:t>
      </w:r>
      <w:r w:rsidR="00C2320E" w:rsidRPr="001E6906">
        <w:rPr>
          <w:rFonts w:ascii="Arial" w:hAnsi="Arial" w:cs="Arial"/>
          <w:color w:val="000000"/>
          <w:sz w:val="22"/>
          <w:szCs w:val="22"/>
        </w:rPr>
        <w:t>many of them women faced job losses, exclusion from social protection, and heightened health risks (</w:t>
      </w:r>
      <w:proofErr w:type="spellStart"/>
      <w:r w:rsidR="00C2320E" w:rsidRPr="001E6906">
        <w:rPr>
          <w:rFonts w:ascii="Arial" w:hAnsi="Arial" w:cs="Arial"/>
          <w:color w:val="000000"/>
          <w:sz w:val="22"/>
          <w:szCs w:val="22"/>
        </w:rPr>
        <w:t>Duijs</w:t>
      </w:r>
      <w:proofErr w:type="spellEnd"/>
      <w:r w:rsidR="00C2320E" w:rsidRPr="001E6906">
        <w:rPr>
          <w:rFonts w:ascii="Arial" w:hAnsi="Arial" w:cs="Arial"/>
          <w:color w:val="000000"/>
          <w:sz w:val="22"/>
          <w:szCs w:val="22"/>
        </w:rPr>
        <w:t xml:space="preserve"> et al., 2021). In India, the abrupt lockdown </w:t>
      </w:r>
      <w:r w:rsidR="00571AD3" w:rsidRPr="001E6906">
        <w:rPr>
          <w:rFonts w:ascii="Arial" w:hAnsi="Arial" w:cs="Arial"/>
          <w:color w:val="000000"/>
          <w:sz w:val="22"/>
          <w:szCs w:val="22"/>
        </w:rPr>
        <w:t>caused reverse migration. Mi</w:t>
      </w:r>
      <w:r w:rsidR="00C2320E" w:rsidRPr="001E6906">
        <w:rPr>
          <w:rFonts w:ascii="Arial" w:hAnsi="Arial" w:cs="Arial"/>
          <w:color w:val="000000"/>
          <w:sz w:val="22"/>
          <w:szCs w:val="22"/>
        </w:rPr>
        <w:t>llions of internal migrants, including women workers, undertake long, unsafe journeys</w:t>
      </w:r>
      <w:r w:rsidR="00567791" w:rsidRPr="001E6906">
        <w:rPr>
          <w:rFonts w:ascii="Arial" w:hAnsi="Arial" w:cs="Arial"/>
          <w:color w:val="000000"/>
          <w:sz w:val="22"/>
          <w:szCs w:val="22"/>
        </w:rPr>
        <w:t xml:space="preserve"> to</w:t>
      </w:r>
      <w:r w:rsidR="00C2320E" w:rsidRPr="001E6906">
        <w:rPr>
          <w:rFonts w:ascii="Arial" w:hAnsi="Arial" w:cs="Arial"/>
          <w:color w:val="000000"/>
          <w:sz w:val="22"/>
          <w:szCs w:val="22"/>
        </w:rPr>
        <w:t xml:space="preserve"> </w:t>
      </w:r>
      <w:r w:rsidR="00153E90" w:rsidRPr="001E6906">
        <w:rPr>
          <w:rFonts w:ascii="Arial" w:hAnsi="Arial" w:cs="Arial"/>
          <w:color w:val="000000"/>
          <w:sz w:val="22"/>
          <w:szCs w:val="22"/>
        </w:rPr>
        <w:t xml:space="preserve">their </w:t>
      </w:r>
      <w:r w:rsidR="00C2320E" w:rsidRPr="001E6906">
        <w:rPr>
          <w:rFonts w:ascii="Arial" w:hAnsi="Arial" w:cs="Arial"/>
          <w:color w:val="000000"/>
          <w:sz w:val="22"/>
          <w:szCs w:val="22"/>
        </w:rPr>
        <w:t>home</w:t>
      </w:r>
      <w:r w:rsidR="00EE7072" w:rsidRPr="001E6906">
        <w:rPr>
          <w:rFonts w:ascii="Arial" w:hAnsi="Arial" w:cs="Arial"/>
          <w:color w:val="000000"/>
          <w:sz w:val="22"/>
          <w:szCs w:val="22"/>
        </w:rPr>
        <w:t>s</w:t>
      </w:r>
      <w:r w:rsidR="00C2320E" w:rsidRPr="001E6906">
        <w:rPr>
          <w:rFonts w:ascii="Arial" w:hAnsi="Arial" w:cs="Arial"/>
          <w:color w:val="000000"/>
          <w:sz w:val="22"/>
          <w:szCs w:val="22"/>
        </w:rPr>
        <w:t xml:space="preserve"> with no income security, food access, or transportation</w:t>
      </w:r>
      <w:r w:rsidR="00314A28" w:rsidRPr="001E6906">
        <w:rPr>
          <w:rFonts w:ascii="Arial" w:hAnsi="Arial" w:cs="Arial"/>
          <w:color w:val="000000"/>
          <w:sz w:val="22"/>
          <w:szCs w:val="22"/>
        </w:rPr>
        <w:t xml:space="preserve"> (Orjuela-Grimm et al., 2021). </w:t>
      </w:r>
      <w:r w:rsidR="00C2320E" w:rsidRPr="001E6906">
        <w:rPr>
          <w:rFonts w:ascii="Arial" w:hAnsi="Arial" w:cs="Arial"/>
          <w:color w:val="000000"/>
          <w:sz w:val="22"/>
          <w:szCs w:val="22"/>
        </w:rPr>
        <w:t>Migrant women in domestic and long-term care work experienced vulnerabilities, navigating both paid and unpaid care responsibilities without access to unemployment benefits.</w:t>
      </w:r>
      <w:r w:rsidR="00567791" w:rsidRPr="001E6906">
        <w:rPr>
          <w:rFonts w:ascii="Arial" w:hAnsi="Arial" w:cs="Arial"/>
          <w:color w:val="000000"/>
          <w:sz w:val="22"/>
          <w:szCs w:val="22"/>
        </w:rPr>
        <w:t xml:space="preserve"> long-distance return journeys, and loss of urban informal employment</w:t>
      </w:r>
      <w:r w:rsidR="00CC3790" w:rsidRPr="001E6906">
        <w:rPr>
          <w:rFonts w:ascii="Arial" w:hAnsi="Arial" w:cs="Arial"/>
          <w:color w:val="000000"/>
          <w:sz w:val="22"/>
          <w:szCs w:val="22"/>
        </w:rPr>
        <w:t>.</w:t>
      </w:r>
    </w:p>
    <w:p w14:paraId="12BD3DE4" w14:textId="77777777" w:rsidR="003F6254" w:rsidRPr="001E6906" w:rsidRDefault="00CC3790" w:rsidP="006E2238">
      <w:pPr>
        <w:pStyle w:val="NormalWeb"/>
        <w:spacing w:line="360" w:lineRule="auto"/>
        <w:jc w:val="both"/>
        <w:rPr>
          <w:rFonts w:ascii="Arial" w:hAnsi="Arial" w:cs="Arial"/>
          <w:color w:val="000000"/>
          <w:sz w:val="22"/>
          <w:szCs w:val="22"/>
        </w:rPr>
      </w:pPr>
      <w:r w:rsidRPr="001E6906">
        <w:rPr>
          <w:rFonts w:ascii="Arial" w:hAnsi="Arial" w:cs="Arial"/>
          <w:color w:val="000000"/>
          <w:sz w:val="22"/>
          <w:szCs w:val="22"/>
        </w:rPr>
        <w:t>From the existing literature, we found that the C</w:t>
      </w:r>
      <w:r w:rsidR="00153E90" w:rsidRPr="001E6906">
        <w:rPr>
          <w:rFonts w:ascii="Arial" w:hAnsi="Arial" w:cs="Arial"/>
          <w:color w:val="000000"/>
          <w:sz w:val="22"/>
          <w:szCs w:val="22"/>
        </w:rPr>
        <w:t>OVID</w:t>
      </w:r>
      <w:r w:rsidRPr="001E6906">
        <w:rPr>
          <w:rFonts w:ascii="Arial" w:hAnsi="Arial" w:cs="Arial"/>
          <w:color w:val="000000"/>
          <w:sz w:val="22"/>
          <w:szCs w:val="22"/>
        </w:rPr>
        <w:t>-19 pandemic affected men and women differently in the labour market. There was a shift across sectors, with many people losing jobs in manufacturing and services. More people moved to agriculture and self-employment during the pandemic.</w:t>
      </w:r>
      <w:r w:rsidR="00C2320E" w:rsidRPr="001E6906">
        <w:rPr>
          <w:rFonts w:ascii="Arial" w:hAnsi="Arial" w:cs="Arial"/>
          <w:color w:val="000000"/>
          <w:sz w:val="22"/>
          <w:szCs w:val="22"/>
        </w:rPr>
        <w:t xml:space="preserve"> These effects were more severe for women, migrants, informal workers, and those in contact-intensive occupations. These findings underscore the need for gender-responsive labour market policies, expanded childcare infrastructure, and stronger social protection systems to prevent long-term disruptions in women’s employment trajectories.</w:t>
      </w:r>
      <w:r w:rsidR="00F11EFE" w:rsidRPr="001E6906">
        <w:rPr>
          <w:rFonts w:ascii="Arial" w:hAnsi="Arial" w:cs="Arial"/>
          <w:sz w:val="22"/>
          <w:szCs w:val="22"/>
        </w:rPr>
        <w:t xml:space="preserve"> </w:t>
      </w:r>
      <w:r w:rsidR="00F11EFE" w:rsidRPr="001E6906">
        <w:rPr>
          <w:rFonts w:ascii="Arial" w:hAnsi="Arial" w:cs="Arial"/>
          <w:color w:val="000000"/>
          <w:sz w:val="22"/>
          <w:szCs w:val="22"/>
        </w:rPr>
        <w:t xml:space="preserve">Early studies primarily focused on immediate job loss, unemployment spikes, and migrant distress during the first lockdown (Deshpande, 2020; Abraham et al., 2021). While these contributions are valuable, they are largely short-term and often do not provide a comprehensive trend analysis across pre-pandemic, pandemic, and post-pandemic periods. Moreover, there remains a notable gap in </w:t>
      </w:r>
      <w:r w:rsidR="00153E90" w:rsidRPr="001E6906">
        <w:rPr>
          <w:rFonts w:ascii="Arial" w:hAnsi="Arial" w:cs="Arial"/>
          <w:color w:val="000000"/>
          <w:sz w:val="22"/>
          <w:szCs w:val="22"/>
        </w:rPr>
        <w:t xml:space="preserve">the </w:t>
      </w:r>
      <w:r w:rsidR="00F11EFE" w:rsidRPr="001E6906">
        <w:rPr>
          <w:rFonts w:ascii="Arial" w:hAnsi="Arial" w:cs="Arial"/>
          <w:color w:val="000000"/>
          <w:sz w:val="22"/>
          <w:szCs w:val="22"/>
        </w:rPr>
        <w:t>literature examining men and women separately across key labour market indicators-Labour Force Participation Rate (LFPR), Worker Population Ratio (WPR), Unemployment Rate (UR)</w:t>
      </w:r>
      <w:r w:rsidR="00EE7072" w:rsidRPr="001E6906">
        <w:rPr>
          <w:rFonts w:ascii="Arial" w:hAnsi="Arial" w:cs="Arial"/>
          <w:color w:val="000000"/>
          <w:sz w:val="22"/>
          <w:szCs w:val="22"/>
        </w:rPr>
        <w:t>,</w:t>
      </w:r>
      <w:r w:rsidR="00F11EFE" w:rsidRPr="001E6906">
        <w:rPr>
          <w:rFonts w:ascii="Arial" w:hAnsi="Arial" w:cs="Arial"/>
          <w:color w:val="000000"/>
          <w:sz w:val="22"/>
          <w:szCs w:val="22"/>
        </w:rPr>
        <w:t xml:space="preserve"> as well as sectoral employment distribution and types of employment (self-employment, regular wage work, casual labour). Existing research highlights gendered effects but typically focuses on single outcomes (e.g., job loss, childcare burden), offering limited insights into how the overall structure of employment evolved differently for men and women. Therefore, the present study contributes to the literature by conducting a systematic trend analysis using PLFS data from 2017-18 to 2022-23, covering pre-pandemic, pandemic, and post-pandemic phases. By examining gender-disaggregated changes in labour force participation, work participation, unemployment, employment types, and sectoral distribution, this study aims to fill the existing research gap and provide a deeper understanding of the long-term structural impact of COVID-19 on India’s labour market.</w:t>
      </w:r>
    </w:p>
    <w:p w14:paraId="00FC1DA3" w14:textId="77777777" w:rsidR="00D3056A" w:rsidRPr="001E6906" w:rsidRDefault="00E44F52" w:rsidP="006E2238">
      <w:pPr>
        <w:spacing w:line="360" w:lineRule="auto"/>
        <w:jc w:val="both"/>
        <w:rPr>
          <w:rFonts w:ascii="Arial" w:hAnsi="Arial" w:cs="Arial"/>
          <w:b/>
          <w:bCs/>
          <w:sz w:val="22"/>
          <w:szCs w:val="22"/>
        </w:rPr>
      </w:pPr>
      <w:r w:rsidRPr="001E6906">
        <w:rPr>
          <w:rFonts w:ascii="Arial" w:hAnsi="Arial" w:cs="Arial"/>
          <w:b/>
          <w:bCs/>
          <w:sz w:val="22"/>
          <w:szCs w:val="22"/>
        </w:rPr>
        <w:t xml:space="preserve">3. </w:t>
      </w:r>
      <w:r w:rsidR="00CD3539" w:rsidRPr="001E6906">
        <w:rPr>
          <w:rFonts w:ascii="Arial" w:hAnsi="Arial" w:cs="Arial"/>
          <w:b/>
          <w:bCs/>
          <w:sz w:val="22"/>
          <w:szCs w:val="22"/>
        </w:rPr>
        <w:t>Research questions:</w:t>
      </w:r>
      <w:r w:rsidR="00D3056A" w:rsidRPr="001E6906">
        <w:rPr>
          <w:rFonts w:ascii="Arial" w:hAnsi="Arial" w:cs="Arial"/>
          <w:b/>
          <w:bCs/>
          <w:sz w:val="22"/>
          <w:szCs w:val="22"/>
        </w:rPr>
        <w:t xml:space="preserve"> </w:t>
      </w:r>
    </w:p>
    <w:p w14:paraId="6309A678" w14:textId="77777777" w:rsidR="00CC37A2" w:rsidRPr="001E6906" w:rsidRDefault="00D3056A" w:rsidP="006E2238">
      <w:pPr>
        <w:spacing w:line="360" w:lineRule="auto"/>
        <w:jc w:val="both"/>
        <w:rPr>
          <w:rFonts w:ascii="Arial" w:hAnsi="Arial" w:cs="Arial"/>
          <w:sz w:val="22"/>
          <w:szCs w:val="22"/>
        </w:rPr>
      </w:pPr>
      <w:r w:rsidRPr="001E6906">
        <w:rPr>
          <w:rFonts w:ascii="Arial" w:hAnsi="Arial" w:cs="Arial"/>
          <w:sz w:val="22"/>
          <w:szCs w:val="22"/>
        </w:rPr>
        <w:lastRenderedPageBreak/>
        <w:t>1.</w:t>
      </w:r>
      <w:r w:rsidRPr="001E6906">
        <w:rPr>
          <w:rFonts w:ascii="Segoe UI Symbol" w:hAnsi="Segoe UI Symbol" w:cs="Segoe UI Symbol"/>
          <w:sz w:val="22"/>
          <w:szCs w:val="22"/>
        </w:rPr>
        <w:t>⁠</w:t>
      </w:r>
      <w:r w:rsidRPr="001E6906">
        <w:rPr>
          <w:rFonts w:ascii="Arial" w:hAnsi="Arial" w:cs="Arial"/>
          <w:sz w:val="22"/>
          <w:szCs w:val="22"/>
        </w:rPr>
        <w:t xml:space="preserve"> </w:t>
      </w:r>
      <w:r w:rsidRPr="001E6906">
        <w:rPr>
          <w:rFonts w:ascii="Segoe UI Symbol" w:hAnsi="Segoe UI Symbol" w:cs="Segoe UI Symbol"/>
          <w:sz w:val="22"/>
          <w:szCs w:val="22"/>
        </w:rPr>
        <w:t>⁠</w:t>
      </w:r>
      <w:r w:rsidRPr="001E6906">
        <w:rPr>
          <w:rFonts w:ascii="Arial" w:hAnsi="Arial" w:cs="Arial"/>
          <w:sz w:val="22"/>
          <w:szCs w:val="22"/>
        </w:rPr>
        <w:t xml:space="preserve">How did the COVID-19 pandemic affect the labour-market </w:t>
      </w:r>
      <w:r w:rsidR="00AE1D17" w:rsidRPr="001E6906">
        <w:rPr>
          <w:rFonts w:ascii="Arial" w:hAnsi="Arial" w:cs="Arial"/>
          <w:sz w:val="22"/>
          <w:szCs w:val="22"/>
        </w:rPr>
        <w:t xml:space="preserve">indicators of both </w:t>
      </w:r>
      <w:r w:rsidRPr="001E6906">
        <w:rPr>
          <w:rFonts w:ascii="Arial" w:hAnsi="Arial" w:cs="Arial"/>
          <w:sz w:val="22"/>
          <w:szCs w:val="22"/>
        </w:rPr>
        <w:t>men and women in India during the pre-pandemic, pandemic, and post-pandemic periods?</w:t>
      </w:r>
    </w:p>
    <w:p w14:paraId="0444228A" w14:textId="77777777" w:rsidR="004809B2" w:rsidRPr="001E6906" w:rsidRDefault="00CC37A2" w:rsidP="006E2238">
      <w:pPr>
        <w:spacing w:line="360" w:lineRule="auto"/>
        <w:jc w:val="both"/>
        <w:rPr>
          <w:rFonts w:ascii="Arial" w:hAnsi="Arial" w:cs="Arial"/>
          <w:sz w:val="22"/>
          <w:szCs w:val="22"/>
        </w:rPr>
      </w:pPr>
      <w:r w:rsidRPr="001E6906">
        <w:rPr>
          <w:rFonts w:ascii="Arial" w:hAnsi="Arial" w:cs="Arial"/>
          <w:sz w:val="22"/>
          <w:szCs w:val="22"/>
        </w:rPr>
        <w:t>2</w:t>
      </w:r>
      <w:r w:rsidR="00D3056A" w:rsidRPr="001E6906">
        <w:rPr>
          <w:rFonts w:ascii="Arial" w:hAnsi="Arial" w:cs="Arial"/>
          <w:sz w:val="22"/>
          <w:szCs w:val="22"/>
        </w:rPr>
        <w:t>.</w:t>
      </w:r>
      <w:r w:rsidR="00D3056A" w:rsidRPr="001E6906">
        <w:rPr>
          <w:rFonts w:ascii="Segoe UI Symbol" w:hAnsi="Segoe UI Symbol" w:cs="Segoe UI Symbol"/>
          <w:sz w:val="22"/>
          <w:szCs w:val="22"/>
        </w:rPr>
        <w:t>⁠</w:t>
      </w:r>
      <w:r w:rsidR="00D3056A" w:rsidRPr="001E6906">
        <w:rPr>
          <w:rFonts w:ascii="Arial" w:hAnsi="Arial" w:cs="Arial"/>
          <w:sz w:val="22"/>
          <w:szCs w:val="22"/>
        </w:rPr>
        <w:t xml:space="preserve"> </w:t>
      </w:r>
      <w:r w:rsidR="00D3056A" w:rsidRPr="001E6906">
        <w:rPr>
          <w:rFonts w:ascii="Segoe UI Symbol" w:hAnsi="Segoe UI Symbol" w:cs="Segoe UI Symbol"/>
          <w:sz w:val="22"/>
          <w:szCs w:val="22"/>
        </w:rPr>
        <w:t>⁠</w:t>
      </w:r>
      <w:r w:rsidR="00D3056A" w:rsidRPr="001E6906">
        <w:rPr>
          <w:rFonts w:ascii="Arial" w:hAnsi="Arial" w:cs="Arial"/>
          <w:sz w:val="22"/>
          <w:szCs w:val="22"/>
        </w:rPr>
        <w:t>To what extent did the pandemic alter the sectoral employment patterns (agriculture, industry, and services) of men and women differently?</w:t>
      </w:r>
    </w:p>
    <w:p w14:paraId="44EDB803" w14:textId="77777777" w:rsidR="00D3056A" w:rsidRPr="001E6906" w:rsidRDefault="00CC37A2" w:rsidP="006E2238">
      <w:pPr>
        <w:spacing w:line="360" w:lineRule="auto"/>
        <w:jc w:val="both"/>
        <w:rPr>
          <w:rFonts w:ascii="Arial" w:hAnsi="Arial" w:cs="Arial"/>
          <w:sz w:val="22"/>
          <w:szCs w:val="22"/>
        </w:rPr>
      </w:pPr>
      <w:r w:rsidRPr="001E6906">
        <w:rPr>
          <w:rFonts w:ascii="Arial" w:hAnsi="Arial" w:cs="Arial"/>
          <w:sz w:val="22"/>
          <w:szCs w:val="22"/>
        </w:rPr>
        <w:t>3</w:t>
      </w:r>
      <w:r w:rsidR="00D3056A" w:rsidRPr="001E6906">
        <w:rPr>
          <w:rFonts w:ascii="Arial" w:hAnsi="Arial" w:cs="Arial"/>
          <w:sz w:val="22"/>
          <w:szCs w:val="22"/>
        </w:rPr>
        <w:t>.</w:t>
      </w:r>
      <w:r w:rsidR="00D3056A" w:rsidRPr="001E6906">
        <w:rPr>
          <w:rFonts w:ascii="Segoe UI Symbol" w:hAnsi="Segoe UI Symbol" w:cs="Segoe UI Symbol"/>
          <w:sz w:val="22"/>
          <w:szCs w:val="22"/>
        </w:rPr>
        <w:t>⁠</w:t>
      </w:r>
      <w:r w:rsidR="00D3056A" w:rsidRPr="001E6906">
        <w:rPr>
          <w:rFonts w:ascii="Arial" w:hAnsi="Arial" w:cs="Arial"/>
          <w:sz w:val="22"/>
          <w:szCs w:val="22"/>
        </w:rPr>
        <w:t xml:space="preserve"> </w:t>
      </w:r>
      <w:r w:rsidR="00D3056A" w:rsidRPr="001E6906">
        <w:rPr>
          <w:rFonts w:ascii="Segoe UI Symbol" w:hAnsi="Segoe UI Symbol" w:cs="Segoe UI Symbol"/>
          <w:sz w:val="22"/>
          <w:szCs w:val="22"/>
        </w:rPr>
        <w:t>⁠</w:t>
      </w:r>
      <w:r w:rsidR="00D3056A" w:rsidRPr="001E6906">
        <w:rPr>
          <w:rFonts w:ascii="Arial" w:hAnsi="Arial" w:cs="Arial"/>
          <w:sz w:val="22"/>
          <w:szCs w:val="22"/>
        </w:rPr>
        <w:t>How did the distribution of employment types</w:t>
      </w:r>
      <w:r w:rsidR="00EE7072" w:rsidRPr="001E6906">
        <w:rPr>
          <w:rFonts w:ascii="Arial" w:hAnsi="Arial" w:cs="Arial"/>
          <w:sz w:val="22"/>
          <w:szCs w:val="22"/>
        </w:rPr>
        <w:t>,</w:t>
      </w:r>
      <w:r w:rsidRPr="001E6906">
        <w:rPr>
          <w:rFonts w:ascii="Arial" w:hAnsi="Arial" w:cs="Arial"/>
          <w:sz w:val="22"/>
          <w:szCs w:val="22"/>
        </w:rPr>
        <w:t xml:space="preserve"> such as </w:t>
      </w:r>
      <w:r w:rsidR="00D3056A" w:rsidRPr="001E6906">
        <w:rPr>
          <w:rFonts w:ascii="Arial" w:hAnsi="Arial" w:cs="Arial"/>
          <w:sz w:val="22"/>
          <w:szCs w:val="22"/>
        </w:rPr>
        <w:t>self-employment, regular wage and casual labour</w:t>
      </w:r>
      <w:r w:rsidR="00153E90" w:rsidRPr="001E6906">
        <w:rPr>
          <w:rFonts w:ascii="Arial" w:hAnsi="Arial" w:cs="Arial"/>
          <w:sz w:val="22"/>
          <w:szCs w:val="22"/>
        </w:rPr>
        <w:t>,</w:t>
      </w:r>
      <w:r w:rsidR="00D3056A" w:rsidRPr="001E6906">
        <w:rPr>
          <w:rFonts w:ascii="Arial" w:hAnsi="Arial" w:cs="Arial"/>
          <w:sz w:val="22"/>
          <w:szCs w:val="22"/>
        </w:rPr>
        <w:t xml:space="preserve"> change for men and women across the pandemic period?</w:t>
      </w:r>
    </w:p>
    <w:p w14:paraId="6EB9278D" w14:textId="77777777" w:rsidR="00CD3539" w:rsidRPr="001E6906" w:rsidRDefault="00CD3539" w:rsidP="006E2238">
      <w:pPr>
        <w:spacing w:line="360" w:lineRule="auto"/>
        <w:jc w:val="both"/>
        <w:rPr>
          <w:rFonts w:ascii="Arial" w:hAnsi="Arial" w:cs="Arial"/>
          <w:sz w:val="22"/>
          <w:szCs w:val="22"/>
        </w:rPr>
      </w:pPr>
    </w:p>
    <w:p w14:paraId="502F2B9B" w14:textId="77777777" w:rsidR="00CD3539" w:rsidRPr="001E6906" w:rsidRDefault="00E44F52" w:rsidP="006E2238">
      <w:pPr>
        <w:spacing w:line="360" w:lineRule="auto"/>
        <w:jc w:val="both"/>
        <w:rPr>
          <w:rFonts w:ascii="Arial" w:hAnsi="Arial" w:cs="Arial"/>
          <w:b/>
          <w:bCs/>
          <w:sz w:val="22"/>
          <w:szCs w:val="22"/>
        </w:rPr>
      </w:pPr>
      <w:r w:rsidRPr="001E6906">
        <w:rPr>
          <w:rFonts w:ascii="Arial" w:hAnsi="Arial" w:cs="Arial"/>
          <w:b/>
          <w:bCs/>
          <w:sz w:val="22"/>
          <w:szCs w:val="22"/>
        </w:rPr>
        <w:t xml:space="preserve">4. </w:t>
      </w:r>
      <w:r w:rsidR="00D3056A" w:rsidRPr="001E6906">
        <w:rPr>
          <w:rFonts w:ascii="Arial" w:hAnsi="Arial" w:cs="Arial"/>
          <w:b/>
          <w:bCs/>
          <w:sz w:val="22"/>
          <w:szCs w:val="22"/>
        </w:rPr>
        <w:t xml:space="preserve">Research </w:t>
      </w:r>
      <w:r w:rsidR="00CD3539" w:rsidRPr="001E6906">
        <w:rPr>
          <w:rFonts w:ascii="Arial" w:hAnsi="Arial" w:cs="Arial"/>
          <w:b/>
          <w:bCs/>
          <w:sz w:val="22"/>
          <w:szCs w:val="22"/>
        </w:rPr>
        <w:t>Objectives:</w:t>
      </w:r>
    </w:p>
    <w:p w14:paraId="3CA8BBFD" w14:textId="77777777" w:rsidR="00D3056A" w:rsidRPr="001E6906" w:rsidRDefault="00D3056A" w:rsidP="006E2238">
      <w:pPr>
        <w:spacing w:line="360" w:lineRule="auto"/>
        <w:jc w:val="both"/>
        <w:rPr>
          <w:rFonts w:ascii="Arial" w:hAnsi="Arial" w:cs="Arial"/>
          <w:sz w:val="22"/>
          <w:szCs w:val="22"/>
        </w:rPr>
      </w:pPr>
      <w:r w:rsidRPr="001E6906">
        <w:rPr>
          <w:rFonts w:ascii="Arial" w:hAnsi="Arial" w:cs="Arial"/>
          <w:sz w:val="22"/>
          <w:szCs w:val="22"/>
        </w:rPr>
        <w:t>1.</w:t>
      </w:r>
      <w:r w:rsidRPr="001E6906">
        <w:rPr>
          <w:rFonts w:ascii="Segoe UI Symbol" w:hAnsi="Segoe UI Symbol" w:cs="Segoe UI Symbol"/>
          <w:sz w:val="22"/>
          <w:szCs w:val="22"/>
        </w:rPr>
        <w:t>⁠</w:t>
      </w:r>
      <w:r w:rsidRPr="001E6906">
        <w:rPr>
          <w:rFonts w:ascii="Arial" w:hAnsi="Arial" w:cs="Arial"/>
          <w:sz w:val="22"/>
          <w:szCs w:val="22"/>
        </w:rPr>
        <w:t xml:space="preserve"> </w:t>
      </w:r>
      <w:r w:rsidRPr="001E6906">
        <w:rPr>
          <w:rFonts w:ascii="Segoe UI Symbol" w:hAnsi="Segoe UI Symbol" w:cs="Segoe UI Symbol"/>
          <w:sz w:val="22"/>
          <w:szCs w:val="22"/>
        </w:rPr>
        <w:t>⁠</w:t>
      </w:r>
      <w:r w:rsidRPr="001E6906">
        <w:rPr>
          <w:rFonts w:ascii="Arial" w:hAnsi="Arial" w:cs="Arial"/>
          <w:sz w:val="22"/>
          <w:szCs w:val="22"/>
        </w:rPr>
        <w:t>To examine changes in labour-market indicators-LFPR, WPR, and Unemployment Rate across the pre-pandemic, pandemic, and post-pandemic periods for men and women separately.</w:t>
      </w:r>
    </w:p>
    <w:p w14:paraId="3040BB38" w14:textId="77777777" w:rsidR="00D3056A" w:rsidRPr="001E6906" w:rsidRDefault="00D3056A" w:rsidP="006E2238">
      <w:pPr>
        <w:spacing w:line="360" w:lineRule="auto"/>
        <w:jc w:val="both"/>
        <w:rPr>
          <w:rFonts w:ascii="Arial" w:hAnsi="Arial" w:cs="Arial"/>
          <w:sz w:val="22"/>
          <w:szCs w:val="22"/>
        </w:rPr>
      </w:pPr>
      <w:r w:rsidRPr="001E6906">
        <w:rPr>
          <w:rFonts w:ascii="Arial" w:hAnsi="Arial" w:cs="Arial"/>
          <w:sz w:val="22"/>
          <w:szCs w:val="22"/>
        </w:rPr>
        <w:t>2.</w:t>
      </w:r>
      <w:r w:rsidRPr="001E6906">
        <w:rPr>
          <w:rFonts w:ascii="Segoe UI Symbol" w:hAnsi="Segoe UI Symbol" w:cs="Segoe UI Symbol"/>
          <w:sz w:val="22"/>
          <w:szCs w:val="22"/>
        </w:rPr>
        <w:t>⁠</w:t>
      </w:r>
      <w:r w:rsidRPr="001E6906">
        <w:rPr>
          <w:rFonts w:ascii="Arial" w:hAnsi="Arial" w:cs="Arial"/>
          <w:sz w:val="22"/>
          <w:szCs w:val="22"/>
        </w:rPr>
        <w:t xml:space="preserve"> </w:t>
      </w:r>
      <w:r w:rsidRPr="001E6906">
        <w:rPr>
          <w:rFonts w:ascii="Segoe UI Symbol" w:hAnsi="Segoe UI Symbol" w:cs="Segoe UI Symbol"/>
          <w:sz w:val="22"/>
          <w:szCs w:val="22"/>
        </w:rPr>
        <w:t>⁠</w:t>
      </w:r>
      <w:r w:rsidRPr="001E6906">
        <w:rPr>
          <w:rFonts w:ascii="Arial" w:hAnsi="Arial" w:cs="Arial"/>
          <w:sz w:val="22"/>
          <w:szCs w:val="22"/>
        </w:rPr>
        <w:t>To analyse gender-wise shifts in sectoral employment across agriculture, industry, and services during the three periods.</w:t>
      </w:r>
    </w:p>
    <w:p w14:paraId="3E5B12CF" w14:textId="77777777" w:rsidR="00B75FEE" w:rsidRPr="001E6906" w:rsidRDefault="00D3056A" w:rsidP="006E2238">
      <w:pPr>
        <w:spacing w:line="360" w:lineRule="auto"/>
        <w:jc w:val="both"/>
        <w:rPr>
          <w:rFonts w:ascii="Arial" w:hAnsi="Arial" w:cs="Arial"/>
          <w:sz w:val="22"/>
          <w:szCs w:val="22"/>
        </w:rPr>
      </w:pPr>
      <w:r w:rsidRPr="001E6906">
        <w:rPr>
          <w:rFonts w:ascii="Arial" w:hAnsi="Arial" w:cs="Arial"/>
          <w:sz w:val="22"/>
          <w:szCs w:val="22"/>
        </w:rPr>
        <w:t>3.</w:t>
      </w:r>
      <w:r w:rsidRPr="001E6906">
        <w:rPr>
          <w:rFonts w:ascii="Segoe UI Symbol" w:hAnsi="Segoe UI Symbol" w:cs="Segoe UI Symbol"/>
          <w:sz w:val="22"/>
          <w:szCs w:val="22"/>
        </w:rPr>
        <w:t>⁠</w:t>
      </w:r>
      <w:r w:rsidRPr="001E6906">
        <w:rPr>
          <w:rFonts w:ascii="Arial" w:hAnsi="Arial" w:cs="Arial"/>
          <w:sz w:val="22"/>
          <w:szCs w:val="22"/>
        </w:rPr>
        <w:t xml:space="preserve"> </w:t>
      </w:r>
      <w:r w:rsidRPr="001E6906">
        <w:rPr>
          <w:rFonts w:ascii="Segoe UI Symbol" w:hAnsi="Segoe UI Symbol" w:cs="Segoe UI Symbol"/>
          <w:sz w:val="22"/>
          <w:szCs w:val="22"/>
        </w:rPr>
        <w:t>⁠</w:t>
      </w:r>
      <w:r w:rsidRPr="001E6906">
        <w:rPr>
          <w:rFonts w:ascii="Arial" w:hAnsi="Arial" w:cs="Arial"/>
          <w:sz w:val="22"/>
          <w:szCs w:val="22"/>
        </w:rPr>
        <w:t>To study the distribution of employment types (self-employed, regular wage</w:t>
      </w:r>
      <w:r w:rsidR="00CC37A2" w:rsidRPr="001E6906">
        <w:rPr>
          <w:rFonts w:ascii="Arial" w:hAnsi="Arial" w:cs="Arial"/>
          <w:sz w:val="22"/>
          <w:szCs w:val="22"/>
        </w:rPr>
        <w:t xml:space="preserve">, </w:t>
      </w:r>
      <w:r w:rsidRPr="001E6906">
        <w:rPr>
          <w:rFonts w:ascii="Arial" w:hAnsi="Arial" w:cs="Arial"/>
          <w:sz w:val="22"/>
          <w:szCs w:val="22"/>
        </w:rPr>
        <w:t>casual labour) for men and women and how these changed due to the pandemic.</w:t>
      </w:r>
    </w:p>
    <w:p w14:paraId="46ED6345" w14:textId="77777777" w:rsidR="00C2320E" w:rsidRPr="001E6906" w:rsidRDefault="00C2320E" w:rsidP="006E2238">
      <w:pPr>
        <w:spacing w:line="360" w:lineRule="auto"/>
        <w:jc w:val="both"/>
        <w:rPr>
          <w:rFonts w:ascii="Arial" w:hAnsi="Arial" w:cs="Arial"/>
          <w:sz w:val="22"/>
          <w:szCs w:val="22"/>
        </w:rPr>
      </w:pPr>
    </w:p>
    <w:p w14:paraId="1C062044" w14:textId="77777777" w:rsidR="00FD4490" w:rsidRPr="001E6906" w:rsidRDefault="00E44F52" w:rsidP="006E2238">
      <w:pPr>
        <w:spacing w:line="360" w:lineRule="auto"/>
        <w:jc w:val="both"/>
        <w:rPr>
          <w:rFonts w:ascii="Arial" w:hAnsi="Arial" w:cs="Arial"/>
          <w:sz w:val="22"/>
          <w:szCs w:val="22"/>
        </w:rPr>
      </w:pPr>
      <w:r w:rsidRPr="001E6906">
        <w:rPr>
          <w:rFonts w:ascii="Arial" w:hAnsi="Arial" w:cs="Arial"/>
          <w:b/>
          <w:bCs/>
          <w:sz w:val="22"/>
          <w:szCs w:val="22"/>
        </w:rPr>
        <w:t xml:space="preserve">5. </w:t>
      </w:r>
      <w:r w:rsidR="00CD3539" w:rsidRPr="001E6906">
        <w:rPr>
          <w:rFonts w:ascii="Arial" w:hAnsi="Arial" w:cs="Arial"/>
          <w:b/>
          <w:bCs/>
          <w:sz w:val="22"/>
          <w:szCs w:val="22"/>
        </w:rPr>
        <w:t>Methodology:</w:t>
      </w:r>
      <w:r w:rsidR="00D72516" w:rsidRPr="001E6906">
        <w:rPr>
          <w:rFonts w:ascii="Arial" w:hAnsi="Arial" w:cs="Arial"/>
          <w:b/>
          <w:bCs/>
          <w:sz w:val="22"/>
          <w:szCs w:val="22"/>
        </w:rPr>
        <w:t xml:space="preserve"> </w:t>
      </w:r>
      <w:r w:rsidR="002E7173" w:rsidRPr="001E6906">
        <w:rPr>
          <w:rFonts w:ascii="Arial" w:hAnsi="Arial" w:cs="Arial"/>
          <w:color w:val="000000"/>
          <w:sz w:val="22"/>
          <w:szCs w:val="22"/>
        </w:rPr>
        <w:t xml:space="preserve">This study is mainly based on secondary data. </w:t>
      </w:r>
      <w:r w:rsidR="005E27F4" w:rsidRPr="001E6906">
        <w:rPr>
          <w:rFonts w:ascii="Arial" w:hAnsi="Arial" w:cs="Arial"/>
          <w:color w:val="000000"/>
          <w:sz w:val="22"/>
          <w:szCs w:val="22"/>
        </w:rPr>
        <w:t xml:space="preserve">Descriptive statistics like rate, line graphs, bar graphs are used to analyse the study. </w:t>
      </w:r>
      <w:r w:rsidR="002E7173" w:rsidRPr="001E6906">
        <w:rPr>
          <w:rFonts w:ascii="Arial" w:hAnsi="Arial" w:cs="Arial"/>
          <w:color w:val="000000"/>
          <w:sz w:val="22"/>
          <w:szCs w:val="22"/>
        </w:rPr>
        <w:t xml:space="preserve"> Periodic Labour Force Survey (PLFS) data from 2017</w:t>
      </w:r>
      <w:r w:rsidR="00FD4490" w:rsidRPr="001E6906">
        <w:rPr>
          <w:rFonts w:ascii="Arial" w:hAnsi="Arial" w:cs="Arial"/>
          <w:color w:val="000000"/>
          <w:sz w:val="22"/>
          <w:szCs w:val="22"/>
        </w:rPr>
        <w:t>-</w:t>
      </w:r>
      <w:r w:rsidR="002E7173" w:rsidRPr="001E6906">
        <w:rPr>
          <w:rFonts w:ascii="Arial" w:hAnsi="Arial" w:cs="Arial"/>
          <w:color w:val="000000"/>
          <w:sz w:val="22"/>
          <w:szCs w:val="22"/>
        </w:rPr>
        <w:t>18 to 2022</w:t>
      </w:r>
      <w:r w:rsidR="00FD4490" w:rsidRPr="001E6906">
        <w:rPr>
          <w:rFonts w:ascii="Arial" w:hAnsi="Arial" w:cs="Arial"/>
          <w:color w:val="000000"/>
          <w:sz w:val="22"/>
          <w:szCs w:val="22"/>
        </w:rPr>
        <w:t>-</w:t>
      </w:r>
      <w:r w:rsidR="002E7173" w:rsidRPr="001E6906">
        <w:rPr>
          <w:rFonts w:ascii="Arial" w:hAnsi="Arial" w:cs="Arial"/>
          <w:color w:val="000000"/>
          <w:sz w:val="22"/>
          <w:szCs w:val="22"/>
        </w:rPr>
        <w:t>23</w:t>
      </w:r>
      <w:r w:rsidR="00203DE4" w:rsidRPr="001E6906">
        <w:rPr>
          <w:rFonts w:ascii="Arial" w:hAnsi="Arial" w:cs="Arial"/>
          <w:color w:val="000000"/>
          <w:sz w:val="22"/>
          <w:szCs w:val="22"/>
        </w:rPr>
        <w:t xml:space="preserve"> is used</w:t>
      </w:r>
      <w:r w:rsidR="002E7173" w:rsidRPr="001E6906">
        <w:rPr>
          <w:rFonts w:ascii="Arial" w:hAnsi="Arial" w:cs="Arial"/>
          <w:color w:val="000000"/>
          <w:sz w:val="22"/>
          <w:szCs w:val="22"/>
        </w:rPr>
        <w:t xml:space="preserve"> to understand how the Covid-19 pandemic affected employment trends in India. To compare the changes, the study divides the years into three </w:t>
      </w:r>
      <w:r w:rsidR="00FD4490" w:rsidRPr="001E6906">
        <w:rPr>
          <w:rFonts w:ascii="Arial" w:hAnsi="Arial" w:cs="Arial"/>
          <w:color w:val="000000"/>
          <w:sz w:val="22"/>
          <w:szCs w:val="22"/>
        </w:rPr>
        <w:t>periods:</w:t>
      </w:r>
      <w:r w:rsidR="002E7173" w:rsidRPr="001E6906">
        <w:rPr>
          <w:rFonts w:ascii="Arial" w:hAnsi="Arial" w:cs="Arial"/>
          <w:color w:val="000000"/>
          <w:sz w:val="22"/>
          <w:szCs w:val="22"/>
        </w:rPr>
        <w:t xml:space="preserve"> </w:t>
      </w:r>
    </w:p>
    <w:p w14:paraId="32108E25" w14:textId="77777777" w:rsidR="005D1830" w:rsidRPr="001E6906" w:rsidRDefault="005D1830" w:rsidP="006E2238">
      <w:pPr>
        <w:pStyle w:val="NormalWeb"/>
        <w:spacing w:line="360" w:lineRule="auto"/>
        <w:jc w:val="both"/>
        <w:rPr>
          <w:rFonts w:ascii="Arial" w:hAnsi="Arial" w:cs="Arial"/>
          <w:color w:val="000000"/>
          <w:sz w:val="22"/>
          <w:szCs w:val="22"/>
        </w:rPr>
      </w:pPr>
      <w:r w:rsidRPr="001E6906">
        <w:rPr>
          <w:rStyle w:val="Strong"/>
          <w:rFonts w:ascii="Arial" w:eastAsiaTheme="majorEastAsia" w:hAnsi="Arial" w:cs="Arial"/>
          <w:b w:val="0"/>
          <w:bCs w:val="0"/>
          <w:color w:val="000000"/>
          <w:sz w:val="22"/>
          <w:szCs w:val="22"/>
        </w:rPr>
        <w:t xml:space="preserve"> </w:t>
      </w:r>
      <w:r w:rsidR="002E7173" w:rsidRPr="001E6906">
        <w:rPr>
          <w:rStyle w:val="Strong"/>
          <w:rFonts w:ascii="Arial" w:eastAsiaTheme="majorEastAsia" w:hAnsi="Arial" w:cs="Arial"/>
          <w:b w:val="0"/>
          <w:bCs w:val="0"/>
          <w:color w:val="000000"/>
          <w:sz w:val="22"/>
          <w:szCs w:val="22"/>
        </w:rPr>
        <w:t>Pre-</w:t>
      </w:r>
      <w:r w:rsidR="00153E90" w:rsidRPr="001E6906">
        <w:rPr>
          <w:rStyle w:val="Strong"/>
          <w:rFonts w:ascii="Arial" w:eastAsiaTheme="majorEastAsia" w:hAnsi="Arial" w:cs="Arial"/>
          <w:b w:val="0"/>
          <w:bCs w:val="0"/>
          <w:color w:val="000000"/>
          <w:sz w:val="22"/>
          <w:szCs w:val="22"/>
        </w:rPr>
        <w:t>COVID</w:t>
      </w:r>
      <w:r w:rsidR="002E7173" w:rsidRPr="001E6906">
        <w:rPr>
          <w:rStyle w:val="Strong"/>
          <w:rFonts w:ascii="Arial" w:eastAsiaTheme="majorEastAsia" w:hAnsi="Arial" w:cs="Arial"/>
          <w:b w:val="0"/>
          <w:bCs w:val="0"/>
          <w:color w:val="000000"/>
          <w:sz w:val="22"/>
          <w:szCs w:val="22"/>
        </w:rPr>
        <w:t xml:space="preserve"> Era:</w:t>
      </w:r>
      <w:r w:rsidR="002E7173" w:rsidRPr="001E6906">
        <w:rPr>
          <w:rStyle w:val="apple-converted-space"/>
          <w:rFonts w:ascii="Arial" w:eastAsiaTheme="majorEastAsia" w:hAnsi="Arial" w:cs="Arial"/>
          <w:color w:val="000000"/>
          <w:sz w:val="22"/>
          <w:szCs w:val="22"/>
        </w:rPr>
        <w:t> </w:t>
      </w:r>
      <w:r w:rsidR="002E7173" w:rsidRPr="001E6906">
        <w:rPr>
          <w:rFonts w:ascii="Arial" w:hAnsi="Arial" w:cs="Arial"/>
          <w:color w:val="000000"/>
          <w:sz w:val="22"/>
          <w:szCs w:val="22"/>
        </w:rPr>
        <w:t>2017</w:t>
      </w:r>
      <w:r w:rsidR="00FD4490" w:rsidRPr="001E6906">
        <w:rPr>
          <w:rFonts w:ascii="Arial" w:hAnsi="Arial" w:cs="Arial"/>
          <w:color w:val="000000"/>
          <w:sz w:val="22"/>
          <w:szCs w:val="22"/>
        </w:rPr>
        <w:t>-</w:t>
      </w:r>
      <w:r w:rsidR="002E7173" w:rsidRPr="001E6906">
        <w:rPr>
          <w:rFonts w:ascii="Arial" w:hAnsi="Arial" w:cs="Arial"/>
          <w:color w:val="000000"/>
          <w:sz w:val="22"/>
          <w:szCs w:val="22"/>
        </w:rPr>
        <w:t>18, 2018</w:t>
      </w:r>
      <w:r w:rsidR="00FD4490" w:rsidRPr="001E6906">
        <w:rPr>
          <w:rFonts w:ascii="Arial" w:hAnsi="Arial" w:cs="Arial"/>
          <w:color w:val="000000"/>
          <w:sz w:val="22"/>
          <w:szCs w:val="22"/>
        </w:rPr>
        <w:t>-</w:t>
      </w:r>
      <w:r w:rsidR="002E7173" w:rsidRPr="001E6906">
        <w:rPr>
          <w:rFonts w:ascii="Arial" w:hAnsi="Arial" w:cs="Arial"/>
          <w:color w:val="000000"/>
          <w:sz w:val="22"/>
          <w:szCs w:val="22"/>
        </w:rPr>
        <w:t>19, 2019</w:t>
      </w:r>
      <w:r w:rsidR="00FD4490" w:rsidRPr="001E6906">
        <w:rPr>
          <w:rFonts w:ascii="Arial" w:hAnsi="Arial" w:cs="Arial"/>
          <w:color w:val="000000"/>
          <w:sz w:val="22"/>
          <w:szCs w:val="22"/>
        </w:rPr>
        <w:t>-</w:t>
      </w:r>
      <w:r w:rsidR="002E7173" w:rsidRPr="001E6906">
        <w:rPr>
          <w:rFonts w:ascii="Arial" w:hAnsi="Arial" w:cs="Arial"/>
          <w:color w:val="000000"/>
          <w:sz w:val="22"/>
          <w:szCs w:val="22"/>
        </w:rPr>
        <w:t>20</w:t>
      </w:r>
    </w:p>
    <w:p w14:paraId="4029F92F" w14:textId="77777777" w:rsidR="005D1830" w:rsidRPr="001E6906" w:rsidRDefault="005D1830" w:rsidP="006E2238">
      <w:pPr>
        <w:pStyle w:val="NormalWeb"/>
        <w:spacing w:line="360" w:lineRule="auto"/>
        <w:jc w:val="both"/>
        <w:rPr>
          <w:rFonts w:ascii="Arial" w:hAnsi="Arial" w:cs="Arial"/>
          <w:color w:val="000000"/>
          <w:sz w:val="22"/>
          <w:szCs w:val="22"/>
        </w:rPr>
      </w:pPr>
      <w:r w:rsidRPr="001E6906">
        <w:rPr>
          <w:rFonts w:ascii="Arial" w:hAnsi="Arial" w:cs="Arial"/>
          <w:color w:val="000000"/>
          <w:sz w:val="22"/>
          <w:szCs w:val="22"/>
        </w:rPr>
        <w:t xml:space="preserve"> </w:t>
      </w:r>
      <w:r w:rsidR="002E7173" w:rsidRPr="001E6906">
        <w:rPr>
          <w:rStyle w:val="Strong"/>
          <w:rFonts w:ascii="Arial" w:eastAsiaTheme="majorEastAsia" w:hAnsi="Arial" w:cs="Arial"/>
          <w:b w:val="0"/>
          <w:bCs w:val="0"/>
          <w:color w:val="000000"/>
          <w:sz w:val="22"/>
          <w:szCs w:val="22"/>
        </w:rPr>
        <w:t>During-Covid Era:</w:t>
      </w:r>
      <w:r w:rsidR="002E7173" w:rsidRPr="001E6906">
        <w:rPr>
          <w:rStyle w:val="apple-converted-space"/>
          <w:rFonts w:ascii="Arial" w:eastAsiaTheme="majorEastAsia" w:hAnsi="Arial" w:cs="Arial"/>
          <w:color w:val="000000"/>
          <w:sz w:val="22"/>
          <w:szCs w:val="22"/>
        </w:rPr>
        <w:t> </w:t>
      </w:r>
      <w:r w:rsidR="002E7173" w:rsidRPr="001E6906">
        <w:rPr>
          <w:rFonts w:ascii="Arial" w:hAnsi="Arial" w:cs="Arial"/>
          <w:color w:val="000000"/>
          <w:sz w:val="22"/>
          <w:szCs w:val="22"/>
        </w:rPr>
        <w:t>2020</w:t>
      </w:r>
      <w:r w:rsidR="00FD4490" w:rsidRPr="001E6906">
        <w:rPr>
          <w:rFonts w:ascii="Arial" w:hAnsi="Arial" w:cs="Arial"/>
          <w:color w:val="000000"/>
          <w:sz w:val="22"/>
          <w:szCs w:val="22"/>
        </w:rPr>
        <w:t>-</w:t>
      </w:r>
      <w:r w:rsidR="002E7173" w:rsidRPr="001E6906">
        <w:rPr>
          <w:rFonts w:ascii="Arial" w:hAnsi="Arial" w:cs="Arial"/>
          <w:color w:val="000000"/>
          <w:sz w:val="22"/>
          <w:szCs w:val="22"/>
        </w:rPr>
        <w:t>21 and 2021</w:t>
      </w:r>
      <w:r w:rsidR="00FD4490" w:rsidRPr="001E6906">
        <w:rPr>
          <w:rFonts w:ascii="Arial" w:hAnsi="Arial" w:cs="Arial"/>
          <w:color w:val="000000"/>
          <w:sz w:val="22"/>
          <w:szCs w:val="22"/>
        </w:rPr>
        <w:t>-</w:t>
      </w:r>
      <w:r w:rsidR="002E7173" w:rsidRPr="001E6906">
        <w:rPr>
          <w:rFonts w:ascii="Arial" w:hAnsi="Arial" w:cs="Arial"/>
          <w:color w:val="000000"/>
          <w:sz w:val="22"/>
          <w:szCs w:val="22"/>
        </w:rPr>
        <w:t>22</w:t>
      </w:r>
    </w:p>
    <w:p w14:paraId="25494E73" w14:textId="77777777" w:rsidR="002E7173" w:rsidRPr="001E6906" w:rsidRDefault="005D1830" w:rsidP="006E2238">
      <w:pPr>
        <w:pStyle w:val="NormalWeb"/>
        <w:spacing w:line="360" w:lineRule="auto"/>
        <w:jc w:val="both"/>
        <w:rPr>
          <w:rFonts w:ascii="Arial" w:hAnsi="Arial" w:cs="Arial"/>
          <w:color w:val="000000"/>
          <w:sz w:val="22"/>
          <w:szCs w:val="22"/>
        </w:rPr>
      </w:pPr>
      <w:r w:rsidRPr="001E6906">
        <w:rPr>
          <w:rStyle w:val="Strong"/>
          <w:rFonts w:ascii="Arial" w:eastAsiaTheme="majorEastAsia" w:hAnsi="Arial" w:cs="Arial"/>
          <w:b w:val="0"/>
          <w:bCs w:val="0"/>
          <w:color w:val="000000"/>
          <w:sz w:val="22"/>
          <w:szCs w:val="22"/>
        </w:rPr>
        <w:t xml:space="preserve"> </w:t>
      </w:r>
      <w:r w:rsidR="002E7173" w:rsidRPr="001E6906">
        <w:rPr>
          <w:rStyle w:val="Strong"/>
          <w:rFonts w:ascii="Arial" w:eastAsiaTheme="majorEastAsia" w:hAnsi="Arial" w:cs="Arial"/>
          <w:b w:val="0"/>
          <w:bCs w:val="0"/>
          <w:color w:val="000000"/>
          <w:sz w:val="22"/>
          <w:szCs w:val="22"/>
        </w:rPr>
        <w:t>Post-</w:t>
      </w:r>
      <w:r w:rsidR="00153E90" w:rsidRPr="001E6906">
        <w:rPr>
          <w:rStyle w:val="Strong"/>
          <w:rFonts w:ascii="Arial" w:eastAsiaTheme="majorEastAsia" w:hAnsi="Arial" w:cs="Arial"/>
          <w:b w:val="0"/>
          <w:bCs w:val="0"/>
          <w:color w:val="000000"/>
          <w:sz w:val="22"/>
          <w:szCs w:val="22"/>
        </w:rPr>
        <w:t>COVID</w:t>
      </w:r>
      <w:r w:rsidR="002E7173" w:rsidRPr="001E6906">
        <w:rPr>
          <w:rStyle w:val="Strong"/>
          <w:rFonts w:ascii="Arial" w:eastAsiaTheme="majorEastAsia" w:hAnsi="Arial" w:cs="Arial"/>
          <w:b w:val="0"/>
          <w:bCs w:val="0"/>
          <w:color w:val="000000"/>
          <w:sz w:val="22"/>
          <w:szCs w:val="22"/>
        </w:rPr>
        <w:t xml:space="preserve"> Era:</w:t>
      </w:r>
      <w:r w:rsidR="002E7173" w:rsidRPr="001E6906">
        <w:rPr>
          <w:rStyle w:val="apple-converted-space"/>
          <w:rFonts w:ascii="Arial" w:eastAsiaTheme="majorEastAsia" w:hAnsi="Arial" w:cs="Arial"/>
          <w:color w:val="000000"/>
          <w:sz w:val="22"/>
          <w:szCs w:val="22"/>
        </w:rPr>
        <w:t> </w:t>
      </w:r>
      <w:r w:rsidR="002E7173" w:rsidRPr="001E6906">
        <w:rPr>
          <w:rFonts w:ascii="Arial" w:hAnsi="Arial" w:cs="Arial"/>
          <w:color w:val="000000"/>
          <w:sz w:val="22"/>
          <w:szCs w:val="22"/>
        </w:rPr>
        <w:t>2022</w:t>
      </w:r>
      <w:r w:rsidR="00FD4490" w:rsidRPr="001E6906">
        <w:rPr>
          <w:rFonts w:ascii="Arial" w:hAnsi="Arial" w:cs="Arial"/>
          <w:color w:val="000000"/>
          <w:sz w:val="22"/>
          <w:szCs w:val="22"/>
        </w:rPr>
        <w:t>-</w:t>
      </w:r>
      <w:r w:rsidR="002E7173" w:rsidRPr="001E6906">
        <w:rPr>
          <w:rFonts w:ascii="Arial" w:hAnsi="Arial" w:cs="Arial"/>
          <w:color w:val="000000"/>
          <w:sz w:val="22"/>
          <w:szCs w:val="22"/>
        </w:rPr>
        <w:t>23</w:t>
      </w:r>
    </w:p>
    <w:p w14:paraId="08536B78" w14:textId="77777777" w:rsidR="002E7173" w:rsidRPr="001E6906" w:rsidRDefault="002E7173" w:rsidP="006E2238">
      <w:pPr>
        <w:spacing w:line="360" w:lineRule="auto"/>
        <w:jc w:val="both"/>
        <w:rPr>
          <w:rFonts w:ascii="Arial" w:hAnsi="Arial" w:cs="Arial"/>
          <w:sz w:val="22"/>
          <w:szCs w:val="22"/>
        </w:rPr>
      </w:pPr>
      <w:r w:rsidRPr="001E6906">
        <w:rPr>
          <w:rFonts w:ascii="Arial" w:hAnsi="Arial" w:cs="Arial"/>
          <w:color w:val="000000"/>
          <w:sz w:val="22"/>
          <w:szCs w:val="22"/>
        </w:rPr>
        <w:t>Three main indicators are used to study employment trends</w:t>
      </w:r>
      <w:r w:rsidR="004418CA" w:rsidRPr="001E6906">
        <w:rPr>
          <w:rFonts w:ascii="Arial" w:hAnsi="Arial" w:cs="Arial"/>
          <w:color w:val="000000"/>
          <w:sz w:val="22"/>
          <w:szCs w:val="22"/>
        </w:rPr>
        <w:t xml:space="preserve">: </w:t>
      </w:r>
      <w:r w:rsidRPr="001E6906">
        <w:rPr>
          <w:rFonts w:ascii="Arial" w:hAnsi="Arial" w:cs="Arial"/>
          <w:color w:val="000000"/>
          <w:sz w:val="22"/>
          <w:szCs w:val="22"/>
        </w:rPr>
        <w:t>Labour Force Participation Rate (LFPR), Worker Population Ratio (WPR), and Unemployment Rate</w:t>
      </w:r>
      <w:r w:rsidR="005D1830" w:rsidRPr="001E6906">
        <w:rPr>
          <w:rFonts w:ascii="Arial" w:hAnsi="Arial" w:cs="Arial"/>
          <w:color w:val="000000"/>
          <w:sz w:val="22"/>
          <w:szCs w:val="22"/>
        </w:rPr>
        <w:t xml:space="preserve"> for both men and women across the three periods</w:t>
      </w:r>
      <w:r w:rsidRPr="001E6906">
        <w:rPr>
          <w:rFonts w:ascii="Arial" w:hAnsi="Arial" w:cs="Arial"/>
          <w:color w:val="000000"/>
          <w:sz w:val="22"/>
          <w:szCs w:val="22"/>
        </w:rPr>
        <w:t>.</w:t>
      </w:r>
      <w:r w:rsidR="005D1830" w:rsidRPr="001E6906">
        <w:rPr>
          <w:rFonts w:ascii="Arial" w:hAnsi="Arial" w:cs="Arial"/>
          <w:color w:val="000000"/>
          <w:sz w:val="22"/>
          <w:szCs w:val="22"/>
        </w:rPr>
        <w:t xml:space="preserve"> </w:t>
      </w:r>
      <w:r w:rsidR="005D1830" w:rsidRPr="001E6906">
        <w:rPr>
          <w:rFonts w:ascii="Arial" w:hAnsi="Arial" w:cs="Arial"/>
          <w:sz w:val="22"/>
          <w:szCs w:val="22"/>
        </w:rPr>
        <w:t xml:space="preserve">Examining gender-wise changes in sectoral employment shares using PLFS </w:t>
      </w:r>
      <w:r w:rsidR="00B26524" w:rsidRPr="001E6906">
        <w:rPr>
          <w:rFonts w:ascii="Arial" w:hAnsi="Arial" w:cs="Arial"/>
          <w:sz w:val="22"/>
          <w:szCs w:val="22"/>
        </w:rPr>
        <w:t xml:space="preserve">annual reports. </w:t>
      </w:r>
      <w:r w:rsidR="005D1830" w:rsidRPr="001E6906">
        <w:rPr>
          <w:rFonts w:ascii="Arial" w:hAnsi="Arial" w:cs="Arial"/>
          <w:sz w:val="22"/>
          <w:szCs w:val="22"/>
        </w:rPr>
        <w:t xml:space="preserve">Analysing employment type distribution (self-employment, regular wage employment, casual labour) using PLFS status-in-employment categories. </w:t>
      </w:r>
      <w:r w:rsidRPr="001E6906">
        <w:rPr>
          <w:rFonts w:ascii="Arial" w:hAnsi="Arial" w:cs="Arial"/>
          <w:color w:val="000000"/>
          <w:sz w:val="22"/>
          <w:szCs w:val="22"/>
        </w:rPr>
        <w:t>These are important measures in labour economics, and comparing them across the three periods helps to understand how the pandemic changed the Indian labour market. Trend graphs have also been prepared to clearly show these changes over time.</w:t>
      </w:r>
    </w:p>
    <w:p w14:paraId="034E9E55" w14:textId="77777777" w:rsidR="00571055" w:rsidRPr="001E6906" w:rsidRDefault="00571055" w:rsidP="006E2238">
      <w:pPr>
        <w:spacing w:line="360" w:lineRule="auto"/>
        <w:jc w:val="both"/>
        <w:rPr>
          <w:rFonts w:ascii="Arial" w:hAnsi="Arial" w:cs="Arial"/>
          <w:sz w:val="22"/>
          <w:szCs w:val="22"/>
        </w:rPr>
      </w:pPr>
    </w:p>
    <w:p w14:paraId="7A1CDE25" w14:textId="77777777" w:rsidR="00571055" w:rsidRPr="001E6906" w:rsidRDefault="00E44F52" w:rsidP="006E2238">
      <w:pPr>
        <w:spacing w:line="360" w:lineRule="auto"/>
        <w:jc w:val="both"/>
        <w:rPr>
          <w:rFonts w:ascii="Arial" w:hAnsi="Arial" w:cs="Arial"/>
          <w:sz w:val="22"/>
          <w:szCs w:val="22"/>
        </w:rPr>
      </w:pPr>
      <w:r w:rsidRPr="001E6906">
        <w:rPr>
          <w:rFonts w:ascii="Arial" w:hAnsi="Arial" w:cs="Arial"/>
          <w:b/>
          <w:bCs/>
          <w:sz w:val="22"/>
          <w:szCs w:val="22"/>
        </w:rPr>
        <w:t xml:space="preserve">6. </w:t>
      </w:r>
      <w:r w:rsidR="00CD3539" w:rsidRPr="001E6906">
        <w:rPr>
          <w:rFonts w:ascii="Arial" w:hAnsi="Arial" w:cs="Arial"/>
          <w:b/>
          <w:bCs/>
          <w:sz w:val="22"/>
          <w:szCs w:val="22"/>
        </w:rPr>
        <w:t>Results and Discussion</w:t>
      </w:r>
      <w:r w:rsidR="00CD3539" w:rsidRPr="001E6906">
        <w:rPr>
          <w:rFonts w:ascii="Arial" w:hAnsi="Arial" w:cs="Arial"/>
          <w:sz w:val="22"/>
          <w:szCs w:val="22"/>
        </w:rPr>
        <w:t>:</w:t>
      </w:r>
    </w:p>
    <w:p w14:paraId="40832548" w14:textId="77777777" w:rsidR="00CD3539" w:rsidRPr="001E6906" w:rsidRDefault="00D72516" w:rsidP="006E2238">
      <w:pPr>
        <w:spacing w:line="360" w:lineRule="auto"/>
        <w:jc w:val="both"/>
        <w:rPr>
          <w:rFonts w:ascii="Arial" w:hAnsi="Arial" w:cs="Arial"/>
          <w:b/>
          <w:bCs/>
          <w:i/>
          <w:iCs/>
          <w:sz w:val="22"/>
          <w:szCs w:val="22"/>
        </w:rPr>
      </w:pPr>
      <w:r w:rsidRPr="001E6906">
        <w:rPr>
          <w:rFonts w:ascii="Arial" w:hAnsi="Arial" w:cs="Arial"/>
          <w:b/>
          <w:bCs/>
          <w:i/>
          <w:iCs/>
          <w:sz w:val="22"/>
          <w:szCs w:val="22"/>
        </w:rPr>
        <w:t>Labour Force Participation Rates:</w:t>
      </w:r>
    </w:p>
    <w:p w14:paraId="023A24E2" w14:textId="77777777" w:rsidR="0040614E"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The Labour Force Participation Rate (LFPR) is defined as the percentage of persons in the labour force among the persons in the population</w:t>
      </w:r>
      <w:r w:rsidR="00571055" w:rsidRPr="001E6906">
        <w:rPr>
          <w:rFonts w:ascii="Arial" w:hAnsi="Arial" w:cs="Arial"/>
          <w:sz w:val="22"/>
          <w:szCs w:val="22"/>
        </w:rPr>
        <w:t xml:space="preserve"> </w:t>
      </w:r>
      <w:r w:rsidR="00D72516" w:rsidRPr="001E6906">
        <w:rPr>
          <w:rFonts w:ascii="Arial" w:hAnsi="Arial" w:cs="Arial"/>
          <w:sz w:val="22"/>
          <w:szCs w:val="22"/>
        </w:rPr>
        <w:t>(</w:t>
      </w:r>
      <w:r w:rsidR="005D1830" w:rsidRPr="001E6906">
        <w:rPr>
          <w:rFonts w:ascii="Arial" w:hAnsi="Arial" w:cs="Arial"/>
          <w:sz w:val="22"/>
          <w:szCs w:val="22"/>
        </w:rPr>
        <w:t xml:space="preserve">Annual Report </w:t>
      </w:r>
      <w:r w:rsidR="00D72516" w:rsidRPr="001E6906">
        <w:rPr>
          <w:rFonts w:ascii="Arial" w:hAnsi="Arial" w:cs="Arial"/>
          <w:sz w:val="22"/>
          <w:szCs w:val="22"/>
        </w:rPr>
        <w:t>PLFS 2019-20).</w:t>
      </w:r>
      <w:r w:rsidR="005D1830" w:rsidRPr="001E6906">
        <w:rPr>
          <w:rFonts w:ascii="Arial" w:hAnsi="Arial" w:cs="Arial"/>
          <w:sz w:val="22"/>
          <w:szCs w:val="22"/>
        </w:rPr>
        <w:t xml:space="preserve"> </w:t>
      </w:r>
      <w:r w:rsidRPr="001E6906">
        <w:rPr>
          <w:rFonts w:ascii="Arial" w:hAnsi="Arial" w:cs="Arial"/>
          <w:sz w:val="22"/>
          <w:szCs w:val="22"/>
        </w:rPr>
        <w:t>The LFPRs in usual status</w:t>
      </w:r>
      <w:r w:rsidR="00585050" w:rsidRPr="001E6906">
        <w:rPr>
          <w:rStyle w:val="FootnoteReference"/>
          <w:rFonts w:ascii="Arial" w:hAnsi="Arial" w:cs="Arial"/>
          <w:sz w:val="22"/>
          <w:szCs w:val="22"/>
        </w:rPr>
        <w:footnoteReference w:id="1"/>
      </w:r>
      <w:r w:rsidR="00F80894" w:rsidRPr="001E6906">
        <w:rPr>
          <w:rFonts w:ascii="Arial" w:hAnsi="Arial" w:cs="Arial"/>
          <w:sz w:val="22"/>
          <w:szCs w:val="22"/>
        </w:rPr>
        <w:t xml:space="preserve"> </w:t>
      </w:r>
      <w:r w:rsidRPr="001E6906">
        <w:rPr>
          <w:rFonts w:ascii="Arial" w:hAnsi="Arial" w:cs="Arial"/>
          <w:sz w:val="22"/>
          <w:szCs w:val="22"/>
        </w:rPr>
        <w:t>(</w:t>
      </w:r>
      <w:proofErr w:type="spellStart"/>
      <w:r w:rsidRPr="001E6906">
        <w:rPr>
          <w:rFonts w:ascii="Arial" w:hAnsi="Arial" w:cs="Arial"/>
          <w:sz w:val="22"/>
          <w:szCs w:val="22"/>
        </w:rPr>
        <w:t>ps+ss</w:t>
      </w:r>
      <w:proofErr w:type="spellEnd"/>
      <w:r w:rsidRPr="001E6906">
        <w:rPr>
          <w:rFonts w:ascii="Arial" w:hAnsi="Arial" w:cs="Arial"/>
          <w:sz w:val="22"/>
          <w:szCs w:val="22"/>
        </w:rPr>
        <w:t>)</w:t>
      </w:r>
      <w:r w:rsidR="00F80894" w:rsidRPr="001E6906">
        <w:rPr>
          <w:rStyle w:val="FootnoteReference"/>
          <w:rFonts w:ascii="Arial" w:hAnsi="Arial" w:cs="Arial"/>
          <w:sz w:val="22"/>
          <w:szCs w:val="22"/>
        </w:rPr>
        <w:footnoteReference w:id="2"/>
      </w:r>
      <w:r w:rsidRPr="001E6906">
        <w:rPr>
          <w:rFonts w:ascii="Arial" w:hAnsi="Arial" w:cs="Arial"/>
          <w:sz w:val="22"/>
          <w:szCs w:val="22"/>
        </w:rPr>
        <w:t xml:space="preserve"> and in CWS</w:t>
      </w:r>
      <w:r w:rsidR="00585050" w:rsidRPr="001E6906">
        <w:rPr>
          <w:rStyle w:val="FootnoteReference"/>
          <w:rFonts w:ascii="Arial" w:hAnsi="Arial" w:cs="Arial"/>
          <w:sz w:val="22"/>
          <w:szCs w:val="22"/>
        </w:rPr>
        <w:footnoteReference w:id="3"/>
      </w:r>
      <w:r w:rsidRPr="001E6906">
        <w:rPr>
          <w:rFonts w:ascii="Arial" w:hAnsi="Arial" w:cs="Arial"/>
          <w:sz w:val="22"/>
          <w:szCs w:val="22"/>
        </w:rPr>
        <w:t xml:space="preserve"> obtained by </w:t>
      </w:r>
      <w:r w:rsidR="00153E90" w:rsidRPr="001E6906">
        <w:rPr>
          <w:rFonts w:ascii="Arial" w:hAnsi="Arial" w:cs="Arial"/>
          <w:sz w:val="22"/>
          <w:szCs w:val="22"/>
        </w:rPr>
        <w:t xml:space="preserve">the </w:t>
      </w:r>
      <w:r w:rsidR="00212931" w:rsidRPr="001E6906">
        <w:rPr>
          <w:rFonts w:ascii="Arial" w:hAnsi="Arial" w:cs="Arial"/>
          <w:sz w:val="22"/>
          <w:szCs w:val="22"/>
        </w:rPr>
        <w:t xml:space="preserve">annual PLFS Report 2019-20 and 2022-23 </w:t>
      </w:r>
      <w:r w:rsidRPr="001E6906">
        <w:rPr>
          <w:rFonts w:ascii="Arial" w:hAnsi="Arial" w:cs="Arial"/>
          <w:sz w:val="22"/>
          <w:szCs w:val="22"/>
        </w:rPr>
        <w:t xml:space="preserve">are presented </w:t>
      </w:r>
      <w:r w:rsidR="00212931" w:rsidRPr="001E6906">
        <w:rPr>
          <w:rFonts w:ascii="Arial" w:hAnsi="Arial" w:cs="Arial"/>
          <w:sz w:val="22"/>
          <w:szCs w:val="22"/>
        </w:rPr>
        <w:t xml:space="preserve">in </w:t>
      </w:r>
      <w:r w:rsidR="00615142" w:rsidRPr="001E6906">
        <w:rPr>
          <w:rFonts w:ascii="Arial" w:hAnsi="Arial" w:cs="Arial"/>
          <w:sz w:val="22"/>
          <w:szCs w:val="22"/>
        </w:rPr>
        <w:t>T</w:t>
      </w:r>
      <w:r w:rsidR="00212931" w:rsidRPr="001E6906">
        <w:rPr>
          <w:rFonts w:ascii="Arial" w:hAnsi="Arial" w:cs="Arial"/>
          <w:sz w:val="22"/>
          <w:szCs w:val="22"/>
        </w:rPr>
        <w:t xml:space="preserve">able 1 </w:t>
      </w:r>
      <w:r w:rsidR="00D72516" w:rsidRPr="001E6906">
        <w:rPr>
          <w:rFonts w:ascii="Arial" w:hAnsi="Arial" w:cs="Arial"/>
          <w:sz w:val="22"/>
          <w:szCs w:val="22"/>
        </w:rPr>
        <w:t>for rural, urban and at</w:t>
      </w:r>
      <w:r w:rsidRPr="001E6906">
        <w:rPr>
          <w:rFonts w:ascii="Arial" w:hAnsi="Arial" w:cs="Arial"/>
          <w:sz w:val="22"/>
          <w:szCs w:val="22"/>
        </w:rPr>
        <w:t xml:space="preserve"> the all-India level</w:t>
      </w:r>
      <w:r w:rsidR="00212931" w:rsidRPr="001E6906">
        <w:rPr>
          <w:rFonts w:ascii="Arial" w:hAnsi="Arial" w:cs="Arial"/>
          <w:sz w:val="22"/>
          <w:szCs w:val="22"/>
        </w:rPr>
        <w:t xml:space="preserve"> from 2017-18 to 2022-23</w:t>
      </w:r>
      <w:r w:rsidR="002A01DF" w:rsidRPr="001E6906">
        <w:rPr>
          <w:rFonts w:ascii="Arial" w:hAnsi="Arial" w:cs="Arial"/>
          <w:sz w:val="22"/>
          <w:szCs w:val="22"/>
        </w:rPr>
        <w:t>.</w:t>
      </w:r>
    </w:p>
    <w:p w14:paraId="0BA5B0E5" w14:textId="77777777" w:rsidR="00341525" w:rsidRPr="001E6906" w:rsidRDefault="00341525" w:rsidP="006E2238">
      <w:pPr>
        <w:spacing w:line="360" w:lineRule="auto"/>
        <w:jc w:val="both"/>
        <w:rPr>
          <w:rFonts w:ascii="Arial" w:hAnsi="Arial" w:cs="Arial"/>
          <w:sz w:val="22"/>
          <w:szCs w:val="22"/>
        </w:rPr>
      </w:pPr>
    </w:p>
    <w:tbl>
      <w:tblPr>
        <w:tblStyle w:val="TableGrid"/>
        <w:tblW w:w="9354" w:type="dxa"/>
        <w:tblLayout w:type="fixed"/>
        <w:tblLook w:val="04A0" w:firstRow="1" w:lastRow="0" w:firstColumn="1" w:lastColumn="0" w:noHBand="0" w:noVBand="1"/>
      </w:tblPr>
      <w:tblGrid>
        <w:gridCol w:w="1827"/>
        <w:gridCol w:w="30"/>
        <w:gridCol w:w="28"/>
        <w:gridCol w:w="1402"/>
        <w:gridCol w:w="34"/>
        <w:gridCol w:w="1038"/>
        <w:gridCol w:w="7"/>
        <w:gridCol w:w="39"/>
        <w:gridCol w:w="1410"/>
        <w:gridCol w:w="30"/>
        <w:gridCol w:w="8"/>
        <w:gridCol w:w="1023"/>
        <w:gridCol w:w="14"/>
        <w:gridCol w:w="1464"/>
        <w:gridCol w:w="20"/>
        <w:gridCol w:w="980"/>
      </w:tblGrid>
      <w:tr w:rsidR="00CD3539" w:rsidRPr="001E6906" w14:paraId="3F165E90" w14:textId="77777777" w:rsidTr="00DC2374">
        <w:tc>
          <w:tcPr>
            <w:tcW w:w="9354" w:type="dxa"/>
            <w:gridSpan w:val="16"/>
          </w:tcPr>
          <w:p w14:paraId="6E7FFCE9"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Table</w:t>
            </w:r>
            <w:r w:rsidR="00212931" w:rsidRPr="001E6906">
              <w:rPr>
                <w:rFonts w:ascii="Arial" w:hAnsi="Arial" w:cs="Arial"/>
                <w:sz w:val="22"/>
                <w:szCs w:val="22"/>
              </w:rPr>
              <w:t xml:space="preserve">1: </w:t>
            </w:r>
            <w:r w:rsidR="002A01DF" w:rsidRPr="001E6906">
              <w:rPr>
                <w:rFonts w:ascii="Arial" w:hAnsi="Arial" w:cs="Arial"/>
                <w:sz w:val="22"/>
                <w:szCs w:val="22"/>
              </w:rPr>
              <w:t>LFPR (in percent) according to usual status (</w:t>
            </w:r>
            <w:proofErr w:type="spellStart"/>
            <w:r w:rsidR="002A01DF" w:rsidRPr="001E6906">
              <w:rPr>
                <w:rFonts w:ascii="Arial" w:hAnsi="Arial" w:cs="Arial"/>
                <w:sz w:val="22"/>
                <w:szCs w:val="22"/>
              </w:rPr>
              <w:t>ps+ss</w:t>
            </w:r>
            <w:proofErr w:type="spellEnd"/>
            <w:r w:rsidR="002A01DF" w:rsidRPr="001E6906">
              <w:rPr>
                <w:rFonts w:ascii="Arial" w:hAnsi="Arial" w:cs="Arial"/>
                <w:sz w:val="22"/>
                <w:szCs w:val="22"/>
              </w:rPr>
              <w:t xml:space="preserve">) and CWS estimated from PLFS </w:t>
            </w:r>
            <w:r w:rsidR="0040614E" w:rsidRPr="001E6906">
              <w:rPr>
                <w:rFonts w:ascii="Arial" w:hAnsi="Arial" w:cs="Arial"/>
                <w:sz w:val="22"/>
                <w:szCs w:val="22"/>
              </w:rPr>
              <w:t>(2029-20&amp;2022-23)</w:t>
            </w:r>
          </w:p>
        </w:tc>
      </w:tr>
      <w:tr w:rsidR="0040614E" w:rsidRPr="001E6906" w14:paraId="0E2EF3D5" w14:textId="77777777" w:rsidTr="00DC2374">
        <w:tc>
          <w:tcPr>
            <w:tcW w:w="1827" w:type="dxa"/>
            <w:vMerge w:val="restart"/>
          </w:tcPr>
          <w:p w14:paraId="58368278"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 xml:space="preserve">Category of Persons </w:t>
            </w:r>
          </w:p>
        </w:tc>
        <w:tc>
          <w:tcPr>
            <w:tcW w:w="2532" w:type="dxa"/>
            <w:gridSpan w:val="5"/>
          </w:tcPr>
          <w:p w14:paraId="3E380C5C" w14:textId="77777777" w:rsidR="00D0293F"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 xml:space="preserve">LFPR during 2017-18 </w:t>
            </w:r>
          </w:p>
          <w:p w14:paraId="073F0C4D"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(1)</w:t>
            </w:r>
          </w:p>
        </w:tc>
        <w:tc>
          <w:tcPr>
            <w:tcW w:w="2517" w:type="dxa"/>
            <w:gridSpan w:val="6"/>
          </w:tcPr>
          <w:p w14:paraId="18C7A883" w14:textId="77777777" w:rsidR="00D0293F"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LFPR during 2018-19</w:t>
            </w:r>
          </w:p>
          <w:p w14:paraId="3E986875"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(2)</w:t>
            </w:r>
          </w:p>
        </w:tc>
        <w:tc>
          <w:tcPr>
            <w:tcW w:w="2478" w:type="dxa"/>
            <w:gridSpan w:val="4"/>
          </w:tcPr>
          <w:p w14:paraId="77EC1330" w14:textId="77777777" w:rsidR="00D0293F"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LFPR 2019-20</w:t>
            </w:r>
          </w:p>
          <w:p w14:paraId="36A90B9A"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(3)</w:t>
            </w:r>
          </w:p>
        </w:tc>
      </w:tr>
      <w:tr w:rsidR="0040614E" w:rsidRPr="001E6906" w14:paraId="0C54A7D5" w14:textId="77777777" w:rsidTr="00DC2374">
        <w:tc>
          <w:tcPr>
            <w:tcW w:w="1827" w:type="dxa"/>
            <w:vMerge/>
          </w:tcPr>
          <w:p w14:paraId="3A4CE089" w14:textId="77777777" w:rsidR="0040614E" w:rsidRPr="001E6906" w:rsidRDefault="0040614E" w:rsidP="006E2238">
            <w:pPr>
              <w:spacing w:line="360" w:lineRule="auto"/>
              <w:jc w:val="center"/>
              <w:rPr>
                <w:rFonts w:ascii="Arial" w:hAnsi="Arial" w:cs="Arial"/>
                <w:sz w:val="22"/>
                <w:szCs w:val="22"/>
              </w:rPr>
            </w:pPr>
          </w:p>
        </w:tc>
        <w:tc>
          <w:tcPr>
            <w:tcW w:w="1494" w:type="dxa"/>
            <w:gridSpan w:val="4"/>
          </w:tcPr>
          <w:p w14:paraId="324EBD6A"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38" w:type="dxa"/>
          </w:tcPr>
          <w:p w14:paraId="11C55697"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4" w:type="dxa"/>
            <w:gridSpan w:val="5"/>
          </w:tcPr>
          <w:p w14:paraId="5A97927B"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23" w:type="dxa"/>
          </w:tcPr>
          <w:p w14:paraId="03DB584C"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8" w:type="dxa"/>
            <w:gridSpan w:val="3"/>
            <w:tcBorders>
              <w:right w:val="single" w:sz="4" w:space="0" w:color="auto"/>
            </w:tcBorders>
          </w:tcPr>
          <w:p w14:paraId="10D70666"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980" w:type="dxa"/>
            <w:tcBorders>
              <w:left w:val="single" w:sz="4" w:space="0" w:color="auto"/>
            </w:tcBorders>
          </w:tcPr>
          <w:p w14:paraId="241D1FAB"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r>
      <w:tr w:rsidR="00CD3539" w:rsidRPr="001E6906" w14:paraId="63D7E2DA" w14:textId="77777777" w:rsidTr="00DC2374">
        <w:tc>
          <w:tcPr>
            <w:tcW w:w="9354" w:type="dxa"/>
            <w:gridSpan w:val="16"/>
          </w:tcPr>
          <w:p w14:paraId="26B75F8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Rural</w:t>
            </w:r>
          </w:p>
        </w:tc>
      </w:tr>
      <w:tr w:rsidR="00CD3539" w:rsidRPr="001E6906" w14:paraId="00A884EA" w14:textId="77777777" w:rsidTr="00DC2374">
        <w:tc>
          <w:tcPr>
            <w:tcW w:w="1857" w:type="dxa"/>
            <w:gridSpan w:val="2"/>
          </w:tcPr>
          <w:p w14:paraId="6C26C339"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30" w:type="dxa"/>
            <w:gridSpan w:val="2"/>
          </w:tcPr>
          <w:p w14:paraId="261C4F7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54.9</w:t>
            </w:r>
          </w:p>
        </w:tc>
        <w:tc>
          <w:tcPr>
            <w:tcW w:w="1079" w:type="dxa"/>
            <w:gridSpan w:val="3"/>
          </w:tcPr>
          <w:p w14:paraId="2721D93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54.4</w:t>
            </w:r>
          </w:p>
        </w:tc>
        <w:tc>
          <w:tcPr>
            <w:tcW w:w="1479" w:type="dxa"/>
            <w:gridSpan w:val="3"/>
          </w:tcPr>
          <w:p w14:paraId="5896909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55.1</w:t>
            </w:r>
          </w:p>
        </w:tc>
        <w:tc>
          <w:tcPr>
            <w:tcW w:w="1045" w:type="dxa"/>
            <w:gridSpan w:val="3"/>
          </w:tcPr>
          <w:p w14:paraId="2335852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54.5</w:t>
            </w:r>
          </w:p>
        </w:tc>
        <w:tc>
          <w:tcPr>
            <w:tcW w:w="1464" w:type="dxa"/>
          </w:tcPr>
          <w:p w14:paraId="5742585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56.3</w:t>
            </w:r>
          </w:p>
        </w:tc>
        <w:tc>
          <w:tcPr>
            <w:tcW w:w="1000" w:type="dxa"/>
            <w:gridSpan w:val="2"/>
          </w:tcPr>
          <w:p w14:paraId="2744421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55.4</w:t>
            </w:r>
          </w:p>
        </w:tc>
      </w:tr>
      <w:tr w:rsidR="00CD3539" w:rsidRPr="001E6906" w14:paraId="35546B57" w14:textId="77777777" w:rsidTr="00DC2374">
        <w:tc>
          <w:tcPr>
            <w:tcW w:w="1857" w:type="dxa"/>
            <w:gridSpan w:val="2"/>
          </w:tcPr>
          <w:p w14:paraId="5BFFB197"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30" w:type="dxa"/>
            <w:gridSpan w:val="2"/>
          </w:tcPr>
          <w:p w14:paraId="7B4CCA9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18.2</w:t>
            </w:r>
          </w:p>
        </w:tc>
        <w:tc>
          <w:tcPr>
            <w:tcW w:w="1079" w:type="dxa"/>
            <w:gridSpan w:val="3"/>
          </w:tcPr>
          <w:p w14:paraId="4C05EFC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16.1</w:t>
            </w:r>
          </w:p>
        </w:tc>
        <w:tc>
          <w:tcPr>
            <w:tcW w:w="1479" w:type="dxa"/>
            <w:gridSpan w:val="3"/>
          </w:tcPr>
          <w:p w14:paraId="1ACBAF9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19.7</w:t>
            </w:r>
          </w:p>
        </w:tc>
        <w:tc>
          <w:tcPr>
            <w:tcW w:w="1045" w:type="dxa"/>
            <w:gridSpan w:val="3"/>
          </w:tcPr>
          <w:p w14:paraId="131BB34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16.7</w:t>
            </w:r>
          </w:p>
        </w:tc>
        <w:tc>
          <w:tcPr>
            <w:tcW w:w="1464" w:type="dxa"/>
          </w:tcPr>
          <w:p w14:paraId="28B8B36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24.7</w:t>
            </w:r>
          </w:p>
        </w:tc>
        <w:tc>
          <w:tcPr>
            <w:tcW w:w="1000" w:type="dxa"/>
            <w:gridSpan w:val="2"/>
          </w:tcPr>
          <w:p w14:paraId="50C8759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21.1</w:t>
            </w:r>
          </w:p>
        </w:tc>
      </w:tr>
      <w:tr w:rsidR="00CD3539" w:rsidRPr="001E6906" w14:paraId="22B0046B" w14:textId="77777777" w:rsidTr="00DC2374">
        <w:tc>
          <w:tcPr>
            <w:tcW w:w="1857" w:type="dxa"/>
            <w:gridSpan w:val="2"/>
          </w:tcPr>
          <w:p w14:paraId="02A6ACA5"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30" w:type="dxa"/>
            <w:gridSpan w:val="2"/>
          </w:tcPr>
          <w:p w14:paraId="4F39E6B8"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37.0</w:t>
            </w:r>
          </w:p>
        </w:tc>
        <w:tc>
          <w:tcPr>
            <w:tcW w:w="1079" w:type="dxa"/>
            <w:gridSpan w:val="3"/>
          </w:tcPr>
          <w:p w14:paraId="7B55043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35.7</w:t>
            </w:r>
          </w:p>
        </w:tc>
        <w:tc>
          <w:tcPr>
            <w:tcW w:w="1479" w:type="dxa"/>
            <w:gridSpan w:val="3"/>
          </w:tcPr>
          <w:p w14:paraId="078F03D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37.7</w:t>
            </w:r>
          </w:p>
        </w:tc>
        <w:tc>
          <w:tcPr>
            <w:tcW w:w="1045" w:type="dxa"/>
            <w:gridSpan w:val="3"/>
          </w:tcPr>
          <w:p w14:paraId="149293B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36.0</w:t>
            </w:r>
          </w:p>
        </w:tc>
        <w:tc>
          <w:tcPr>
            <w:tcW w:w="1464" w:type="dxa"/>
          </w:tcPr>
          <w:p w14:paraId="56389F3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40.8</w:t>
            </w:r>
          </w:p>
        </w:tc>
        <w:tc>
          <w:tcPr>
            <w:tcW w:w="1000" w:type="dxa"/>
            <w:gridSpan w:val="2"/>
          </w:tcPr>
          <w:p w14:paraId="554066A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38.6</w:t>
            </w:r>
          </w:p>
        </w:tc>
      </w:tr>
      <w:tr w:rsidR="00CD3539" w:rsidRPr="001E6906" w14:paraId="23B97434" w14:textId="77777777" w:rsidTr="00DC2374">
        <w:tc>
          <w:tcPr>
            <w:tcW w:w="8354" w:type="dxa"/>
            <w:gridSpan w:val="14"/>
          </w:tcPr>
          <w:p w14:paraId="55A6433A" w14:textId="77777777" w:rsidR="00CD3539" w:rsidRPr="001E6906" w:rsidRDefault="00212931" w:rsidP="006E2238">
            <w:pPr>
              <w:spacing w:line="360" w:lineRule="auto"/>
              <w:jc w:val="center"/>
              <w:rPr>
                <w:rFonts w:ascii="Arial" w:hAnsi="Arial" w:cs="Arial"/>
                <w:sz w:val="22"/>
                <w:szCs w:val="22"/>
              </w:rPr>
            </w:pPr>
            <w:r w:rsidRPr="001E6906">
              <w:rPr>
                <w:rFonts w:ascii="Arial" w:hAnsi="Arial" w:cs="Arial"/>
                <w:sz w:val="22"/>
                <w:szCs w:val="22"/>
              </w:rPr>
              <w:t>U</w:t>
            </w:r>
            <w:r w:rsidR="00CD3539" w:rsidRPr="001E6906">
              <w:rPr>
                <w:rFonts w:ascii="Arial" w:hAnsi="Arial" w:cs="Arial"/>
                <w:sz w:val="22"/>
                <w:szCs w:val="22"/>
              </w:rPr>
              <w:t>rban</w:t>
            </w:r>
          </w:p>
        </w:tc>
        <w:tc>
          <w:tcPr>
            <w:tcW w:w="1000" w:type="dxa"/>
            <w:gridSpan w:val="2"/>
          </w:tcPr>
          <w:p w14:paraId="666DF769" w14:textId="77777777" w:rsidR="00CD3539" w:rsidRPr="001E6906" w:rsidRDefault="00CD3539" w:rsidP="006E2238">
            <w:pPr>
              <w:spacing w:line="360" w:lineRule="auto"/>
              <w:jc w:val="both"/>
              <w:rPr>
                <w:rFonts w:ascii="Arial" w:hAnsi="Arial" w:cs="Arial"/>
                <w:sz w:val="22"/>
                <w:szCs w:val="22"/>
              </w:rPr>
            </w:pPr>
          </w:p>
        </w:tc>
      </w:tr>
      <w:tr w:rsidR="00CD3539" w:rsidRPr="001E6906" w14:paraId="1E050E9E" w14:textId="77777777" w:rsidTr="00DC2374">
        <w:tc>
          <w:tcPr>
            <w:tcW w:w="1885" w:type="dxa"/>
            <w:gridSpan w:val="3"/>
          </w:tcPr>
          <w:p w14:paraId="1CABA870"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02" w:type="dxa"/>
          </w:tcPr>
          <w:p w14:paraId="0069975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57.0</w:t>
            </w:r>
          </w:p>
        </w:tc>
        <w:tc>
          <w:tcPr>
            <w:tcW w:w="1118" w:type="dxa"/>
            <w:gridSpan w:val="4"/>
          </w:tcPr>
          <w:p w14:paraId="6DDFEFD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56.7</w:t>
            </w:r>
          </w:p>
        </w:tc>
        <w:tc>
          <w:tcPr>
            <w:tcW w:w="1410" w:type="dxa"/>
          </w:tcPr>
          <w:p w14:paraId="430037D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56.7</w:t>
            </w:r>
          </w:p>
        </w:tc>
        <w:tc>
          <w:tcPr>
            <w:tcW w:w="1075" w:type="dxa"/>
            <w:gridSpan w:val="4"/>
          </w:tcPr>
          <w:p w14:paraId="7A6BE2A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56.7</w:t>
            </w:r>
          </w:p>
        </w:tc>
        <w:tc>
          <w:tcPr>
            <w:tcW w:w="1464" w:type="dxa"/>
          </w:tcPr>
          <w:p w14:paraId="17E280C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57.8</w:t>
            </w:r>
          </w:p>
        </w:tc>
        <w:tc>
          <w:tcPr>
            <w:tcW w:w="1000" w:type="dxa"/>
            <w:gridSpan w:val="2"/>
          </w:tcPr>
          <w:p w14:paraId="6772110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57.2</w:t>
            </w:r>
          </w:p>
        </w:tc>
      </w:tr>
      <w:tr w:rsidR="00CD3539" w:rsidRPr="001E6906" w14:paraId="72C5752D" w14:textId="77777777" w:rsidTr="00DC2374">
        <w:tc>
          <w:tcPr>
            <w:tcW w:w="1885" w:type="dxa"/>
            <w:gridSpan w:val="3"/>
          </w:tcPr>
          <w:p w14:paraId="430E96A5"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02" w:type="dxa"/>
          </w:tcPr>
          <w:p w14:paraId="21B60A3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15.9</w:t>
            </w:r>
          </w:p>
        </w:tc>
        <w:tc>
          <w:tcPr>
            <w:tcW w:w="1118" w:type="dxa"/>
            <w:gridSpan w:val="4"/>
          </w:tcPr>
          <w:p w14:paraId="5FB2A46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15.3</w:t>
            </w:r>
          </w:p>
        </w:tc>
        <w:tc>
          <w:tcPr>
            <w:tcW w:w="1410" w:type="dxa"/>
          </w:tcPr>
          <w:p w14:paraId="635963F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16.1</w:t>
            </w:r>
          </w:p>
        </w:tc>
        <w:tc>
          <w:tcPr>
            <w:tcW w:w="1075" w:type="dxa"/>
            <w:gridSpan w:val="4"/>
          </w:tcPr>
          <w:p w14:paraId="775C300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15.6</w:t>
            </w:r>
          </w:p>
        </w:tc>
        <w:tc>
          <w:tcPr>
            <w:tcW w:w="1464" w:type="dxa"/>
          </w:tcPr>
          <w:p w14:paraId="26AB52B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18.5</w:t>
            </w:r>
          </w:p>
        </w:tc>
        <w:tc>
          <w:tcPr>
            <w:tcW w:w="1000" w:type="dxa"/>
            <w:gridSpan w:val="2"/>
          </w:tcPr>
          <w:p w14:paraId="1590E59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17.5</w:t>
            </w:r>
          </w:p>
        </w:tc>
      </w:tr>
      <w:tr w:rsidR="00CD3539" w:rsidRPr="001E6906" w14:paraId="3011421A" w14:textId="77777777" w:rsidTr="00DC2374">
        <w:tc>
          <w:tcPr>
            <w:tcW w:w="1885" w:type="dxa"/>
            <w:gridSpan w:val="3"/>
          </w:tcPr>
          <w:p w14:paraId="1C2D2195"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02" w:type="dxa"/>
          </w:tcPr>
          <w:p w14:paraId="0A6E09B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36.8</w:t>
            </w:r>
          </w:p>
        </w:tc>
        <w:tc>
          <w:tcPr>
            <w:tcW w:w="1118" w:type="dxa"/>
            <w:gridSpan w:val="4"/>
          </w:tcPr>
          <w:p w14:paraId="3A76F73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36.4</w:t>
            </w:r>
          </w:p>
        </w:tc>
        <w:tc>
          <w:tcPr>
            <w:tcW w:w="1410" w:type="dxa"/>
          </w:tcPr>
          <w:p w14:paraId="00F5BA2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36.9</w:t>
            </w:r>
          </w:p>
        </w:tc>
        <w:tc>
          <w:tcPr>
            <w:tcW w:w="1075" w:type="dxa"/>
            <w:gridSpan w:val="4"/>
          </w:tcPr>
          <w:p w14:paraId="6DF2B86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36.7</w:t>
            </w:r>
          </w:p>
        </w:tc>
        <w:tc>
          <w:tcPr>
            <w:tcW w:w="1464" w:type="dxa"/>
          </w:tcPr>
          <w:p w14:paraId="1399A35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38.6</w:t>
            </w:r>
          </w:p>
        </w:tc>
        <w:tc>
          <w:tcPr>
            <w:tcW w:w="1000" w:type="dxa"/>
            <w:gridSpan w:val="2"/>
          </w:tcPr>
          <w:p w14:paraId="081BDD9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37.8</w:t>
            </w:r>
          </w:p>
        </w:tc>
      </w:tr>
      <w:tr w:rsidR="00CD3539" w:rsidRPr="001E6906" w14:paraId="214A6B2F" w14:textId="77777777" w:rsidTr="00DC2374">
        <w:tc>
          <w:tcPr>
            <w:tcW w:w="9354" w:type="dxa"/>
            <w:gridSpan w:val="16"/>
          </w:tcPr>
          <w:p w14:paraId="21219B2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Rural+ Urban</w:t>
            </w:r>
          </w:p>
        </w:tc>
      </w:tr>
      <w:tr w:rsidR="00CD3539" w:rsidRPr="001E6906" w14:paraId="40550E48" w14:textId="77777777" w:rsidTr="00DC2374">
        <w:tc>
          <w:tcPr>
            <w:tcW w:w="1885" w:type="dxa"/>
            <w:gridSpan w:val="3"/>
          </w:tcPr>
          <w:p w14:paraId="3EFEA425"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02" w:type="dxa"/>
          </w:tcPr>
          <w:p w14:paraId="49EBF08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55.5</w:t>
            </w:r>
          </w:p>
        </w:tc>
        <w:tc>
          <w:tcPr>
            <w:tcW w:w="1118" w:type="dxa"/>
            <w:gridSpan w:val="4"/>
          </w:tcPr>
          <w:p w14:paraId="7B76BFF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55.0</w:t>
            </w:r>
          </w:p>
        </w:tc>
        <w:tc>
          <w:tcPr>
            <w:tcW w:w="1410" w:type="dxa"/>
          </w:tcPr>
          <w:p w14:paraId="15AF093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55.6</w:t>
            </w:r>
          </w:p>
        </w:tc>
        <w:tc>
          <w:tcPr>
            <w:tcW w:w="1075" w:type="dxa"/>
            <w:gridSpan w:val="4"/>
          </w:tcPr>
          <w:p w14:paraId="7700B248"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55.2</w:t>
            </w:r>
          </w:p>
        </w:tc>
        <w:tc>
          <w:tcPr>
            <w:tcW w:w="1464" w:type="dxa"/>
          </w:tcPr>
          <w:p w14:paraId="70C45C4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56.8</w:t>
            </w:r>
          </w:p>
        </w:tc>
        <w:tc>
          <w:tcPr>
            <w:tcW w:w="1000" w:type="dxa"/>
            <w:gridSpan w:val="2"/>
          </w:tcPr>
          <w:p w14:paraId="3816089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56.0</w:t>
            </w:r>
          </w:p>
        </w:tc>
      </w:tr>
      <w:tr w:rsidR="00CD3539" w:rsidRPr="001E6906" w14:paraId="6344A365" w14:textId="77777777" w:rsidTr="00DC2374">
        <w:tc>
          <w:tcPr>
            <w:tcW w:w="1885" w:type="dxa"/>
            <w:gridSpan w:val="3"/>
          </w:tcPr>
          <w:p w14:paraId="1A11B02F"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02" w:type="dxa"/>
          </w:tcPr>
          <w:p w14:paraId="33A0AE4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17.5</w:t>
            </w:r>
          </w:p>
        </w:tc>
        <w:tc>
          <w:tcPr>
            <w:tcW w:w="1118" w:type="dxa"/>
            <w:gridSpan w:val="4"/>
          </w:tcPr>
          <w:p w14:paraId="3649A96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15.8</w:t>
            </w:r>
          </w:p>
        </w:tc>
        <w:tc>
          <w:tcPr>
            <w:tcW w:w="1410" w:type="dxa"/>
          </w:tcPr>
          <w:p w14:paraId="42F50B0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18.6</w:t>
            </w:r>
          </w:p>
        </w:tc>
        <w:tc>
          <w:tcPr>
            <w:tcW w:w="1075" w:type="dxa"/>
            <w:gridSpan w:val="4"/>
          </w:tcPr>
          <w:p w14:paraId="4DB48B8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16.4</w:t>
            </w:r>
          </w:p>
        </w:tc>
        <w:tc>
          <w:tcPr>
            <w:tcW w:w="1464" w:type="dxa"/>
          </w:tcPr>
          <w:p w14:paraId="225A2D5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22.8</w:t>
            </w:r>
          </w:p>
        </w:tc>
        <w:tc>
          <w:tcPr>
            <w:tcW w:w="1000" w:type="dxa"/>
            <w:gridSpan w:val="2"/>
          </w:tcPr>
          <w:p w14:paraId="788A0DE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20.0</w:t>
            </w:r>
          </w:p>
        </w:tc>
      </w:tr>
      <w:tr w:rsidR="00CD3539" w:rsidRPr="001E6906" w14:paraId="3CC83209" w14:textId="77777777" w:rsidTr="00DC2374">
        <w:tc>
          <w:tcPr>
            <w:tcW w:w="1885" w:type="dxa"/>
            <w:gridSpan w:val="3"/>
          </w:tcPr>
          <w:p w14:paraId="5B3D4E5A"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02" w:type="dxa"/>
          </w:tcPr>
          <w:p w14:paraId="59F3CBC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36.9</w:t>
            </w:r>
          </w:p>
        </w:tc>
        <w:tc>
          <w:tcPr>
            <w:tcW w:w="1118" w:type="dxa"/>
            <w:gridSpan w:val="4"/>
          </w:tcPr>
          <w:p w14:paraId="78DD7F8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35.9</w:t>
            </w:r>
          </w:p>
        </w:tc>
        <w:tc>
          <w:tcPr>
            <w:tcW w:w="1410" w:type="dxa"/>
          </w:tcPr>
          <w:p w14:paraId="6471A5D8"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37.5</w:t>
            </w:r>
          </w:p>
        </w:tc>
        <w:tc>
          <w:tcPr>
            <w:tcW w:w="1075" w:type="dxa"/>
            <w:gridSpan w:val="4"/>
          </w:tcPr>
          <w:p w14:paraId="76F446D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36.2</w:t>
            </w:r>
          </w:p>
        </w:tc>
        <w:tc>
          <w:tcPr>
            <w:tcW w:w="1464" w:type="dxa"/>
          </w:tcPr>
          <w:p w14:paraId="144E1A6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40.1</w:t>
            </w:r>
          </w:p>
        </w:tc>
        <w:tc>
          <w:tcPr>
            <w:tcW w:w="1000" w:type="dxa"/>
            <w:gridSpan w:val="2"/>
          </w:tcPr>
          <w:p w14:paraId="135847D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38.3</w:t>
            </w:r>
          </w:p>
        </w:tc>
      </w:tr>
    </w:tbl>
    <w:p w14:paraId="67344893" w14:textId="77777777" w:rsidR="00CD3539" w:rsidRPr="001E6906" w:rsidRDefault="00CD3539" w:rsidP="006E2238">
      <w:pPr>
        <w:spacing w:line="360" w:lineRule="auto"/>
        <w:jc w:val="both"/>
        <w:rPr>
          <w:rFonts w:ascii="Arial" w:hAnsi="Arial" w:cs="Arial"/>
          <w:i/>
          <w:iCs/>
          <w:sz w:val="22"/>
          <w:szCs w:val="22"/>
        </w:rPr>
      </w:pPr>
    </w:p>
    <w:p w14:paraId="5BD13047" w14:textId="77777777" w:rsidR="00CD3539" w:rsidRPr="001E6906" w:rsidRDefault="00CD3539" w:rsidP="006E2238">
      <w:pPr>
        <w:spacing w:line="360" w:lineRule="auto"/>
        <w:jc w:val="both"/>
        <w:rPr>
          <w:rFonts w:ascii="Arial" w:hAnsi="Arial" w:cs="Arial"/>
          <w:b/>
          <w:bCs/>
          <w:sz w:val="22"/>
          <w:szCs w:val="22"/>
        </w:rPr>
      </w:pPr>
    </w:p>
    <w:tbl>
      <w:tblPr>
        <w:tblStyle w:val="TableGrid"/>
        <w:tblW w:w="9354" w:type="dxa"/>
        <w:tblLayout w:type="fixed"/>
        <w:tblLook w:val="04A0" w:firstRow="1" w:lastRow="0" w:firstColumn="1" w:lastColumn="0" w:noHBand="0" w:noVBand="1"/>
      </w:tblPr>
      <w:tblGrid>
        <w:gridCol w:w="1827"/>
        <w:gridCol w:w="30"/>
        <w:gridCol w:w="28"/>
        <w:gridCol w:w="1402"/>
        <w:gridCol w:w="34"/>
        <w:gridCol w:w="1038"/>
        <w:gridCol w:w="7"/>
        <w:gridCol w:w="39"/>
        <w:gridCol w:w="1410"/>
        <w:gridCol w:w="30"/>
        <w:gridCol w:w="8"/>
        <w:gridCol w:w="1023"/>
        <w:gridCol w:w="14"/>
        <w:gridCol w:w="1464"/>
        <w:gridCol w:w="20"/>
        <w:gridCol w:w="980"/>
      </w:tblGrid>
      <w:tr w:rsidR="0040614E" w:rsidRPr="001E6906" w14:paraId="4CCDD75E" w14:textId="77777777" w:rsidTr="00DC2374">
        <w:tc>
          <w:tcPr>
            <w:tcW w:w="1827" w:type="dxa"/>
            <w:vMerge w:val="restart"/>
          </w:tcPr>
          <w:p w14:paraId="0335FDD2"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Category of Persons</w:t>
            </w:r>
          </w:p>
        </w:tc>
        <w:tc>
          <w:tcPr>
            <w:tcW w:w="2532" w:type="dxa"/>
            <w:gridSpan w:val="5"/>
          </w:tcPr>
          <w:p w14:paraId="49571597" w14:textId="77777777" w:rsidR="00D0293F"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LFPR during 2020-21</w:t>
            </w:r>
          </w:p>
          <w:p w14:paraId="2CE41375"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(4)</w:t>
            </w:r>
          </w:p>
        </w:tc>
        <w:tc>
          <w:tcPr>
            <w:tcW w:w="2517" w:type="dxa"/>
            <w:gridSpan w:val="6"/>
          </w:tcPr>
          <w:p w14:paraId="44CB3291" w14:textId="77777777" w:rsidR="00D0293F"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 xml:space="preserve">LFPR during 2021-22 </w:t>
            </w:r>
          </w:p>
          <w:p w14:paraId="425FADF5"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(5)</w:t>
            </w:r>
          </w:p>
        </w:tc>
        <w:tc>
          <w:tcPr>
            <w:tcW w:w="2478" w:type="dxa"/>
            <w:gridSpan w:val="4"/>
          </w:tcPr>
          <w:p w14:paraId="6BA15C34" w14:textId="77777777" w:rsidR="00D0293F"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LFPR 2022-23</w:t>
            </w:r>
          </w:p>
          <w:p w14:paraId="285B2CAE"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(6)</w:t>
            </w:r>
          </w:p>
        </w:tc>
      </w:tr>
      <w:tr w:rsidR="0040614E" w:rsidRPr="001E6906" w14:paraId="1B0E7551" w14:textId="77777777" w:rsidTr="00DC2374">
        <w:tc>
          <w:tcPr>
            <w:tcW w:w="1827" w:type="dxa"/>
            <w:vMerge/>
          </w:tcPr>
          <w:p w14:paraId="0FCC07EB" w14:textId="77777777" w:rsidR="0040614E" w:rsidRPr="001E6906" w:rsidRDefault="0040614E" w:rsidP="006E2238">
            <w:pPr>
              <w:spacing w:line="360" w:lineRule="auto"/>
              <w:jc w:val="both"/>
              <w:rPr>
                <w:rFonts w:ascii="Arial" w:hAnsi="Arial" w:cs="Arial"/>
                <w:sz w:val="22"/>
                <w:szCs w:val="22"/>
              </w:rPr>
            </w:pPr>
          </w:p>
        </w:tc>
        <w:tc>
          <w:tcPr>
            <w:tcW w:w="1494" w:type="dxa"/>
            <w:gridSpan w:val="4"/>
          </w:tcPr>
          <w:p w14:paraId="215882E3"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38" w:type="dxa"/>
          </w:tcPr>
          <w:p w14:paraId="5BA20100"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4" w:type="dxa"/>
            <w:gridSpan w:val="5"/>
          </w:tcPr>
          <w:p w14:paraId="710D423A"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23" w:type="dxa"/>
          </w:tcPr>
          <w:p w14:paraId="24B2941F"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8" w:type="dxa"/>
            <w:gridSpan w:val="3"/>
            <w:tcBorders>
              <w:right w:val="single" w:sz="4" w:space="0" w:color="auto"/>
            </w:tcBorders>
          </w:tcPr>
          <w:p w14:paraId="71E9360F"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980" w:type="dxa"/>
            <w:tcBorders>
              <w:left w:val="single" w:sz="4" w:space="0" w:color="auto"/>
            </w:tcBorders>
          </w:tcPr>
          <w:p w14:paraId="1ACBE49F"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r>
      <w:tr w:rsidR="00CD3539" w:rsidRPr="001E6906" w14:paraId="58B12AB8" w14:textId="77777777" w:rsidTr="00DC2374">
        <w:tc>
          <w:tcPr>
            <w:tcW w:w="9354" w:type="dxa"/>
            <w:gridSpan w:val="16"/>
          </w:tcPr>
          <w:p w14:paraId="14B757D4" w14:textId="77777777" w:rsidR="00CD3539" w:rsidRPr="001E6906" w:rsidRDefault="008445C4" w:rsidP="006E2238">
            <w:pPr>
              <w:spacing w:line="360" w:lineRule="auto"/>
              <w:jc w:val="center"/>
              <w:rPr>
                <w:rFonts w:ascii="Arial" w:hAnsi="Arial" w:cs="Arial"/>
                <w:sz w:val="22"/>
                <w:szCs w:val="22"/>
              </w:rPr>
            </w:pPr>
            <w:r w:rsidRPr="001E6906">
              <w:rPr>
                <w:rFonts w:ascii="Arial" w:hAnsi="Arial" w:cs="Arial"/>
                <w:sz w:val="22"/>
                <w:szCs w:val="22"/>
              </w:rPr>
              <w:t>R</w:t>
            </w:r>
            <w:r w:rsidR="00CD3539" w:rsidRPr="001E6906">
              <w:rPr>
                <w:rFonts w:ascii="Arial" w:hAnsi="Arial" w:cs="Arial"/>
                <w:sz w:val="22"/>
                <w:szCs w:val="22"/>
              </w:rPr>
              <w:t>ural</w:t>
            </w:r>
          </w:p>
        </w:tc>
      </w:tr>
      <w:tr w:rsidR="00CD3539" w:rsidRPr="001E6906" w14:paraId="27297BDE" w14:textId="77777777" w:rsidTr="00DC2374">
        <w:tc>
          <w:tcPr>
            <w:tcW w:w="1857" w:type="dxa"/>
            <w:gridSpan w:val="2"/>
          </w:tcPr>
          <w:p w14:paraId="1FC0B25B"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30" w:type="dxa"/>
            <w:gridSpan w:val="2"/>
          </w:tcPr>
          <w:p w14:paraId="3E871AE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57.1</w:t>
            </w:r>
          </w:p>
        </w:tc>
        <w:tc>
          <w:tcPr>
            <w:tcW w:w="1079" w:type="dxa"/>
            <w:gridSpan w:val="3"/>
          </w:tcPr>
          <w:p w14:paraId="60202BE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56.0</w:t>
            </w:r>
          </w:p>
        </w:tc>
        <w:tc>
          <w:tcPr>
            <w:tcW w:w="1479" w:type="dxa"/>
            <w:gridSpan w:val="3"/>
          </w:tcPr>
          <w:p w14:paraId="4D41B6F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56.9</w:t>
            </w:r>
          </w:p>
        </w:tc>
        <w:tc>
          <w:tcPr>
            <w:tcW w:w="1045" w:type="dxa"/>
            <w:gridSpan w:val="3"/>
          </w:tcPr>
          <w:p w14:paraId="6D148DA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55.7</w:t>
            </w:r>
          </w:p>
        </w:tc>
        <w:tc>
          <w:tcPr>
            <w:tcW w:w="1464" w:type="dxa"/>
          </w:tcPr>
          <w:p w14:paraId="488AFF6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55.5</w:t>
            </w:r>
          </w:p>
        </w:tc>
        <w:tc>
          <w:tcPr>
            <w:tcW w:w="1000" w:type="dxa"/>
            <w:gridSpan w:val="2"/>
          </w:tcPr>
          <w:p w14:paraId="17760EF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54.5</w:t>
            </w:r>
          </w:p>
        </w:tc>
      </w:tr>
      <w:tr w:rsidR="00CD3539" w:rsidRPr="001E6906" w14:paraId="1AC6CCDE" w14:textId="77777777" w:rsidTr="00DC2374">
        <w:tc>
          <w:tcPr>
            <w:tcW w:w="1857" w:type="dxa"/>
            <w:gridSpan w:val="2"/>
          </w:tcPr>
          <w:p w14:paraId="7D81AE77"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30" w:type="dxa"/>
            <w:gridSpan w:val="2"/>
          </w:tcPr>
          <w:p w14:paraId="730EFB9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27.7</w:t>
            </w:r>
          </w:p>
        </w:tc>
        <w:tc>
          <w:tcPr>
            <w:tcW w:w="1079" w:type="dxa"/>
            <w:gridSpan w:val="3"/>
          </w:tcPr>
          <w:p w14:paraId="20D7EE4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22.7</w:t>
            </w:r>
          </w:p>
        </w:tc>
        <w:tc>
          <w:tcPr>
            <w:tcW w:w="1479" w:type="dxa"/>
            <w:gridSpan w:val="3"/>
          </w:tcPr>
          <w:p w14:paraId="16DD332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27.2</w:t>
            </w:r>
          </w:p>
        </w:tc>
        <w:tc>
          <w:tcPr>
            <w:tcW w:w="1045" w:type="dxa"/>
            <w:gridSpan w:val="3"/>
          </w:tcPr>
          <w:p w14:paraId="3F00F1D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21.7</w:t>
            </w:r>
          </w:p>
        </w:tc>
        <w:tc>
          <w:tcPr>
            <w:tcW w:w="1464" w:type="dxa"/>
          </w:tcPr>
          <w:p w14:paraId="224B345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30.5</w:t>
            </w:r>
          </w:p>
        </w:tc>
        <w:tc>
          <w:tcPr>
            <w:tcW w:w="1000" w:type="dxa"/>
            <w:gridSpan w:val="2"/>
          </w:tcPr>
          <w:p w14:paraId="3A2439B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25.4</w:t>
            </w:r>
          </w:p>
        </w:tc>
      </w:tr>
      <w:tr w:rsidR="00CD3539" w:rsidRPr="001E6906" w14:paraId="75C17856" w14:textId="77777777" w:rsidTr="00DC2374">
        <w:tc>
          <w:tcPr>
            <w:tcW w:w="1857" w:type="dxa"/>
            <w:gridSpan w:val="2"/>
          </w:tcPr>
          <w:p w14:paraId="57AE1AA4"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30" w:type="dxa"/>
            <w:gridSpan w:val="2"/>
          </w:tcPr>
          <w:p w14:paraId="4D40F60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42.7</w:t>
            </w:r>
          </w:p>
        </w:tc>
        <w:tc>
          <w:tcPr>
            <w:tcW w:w="1079" w:type="dxa"/>
            <w:gridSpan w:val="3"/>
          </w:tcPr>
          <w:p w14:paraId="502BF67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39.7</w:t>
            </w:r>
          </w:p>
        </w:tc>
        <w:tc>
          <w:tcPr>
            <w:tcW w:w="1479" w:type="dxa"/>
            <w:gridSpan w:val="3"/>
          </w:tcPr>
          <w:p w14:paraId="419BE1D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42.2</w:t>
            </w:r>
          </w:p>
        </w:tc>
        <w:tc>
          <w:tcPr>
            <w:tcW w:w="1045" w:type="dxa"/>
            <w:gridSpan w:val="3"/>
          </w:tcPr>
          <w:p w14:paraId="1434CDE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38.9</w:t>
            </w:r>
          </w:p>
        </w:tc>
        <w:tc>
          <w:tcPr>
            <w:tcW w:w="1464" w:type="dxa"/>
          </w:tcPr>
          <w:p w14:paraId="48CCD37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43.4</w:t>
            </w:r>
          </w:p>
        </w:tc>
        <w:tc>
          <w:tcPr>
            <w:tcW w:w="1000" w:type="dxa"/>
            <w:gridSpan w:val="2"/>
          </w:tcPr>
          <w:p w14:paraId="74DA4CC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40.4</w:t>
            </w:r>
          </w:p>
        </w:tc>
      </w:tr>
      <w:tr w:rsidR="00CD3539" w:rsidRPr="001E6906" w14:paraId="23E07542" w14:textId="77777777" w:rsidTr="00DC2374">
        <w:tc>
          <w:tcPr>
            <w:tcW w:w="8354" w:type="dxa"/>
            <w:gridSpan w:val="14"/>
          </w:tcPr>
          <w:p w14:paraId="1A32850A" w14:textId="77777777" w:rsidR="00CD3539" w:rsidRPr="001E6906" w:rsidRDefault="00917260" w:rsidP="006E2238">
            <w:pPr>
              <w:spacing w:line="360" w:lineRule="auto"/>
              <w:jc w:val="center"/>
              <w:rPr>
                <w:rFonts w:ascii="Arial" w:hAnsi="Arial" w:cs="Arial"/>
                <w:sz w:val="22"/>
                <w:szCs w:val="22"/>
              </w:rPr>
            </w:pPr>
            <w:r w:rsidRPr="001E6906">
              <w:rPr>
                <w:rFonts w:ascii="Arial" w:hAnsi="Arial" w:cs="Arial"/>
                <w:sz w:val="22"/>
                <w:szCs w:val="22"/>
              </w:rPr>
              <w:t xml:space="preserve">                  </w:t>
            </w:r>
            <w:r w:rsidR="00CD3539" w:rsidRPr="001E6906">
              <w:rPr>
                <w:rFonts w:ascii="Arial" w:hAnsi="Arial" w:cs="Arial"/>
                <w:sz w:val="22"/>
                <w:szCs w:val="22"/>
              </w:rPr>
              <w:t>Urban</w:t>
            </w:r>
          </w:p>
        </w:tc>
        <w:tc>
          <w:tcPr>
            <w:tcW w:w="1000" w:type="dxa"/>
            <w:gridSpan w:val="2"/>
          </w:tcPr>
          <w:p w14:paraId="1F26859C" w14:textId="77777777" w:rsidR="00CD3539" w:rsidRPr="001E6906" w:rsidRDefault="00CD3539" w:rsidP="006E2238">
            <w:pPr>
              <w:spacing w:line="360" w:lineRule="auto"/>
              <w:jc w:val="both"/>
              <w:rPr>
                <w:rFonts w:ascii="Arial" w:hAnsi="Arial" w:cs="Arial"/>
                <w:sz w:val="22"/>
                <w:szCs w:val="22"/>
              </w:rPr>
            </w:pPr>
          </w:p>
        </w:tc>
      </w:tr>
      <w:tr w:rsidR="00CD3539" w:rsidRPr="001E6906" w14:paraId="145E473A" w14:textId="77777777" w:rsidTr="00DC2374">
        <w:tc>
          <w:tcPr>
            <w:tcW w:w="1885" w:type="dxa"/>
            <w:gridSpan w:val="3"/>
          </w:tcPr>
          <w:p w14:paraId="74FF38AB"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02" w:type="dxa"/>
          </w:tcPr>
          <w:p w14:paraId="7E2DF43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58.4</w:t>
            </w:r>
          </w:p>
        </w:tc>
        <w:tc>
          <w:tcPr>
            <w:tcW w:w="1118" w:type="dxa"/>
            <w:gridSpan w:val="4"/>
          </w:tcPr>
          <w:p w14:paraId="43FE40F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57.8</w:t>
            </w:r>
          </w:p>
        </w:tc>
        <w:tc>
          <w:tcPr>
            <w:tcW w:w="1410" w:type="dxa"/>
          </w:tcPr>
          <w:p w14:paraId="0C0E0D2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58.3</w:t>
            </w:r>
          </w:p>
        </w:tc>
        <w:tc>
          <w:tcPr>
            <w:tcW w:w="1075" w:type="dxa"/>
            <w:gridSpan w:val="4"/>
          </w:tcPr>
          <w:p w14:paraId="121A91F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57.9</w:t>
            </w:r>
          </w:p>
        </w:tc>
        <w:tc>
          <w:tcPr>
            <w:tcW w:w="1464" w:type="dxa"/>
          </w:tcPr>
          <w:p w14:paraId="205D940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58.3</w:t>
            </w:r>
          </w:p>
        </w:tc>
        <w:tc>
          <w:tcPr>
            <w:tcW w:w="1000" w:type="dxa"/>
            <w:gridSpan w:val="2"/>
          </w:tcPr>
          <w:p w14:paraId="4105BE3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57.9</w:t>
            </w:r>
          </w:p>
        </w:tc>
      </w:tr>
      <w:tr w:rsidR="00CD3539" w:rsidRPr="001E6906" w14:paraId="04231B6C" w14:textId="77777777" w:rsidTr="00DC2374">
        <w:tc>
          <w:tcPr>
            <w:tcW w:w="1885" w:type="dxa"/>
            <w:gridSpan w:val="3"/>
          </w:tcPr>
          <w:p w14:paraId="7FDF4559"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02" w:type="dxa"/>
          </w:tcPr>
          <w:p w14:paraId="337459E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18.6</w:t>
            </w:r>
          </w:p>
        </w:tc>
        <w:tc>
          <w:tcPr>
            <w:tcW w:w="1118" w:type="dxa"/>
            <w:gridSpan w:val="4"/>
          </w:tcPr>
          <w:p w14:paraId="11A99C0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17.3</w:t>
            </w:r>
          </w:p>
        </w:tc>
        <w:tc>
          <w:tcPr>
            <w:tcW w:w="1410" w:type="dxa"/>
          </w:tcPr>
          <w:p w14:paraId="32D4943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18.8</w:t>
            </w:r>
          </w:p>
        </w:tc>
        <w:tc>
          <w:tcPr>
            <w:tcW w:w="1075" w:type="dxa"/>
            <w:gridSpan w:val="4"/>
          </w:tcPr>
          <w:p w14:paraId="2046AE4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17.5</w:t>
            </w:r>
          </w:p>
        </w:tc>
        <w:tc>
          <w:tcPr>
            <w:tcW w:w="1464" w:type="dxa"/>
          </w:tcPr>
          <w:p w14:paraId="5298279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20.2</w:t>
            </w:r>
          </w:p>
        </w:tc>
        <w:tc>
          <w:tcPr>
            <w:tcW w:w="1000" w:type="dxa"/>
            <w:gridSpan w:val="2"/>
          </w:tcPr>
          <w:p w14:paraId="3233B13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19.1</w:t>
            </w:r>
          </w:p>
        </w:tc>
      </w:tr>
      <w:tr w:rsidR="00CD3539" w:rsidRPr="001E6906" w14:paraId="7416F944" w14:textId="77777777" w:rsidTr="00DC2374">
        <w:tc>
          <w:tcPr>
            <w:tcW w:w="1885" w:type="dxa"/>
            <w:gridSpan w:val="3"/>
          </w:tcPr>
          <w:p w14:paraId="51DFC2CB"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02" w:type="dxa"/>
          </w:tcPr>
          <w:p w14:paraId="1040C74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38.9</w:t>
            </w:r>
          </w:p>
        </w:tc>
        <w:tc>
          <w:tcPr>
            <w:tcW w:w="1118" w:type="dxa"/>
            <w:gridSpan w:val="4"/>
          </w:tcPr>
          <w:p w14:paraId="202AC1D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38.0</w:t>
            </w:r>
          </w:p>
        </w:tc>
        <w:tc>
          <w:tcPr>
            <w:tcW w:w="1410" w:type="dxa"/>
          </w:tcPr>
          <w:p w14:paraId="235B526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39.0</w:t>
            </w:r>
          </w:p>
        </w:tc>
        <w:tc>
          <w:tcPr>
            <w:tcW w:w="1075" w:type="dxa"/>
            <w:gridSpan w:val="4"/>
          </w:tcPr>
          <w:p w14:paraId="01746E6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38.2</w:t>
            </w:r>
          </w:p>
        </w:tc>
        <w:tc>
          <w:tcPr>
            <w:tcW w:w="1464" w:type="dxa"/>
          </w:tcPr>
          <w:p w14:paraId="6ABCB92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39.8</w:t>
            </w:r>
          </w:p>
        </w:tc>
        <w:tc>
          <w:tcPr>
            <w:tcW w:w="1000" w:type="dxa"/>
            <w:gridSpan w:val="2"/>
          </w:tcPr>
          <w:p w14:paraId="6518663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39.0</w:t>
            </w:r>
          </w:p>
        </w:tc>
      </w:tr>
      <w:tr w:rsidR="00CD3539" w:rsidRPr="001E6906" w14:paraId="43059035" w14:textId="77777777" w:rsidTr="00DC2374">
        <w:tc>
          <w:tcPr>
            <w:tcW w:w="9354" w:type="dxa"/>
            <w:gridSpan w:val="16"/>
          </w:tcPr>
          <w:p w14:paraId="30658E01" w14:textId="77777777" w:rsidR="00CD3539" w:rsidRPr="001E6906" w:rsidRDefault="00CD3539" w:rsidP="006E2238">
            <w:pPr>
              <w:spacing w:line="360" w:lineRule="auto"/>
              <w:jc w:val="center"/>
              <w:rPr>
                <w:rFonts w:ascii="Arial" w:hAnsi="Arial" w:cs="Arial"/>
                <w:sz w:val="22"/>
                <w:szCs w:val="22"/>
              </w:rPr>
            </w:pPr>
            <w:proofErr w:type="spellStart"/>
            <w:r w:rsidRPr="001E6906">
              <w:rPr>
                <w:rFonts w:ascii="Arial" w:hAnsi="Arial" w:cs="Arial"/>
                <w:sz w:val="22"/>
                <w:szCs w:val="22"/>
              </w:rPr>
              <w:t>Rural+urban</w:t>
            </w:r>
            <w:proofErr w:type="spellEnd"/>
          </w:p>
        </w:tc>
      </w:tr>
      <w:tr w:rsidR="00CD3539" w:rsidRPr="001E6906" w14:paraId="32564B4D" w14:textId="77777777" w:rsidTr="00DC2374">
        <w:tc>
          <w:tcPr>
            <w:tcW w:w="1885" w:type="dxa"/>
            <w:gridSpan w:val="3"/>
          </w:tcPr>
          <w:p w14:paraId="477A24E9"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02" w:type="dxa"/>
          </w:tcPr>
          <w:p w14:paraId="33E6C87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57.5</w:t>
            </w:r>
          </w:p>
        </w:tc>
        <w:tc>
          <w:tcPr>
            <w:tcW w:w="1118" w:type="dxa"/>
            <w:gridSpan w:val="4"/>
          </w:tcPr>
          <w:p w14:paraId="37A4BA6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56.5</w:t>
            </w:r>
          </w:p>
        </w:tc>
        <w:tc>
          <w:tcPr>
            <w:tcW w:w="1410" w:type="dxa"/>
          </w:tcPr>
          <w:p w14:paraId="458F8DA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57.3</w:t>
            </w:r>
          </w:p>
        </w:tc>
        <w:tc>
          <w:tcPr>
            <w:tcW w:w="1075" w:type="dxa"/>
            <w:gridSpan w:val="4"/>
          </w:tcPr>
          <w:p w14:paraId="2F394AA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56.3</w:t>
            </w:r>
          </w:p>
        </w:tc>
        <w:tc>
          <w:tcPr>
            <w:tcW w:w="1464" w:type="dxa"/>
          </w:tcPr>
          <w:p w14:paraId="43F0E6F8"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56.2</w:t>
            </w:r>
          </w:p>
        </w:tc>
        <w:tc>
          <w:tcPr>
            <w:tcW w:w="1000" w:type="dxa"/>
            <w:gridSpan w:val="2"/>
          </w:tcPr>
          <w:p w14:paraId="0BD981D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55.4</w:t>
            </w:r>
          </w:p>
        </w:tc>
      </w:tr>
      <w:tr w:rsidR="00CD3539" w:rsidRPr="001E6906" w14:paraId="77ECCFA9" w14:textId="77777777" w:rsidTr="00DC2374">
        <w:tc>
          <w:tcPr>
            <w:tcW w:w="1885" w:type="dxa"/>
            <w:gridSpan w:val="3"/>
          </w:tcPr>
          <w:p w14:paraId="3393A609"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02" w:type="dxa"/>
          </w:tcPr>
          <w:p w14:paraId="425571A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25.1</w:t>
            </w:r>
          </w:p>
        </w:tc>
        <w:tc>
          <w:tcPr>
            <w:tcW w:w="1118" w:type="dxa"/>
            <w:gridSpan w:val="4"/>
          </w:tcPr>
          <w:p w14:paraId="62F6BB7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21.2</w:t>
            </w:r>
          </w:p>
        </w:tc>
        <w:tc>
          <w:tcPr>
            <w:tcW w:w="1410" w:type="dxa"/>
          </w:tcPr>
          <w:p w14:paraId="2E83626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24.8</w:t>
            </w:r>
          </w:p>
        </w:tc>
        <w:tc>
          <w:tcPr>
            <w:tcW w:w="1075" w:type="dxa"/>
            <w:gridSpan w:val="4"/>
          </w:tcPr>
          <w:p w14:paraId="0162176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20.5</w:t>
            </w:r>
          </w:p>
        </w:tc>
        <w:tc>
          <w:tcPr>
            <w:tcW w:w="1464" w:type="dxa"/>
          </w:tcPr>
          <w:p w14:paraId="2B27AC8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27.8</w:t>
            </w:r>
          </w:p>
        </w:tc>
        <w:tc>
          <w:tcPr>
            <w:tcW w:w="1000" w:type="dxa"/>
            <w:gridSpan w:val="2"/>
          </w:tcPr>
          <w:p w14:paraId="2C13353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23.7</w:t>
            </w:r>
          </w:p>
        </w:tc>
      </w:tr>
      <w:tr w:rsidR="00CD3539" w:rsidRPr="001E6906" w14:paraId="758EEB84" w14:textId="77777777" w:rsidTr="00DC2374">
        <w:tc>
          <w:tcPr>
            <w:tcW w:w="1885" w:type="dxa"/>
            <w:gridSpan w:val="3"/>
          </w:tcPr>
          <w:p w14:paraId="52E77EB1"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02" w:type="dxa"/>
          </w:tcPr>
          <w:p w14:paraId="15F42AF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41.6</w:t>
            </w:r>
          </w:p>
        </w:tc>
        <w:tc>
          <w:tcPr>
            <w:tcW w:w="1118" w:type="dxa"/>
            <w:gridSpan w:val="4"/>
          </w:tcPr>
          <w:p w14:paraId="531FFC7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39.2</w:t>
            </w:r>
          </w:p>
        </w:tc>
        <w:tc>
          <w:tcPr>
            <w:tcW w:w="1410" w:type="dxa"/>
          </w:tcPr>
          <w:p w14:paraId="0D258C2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41.3</w:t>
            </w:r>
          </w:p>
        </w:tc>
        <w:tc>
          <w:tcPr>
            <w:tcW w:w="1075" w:type="dxa"/>
            <w:gridSpan w:val="4"/>
          </w:tcPr>
          <w:p w14:paraId="747E274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38.7</w:t>
            </w:r>
          </w:p>
        </w:tc>
        <w:tc>
          <w:tcPr>
            <w:tcW w:w="1464" w:type="dxa"/>
          </w:tcPr>
          <w:p w14:paraId="26B5C5B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42.4</w:t>
            </w:r>
          </w:p>
        </w:tc>
        <w:tc>
          <w:tcPr>
            <w:tcW w:w="1000" w:type="dxa"/>
            <w:gridSpan w:val="2"/>
          </w:tcPr>
          <w:p w14:paraId="266E6E6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40.0</w:t>
            </w:r>
          </w:p>
        </w:tc>
      </w:tr>
      <w:tr w:rsidR="002A01DF" w:rsidRPr="001E6906" w14:paraId="75CEE467" w14:textId="77777777" w:rsidTr="00DC2374">
        <w:tc>
          <w:tcPr>
            <w:tcW w:w="9354" w:type="dxa"/>
            <w:gridSpan w:val="16"/>
          </w:tcPr>
          <w:p w14:paraId="06EE0F55" w14:textId="77777777" w:rsidR="002A01DF" w:rsidRPr="001E6906" w:rsidRDefault="002A01DF" w:rsidP="006E2238">
            <w:pPr>
              <w:spacing w:line="360" w:lineRule="auto"/>
              <w:jc w:val="both"/>
              <w:rPr>
                <w:rFonts w:ascii="Arial" w:hAnsi="Arial" w:cs="Arial"/>
                <w:i/>
                <w:iCs/>
                <w:sz w:val="22"/>
                <w:szCs w:val="22"/>
              </w:rPr>
            </w:pPr>
            <w:r w:rsidRPr="001E6906">
              <w:rPr>
                <w:rFonts w:ascii="Arial" w:hAnsi="Arial" w:cs="Arial"/>
                <w:i/>
                <w:iCs/>
                <w:sz w:val="22"/>
                <w:szCs w:val="22"/>
              </w:rPr>
              <w:t xml:space="preserve">Source: Annual Report PLFS </w:t>
            </w:r>
            <w:r w:rsidR="00D0293F" w:rsidRPr="001E6906">
              <w:rPr>
                <w:rFonts w:ascii="Arial" w:hAnsi="Arial" w:cs="Arial"/>
                <w:i/>
                <w:iCs/>
                <w:sz w:val="22"/>
                <w:szCs w:val="22"/>
              </w:rPr>
              <w:t>(</w:t>
            </w:r>
            <w:r w:rsidRPr="001E6906">
              <w:rPr>
                <w:rFonts w:ascii="Arial" w:hAnsi="Arial" w:cs="Arial"/>
                <w:i/>
                <w:iCs/>
                <w:sz w:val="22"/>
                <w:szCs w:val="22"/>
              </w:rPr>
              <w:t>2019-20 &amp; 2022-23</w:t>
            </w:r>
            <w:r w:rsidR="00D0293F" w:rsidRPr="001E6906">
              <w:rPr>
                <w:rFonts w:ascii="Arial" w:hAnsi="Arial" w:cs="Arial"/>
                <w:i/>
                <w:iCs/>
                <w:sz w:val="22"/>
                <w:szCs w:val="22"/>
              </w:rPr>
              <w:t>)</w:t>
            </w:r>
          </w:p>
        </w:tc>
      </w:tr>
    </w:tbl>
    <w:p w14:paraId="1D1D29EC" w14:textId="77777777" w:rsidR="004E6C6D" w:rsidRPr="001E6906" w:rsidRDefault="004E6C6D" w:rsidP="006E2238">
      <w:pPr>
        <w:spacing w:line="360" w:lineRule="auto"/>
        <w:jc w:val="both"/>
        <w:rPr>
          <w:rFonts w:ascii="Arial" w:hAnsi="Arial" w:cs="Arial"/>
          <w:b/>
          <w:bCs/>
          <w:sz w:val="22"/>
          <w:szCs w:val="22"/>
        </w:rPr>
      </w:pPr>
    </w:p>
    <w:p w14:paraId="02DE08CC" w14:textId="77777777" w:rsidR="004E6C6D" w:rsidRPr="001E6906" w:rsidRDefault="00E33C2D" w:rsidP="006E2238">
      <w:pPr>
        <w:spacing w:line="360" w:lineRule="auto"/>
        <w:jc w:val="both"/>
        <w:rPr>
          <w:rFonts w:ascii="Arial" w:hAnsi="Arial" w:cs="Arial"/>
          <w:b/>
          <w:bCs/>
          <w:sz w:val="22"/>
          <w:szCs w:val="22"/>
        </w:rPr>
      </w:pPr>
      <w:r w:rsidRPr="001E6906">
        <w:rPr>
          <w:rFonts w:ascii="Arial" w:hAnsi="Arial" w:cs="Arial"/>
          <w:noProof/>
          <w:sz w:val="22"/>
          <w:szCs w:val="22"/>
          <w14:ligatures w14:val="standardContextual"/>
        </w:rPr>
        <w:drawing>
          <wp:inline distT="0" distB="0" distL="0" distR="0" wp14:anchorId="1BBA45C0" wp14:editId="541292EB">
            <wp:extent cx="2840355" cy="1910829"/>
            <wp:effectExtent l="0" t="0" r="17145" b="6985"/>
            <wp:docPr id="676339738" name="Chart 1">
              <a:extLst xmlns:a="http://schemas.openxmlformats.org/drawingml/2006/main">
                <a:ext uri="{FF2B5EF4-FFF2-40B4-BE49-F238E27FC236}">
                  <a16:creationId xmlns:a16="http://schemas.microsoft.com/office/drawing/2014/main" id="{64D4FB81-48B3-64FF-99D6-B5A05D10B3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83B5D" w:rsidRPr="001E6906">
        <w:rPr>
          <w:rFonts w:ascii="Arial" w:hAnsi="Arial" w:cs="Arial"/>
          <w:noProof/>
          <w:sz w:val="22"/>
          <w:szCs w:val="22"/>
          <w14:ligatures w14:val="standardContextual"/>
        </w:rPr>
        <w:drawing>
          <wp:inline distT="0" distB="0" distL="0" distR="0" wp14:anchorId="679B15BD" wp14:editId="439DE1BB">
            <wp:extent cx="3035508" cy="1918335"/>
            <wp:effectExtent l="0" t="0" r="12700" b="12065"/>
            <wp:docPr id="1483865065" name="Chart 1">
              <a:extLst xmlns:a="http://schemas.openxmlformats.org/drawingml/2006/main">
                <a:ext uri="{FF2B5EF4-FFF2-40B4-BE49-F238E27FC236}">
                  <a16:creationId xmlns:a16="http://schemas.microsoft.com/office/drawing/2014/main" id="{F48A5251-2A29-8B90-257C-B6D6E3A58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042738" w14:textId="3718DF5E" w:rsidR="001E6906" w:rsidRPr="001E6906" w:rsidRDefault="001E6906" w:rsidP="006E2238">
      <w:pPr>
        <w:spacing w:line="360" w:lineRule="auto"/>
        <w:jc w:val="both"/>
        <w:rPr>
          <w:rFonts w:ascii="Arial" w:hAnsi="Arial" w:cs="Arial"/>
          <w:sz w:val="22"/>
          <w:szCs w:val="22"/>
          <w:lang w:val="en-US"/>
        </w:rPr>
      </w:pPr>
      <w:r w:rsidRPr="001E6906">
        <w:rPr>
          <w:rFonts w:ascii="Arial" w:hAnsi="Arial" w:cs="Arial"/>
          <w:sz w:val="22"/>
          <w:szCs w:val="22"/>
          <w:lang w:val="en-US"/>
        </w:rPr>
        <w:t xml:space="preserve">Figure 1: LFPR Rural (usual </w:t>
      </w:r>
      <w:proofErr w:type="gramStart"/>
      <w:r w:rsidRPr="001E6906">
        <w:rPr>
          <w:rFonts w:ascii="Arial" w:hAnsi="Arial" w:cs="Arial"/>
          <w:sz w:val="22"/>
          <w:szCs w:val="22"/>
          <w:lang w:val="en-US"/>
        </w:rPr>
        <w:t xml:space="preserve">status) </w:t>
      </w:r>
      <w:r>
        <w:rPr>
          <w:rFonts w:ascii="Arial" w:hAnsi="Arial" w:cs="Arial"/>
          <w:sz w:val="22"/>
          <w:szCs w:val="22"/>
          <w:lang w:val="en-US"/>
        </w:rPr>
        <w:t xml:space="preserve">  </w:t>
      </w:r>
      <w:proofErr w:type="gramEnd"/>
      <w:r>
        <w:rPr>
          <w:rFonts w:ascii="Arial" w:hAnsi="Arial" w:cs="Arial"/>
          <w:sz w:val="22"/>
          <w:szCs w:val="22"/>
          <w:lang w:val="en-US"/>
        </w:rPr>
        <w:t xml:space="preserve">              </w:t>
      </w:r>
      <w:r w:rsidRPr="001E6906">
        <w:rPr>
          <w:rFonts w:ascii="Arial" w:hAnsi="Arial" w:cs="Arial"/>
          <w:sz w:val="22"/>
          <w:szCs w:val="22"/>
          <w:lang w:val="en-US"/>
        </w:rPr>
        <w:t xml:space="preserve">Figure </w:t>
      </w:r>
      <w:r w:rsidR="006006BE">
        <w:rPr>
          <w:rFonts w:ascii="Arial" w:hAnsi="Arial" w:cs="Arial"/>
          <w:sz w:val="22"/>
          <w:szCs w:val="22"/>
          <w:lang w:val="en-US"/>
        </w:rPr>
        <w:t>2</w:t>
      </w:r>
      <w:r w:rsidRPr="001E6906">
        <w:rPr>
          <w:rFonts w:ascii="Arial" w:hAnsi="Arial" w:cs="Arial"/>
          <w:sz w:val="22"/>
          <w:szCs w:val="22"/>
          <w:lang w:val="en-US"/>
        </w:rPr>
        <w:t xml:space="preserve">: LFPR </w:t>
      </w:r>
      <w:r>
        <w:rPr>
          <w:rFonts w:ascii="Arial" w:hAnsi="Arial" w:cs="Arial"/>
          <w:sz w:val="22"/>
          <w:szCs w:val="22"/>
          <w:lang w:val="en-US"/>
        </w:rPr>
        <w:t xml:space="preserve">Urban </w:t>
      </w:r>
      <w:r w:rsidRPr="001E6906">
        <w:rPr>
          <w:rFonts w:ascii="Arial" w:hAnsi="Arial" w:cs="Arial"/>
          <w:sz w:val="22"/>
          <w:szCs w:val="22"/>
          <w:lang w:val="en-US"/>
        </w:rPr>
        <w:t xml:space="preserve">(usual status) </w:t>
      </w:r>
    </w:p>
    <w:p w14:paraId="0961502A" w14:textId="77777777" w:rsidR="00E33C2D" w:rsidRPr="001E6906" w:rsidRDefault="0040614E" w:rsidP="006E2238">
      <w:pPr>
        <w:spacing w:line="360" w:lineRule="auto"/>
        <w:jc w:val="both"/>
        <w:rPr>
          <w:rFonts w:ascii="Arial" w:hAnsi="Arial" w:cs="Arial"/>
          <w:i/>
          <w:iCs/>
          <w:sz w:val="22"/>
          <w:szCs w:val="22"/>
        </w:rPr>
      </w:pPr>
      <w:r w:rsidRPr="001E6906">
        <w:rPr>
          <w:rFonts w:ascii="Arial" w:hAnsi="Arial" w:cs="Arial"/>
          <w:i/>
          <w:iCs/>
          <w:sz w:val="22"/>
          <w:szCs w:val="22"/>
        </w:rPr>
        <w:t>Source: Author’s calculation from PLFS 20219-20 to 2022-23</w:t>
      </w:r>
    </w:p>
    <w:p w14:paraId="754D03F1" w14:textId="77777777" w:rsidR="004E6C6D" w:rsidRPr="001E6906" w:rsidRDefault="00163158" w:rsidP="006E2238">
      <w:pPr>
        <w:tabs>
          <w:tab w:val="left" w:pos="1440"/>
        </w:tabs>
        <w:spacing w:line="360" w:lineRule="auto"/>
        <w:jc w:val="both"/>
        <w:rPr>
          <w:rFonts w:ascii="Arial" w:hAnsi="Arial" w:cs="Arial"/>
          <w:b/>
          <w:bCs/>
          <w:sz w:val="22"/>
          <w:szCs w:val="22"/>
        </w:rPr>
      </w:pPr>
      <w:r w:rsidRPr="001E6906">
        <w:rPr>
          <w:rFonts w:ascii="Arial" w:hAnsi="Arial" w:cs="Arial"/>
          <w:b/>
          <w:bCs/>
          <w:sz w:val="22"/>
          <w:szCs w:val="22"/>
        </w:rPr>
        <w:lastRenderedPageBreak/>
        <w:tab/>
      </w:r>
      <w:r w:rsidRPr="001E6906">
        <w:rPr>
          <w:rFonts w:ascii="Arial" w:hAnsi="Arial" w:cs="Arial"/>
          <w:noProof/>
          <w:sz w:val="22"/>
          <w:szCs w:val="22"/>
          <w14:ligatures w14:val="standardContextual"/>
        </w:rPr>
        <w:drawing>
          <wp:inline distT="0" distB="0" distL="0" distR="0" wp14:anchorId="1AE99642" wp14:editId="0E3614DB">
            <wp:extent cx="5982159" cy="3222625"/>
            <wp:effectExtent l="0" t="0" r="12700" b="15875"/>
            <wp:docPr id="357300581" name="Chart 1">
              <a:extLst xmlns:a="http://schemas.openxmlformats.org/drawingml/2006/main">
                <a:ext uri="{FF2B5EF4-FFF2-40B4-BE49-F238E27FC236}">
                  <a16:creationId xmlns:a16="http://schemas.microsoft.com/office/drawing/2014/main" id="{EE561560-3ABE-8372-AC86-CD6DF1DA5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9D2698" w14:textId="77777777" w:rsidR="001E6906" w:rsidRPr="001E6906" w:rsidRDefault="001E6906" w:rsidP="006E2238">
      <w:pPr>
        <w:spacing w:line="360" w:lineRule="auto"/>
        <w:jc w:val="both"/>
        <w:rPr>
          <w:rFonts w:ascii="Arial" w:hAnsi="Arial" w:cs="Arial"/>
          <w:sz w:val="22"/>
          <w:szCs w:val="22"/>
          <w:lang w:val="en-US"/>
        </w:rPr>
      </w:pPr>
      <w:r w:rsidRPr="001E6906">
        <w:rPr>
          <w:rFonts w:ascii="Arial" w:hAnsi="Arial" w:cs="Arial"/>
          <w:sz w:val="22"/>
          <w:szCs w:val="22"/>
          <w:lang w:val="en-US"/>
        </w:rPr>
        <w:t>Figure 3: All India</w:t>
      </w:r>
      <w:r>
        <w:rPr>
          <w:rFonts w:ascii="Arial" w:hAnsi="Arial" w:cs="Arial"/>
          <w:sz w:val="22"/>
          <w:szCs w:val="22"/>
          <w:lang w:val="en-US"/>
        </w:rPr>
        <w:t xml:space="preserve"> </w:t>
      </w:r>
      <w:r w:rsidRPr="001E6906">
        <w:rPr>
          <w:rFonts w:ascii="Arial" w:hAnsi="Arial" w:cs="Arial"/>
          <w:sz w:val="22"/>
          <w:szCs w:val="22"/>
          <w:lang w:val="en-US"/>
        </w:rPr>
        <w:t>(usual status)</w:t>
      </w:r>
    </w:p>
    <w:p w14:paraId="75DE5A3A" w14:textId="77777777" w:rsidR="004E6C6D" w:rsidRDefault="00163158" w:rsidP="006E2238">
      <w:pPr>
        <w:spacing w:line="360" w:lineRule="auto"/>
        <w:jc w:val="both"/>
        <w:rPr>
          <w:rFonts w:ascii="Arial" w:hAnsi="Arial" w:cs="Arial"/>
          <w:i/>
          <w:iCs/>
          <w:sz w:val="22"/>
          <w:szCs w:val="22"/>
        </w:rPr>
      </w:pPr>
      <w:r w:rsidRPr="001E6906">
        <w:rPr>
          <w:rFonts w:ascii="Arial" w:hAnsi="Arial" w:cs="Arial"/>
          <w:i/>
          <w:iCs/>
          <w:sz w:val="22"/>
          <w:szCs w:val="22"/>
        </w:rPr>
        <w:t>Source: Author’s calculation from PLFS 20219-20 to 2022-23</w:t>
      </w:r>
      <w:r w:rsidR="00F80894" w:rsidRPr="001E6906">
        <w:rPr>
          <w:rFonts w:ascii="Arial" w:hAnsi="Arial" w:cs="Arial"/>
          <w:i/>
          <w:iCs/>
          <w:sz w:val="22"/>
          <w:szCs w:val="22"/>
        </w:rPr>
        <w:t xml:space="preserve"> </w:t>
      </w:r>
    </w:p>
    <w:p w14:paraId="6E384812" w14:textId="77777777" w:rsidR="001E6906" w:rsidRPr="001E6906" w:rsidRDefault="001E6906" w:rsidP="006E2238">
      <w:pPr>
        <w:spacing w:line="360" w:lineRule="auto"/>
        <w:jc w:val="both"/>
        <w:rPr>
          <w:rFonts w:ascii="Arial" w:hAnsi="Arial" w:cs="Arial"/>
          <w:i/>
          <w:iCs/>
          <w:sz w:val="22"/>
          <w:szCs w:val="22"/>
        </w:rPr>
      </w:pPr>
    </w:p>
    <w:p w14:paraId="0031D50D" w14:textId="77777777" w:rsidR="00CD3539" w:rsidRPr="001E6906" w:rsidRDefault="00163158" w:rsidP="006E2238">
      <w:pPr>
        <w:spacing w:line="360" w:lineRule="auto"/>
        <w:jc w:val="both"/>
        <w:rPr>
          <w:rFonts w:ascii="Arial" w:hAnsi="Arial" w:cs="Arial"/>
          <w:sz w:val="22"/>
          <w:szCs w:val="22"/>
        </w:rPr>
      </w:pPr>
      <w:r w:rsidRPr="001E6906">
        <w:rPr>
          <w:rFonts w:ascii="Arial" w:hAnsi="Arial" w:cs="Arial"/>
          <w:sz w:val="22"/>
          <w:szCs w:val="22"/>
        </w:rPr>
        <w:t xml:space="preserve">By </w:t>
      </w:r>
      <w:r w:rsidR="00F80894" w:rsidRPr="001E6906">
        <w:rPr>
          <w:rFonts w:ascii="Arial" w:hAnsi="Arial" w:cs="Arial"/>
          <w:sz w:val="22"/>
          <w:szCs w:val="22"/>
        </w:rPr>
        <w:t>analysing</w:t>
      </w:r>
      <w:r w:rsidRPr="001E6906">
        <w:rPr>
          <w:rFonts w:ascii="Arial" w:hAnsi="Arial" w:cs="Arial"/>
          <w:sz w:val="22"/>
          <w:szCs w:val="22"/>
        </w:rPr>
        <w:t xml:space="preserve"> figure</w:t>
      </w:r>
      <w:r w:rsidR="00F80894" w:rsidRPr="001E6906">
        <w:rPr>
          <w:rFonts w:ascii="Arial" w:hAnsi="Arial" w:cs="Arial"/>
          <w:sz w:val="22"/>
          <w:szCs w:val="22"/>
        </w:rPr>
        <w:t>s</w:t>
      </w:r>
      <w:r w:rsidRPr="001E6906">
        <w:rPr>
          <w:rFonts w:ascii="Arial" w:hAnsi="Arial" w:cs="Arial"/>
          <w:sz w:val="22"/>
          <w:szCs w:val="22"/>
        </w:rPr>
        <w:t xml:space="preserve"> 1, 2 and 3</w:t>
      </w:r>
      <w:r w:rsidR="00EE7072" w:rsidRPr="001E6906">
        <w:rPr>
          <w:rFonts w:ascii="Arial" w:hAnsi="Arial" w:cs="Arial"/>
          <w:sz w:val="22"/>
          <w:szCs w:val="22"/>
        </w:rPr>
        <w:t>,</w:t>
      </w:r>
      <w:r w:rsidRPr="001E6906">
        <w:rPr>
          <w:rFonts w:ascii="Arial" w:hAnsi="Arial" w:cs="Arial"/>
          <w:sz w:val="22"/>
          <w:szCs w:val="22"/>
        </w:rPr>
        <w:t xml:space="preserve"> which represent PLFS-based labour force participation </w:t>
      </w:r>
      <w:r w:rsidR="00F80894" w:rsidRPr="001E6906">
        <w:rPr>
          <w:rFonts w:ascii="Arial" w:hAnsi="Arial" w:cs="Arial"/>
          <w:sz w:val="22"/>
          <w:szCs w:val="22"/>
        </w:rPr>
        <w:t>in usual status</w:t>
      </w:r>
      <w:r w:rsidR="00F80894" w:rsidRPr="001E6906">
        <w:rPr>
          <w:rStyle w:val="FootnoteReference"/>
          <w:rFonts w:ascii="Arial" w:hAnsi="Arial" w:cs="Arial"/>
          <w:sz w:val="22"/>
          <w:szCs w:val="22"/>
        </w:rPr>
        <w:footnoteReference w:id="4"/>
      </w:r>
      <w:r w:rsidR="00EE7072" w:rsidRPr="001E6906">
        <w:rPr>
          <w:rFonts w:ascii="Arial" w:hAnsi="Arial" w:cs="Arial"/>
          <w:sz w:val="22"/>
          <w:szCs w:val="22"/>
        </w:rPr>
        <w:t>,</w:t>
      </w:r>
      <w:r w:rsidR="00F80894" w:rsidRPr="001E6906">
        <w:rPr>
          <w:rFonts w:ascii="Arial" w:hAnsi="Arial" w:cs="Arial"/>
          <w:sz w:val="22"/>
          <w:szCs w:val="22"/>
        </w:rPr>
        <w:t xml:space="preserve"> </w:t>
      </w:r>
      <w:r w:rsidRPr="001E6906">
        <w:rPr>
          <w:rFonts w:ascii="Arial" w:hAnsi="Arial" w:cs="Arial"/>
          <w:sz w:val="22"/>
          <w:szCs w:val="22"/>
        </w:rPr>
        <w:t>distinct</w:t>
      </w:r>
      <w:r w:rsidR="00166854" w:rsidRPr="001E6906">
        <w:rPr>
          <w:rFonts w:ascii="Arial" w:hAnsi="Arial" w:cs="Arial"/>
          <w:sz w:val="22"/>
          <w:szCs w:val="22"/>
        </w:rPr>
        <w:t>ly</w:t>
      </w:r>
      <w:r w:rsidRPr="001E6906">
        <w:rPr>
          <w:rFonts w:ascii="Arial" w:hAnsi="Arial" w:cs="Arial"/>
          <w:sz w:val="22"/>
          <w:szCs w:val="22"/>
        </w:rPr>
        <w:t xml:space="preserve"> for rural-urban and </w:t>
      </w:r>
      <w:r w:rsidR="00166854" w:rsidRPr="001E6906">
        <w:rPr>
          <w:rFonts w:ascii="Arial" w:hAnsi="Arial" w:cs="Arial"/>
          <w:sz w:val="22"/>
          <w:szCs w:val="22"/>
        </w:rPr>
        <w:t xml:space="preserve">male-female </w:t>
      </w:r>
      <w:r w:rsidRPr="001E6906">
        <w:rPr>
          <w:rFonts w:ascii="Arial" w:hAnsi="Arial" w:cs="Arial"/>
          <w:sz w:val="22"/>
          <w:szCs w:val="22"/>
        </w:rPr>
        <w:t>in India</w:t>
      </w:r>
      <w:r w:rsidR="00166854" w:rsidRPr="001E6906">
        <w:rPr>
          <w:rFonts w:ascii="Arial" w:hAnsi="Arial" w:cs="Arial"/>
          <w:sz w:val="22"/>
          <w:szCs w:val="22"/>
        </w:rPr>
        <w:t>,</w:t>
      </w:r>
      <w:r w:rsidR="00A42773" w:rsidRPr="001E6906">
        <w:rPr>
          <w:rFonts w:ascii="Arial" w:hAnsi="Arial" w:cs="Arial"/>
          <w:sz w:val="22"/>
          <w:szCs w:val="22"/>
        </w:rPr>
        <w:t xml:space="preserve"> </w:t>
      </w:r>
      <w:r w:rsidR="00292299" w:rsidRPr="001E6906">
        <w:rPr>
          <w:rFonts w:ascii="Arial" w:hAnsi="Arial" w:cs="Arial"/>
          <w:sz w:val="22"/>
          <w:szCs w:val="22"/>
        </w:rPr>
        <w:t>no</w:t>
      </w:r>
      <w:r w:rsidR="00A42773" w:rsidRPr="001E6906">
        <w:rPr>
          <w:rFonts w:ascii="Arial" w:hAnsi="Arial" w:cs="Arial"/>
          <w:sz w:val="22"/>
          <w:szCs w:val="22"/>
        </w:rPr>
        <w:t xml:space="preserve"> </w:t>
      </w:r>
      <w:r w:rsidR="00292299" w:rsidRPr="001E6906">
        <w:rPr>
          <w:rFonts w:ascii="Arial" w:hAnsi="Arial" w:cs="Arial"/>
          <w:sz w:val="22"/>
          <w:szCs w:val="22"/>
        </w:rPr>
        <w:t xml:space="preserve">significant difference has been observed in the participation rate before and after COVID-19. However, when we compare rural </w:t>
      </w:r>
      <w:r w:rsidR="009A09BA" w:rsidRPr="001E6906">
        <w:rPr>
          <w:rFonts w:ascii="Arial" w:hAnsi="Arial" w:cs="Arial"/>
          <w:sz w:val="22"/>
          <w:szCs w:val="22"/>
        </w:rPr>
        <w:t xml:space="preserve">male and female </w:t>
      </w:r>
      <w:r w:rsidR="00292299" w:rsidRPr="001E6906">
        <w:rPr>
          <w:rFonts w:ascii="Arial" w:hAnsi="Arial" w:cs="Arial"/>
          <w:sz w:val="22"/>
          <w:szCs w:val="22"/>
        </w:rPr>
        <w:t>participation, it can be observed that r</w:t>
      </w:r>
      <w:r w:rsidRPr="001E6906">
        <w:rPr>
          <w:rFonts w:ascii="Arial" w:hAnsi="Arial" w:cs="Arial"/>
          <w:sz w:val="22"/>
          <w:szCs w:val="22"/>
        </w:rPr>
        <w:t xml:space="preserve">ural male LFPR remains consistently high and stable at around 55-56 percent across all years, while rural female LFPR shows a substantial rise from 18.2 percent in 2017-18 to 30.5 percent in 2022-23, indicating a sharp increase in women’s engagement in </w:t>
      </w:r>
      <w:r w:rsidR="00AA0367" w:rsidRPr="001E6906">
        <w:rPr>
          <w:rFonts w:ascii="Arial" w:hAnsi="Arial" w:cs="Arial"/>
          <w:sz w:val="22"/>
          <w:szCs w:val="22"/>
        </w:rPr>
        <w:t>agriculture-based</w:t>
      </w:r>
      <w:r w:rsidRPr="001E6906">
        <w:rPr>
          <w:rFonts w:ascii="Arial" w:hAnsi="Arial" w:cs="Arial"/>
          <w:sz w:val="22"/>
          <w:szCs w:val="22"/>
        </w:rPr>
        <w:t xml:space="preserve"> activities. </w:t>
      </w:r>
      <w:r w:rsidR="00292299" w:rsidRPr="001E6906">
        <w:rPr>
          <w:rFonts w:ascii="Arial" w:hAnsi="Arial" w:cs="Arial"/>
          <w:sz w:val="22"/>
          <w:szCs w:val="22"/>
        </w:rPr>
        <w:t xml:space="preserve">However, in </w:t>
      </w:r>
      <w:r w:rsidR="00615142" w:rsidRPr="001E6906">
        <w:rPr>
          <w:rFonts w:ascii="Arial" w:hAnsi="Arial" w:cs="Arial"/>
          <w:sz w:val="22"/>
          <w:szCs w:val="22"/>
        </w:rPr>
        <w:t>F</w:t>
      </w:r>
      <w:r w:rsidR="00292299" w:rsidRPr="001E6906">
        <w:rPr>
          <w:rFonts w:ascii="Arial" w:hAnsi="Arial" w:cs="Arial"/>
          <w:sz w:val="22"/>
          <w:szCs w:val="22"/>
        </w:rPr>
        <w:t>igure 1</w:t>
      </w:r>
      <w:r w:rsidR="00EE7072" w:rsidRPr="001E6906">
        <w:rPr>
          <w:rFonts w:ascii="Arial" w:hAnsi="Arial" w:cs="Arial"/>
          <w:sz w:val="22"/>
          <w:szCs w:val="22"/>
        </w:rPr>
        <w:t>,</w:t>
      </w:r>
      <w:r w:rsidR="00292299" w:rsidRPr="001E6906">
        <w:rPr>
          <w:rFonts w:ascii="Arial" w:hAnsi="Arial" w:cs="Arial"/>
          <w:sz w:val="22"/>
          <w:szCs w:val="22"/>
        </w:rPr>
        <w:t xml:space="preserve"> it can be noticed that</w:t>
      </w:r>
      <w:r w:rsidR="00AD2D12" w:rsidRPr="001E6906">
        <w:rPr>
          <w:rFonts w:ascii="Arial" w:hAnsi="Arial" w:cs="Arial"/>
          <w:sz w:val="22"/>
          <w:szCs w:val="22"/>
        </w:rPr>
        <w:t xml:space="preserve"> in 2020-21</w:t>
      </w:r>
      <w:r w:rsidR="00615142" w:rsidRPr="001E6906">
        <w:rPr>
          <w:rFonts w:ascii="Arial" w:hAnsi="Arial" w:cs="Arial"/>
          <w:sz w:val="22"/>
          <w:szCs w:val="22"/>
        </w:rPr>
        <w:t>,</w:t>
      </w:r>
      <w:r w:rsidR="00AD2D12" w:rsidRPr="001E6906">
        <w:rPr>
          <w:rFonts w:ascii="Arial" w:hAnsi="Arial" w:cs="Arial"/>
          <w:sz w:val="22"/>
          <w:szCs w:val="22"/>
        </w:rPr>
        <w:t xml:space="preserve"> </w:t>
      </w:r>
      <w:r w:rsidR="00292299" w:rsidRPr="001E6906">
        <w:rPr>
          <w:rFonts w:ascii="Arial" w:hAnsi="Arial" w:cs="Arial"/>
          <w:sz w:val="22"/>
          <w:szCs w:val="22"/>
        </w:rPr>
        <w:t>both rural male and female LFPR increase</w:t>
      </w:r>
      <w:r w:rsidR="00615142" w:rsidRPr="001E6906">
        <w:rPr>
          <w:rFonts w:ascii="Arial" w:hAnsi="Arial" w:cs="Arial"/>
          <w:sz w:val="22"/>
          <w:szCs w:val="22"/>
        </w:rPr>
        <w:t>d</w:t>
      </w:r>
      <w:r w:rsidR="00AD2D12" w:rsidRPr="001E6906">
        <w:rPr>
          <w:rFonts w:ascii="Arial" w:hAnsi="Arial" w:cs="Arial"/>
          <w:sz w:val="22"/>
          <w:szCs w:val="22"/>
        </w:rPr>
        <w:t xml:space="preserve"> compared to the previous years</w:t>
      </w:r>
      <w:r w:rsidR="00A42773" w:rsidRPr="001E6906">
        <w:rPr>
          <w:rFonts w:ascii="Arial" w:hAnsi="Arial" w:cs="Arial"/>
          <w:sz w:val="22"/>
          <w:szCs w:val="22"/>
        </w:rPr>
        <w:t xml:space="preserve">, </w:t>
      </w:r>
      <w:r w:rsidR="00AD2D12" w:rsidRPr="001E6906">
        <w:rPr>
          <w:rFonts w:ascii="Arial" w:hAnsi="Arial" w:cs="Arial"/>
          <w:sz w:val="22"/>
          <w:szCs w:val="22"/>
        </w:rPr>
        <w:t xml:space="preserve">possibly due to the reverse migration of workers from urban to rural areas and </w:t>
      </w:r>
      <w:r w:rsidR="00615142" w:rsidRPr="001E6906">
        <w:rPr>
          <w:rFonts w:ascii="Arial" w:hAnsi="Arial" w:cs="Arial"/>
          <w:sz w:val="22"/>
          <w:szCs w:val="22"/>
        </w:rPr>
        <w:t xml:space="preserve">an </w:t>
      </w:r>
      <w:r w:rsidR="00AD2D12" w:rsidRPr="001E6906">
        <w:rPr>
          <w:rFonts w:ascii="Arial" w:hAnsi="Arial" w:cs="Arial"/>
          <w:sz w:val="22"/>
          <w:szCs w:val="22"/>
        </w:rPr>
        <w:t>increase in the engagement in agricultural activities by both male and female workers</w:t>
      </w:r>
      <w:r w:rsidR="00A42773" w:rsidRPr="001E6906">
        <w:rPr>
          <w:rFonts w:ascii="Arial" w:hAnsi="Arial" w:cs="Arial"/>
          <w:sz w:val="22"/>
          <w:szCs w:val="22"/>
        </w:rPr>
        <w:t>.</w:t>
      </w:r>
      <w:r w:rsidR="00AD2D12" w:rsidRPr="001E6906">
        <w:rPr>
          <w:rFonts w:ascii="Arial" w:hAnsi="Arial" w:cs="Arial"/>
          <w:sz w:val="22"/>
          <w:szCs w:val="22"/>
        </w:rPr>
        <w:t xml:space="preserve"> </w:t>
      </w:r>
      <w:r w:rsidR="00A42773" w:rsidRPr="001E6906">
        <w:rPr>
          <w:rFonts w:ascii="Arial" w:hAnsi="Arial" w:cs="Arial"/>
          <w:sz w:val="22"/>
          <w:szCs w:val="22"/>
        </w:rPr>
        <w:t>On the contrary,</w:t>
      </w:r>
      <w:r w:rsidR="00AD2D12" w:rsidRPr="001E6906">
        <w:rPr>
          <w:rFonts w:ascii="Arial" w:hAnsi="Arial" w:cs="Arial"/>
          <w:sz w:val="22"/>
          <w:szCs w:val="22"/>
        </w:rPr>
        <w:t xml:space="preserve"> in 2021-22</w:t>
      </w:r>
      <w:r w:rsidR="00EE7072" w:rsidRPr="001E6906">
        <w:rPr>
          <w:rFonts w:ascii="Arial" w:hAnsi="Arial" w:cs="Arial"/>
          <w:sz w:val="22"/>
          <w:szCs w:val="22"/>
        </w:rPr>
        <w:t>,</w:t>
      </w:r>
      <w:r w:rsidR="00AD2D12" w:rsidRPr="001E6906">
        <w:rPr>
          <w:rFonts w:ascii="Arial" w:hAnsi="Arial" w:cs="Arial"/>
          <w:sz w:val="22"/>
          <w:szCs w:val="22"/>
        </w:rPr>
        <w:t xml:space="preserve"> LFPR slightly declined</w:t>
      </w:r>
      <w:r w:rsidR="00BD3603" w:rsidRPr="001E6906">
        <w:rPr>
          <w:rFonts w:ascii="Arial" w:hAnsi="Arial" w:cs="Arial"/>
          <w:sz w:val="22"/>
          <w:szCs w:val="22"/>
        </w:rPr>
        <w:t>.</w:t>
      </w:r>
      <w:r w:rsidR="00292299" w:rsidRPr="001E6906">
        <w:rPr>
          <w:rFonts w:ascii="Arial" w:hAnsi="Arial" w:cs="Arial"/>
          <w:sz w:val="22"/>
          <w:szCs w:val="22"/>
        </w:rPr>
        <w:t xml:space="preserve"> </w:t>
      </w:r>
      <w:r w:rsidR="00BD3603" w:rsidRPr="001E6906">
        <w:rPr>
          <w:rFonts w:ascii="Arial" w:hAnsi="Arial" w:cs="Arial"/>
          <w:sz w:val="22"/>
          <w:szCs w:val="22"/>
        </w:rPr>
        <w:t>In 2022-23</w:t>
      </w:r>
      <w:r w:rsidR="00615142" w:rsidRPr="001E6906">
        <w:rPr>
          <w:rFonts w:ascii="Arial" w:hAnsi="Arial" w:cs="Arial"/>
          <w:sz w:val="22"/>
          <w:szCs w:val="22"/>
        </w:rPr>
        <w:t>,</w:t>
      </w:r>
      <w:r w:rsidR="00BD3603" w:rsidRPr="001E6906">
        <w:rPr>
          <w:rFonts w:ascii="Arial" w:hAnsi="Arial" w:cs="Arial"/>
          <w:sz w:val="22"/>
          <w:szCs w:val="22"/>
        </w:rPr>
        <w:t xml:space="preserve"> male LFPR declined</w:t>
      </w:r>
      <w:r w:rsidR="00EE7072" w:rsidRPr="001E6906">
        <w:rPr>
          <w:rFonts w:ascii="Arial" w:hAnsi="Arial" w:cs="Arial"/>
          <w:sz w:val="22"/>
          <w:szCs w:val="22"/>
        </w:rPr>
        <w:t>,</w:t>
      </w:r>
      <w:r w:rsidR="00BD3603" w:rsidRPr="001E6906">
        <w:rPr>
          <w:rFonts w:ascii="Arial" w:hAnsi="Arial" w:cs="Arial"/>
          <w:sz w:val="22"/>
          <w:szCs w:val="22"/>
        </w:rPr>
        <w:t xml:space="preserve"> but female LFPR rose to 30.5 percent. </w:t>
      </w:r>
      <w:r w:rsidR="00FF663C" w:rsidRPr="001E6906">
        <w:rPr>
          <w:rFonts w:ascii="Arial" w:hAnsi="Arial" w:cs="Arial"/>
          <w:sz w:val="22"/>
          <w:szCs w:val="22"/>
        </w:rPr>
        <w:t>I</w:t>
      </w:r>
      <w:r w:rsidRPr="001E6906">
        <w:rPr>
          <w:rFonts w:ascii="Arial" w:hAnsi="Arial" w:cs="Arial"/>
          <w:sz w:val="22"/>
          <w:szCs w:val="22"/>
        </w:rPr>
        <w:t>n contrast, urban LFPR shows only marginal improvement for women, increasing from 15.9 percent to 20.2 percent</w:t>
      </w:r>
      <w:r w:rsidR="00FF663C" w:rsidRPr="001E6906">
        <w:rPr>
          <w:rFonts w:ascii="Arial" w:hAnsi="Arial" w:cs="Arial"/>
          <w:sz w:val="22"/>
          <w:szCs w:val="22"/>
        </w:rPr>
        <w:t xml:space="preserve"> from 2017-18 to 2022-23</w:t>
      </w:r>
      <w:r w:rsidRPr="001E6906">
        <w:rPr>
          <w:rFonts w:ascii="Arial" w:hAnsi="Arial" w:cs="Arial"/>
          <w:sz w:val="22"/>
          <w:szCs w:val="22"/>
        </w:rPr>
        <w:t>, while urban male LFPR stays stable at 57-58 percent</w:t>
      </w:r>
      <w:r w:rsidR="00FF663C" w:rsidRPr="001E6906">
        <w:rPr>
          <w:rFonts w:ascii="Arial" w:hAnsi="Arial" w:cs="Arial"/>
          <w:sz w:val="22"/>
          <w:szCs w:val="22"/>
        </w:rPr>
        <w:t xml:space="preserve"> during the same period</w:t>
      </w:r>
      <w:r w:rsidRPr="001E6906">
        <w:rPr>
          <w:rFonts w:ascii="Arial" w:hAnsi="Arial" w:cs="Arial"/>
          <w:sz w:val="22"/>
          <w:szCs w:val="22"/>
        </w:rPr>
        <w:t xml:space="preserve">. </w:t>
      </w:r>
      <w:r w:rsidR="00FF663C" w:rsidRPr="001E6906">
        <w:rPr>
          <w:rFonts w:ascii="Arial" w:hAnsi="Arial" w:cs="Arial"/>
          <w:sz w:val="22"/>
          <w:szCs w:val="22"/>
        </w:rPr>
        <w:t xml:space="preserve">In </w:t>
      </w:r>
      <w:r w:rsidR="00615142" w:rsidRPr="001E6906">
        <w:rPr>
          <w:rFonts w:ascii="Arial" w:hAnsi="Arial" w:cs="Arial"/>
          <w:sz w:val="22"/>
          <w:szCs w:val="22"/>
        </w:rPr>
        <w:t xml:space="preserve">the </w:t>
      </w:r>
      <w:r w:rsidR="00FF663C" w:rsidRPr="001E6906">
        <w:rPr>
          <w:rFonts w:ascii="Arial" w:hAnsi="Arial" w:cs="Arial"/>
          <w:sz w:val="22"/>
          <w:szCs w:val="22"/>
        </w:rPr>
        <w:t>case of urban India</w:t>
      </w:r>
      <w:r w:rsidR="00615142" w:rsidRPr="001E6906">
        <w:rPr>
          <w:rFonts w:ascii="Arial" w:hAnsi="Arial" w:cs="Arial"/>
          <w:sz w:val="22"/>
          <w:szCs w:val="22"/>
        </w:rPr>
        <w:t>,</w:t>
      </w:r>
      <w:r w:rsidR="00FF663C" w:rsidRPr="001E6906">
        <w:rPr>
          <w:rFonts w:ascii="Arial" w:hAnsi="Arial" w:cs="Arial"/>
          <w:sz w:val="22"/>
          <w:szCs w:val="22"/>
        </w:rPr>
        <w:t xml:space="preserve"> </w:t>
      </w:r>
      <w:r w:rsidR="009A09BA" w:rsidRPr="001E6906">
        <w:rPr>
          <w:rFonts w:ascii="Arial" w:hAnsi="Arial" w:cs="Arial"/>
          <w:sz w:val="22"/>
          <w:szCs w:val="22"/>
        </w:rPr>
        <w:t>there is no significant change in male LFPR</w:t>
      </w:r>
      <w:r w:rsidR="00615142" w:rsidRPr="001E6906">
        <w:rPr>
          <w:rFonts w:ascii="Arial" w:hAnsi="Arial" w:cs="Arial"/>
          <w:sz w:val="22"/>
          <w:szCs w:val="22"/>
        </w:rPr>
        <w:t>,</w:t>
      </w:r>
      <w:r w:rsidR="009A09BA" w:rsidRPr="001E6906">
        <w:rPr>
          <w:rFonts w:ascii="Arial" w:hAnsi="Arial" w:cs="Arial"/>
          <w:sz w:val="22"/>
          <w:szCs w:val="22"/>
        </w:rPr>
        <w:t xml:space="preserve"> while female LFPR increased slightly after the pandemic.</w:t>
      </w:r>
      <w:r w:rsidR="00A42773" w:rsidRPr="001E6906">
        <w:rPr>
          <w:rFonts w:ascii="Arial" w:hAnsi="Arial" w:cs="Arial"/>
          <w:sz w:val="22"/>
          <w:szCs w:val="22"/>
        </w:rPr>
        <w:t xml:space="preserve"> </w:t>
      </w:r>
      <w:r w:rsidR="00D767F2" w:rsidRPr="001E6906">
        <w:rPr>
          <w:rFonts w:ascii="Arial" w:hAnsi="Arial" w:cs="Arial"/>
          <w:sz w:val="22"/>
          <w:szCs w:val="22"/>
        </w:rPr>
        <w:t xml:space="preserve">Looking at the all-India </w:t>
      </w:r>
      <w:r w:rsidR="00D767F2" w:rsidRPr="001E6906">
        <w:rPr>
          <w:rFonts w:ascii="Arial" w:hAnsi="Arial" w:cs="Arial"/>
          <w:sz w:val="22"/>
          <w:szCs w:val="22"/>
        </w:rPr>
        <w:lastRenderedPageBreak/>
        <w:t>trends,</w:t>
      </w:r>
      <w:r w:rsidR="00BD3603" w:rsidRPr="001E6906">
        <w:rPr>
          <w:rFonts w:ascii="Arial" w:hAnsi="Arial" w:cs="Arial"/>
          <w:sz w:val="22"/>
          <w:szCs w:val="22"/>
        </w:rPr>
        <w:t xml:space="preserve"> it</w:t>
      </w:r>
      <w:r w:rsidRPr="001E6906">
        <w:rPr>
          <w:rFonts w:ascii="Arial" w:hAnsi="Arial" w:cs="Arial"/>
          <w:sz w:val="22"/>
          <w:szCs w:val="22"/>
        </w:rPr>
        <w:t xml:space="preserve"> depicts that male LFPR remains steady, whereas female LFPR rises markedly from 17.5 percent in 2017</w:t>
      </w:r>
      <w:r w:rsidR="00FF663C" w:rsidRPr="001E6906">
        <w:rPr>
          <w:rFonts w:ascii="Arial" w:hAnsi="Arial" w:cs="Arial"/>
          <w:sz w:val="22"/>
          <w:szCs w:val="22"/>
        </w:rPr>
        <w:t>-</w:t>
      </w:r>
      <w:r w:rsidRPr="001E6906">
        <w:rPr>
          <w:rFonts w:ascii="Arial" w:hAnsi="Arial" w:cs="Arial"/>
          <w:sz w:val="22"/>
          <w:szCs w:val="22"/>
        </w:rPr>
        <w:t>18 to 27.8 percent in 2022</w:t>
      </w:r>
      <w:r w:rsidR="00FF663C" w:rsidRPr="001E6906">
        <w:rPr>
          <w:rFonts w:ascii="Arial" w:hAnsi="Arial" w:cs="Arial"/>
          <w:sz w:val="22"/>
          <w:szCs w:val="22"/>
        </w:rPr>
        <w:t>-</w:t>
      </w:r>
      <w:r w:rsidRPr="001E6906">
        <w:rPr>
          <w:rFonts w:ascii="Arial" w:hAnsi="Arial" w:cs="Arial"/>
          <w:sz w:val="22"/>
          <w:szCs w:val="22"/>
        </w:rPr>
        <w:t>23. Overall, the data suggest that the recent increase in India’s labour force participation is driven primarily by the growing participation of rural women, highlighting the importance of agriculture and allied sectors in expanding female economic activity.</w:t>
      </w:r>
      <w:r w:rsidR="0034480D" w:rsidRPr="001E6906">
        <w:rPr>
          <w:rFonts w:ascii="Arial" w:hAnsi="Arial" w:cs="Arial"/>
          <w:sz w:val="22"/>
          <w:szCs w:val="22"/>
        </w:rPr>
        <w:t xml:space="preserve"> While male participation stabilizes at levels slightly above pre-pandemic levels.</w:t>
      </w:r>
    </w:p>
    <w:p w14:paraId="12C7069A"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b/>
          <w:bCs/>
          <w:i/>
          <w:iCs/>
          <w:sz w:val="22"/>
          <w:szCs w:val="22"/>
        </w:rPr>
        <w:t>Worker Population Ratio</w:t>
      </w:r>
      <w:r w:rsidRPr="001E6906">
        <w:rPr>
          <w:rFonts w:ascii="Arial" w:hAnsi="Arial" w:cs="Arial"/>
          <w:b/>
          <w:bCs/>
          <w:sz w:val="22"/>
          <w:szCs w:val="22"/>
        </w:rPr>
        <w:t>:</w:t>
      </w:r>
      <w:r w:rsidR="0023322A" w:rsidRPr="001E6906">
        <w:rPr>
          <w:rFonts w:ascii="Arial" w:hAnsi="Arial" w:cs="Arial"/>
          <w:sz w:val="22"/>
          <w:szCs w:val="22"/>
        </w:rPr>
        <w:t xml:space="preserve"> Worker Population Ratio (WPR) is the percentage of persons employed among the persons in the population (Annual Report PLFS 2019-20)</w:t>
      </w:r>
      <w:r w:rsidR="00212931" w:rsidRPr="001E6906">
        <w:rPr>
          <w:rFonts w:ascii="Arial" w:hAnsi="Arial" w:cs="Arial"/>
          <w:sz w:val="22"/>
          <w:szCs w:val="22"/>
        </w:rPr>
        <w:t>. WPR from 2017-18 to 2022-23 for rural, urban</w:t>
      </w:r>
      <w:r w:rsidR="00AA0367" w:rsidRPr="001E6906">
        <w:rPr>
          <w:rFonts w:ascii="Arial" w:hAnsi="Arial" w:cs="Arial"/>
          <w:sz w:val="22"/>
          <w:szCs w:val="22"/>
        </w:rPr>
        <w:t>,</w:t>
      </w:r>
      <w:r w:rsidR="00212931" w:rsidRPr="001E6906">
        <w:rPr>
          <w:rFonts w:ascii="Arial" w:hAnsi="Arial" w:cs="Arial"/>
          <w:sz w:val="22"/>
          <w:szCs w:val="22"/>
        </w:rPr>
        <w:t xml:space="preserve"> and for all India,</w:t>
      </w:r>
      <w:r w:rsidR="00187077" w:rsidRPr="001E6906">
        <w:rPr>
          <w:rFonts w:ascii="Arial" w:hAnsi="Arial" w:cs="Arial"/>
          <w:sz w:val="22"/>
          <w:szCs w:val="22"/>
        </w:rPr>
        <w:t xml:space="preserve"> s</w:t>
      </w:r>
      <w:r w:rsidR="00212931" w:rsidRPr="001E6906">
        <w:rPr>
          <w:rFonts w:ascii="Arial" w:hAnsi="Arial" w:cs="Arial"/>
          <w:sz w:val="22"/>
          <w:szCs w:val="22"/>
        </w:rPr>
        <w:t>eparately for both male and female</w:t>
      </w:r>
      <w:r w:rsidR="00EE7072" w:rsidRPr="001E6906">
        <w:rPr>
          <w:rFonts w:ascii="Arial" w:hAnsi="Arial" w:cs="Arial"/>
          <w:sz w:val="22"/>
          <w:szCs w:val="22"/>
        </w:rPr>
        <w:t>,</w:t>
      </w:r>
      <w:r w:rsidR="00212931" w:rsidRPr="001E6906">
        <w:rPr>
          <w:rFonts w:ascii="Arial" w:hAnsi="Arial" w:cs="Arial"/>
          <w:sz w:val="22"/>
          <w:szCs w:val="22"/>
        </w:rPr>
        <w:t xml:space="preserve"> are represented by </w:t>
      </w:r>
      <w:r w:rsidR="00615142" w:rsidRPr="001E6906">
        <w:rPr>
          <w:rFonts w:ascii="Arial" w:hAnsi="Arial" w:cs="Arial"/>
          <w:sz w:val="22"/>
          <w:szCs w:val="22"/>
        </w:rPr>
        <w:t>T</w:t>
      </w:r>
      <w:r w:rsidR="00212931" w:rsidRPr="001E6906">
        <w:rPr>
          <w:rFonts w:ascii="Arial" w:hAnsi="Arial" w:cs="Arial"/>
          <w:sz w:val="22"/>
          <w:szCs w:val="22"/>
        </w:rPr>
        <w:t xml:space="preserve">able </w:t>
      </w:r>
      <w:r w:rsidR="00B26524" w:rsidRPr="001E6906">
        <w:rPr>
          <w:rFonts w:ascii="Arial" w:hAnsi="Arial" w:cs="Arial"/>
          <w:sz w:val="22"/>
          <w:szCs w:val="22"/>
        </w:rPr>
        <w:t>2</w:t>
      </w:r>
      <w:r w:rsidR="00212931" w:rsidRPr="001E6906">
        <w:rPr>
          <w:rFonts w:ascii="Arial" w:hAnsi="Arial" w:cs="Arial"/>
          <w:sz w:val="22"/>
          <w:szCs w:val="22"/>
        </w:rPr>
        <w:t>.</w:t>
      </w:r>
    </w:p>
    <w:p w14:paraId="7855023B" w14:textId="77777777" w:rsidR="00CD3539" w:rsidRPr="001E6906" w:rsidRDefault="00CD3539" w:rsidP="006E2238">
      <w:pPr>
        <w:spacing w:line="360" w:lineRule="auto"/>
        <w:jc w:val="both"/>
        <w:rPr>
          <w:rFonts w:ascii="Arial" w:hAnsi="Arial" w:cs="Arial"/>
          <w:sz w:val="22"/>
          <w:szCs w:val="22"/>
        </w:rPr>
      </w:pPr>
    </w:p>
    <w:tbl>
      <w:tblPr>
        <w:tblStyle w:val="TableGrid"/>
        <w:tblW w:w="9354" w:type="dxa"/>
        <w:tblLayout w:type="fixed"/>
        <w:tblLook w:val="04A0" w:firstRow="1" w:lastRow="0" w:firstColumn="1" w:lastColumn="0" w:noHBand="0" w:noVBand="1"/>
      </w:tblPr>
      <w:tblGrid>
        <w:gridCol w:w="1827"/>
        <w:gridCol w:w="30"/>
        <w:gridCol w:w="28"/>
        <w:gridCol w:w="1402"/>
        <w:gridCol w:w="34"/>
        <w:gridCol w:w="1038"/>
        <w:gridCol w:w="7"/>
        <w:gridCol w:w="39"/>
        <w:gridCol w:w="1410"/>
        <w:gridCol w:w="30"/>
        <w:gridCol w:w="8"/>
        <w:gridCol w:w="1023"/>
        <w:gridCol w:w="14"/>
        <w:gridCol w:w="1464"/>
        <w:gridCol w:w="20"/>
        <w:gridCol w:w="980"/>
      </w:tblGrid>
      <w:tr w:rsidR="00CD3539" w:rsidRPr="001E6906" w14:paraId="6C7DE531" w14:textId="77777777" w:rsidTr="00DC2374">
        <w:tc>
          <w:tcPr>
            <w:tcW w:w="9354" w:type="dxa"/>
            <w:gridSpan w:val="16"/>
          </w:tcPr>
          <w:p w14:paraId="70439A28"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Table</w:t>
            </w:r>
            <w:r w:rsidR="00187077" w:rsidRPr="001E6906">
              <w:rPr>
                <w:rFonts w:ascii="Arial" w:hAnsi="Arial" w:cs="Arial"/>
                <w:sz w:val="22"/>
                <w:szCs w:val="22"/>
              </w:rPr>
              <w:t xml:space="preserve"> </w:t>
            </w:r>
            <w:r w:rsidR="0040614E" w:rsidRPr="001E6906">
              <w:rPr>
                <w:rFonts w:ascii="Arial" w:hAnsi="Arial" w:cs="Arial"/>
                <w:sz w:val="22"/>
                <w:szCs w:val="22"/>
              </w:rPr>
              <w:t>2: WPR (in percent) in usual status (</w:t>
            </w:r>
            <w:proofErr w:type="spellStart"/>
            <w:r w:rsidR="0040614E" w:rsidRPr="001E6906">
              <w:rPr>
                <w:rFonts w:ascii="Arial" w:hAnsi="Arial" w:cs="Arial"/>
                <w:sz w:val="22"/>
                <w:szCs w:val="22"/>
              </w:rPr>
              <w:t>ps+ss</w:t>
            </w:r>
            <w:proofErr w:type="spellEnd"/>
            <w:r w:rsidR="0040614E" w:rsidRPr="001E6906">
              <w:rPr>
                <w:rFonts w:ascii="Arial" w:hAnsi="Arial" w:cs="Arial"/>
                <w:sz w:val="22"/>
                <w:szCs w:val="22"/>
              </w:rPr>
              <w:t xml:space="preserve">) </w:t>
            </w:r>
            <w:r w:rsidR="00D0293F" w:rsidRPr="001E6906">
              <w:rPr>
                <w:rFonts w:ascii="Arial" w:hAnsi="Arial" w:cs="Arial"/>
                <w:sz w:val="22"/>
                <w:szCs w:val="22"/>
              </w:rPr>
              <w:t xml:space="preserve">and CWS </w:t>
            </w:r>
            <w:r w:rsidR="0040614E" w:rsidRPr="001E6906">
              <w:rPr>
                <w:rFonts w:ascii="Arial" w:hAnsi="Arial" w:cs="Arial"/>
                <w:sz w:val="22"/>
                <w:szCs w:val="22"/>
              </w:rPr>
              <w:t>estimated from PLFS (2019-20 &amp; 2022-23)</w:t>
            </w:r>
          </w:p>
        </w:tc>
      </w:tr>
      <w:tr w:rsidR="00CD3539" w:rsidRPr="001E6906" w14:paraId="7FFBFADE" w14:textId="77777777" w:rsidTr="0040614E">
        <w:tc>
          <w:tcPr>
            <w:tcW w:w="1827" w:type="dxa"/>
            <w:tcBorders>
              <w:bottom w:val="nil"/>
            </w:tcBorders>
          </w:tcPr>
          <w:p w14:paraId="34CE81F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Category of persons</w:t>
            </w:r>
          </w:p>
        </w:tc>
        <w:tc>
          <w:tcPr>
            <w:tcW w:w="2532" w:type="dxa"/>
            <w:gridSpan w:val="5"/>
          </w:tcPr>
          <w:p w14:paraId="715C8944" w14:textId="77777777" w:rsidR="00D0293F"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WPR during 2017-18</w:t>
            </w:r>
          </w:p>
          <w:p w14:paraId="060AD9D0" w14:textId="77777777" w:rsidR="00CD3539"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(1)</w:t>
            </w:r>
          </w:p>
        </w:tc>
        <w:tc>
          <w:tcPr>
            <w:tcW w:w="2517" w:type="dxa"/>
            <w:gridSpan w:val="6"/>
          </w:tcPr>
          <w:p w14:paraId="6952A773" w14:textId="77777777" w:rsidR="00D0293F"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WPR during 2018-19</w:t>
            </w:r>
            <w:r w:rsidR="00D0293F" w:rsidRPr="001E6906">
              <w:rPr>
                <w:rFonts w:ascii="Arial" w:hAnsi="Arial" w:cs="Arial"/>
                <w:sz w:val="22"/>
                <w:szCs w:val="22"/>
              </w:rPr>
              <w:t xml:space="preserve"> </w:t>
            </w:r>
          </w:p>
          <w:p w14:paraId="22EECB09" w14:textId="77777777" w:rsidR="00CD3539"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(2)</w:t>
            </w:r>
          </w:p>
        </w:tc>
        <w:tc>
          <w:tcPr>
            <w:tcW w:w="2478" w:type="dxa"/>
            <w:gridSpan w:val="4"/>
          </w:tcPr>
          <w:p w14:paraId="3DEFCD18" w14:textId="77777777" w:rsidR="00D0293F"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WPR 2019-20</w:t>
            </w:r>
            <w:r w:rsidR="00D0293F" w:rsidRPr="001E6906">
              <w:rPr>
                <w:rFonts w:ascii="Arial" w:hAnsi="Arial" w:cs="Arial"/>
                <w:sz w:val="22"/>
                <w:szCs w:val="22"/>
              </w:rPr>
              <w:t xml:space="preserve"> </w:t>
            </w:r>
          </w:p>
          <w:p w14:paraId="339BEDBB" w14:textId="77777777" w:rsidR="00CD3539"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(3)</w:t>
            </w:r>
          </w:p>
        </w:tc>
      </w:tr>
      <w:tr w:rsidR="00CD3539" w:rsidRPr="001E6906" w14:paraId="1C8922BF" w14:textId="77777777" w:rsidTr="00DC2374">
        <w:tc>
          <w:tcPr>
            <w:tcW w:w="1827" w:type="dxa"/>
          </w:tcPr>
          <w:p w14:paraId="00D411FC" w14:textId="77777777" w:rsidR="00CD3539" w:rsidRPr="001E6906" w:rsidRDefault="00CD3539" w:rsidP="006E2238">
            <w:pPr>
              <w:spacing w:line="360" w:lineRule="auto"/>
              <w:jc w:val="both"/>
              <w:rPr>
                <w:rFonts w:ascii="Arial" w:hAnsi="Arial" w:cs="Arial"/>
                <w:sz w:val="22"/>
                <w:szCs w:val="22"/>
              </w:rPr>
            </w:pPr>
          </w:p>
        </w:tc>
        <w:tc>
          <w:tcPr>
            <w:tcW w:w="1494" w:type="dxa"/>
            <w:gridSpan w:val="4"/>
          </w:tcPr>
          <w:p w14:paraId="62C2A34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38" w:type="dxa"/>
          </w:tcPr>
          <w:p w14:paraId="5FFE8D2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4" w:type="dxa"/>
            <w:gridSpan w:val="5"/>
          </w:tcPr>
          <w:p w14:paraId="4379AC2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23" w:type="dxa"/>
          </w:tcPr>
          <w:p w14:paraId="2DCDC9E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8" w:type="dxa"/>
            <w:gridSpan w:val="3"/>
            <w:tcBorders>
              <w:right w:val="single" w:sz="4" w:space="0" w:color="auto"/>
            </w:tcBorders>
          </w:tcPr>
          <w:p w14:paraId="4AC7812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980" w:type="dxa"/>
            <w:tcBorders>
              <w:left w:val="single" w:sz="4" w:space="0" w:color="auto"/>
            </w:tcBorders>
          </w:tcPr>
          <w:p w14:paraId="62B3888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CWS</w:t>
            </w:r>
          </w:p>
        </w:tc>
      </w:tr>
      <w:tr w:rsidR="00CD3539" w:rsidRPr="001E6906" w14:paraId="20B4D9DB" w14:textId="77777777" w:rsidTr="00DC2374">
        <w:tc>
          <w:tcPr>
            <w:tcW w:w="9354" w:type="dxa"/>
            <w:gridSpan w:val="16"/>
          </w:tcPr>
          <w:p w14:paraId="5406B75A" w14:textId="77777777" w:rsidR="00CD3539" w:rsidRPr="001E6906" w:rsidRDefault="005E27F4" w:rsidP="006E2238">
            <w:pPr>
              <w:spacing w:line="360" w:lineRule="auto"/>
              <w:jc w:val="center"/>
              <w:rPr>
                <w:rFonts w:ascii="Arial" w:hAnsi="Arial" w:cs="Arial"/>
                <w:sz w:val="22"/>
                <w:szCs w:val="22"/>
              </w:rPr>
            </w:pPr>
            <w:r w:rsidRPr="001E6906">
              <w:rPr>
                <w:rFonts w:ascii="Arial" w:hAnsi="Arial" w:cs="Arial"/>
                <w:sz w:val="22"/>
                <w:szCs w:val="22"/>
              </w:rPr>
              <w:t>R</w:t>
            </w:r>
            <w:r w:rsidR="00E33C2D" w:rsidRPr="001E6906">
              <w:rPr>
                <w:rFonts w:ascii="Arial" w:hAnsi="Arial" w:cs="Arial"/>
                <w:sz w:val="22"/>
                <w:szCs w:val="22"/>
              </w:rPr>
              <w:t>ural</w:t>
            </w:r>
          </w:p>
        </w:tc>
      </w:tr>
      <w:tr w:rsidR="00CD3539" w:rsidRPr="001E6906" w14:paraId="1076C726" w14:textId="77777777" w:rsidTr="00DC2374">
        <w:tc>
          <w:tcPr>
            <w:tcW w:w="1857" w:type="dxa"/>
            <w:gridSpan w:val="2"/>
          </w:tcPr>
          <w:p w14:paraId="55165816"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30" w:type="dxa"/>
            <w:gridSpan w:val="2"/>
          </w:tcPr>
          <w:p w14:paraId="553E204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51.7</w:t>
            </w:r>
          </w:p>
        </w:tc>
        <w:tc>
          <w:tcPr>
            <w:tcW w:w="1079" w:type="dxa"/>
            <w:gridSpan w:val="3"/>
          </w:tcPr>
          <w:p w14:paraId="4B6A21C8"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49.6</w:t>
            </w:r>
          </w:p>
        </w:tc>
        <w:tc>
          <w:tcPr>
            <w:tcW w:w="1479" w:type="dxa"/>
            <w:gridSpan w:val="3"/>
          </w:tcPr>
          <w:p w14:paraId="419EE08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52.1</w:t>
            </w:r>
          </w:p>
        </w:tc>
        <w:tc>
          <w:tcPr>
            <w:tcW w:w="1045" w:type="dxa"/>
            <w:gridSpan w:val="3"/>
          </w:tcPr>
          <w:p w14:paraId="07178F7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49.7</w:t>
            </w:r>
          </w:p>
        </w:tc>
        <w:tc>
          <w:tcPr>
            <w:tcW w:w="1464" w:type="dxa"/>
          </w:tcPr>
          <w:p w14:paraId="2DE71FC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53.8</w:t>
            </w:r>
          </w:p>
        </w:tc>
        <w:tc>
          <w:tcPr>
            <w:tcW w:w="1000" w:type="dxa"/>
            <w:gridSpan w:val="2"/>
          </w:tcPr>
          <w:p w14:paraId="16BA9F1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50.6</w:t>
            </w:r>
          </w:p>
        </w:tc>
      </w:tr>
      <w:tr w:rsidR="00CD3539" w:rsidRPr="001E6906" w14:paraId="5E5E3C8A" w14:textId="77777777" w:rsidTr="00DC2374">
        <w:tc>
          <w:tcPr>
            <w:tcW w:w="1857" w:type="dxa"/>
            <w:gridSpan w:val="2"/>
          </w:tcPr>
          <w:p w14:paraId="37C2A557"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30" w:type="dxa"/>
            <w:gridSpan w:val="2"/>
          </w:tcPr>
          <w:p w14:paraId="414DDEB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17.5</w:t>
            </w:r>
          </w:p>
        </w:tc>
        <w:tc>
          <w:tcPr>
            <w:tcW w:w="1079" w:type="dxa"/>
            <w:gridSpan w:val="3"/>
          </w:tcPr>
          <w:p w14:paraId="6365B95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14.8</w:t>
            </w:r>
          </w:p>
        </w:tc>
        <w:tc>
          <w:tcPr>
            <w:tcW w:w="1479" w:type="dxa"/>
            <w:gridSpan w:val="3"/>
          </w:tcPr>
          <w:p w14:paraId="50852F6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19.0</w:t>
            </w:r>
          </w:p>
        </w:tc>
        <w:tc>
          <w:tcPr>
            <w:tcW w:w="1045" w:type="dxa"/>
            <w:gridSpan w:val="3"/>
          </w:tcPr>
          <w:p w14:paraId="20785D9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15.5</w:t>
            </w:r>
          </w:p>
        </w:tc>
        <w:tc>
          <w:tcPr>
            <w:tcW w:w="1464" w:type="dxa"/>
          </w:tcPr>
          <w:p w14:paraId="44ABDF5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24.0</w:t>
            </w:r>
          </w:p>
        </w:tc>
        <w:tc>
          <w:tcPr>
            <w:tcW w:w="1000" w:type="dxa"/>
            <w:gridSpan w:val="2"/>
          </w:tcPr>
          <w:p w14:paraId="10A328B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19.9</w:t>
            </w:r>
          </w:p>
        </w:tc>
      </w:tr>
      <w:tr w:rsidR="00CD3539" w:rsidRPr="001E6906" w14:paraId="136D269B" w14:textId="77777777" w:rsidTr="00DC2374">
        <w:tc>
          <w:tcPr>
            <w:tcW w:w="1857" w:type="dxa"/>
            <w:gridSpan w:val="2"/>
          </w:tcPr>
          <w:p w14:paraId="60455339"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30" w:type="dxa"/>
            <w:gridSpan w:val="2"/>
          </w:tcPr>
          <w:p w14:paraId="5E968A6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35.0</w:t>
            </w:r>
          </w:p>
        </w:tc>
        <w:tc>
          <w:tcPr>
            <w:tcW w:w="1079" w:type="dxa"/>
            <w:gridSpan w:val="3"/>
          </w:tcPr>
          <w:p w14:paraId="50492D78"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32.6</w:t>
            </w:r>
          </w:p>
        </w:tc>
        <w:tc>
          <w:tcPr>
            <w:tcW w:w="1479" w:type="dxa"/>
            <w:gridSpan w:val="3"/>
          </w:tcPr>
          <w:p w14:paraId="2262457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35.8</w:t>
            </w:r>
          </w:p>
        </w:tc>
        <w:tc>
          <w:tcPr>
            <w:tcW w:w="1045" w:type="dxa"/>
            <w:gridSpan w:val="3"/>
          </w:tcPr>
          <w:p w14:paraId="2F0EA24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32.9</w:t>
            </w:r>
          </w:p>
        </w:tc>
        <w:tc>
          <w:tcPr>
            <w:tcW w:w="1464" w:type="dxa"/>
          </w:tcPr>
          <w:p w14:paraId="5F74F17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39.2</w:t>
            </w:r>
          </w:p>
        </w:tc>
        <w:tc>
          <w:tcPr>
            <w:tcW w:w="1000" w:type="dxa"/>
            <w:gridSpan w:val="2"/>
          </w:tcPr>
          <w:p w14:paraId="24600A0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35.5</w:t>
            </w:r>
          </w:p>
        </w:tc>
      </w:tr>
      <w:tr w:rsidR="0040614E" w:rsidRPr="001E6906" w14:paraId="7A9E9CE7" w14:textId="77777777" w:rsidTr="009A0C2F">
        <w:tc>
          <w:tcPr>
            <w:tcW w:w="8354" w:type="dxa"/>
            <w:gridSpan w:val="14"/>
          </w:tcPr>
          <w:p w14:paraId="5D6EB20B" w14:textId="77777777" w:rsidR="0040614E" w:rsidRPr="001E6906" w:rsidRDefault="0040614E" w:rsidP="005E27F4">
            <w:pPr>
              <w:spacing w:line="360" w:lineRule="auto"/>
              <w:jc w:val="center"/>
              <w:rPr>
                <w:rFonts w:ascii="Arial" w:hAnsi="Arial" w:cs="Arial"/>
                <w:sz w:val="22"/>
                <w:szCs w:val="22"/>
              </w:rPr>
            </w:pPr>
            <w:r w:rsidRPr="001E6906">
              <w:rPr>
                <w:rFonts w:ascii="Arial" w:hAnsi="Arial" w:cs="Arial"/>
                <w:sz w:val="22"/>
                <w:szCs w:val="22"/>
              </w:rPr>
              <w:t>Urban</w:t>
            </w:r>
          </w:p>
        </w:tc>
        <w:tc>
          <w:tcPr>
            <w:tcW w:w="1000" w:type="dxa"/>
            <w:gridSpan w:val="2"/>
          </w:tcPr>
          <w:p w14:paraId="7AB13080" w14:textId="77777777" w:rsidR="0040614E" w:rsidRPr="001E6906" w:rsidRDefault="0040614E" w:rsidP="006E2238">
            <w:pPr>
              <w:spacing w:line="360" w:lineRule="auto"/>
              <w:jc w:val="both"/>
              <w:rPr>
                <w:rFonts w:ascii="Arial" w:hAnsi="Arial" w:cs="Arial"/>
                <w:sz w:val="22"/>
                <w:szCs w:val="22"/>
              </w:rPr>
            </w:pPr>
          </w:p>
        </w:tc>
      </w:tr>
      <w:tr w:rsidR="00CD3539" w:rsidRPr="001E6906" w14:paraId="57B7558E" w14:textId="77777777" w:rsidTr="00DC2374">
        <w:tc>
          <w:tcPr>
            <w:tcW w:w="1885" w:type="dxa"/>
            <w:gridSpan w:val="3"/>
          </w:tcPr>
          <w:p w14:paraId="31F6343E"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02" w:type="dxa"/>
          </w:tcPr>
          <w:p w14:paraId="4D3EFEC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53.0</w:t>
            </w:r>
          </w:p>
        </w:tc>
        <w:tc>
          <w:tcPr>
            <w:tcW w:w="1118" w:type="dxa"/>
            <w:gridSpan w:val="4"/>
          </w:tcPr>
          <w:p w14:paraId="04C0BA0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51.7</w:t>
            </w:r>
          </w:p>
        </w:tc>
        <w:tc>
          <w:tcPr>
            <w:tcW w:w="1410" w:type="dxa"/>
          </w:tcPr>
          <w:p w14:paraId="70ACD4E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52.7</w:t>
            </w:r>
          </w:p>
        </w:tc>
        <w:tc>
          <w:tcPr>
            <w:tcW w:w="1075" w:type="dxa"/>
            <w:gridSpan w:val="4"/>
          </w:tcPr>
          <w:p w14:paraId="316FF37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51.7</w:t>
            </w:r>
          </w:p>
        </w:tc>
        <w:tc>
          <w:tcPr>
            <w:tcW w:w="1464" w:type="dxa"/>
          </w:tcPr>
          <w:p w14:paraId="2EDBDE6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54.1</w:t>
            </w:r>
          </w:p>
        </w:tc>
        <w:tc>
          <w:tcPr>
            <w:tcW w:w="1000" w:type="dxa"/>
            <w:gridSpan w:val="2"/>
          </w:tcPr>
          <w:p w14:paraId="43EF8B1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51.2</w:t>
            </w:r>
          </w:p>
        </w:tc>
      </w:tr>
      <w:tr w:rsidR="00CD3539" w:rsidRPr="001E6906" w14:paraId="74BC7047" w14:textId="77777777" w:rsidTr="00DC2374">
        <w:tc>
          <w:tcPr>
            <w:tcW w:w="1885" w:type="dxa"/>
            <w:gridSpan w:val="3"/>
          </w:tcPr>
          <w:p w14:paraId="2F5A19E1"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02" w:type="dxa"/>
          </w:tcPr>
          <w:p w14:paraId="2E9F98C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14.2</w:t>
            </w:r>
          </w:p>
        </w:tc>
        <w:tc>
          <w:tcPr>
            <w:tcW w:w="1118" w:type="dxa"/>
            <w:gridSpan w:val="4"/>
          </w:tcPr>
          <w:p w14:paraId="3BB5653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13.3</w:t>
            </w:r>
          </w:p>
        </w:tc>
        <w:tc>
          <w:tcPr>
            <w:tcW w:w="1410" w:type="dxa"/>
          </w:tcPr>
          <w:p w14:paraId="38F97F3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14.5</w:t>
            </w:r>
          </w:p>
        </w:tc>
        <w:tc>
          <w:tcPr>
            <w:tcW w:w="1075" w:type="dxa"/>
            <w:gridSpan w:val="4"/>
          </w:tcPr>
          <w:p w14:paraId="5691772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13.7</w:t>
            </w:r>
          </w:p>
        </w:tc>
        <w:tc>
          <w:tcPr>
            <w:tcW w:w="1464" w:type="dxa"/>
          </w:tcPr>
          <w:p w14:paraId="25960DA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16.8</w:t>
            </w:r>
          </w:p>
        </w:tc>
        <w:tc>
          <w:tcPr>
            <w:tcW w:w="1000" w:type="dxa"/>
            <w:gridSpan w:val="2"/>
          </w:tcPr>
          <w:p w14:paraId="0895C53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15.4</w:t>
            </w:r>
          </w:p>
        </w:tc>
      </w:tr>
      <w:tr w:rsidR="00CD3539" w:rsidRPr="001E6906" w14:paraId="2A57E9A8" w14:textId="77777777" w:rsidTr="00DC2374">
        <w:tc>
          <w:tcPr>
            <w:tcW w:w="1885" w:type="dxa"/>
            <w:gridSpan w:val="3"/>
          </w:tcPr>
          <w:p w14:paraId="7C2C39B1"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02" w:type="dxa"/>
          </w:tcPr>
          <w:p w14:paraId="47AE3CB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33.9</w:t>
            </w:r>
          </w:p>
        </w:tc>
        <w:tc>
          <w:tcPr>
            <w:tcW w:w="1118" w:type="dxa"/>
            <w:gridSpan w:val="4"/>
          </w:tcPr>
          <w:p w14:paraId="025B938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32.9</w:t>
            </w:r>
          </w:p>
        </w:tc>
        <w:tc>
          <w:tcPr>
            <w:tcW w:w="1410" w:type="dxa"/>
          </w:tcPr>
          <w:p w14:paraId="0E38004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34.1</w:t>
            </w:r>
          </w:p>
        </w:tc>
        <w:tc>
          <w:tcPr>
            <w:tcW w:w="1075" w:type="dxa"/>
            <w:gridSpan w:val="4"/>
          </w:tcPr>
          <w:p w14:paraId="156F9A4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33.2</w:t>
            </w:r>
          </w:p>
        </w:tc>
        <w:tc>
          <w:tcPr>
            <w:tcW w:w="1464" w:type="dxa"/>
          </w:tcPr>
          <w:p w14:paraId="757DA71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35.9</w:t>
            </w:r>
          </w:p>
        </w:tc>
        <w:tc>
          <w:tcPr>
            <w:tcW w:w="1000" w:type="dxa"/>
            <w:gridSpan w:val="2"/>
          </w:tcPr>
          <w:p w14:paraId="7081459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33.6</w:t>
            </w:r>
          </w:p>
        </w:tc>
      </w:tr>
      <w:tr w:rsidR="0040614E" w:rsidRPr="001E6906" w14:paraId="176F3866" w14:textId="77777777" w:rsidTr="004C60F4">
        <w:tc>
          <w:tcPr>
            <w:tcW w:w="9354" w:type="dxa"/>
            <w:gridSpan w:val="16"/>
          </w:tcPr>
          <w:p w14:paraId="09AB9B3D" w14:textId="77777777" w:rsidR="0040614E" w:rsidRPr="001E6906" w:rsidRDefault="0040614E" w:rsidP="006E2238">
            <w:pPr>
              <w:spacing w:line="360" w:lineRule="auto"/>
              <w:jc w:val="center"/>
              <w:rPr>
                <w:rFonts w:ascii="Arial" w:hAnsi="Arial" w:cs="Arial"/>
                <w:sz w:val="22"/>
                <w:szCs w:val="22"/>
              </w:rPr>
            </w:pPr>
            <w:proofErr w:type="spellStart"/>
            <w:r w:rsidRPr="001E6906">
              <w:rPr>
                <w:rFonts w:ascii="Arial" w:hAnsi="Arial" w:cs="Arial"/>
                <w:sz w:val="22"/>
                <w:szCs w:val="22"/>
              </w:rPr>
              <w:t>Rural+Urban</w:t>
            </w:r>
            <w:proofErr w:type="spellEnd"/>
          </w:p>
        </w:tc>
      </w:tr>
      <w:tr w:rsidR="00CD3539" w:rsidRPr="001E6906" w14:paraId="2D375706" w14:textId="77777777" w:rsidTr="00DC2374">
        <w:tc>
          <w:tcPr>
            <w:tcW w:w="1885" w:type="dxa"/>
            <w:gridSpan w:val="3"/>
          </w:tcPr>
          <w:p w14:paraId="20D34E3D"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02" w:type="dxa"/>
          </w:tcPr>
          <w:p w14:paraId="656D41F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52.1</w:t>
            </w:r>
          </w:p>
        </w:tc>
        <w:tc>
          <w:tcPr>
            <w:tcW w:w="1118" w:type="dxa"/>
            <w:gridSpan w:val="4"/>
          </w:tcPr>
          <w:p w14:paraId="2B8794D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50.2</w:t>
            </w:r>
          </w:p>
        </w:tc>
        <w:tc>
          <w:tcPr>
            <w:tcW w:w="1410" w:type="dxa"/>
          </w:tcPr>
          <w:p w14:paraId="0B65D13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52.3</w:t>
            </w:r>
          </w:p>
        </w:tc>
        <w:tc>
          <w:tcPr>
            <w:tcW w:w="1075" w:type="dxa"/>
            <w:gridSpan w:val="4"/>
          </w:tcPr>
          <w:p w14:paraId="5C185EB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50.3</w:t>
            </w:r>
          </w:p>
        </w:tc>
        <w:tc>
          <w:tcPr>
            <w:tcW w:w="1464" w:type="dxa"/>
          </w:tcPr>
          <w:p w14:paraId="2DF722C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53.9</w:t>
            </w:r>
          </w:p>
        </w:tc>
        <w:tc>
          <w:tcPr>
            <w:tcW w:w="1000" w:type="dxa"/>
            <w:gridSpan w:val="2"/>
          </w:tcPr>
          <w:p w14:paraId="7CFDBC8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50.8</w:t>
            </w:r>
          </w:p>
        </w:tc>
      </w:tr>
      <w:tr w:rsidR="00CD3539" w:rsidRPr="001E6906" w14:paraId="6B9F286C" w14:textId="77777777" w:rsidTr="00DC2374">
        <w:tc>
          <w:tcPr>
            <w:tcW w:w="1885" w:type="dxa"/>
            <w:gridSpan w:val="3"/>
          </w:tcPr>
          <w:p w14:paraId="3F1246F0"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02" w:type="dxa"/>
          </w:tcPr>
          <w:p w14:paraId="3B38432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16.5</w:t>
            </w:r>
          </w:p>
        </w:tc>
        <w:tc>
          <w:tcPr>
            <w:tcW w:w="1118" w:type="dxa"/>
            <w:gridSpan w:val="4"/>
          </w:tcPr>
          <w:p w14:paraId="7874DA1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14.4</w:t>
            </w:r>
          </w:p>
        </w:tc>
        <w:tc>
          <w:tcPr>
            <w:tcW w:w="1410" w:type="dxa"/>
          </w:tcPr>
          <w:p w14:paraId="35DFF45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17.6</w:t>
            </w:r>
          </w:p>
        </w:tc>
        <w:tc>
          <w:tcPr>
            <w:tcW w:w="1075" w:type="dxa"/>
            <w:gridSpan w:val="4"/>
          </w:tcPr>
          <w:p w14:paraId="6BAE29E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15.0</w:t>
            </w:r>
          </w:p>
        </w:tc>
        <w:tc>
          <w:tcPr>
            <w:tcW w:w="1464" w:type="dxa"/>
          </w:tcPr>
          <w:p w14:paraId="1389D9B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21.8</w:t>
            </w:r>
          </w:p>
        </w:tc>
        <w:tc>
          <w:tcPr>
            <w:tcW w:w="1000" w:type="dxa"/>
            <w:gridSpan w:val="2"/>
          </w:tcPr>
          <w:p w14:paraId="2A71D25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18.6</w:t>
            </w:r>
          </w:p>
        </w:tc>
      </w:tr>
      <w:tr w:rsidR="00CD3539" w:rsidRPr="001E6906" w14:paraId="20E524D2" w14:textId="77777777" w:rsidTr="00DC2374">
        <w:tc>
          <w:tcPr>
            <w:tcW w:w="1885" w:type="dxa"/>
            <w:gridSpan w:val="3"/>
          </w:tcPr>
          <w:p w14:paraId="53DEA8C0"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02" w:type="dxa"/>
          </w:tcPr>
          <w:p w14:paraId="1FFCAEC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34.7</w:t>
            </w:r>
          </w:p>
        </w:tc>
        <w:tc>
          <w:tcPr>
            <w:tcW w:w="1118" w:type="dxa"/>
            <w:gridSpan w:val="4"/>
          </w:tcPr>
          <w:p w14:paraId="3BCA111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32.7</w:t>
            </w:r>
          </w:p>
        </w:tc>
        <w:tc>
          <w:tcPr>
            <w:tcW w:w="1410" w:type="dxa"/>
          </w:tcPr>
          <w:p w14:paraId="51FF52E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35.3</w:t>
            </w:r>
          </w:p>
        </w:tc>
        <w:tc>
          <w:tcPr>
            <w:tcW w:w="1075" w:type="dxa"/>
            <w:gridSpan w:val="4"/>
          </w:tcPr>
          <w:p w14:paraId="4B1D8D0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33.0</w:t>
            </w:r>
          </w:p>
        </w:tc>
        <w:tc>
          <w:tcPr>
            <w:tcW w:w="1464" w:type="dxa"/>
          </w:tcPr>
          <w:p w14:paraId="47B7A56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38.2</w:t>
            </w:r>
          </w:p>
        </w:tc>
        <w:tc>
          <w:tcPr>
            <w:tcW w:w="1000" w:type="dxa"/>
            <w:gridSpan w:val="2"/>
          </w:tcPr>
          <w:p w14:paraId="6B5116D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35.0</w:t>
            </w:r>
          </w:p>
        </w:tc>
      </w:tr>
    </w:tbl>
    <w:p w14:paraId="11C25E7D" w14:textId="77777777" w:rsidR="00CD3539" w:rsidRPr="001E6906" w:rsidRDefault="00CD3539" w:rsidP="006E2238">
      <w:pPr>
        <w:spacing w:line="360" w:lineRule="auto"/>
        <w:jc w:val="both"/>
        <w:rPr>
          <w:rFonts w:ascii="Arial" w:hAnsi="Arial" w:cs="Arial"/>
          <w:b/>
          <w:bCs/>
          <w:sz w:val="22"/>
          <w:szCs w:val="22"/>
        </w:rPr>
      </w:pPr>
    </w:p>
    <w:tbl>
      <w:tblPr>
        <w:tblStyle w:val="TableGrid"/>
        <w:tblW w:w="9354" w:type="dxa"/>
        <w:tblLayout w:type="fixed"/>
        <w:tblLook w:val="04A0" w:firstRow="1" w:lastRow="0" w:firstColumn="1" w:lastColumn="0" w:noHBand="0" w:noVBand="1"/>
      </w:tblPr>
      <w:tblGrid>
        <w:gridCol w:w="1885"/>
        <w:gridCol w:w="1440"/>
        <w:gridCol w:w="1034"/>
        <w:gridCol w:w="7"/>
        <w:gridCol w:w="39"/>
        <w:gridCol w:w="1410"/>
        <w:gridCol w:w="30"/>
        <w:gridCol w:w="8"/>
        <w:gridCol w:w="1023"/>
        <w:gridCol w:w="14"/>
        <w:gridCol w:w="1464"/>
        <w:gridCol w:w="20"/>
        <w:gridCol w:w="980"/>
      </w:tblGrid>
      <w:tr w:rsidR="0040614E" w:rsidRPr="001E6906" w14:paraId="6E3A9800" w14:textId="77777777" w:rsidTr="00DC2374">
        <w:tc>
          <w:tcPr>
            <w:tcW w:w="1885" w:type="dxa"/>
            <w:vMerge w:val="restart"/>
          </w:tcPr>
          <w:p w14:paraId="68AF9ED9"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Category of persons</w:t>
            </w:r>
          </w:p>
        </w:tc>
        <w:tc>
          <w:tcPr>
            <w:tcW w:w="2474" w:type="dxa"/>
            <w:gridSpan w:val="2"/>
          </w:tcPr>
          <w:p w14:paraId="346DE8F0"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WPR during 2020-21</w:t>
            </w:r>
          </w:p>
          <w:p w14:paraId="778E0D8F"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(4)</w:t>
            </w:r>
          </w:p>
        </w:tc>
        <w:tc>
          <w:tcPr>
            <w:tcW w:w="2517" w:type="dxa"/>
            <w:gridSpan w:val="6"/>
          </w:tcPr>
          <w:p w14:paraId="1FAB2701"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WPR during 2021-22</w:t>
            </w:r>
          </w:p>
          <w:p w14:paraId="0404152D"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(5)</w:t>
            </w:r>
          </w:p>
        </w:tc>
        <w:tc>
          <w:tcPr>
            <w:tcW w:w="2478" w:type="dxa"/>
            <w:gridSpan w:val="4"/>
          </w:tcPr>
          <w:p w14:paraId="2BAD2196"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WPR 2022-23</w:t>
            </w:r>
          </w:p>
          <w:p w14:paraId="2BEE40D9"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(6)</w:t>
            </w:r>
          </w:p>
        </w:tc>
      </w:tr>
      <w:tr w:rsidR="0040614E" w:rsidRPr="001E6906" w14:paraId="3AAADAF3" w14:textId="77777777" w:rsidTr="00DC2374">
        <w:tc>
          <w:tcPr>
            <w:tcW w:w="1885" w:type="dxa"/>
            <w:vMerge/>
          </w:tcPr>
          <w:p w14:paraId="58E629AA" w14:textId="77777777" w:rsidR="0040614E" w:rsidRPr="001E6906" w:rsidRDefault="0040614E" w:rsidP="006E2238">
            <w:pPr>
              <w:spacing w:line="360" w:lineRule="auto"/>
              <w:jc w:val="center"/>
              <w:rPr>
                <w:rFonts w:ascii="Arial" w:hAnsi="Arial" w:cs="Arial"/>
                <w:sz w:val="22"/>
                <w:szCs w:val="22"/>
              </w:rPr>
            </w:pPr>
          </w:p>
        </w:tc>
        <w:tc>
          <w:tcPr>
            <w:tcW w:w="1440" w:type="dxa"/>
          </w:tcPr>
          <w:p w14:paraId="10D94DBB"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34" w:type="dxa"/>
          </w:tcPr>
          <w:p w14:paraId="7B87B2C8"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4" w:type="dxa"/>
            <w:gridSpan w:val="5"/>
          </w:tcPr>
          <w:p w14:paraId="1FE2972C"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1023" w:type="dxa"/>
          </w:tcPr>
          <w:p w14:paraId="52CE37D8"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c>
          <w:tcPr>
            <w:tcW w:w="1498" w:type="dxa"/>
            <w:gridSpan w:val="3"/>
            <w:tcBorders>
              <w:right w:val="single" w:sz="4" w:space="0" w:color="auto"/>
            </w:tcBorders>
          </w:tcPr>
          <w:p w14:paraId="4C413089"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Usual status(</w:t>
            </w:r>
            <w:proofErr w:type="spellStart"/>
            <w:r w:rsidRPr="001E6906">
              <w:rPr>
                <w:rFonts w:ascii="Arial" w:hAnsi="Arial" w:cs="Arial"/>
                <w:sz w:val="22"/>
                <w:szCs w:val="22"/>
              </w:rPr>
              <w:t>ps+ss</w:t>
            </w:r>
            <w:proofErr w:type="spellEnd"/>
            <w:r w:rsidRPr="001E6906">
              <w:rPr>
                <w:rFonts w:ascii="Arial" w:hAnsi="Arial" w:cs="Arial"/>
                <w:sz w:val="22"/>
                <w:szCs w:val="22"/>
              </w:rPr>
              <w:t>)</w:t>
            </w:r>
          </w:p>
        </w:tc>
        <w:tc>
          <w:tcPr>
            <w:tcW w:w="980" w:type="dxa"/>
            <w:tcBorders>
              <w:left w:val="single" w:sz="4" w:space="0" w:color="auto"/>
            </w:tcBorders>
          </w:tcPr>
          <w:p w14:paraId="7BEFD427"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CWS</w:t>
            </w:r>
          </w:p>
        </w:tc>
      </w:tr>
      <w:tr w:rsidR="00CD3539" w:rsidRPr="001E6906" w14:paraId="2154DA8B" w14:textId="77777777" w:rsidTr="00DC2374">
        <w:tc>
          <w:tcPr>
            <w:tcW w:w="9354" w:type="dxa"/>
            <w:gridSpan w:val="13"/>
          </w:tcPr>
          <w:p w14:paraId="479E5CA4" w14:textId="77777777" w:rsidR="00CD3539"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R</w:t>
            </w:r>
            <w:r w:rsidR="00CD3539" w:rsidRPr="001E6906">
              <w:rPr>
                <w:rFonts w:ascii="Arial" w:hAnsi="Arial" w:cs="Arial"/>
                <w:sz w:val="22"/>
                <w:szCs w:val="22"/>
              </w:rPr>
              <w:t>ural</w:t>
            </w:r>
          </w:p>
        </w:tc>
      </w:tr>
      <w:tr w:rsidR="00CD3539" w:rsidRPr="001E6906" w14:paraId="747E3FAF" w14:textId="77777777" w:rsidTr="00DC2374">
        <w:tc>
          <w:tcPr>
            <w:tcW w:w="1885" w:type="dxa"/>
          </w:tcPr>
          <w:p w14:paraId="4F50CD9A"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40" w:type="dxa"/>
          </w:tcPr>
          <w:p w14:paraId="69EC753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54.9</w:t>
            </w:r>
          </w:p>
        </w:tc>
        <w:tc>
          <w:tcPr>
            <w:tcW w:w="1041" w:type="dxa"/>
            <w:gridSpan w:val="2"/>
          </w:tcPr>
          <w:p w14:paraId="2F5AC5B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52.0</w:t>
            </w:r>
          </w:p>
        </w:tc>
        <w:tc>
          <w:tcPr>
            <w:tcW w:w="1479" w:type="dxa"/>
            <w:gridSpan w:val="3"/>
          </w:tcPr>
          <w:p w14:paraId="48607A9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54.7</w:t>
            </w:r>
          </w:p>
        </w:tc>
        <w:tc>
          <w:tcPr>
            <w:tcW w:w="1045" w:type="dxa"/>
            <w:gridSpan w:val="3"/>
          </w:tcPr>
          <w:p w14:paraId="384BBCA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52.1</w:t>
            </w:r>
          </w:p>
        </w:tc>
        <w:tc>
          <w:tcPr>
            <w:tcW w:w="1464" w:type="dxa"/>
          </w:tcPr>
          <w:p w14:paraId="4C91760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54.0</w:t>
            </w:r>
          </w:p>
        </w:tc>
        <w:tc>
          <w:tcPr>
            <w:tcW w:w="1000" w:type="dxa"/>
            <w:gridSpan w:val="2"/>
          </w:tcPr>
          <w:p w14:paraId="03692A0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52.0</w:t>
            </w:r>
          </w:p>
        </w:tc>
      </w:tr>
      <w:tr w:rsidR="00CD3539" w:rsidRPr="001E6906" w14:paraId="1F76C557" w14:textId="77777777" w:rsidTr="00DC2374">
        <w:tc>
          <w:tcPr>
            <w:tcW w:w="1885" w:type="dxa"/>
          </w:tcPr>
          <w:p w14:paraId="2A5E010E"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40" w:type="dxa"/>
          </w:tcPr>
          <w:p w14:paraId="735B3FE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27.1</w:t>
            </w:r>
          </w:p>
        </w:tc>
        <w:tc>
          <w:tcPr>
            <w:tcW w:w="1041" w:type="dxa"/>
            <w:gridSpan w:val="2"/>
          </w:tcPr>
          <w:p w14:paraId="0EAEE47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21.6</w:t>
            </w:r>
          </w:p>
        </w:tc>
        <w:tc>
          <w:tcPr>
            <w:tcW w:w="1479" w:type="dxa"/>
            <w:gridSpan w:val="3"/>
          </w:tcPr>
          <w:p w14:paraId="667EC25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26.6</w:t>
            </w:r>
          </w:p>
        </w:tc>
        <w:tc>
          <w:tcPr>
            <w:tcW w:w="1045" w:type="dxa"/>
            <w:gridSpan w:val="3"/>
          </w:tcPr>
          <w:p w14:paraId="27F2E7D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20.7</w:t>
            </w:r>
          </w:p>
        </w:tc>
        <w:tc>
          <w:tcPr>
            <w:tcW w:w="1464" w:type="dxa"/>
          </w:tcPr>
          <w:p w14:paraId="2CB4E13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30.0</w:t>
            </w:r>
          </w:p>
        </w:tc>
        <w:tc>
          <w:tcPr>
            <w:tcW w:w="1000" w:type="dxa"/>
            <w:gridSpan w:val="2"/>
          </w:tcPr>
          <w:p w14:paraId="3231117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24.4</w:t>
            </w:r>
          </w:p>
        </w:tc>
      </w:tr>
      <w:tr w:rsidR="00CD3539" w:rsidRPr="001E6906" w14:paraId="04721BD3" w14:textId="77777777" w:rsidTr="00DC2374">
        <w:tc>
          <w:tcPr>
            <w:tcW w:w="1885" w:type="dxa"/>
          </w:tcPr>
          <w:p w14:paraId="2A7D514E"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40" w:type="dxa"/>
          </w:tcPr>
          <w:p w14:paraId="24A4E7B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41.3</w:t>
            </w:r>
          </w:p>
        </w:tc>
        <w:tc>
          <w:tcPr>
            <w:tcW w:w="1041" w:type="dxa"/>
            <w:gridSpan w:val="2"/>
          </w:tcPr>
          <w:p w14:paraId="655B25A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37.1</w:t>
            </w:r>
          </w:p>
        </w:tc>
        <w:tc>
          <w:tcPr>
            <w:tcW w:w="1479" w:type="dxa"/>
            <w:gridSpan w:val="3"/>
          </w:tcPr>
          <w:p w14:paraId="74C0A2B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40.8</w:t>
            </w:r>
          </w:p>
        </w:tc>
        <w:tc>
          <w:tcPr>
            <w:tcW w:w="1045" w:type="dxa"/>
            <w:gridSpan w:val="3"/>
          </w:tcPr>
          <w:p w14:paraId="1D2FADB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36.6</w:t>
            </w:r>
          </w:p>
        </w:tc>
        <w:tc>
          <w:tcPr>
            <w:tcW w:w="1464" w:type="dxa"/>
          </w:tcPr>
          <w:p w14:paraId="4927E76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42.3</w:t>
            </w:r>
          </w:p>
        </w:tc>
        <w:tc>
          <w:tcPr>
            <w:tcW w:w="1000" w:type="dxa"/>
            <w:gridSpan w:val="2"/>
          </w:tcPr>
          <w:p w14:paraId="1AE5FEF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38.6</w:t>
            </w:r>
          </w:p>
        </w:tc>
      </w:tr>
      <w:tr w:rsidR="0040614E" w:rsidRPr="001E6906" w14:paraId="303E33B7" w14:textId="77777777" w:rsidTr="00C767A3">
        <w:tc>
          <w:tcPr>
            <w:tcW w:w="8354" w:type="dxa"/>
            <w:gridSpan w:val="11"/>
          </w:tcPr>
          <w:p w14:paraId="28A230F1"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Urban</w:t>
            </w:r>
          </w:p>
        </w:tc>
        <w:tc>
          <w:tcPr>
            <w:tcW w:w="1000" w:type="dxa"/>
            <w:gridSpan w:val="2"/>
          </w:tcPr>
          <w:p w14:paraId="713C455F" w14:textId="77777777" w:rsidR="0040614E" w:rsidRPr="001E6906" w:rsidRDefault="0040614E" w:rsidP="006E2238">
            <w:pPr>
              <w:spacing w:line="360" w:lineRule="auto"/>
              <w:jc w:val="both"/>
              <w:rPr>
                <w:rFonts w:ascii="Arial" w:hAnsi="Arial" w:cs="Arial"/>
                <w:sz w:val="22"/>
                <w:szCs w:val="22"/>
              </w:rPr>
            </w:pPr>
          </w:p>
        </w:tc>
      </w:tr>
      <w:tr w:rsidR="00CD3539" w:rsidRPr="001E6906" w14:paraId="7E7F90AA" w14:textId="77777777" w:rsidTr="00DC2374">
        <w:tc>
          <w:tcPr>
            <w:tcW w:w="1885" w:type="dxa"/>
          </w:tcPr>
          <w:p w14:paraId="5D52C407"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40" w:type="dxa"/>
          </w:tcPr>
          <w:p w14:paraId="4B37247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54.9</w:t>
            </w:r>
          </w:p>
        </w:tc>
        <w:tc>
          <w:tcPr>
            <w:tcW w:w="1080" w:type="dxa"/>
            <w:gridSpan w:val="3"/>
          </w:tcPr>
          <w:p w14:paraId="1D8001D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52.4</w:t>
            </w:r>
          </w:p>
        </w:tc>
        <w:tc>
          <w:tcPr>
            <w:tcW w:w="1410" w:type="dxa"/>
          </w:tcPr>
          <w:p w14:paraId="52D2750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55.0</w:t>
            </w:r>
          </w:p>
        </w:tc>
        <w:tc>
          <w:tcPr>
            <w:tcW w:w="1075" w:type="dxa"/>
            <w:gridSpan w:val="4"/>
          </w:tcPr>
          <w:p w14:paraId="6EE19AE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53.4</w:t>
            </w:r>
          </w:p>
        </w:tc>
        <w:tc>
          <w:tcPr>
            <w:tcW w:w="1464" w:type="dxa"/>
          </w:tcPr>
          <w:p w14:paraId="5FFFD98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55.6</w:t>
            </w:r>
          </w:p>
        </w:tc>
        <w:tc>
          <w:tcPr>
            <w:tcW w:w="1000" w:type="dxa"/>
            <w:gridSpan w:val="2"/>
          </w:tcPr>
          <w:p w14:paraId="7548A21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54.2</w:t>
            </w:r>
          </w:p>
        </w:tc>
      </w:tr>
      <w:tr w:rsidR="00CD3539" w:rsidRPr="001E6906" w14:paraId="18C08BA6" w14:textId="77777777" w:rsidTr="00DC2374">
        <w:tc>
          <w:tcPr>
            <w:tcW w:w="1885" w:type="dxa"/>
          </w:tcPr>
          <w:p w14:paraId="7EDDC60F"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40" w:type="dxa"/>
          </w:tcPr>
          <w:p w14:paraId="1D043AD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17.0</w:t>
            </w:r>
          </w:p>
        </w:tc>
        <w:tc>
          <w:tcPr>
            <w:tcW w:w="1080" w:type="dxa"/>
            <w:gridSpan w:val="3"/>
          </w:tcPr>
          <w:p w14:paraId="46521AA7"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15.2</w:t>
            </w:r>
          </w:p>
        </w:tc>
        <w:tc>
          <w:tcPr>
            <w:tcW w:w="1410" w:type="dxa"/>
          </w:tcPr>
          <w:p w14:paraId="56D55C9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17.3</w:t>
            </w:r>
          </w:p>
        </w:tc>
        <w:tc>
          <w:tcPr>
            <w:tcW w:w="1075" w:type="dxa"/>
            <w:gridSpan w:val="4"/>
          </w:tcPr>
          <w:p w14:paraId="524F257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15.7</w:t>
            </w:r>
          </w:p>
        </w:tc>
        <w:tc>
          <w:tcPr>
            <w:tcW w:w="1464" w:type="dxa"/>
          </w:tcPr>
          <w:p w14:paraId="415C262F"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18.7</w:t>
            </w:r>
          </w:p>
        </w:tc>
        <w:tc>
          <w:tcPr>
            <w:tcW w:w="1000" w:type="dxa"/>
            <w:gridSpan w:val="2"/>
          </w:tcPr>
          <w:p w14:paraId="0731B384"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17.4</w:t>
            </w:r>
          </w:p>
        </w:tc>
      </w:tr>
      <w:tr w:rsidR="00CD3539" w:rsidRPr="001E6906" w14:paraId="4C0A04BD" w14:textId="77777777" w:rsidTr="00DC2374">
        <w:tc>
          <w:tcPr>
            <w:tcW w:w="1885" w:type="dxa"/>
          </w:tcPr>
          <w:p w14:paraId="2DBA17BA"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40" w:type="dxa"/>
          </w:tcPr>
          <w:p w14:paraId="572D0BC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36.3</w:t>
            </w:r>
          </w:p>
        </w:tc>
        <w:tc>
          <w:tcPr>
            <w:tcW w:w="1080" w:type="dxa"/>
            <w:gridSpan w:val="3"/>
          </w:tcPr>
          <w:p w14:paraId="762A40B0"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34.1</w:t>
            </w:r>
          </w:p>
        </w:tc>
        <w:tc>
          <w:tcPr>
            <w:tcW w:w="1410" w:type="dxa"/>
          </w:tcPr>
          <w:p w14:paraId="4E0086E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36.6</w:t>
            </w:r>
          </w:p>
        </w:tc>
        <w:tc>
          <w:tcPr>
            <w:tcW w:w="1075" w:type="dxa"/>
            <w:gridSpan w:val="4"/>
          </w:tcPr>
          <w:p w14:paraId="0543A25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35.0</w:t>
            </w:r>
          </w:p>
        </w:tc>
        <w:tc>
          <w:tcPr>
            <w:tcW w:w="1464" w:type="dxa"/>
          </w:tcPr>
          <w:p w14:paraId="0EB777FD"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37.7</w:t>
            </w:r>
          </w:p>
        </w:tc>
        <w:tc>
          <w:tcPr>
            <w:tcW w:w="1000" w:type="dxa"/>
            <w:gridSpan w:val="2"/>
          </w:tcPr>
          <w:p w14:paraId="2F82E7F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36.3</w:t>
            </w:r>
          </w:p>
        </w:tc>
      </w:tr>
      <w:tr w:rsidR="0040614E" w:rsidRPr="001E6906" w14:paraId="2862F7B6" w14:textId="77777777" w:rsidTr="004A185F">
        <w:tc>
          <w:tcPr>
            <w:tcW w:w="9354" w:type="dxa"/>
            <w:gridSpan w:val="13"/>
          </w:tcPr>
          <w:p w14:paraId="376492DD" w14:textId="77777777" w:rsidR="0040614E" w:rsidRPr="001E6906" w:rsidRDefault="0040614E" w:rsidP="006E2238">
            <w:pPr>
              <w:spacing w:line="360" w:lineRule="auto"/>
              <w:jc w:val="center"/>
              <w:rPr>
                <w:rFonts w:ascii="Arial" w:hAnsi="Arial" w:cs="Arial"/>
                <w:sz w:val="22"/>
                <w:szCs w:val="22"/>
              </w:rPr>
            </w:pPr>
            <w:r w:rsidRPr="001E6906">
              <w:rPr>
                <w:rFonts w:ascii="Arial" w:hAnsi="Arial" w:cs="Arial"/>
                <w:sz w:val="22"/>
                <w:szCs w:val="22"/>
              </w:rPr>
              <w:t>Rural+ Urban</w:t>
            </w:r>
          </w:p>
        </w:tc>
      </w:tr>
      <w:tr w:rsidR="00CD3539" w:rsidRPr="001E6906" w14:paraId="4AB67C39" w14:textId="77777777" w:rsidTr="00DC2374">
        <w:tc>
          <w:tcPr>
            <w:tcW w:w="1885" w:type="dxa"/>
          </w:tcPr>
          <w:p w14:paraId="77C5C945"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Male</w:t>
            </w:r>
          </w:p>
        </w:tc>
        <w:tc>
          <w:tcPr>
            <w:tcW w:w="1440" w:type="dxa"/>
          </w:tcPr>
          <w:p w14:paraId="79C7593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54.9</w:t>
            </w:r>
          </w:p>
        </w:tc>
        <w:tc>
          <w:tcPr>
            <w:tcW w:w="1080" w:type="dxa"/>
            <w:gridSpan w:val="3"/>
          </w:tcPr>
          <w:p w14:paraId="6FB5BA0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52.1</w:t>
            </w:r>
          </w:p>
        </w:tc>
        <w:tc>
          <w:tcPr>
            <w:tcW w:w="1410" w:type="dxa"/>
          </w:tcPr>
          <w:p w14:paraId="29AEFA9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54.8</w:t>
            </w:r>
          </w:p>
        </w:tc>
        <w:tc>
          <w:tcPr>
            <w:tcW w:w="1075" w:type="dxa"/>
            <w:gridSpan w:val="4"/>
          </w:tcPr>
          <w:p w14:paraId="38D0F89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52.4</w:t>
            </w:r>
          </w:p>
        </w:tc>
        <w:tc>
          <w:tcPr>
            <w:tcW w:w="1464" w:type="dxa"/>
          </w:tcPr>
          <w:p w14:paraId="43DD31AA"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54.4</w:t>
            </w:r>
          </w:p>
        </w:tc>
        <w:tc>
          <w:tcPr>
            <w:tcW w:w="1000" w:type="dxa"/>
            <w:gridSpan w:val="2"/>
          </w:tcPr>
          <w:p w14:paraId="17C70FD1"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52.6</w:t>
            </w:r>
          </w:p>
        </w:tc>
      </w:tr>
      <w:tr w:rsidR="00CD3539" w:rsidRPr="001E6906" w14:paraId="0FB42CE5" w14:textId="77777777" w:rsidTr="00DC2374">
        <w:tc>
          <w:tcPr>
            <w:tcW w:w="1885" w:type="dxa"/>
          </w:tcPr>
          <w:p w14:paraId="55C8727E"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Female</w:t>
            </w:r>
          </w:p>
        </w:tc>
        <w:tc>
          <w:tcPr>
            <w:tcW w:w="1440" w:type="dxa"/>
          </w:tcPr>
          <w:p w14:paraId="05DD392C"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24.2</w:t>
            </w:r>
          </w:p>
        </w:tc>
        <w:tc>
          <w:tcPr>
            <w:tcW w:w="1080" w:type="dxa"/>
            <w:gridSpan w:val="3"/>
          </w:tcPr>
          <w:p w14:paraId="12E707F5"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19.8</w:t>
            </w:r>
          </w:p>
        </w:tc>
        <w:tc>
          <w:tcPr>
            <w:tcW w:w="1410" w:type="dxa"/>
          </w:tcPr>
          <w:p w14:paraId="4428F39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24.0</w:t>
            </w:r>
          </w:p>
        </w:tc>
        <w:tc>
          <w:tcPr>
            <w:tcW w:w="1075" w:type="dxa"/>
            <w:gridSpan w:val="4"/>
          </w:tcPr>
          <w:p w14:paraId="7216649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19.3</w:t>
            </w:r>
          </w:p>
        </w:tc>
        <w:tc>
          <w:tcPr>
            <w:tcW w:w="1464" w:type="dxa"/>
          </w:tcPr>
          <w:p w14:paraId="601DC22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27.0</w:t>
            </w:r>
          </w:p>
        </w:tc>
        <w:tc>
          <w:tcPr>
            <w:tcW w:w="1000" w:type="dxa"/>
            <w:gridSpan w:val="2"/>
          </w:tcPr>
          <w:p w14:paraId="70AF49EE"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22.5</w:t>
            </w:r>
          </w:p>
        </w:tc>
      </w:tr>
      <w:tr w:rsidR="00CD3539" w:rsidRPr="001E6906" w14:paraId="7940F7D1" w14:textId="77777777" w:rsidTr="00DC2374">
        <w:tc>
          <w:tcPr>
            <w:tcW w:w="1885" w:type="dxa"/>
          </w:tcPr>
          <w:p w14:paraId="0E2B0338" w14:textId="77777777" w:rsidR="00CD3539" w:rsidRPr="001E6906" w:rsidRDefault="00CD3539" w:rsidP="006E2238">
            <w:pPr>
              <w:spacing w:line="360" w:lineRule="auto"/>
              <w:jc w:val="both"/>
              <w:rPr>
                <w:rFonts w:ascii="Arial" w:hAnsi="Arial" w:cs="Arial"/>
                <w:sz w:val="22"/>
                <w:szCs w:val="22"/>
              </w:rPr>
            </w:pPr>
            <w:r w:rsidRPr="001E6906">
              <w:rPr>
                <w:rFonts w:ascii="Arial" w:hAnsi="Arial" w:cs="Arial"/>
                <w:sz w:val="22"/>
                <w:szCs w:val="22"/>
              </w:rPr>
              <w:t>person</w:t>
            </w:r>
          </w:p>
        </w:tc>
        <w:tc>
          <w:tcPr>
            <w:tcW w:w="1440" w:type="dxa"/>
          </w:tcPr>
          <w:p w14:paraId="23272D6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39.8</w:t>
            </w:r>
          </w:p>
        </w:tc>
        <w:tc>
          <w:tcPr>
            <w:tcW w:w="1080" w:type="dxa"/>
            <w:gridSpan w:val="3"/>
          </w:tcPr>
          <w:p w14:paraId="3105626B"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36.3</w:t>
            </w:r>
          </w:p>
        </w:tc>
        <w:tc>
          <w:tcPr>
            <w:tcW w:w="1410" w:type="dxa"/>
          </w:tcPr>
          <w:p w14:paraId="369D7DD6"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39.6</w:t>
            </w:r>
          </w:p>
        </w:tc>
        <w:tc>
          <w:tcPr>
            <w:tcW w:w="1075" w:type="dxa"/>
            <w:gridSpan w:val="4"/>
          </w:tcPr>
          <w:p w14:paraId="52F141D9"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36.1</w:t>
            </w:r>
          </w:p>
        </w:tc>
        <w:tc>
          <w:tcPr>
            <w:tcW w:w="1464" w:type="dxa"/>
          </w:tcPr>
          <w:p w14:paraId="0C780A23"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41.1</w:t>
            </w:r>
          </w:p>
        </w:tc>
        <w:tc>
          <w:tcPr>
            <w:tcW w:w="1000" w:type="dxa"/>
            <w:gridSpan w:val="2"/>
          </w:tcPr>
          <w:p w14:paraId="74298E32" w14:textId="77777777" w:rsidR="00CD3539" w:rsidRPr="001E6906" w:rsidRDefault="00CD3539" w:rsidP="006E2238">
            <w:pPr>
              <w:spacing w:line="360" w:lineRule="auto"/>
              <w:jc w:val="center"/>
              <w:rPr>
                <w:rFonts w:ascii="Arial" w:hAnsi="Arial" w:cs="Arial"/>
                <w:sz w:val="22"/>
                <w:szCs w:val="22"/>
              </w:rPr>
            </w:pPr>
            <w:r w:rsidRPr="001E6906">
              <w:rPr>
                <w:rFonts w:ascii="Arial" w:hAnsi="Arial" w:cs="Arial"/>
                <w:sz w:val="22"/>
                <w:szCs w:val="22"/>
              </w:rPr>
              <w:t>38.0</w:t>
            </w:r>
          </w:p>
        </w:tc>
      </w:tr>
      <w:tr w:rsidR="0040614E" w:rsidRPr="001E6906" w14:paraId="7F4D5868" w14:textId="77777777" w:rsidTr="00DC2374">
        <w:tc>
          <w:tcPr>
            <w:tcW w:w="9354" w:type="dxa"/>
            <w:gridSpan w:val="13"/>
          </w:tcPr>
          <w:p w14:paraId="4C6FFD18" w14:textId="77777777" w:rsidR="0040614E" w:rsidRPr="001E6906" w:rsidRDefault="0040614E" w:rsidP="006E2238">
            <w:pPr>
              <w:spacing w:line="360" w:lineRule="auto"/>
              <w:jc w:val="both"/>
              <w:rPr>
                <w:rFonts w:ascii="Arial" w:hAnsi="Arial" w:cs="Arial"/>
                <w:i/>
                <w:iCs/>
                <w:sz w:val="22"/>
                <w:szCs w:val="22"/>
              </w:rPr>
            </w:pPr>
            <w:r w:rsidRPr="001E6906">
              <w:rPr>
                <w:rFonts w:ascii="Arial" w:hAnsi="Arial" w:cs="Arial"/>
                <w:i/>
                <w:iCs/>
                <w:sz w:val="22"/>
                <w:szCs w:val="22"/>
              </w:rPr>
              <w:t>Source: Annual Report PLFS 2019-20 &amp; 2022-23</w:t>
            </w:r>
          </w:p>
        </w:tc>
      </w:tr>
    </w:tbl>
    <w:p w14:paraId="5545940D" w14:textId="77777777" w:rsidR="00CD3539" w:rsidRPr="001E6906" w:rsidRDefault="00CD3539" w:rsidP="006E2238">
      <w:pPr>
        <w:spacing w:line="360" w:lineRule="auto"/>
        <w:jc w:val="both"/>
        <w:rPr>
          <w:rFonts w:ascii="Arial" w:hAnsi="Arial" w:cs="Arial"/>
          <w:sz w:val="22"/>
          <w:szCs w:val="22"/>
        </w:rPr>
      </w:pPr>
    </w:p>
    <w:p w14:paraId="694DA3BE" w14:textId="77777777" w:rsidR="00D74559" w:rsidRPr="001E6906" w:rsidRDefault="00F714AE" w:rsidP="006E2238">
      <w:pPr>
        <w:spacing w:line="360" w:lineRule="auto"/>
        <w:jc w:val="both"/>
        <w:rPr>
          <w:rFonts w:ascii="Arial" w:hAnsi="Arial" w:cs="Arial"/>
          <w:sz w:val="22"/>
          <w:szCs w:val="22"/>
        </w:rPr>
      </w:pPr>
      <w:r w:rsidRPr="001E6906">
        <w:rPr>
          <w:rFonts w:ascii="Arial" w:hAnsi="Arial" w:cs="Arial"/>
          <w:noProof/>
          <w:sz w:val="22"/>
          <w:szCs w:val="22"/>
          <w14:ligatures w14:val="standardContextual"/>
        </w:rPr>
        <w:drawing>
          <wp:inline distT="0" distB="0" distL="0" distR="0" wp14:anchorId="4BCAD5D9" wp14:editId="3F7AB9D4">
            <wp:extent cx="2865120" cy="2157476"/>
            <wp:effectExtent l="0" t="0" r="17780" b="14605"/>
            <wp:docPr id="1821175192" name="Chart 1">
              <a:extLst xmlns:a="http://schemas.openxmlformats.org/drawingml/2006/main">
                <a:ext uri="{FF2B5EF4-FFF2-40B4-BE49-F238E27FC236}">
                  <a16:creationId xmlns:a16="http://schemas.microsoft.com/office/drawing/2014/main" id="{5C6F33E5-94F3-B928-D69D-79BA0C402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83B5D" w:rsidRPr="001E6906">
        <w:rPr>
          <w:rFonts w:ascii="Arial" w:hAnsi="Arial" w:cs="Arial"/>
          <w:noProof/>
          <w:sz w:val="22"/>
          <w:szCs w:val="22"/>
          <w14:ligatures w14:val="standardContextual"/>
        </w:rPr>
        <w:drawing>
          <wp:inline distT="0" distB="0" distL="0" distR="0" wp14:anchorId="6237C53E" wp14:editId="1096C374">
            <wp:extent cx="2846832" cy="2164080"/>
            <wp:effectExtent l="0" t="0" r="10795" b="7620"/>
            <wp:docPr id="1013639537" name="Chart 1">
              <a:extLst xmlns:a="http://schemas.openxmlformats.org/drawingml/2006/main">
                <a:ext uri="{FF2B5EF4-FFF2-40B4-BE49-F238E27FC236}">
                  <a16:creationId xmlns:a16="http://schemas.microsoft.com/office/drawing/2014/main" id="{53AAAE4D-C715-F661-27CB-AC4CD3523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8F94E0" w14:textId="77777777" w:rsidR="001E6906" w:rsidRPr="001E6906" w:rsidRDefault="001E6906" w:rsidP="006E2238">
      <w:pPr>
        <w:spacing w:line="360" w:lineRule="auto"/>
        <w:jc w:val="both"/>
        <w:rPr>
          <w:rFonts w:ascii="Arial" w:hAnsi="Arial" w:cs="Arial"/>
          <w:sz w:val="22"/>
          <w:szCs w:val="22"/>
          <w:lang w:val="en-US"/>
        </w:rPr>
      </w:pPr>
      <w:r w:rsidRPr="001E6906">
        <w:rPr>
          <w:rFonts w:ascii="Arial" w:hAnsi="Arial" w:cs="Arial"/>
          <w:sz w:val="22"/>
          <w:szCs w:val="22"/>
          <w:lang w:val="en-US"/>
        </w:rPr>
        <w:t xml:space="preserve">Figure 4: WPR Rural (usual </w:t>
      </w:r>
      <w:proofErr w:type="gramStart"/>
      <w:r w:rsidRPr="001E6906">
        <w:rPr>
          <w:rFonts w:ascii="Arial" w:hAnsi="Arial" w:cs="Arial"/>
          <w:sz w:val="22"/>
          <w:szCs w:val="22"/>
          <w:lang w:val="en-US"/>
        </w:rPr>
        <w:t>status</w:t>
      </w:r>
      <w:r>
        <w:rPr>
          <w:rFonts w:ascii="Arial" w:hAnsi="Arial" w:cs="Arial"/>
          <w:sz w:val="22"/>
          <w:szCs w:val="22"/>
          <w:lang w:val="en-US"/>
        </w:rPr>
        <w:t xml:space="preserve">)   </w:t>
      </w:r>
      <w:proofErr w:type="gramEnd"/>
      <w:r>
        <w:rPr>
          <w:rFonts w:ascii="Arial" w:hAnsi="Arial" w:cs="Arial"/>
          <w:sz w:val="22"/>
          <w:szCs w:val="22"/>
          <w:lang w:val="en-US"/>
        </w:rPr>
        <w:t xml:space="preserve">                </w:t>
      </w:r>
      <w:r w:rsidRPr="001E6906">
        <w:rPr>
          <w:rFonts w:ascii="Arial" w:hAnsi="Arial" w:cs="Arial"/>
          <w:sz w:val="22"/>
          <w:szCs w:val="22"/>
          <w:lang w:val="en-US"/>
        </w:rPr>
        <w:t xml:space="preserve">Figure 5: WPR </w:t>
      </w:r>
      <w:r>
        <w:rPr>
          <w:rFonts w:ascii="Arial" w:hAnsi="Arial" w:cs="Arial"/>
          <w:sz w:val="22"/>
          <w:szCs w:val="22"/>
          <w:lang w:val="en-US"/>
        </w:rPr>
        <w:t>U</w:t>
      </w:r>
      <w:r w:rsidRPr="001E6906">
        <w:rPr>
          <w:rFonts w:ascii="Arial" w:hAnsi="Arial" w:cs="Arial"/>
          <w:sz w:val="22"/>
          <w:szCs w:val="22"/>
          <w:lang w:val="en-US"/>
        </w:rPr>
        <w:t>rban</w:t>
      </w:r>
      <w:r>
        <w:rPr>
          <w:rFonts w:ascii="Arial" w:hAnsi="Arial" w:cs="Arial"/>
          <w:sz w:val="22"/>
          <w:szCs w:val="22"/>
          <w:lang w:val="en-US"/>
        </w:rPr>
        <w:t xml:space="preserve"> </w:t>
      </w:r>
      <w:r w:rsidRPr="001E6906">
        <w:rPr>
          <w:rFonts w:ascii="Arial" w:hAnsi="Arial" w:cs="Arial"/>
          <w:sz w:val="22"/>
          <w:szCs w:val="22"/>
          <w:lang w:val="en-US"/>
        </w:rPr>
        <w:t>(usual status)</w:t>
      </w:r>
    </w:p>
    <w:p w14:paraId="394F41F2" w14:textId="77777777" w:rsidR="00D74559" w:rsidRPr="001E6906" w:rsidRDefault="0040614E" w:rsidP="006E2238">
      <w:pPr>
        <w:spacing w:line="360" w:lineRule="auto"/>
        <w:jc w:val="both"/>
        <w:rPr>
          <w:rFonts w:ascii="Arial" w:hAnsi="Arial" w:cs="Arial"/>
          <w:i/>
          <w:iCs/>
          <w:sz w:val="22"/>
          <w:szCs w:val="22"/>
        </w:rPr>
      </w:pPr>
      <w:r w:rsidRPr="001E6906">
        <w:rPr>
          <w:rFonts w:ascii="Arial" w:hAnsi="Arial" w:cs="Arial"/>
          <w:i/>
          <w:iCs/>
          <w:sz w:val="22"/>
          <w:szCs w:val="22"/>
        </w:rPr>
        <w:t xml:space="preserve">Source: Author’s calculation from PLFS </w:t>
      </w:r>
      <w:r w:rsidR="00D0293F" w:rsidRPr="001E6906">
        <w:rPr>
          <w:rFonts w:ascii="Arial" w:hAnsi="Arial" w:cs="Arial"/>
          <w:i/>
          <w:iCs/>
          <w:sz w:val="22"/>
          <w:szCs w:val="22"/>
        </w:rPr>
        <w:t>(</w:t>
      </w:r>
      <w:r w:rsidRPr="001E6906">
        <w:rPr>
          <w:rFonts w:ascii="Arial" w:hAnsi="Arial" w:cs="Arial"/>
          <w:i/>
          <w:iCs/>
          <w:sz w:val="22"/>
          <w:szCs w:val="22"/>
        </w:rPr>
        <w:t xml:space="preserve">20219-20 </w:t>
      </w:r>
      <w:r w:rsidR="00D0293F" w:rsidRPr="001E6906">
        <w:rPr>
          <w:rFonts w:ascii="Arial" w:hAnsi="Arial" w:cs="Arial"/>
          <w:i/>
          <w:iCs/>
          <w:sz w:val="22"/>
          <w:szCs w:val="22"/>
        </w:rPr>
        <w:t>&amp;</w:t>
      </w:r>
      <w:r w:rsidRPr="001E6906">
        <w:rPr>
          <w:rFonts w:ascii="Arial" w:hAnsi="Arial" w:cs="Arial"/>
          <w:i/>
          <w:iCs/>
          <w:sz w:val="22"/>
          <w:szCs w:val="22"/>
        </w:rPr>
        <w:t xml:space="preserve"> 2022-23</w:t>
      </w:r>
      <w:r w:rsidR="00D0293F" w:rsidRPr="001E6906">
        <w:rPr>
          <w:rFonts w:ascii="Arial" w:hAnsi="Arial" w:cs="Arial"/>
          <w:i/>
          <w:iCs/>
          <w:sz w:val="22"/>
          <w:szCs w:val="22"/>
        </w:rPr>
        <w:t>)</w:t>
      </w:r>
    </w:p>
    <w:p w14:paraId="30A1C252" w14:textId="77777777" w:rsidR="00D74559" w:rsidRPr="001E6906" w:rsidRDefault="00D74559" w:rsidP="006E2238">
      <w:pPr>
        <w:spacing w:line="360" w:lineRule="auto"/>
        <w:jc w:val="both"/>
        <w:rPr>
          <w:rFonts w:ascii="Arial" w:hAnsi="Arial" w:cs="Arial"/>
          <w:sz w:val="22"/>
          <w:szCs w:val="22"/>
        </w:rPr>
      </w:pPr>
    </w:p>
    <w:p w14:paraId="48A8A2B9" w14:textId="77777777" w:rsidR="00D74559" w:rsidRPr="001E6906" w:rsidRDefault="00B83B5D" w:rsidP="006E2238">
      <w:pPr>
        <w:spacing w:line="360" w:lineRule="auto"/>
        <w:jc w:val="both"/>
        <w:rPr>
          <w:rFonts w:ascii="Arial" w:hAnsi="Arial" w:cs="Arial"/>
          <w:sz w:val="22"/>
          <w:szCs w:val="22"/>
        </w:rPr>
      </w:pPr>
      <w:r w:rsidRPr="001E6906">
        <w:rPr>
          <w:rFonts w:ascii="Arial" w:hAnsi="Arial" w:cs="Arial"/>
          <w:noProof/>
          <w:sz w:val="22"/>
          <w:szCs w:val="22"/>
          <w14:ligatures w14:val="standardContextual"/>
        </w:rPr>
        <w:lastRenderedPageBreak/>
        <w:drawing>
          <wp:inline distT="0" distB="0" distL="0" distR="0" wp14:anchorId="02D4EA26" wp14:editId="3D275F57">
            <wp:extent cx="5905041" cy="2626995"/>
            <wp:effectExtent l="0" t="0" r="13335" b="14605"/>
            <wp:docPr id="16148674" name="Chart 1">
              <a:extLst xmlns:a="http://schemas.openxmlformats.org/drawingml/2006/main">
                <a:ext uri="{FF2B5EF4-FFF2-40B4-BE49-F238E27FC236}">
                  <a16:creationId xmlns:a16="http://schemas.microsoft.com/office/drawing/2014/main" id="{6AFF7EC2-EC1B-C088-7DB3-25C5F580E4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77725F" w14:textId="74B958E8" w:rsidR="001E6906" w:rsidRPr="001E6906" w:rsidRDefault="001E6906" w:rsidP="006E2238">
      <w:pPr>
        <w:spacing w:line="360" w:lineRule="auto"/>
        <w:jc w:val="both"/>
        <w:rPr>
          <w:rFonts w:ascii="Arial" w:hAnsi="Arial" w:cs="Arial"/>
          <w:sz w:val="22"/>
          <w:szCs w:val="22"/>
          <w:lang w:val="en-US"/>
        </w:rPr>
      </w:pPr>
      <w:r w:rsidRPr="001E6906">
        <w:rPr>
          <w:rFonts w:ascii="Arial" w:hAnsi="Arial" w:cs="Arial"/>
          <w:sz w:val="22"/>
          <w:szCs w:val="22"/>
          <w:lang w:val="en-US"/>
        </w:rPr>
        <w:t xml:space="preserve">Figure </w:t>
      </w:r>
      <w:r w:rsidR="006006BE">
        <w:rPr>
          <w:rFonts w:ascii="Arial" w:hAnsi="Arial" w:cs="Arial"/>
          <w:sz w:val="22"/>
          <w:szCs w:val="22"/>
          <w:lang w:val="en-US"/>
        </w:rPr>
        <w:t>6</w:t>
      </w:r>
      <w:r w:rsidRPr="001E6906">
        <w:rPr>
          <w:rFonts w:ascii="Arial" w:hAnsi="Arial" w:cs="Arial"/>
          <w:sz w:val="22"/>
          <w:szCs w:val="22"/>
          <w:lang w:val="en-US"/>
        </w:rPr>
        <w:t>: WPR All India (usual status)</w:t>
      </w:r>
    </w:p>
    <w:p w14:paraId="696B4DD9" w14:textId="77777777" w:rsidR="009E1392" w:rsidRDefault="0040614E" w:rsidP="006E2238">
      <w:pPr>
        <w:spacing w:line="360" w:lineRule="auto"/>
        <w:jc w:val="both"/>
        <w:rPr>
          <w:rFonts w:ascii="Arial" w:hAnsi="Arial" w:cs="Arial"/>
          <w:i/>
          <w:iCs/>
          <w:sz w:val="22"/>
          <w:szCs w:val="22"/>
        </w:rPr>
      </w:pPr>
      <w:r w:rsidRPr="001E6906">
        <w:rPr>
          <w:rFonts w:ascii="Arial" w:hAnsi="Arial" w:cs="Arial"/>
          <w:i/>
          <w:iCs/>
          <w:sz w:val="22"/>
          <w:szCs w:val="22"/>
        </w:rPr>
        <w:t xml:space="preserve">Source: Author’s calculation from PLFS </w:t>
      </w:r>
      <w:r w:rsidR="00D0293F" w:rsidRPr="001E6906">
        <w:rPr>
          <w:rFonts w:ascii="Arial" w:hAnsi="Arial" w:cs="Arial"/>
          <w:i/>
          <w:iCs/>
          <w:sz w:val="22"/>
          <w:szCs w:val="22"/>
        </w:rPr>
        <w:t>(</w:t>
      </w:r>
      <w:r w:rsidRPr="001E6906">
        <w:rPr>
          <w:rFonts w:ascii="Arial" w:hAnsi="Arial" w:cs="Arial"/>
          <w:i/>
          <w:iCs/>
          <w:sz w:val="22"/>
          <w:szCs w:val="22"/>
        </w:rPr>
        <w:t xml:space="preserve">2019-20 </w:t>
      </w:r>
      <w:r w:rsidR="00D0293F" w:rsidRPr="001E6906">
        <w:rPr>
          <w:rFonts w:ascii="Arial" w:hAnsi="Arial" w:cs="Arial"/>
          <w:i/>
          <w:iCs/>
          <w:sz w:val="22"/>
          <w:szCs w:val="22"/>
        </w:rPr>
        <w:t>&amp;</w:t>
      </w:r>
      <w:r w:rsidRPr="001E6906">
        <w:rPr>
          <w:rFonts w:ascii="Arial" w:hAnsi="Arial" w:cs="Arial"/>
          <w:i/>
          <w:iCs/>
          <w:sz w:val="22"/>
          <w:szCs w:val="22"/>
        </w:rPr>
        <w:t xml:space="preserve"> 2022-23</w:t>
      </w:r>
      <w:r w:rsidR="00D0293F" w:rsidRPr="001E6906">
        <w:rPr>
          <w:rFonts w:ascii="Arial" w:hAnsi="Arial" w:cs="Arial"/>
          <w:i/>
          <w:iCs/>
          <w:sz w:val="22"/>
          <w:szCs w:val="22"/>
        </w:rPr>
        <w:t>)</w:t>
      </w:r>
    </w:p>
    <w:p w14:paraId="54966588" w14:textId="77777777" w:rsidR="001E6906" w:rsidRPr="001E6906" w:rsidRDefault="001E6906" w:rsidP="006E2238">
      <w:pPr>
        <w:spacing w:line="360" w:lineRule="auto"/>
        <w:jc w:val="both"/>
        <w:rPr>
          <w:rFonts w:ascii="Arial" w:hAnsi="Arial" w:cs="Arial"/>
          <w:i/>
          <w:iCs/>
          <w:sz w:val="22"/>
          <w:szCs w:val="22"/>
        </w:rPr>
      </w:pPr>
    </w:p>
    <w:p w14:paraId="28C1FB3C" w14:textId="77777777" w:rsidR="00187077" w:rsidRPr="001E6906" w:rsidRDefault="00615142" w:rsidP="006E2238">
      <w:pPr>
        <w:spacing w:line="360" w:lineRule="auto"/>
        <w:jc w:val="both"/>
        <w:rPr>
          <w:rFonts w:ascii="Arial" w:hAnsi="Arial" w:cs="Arial"/>
          <w:i/>
          <w:iCs/>
          <w:sz w:val="22"/>
          <w:szCs w:val="22"/>
        </w:rPr>
      </w:pPr>
      <w:r w:rsidRPr="001E6906">
        <w:rPr>
          <w:rFonts w:ascii="Arial" w:hAnsi="Arial" w:cs="Arial"/>
          <w:sz w:val="22"/>
          <w:szCs w:val="22"/>
        </w:rPr>
        <w:t>The a</w:t>
      </w:r>
      <w:r w:rsidR="00B26524" w:rsidRPr="001E6906">
        <w:rPr>
          <w:rFonts w:ascii="Arial" w:hAnsi="Arial" w:cs="Arial"/>
          <w:sz w:val="22"/>
          <w:szCs w:val="22"/>
        </w:rPr>
        <w:t xml:space="preserve">bove </w:t>
      </w:r>
      <w:r w:rsidR="0034480D" w:rsidRPr="001E6906">
        <w:rPr>
          <w:rFonts w:ascii="Arial" w:hAnsi="Arial" w:cs="Arial"/>
          <w:sz w:val="22"/>
          <w:szCs w:val="22"/>
        </w:rPr>
        <w:t>figure</w:t>
      </w:r>
      <w:r w:rsidR="00B26524" w:rsidRPr="001E6906">
        <w:rPr>
          <w:rFonts w:ascii="Arial" w:hAnsi="Arial" w:cs="Arial"/>
          <w:sz w:val="22"/>
          <w:szCs w:val="22"/>
        </w:rPr>
        <w:t xml:space="preserve"> shows</w:t>
      </w:r>
      <w:r w:rsidR="0034480D" w:rsidRPr="001E6906">
        <w:rPr>
          <w:rFonts w:ascii="Arial" w:hAnsi="Arial" w:cs="Arial"/>
          <w:sz w:val="22"/>
          <w:szCs w:val="22"/>
        </w:rPr>
        <w:t xml:space="preserve"> </w:t>
      </w:r>
      <w:r w:rsidR="00B26524" w:rsidRPr="001E6906">
        <w:rPr>
          <w:rFonts w:ascii="Arial" w:hAnsi="Arial" w:cs="Arial"/>
          <w:sz w:val="22"/>
          <w:szCs w:val="22"/>
        </w:rPr>
        <w:t>(Fig</w:t>
      </w:r>
      <w:r w:rsidRPr="001E6906">
        <w:rPr>
          <w:rFonts w:ascii="Arial" w:hAnsi="Arial" w:cs="Arial"/>
          <w:sz w:val="22"/>
          <w:szCs w:val="22"/>
        </w:rPr>
        <w:t xml:space="preserve">. </w:t>
      </w:r>
      <w:r w:rsidR="0034480D" w:rsidRPr="001E6906">
        <w:rPr>
          <w:rFonts w:ascii="Arial" w:hAnsi="Arial" w:cs="Arial"/>
          <w:sz w:val="22"/>
          <w:szCs w:val="22"/>
        </w:rPr>
        <w:t>4,</w:t>
      </w:r>
      <w:r w:rsidR="00B26524" w:rsidRPr="001E6906">
        <w:rPr>
          <w:rFonts w:ascii="Arial" w:hAnsi="Arial" w:cs="Arial"/>
          <w:sz w:val="22"/>
          <w:szCs w:val="22"/>
        </w:rPr>
        <w:t xml:space="preserve"> Fig</w:t>
      </w:r>
      <w:r w:rsidRPr="001E6906">
        <w:rPr>
          <w:rFonts w:ascii="Arial" w:hAnsi="Arial" w:cs="Arial"/>
          <w:sz w:val="22"/>
          <w:szCs w:val="22"/>
        </w:rPr>
        <w:t>.</w:t>
      </w:r>
      <w:r w:rsidR="00B26524" w:rsidRPr="001E6906">
        <w:rPr>
          <w:rFonts w:ascii="Arial" w:hAnsi="Arial" w:cs="Arial"/>
          <w:sz w:val="22"/>
          <w:szCs w:val="22"/>
        </w:rPr>
        <w:t xml:space="preserve"> </w:t>
      </w:r>
      <w:r w:rsidR="0034480D" w:rsidRPr="001E6906">
        <w:rPr>
          <w:rFonts w:ascii="Arial" w:hAnsi="Arial" w:cs="Arial"/>
          <w:sz w:val="22"/>
          <w:szCs w:val="22"/>
        </w:rPr>
        <w:t>5</w:t>
      </w:r>
      <w:r w:rsidR="00AA0367" w:rsidRPr="001E6906">
        <w:rPr>
          <w:rFonts w:ascii="Arial" w:hAnsi="Arial" w:cs="Arial"/>
          <w:sz w:val="22"/>
          <w:szCs w:val="22"/>
        </w:rPr>
        <w:t>,</w:t>
      </w:r>
      <w:r w:rsidR="0034480D" w:rsidRPr="001E6906">
        <w:rPr>
          <w:rFonts w:ascii="Arial" w:hAnsi="Arial" w:cs="Arial"/>
          <w:sz w:val="22"/>
          <w:szCs w:val="22"/>
        </w:rPr>
        <w:t xml:space="preserve"> and </w:t>
      </w:r>
      <w:r w:rsidR="00B26524" w:rsidRPr="001E6906">
        <w:rPr>
          <w:rFonts w:ascii="Arial" w:hAnsi="Arial" w:cs="Arial"/>
          <w:sz w:val="22"/>
          <w:szCs w:val="22"/>
        </w:rPr>
        <w:t>Fig</w:t>
      </w:r>
      <w:r w:rsidRPr="001E6906">
        <w:rPr>
          <w:rFonts w:ascii="Arial" w:hAnsi="Arial" w:cs="Arial"/>
          <w:sz w:val="22"/>
          <w:szCs w:val="22"/>
        </w:rPr>
        <w:t>.</w:t>
      </w:r>
      <w:r w:rsidR="00B26524" w:rsidRPr="001E6906">
        <w:rPr>
          <w:rFonts w:ascii="Arial" w:hAnsi="Arial" w:cs="Arial"/>
          <w:sz w:val="22"/>
          <w:szCs w:val="22"/>
        </w:rPr>
        <w:t xml:space="preserve"> </w:t>
      </w:r>
      <w:r w:rsidR="0034480D" w:rsidRPr="001E6906">
        <w:rPr>
          <w:rFonts w:ascii="Arial" w:hAnsi="Arial" w:cs="Arial"/>
          <w:sz w:val="22"/>
          <w:szCs w:val="22"/>
        </w:rPr>
        <w:t>6</w:t>
      </w:r>
      <w:r w:rsidR="00B26524" w:rsidRPr="001E6906">
        <w:rPr>
          <w:rFonts w:ascii="Arial" w:hAnsi="Arial" w:cs="Arial"/>
          <w:sz w:val="22"/>
          <w:szCs w:val="22"/>
        </w:rPr>
        <w:t>)</w:t>
      </w:r>
      <w:r w:rsidR="0034480D" w:rsidRPr="001E6906">
        <w:rPr>
          <w:rFonts w:ascii="Arial" w:hAnsi="Arial" w:cs="Arial"/>
          <w:sz w:val="22"/>
          <w:szCs w:val="22"/>
        </w:rPr>
        <w:t xml:space="preserve"> </w:t>
      </w:r>
      <w:r w:rsidR="00D17244" w:rsidRPr="001E6906">
        <w:rPr>
          <w:rFonts w:ascii="Arial" w:hAnsi="Arial" w:cs="Arial"/>
          <w:sz w:val="22"/>
          <w:szCs w:val="22"/>
        </w:rPr>
        <w:t xml:space="preserve">Worker Population Ratio (WPR) trends </w:t>
      </w:r>
      <w:r w:rsidR="0034480D" w:rsidRPr="001E6906">
        <w:rPr>
          <w:rFonts w:ascii="Arial" w:hAnsi="Arial" w:cs="Arial"/>
          <w:sz w:val="22"/>
          <w:szCs w:val="22"/>
        </w:rPr>
        <w:t xml:space="preserve">for </w:t>
      </w:r>
      <w:r w:rsidR="00D17244" w:rsidRPr="001E6906">
        <w:rPr>
          <w:rFonts w:ascii="Arial" w:hAnsi="Arial" w:cs="Arial"/>
          <w:sz w:val="22"/>
          <w:szCs w:val="22"/>
        </w:rPr>
        <w:t>rural</w:t>
      </w:r>
      <w:r w:rsidR="00A561B6" w:rsidRPr="001E6906">
        <w:rPr>
          <w:rFonts w:ascii="Arial" w:hAnsi="Arial" w:cs="Arial"/>
          <w:sz w:val="22"/>
          <w:szCs w:val="22"/>
        </w:rPr>
        <w:t>-</w:t>
      </w:r>
      <w:r w:rsidR="00D17244" w:rsidRPr="001E6906">
        <w:rPr>
          <w:rFonts w:ascii="Arial" w:hAnsi="Arial" w:cs="Arial"/>
          <w:sz w:val="22"/>
          <w:szCs w:val="22"/>
        </w:rPr>
        <w:t xml:space="preserve">urban and </w:t>
      </w:r>
      <w:r w:rsidR="0034480D" w:rsidRPr="001E6906">
        <w:rPr>
          <w:rFonts w:ascii="Arial" w:hAnsi="Arial" w:cs="Arial"/>
          <w:sz w:val="22"/>
          <w:szCs w:val="22"/>
        </w:rPr>
        <w:t xml:space="preserve">for male and female differently </w:t>
      </w:r>
      <w:r w:rsidR="00D17244" w:rsidRPr="001E6906">
        <w:rPr>
          <w:rFonts w:ascii="Arial" w:hAnsi="Arial" w:cs="Arial"/>
          <w:sz w:val="22"/>
          <w:szCs w:val="22"/>
        </w:rPr>
        <w:t>across India. Rural male WPR remains consistently high and stable over the years, while rural female WPR increases sharply from around 17</w:t>
      </w:r>
      <w:r w:rsidR="00A561B6" w:rsidRPr="001E6906">
        <w:rPr>
          <w:rFonts w:ascii="Arial" w:hAnsi="Arial" w:cs="Arial"/>
          <w:sz w:val="22"/>
          <w:szCs w:val="22"/>
        </w:rPr>
        <w:t>.5</w:t>
      </w:r>
      <w:r w:rsidR="00D17244" w:rsidRPr="001E6906">
        <w:rPr>
          <w:rFonts w:ascii="Arial" w:hAnsi="Arial" w:cs="Arial"/>
          <w:sz w:val="22"/>
          <w:szCs w:val="22"/>
        </w:rPr>
        <w:t xml:space="preserve"> percent in 2017</w:t>
      </w:r>
      <w:r w:rsidR="00A561B6" w:rsidRPr="001E6906">
        <w:rPr>
          <w:rFonts w:ascii="Arial" w:hAnsi="Arial" w:cs="Arial"/>
          <w:sz w:val="22"/>
          <w:szCs w:val="22"/>
        </w:rPr>
        <w:t>-</w:t>
      </w:r>
      <w:r w:rsidR="00D17244" w:rsidRPr="001E6906">
        <w:rPr>
          <w:rFonts w:ascii="Arial" w:hAnsi="Arial" w:cs="Arial"/>
          <w:sz w:val="22"/>
          <w:szCs w:val="22"/>
        </w:rPr>
        <w:t>18 to nearly 30 percent in 2022</w:t>
      </w:r>
      <w:r w:rsidR="00A561B6" w:rsidRPr="001E6906">
        <w:rPr>
          <w:rFonts w:ascii="Arial" w:hAnsi="Arial" w:cs="Arial"/>
          <w:sz w:val="22"/>
          <w:szCs w:val="22"/>
        </w:rPr>
        <w:t>-</w:t>
      </w:r>
      <w:r w:rsidR="00D17244" w:rsidRPr="001E6906">
        <w:rPr>
          <w:rFonts w:ascii="Arial" w:hAnsi="Arial" w:cs="Arial"/>
          <w:sz w:val="22"/>
          <w:szCs w:val="22"/>
        </w:rPr>
        <w:t>23, indicating a significant rise in women’s engagement in agriculture, livestock, and other home-based activities. In contrast, urban female WPR shows only modest improvement, rising from about 14 percent to 18</w:t>
      </w:r>
      <w:r w:rsidR="00A561B6" w:rsidRPr="001E6906">
        <w:rPr>
          <w:rFonts w:ascii="Arial" w:hAnsi="Arial" w:cs="Arial"/>
          <w:sz w:val="22"/>
          <w:szCs w:val="22"/>
        </w:rPr>
        <w:t>-</w:t>
      </w:r>
      <w:r w:rsidR="00D17244" w:rsidRPr="001E6906">
        <w:rPr>
          <w:rFonts w:ascii="Arial" w:hAnsi="Arial" w:cs="Arial"/>
          <w:sz w:val="22"/>
          <w:szCs w:val="22"/>
        </w:rPr>
        <w:t>19 percent, whereas urban male WPR remains steady at around 53</w:t>
      </w:r>
      <w:r w:rsidR="00A561B6" w:rsidRPr="001E6906">
        <w:rPr>
          <w:rFonts w:ascii="Arial" w:hAnsi="Arial" w:cs="Arial"/>
          <w:sz w:val="22"/>
          <w:szCs w:val="22"/>
        </w:rPr>
        <w:t>-</w:t>
      </w:r>
      <w:r w:rsidR="00D17244" w:rsidRPr="001E6906">
        <w:rPr>
          <w:rFonts w:ascii="Arial" w:hAnsi="Arial" w:cs="Arial"/>
          <w:sz w:val="22"/>
          <w:szCs w:val="22"/>
        </w:rPr>
        <w:t>56 percent. At the all-India level, WPR reflects the same pattern</w:t>
      </w:r>
      <w:r w:rsidR="00A561B6" w:rsidRPr="001E6906">
        <w:rPr>
          <w:rFonts w:ascii="Arial" w:hAnsi="Arial" w:cs="Arial"/>
          <w:sz w:val="22"/>
          <w:szCs w:val="22"/>
        </w:rPr>
        <w:t>.</w:t>
      </w:r>
      <w:r w:rsidR="00D17244" w:rsidRPr="001E6906">
        <w:rPr>
          <w:rFonts w:ascii="Arial" w:hAnsi="Arial" w:cs="Arial"/>
          <w:sz w:val="22"/>
          <w:szCs w:val="22"/>
        </w:rPr>
        <w:t xml:space="preserve"> </w:t>
      </w:r>
      <w:r w:rsidR="00A561B6" w:rsidRPr="001E6906">
        <w:rPr>
          <w:rFonts w:ascii="Arial" w:hAnsi="Arial" w:cs="Arial"/>
          <w:sz w:val="22"/>
          <w:szCs w:val="22"/>
        </w:rPr>
        <w:t>M</w:t>
      </w:r>
      <w:r w:rsidR="00D17244" w:rsidRPr="001E6906">
        <w:rPr>
          <w:rFonts w:ascii="Arial" w:hAnsi="Arial" w:cs="Arial"/>
          <w:sz w:val="22"/>
          <w:szCs w:val="22"/>
        </w:rPr>
        <w:t>ale participation remains largely unchanged, while female WPR rises substantially from 16.5 percent to 27 percent over the period. Overall, the increase in India’s WPR is driven mainly by the growing participation of rural women, highlighting the expanding role of agriculture and allied sectors in supporting female employment.</w:t>
      </w:r>
      <w:r w:rsidR="00A561B6" w:rsidRPr="001E6906">
        <w:rPr>
          <w:rFonts w:ascii="Arial" w:hAnsi="Arial" w:cs="Arial"/>
          <w:sz w:val="22"/>
          <w:szCs w:val="22"/>
        </w:rPr>
        <w:t xml:space="preserve"> </w:t>
      </w:r>
      <w:r w:rsidR="00B153EF" w:rsidRPr="001E6906">
        <w:rPr>
          <w:rFonts w:ascii="Arial" w:hAnsi="Arial" w:cs="Arial"/>
          <w:sz w:val="22"/>
          <w:szCs w:val="22"/>
        </w:rPr>
        <w:t xml:space="preserve">However, all-India WPR showed an increasing trend over the period despite the occurrence of </w:t>
      </w:r>
      <w:r w:rsidRPr="001E6906">
        <w:rPr>
          <w:rFonts w:ascii="Arial" w:hAnsi="Arial" w:cs="Arial"/>
          <w:sz w:val="22"/>
          <w:szCs w:val="22"/>
        </w:rPr>
        <w:t xml:space="preserve">the </w:t>
      </w:r>
      <w:r w:rsidR="00B153EF" w:rsidRPr="001E6906">
        <w:rPr>
          <w:rFonts w:ascii="Arial" w:hAnsi="Arial" w:cs="Arial"/>
          <w:sz w:val="22"/>
          <w:szCs w:val="22"/>
        </w:rPr>
        <w:t>C</w:t>
      </w:r>
      <w:r w:rsidRPr="001E6906">
        <w:rPr>
          <w:rFonts w:ascii="Arial" w:hAnsi="Arial" w:cs="Arial"/>
          <w:sz w:val="22"/>
          <w:szCs w:val="22"/>
        </w:rPr>
        <w:t>OVID</w:t>
      </w:r>
      <w:r w:rsidR="00B153EF" w:rsidRPr="001E6906">
        <w:rPr>
          <w:rFonts w:ascii="Arial" w:hAnsi="Arial" w:cs="Arial"/>
          <w:sz w:val="22"/>
          <w:szCs w:val="22"/>
        </w:rPr>
        <w:t>-19 pandemic</w:t>
      </w:r>
      <w:r w:rsidR="00A561B6" w:rsidRPr="001E6906">
        <w:rPr>
          <w:rFonts w:ascii="Arial" w:hAnsi="Arial" w:cs="Arial"/>
          <w:sz w:val="22"/>
          <w:szCs w:val="22"/>
        </w:rPr>
        <w:t xml:space="preserve">. It implies that COVID-19 </w:t>
      </w:r>
      <w:r w:rsidR="00B153EF" w:rsidRPr="001E6906">
        <w:rPr>
          <w:rFonts w:ascii="Arial" w:hAnsi="Arial" w:cs="Arial"/>
          <w:sz w:val="22"/>
          <w:szCs w:val="22"/>
        </w:rPr>
        <w:t xml:space="preserve">has </w:t>
      </w:r>
      <w:r w:rsidR="00A561B6" w:rsidRPr="001E6906">
        <w:rPr>
          <w:rFonts w:ascii="Arial" w:hAnsi="Arial" w:cs="Arial"/>
          <w:sz w:val="22"/>
          <w:szCs w:val="22"/>
        </w:rPr>
        <w:t>not significantly affected India’s labour market. While female engagement in WPR increases in India</w:t>
      </w:r>
      <w:r w:rsidR="00D434C5" w:rsidRPr="001E6906">
        <w:rPr>
          <w:rFonts w:ascii="Arial" w:hAnsi="Arial" w:cs="Arial"/>
          <w:sz w:val="22"/>
          <w:szCs w:val="22"/>
        </w:rPr>
        <w:t>,</w:t>
      </w:r>
      <w:r w:rsidR="0034480D" w:rsidRPr="001E6906">
        <w:rPr>
          <w:rFonts w:ascii="Arial" w:hAnsi="Arial" w:cs="Arial"/>
          <w:sz w:val="22"/>
          <w:szCs w:val="22"/>
        </w:rPr>
        <w:t xml:space="preserve"> </w:t>
      </w:r>
      <w:r w:rsidR="00A561B6" w:rsidRPr="001E6906">
        <w:rPr>
          <w:rFonts w:ascii="Arial" w:hAnsi="Arial" w:cs="Arial"/>
          <w:sz w:val="22"/>
          <w:szCs w:val="22"/>
        </w:rPr>
        <w:t>it support</w:t>
      </w:r>
      <w:r w:rsidRPr="001E6906">
        <w:rPr>
          <w:rFonts w:ascii="Arial" w:hAnsi="Arial" w:cs="Arial"/>
          <w:sz w:val="22"/>
          <w:szCs w:val="22"/>
        </w:rPr>
        <w:t>s</w:t>
      </w:r>
      <w:r w:rsidR="00A561B6" w:rsidRPr="001E6906">
        <w:rPr>
          <w:rFonts w:ascii="Arial" w:hAnsi="Arial" w:cs="Arial"/>
          <w:sz w:val="22"/>
          <w:szCs w:val="22"/>
        </w:rPr>
        <w:t xml:space="preserve"> </w:t>
      </w:r>
      <w:r w:rsidR="00B153EF" w:rsidRPr="001E6906">
        <w:rPr>
          <w:rFonts w:ascii="Arial" w:hAnsi="Arial" w:cs="Arial"/>
          <w:sz w:val="22"/>
          <w:szCs w:val="22"/>
        </w:rPr>
        <w:t xml:space="preserve">the argument </w:t>
      </w:r>
      <w:r w:rsidR="00A561B6" w:rsidRPr="001E6906">
        <w:rPr>
          <w:rFonts w:ascii="Arial" w:hAnsi="Arial" w:cs="Arial"/>
          <w:sz w:val="22"/>
          <w:szCs w:val="22"/>
        </w:rPr>
        <w:t>that female</w:t>
      </w:r>
      <w:r w:rsidRPr="001E6906">
        <w:rPr>
          <w:rFonts w:ascii="Arial" w:hAnsi="Arial" w:cs="Arial"/>
          <w:sz w:val="22"/>
          <w:szCs w:val="22"/>
        </w:rPr>
        <w:t>s</w:t>
      </w:r>
      <w:r w:rsidR="00A561B6" w:rsidRPr="001E6906">
        <w:rPr>
          <w:rFonts w:ascii="Arial" w:hAnsi="Arial" w:cs="Arial"/>
          <w:sz w:val="22"/>
          <w:szCs w:val="22"/>
        </w:rPr>
        <w:t xml:space="preserve"> act as an income insur</w:t>
      </w:r>
      <w:r w:rsidR="00D434C5" w:rsidRPr="001E6906">
        <w:rPr>
          <w:rFonts w:ascii="Arial" w:hAnsi="Arial" w:cs="Arial"/>
          <w:sz w:val="22"/>
          <w:szCs w:val="22"/>
        </w:rPr>
        <w:t>er</w:t>
      </w:r>
      <w:r w:rsidR="00A561B6" w:rsidRPr="001E6906">
        <w:rPr>
          <w:rFonts w:ascii="Arial" w:hAnsi="Arial" w:cs="Arial"/>
          <w:sz w:val="22"/>
          <w:szCs w:val="22"/>
        </w:rPr>
        <w:t xml:space="preserve"> at </w:t>
      </w:r>
      <w:r w:rsidR="00D434C5" w:rsidRPr="001E6906">
        <w:rPr>
          <w:rFonts w:ascii="Arial" w:hAnsi="Arial" w:cs="Arial"/>
          <w:sz w:val="22"/>
          <w:szCs w:val="22"/>
        </w:rPr>
        <w:t>the time of economic distress in developing countries</w:t>
      </w:r>
      <w:r w:rsidR="009E1392" w:rsidRPr="001E6906">
        <w:rPr>
          <w:rFonts w:ascii="Arial" w:hAnsi="Arial" w:cs="Arial"/>
          <w:sz w:val="22"/>
          <w:szCs w:val="22"/>
        </w:rPr>
        <w:t xml:space="preserve"> (</w:t>
      </w:r>
      <w:r w:rsidR="009E1392" w:rsidRPr="001E6906">
        <w:rPr>
          <w:rFonts w:ascii="Arial" w:hAnsi="Arial" w:cs="Arial"/>
          <w:color w:val="000000"/>
          <w:sz w:val="22"/>
          <w:szCs w:val="22"/>
        </w:rPr>
        <w:t>Bansal &amp; Mahajan, 2023)</w:t>
      </w:r>
    </w:p>
    <w:p w14:paraId="34CFE4B2"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b/>
          <w:bCs/>
          <w:i/>
          <w:iCs/>
          <w:sz w:val="22"/>
          <w:szCs w:val="22"/>
        </w:rPr>
        <w:t>Unemployment rates</w:t>
      </w:r>
      <w:r w:rsidR="0023322A" w:rsidRPr="001E6906">
        <w:rPr>
          <w:rFonts w:ascii="Arial" w:hAnsi="Arial" w:cs="Arial"/>
          <w:b/>
          <w:bCs/>
          <w:i/>
          <w:iCs/>
          <w:sz w:val="22"/>
          <w:szCs w:val="22"/>
        </w:rPr>
        <w:t>:</w:t>
      </w:r>
      <w:r w:rsidR="0023322A" w:rsidRPr="001E6906">
        <w:rPr>
          <w:rFonts w:ascii="Arial" w:hAnsi="Arial" w:cs="Arial"/>
          <w:b/>
          <w:bCs/>
          <w:sz w:val="22"/>
          <w:szCs w:val="22"/>
        </w:rPr>
        <w:t xml:space="preserve"> </w:t>
      </w:r>
      <w:r w:rsidR="0023322A" w:rsidRPr="001E6906">
        <w:rPr>
          <w:rFonts w:ascii="Arial" w:hAnsi="Arial" w:cs="Arial"/>
          <w:sz w:val="22"/>
          <w:szCs w:val="22"/>
        </w:rPr>
        <w:t>Unemployment rate is defined as the percentage of unemployed persons in the labour force</w:t>
      </w:r>
      <w:r w:rsidR="00187077" w:rsidRPr="001E6906">
        <w:rPr>
          <w:rFonts w:ascii="Arial" w:hAnsi="Arial" w:cs="Arial"/>
          <w:sz w:val="22"/>
          <w:szCs w:val="22"/>
        </w:rPr>
        <w:t xml:space="preserve"> </w:t>
      </w:r>
      <w:r w:rsidR="0023322A" w:rsidRPr="001E6906">
        <w:rPr>
          <w:rFonts w:ascii="Arial" w:hAnsi="Arial" w:cs="Arial"/>
          <w:sz w:val="22"/>
          <w:szCs w:val="22"/>
        </w:rPr>
        <w:t>(Annual Report PLFS 2019-20)</w:t>
      </w:r>
      <w:r w:rsidR="00187077" w:rsidRPr="001E6906">
        <w:rPr>
          <w:rFonts w:ascii="Arial" w:hAnsi="Arial" w:cs="Arial"/>
          <w:sz w:val="22"/>
          <w:szCs w:val="22"/>
        </w:rPr>
        <w:t xml:space="preserve">. </w:t>
      </w:r>
      <w:r w:rsidRPr="001E6906">
        <w:rPr>
          <w:rFonts w:ascii="Arial" w:hAnsi="Arial" w:cs="Arial"/>
          <w:sz w:val="22"/>
          <w:szCs w:val="22"/>
        </w:rPr>
        <w:t xml:space="preserve">Unemployment rates (in percent) and proportion of employment (PU) according </w:t>
      </w:r>
      <w:r w:rsidR="00187077" w:rsidRPr="001E6906">
        <w:rPr>
          <w:rFonts w:ascii="Arial" w:hAnsi="Arial" w:cs="Arial"/>
          <w:sz w:val="22"/>
          <w:szCs w:val="22"/>
        </w:rPr>
        <w:t>t</w:t>
      </w:r>
      <w:r w:rsidRPr="001E6906">
        <w:rPr>
          <w:rFonts w:ascii="Arial" w:hAnsi="Arial" w:cs="Arial"/>
          <w:sz w:val="22"/>
          <w:szCs w:val="22"/>
        </w:rPr>
        <w:t>o usual status (</w:t>
      </w:r>
      <w:proofErr w:type="spellStart"/>
      <w:r w:rsidRPr="001E6906">
        <w:rPr>
          <w:rFonts w:ascii="Arial" w:hAnsi="Arial" w:cs="Arial"/>
          <w:sz w:val="22"/>
          <w:szCs w:val="22"/>
        </w:rPr>
        <w:t>ps+ss</w:t>
      </w:r>
      <w:proofErr w:type="spellEnd"/>
      <w:r w:rsidRPr="001E6906">
        <w:rPr>
          <w:rFonts w:ascii="Arial" w:hAnsi="Arial" w:cs="Arial"/>
          <w:sz w:val="22"/>
          <w:szCs w:val="22"/>
        </w:rPr>
        <w:t>) and current weekly status (</w:t>
      </w:r>
      <w:proofErr w:type="spellStart"/>
      <w:r w:rsidRPr="001E6906">
        <w:rPr>
          <w:rFonts w:ascii="Arial" w:hAnsi="Arial" w:cs="Arial"/>
          <w:sz w:val="22"/>
          <w:szCs w:val="22"/>
        </w:rPr>
        <w:t>cws</w:t>
      </w:r>
      <w:proofErr w:type="spellEnd"/>
      <w:r w:rsidRPr="001E6906">
        <w:rPr>
          <w:rFonts w:ascii="Arial" w:hAnsi="Arial" w:cs="Arial"/>
          <w:sz w:val="22"/>
          <w:szCs w:val="22"/>
        </w:rPr>
        <w:t xml:space="preserve">) estimated from </w:t>
      </w:r>
      <w:r w:rsidR="00615142" w:rsidRPr="001E6906">
        <w:rPr>
          <w:rFonts w:ascii="Arial" w:hAnsi="Arial" w:cs="Arial"/>
          <w:sz w:val="22"/>
          <w:szCs w:val="22"/>
        </w:rPr>
        <w:t xml:space="preserve">the </w:t>
      </w:r>
      <w:r w:rsidR="00187077" w:rsidRPr="001E6906">
        <w:rPr>
          <w:rFonts w:ascii="Arial" w:hAnsi="Arial" w:cs="Arial"/>
          <w:sz w:val="22"/>
          <w:szCs w:val="22"/>
        </w:rPr>
        <w:t xml:space="preserve">annual report of </w:t>
      </w:r>
      <w:r w:rsidRPr="001E6906">
        <w:rPr>
          <w:rFonts w:ascii="Arial" w:hAnsi="Arial" w:cs="Arial"/>
          <w:sz w:val="22"/>
          <w:szCs w:val="22"/>
        </w:rPr>
        <w:t>PLFS (20</w:t>
      </w:r>
      <w:r w:rsidR="00187077" w:rsidRPr="001E6906">
        <w:rPr>
          <w:rFonts w:ascii="Arial" w:hAnsi="Arial" w:cs="Arial"/>
          <w:sz w:val="22"/>
          <w:szCs w:val="22"/>
        </w:rPr>
        <w:t>19</w:t>
      </w:r>
      <w:r w:rsidRPr="001E6906">
        <w:rPr>
          <w:rFonts w:ascii="Arial" w:hAnsi="Arial" w:cs="Arial"/>
          <w:sz w:val="22"/>
          <w:szCs w:val="22"/>
        </w:rPr>
        <w:t>-</w:t>
      </w:r>
      <w:r w:rsidR="00187077" w:rsidRPr="001E6906">
        <w:rPr>
          <w:rFonts w:ascii="Arial" w:hAnsi="Arial" w:cs="Arial"/>
          <w:sz w:val="22"/>
          <w:szCs w:val="22"/>
        </w:rPr>
        <w:t>20</w:t>
      </w:r>
      <w:r w:rsidRPr="001E6906">
        <w:rPr>
          <w:rFonts w:ascii="Arial" w:hAnsi="Arial" w:cs="Arial"/>
          <w:sz w:val="22"/>
          <w:szCs w:val="22"/>
        </w:rPr>
        <w:t>)</w:t>
      </w:r>
      <w:r w:rsidR="00187077" w:rsidRPr="001E6906">
        <w:rPr>
          <w:rFonts w:ascii="Arial" w:hAnsi="Arial" w:cs="Arial"/>
          <w:sz w:val="22"/>
          <w:szCs w:val="22"/>
        </w:rPr>
        <w:t xml:space="preserve"> and </w:t>
      </w:r>
      <w:r w:rsidRPr="001E6906">
        <w:rPr>
          <w:rFonts w:ascii="Arial" w:hAnsi="Arial" w:cs="Arial"/>
          <w:sz w:val="22"/>
          <w:szCs w:val="22"/>
        </w:rPr>
        <w:t>PLFS (2022-23)</w:t>
      </w:r>
      <w:r w:rsidR="00187077" w:rsidRPr="001E6906">
        <w:rPr>
          <w:rFonts w:ascii="Arial" w:hAnsi="Arial" w:cs="Arial"/>
          <w:sz w:val="22"/>
          <w:szCs w:val="22"/>
        </w:rPr>
        <w:t xml:space="preserve"> are represented </w:t>
      </w:r>
      <w:r w:rsidR="00615142" w:rsidRPr="001E6906">
        <w:rPr>
          <w:rFonts w:ascii="Arial" w:hAnsi="Arial" w:cs="Arial"/>
          <w:sz w:val="22"/>
          <w:szCs w:val="22"/>
        </w:rPr>
        <w:t>in</w:t>
      </w:r>
      <w:r w:rsidR="00187077" w:rsidRPr="001E6906">
        <w:rPr>
          <w:rFonts w:ascii="Arial" w:hAnsi="Arial" w:cs="Arial"/>
          <w:sz w:val="22"/>
          <w:szCs w:val="22"/>
        </w:rPr>
        <w:t xml:space="preserve"> </w:t>
      </w:r>
      <w:r w:rsidR="00615142" w:rsidRPr="001E6906">
        <w:rPr>
          <w:rFonts w:ascii="Arial" w:hAnsi="Arial" w:cs="Arial"/>
          <w:sz w:val="22"/>
          <w:szCs w:val="22"/>
        </w:rPr>
        <w:t>T</w:t>
      </w:r>
      <w:r w:rsidR="00187077" w:rsidRPr="001E6906">
        <w:rPr>
          <w:rFonts w:ascii="Arial" w:hAnsi="Arial" w:cs="Arial"/>
          <w:sz w:val="22"/>
          <w:szCs w:val="22"/>
        </w:rPr>
        <w:t xml:space="preserve">able </w:t>
      </w:r>
      <w:r w:rsidR="00615142" w:rsidRPr="001E6906">
        <w:rPr>
          <w:rFonts w:ascii="Arial" w:hAnsi="Arial" w:cs="Arial"/>
          <w:sz w:val="22"/>
          <w:szCs w:val="22"/>
        </w:rPr>
        <w:t>3.</w:t>
      </w:r>
    </w:p>
    <w:tbl>
      <w:tblPr>
        <w:tblStyle w:val="TableGrid"/>
        <w:tblW w:w="0" w:type="auto"/>
        <w:tblLook w:val="04A0" w:firstRow="1" w:lastRow="0" w:firstColumn="1" w:lastColumn="0" w:noHBand="0" w:noVBand="1"/>
      </w:tblPr>
      <w:tblGrid>
        <w:gridCol w:w="1700"/>
        <w:gridCol w:w="740"/>
        <w:gridCol w:w="877"/>
        <w:gridCol w:w="910"/>
        <w:gridCol w:w="759"/>
        <w:gridCol w:w="912"/>
        <w:gridCol w:w="910"/>
        <w:gridCol w:w="720"/>
        <w:gridCol w:w="912"/>
        <w:gridCol w:w="910"/>
      </w:tblGrid>
      <w:tr w:rsidR="004E6C6D" w:rsidRPr="001E6906" w14:paraId="6213B962" w14:textId="77777777" w:rsidTr="00DC2374">
        <w:tc>
          <w:tcPr>
            <w:tcW w:w="9350" w:type="dxa"/>
            <w:gridSpan w:val="10"/>
          </w:tcPr>
          <w:p w14:paraId="26854779"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lastRenderedPageBreak/>
              <w:t>Table</w:t>
            </w:r>
            <w:r w:rsidR="00187077" w:rsidRPr="001E6906">
              <w:rPr>
                <w:rFonts w:ascii="Arial" w:hAnsi="Arial" w:cs="Arial"/>
                <w:sz w:val="22"/>
                <w:szCs w:val="22"/>
              </w:rPr>
              <w:t xml:space="preserve"> </w:t>
            </w:r>
            <w:r w:rsidR="00D0293F" w:rsidRPr="001E6906">
              <w:rPr>
                <w:rFonts w:ascii="Arial" w:hAnsi="Arial" w:cs="Arial"/>
                <w:sz w:val="22"/>
                <w:szCs w:val="22"/>
              </w:rPr>
              <w:t>3</w:t>
            </w:r>
            <w:r w:rsidRPr="001E6906">
              <w:rPr>
                <w:rFonts w:ascii="Arial" w:hAnsi="Arial" w:cs="Arial"/>
                <w:sz w:val="22"/>
                <w:szCs w:val="22"/>
              </w:rPr>
              <w:t>:</w:t>
            </w:r>
            <w:r w:rsidR="00D0293F" w:rsidRPr="001E6906">
              <w:rPr>
                <w:rFonts w:ascii="Arial" w:hAnsi="Arial" w:cs="Arial"/>
                <w:sz w:val="22"/>
                <w:szCs w:val="22"/>
              </w:rPr>
              <w:t xml:space="preserve"> Unemployment Rate (in percent) according to usual status (</w:t>
            </w:r>
            <w:proofErr w:type="spellStart"/>
            <w:r w:rsidR="00D0293F" w:rsidRPr="001E6906">
              <w:rPr>
                <w:rFonts w:ascii="Arial" w:hAnsi="Arial" w:cs="Arial"/>
                <w:sz w:val="22"/>
                <w:szCs w:val="22"/>
              </w:rPr>
              <w:t>ps+ss</w:t>
            </w:r>
            <w:proofErr w:type="spellEnd"/>
            <w:r w:rsidR="00D0293F" w:rsidRPr="001E6906">
              <w:rPr>
                <w:rFonts w:ascii="Arial" w:hAnsi="Arial" w:cs="Arial"/>
                <w:sz w:val="22"/>
                <w:szCs w:val="22"/>
              </w:rPr>
              <w:t>) and CWS estimated from PLFS (2029-20&amp;2022-23)</w:t>
            </w:r>
          </w:p>
        </w:tc>
      </w:tr>
      <w:tr w:rsidR="004E6C6D" w:rsidRPr="001E6906" w14:paraId="142E3CEA" w14:textId="77777777" w:rsidTr="00D0293F">
        <w:tc>
          <w:tcPr>
            <w:tcW w:w="1749" w:type="dxa"/>
            <w:vMerge w:val="restart"/>
          </w:tcPr>
          <w:p w14:paraId="29BBC8EF"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status</w:t>
            </w:r>
          </w:p>
        </w:tc>
        <w:tc>
          <w:tcPr>
            <w:tcW w:w="2468" w:type="dxa"/>
            <w:gridSpan w:val="3"/>
          </w:tcPr>
          <w:p w14:paraId="2418349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PLFS (2017-18)</w:t>
            </w:r>
          </w:p>
          <w:p w14:paraId="4FA7694A"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(1)</w:t>
            </w:r>
          </w:p>
        </w:tc>
        <w:tc>
          <w:tcPr>
            <w:tcW w:w="2587" w:type="dxa"/>
            <w:gridSpan w:val="3"/>
          </w:tcPr>
          <w:p w14:paraId="647F1831"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PLFS (2018-19)</w:t>
            </w:r>
          </w:p>
          <w:p w14:paraId="7AD0079C"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(2)</w:t>
            </w:r>
          </w:p>
        </w:tc>
        <w:tc>
          <w:tcPr>
            <w:tcW w:w="2546" w:type="dxa"/>
            <w:gridSpan w:val="3"/>
          </w:tcPr>
          <w:p w14:paraId="19C0D68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PLFS (2019-20)</w:t>
            </w:r>
          </w:p>
          <w:p w14:paraId="15F286E8"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(3)</w:t>
            </w:r>
          </w:p>
        </w:tc>
      </w:tr>
      <w:tr w:rsidR="004E6C6D" w:rsidRPr="001E6906" w14:paraId="61523855" w14:textId="77777777" w:rsidTr="00D0293F">
        <w:tc>
          <w:tcPr>
            <w:tcW w:w="1749" w:type="dxa"/>
            <w:vMerge/>
          </w:tcPr>
          <w:p w14:paraId="4CE38D30" w14:textId="77777777" w:rsidR="004E6C6D" w:rsidRPr="001E6906" w:rsidRDefault="004E6C6D" w:rsidP="006E2238">
            <w:pPr>
              <w:spacing w:line="360" w:lineRule="auto"/>
              <w:jc w:val="both"/>
              <w:rPr>
                <w:rFonts w:ascii="Arial" w:hAnsi="Arial" w:cs="Arial"/>
                <w:sz w:val="22"/>
                <w:szCs w:val="22"/>
              </w:rPr>
            </w:pPr>
          </w:p>
        </w:tc>
        <w:tc>
          <w:tcPr>
            <w:tcW w:w="742" w:type="dxa"/>
          </w:tcPr>
          <w:p w14:paraId="50AC3C69"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male</w:t>
            </w:r>
          </w:p>
        </w:tc>
        <w:tc>
          <w:tcPr>
            <w:tcW w:w="815" w:type="dxa"/>
          </w:tcPr>
          <w:p w14:paraId="7A96570A"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female</w:t>
            </w:r>
          </w:p>
        </w:tc>
        <w:tc>
          <w:tcPr>
            <w:tcW w:w="911" w:type="dxa"/>
          </w:tcPr>
          <w:p w14:paraId="74962519"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person</w:t>
            </w:r>
          </w:p>
        </w:tc>
        <w:tc>
          <w:tcPr>
            <w:tcW w:w="762" w:type="dxa"/>
          </w:tcPr>
          <w:p w14:paraId="3F1A23B2"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male</w:t>
            </w:r>
          </w:p>
        </w:tc>
        <w:tc>
          <w:tcPr>
            <w:tcW w:w="914" w:type="dxa"/>
          </w:tcPr>
          <w:p w14:paraId="68D847FE"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female</w:t>
            </w:r>
          </w:p>
        </w:tc>
        <w:tc>
          <w:tcPr>
            <w:tcW w:w="911" w:type="dxa"/>
          </w:tcPr>
          <w:p w14:paraId="4C4EBD6E"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person</w:t>
            </w:r>
          </w:p>
        </w:tc>
        <w:tc>
          <w:tcPr>
            <w:tcW w:w="721" w:type="dxa"/>
          </w:tcPr>
          <w:p w14:paraId="03C5FCDB"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male</w:t>
            </w:r>
          </w:p>
        </w:tc>
        <w:tc>
          <w:tcPr>
            <w:tcW w:w="914" w:type="dxa"/>
          </w:tcPr>
          <w:p w14:paraId="5D821381"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female</w:t>
            </w:r>
          </w:p>
        </w:tc>
        <w:tc>
          <w:tcPr>
            <w:tcW w:w="911" w:type="dxa"/>
          </w:tcPr>
          <w:p w14:paraId="623333AC"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person</w:t>
            </w:r>
          </w:p>
        </w:tc>
      </w:tr>
      <w:tr w:rsidR="004E6C6D" w:rsidRPr="001E6906" w14:paraId="24BA9939" w14:textId="77777777" w:rsidTr="00DC2374">
        <w:tc>
          <w:tcPr>
            <w:tcW w:w="9350" w:type="dxa"/>
            <w:gridSpan w:val="10"/>
          </w:tcPr>
          <w:p w14:paraId="2A47EF78"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rural</w:t>
            </w:r>
          </w:p>
        </w:tc>
      </w:tr>
      <w:tr w:rsidR="004E6C6D" w:rsidRPr="001E6906" w14:paraId="31EA3CFD" w14:textId="77777777" w:rsidTr="00D0293F">
        <w:tc>
          <w:tcPr>
            <w:tcW w:w="1749" w:type="dxa"/>
          </w:tcPr>
          <w:p w14:paraId="2594F640"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Usual status</w:t>
            </w:r>
          </w:p>
        </w:tc>
        <w:tc>
          <w:tcPr>
            <w:tcW w:w="742" w:type="dxa"/>
          </w:tcPr>
          <w:p w14:paraId="5EB7C738"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5.8</w:t>
            </w:r>
          </w:p>
        </w:tc>
        <w:tc>
          <w:tcPr>
            <w:tcW w:w="815" w:type="dxa"/>
          </w:tcPr>
          <w:p w14:paraId="4B62A49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3.8</w:t>
            </w:r>
          </w:p>
        </w:tc>
        <w:tc>
          <w:tcPr>
            <w:tcW w:w="911" w:type="dxa"/>
          </w:tcPr>
          <w:p w14:paraId="2251B26A"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5.3</w:t>
            </w:r>
          </w:p>
        </w:tc>
        <w:tc>
          <w:tcPr>
            <w:tcW w:w="762" w:type="dxa"/>
          </w:tcPr>
          <w:p w14:paraId="333659C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5.6</w:t>
            </w:r>
          </w:p>
        </w:tc>
        <w:tc>
          <w:tcPr>
            <w:tcW w:w="914" w:type="dxa"/>
          </w:tcPr>
          <w:p w14:paraId="471E4BB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3.5</w:t>
            </w:r>
          </w:p>
        </w:tc>
        <w:tc>
          <w:tcPr>
            <w:tcW w:w="911" w:type="dxa"/>
          </w:tcPr>
          <w:p w14:paraId="704C201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5.0</w:t>
            </w:r>
          </w:p>
        </w:tc>
        <w:tc>
          <w:tcPr>
            <w:tcW w:w="721" w:type="dxa"/>
          </w:tcPr>
          <w:p w14:paraId="3379214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4.5</w:t>
            </w:r>
          </w:p>
        </w:tc>
        <w:tc>
          <w:tcPr>
            <w:tcW w:w="914" w:type="dxa"/>
          </w:tcPr>
          <w:p w14:paraId="48FE565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2.6</w:t>
            </w:r>
          </w:p>
        </w:tc>
        <w:tc>
          <w:tcPr>
            <w:tcW w:w="911" w:type="dxa"/>
          </w:tcPr>
          <w:p w14:paraId="6044291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4.0</w:t>
            </w:r>
          </w:p>
        </w:tc>
      </w:tr>
      <w:tr w:rsidR="004E6C6D" w:rsidRPr="001E6906" w14:paraId="16E9F918" w14:textId="77777777" w:rsidTr="00D0293F">
        <w:tc>
          <w:tcPr>
            <w:tcW w:w="1749" w:type="dxa"/>
          </w:tcPr>
          <w:p w14:paraId="02328EA1"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CWS</w:t>
            </w:r>
          </w:p>
        </w:tc>
        <w:tc>
          <w:tcPr>
            <w:tcW w:w="742" w:type="dxa"/>
          </w:tcPr>
          <w:p w14:paraId="68966C5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8.8</w:t>
            </w:r>
          </w:p>
        </w:tc>
        <w:tc>
          <w:tcPr>
            <w:tcW w:w="815" w:type="dxa"/>
          </w:tcPr>
          <w:p w14:paraId="6DC7F644"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7.7</w:t>
            </w:r>
          </w:p>
        </w:tc>
        <w:tc>
          <w:tcPr>
            <w:tcW w:w="911" w:type="dxa"/>
          </w:tcPr>
          <w:p w14:paraId="2B3F6E50"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8.5</w:t>
            </w:r>
          </w:p>
        </w:tc>
        <w:tc>
          <w:tcPr>
            <w:tcW w:w="762" w:type="dxa"/>
          </w:tcPr>
          <w:p w14:paraId="3B77C43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8.7</w:t>
            </w:r>
          </w:p>
        </w:tc>
        <w:tc>
          <w:tcPr>
            <w:tcW w:w="914" w:type="dxa"/>
          </w:tcPr>
          <w:p w14:paraId="7CAF1A9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7.3</w:t>
            </w:r>
          </w:p>
        </w:tc>
        <w:tc>
          <w:tcPr>
            <w:tcW w:w="911" w:type="dxa"/>
          </w:tcPr>
          <w:p w14:paraId="649BFDED"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8.4</w:t>
            </w:r>
          </w:p>
        </w:tc>
        <w:tc>
          <w:tcPr>
            <w:tcW w:w="721" w:type="dxa"/>
          </w:tcPr>
          <w:p w14:paraId="4F695CAA"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8.7</w:t>
            </w:r>
          </w:p>
        </w:tc>
        <w:tc>
          <w:tcPr>
            <w:tcW w:w="914" w:type="dxa"/>
          </w:tcPr>
          <w:p w14:paraId="1814D15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5.5</w:t>
            </w:r>
          </w:p>
        </w:tc>
        <w:tc>
          <w:tcPr>
            <w:tcW w:w="911" w:type="dxa"/>
          </w:tcPr>
          <w:p w14:paraId="71B0639A"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7.9</w:t>
            </w:r>
          </w:p>
        </w:tc>
      </w:tr>
      <w:tr w:rsidR="004E6C6D" w:rsidRPr="001E6906" w14:paraId="5CE2AC0F" w14:textId="77777777" w:rsidTr="00DC2374">
        <w:tc>
          <w:tcPr>
            <w:tcW w:w="9350" w:type="dxa"/>
            <w:gridSpan w:val="10"/>
          </w:tcPr>
          <w:p w14:paraId="2905C1A5"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urban</w:t>
            </w:r>
          </w:p>
        </w:tc>
      </w:tr>
      <w:tr w:rsidR="004E6C6D" w:rsidRPr="001E6906" w14:paraId="54D9F545" w14:textId="77777777" w:rsidTr="00D0293F">
        <w:tc>
          <w:tcPr>
            <w:tcW w:w="1749" w:type="dxa"/>
          </w:tcPr>
          <w:p w14:paraId="7EEFA279"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Usual status</w:t>
            </w:r>
          </w:p>
        </w:tc>
        <w:tc>
          <w:tcPr>
            <w:tcW w:w="742" w:type="dxa"/>
          </w:tcPr>
          <w:p w14:paraId="4A38F2C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7.1</w:t>
            </w:r>
          </w:p>
        </w:tc>
        <w:tc>
          <w:tcPr>
            <w:tcW w:w="815" w:type="dxa"/>
          </w:tcPr>
          <w:p w14:paraId="05C732B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10.8</w:t>
            </w:r>
          </w:p>
        </w:tc>
        <w:tc>
          <w:tcPr>
            <w:tcW w:w="911" w:type="dxa"/>
          </w:tcPr>
          <w:p w14:paraId="45F219B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7.8</w:t>
            </w:r>
          </w:p>
        </w:tc>
        <w:tc>
          <w:tcPr>
            <w:tcW w:w="762" w:type="dxa"/>
          </w:tcPr>
          <w:p w14:paraId="73D2070D"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7.1</w:t>
            </w:r>
          </w:p>
        </w:tc>
        <w:tc>
          <w:tcPr>
            <w:tcW w:w="914" w:type="dxa"/>
          </w:tcPr>
          <w:p w14:paraId="5B65820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9.9</w:t>
            </w:r>
          </w:p>
        </w:tc>
        <w:tc>
          <w:tcPr>
            <w:tcW w:w="911" w:type="dxa"/>
          </w:tcPr>
          <w:p w14:paraId="603AD7A8"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7.7</w:t>
            </w:r>
          </w:p>
        </w:tc>
        <w:tc>
          <w:tcPr>
            <w:tcW w:w="721" w:type="dxa"/>
          </w:tcPr>
          <w:p w14:paraId="4C7024F1"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6.4</w:t>
            </w:r>
          </w:p>
        </w:tc>
        <w:tc>
          <w:tcPr>
            <w:tcW w:w="914" w:type="dxa"/>
          </w:tcPr>
          <w:p w14:paraId="0546146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8.9</w:t>
            </w:r>
          </w:p>
        </w:tc>
        <w:tc>
          <w:tcPr>
            <w:tcW w:w="911" w:type="dxa"/>
          </w:tcPr>
          <w:p w14:paraId="6C88BD7A"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7.0</w:t>
            </w:r>
          </w:p>
        </w:tc>
      </w:tr>
      <w:tr w:rsidR="004E6C6D" w:rsidRPr="001E6906" w14:paraId="6E77E888" w14:textId="77777777" w:rsidTr="00D0293F">
        <w:tc>
          <w:tcPr>
            <w:tcW w:w="1749" w:type="dxa"/>
          </w:tcPr>
          <w:p w14:paraId="48A32CF6"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CWS</w:t>
            </w:r>
          </w:p>
        </w:tc>
        <w:tc>
          <w:tcPr>
            <w:tcW w:w="742" w:type="dxa"/>
          </w:tcPr>
          <w:p w14:paraId="3700AB7D"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8.8</w:t>
            </w:r>
          </w:p>
        </w:tc>
        <w:tc>
          <w:tcPr>
            <w:tcW w:w="815" w:type="dxa"/>
          </w:tcPr>
          <w:p w14:paraId="2FBFB73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12.8</w:t>
            </w:r>
          </w:p>
        </w:tc>
        <w:tc>
          <w:tcPr>
            <w:tcW w:w="911" w:type="dxa"/>
          </w:tcPr>
          <w:p w14:paraId="68E5C7B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9.6</w:t>
            </w:r>
          </w:p>
        </w:tc>
        <w:tc>
          <w:tcPr>
            <w:tcW w:w="762" w:type="dxa"/>
          </w:tcPr>
          <w:p w14:paraId="522CDEC0"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8.9</w:t>
            </w:r>
          </w:p>
        </w:tc>
        <w:tc>
          <w:tcPr>
            <w:tcW w:w="914" w:type="dxa"/>
          </w:tcPr>
          <w:p w14:paraId="1E6A48F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12.1</w:t>
            </w:r>
          </w:p>
        </w:tc>
        <w:tc>
          <w:tcPr>
            <w:tcW w:w="911" w:type="dxa"/>
          </w:tcPr>
          <w:p w14:paraId="6E7DDDB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9.5</w:t>
            </w:r>
          </w:p>
        </w:tc>
        <w:tc>
          <w:tcPr>
            <w:tcW w:w="721" w:type="dxa"/>
          </w:tcPr>
          <w:p w14:paraId="6DAF488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10.6</w:t>
            </w:r>
          </w:p>
        </w:tc>
        <w:tc>
          <w:tcPr>
            <w:tcW w:w="914" w:type="dxa"/>
          </w:tcPr>
          <w:p w14:paraId="787DA8A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12.4</w:t>
            </w:r>
          </w:p>
        </w:tc>
        <w:tc>
          <w:tcPr>
            <w:tcW w:w="911" w:type="dxa"/>
          </w:tcPr>
          <w:p w14:paraId="07BCBBA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11.0</w:t>
            </w:r>
          </w:p>
        </w:tc>
      </w:tr>
      <w:tr w:rsidR="004E6C6D" w:rsidRPr="001E6906" w14:paraId="41F59B6D" w14:textId="77777777" w:rsidTr="00DC2374">
        <w:tc>
          <w:tcPr>
            <w:tcW w:w="9350" w:type="dxa"/>
            <w:gridSpan w:val="10"/>
          </w:tcPr>
          <w:p w14:paraId="092094B5"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Rural+ urban</w:t>
            </w:r>
          </w:p>
        </w:tc>
      </w:tr>
      <w:tr w:rsidR="004E6C6D" w:rsidRPr="001E6906" w14:paraId="623D29A5" w14:textId="77777777" w:rsidTr="00D0293F">
        <w:tc>
          <w:tcPr>
            <w:tcW w:w="1749" w:type="dxa"/>
          </w:tcPr>
          <w:p w14:paraId="06587CDE"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Usual status</w:t>
            </w:r>
          </w:p>
        </w:tc>
        <w:tc>
          <w:tcPr>
            <w:tcW w:w="742" w:type="dxa"/>
          </w:tcPr>
          <w:p w14:paraId="0BBB0314"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6.2</w:t>
            </w:r>
          </w:p>
        </w:tc>
        <w:tc>
          <w:tcPr>
            <w:tcW w:w="815" w:type="dxa"/>
          </w:tcPr>
          <w:p w14:paraId="2071D31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5.7</w:t>
            </w:r>
          </w:p>
        </w:tc>
        <w:tc>
          <w:tcPr>
            <w:tcW w:w="911" w:type="dxa"/>
          </w:tcPr>
          <w:p w14:paraId="49BC9F8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6.1</w:t>
            </w:r>
          </w:p>
        </w:tc>
        <w:tc>
          <w:tcPr>
            <w:tcW w:w="762" w:type="dxa"/>
          </w:tcPr>
          <w:p w14:paraId="6440ED62"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6.0</w:t>
            </w:r>
          </w:p>
        </w:tc>
        <w:tc>
          <w:tcPr>
            <w:tcW w:w="914" w:type="dxa"/>
          </w:tcPr>
          <w:p w14:paraId="29DFC5A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5.2</w:t>
            </w:r>
          </w:p>
        </w:tc>
        <w:tc>
          <w:tcPr>
            <w:tcW w:w="911" w:type="dxa"/>
          </w:tcPr>
          <w:p w14:paraId="08AE9DF1"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5.8</w:t>
            </w:r>
          </w:p>
        </w:tc>
        <w:tc>
          <w:tcPr>
            <w:tcW w:w="721" w:type="dxa"/>
          </w:tcPr>
          <w:p w14:paraId="2DEDED3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5.1</w:t>
            </w:r>
          </w:p>
        </w:tc>
        <w:tc>
          <w:tcPr>
            <w:tcW w:w="914" w:type="dxa"/>
          </w:tcPr>
          <w:p w14:paraId="1BB1EF1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4.2</w:t>
            </w:r>
          </w:p>
        </w:tc>
        <w:tc>
          <w:tcPr>
            <w:tcW w:w="911" w:type="dxa"/>
          </w:tcPr>
          <w:p w14:paraId="142ECB62"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4.8</w:t>
            </w:r>
          </w:p>
        </w:tc>
      </w:tr>
      <w:tr w:rsidR="004E6C6D" w:rsidRPr="001E6906" w14:paraId="769D2C74" w14:textId="77777777" w:rsidTr="00D0293F">
        <w:tc>
          <w:tcPr>
            <w:tcW w:w="1749" w:type="dxa"/>
          </w:tcPr>
          <w:p w14:paraId="5F737DE0"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CWS</w:t>
            </w:r>
          </w:p>
        </w:tc>
        <w:tc>
          <w:tcPr>
            <w:tcW w:w="742" w:type="dxa"/>
          </w:tcPr>
          <w:p w14:paraId="6CB0D988"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8.8</w:t>
            </w:r>
          </w:p>
        </w:tc>
        <w:tc>
          <w:tcPr>
            <w:tcW w:w="815" w:type="dxa"/>
          </w:tcPr>
          <w:p w14:paraId="57962A78"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9.1</w:t>
            </w:r>
          </w:p>
        </w:tc>
        <w:tc>
          <w:tcPr>
            <w:tcW w:w="911" w:type="dxa"/>
          </w:tcPr>
          <w:p w14:paraId="36E8255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8.9</w:t>
            </w:r>
          </w:p>
        </w:tc>
        <w:tc>
          <w:tcPr>
            <w:tcW w:w="762" w:type="dxa"/>
          </w:tcPr>
          <w:p w14:paraId="02EE76F2"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8.8</w:t>
            </w:r>
          </w:p>
        </w:tc>
        <w:tc>
          <w:tcPr>
            <w:tcW w:w="914" w:type="dxa"/>
          </w:tcPr>
          <w:p w14:paraId="1155D5B1"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8.7</w:t>
            </w:r>
          </w:p>
        </w:tc>
        <w:tc>
          <w:tcPr>
            <w:tcW w:w="911" w:type="dxa"/>
          </w:tcPr>
          <w:p w14:paraId="24F3AE7D"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8.8</w:t>
            </w:r>
          </w:p>
        </w:tc>
        <w:tc>
          <w:tcPr>
            <w:tcW w:w="721" w:type="dxa"/>
          </w:tcPr>
          <w:p w14:paraId="3379AAF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9.3</w:t>
            </w:r>
          </w:p>
        </w:tc>
        <w:tc>
          <w:tcPr>
            <w:tcW w:w="914" w:type="dxa"/>
          </w:tcPr>
          <w:p w14:paraId="5DA03FA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7.3</w:t>
            </w:r>
          </w:p>
        </w:tc>
        <w:tc>
          <w:tcPr>
            <w:tcW w:w="911" w:type="dxa"/>
          </w:tcPr>
          <w:p w14:paraId="67B71B3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8.8</w:t>
            </w:r>
          </w:p>
        </w:tc>
      </w:tr>
    </w:tbl>
    <w:p w14:paraId="06BF65EA" w14:textId="77777777" w:rsidR="004E6C6D" w:rsidRPr="001E6906" w:rsidRDefault="004E6C6D" w:rsidP="006E2238">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705"/>
        <w:gridCol w:w="740"/>
        <w:gridCol w:w="877"/>
        <w:gridCol w:w="909"/>
        <w:gridCol w:w="758"/>
        <w:gridCol w:w="912"/>
        <w:gridCol w:w="909"/>
        <w:gridCol w:w="719"/>
        <w:gridCol w:w="912"/>
        <w:gridCol w:w="909"/>
      </w:tblGrid>
      <w:tr w:rsidR="004E6C6D" w:rsidRPr="001E6906" w14:paraId="23846D3E" w14:textId="77777777" w:rsidTr="00B83B5D">
        <w:tc>
          <w:tcPr>
            <w:tcW w:w="1733" w:type="dxa"/>
            <w:vMerge w:val="restart"/>
          </w:tcPr>
          <w:p w14:paraId="77B57A93"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status</w:t>
            </w:r>
          </w:p>
        </w:tc>
        <w:tc>
          <w:tcPr>
            <w:tcW w:w="2491" w:type="dxa"/>
            <w:gridSpan w:val="3"/>
          </w:tcPr>
          <w:p w14:paraId="082C5EE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PLFS (2020-21)</w:t>
            </w:r>
          </w:p>
          <w:p w14:paraId="294277CD"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(4)</w:t>
            </w:r>
          </w:p>
        </w:tc>
        <w:tc>
          <w:tcPr>
            <w:tcW w:w="2583" w:type="dxa"/>
            <w:gridSpan w:val="3"/>
          </w:tcPr>
          <w:p w14:paraId="75FAB4C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PLFS (2021-22)</w:t>
            </w:r>
          </w:p>
          <w:p w14:paraId="2DF75206"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(5)</w:t>
            </w:r>
          </w:p>
        </w:tc>
        <w:tc>
          <w:tcPr>
            <w:tcW w:w="2543" w:type="dxa"/>
            <w:gridSpan w:val="3"/>
          </w:tcPr>
          <w:p w14:paraId="04128E8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PLFS (2022-23)</w:t>
            </w:r>
          </w:p>
          <w:p w14:paraId="56F22BBA" w14:textId="77777777" w:rsidR="00D0293F" w:rsidRPr="001E6906" w:rsidRDefault="00D0293F" w:rsidP="006E2238">
            <w:pPr>
              <w:spacing w:line="360" w:lineRule="auto"/>
              <w:jc w:val="center"/>
              <w:rPr>
                <w:rFonts w:ascii="Arial" w:hAnsi="Arial" w:cs="Arial"/>
                <w:sz w:val="22"/>
                <w:szCs w:val="22"/>
              </w:rPr>
            </w:pPr>
            <w:r w:rsidRPr="001E6906">
              <w:rPr>
                <w:rFonts w:ascii="Arial" w:hAnsi="Arial" w:cs="Arial"/>
                <w:sz w:val="22"/>
                <w:szCs w:val="22"/>
              </w:rPr>
              <w:t>(6)</w:t>
            </w:r>
          </w:p>
        </w:tc>
      </w:tr>
      <w:tr w:rsidR="004E6C6D" w:rsidRPr="001E6906" w14:paraId="5642A3BA" w14:textId="77777777" w:rsidTr="00B83B5D">
        <w:tc>
          <w:tcPr>
            <w:tcW w:w="1733" w:type="dxa"/>
            <w:vMerge/>
          </w:tcPr>
          <w:p w14:paraId="2A5FA1DE" w14:textId="77777777" w:rsidR="004E6C6D" w:rsidRPr="001E6906" w:rsidRDefault="004E6C6D" w:rsidP="006E2238">
            <w:pPr>
              <w:spacing w:line="360" w:lineRule="auto"/>
              <w:jc w:val="both"/>
              <w:rPr>
                <w:rFonts w:ascii="Arial" w:hAnsi="Arial" w:cs="Arial"/>
                <w:sz w:val="22"/>
                <w:szCs w:val="22"/>
              </w:rPr>
            </w:pPr>
          </w:p>
        </w:tc>
        <w:tc>
          <w:tcPr>
            <w:tcW w:w="742" w:type="dxa"/>
          </w:tcPr>
          <w:p w14:paraId="31D179EC"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male</w:t>
            </w:r>
          </w:p>
        </w:tc>
        <w:tc>
          <w:tcPr>
            <w:tcW w:w="839" w:type="dxa"/>
          </w:tcPr>
          <w:p w14:paraId="4C3F1605"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female</w:t>
            </w:r>
          </w:p>
        </w:tc>
        <w:tc>
          <w:tcPr>
            <w:tcW w:w="910" w:type="dxa"/>
          </w:tcPr>
          <w:p w14:paraId="2B3C9C01"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person</w:t>
            </w:r>
          </w:p>
        </w:tc>
        <w:tc>
          <w:tcPr>
            <w:tcW w:w="760" w:type="dxa"/>
          </w:tcPr>
          <w:p w14:paraId="4F399234"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male</w:t>
            </w:r>
          </w:p>
        </w:tc>
        <w:tc>
          <w:tcPr>
            <w:tcW w:w="913" w:type="dxa"/>
          </w:tcPr>
          <w:p w14:paraId="6EAAA570"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female</w:t>
            </w:r>
          </w:p>
        </w:tc>
        <w:tc>
          <w:tcPr>
            <w:tcW w:w="910" w:type="dxa"/>
          </w:tcPr>
          <w:p w14:paraId="23999DA5"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person</w:t>
            </w:r>
          </w:p>
        </w:tc>
        <w:tc>
          <w:tcPr>
            <w:tcW w:w="720" w:type="dxa"/>
          </w:tcPr>
          <w:p w14:paraId="57418241"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male</w:t>
            </w:r>
          </w:p>
        </w:tc>
        <w:tc>
          <w:tcPr>
            <w:tcW w:w="913" w:type="dxa"/>
          </w:tcPr>
          <w:p w14:paraId="072EE41D"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female</w:t>
            </w:r>
          </w:p>
        </w:tc>
        <w:tc>
          <w:tcPr>
            <w:tcW w:w="910" w:type="dxa"/>
          </w:tcPr>
          <w:p w14:paraId="2CF1E09D"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person</w:t>
            </w:r>
          </w:p>
        </w:tc>
      </w:tr>
      <w:tr w:rsidR="004E6C6D" w:rsidRPr="001E6906" w14:paraId="0EC47549" w14:textId="77777777" w:rsidTr="00DC2374">
        <w:tc>
          <w:tcPr>
            <w:tcW w:w="9350" w:type="dxa"/>
            <w:gridSpan w:val="10"/>
          </w:tcPr>
          <w:p w14:paraId="558FF55B"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rural</w:t>
            </w:r>
          </w:p>
        </w:tc>
      </w:tr>
      <w:tr w:rsidR="004E6C6D" w:rsidRPr="001E6906" w14:paraId="58A0B663" w14:textId="77777777" w:rsidTr="00B83B5D">
        <w:tc>
          <w:tcPr>
            <w:tcW w:w="1733" w:type="dxa"/>
          </w:tcPr>
          <w:p w14:paraId="21D4211A"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Usual status</w:t>
            </w:r>
          </w:p>
        </w:tc>
        <w:tc>
          <w:tcPr>
            <w:tcW w:w="742" w:type="dxa"/>
          </w:tcPr>
          <w:p w14:paraId="6206A308"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3.9</w:t>
            </w:r>
          </w:p>
        </w:tc>
        <w:tc>
          <w:tcPr>
            <w:tcW w:w="839" w:type="dxa"/>
          </w:tcPr>
          <w:p w14:paraId="33A959C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2.1</w:t>
            </w:r>
          </w:p>
        </w:tc>
        <w:tc>
          <w:tcPr>
            <w:tcW w:w="910" w:type="dxa"/>
          </w:tcPr>
          <w:p w14:paraId="02E5E20A"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3.3</w:t>
            </w:r>
          </w:p>
        </w:tc>
        <w:tc>
          <w:tcPr>
            <w:tcW w:w="760" w:type="dxa"/>
          </w:tcPr>
          <w:p w14:paraId="481D5CB2"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3.8</w:t>
            </w:r>
          </w:p>
        </w:tc>
        <w:tc>
          <w:tcPr>
            <w:tcW w:w="913" w:type="dxa"/>
          </w:tcPr>
          <w:p w14:paraId="2979E1F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2.1</w:t>
            </w:r>
          </w:p>
        </w:tc>
        <w:tc>
          <w:tcPr>
            <w:tcW w:w="910" w:type="dxa"/>
          </w:tcPr>
          <w:p w14:paraId="43DDE41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3.3</w:t>
            </w:r>
          </w:p>
        </w:tc>
        <w:tc>
          <w:tcPr>
            <w:tcW w:w="720" w:type="dxa"/>
          </w:tcPr>
          <w:p w14:paraId="32853F9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2.8</w:t>
            </w:r>
          </w:p>
        </w:tc>
        <w:tc>
          <w:tcPr>
            <w:tcW w:w="913" w:type="dxa"/>
          </w:tcPr>
          <w:p w14:paraId="3CE67FB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1.8</w:t>
            </w:r>
          </w:p>
        </w:tc>
        <w:tc>
          <w:tcPr>
            <w:tcW w:w="910" w:type="dxa"/>
          </w:tcPr>
          <w:p w14:paraId="71BF72B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2.4</w:t>
            </w:r>
          </w:p>
        </w:tc>
      </w:tr>
      <w:tr w:rsidR="004E6C6D" w:rsidRPr="001E6906" w14:paraId="57E43FE6" w14:textId="77777777" w:rsidTr="00B83B5D">
        <w:tc>
          <w:tcPr>
            <w:tcW w:w="1733" w:type="dxa"/>
          </w:tcPr>
          <w:p w14:paraId="2881E0FD"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CWS</w:t>
            </w:r>
          </w:p>
        </w:tc>
        <w:tc>
          <w:tcPr>
            <w:tcW w:w="742" w:type="dxa"/>
          </w:tcPr>
          <w:p w14:paraId="19A1086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7.2</w:t>
            </w:r>
          </w:p>
        </w:tc>
        <w:tc>
          <w:tcPr>
            <w:tcW w:w="839" w:type="dxa"/>
          </w:tcPr>
          <w:p w14:paraId="51CC1DA0"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4.8</w:t>
            </w:r>
          </w:p>
        </w:tc>
        <w:tc>
          <w:tcPr>
            <w:tcW w:w="910" w:type="dxa"/>
          </w:tcPr>
          <w:p w14:paraId="1E99648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6.5</w:t>
            </w:r>
          </w:p>
        </w:tc>
        <w:tc>
          <w:tcPr>
            <w:tcW w:w="760" w:type="dxa"/>
          </w:tcPr>
          <w:p w14:paraId="7DB2945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6.5</w:t>
            </w:r>
          </w:p>
        </w:tc>
        <w:tc>
          <w:tcPr>
            <w:tcW w:w="913" w:type="dxa"/>
          </w:tcPr>
          <w:p w14:paraId="46F1ACC4"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4.6</w:t>
            </w:r>
          </w:p>
        </w:tc>
        <w:tc>
          <w:tcPr>
            <w:tcW w:w="910" w:type="dxa"/>
          </w:tcPr>
          <w:p w14:paraId="407DA8E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6.0</w:t>
            </w:r>
          </w:p>
        </w:tc>
        <w:tc>
          <w:tcPr>
            <w:tcW w:w="720" w:type="dxa"/>
          </w:tcPr>
          <w:p w14:paraId="2FC58D9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4.6</w:t>
            </w:r>
          </w:p>
        </w:tc>
        <w:tc>
          <w:tcPr>
            <w:tcW w:w="913" w:type="dxa"/>
          </w:tcPr>
          <w:p w14:paraId="48D6CF3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4.0</w:t>
            </w:r>
          </w:p>
        </w:tc>
        <w:tc>
          <w:tcPr>
            <w:tcW w:w="910" w:type="dxa"/>
          </w:tcPr>
          <w:p w14:paraId="73D89BF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4.5</w:t>
            </w:r>
          </w:p>
        </w:tc>
      </w:tr>
      <w:tr w:rsidR="004E6C6D" w:rsidRPr="001E6906" w14:paraId="0ACAED2C" w14:textId="77777777" w:rsidTr="00DC2374">
        <w:tc>
          <w:tcPr>
            <w:tcW w:w="9350" w:type="dxa"/>
            <w:gridSpan w:val="10"/>
          </w:tcPr>
          <w:p w14:paraId="6A744D6B"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urban</w:t>
            </w:r>
          </w:p>
        </w:tc>
      </w:tr>
      <w:tr w:rsidR="004E6C6D" w:rsidRPr="001E6906" w14:paraId="08A4B202" w14:textId="77777777" w:rsidTr="00B83B5D">
        <w:tc>
          <w:tcPr>
            <w:tcW w:w="1733" w:type="dxa"/>
          </w:tcPr>
          <w:p w14:paraId="25F968A8"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Usual status</w:t>
            </w:r>
          </w:p>
        </w:tc>
        <w:tc>
          <w:tcPr>
            <w:tcW w:w="742" w:type="dxa"/>
          </w:tcPr>
          <w:p w14:paraId="6C30CD4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6.1</w:t>
            </w:r>
          </w:p>
        </w:tc>
        <w:tc>
          <w:tcPr>
            <w:tcW w:w="839" w:type="dxa"/>
          </w:tcPr>
          <w:p w14:paraId="2740B56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8.6</w:t>
            </w:r>
          </w:p>
        </w:tc>
        <w:tc>
          <w:tcPr>
            <w:tcW w:w="910" w:type="dxa"/>
          </w:tcPr>
          <w:p w14:paraId="787BED5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6.7</w:t>
            </w:r>
          </w:p>
        </w:tc>
        <w:tc>
          <w:tcPr>
            <w:tcW w:w="760" w:type="dxa"/>
          </w:tcPr>
          <w:p w14:paraId="454CC991"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5.8</w:t>
            </w:r>
          </w:p>
        </w:tc>
        <w:tc>
          <w:tcPr>
            <w:tcW w:w="913" w:type="dxa"/>
          </w:tcPr>
          <w:p w14:paraId="2DDDAAE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7.9</w:t>
            </w:r>
          </w:p>
        </w:tc>
        <w:tc>
          <w:tcPr>
            <w:tcW w:w="910" w:type="dxa"/>
          </w:tcPr>
          <w:p w14:paraId="2BF2109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6.3</w:t>
            </w:r>
          </w:p>
        </w:tc>
        <w:tc>
          <w:tcPr>
            <w:tcW w:w="720" w:type="dxa"/>
          </w:tcPr>
          <w:p w14:paraId="0074802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4.7</w:t>
            </w:r>
          </w:p>
        </w:tc>
        <w:tc>
          <w:tcPr>
            <w:tcW w:w="913" w:type="dxa"/>
          </w:tcPr>
          <w:p w14:paraId="10650A3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7.5</w:t>
            </w:r>
          </w:p>
        </w:tc>
        <w:tc>
          <w:tcPr>
            <w:tcW w:w="910" w:type="dxa"/>
          </w:tcPr>
          <w:p w14:paraId="0F45ED1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5.4</w:t>
            </w:r>
          </w:p>
        </w:tc>
      </w:tr>
      <w:tr w:rsidR="004E6C6D" w:rsidRPr="001E6906" w14:paraId="6E096368" w14:textId="77777777" w:rsidTr="00B83B5D">
        <w:tc>
          <w:tcPr>
            <w:tcW w:w="1733" w:type="dxa"/>
          </w:tcPr>
          <w:p w14:paraId="314DA61F"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CWS</w:t>
            </w:r>
          </w:p>
        </w:tc>
        <w:tc>
          <w:tcPr>
            <w:tcW w:w="742" w:type="dxa"/>
          </w:tcPr>
          <w:p w14:paraId="0AEAB59D"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9.4</w:t>
            </w:r>
          </w:p>
        </w:tc>
        <w:tc>
          <w:tcPr>
            <w:tcW w:w="839" w:type="dxa"/>
          </w:tcPr>
          <w:p w14:paraId="694608A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12.2</w:t>
            </w:r>
          </w:p>
        </w:tc>
        <w:tc>
          <w:tcPr>
            <w:tcW w:w="910" w:type="dxa"/>
          </w:tcPr>
          <w:p w14:paraId="3EC71B91"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10.1</w:t>
            </w:r>
          </w:p>
        </w:tc>
        <w:tc>
          <w:tcPr>
            <w:tcW w:w="760" w:type="dxa"/>
          </w:tcPr>
          <w:p w14:paraId="7779559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7.8</w:t>
            </w:r>
          </w:p>
        </w:tc>
        <w:tc>
          <w:tcPr>
            <w:tcW w:w="913" w:type="dxa"/>
          </w:tcPr>
          <w:p w14:paraId="04D4E8AF"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9.9</w:t>
            </w:r>
          </w:p>
        </w:tc>
        <w:tc>
          <w:tcPr>
            <w:tcW w:w="910" w:type="dxa"/>
          </w:tcPr>
          <w:p w14:paraId="76EF33D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8.3</w:t>
            </w:r>
          </w:p>
        </w:tc>
        <w:tc>
          <w:tcPr>
            <w:tcW w:w="720" w:type="dxa"/>
          </w:tcPr>
          <w:p w14:paraId="51A5077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6.3</w:t>
            </w:r>
          </w:p>
        </w:tc>
        <w:tc>
          <w:tcPr>
            <w:tcW w:w="913" w:type="dxa"/>
          </w:tcPr>
          <w:p w14:paraId="431C2ED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9.1</w:t>
            </w:r>
          </w:p>
        </w:tc>
        <w:tc>
          <w:tcPr>
            <w:tcW w:w="910" w:type="dxa"/>
          </w:tcPr>
          <w:p w14:paraId="2B3D699D"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7.0</w:t>
            </w:r>
          </w:p>
        </w:tc>
      </w:tr>
      <w:tr w:rsidR="004E6C6D" w:rsidRPr="001E6906" w14:paraId="5EBEC40B" w14:textId="77777777" w:rsidTr="00DC2374">
        <w:tc>
          <w:tcPr>
            <w:tcW w:w="9350" w:type="dxa"/>
            <w:gridSpan w:val="10"/>
          </w:tcPr>
          <w:p w14:paraId="79376F89"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Rural+ urban</w:t>
            </w:r>
          </w:p>
        </w:tc>
      </w:tr>
      <w:tr w:rsidR="004E6C6D" w:rsidRPr="001E6906" w14:paraId="0B1F15C4" w14:textId="77777777" w:rsidTr="00B83B5D">
        <w:tc>
          <w:tcPr>
            <w:tcW w:w="1733" w:type="dxa"/>
          </w:tcPr>
          <w:p w14:paraId="5773BBC7"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Usual status</w:t>
            </w:r>
          </w:p>
        </w:tc>
        <w:tc>
          <w:tcPr>
            <w:tcW w:w="742" w:type="dxa"/>
          </w:tcPr>
          <w:p w14:paraId="0DF79CB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4.5</w:t>
            </w:r>
          </w:p>
        </w:tc>
        <w:tc>
          <w:tcPr>
            <w:tcW w:w="839" w:type="dxa"/>
          </w:tcPr>
          <w:p w14:paraId="6F43964E"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3.5</w:t>
            </w:r>
          </w:p>
        </w:tc>
        <w:tc>
          <w:tcPr>
            <w:tcW w:w="910" w:type="dxa"/>
          </w:tcPr>
          <w:p w14:paraId="0EEA2447"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4.2</w:t>
            </w:r>
          </w:p>
        </w:tc>
        <w:tc>
          <w:tcPr>
            <w:tcW w:w="760" w:type="dxa"/>
          </w:tcPr>
          <w:p w14:paraId="477E678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4.4</w:t>
            </w:r>
          </w:p>
        </w:tc>
        <w:tc>
          <w:tcPr>
            <w:tcW w:w="913" w:type="dxa"/>
          </w:tcPr>
          <w:p w14:paraId="57564E34"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3.3</w:t>
            </w:r>
          </w:p>
        </w:tc>
        <w:tc>
          <w:tcPr>
            <w:tcW w:w="910" w:type="dxa"/>
          </w:tcPr>
          <w:p w14:paraId="2503088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4.1</w:t>
            </w:r>
          </w:p>
        </w:tc>
        <w:tc>
          <w:tcPr>
            <w:tcW w:w="720" w:type="dxa"/>
          </w:tcPr>
          <w:p w14:paraId="006A91D0"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3.3</w:t>
            </w:r>
          </w:p>
        </w:tc>
        <w:tc>
          <w:tcPr>
            <w:tcW w:w="913" w:type="dxa"/>
          </w:tcPr>
          <w:p w14:paraId="1368949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2.9</w:t>
            </w:r>
          </w:p>
        </w:tc>
        <w:tc>
          <w:tcPr>
            <w:tcW w:w="910" w:type="dxa"/>
          </w:tcPr>
          <w:p w14:paraId="2E18DE90"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3.2</w:t>
            </w:r>
          </w:p>
        </w:tc>
      </w:tr>
      <w:tr w:rsidR="004E6C6D" w:rsidRPr="001E6906" w14:paraId="1E1D5936" w14:textId="77777777" w:rsidTr="00B83B5D">
        <w:tc>
          <w:tcPr>
            <w:tcW w:w="1733" w:type="dxa"/>
          </w:tcPr>
          <w:p w14:paraId="4292BB0F" w14:textId="77777777" w:rsidR="004E6C6D" w:rsidRPr="001E6906" w:rsidRDefault="004E6C6D" w:rsidP="006E2238">
            <w:pPr>
              <w:spacing w:line="360" w:lineRule="auto"/>
              <w:jc w:val="both"/>
              <w:rPr>
                <w:rFonts w:ascii="Arial" w:hAnsi="Arial" w:cs="Arial"/>
                <w:sz w:val="22"/>
                <w:szCs w:val="22"/>
              </w:rPr>
            </w:pPr>
            <w:r w:rsidRPr="001E6906">
              <w:rPr>
                <w:rFonts w:ascii="Arial" w:hAnsi="Arial" w:cs="Arial"/>
                <w:sz w:val="22"/>
                <w:szCs w:val="22"/>
              </w:rPr>
              <w:t>CWS</w:t>
            </w:r>
          </w:p>
        </w:tc>
        <w:tc>
          <w:tcPr>
            <w:tcW w:w="742" w:type="dxa"/>
          </w:tcPr>
          <w:p w14:paraId="121F0F26"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7.8</w:t>
            </w:r>
          </w:p>
        </w:tc>
        <w:tc>
          <w:tcPr>
            <w:tcW w:w="839" w:type="dxa"/>
          </w:tcPr>
          <w:p w14:paraId="4C94D4C2"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6.6</w:t>
            </w:r>
          </w:p>
        </w:tc>
        <w:tc>
          <w:tcPr>
            <w:tcW w:w="910" w:type="dxa"/>
          </w:tcPr>
          <w:p w14:paraId="04B2F9E9"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7.5</w:t>
            </w:r>
          </w:p>
        </w:tc>
        <w:tc>
          <w:tcPr>
            <w:tcW w:w="760" w:type="dxa"/>
          </w:tcPr>
          <w:p w14:paraId="612A148B"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6.9</w:t>
            </w:r>
          </w:p>
        </w:tc>
        <w:tc>
          <w:tcPr>
            <w:tcW w:w="913" w:type="dxa"/>
          </w:tcPr>
          <w:p w14:paraId="2662FB7A"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5.8</w:t>
            </w:r>
          </w:p>
        </w:tc>
        <w:tc>
          <w:tcPr>
            <w:tcW w:w="910" w:type="dxa"/>
          </w:tcPr>
          <w:p w14:paraId="3E564F23"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6.6</w:t>
            </w:r>
          </w:p>
        </w:tc>
        <w:tc>
          <w:tcPr>
            <w:tcW w:w="720" w:type="dxa"/>
          </w:tcPr>
          <w:p w14:paraId="1026C710"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5.1</w:t>
            </w:r>
          </w:p>
        </w:tc>
        <w:tc>
          <w:tcPr>
            <w:tcW w:w="913" w:type="dxa"/>
          </w:tcPr>
          <w:p w14:paraId="3AAF6005"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5.1</w:t>
            </w:r>
          </w:p>
        </w:tc>
        <w:tc>
          <w:tcPr>
            <w:tcW w:w="910" w:type="dxa"/>
          </w:tcPr>
          <w:p w14:paraId="750363EC" w14:textId="77777777" w:rsidR="004E6C6D" w:rsidRPr="001E6906" w:rsidRDefault="004E6C6D" w:rsidP="006E2238">
            <w:pPr>
              <w:spacing w:line="360" w:lineRule="auto"/>
              <w:jc w:val="center"/>
              <w:rPr>
                <w:rFonts w:ascii="Arial" w:hAnsi="Arial" w:cs="Arial"/>
                <w:sz w:val="22"/>
                <w:szCs w:val="22"/>
              </w:rPr>
            </w:pPr>
            <w:r w:rsidRPr="001E6906">
              <w:rPr>
                <w:rFonts w:ascii="Arial" w:hAnsi="Arial" w:cs="Arial"/>
                <w:sz w:val="22"/>
                <w:szCs w:val="22"/>
              </w:rPr>
              <w:t>5.1</w:t>
            </w:r>
          </w:p>
        </w:tc>
      </w:tr>
      <w:tr w:rsidR="004E6C6D" w:rsidRPr="001E6906" w14:paraId="3F4F0114" w14:textId="77777777" w:rsidTr="00DC2374">
        <w:tc>
          <w:tcPr>
            <w:tcW w:w="9350" w:type="dxa"/>
            <w:gridSpan w:val="10"/>
          </w:tcPr>
          <w:p w14:paraId="66F4257C" w14:textId="77777777" w:rsidR="004E6C6D" w:rsidRPr="001E6906" w:rsidRDefault="00D0293F" w:rsidP="006E2238">
            <w:pPr>
              <w:spacing w:line="360" w:lineRule="auto"/>
              <w:jc w:val="both"/>
              <w:rPr>
                <w:rFonts w:ascii="Arial" w:hAnsi="Arial" w:cs="Arial"/>
                <w:sz w:val="22"/>
                <w:szCs w:val="22"/>
              </w:rPr>
            </w:pPr>
            <w:r w:rsidRPr="001E6906">
              <w:rPr>
                <w:rFonts w:ascii="Arial" w:hAnsi="Arial" w:cs="Arial"/>
                <w:i/>
                <w:iCs/>
                <w:sz w:val="22"/>
                <w:szCs w:val="22"/>
              </w:rPr>
              <w:t xml:space="preserve"> Source: Annual Report PLFS 2019-20 &amp; 2022-23</w:t>
            </w:r>
          </w:p>
        </w:tc>
      </w:tr>
    </w:tbl>
    <w:p w14:paraId="54E93FD8" w14:textId="77777777" w:rsidR="004E6C6D" w:rsidRPr="001E6906" w:rsidRDefault="00B83B5D" w:rsidP="006E2238">
      <w:pPr>
        <w:spacing w:line="360" w:lineRule="auto"/>
        <w:jc w:val="both"/>
        <w:rPr>
          <w:rFonts w:ascii="Arial" w:hAnsi="Arial" w:cs="Arial"/>
          <w:b/>
          <w:bCs/>
          <w:sz w:val="22"/>
          <w:szCs w:val="22"/>
        </w:rPr>
      </w:pPr>
      <w:r w:rsidRPr="001E6906">
        <w:rPr>
          <w:rFonts w:ascii="Arial" w:hAnsi="Arial" w:cs="Arial"/>
          <w:noProof/>
          <w:sz w:val="22"/>
          <w:szCs w:val="22"/>
          <w14:ligatures w14:val="standardContextual"/>
        </w:rPr>
        <w:lastRenderedPageBreak/>
        <w:drawing>
          <wp:inline distT="0" distB="0" distL="0" distR="0" wp14:anchorId="2A81548A" wp14:editId="3E950B00">
            <wp:extent cx="2730500" cy="2230755"/>
            <wp:effectExtent l="0" t="0" r="12700" b="17145"/>
            <wp:docPr id="262973981" name="Chart 1">
              <a:extLst xmlns:a="http://schemas.openxmlformats.org/drawingml/2006/main">
                <a:ext uri="{FF2B5EF4-FFF2-40B4-BE49-F238E27FC236}">
                  <a16:creationId xmlns:a16="http://schemas.microsoft.com/office/drawing/2014/main" id="{AB2CC1B4-C021-34DD-FC84-C3652F15EB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B6DF6" w:rsidRPr="001E6906">
        <w:rPr>
          <w:rFonts w:ascii="Arial" w:hAnsi="Arial" w:cs="Arial"/>
          <w:noProof/>
          <w:sz w:val="22"/>
          <w:szCs w:val="22"/>
          <w14:ligatures w14:val="standardContextual"/>
        </w:rPr>
        <w:drawing>
          <wp:inline distT="0" distB="0" distL="0" distR="0" wp14:anchorId="76D3C2CF" wp14:editId="34E567CD">
            <wp:extent cx="2828544" cy="2255520"/>
            <wp:effectExtent l="0" t="0" r="16510" b="17780"/>
            <wp:docPr id="1660811674" name="Chart 1">
              <a:extLst xmlns:a="http://schemas.openxmlformats.org/drawingml/2006/main">
                <a:ext uri="{FF2B5EF4-FFF2-40B4-BE49-F238E27FC236}">
                  <a16:creationId xmlns:a16="http://schemas.microsoft.com/office/drawing/2014/main" id="{98EEB501-263C-B57E-BB2D-B34F4EEA2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432AAC" w14:textId="77777777" w:rsidR="001E6906" w:rsidRPr="001E6906" w:rsidRDefault="001E6906" w:rsidP="006E2238">
      <w:pPr>
        <w:spacing w:line="360" w:lineRule="auto"/>
        <w:jc w:val="both"/>
        <w:rPr>
          <w:rFonts w:ascii="Arial" w:hAnsi="Arial" w:cs="Arial"/>
          <w:sz w:val="22"/>
          <w:szCs w:val="22"/>
          <w:lang w:val="en-US"/>
        </w:rPr>
      </w:pPr>
      <w:r w:rsidRPr="001E6906">
        <w:rPr>
          <w:rFonts w:ascii="Arial" w:hAnsi="Arial" w:cs="Arial"/>
          <w:sz w:val="22"/>
          <w:szCs w:val="22"/>
          <w:lang w:val="en-US"/>
        </w:rPr>
        <w:t>Figure 7:  Rural (</w:t>
      </w:r>
      <w:r>
        <w:rPr>
          <w:rFonts w:ascii="Arial" w:hAnsi="Arial" w:cs="Arial"/>
          <w:sz w:val="22"/>
          <w:szCs w:val="22"/>
          <w:lang w:val="en-US"/>
        </w:rPr>
        <w:t>u</w:t>
      </w:r>
      <w:r w:rsidRPr="001E6906">
        <w:rPr>
          <w:rFonts w:ascii="Arial" w:hAnsi="Arial" w:cs="Arial"/>
          <w:sz w:val="22"/>
          <w:szCs w:val="22"/>
          <w:lang w:val="en-US"/>
        </w:rPr>
        <w:t xml:space="preserve">sual </w:t>
      </w:r>
      <w:r>
        <w:rPr>
          <w:rFonts w:ascii="Arial" w:hAnsi="Arial" w:cs="Arial"/>
          <w:sz w:val="22"/>
          <w:szCs w:val="22"/>
          <w:lang w:val="en-US"/>
        </w:rPr>
        <w:t>s</w:t>
      </w:r>
      <w:r w:rsidRPr="001E6906">
        <w:rPr>
          <w:rFonts w:ascii="Arial" w:hAnsi="Arial" w:cs="Arial"/>
          <w:sz w:val="22"/>
          <w:szCs w:val="22"/>
          <w:lang w:val="en-US"/>
        </w:rPr>
        <w:t>tatus)</w:t>
      </w:r>
      <w:r>
        <w:rPr>
          <w:rFonts w:ascii="Arial" w:hAnsi="Arial" w:cs="Arial"/>
          <w:sz w:val="22"/>
          <w:szCs w:val="22"/>
          <w:lang w:val="en-US"/>
        </w:rPr>
        <w:t xml:space="preserve">.                      </w:t>
      </w:r>
      <w:r w:rsidRPr="001E6906">
        <w:rPr>
          <w:rFonts w:ascii="Arial" w:hAnsi="Arial" w:cs="Arial"/>
          <w:sz w:val="22"/>
          <w:szCs w:val="22"/>
          <w:lang w:val="en-US"/>
        </w:rPr>
        <w:t>Figur</w:t>
      </w:r>
      <w:r>
        <w:rPr>
          <w:rFonts w:ascii="Arial" w:hAnsi="Arial" w:cs="Arial"/>
          <w:sz w:val="22"/>
          <w:szCs w:val="22"/>
          <w:lang w:val="en-US"/>
        </w:rPr>
        <w:t>e 8</w:t>
      </w:r>
      <w:r w:rsidRPr="001E6906">
        <w:rPr>
          <w:rFonts w:ascii="Arial" w:hAnsi="Arial" w:cs="Arial"/>
          <w:sz w:val="22"/>
          <w:szCs w:val="22"/>
          <w:lang w:val="en-US"/>
        </w:rPr>
        <w:t xml:space="preserve">: </w:t>
      </w:r>
      <w:r>
        <w:rPr>
          <w:rFonts w:ascii="Arial" w:hAnsi="Arial" w:cs="Arial"/>
          <w:sz w:val="22"/>
          <w:szCs w:val="22"/>
          <w:lang w:val="en-US"/>
        </w:rPr>
        <w:t>U</w:t>
      </w:r>
      <w:r w:rsidRPr="001E6906">
        <w:rPr>
          <w:rFonts w:ascii="Arial" w:hAnsi="Arial" w:cs="Arial"/>
          <w:sz w:val="22"/>
          <w:szCs w:val="22"/>
          <w:lang w:val="en-US"/>
        </w:rPr>
        <w:t>rban</w:t>
      </w:r>
      <w:r>
        <w:rPr>
          <w:rFonts w:ascii="Arial" w:hAnsi="Arial" w:cs="Arial"/>
          <w:sz w:val="22"/>
          <w:szCs w:val="22"/>
          <w:lang w:val="en-US"/>
        </w:rPr>
        <w:t xml:space="preserve"> </w:t>
      </w:r>
      <w:r w:rsidRPr="001E6906">
        <w:rPr>
          <w:rFonts w:ascii="Arial" w:hAnsi="Arial" w:cs="Arial"/>
          <w:sz w:val="22"/>
          <w:szCs w:val="22"/>
          <w:lang w:val="en-US"/>
        </w:rPr>
        <w:t>(</w:t>
      </w:r>
      <w:r>
        <w:rPr>
          <w:rFonts w:ascii="Arial" w:hAnsi="Arial" w:cs="Arial"/>
          <w:sz w:val="22"/>
          <w:szCs w:val="22"/>
          <w:lang w:val="en-US"/>
        </w:rPr>
        <w:t>u</w:t>
      </w:r>
      <w:r w:rsidRPr="001E6906">
        <w:rPr>
          <w:rFonts w:ascii="Arial" w:hAnsi="Arial" w:cs="Arial"/>
          <w:sz w:val="22"/>
          <w:szCs w:val="22"/>
          <w:lang w:val="en-US"/>
        </w:rPr>
        <w:t>sual status)</w:t>
      </w:r>
    </w:p>
    <w:p w14:paraId="12C8BCDD" w14:textId="77777777" w:rsidR="004E6C6D" w:rsidRPr="001E6906" w:rsidRDefault="00D0293F" w:rsidP="006E2238">
      <w:pPr>
        <w:spacing w:line="360" w:lineRule="auto"/>
        <w:jc w:val="both"/>
        <w:rPr>
          <w:rFonts w:ascii="Arial" w:hAnsi="Arial" w:cs="Arial"/>
          <w:i/>
          <w:iCs/>
          <w:sz w:val="22"/>
          <w:szCs w:val="22"/>
        </w:rPr>
      </w:pPr>
      <w:r w:rsidRPr="001E6906">
        <w:rPr>
          <w:rFonts w:ascii="Arial" w:hAnsi="Arial" w:cs="Arial"/>
          <w:i/>
          <w:iCs/>
          <w:sz w:val="22"/>
          <w:szCs w:val="22"/>
        </w:rPr>
        <w:t>Source: Author’s calculation from PLFS (20219-20 &amp;2022-23)</w:t>
      </w:r>
    </w:p>
    <w:p w14:paraId="3A021C7D" w14:textId="77777777" w:rsidR="00CD3539" w:rsidRPr="001E6906" w:rsidRDefault="00CD3539" w:rsidP="006E2238">
      <w:pPr>
        <w:spacing w:line="360" w:lineRule="auto"/>
        <w:jc w:val="both"/>
        <w:rPr>
          <w:rFonts w:ascii="Arial" w:hAnsi="Arial" w:cs="Arial"/>
          <w:sz w:val="22"/>
          <w:szCs w:val="22"/>
        </w:rPr>
      </w:pPr>
    </w:p>
    <w:p w14:paraId="7E0BB5B5" w14:textId="77777777" w:rsidR="004F36E0" w:rsidRPr="001E6906" w:rsidRDefault="004F36E0" w:rsidP="006E2238">
      <w:pPr>
        <w:spacing w:after="160" w:line="360" w:lineRule="auto"/>
        <w:jc w:val="both"/>
        <w:rPr>
          <w:rFonts w:ascii="Arial" w:hAnsi="Arial" w:cs="Arial"/>
          <w:sz w:val="22"/>
          <w:szCs w:val="22"/>
        </w:rPr>
      </w:pPr>
      <w:r w:rsidRPr="001E6906">
        <w:rPr>
          <w:rFonts w:ascii="Arial" w:hAnsi="Arial" w:cs="Arial"/>
          <w:noProof/>
          <w:sz w:val="22"/>
          <w:szCs w:val="22"/>
          <w14:ligatures w14:val="standardContextual"/>
        </w:rPr>
        <w:drawing>
          <wp:inline distT="0" distB="0" distL="0" distR="0" wp14:anchorId="5FCBECD3" wp14:editId="2D495430">
            <wp:extent cx="5960125" cy="2963209"/>
            <wp:effectExtent l="0" t="0" r="8890" b="8890"/>
            <wp:docPr id="1808405207" name="Chart 1">
              <a:extLst xmlns:a="http://schemas.openxmlformats.org/drawingml/2006/main">
                <a:ext uri="{FF2B5EF4-FFF2-40B4-BE49-F238E27FC236}">
                  <a16:creationId xmlns:a16="http://schemas.microsoft.com/office/drawing/2014/main" id="{DCFCC181-FA6C-95E7-0A66-2A1994C72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46D9D7" w14:textId="77777777" w:rsidR="001E6906" w:rsidRPr="001E6906" w:rsidRDefault="001E6906" w:rsidP="006E2238">
      <w:pPr>
        <w:spacing w:line="360" w:lineRule="auto"/>
        <w:jc w:val="both"/>
        <w:rPr>
          <w:rFonts w:ascii="Arial" w:hAnsi="Arial" w:cs="Arial"/>
          <w:sz w:val="22"/>
          <w:szCs w:val="22"/>
          <w:lang w:val="en-US"/>
        </w:rPr>
      </w:pPr>
      <w:r w:rsidRPr="001E6906">
        <w:rPr>
          <w:rFonts w:ascii="Arial" w:hAnsi="Arial" w:cs="Arial"/>
          <w:sz w:val="22"/>
          <w:szCs w:val="22"/>
          <w:lang w:val="en-US"/>
        </w:rPr>
        <w:t>Figure 9:</w:t>
      </w:r>
      <w:r>
        <w:rPr>
          <w:rFonts w:ascii="Arial" w:hAnsi="Arial" w:cs="Arial"/>
          <w:sz w:val="22"/>
          <w:szCs w:val="22"/>
          <w:lang w:val="en-US"/>
        </w:rPr>
        <w:t xml:space="preserve"> </w:t>
      </w:r>
      <w:r w:rsidRPr="001E6906">
        <w:rPr>
          <w:rFonts w:ascii="Arial" w:hAnsi="Arial" w:cs="Arial"/>
          <w:sz w:val="22"/>
          <w:szCs w:val="22"/>
          <w:lang w:val="en-US"/>
        </w:rPr>
        <w:t>All India</w:t>
      </w:r>
      <w:r>
        <w:rPr>
          <w:rFonts w:ascii="Arial" w:hAnsi="Arial" w:cs="Arial"/>
          <w:sz w:val="22"/>
          <w:szCs w:val="22"/>
          <w:lang w:val="en-US"/>
        </w:rPr>
        <w:t xml:space="preserve"> </w:t>
      </w:r>
      <w:r w:rsidRPr="001E6906">
        <w:rPr>
          <w:rFonts w:ascii="Arial" w:hAnsi="Arial" w:cs="Arial"/>
          <w:sz w:val="22"/>
          <w:szCs w:val="22"/>
          <w:lang w:val="en-US"/>
        </w:rPr>
        <w:t>(usual status)</w:t>
      </w:r>
    </w:p>
    <w:p w14:paraId="131FD4F7" w14:textId="77777777" w:rsidR="00D0293F" w:rsidRDefault="00D0293F" w:rsidP="001E6906">
      <w:pPr>
        <w:spacing w:line="360" w:lineRule="auto"/>
        <w:jc w:val="both"/>
        <w:rPr>
          <w:rFonts w:ascii="Arial" w:hAnsi="Arial" w:cs="Arial"/>
          <w:i/>
          <w:iCs/>
          <w:sz w:val="22"/>
          <w:szCs w:val="22"/>
        </w:rPr>
      </w:pPr>
      <w:r w:rsidRPr="001E6906">
        <w:rPr>
          <w:rFonts w:ascii="Arial" w:hAnsi="Arial" w:cs="Arial"/>
          <w:i/>
          <w:iCs/>
          <w:sz w:val="22"/>
          <w:szCs w:val="22"/>
        </w:rPr>
        <w:t>Source: Author’s calculation from PLFS (2019-20 &amp;2022-23)</w:t>
      </w:r>
    </w:p>
    <w:p w14:paraId="4739C2A0" w14:textId="77777777" w:rsidR="001E6906" w:rsidRPr="001E6906" w:rsidRDefault="001E6906" w:rsidP="001E6906">
      <w:pPr>
        <w:spacing w:line="360" w:lineRule="auto"/>
        <w:jc w:val="both"/>
        <w:rPr>
          <w:rFonts w:ascii="Arial" w:hAnsi="Arial" w:cs="Arial"/>
          <w:i/>
          <w:iCs/>
          <w:sz w:val="22"/>
          <w:szCs w:val="22"/>
        </w:rPr>
      </w:pPr>
    </w:p>
    <w:p w14:paraId="0DEC4520" w14:textId="77777777" w:rsidR="00D0293F" w:rsidRPr="001E6906" w:rsidRDefault="00D434C5" w:rsidP="006E2238">
      <w:pPr>
        <w:spacing w:after="160" w:line="360" w:lineRule="auto"/>
        <w:jc w:val="both"/>
        <w:rPr>
          <w:rFonts w:ascii="Arial" w:hAnsi="Arial" w:cs="Arial"/>
          <w:sz w:val="22"/>
          <w:szCs w:val="22"/>
        </w:rPr>
      </w:pPr>
      <w:r w:rsidRPr="001E6906">
        <w:rPr>
          <w:rFonts w:ascii="Arial" w:hAnsi="Arial" w:cs="Arial"/>
          <w:sz w:val="22"/>
          <w:szCs w:val="22"/>
        </w:rPr>
        <w:t>Table 3 and figure</w:t>
      </w:r>
      <w:r w:rsidR="00615142" w:rsidRPr="001E6906">
        <w:rPr>
          <w:rFonts w:ascii="Arial" w:hAnsi="Arial" w:cs="Arial"/>
          <w:sz w:val="22"/>
          <w:szCs w:val="22"/>
        </w:rPr>
        <w:t>s</w:t>
      </w:r>
      <w:r w:rsidRPr="001E6906">
        <w:rPr>
          <w:rFonts w:ascii="Arial" w:hAnsi="Arial" w:cs="Arial"/>
          <w:sz w:val="22"/>
          <w:szCs w:val="22"/>
        </w:rPr>
        <w:t xml:space="preserve"> 7,8 and </w:t>
      </w:r>
      <w:r w:rsidR="003A5B26" w:rsidRPr="001E6906">
        <w:rPr>
          <w:rFonts w:ascii="Arial" w:hAnsi="Arial" w:cs="Arial"/>
          <w:sz w:val="22"/>
          <w:szCs w:val="22"/>
        </w:rPr>
        <w:t xml:space="preserve">9 </w:t>
      </w:r>
      <w:r w:rsidRPr="001E6906">
        <w:rPr>
          <w:rFonts w:ascii="Arial" w:hAnsi="Arial" w:cs="Arial"/>
          <w:sz w:val="22"/>
          <w:szCs w:val="22"/>
        </w:rPr>
        <w:t>represent</w:t>
      </w:r>
      <w:r w:rsidR="00D17244" w:rsidRPr="001E6906">
        <w:rPr>
          <w:rFonts w:ascii="Arial" w:hAnsi="Arial" w:cs="Arial"/>
          <w:sz w:val="22"/>
          <w:szCs w:val="22"/>
        </w:rPr>
        <w:t xml:space="preserve"> unemployment trends based on usual status</w:t>
      </w:r>
      <w:r w:rsidR="00B153EF" w:rsidRPr="001E6906">
        <w:rPr>
          <w:rFonts w:ascii="Arial" w:hAnsi="Arial" w:cs="Arial"/>
          <w:sz w:val="22"/>
          <w:szCs w:val="22"/>
        </w:rPr>
        <w:t>. This</w:t>
      </w:r>
      <w:r w:rsidR="00D17244" w:rsidRPr="001E6906">
        <w:rPr>
          <w:rFonts w:ascii="Arial" w:hAnsi="Arial" w:cs="Arial"/>
          <w:sz w:val="22"/>
          <w:szCs w:val="22"/>
        </w:rPr>
        <w:t xml:space="preserve"> reveal</w:t>
      </w:r>
      <w:r w:rsidRPr="001E6906">
        <w:rPr>
          <w:rFonts w:ascii="Arial" w:hAnsi="Arial" w:cs="Arial"/>
          <w:sz w:val="22"/>
          <w:szCs w:val="22"/>
        </w:rPr>
        <w:t xml:space="preserve">s </w:t>
      </w:r>
      <w:r w:rsidR="00D17244" w:rsidRPr="001E6906">
        <w:rPr>
          <w:rFonts w:ascii="Arial" w:hAnsi="Arial" w:cs="Arial"/>
          <w:sz w:val="22"/>
          <w:szCs w:val="22"/>
        </w:rPr>
        <w:t>significant rural</w:t>
      </w:r>
      <w:r w:rsidRPr="001E6906">
        <w:rPr>
          <w:rFonts w:ascii="Arial" w:hAnsi="Arial" w:cs="Arial"/>
          <w:sz w:val="22"/>
          <w:szCs w:val="22"/>
        </w:rPr>
        <w:t>-</w:t>
      </w:r>
      <w:r w:rsidR="00D17244" w:rsidRPr="001E6906">
        <w:rPr>
          <w:rFonts w:ascii="Arial" w:hAnsi="Arial" w:cs="Arial"/>
          <w:sz w:val="22"/>
          <w:szCs w:val="22"/>
        </w:rPr>
        <w:t xml:space="preserve">urban and gender differences in India’s </w:t>
      </w:r>
      <w:r w:rsidR="00B153EF" w:rsidRPr="001E6906">
        <w:rPr>
          <w:rFonts w:ascii="Arial" w:hAnsi="Arial" w:cs="Arial"/>
          <w:sz w:val="22"/>
          <w:szCs w:val="22"/>
        </w:rPr>
        <w:t>unemployment rate</w:t>
      </w:r>
      <w:r w:rsidR="00D17244" w:rsidRPr="001E6906">
        <w:rPr>
          <w:rFonts w:ascii="Arial" w:hAnsi="Arial" w:cs="Arial"/>
          <w:sz w:val="22"/>
          <w:szCs w:val="22"/>
        </w:rPr>
        <w:t>. In rural areas, unemployment remains low for both men and women, with male unemployment declining from around 5.8 percent in 2017</w:t>
      </w:r>
      <w:r w:rsidR="00305325" w:rsidRPr="001E6906">
        <w:rPr>
          <w:rFonts w:ascii="Arial" w:hAnsi="Arial" w:cs="Arial"/>
          <w:sz w:val="22"/>
          <w:szCs w:val="22"/>
        </w:rPr>
        <w:t>-</w:t>
      </w:r>
      <w:r w:rsidR="00D17244" w:rsidRPr="001E6906">
        <w:rPr>
          <w:rFonts w:ascii="Arial" w:hAnsi="Arial" w:cs="Arial"/>
          <w:sz w:val="22"/>
          <w:szCs w:val="22"/>
        </w:rPr>
        <w:t>18 to about 4.8 percent in 2022</w:t>
      </w:r>
      <w:r w:rsidR="003A5B26" w:rsidRPr="001E6906">
        <w:rPr>
          <w:rFonts w:ascii="Arial" w:hAnsi="Arial" w:cs="Arial"/>
          <w:sz w:val="22"/>
          <w:szCs w:val="22"/>
        </w:rPr>
        <w:t>-</w:t>
      </w:r>
      <w:r w:rsidR="00D17244" w:rsidRPr="001E6906">
        <w:rPr>
          <w:rFonts w:ascii="Arial" w:hAnsi="Arial" w:cs="Arial"/>
          <w:sz w:val="22"/>
          <w:szCs w:val="22"/>
        </w:rPr>
        <w:t xml:space="preserve">23, while female unemployment decreases more sharply from 3.8 percent to 1.8 percent during the same period. In contrast, urban </w:t>
      </w:r>
      <w:r w:rsidR="00D17244" w:rsidRPr="001E6906">
        <w:rPr>
          <w:rFonts w:ascii="Arial" w:hAnsi="Arial" w:cs="Arial"/>
          <w:sz w:val="22"/>
          <w:szCs w:val="22"/>
        </w:rPr>
        <w:lastRenderedPageBreak/>
        <w:t>unemployment rates are consistently higher, particularly for women</w:t>
      </w:r>
      <w:r w:rsidRPr="001E6906">
        <w:rPr>
          <w:rFonts w:ascii="Arial" w:hAnsi="Arial" w:cs="Arial"/>
          <w:sz w:val="22"/>
          <w:szCs w:val="22"/>
        </w:rPr>
        <w:t>.</w:t>
      </w:r>
      <w:r w:rsidR="00D17244" w:rsidRPr="001E6906">
        <w:rPr>
          <w:rFonts w:ascii="Arial" w:hAnsi="Arial" w:cs="Arial"/>
          <w:sz w:val="22"/>
          <w:szCs w:val="22"/>
        </w:rPr>
        <w:t xml:space="preserve"> </w:t>
      </w:r>
      <w:r w:rsidRPr="001E6906">
        <w:rPr>
          <w:rFonts w:ascii="Arial" w:hAnsi="Arial" w:cs="Arial"/>
          <w:sz w:val="22"/>
          <w:szCs w:val="22"/>
        </w:rPr>
        <w:t>U</w:t>
      </w:r>
      <w:r w:rsidR="00D17244" w:rsidRPr="001E6906">
        <w:rPr>
          <w:rFonts w:ascii="Arial" w:hAnsi="Arial" w:cs="Arial"/>
          <w:sz w:val="22"/>
          <w:szCs w:val="22"/>
        </w:rPr>
        <w:t xml:space="preserve">rban female unemployment falls from 10.8 percent to 7.5 percent, yet remains well above both rural female and urban male levels. Urban male unemployment also declines, from 7.1 percent to </w:t>
      </w:r>
      <w:r w:rsidR="003B3ED2" w:rsidRPr="001E6906">
        <w:rPr>
          <w:rFonts w:ascii="Arial" w:hAnsi="Arial" w:cs="Arial"/>
          <w:sz w:val="22"/>
          <w:szCs w:val="22"/>
        </w:rPr>
        <w:t>4.7</w:t>
      </w:r>
      <w:r w:rsidR="00D17244" w:rsidRPr="001E6906">
        <w:rPr>
          <w:rFonts w:ascii="Arial" w:hAnsi="Arial" w:cs="Arial"/>
          <w:sz w:val="22"/>
          <w:szCs w:val="22"/>
        </w:rPr>
        <w:t xml:space="preserve"> percent, but stays higher than rural male unemployment. The all-India unemployment rate reflects these combined trends, showing a steady reduction for both sexes, with male unemployment falling from </w:t>
      </w:r>
      <w:r w:rsidR="003B3ED2" w:rsidRPr="001E6906">
        <w:rPr>
          <w:rFonts w:ascii="Arial" w:hAnsi="Arial" w:cs="Arial"/>
          <w:sz w:val="22"/>
          <w:szCs w:val="22"/>
        </w:rPr>
        <w:t>6.2</w:t>
      </w:r>
      <w:r w:rsidR="00D17244" w:rsidRPr="001E6906">
        <w:rPr>
          <w:rFonts w:ascii="Arial" w:hAnsi="Arial" w:cs="Arial"/>
          <w:sz w:val="22"/>
          <w:szCs w:val="22"/>
        </w:rPr>
        <w:t xml:space="preserve"> percent to </w:t>
      </w:r>
      <w:r w:rsidR="003B3ED2" w:rsidRPr="001E6906">
        <w:rPr>
          <w:rFonts w:ascii="Arial" w:hAnsi="Arial" w:cs="Arial"/>
          <w:sz w:val="22"/>
          <w:szCs w:val="22"/>
        </w:rPr>
        <w:t xml:space="preserve">3.3 </w:t>
      </w:r>
      <w:r w:rsidR="00D17244" w:rsidRPr="001E6906">
        <w:rPr>
          <w:rFonts w:ascii="Arial" w:hAnsi="Arial" w:cs="Arial"/>
          <w:sz w:val="22"/>
          <w:szCs w:val="22"/>
        </w:rPr>
        <w:t>percent and female unemployment declining from 5.2 percent to 2.9 percent. Overall, the data indicate that rural labour markets</w:t>
      </w:r>
      <w:r w:rsidR="00615142" w:rsidRPr="001E6906">
        <w:rPr>
          <w:rFonts w:ascii="Arial" w:hAnsi="Arial" w:cs="Arial"/>
          <w:sz w:val="22"/>
          <w:szCs w:val="22"/>
        </w:rPr>
        <w:t>,</w:t>
      </w:r>
      <w:r w:rsidR="00305325" w:rsidRPr="001E6906">
        <w:rPr>
          <w:rFonts w:ascii="Arial" w:hAnsi="Arial" w:cs="Arial"/>
          <w:sz w:val="22"/>
          <w:szCs w:val="22"/>
        </w:rPr>
        <w:t xml:space="preserve"> which </w:t>
      </w:r>
      <w:r w:rsidR="00615142" w:rsidRPr="001E6906">
        <w:rPr>
          <w:rFonts w:ascii="Arial" w:hAnsi="Arial" w:cs="Arial"/>
          <w:sz w:val="22"/>
          <w:szCs w:val="22"/>
        </w:rPr>
        <w:t>are</w:t>
      </w:r>
      <w:r w:rsidR="00305325" w:rsidRPr="001E6906">
        <w:rPr>
          <w:rFonts w:ascii="Arial" w:hAnsi="Arial" w:cs="Arial"/>
          <w:sz w:val="22"/>
          <w:szCs w:val="22"/>
        </w:rPr>
        <w:t xml:space="preserve"> </w:t>
      </w:r>
      <w:r w:rsidR="00D17244" w:rsidRPr="001E6906">
        <w:rPr>
          <w:rFonts w:ascii="Arial" w:hAnsi="Arial" w:cs="Arial"/>
          <w:sz w:val="22"/>
          <w:szCs w:val="22"/>
        </w:rPr>
        <w:t>dominated by agriculture and allied activities</w:t>
      </w:r>
      <w:r w:rsidR="00305325" w:rsidRPr="001E6906">
        <w:rPr>
          <w:rFonts w:ascii="Arial" w:hAnsi="Arial" w:cs="Arial"/>
          <w:sz w:val="22"/>
          <w:szCs w:val="22"/>
        </w:rPr>
        <w:t xml:space="preserve">, </w:t>
      </w:r>
      <w:r w:rsidR="00D17244" w:rsidRPr="001E6906">
        <w:rPr>
          <w:rFonts w:ascii="Arial" w:hAnsi="Arial" w:cs="Arial"/>
          <w:sz w:val="22"/>
          <w:szCs w:val="22"/>
        </w:rPr>
        <w:t>absorb workers more readily, especially women</w:t>
      </w:r>
      <w:r w:rsidR="00305325" w:rsidRPr="001E6906">
        <w:rPr>
          <w:rFonts w:ascii="Arial" w:hAnsi="Arial" w:cs="Arial"/>
          <w:sz w:val="22"/>
          <w:szCs w:val="22"/>
        </w:rPr>
        <w:t>.</w:t>
      </w:r>
      <w:r w:rsidR="00D17244" w:rsidRPr="001E6906">
        <w:rPr>
          <w:rFonts w:ascii="Arial" w:hAnsi="Arial" w:cs="Arial"/>
          <w:sz w:val="22"/>
          <w:szCs w:val="22"/>
        </w:rPr>
        <w:t xml:space="preserve"> </w:t>
      </w:r>
      <w:r w:rsidR="00615142" w:rsidRPr="001E6906">
        <w:rPr>
          <w:rFonts w:ascii="Arial" w:hAnsi="Arial" w:cs="Arial"/>
          <w:sz w:val="22"/>
          <w:szCs w:val="22"/>
        </w:rPr>
        <w:t>U</w:t>
      </w:r>
      <w:r w:rsidR="00D17244" w:rsidRPr="001E6906">
        <w:rPr>
          <w:rFonts w:ascii="Arial" w:hAnsi="Arial" w:cs="Arial"/>
          <w:sz w:val="22"/>
          <w:szCs w:val="22"/>
        </w:rPr>
        <w:t>rban labour markets remain more competitive and exclusionary for female workers</w:t>
      </w:r>
      <w:r w:rsidR="00305325" w:rsidRPr="001E6906">
        <w:rPr>
          <w:rFonts w:ascii="Arial" w:hAnsi="Arial" w:cs="Arial"/>
          <w:sz w:val="22"/>
          <w:szCs w:val="22"/>
        </w:rPr>
        <w:t>.</w:t>
      </w:r>
      <w:r w:rsidR="003A5B26" w:rsidRPr="001E6906">
        <w:rPr>
          <w:rFonts w:ascii="Arial" w:hAnsi="Arial" w:cs="Arial"/>
          <w:sz w:val="22"/>
          <w:szCs w:val="22"/>
        </w:rPr>
        <w:t xml:space="preserve"> During the pandemic</w:t>
      </w:r>
      <w:r w:rsidR="00615142" w:rsidRPr="001E6906">
        <w:rPr>
          <w:rFonts w:ascii="Arial" w:hAnsi="Arial" w:cs="Arial"/>
          <w:sz w:val="22"/>
          <w:szCs w:val="22"/>
        </w:rPr>
        <w:t>,</w:t>
      </w:r>
      <w:r w:rsidR="003A5B26" w:rsidRPr="001E6906">
        <w:rPr>
          <w:rFonts w:ascii="Arial" w:hAnsi="Arial" w:cs="Arial"/>
          <w:sz w:val="22"/>
          <w:szCs w:val="22"/>
        </w:rPr>
        <w:t xml:space="preserve"> the rate of decline in </w:t>
      </w:r>
      <w:r w:rsidR="00615142" w:rsidRPr="001E6906">
        <w:rPr>
          <w:rFonts w:ascii="Arial" w:hAnsi="Arial" w:cs="Arial"/>
          <w:sz w:val="22"/>
          <w:szCs w:val="22"/>
        </w:rPr>
        <w:t xml:space="preserve">the </w:t>
      </w:r>
      <w:r w:rsidR="003A5B26" w:rsidRPr="001E6906">
        <w:rPr>
          <w:rFonts w:ascii="Arial" w:hAnsi="Arial" w:cs="Arial"/>
          <w:sz w:val="22"/>
          <w:szCs w:val="22"/>
        </w:rPr>
        <w:t>unemployment rate for both male</w:t>
      </w:r>
      <w:r w:rsidR="00615142" w:rsidRPr="001E6906">
        <w:rPr>
          <w:rFonts w:ascii="Arial" w:hAnsi="Arial" w:cs="Arial"/>
          <w:sz w:val="22"/>
          <w:szCs w:val="22"/>
        </w:rPr>
        <w:t>s</w:t>
      </w:r>
      <w:r w:rsidR="003A5B26" w:rsidRPr="001E6906">
        <w:rPr>
          <w:rFonts w:ascii="Arial" w:hAnsi="Arial" w:cs="Arial"/>
          <w:sz w:val="22"/>
          <w:szCs w:val="22"/>
        </w:rPr>
        <w:t xml:space="preserve"> and female</w:t>
      </w:r>
      <w:r w:rsidR="00615142" w:rsidRPr="001E6906">
        <w:rPr>
          <w:rFonts w:ascii="Arial" w:hAnsi="Arial" w:cs="Arial"/>
          <w:sz w:val="22"/>
          <w:szCs w:val="22"/>
        </w:rPr>
        <w:t>s</w:t>
      </w:r>
      <w:r w:rsidR="003A5B26" w:rsidRPr="001E6906">
        <w:rPr>
          <w:rFonts w:ascii="Arial" w:hAnsi="Arial" w:cs="Arial"/>
          <w:sz w:val="22"/>
          <w:szCs w:val="22"/>
        </w:rPr>
        <w:t xml:space="preserve"> was low compared to pre-pandemic levels. After the pandemic</w:t>
      </w:r>
      <w:r w:rsidR="00615142" w:rsidRPr="001E6906">
        <w:rPr>
          <w:rFonts w:ascii="Arial" w:hAnsi="Arial" w:cs="Arial"/>
          <w:sz w:val="22"/>
          <w:szCs w:val="22"/>
        </w:rPr>
        <w:t>,</w:t>
      </w:r>
      <w:r w:rsidR="003A5B26" w:rsidRPr="001E6906">
        <w:rPr>
          <w:rFonts w:ascii="Arial" w:hAnsi="Arial" w:cs="Arial"/>
          <w:sz w:val="22"/>
          <w:szCs w:val="22"/>
        </w:rPr>
        <w:t xml:space="preserve"> the rate of decline in </w:t>
      </w:r>
      <w:r w:rsidR="00615142" w:rsidRPr="001E6906">
        <w:rPr>
          <w:rFonts w:ascii="Arial" w:hAnsi="Arial" w:cs="Arial"/>
          <w:sz w:val="22"/>
          <w:szCs w:val="22"/>
        </w:rPr>
        <w:t xml:space="preserve">the </w:t>
      </w:r>
      <w:r w:rsidR="003A5B26" w:rsidRPr="001E6906">
        <w:rPr>
          <w:rFonts w:ascii="Arial" w:hAnsi="Arial" w:cs="Arial"/>
          <w:sz w:val="22"/>
          <w:szCs w:val="22"/>
        </w:rPr>
        <w:t>unemployment level increase</w:t>
      </w:r>
      <w:r w:rsidR="00511473" w:rsidRPr="001E6906">
        <w:rPr>
          <w:rFonts w:ascii="Arial" w:hAnsi="Arial" w:cs="Arial"/>
          <w:sz w:val="22"/>
          <w:szCs w:val="22"/>
        </w:rPr>
        <w:t>d</w:t>
      </w:r>
      <w:r w:rsidR="003A5B26" w:rsidRPr="001E6906">
        <w:rPr>
          <w:rFonts w:ascii="Arial" w:hAnsi="Arial" w:cs="Arial"/>
          <w:sz w:val="22"/>
          <w:szCs w:val="22"/>
        </w:rPr>
        <w:t>.</w:t>
      </w:r>
    </w:p>
    <w:p w14:paraId="3C249DAA" w14:textId="77777777" w:rsidR="00D17244" w:rsidRPr="001E6906" w:rsidRDefault="00D17244" w:rsidP="006E2238">
      <w:pPr>
        <w:spacing w:after="160" w:line="360" w:lineRule="auto"/>
        <w:jc w:val="both"/>
        <w:rPr>
          <w:rFonts w:ascii="Arial" w:hAnsi="Arial" w:cs="Arial"/>
          <w:sz w:val="22"/>
          <w:szCs w:val="22"/>
        </w:rPr>
      </w:pPr>
      <w:r w:rsidRPr="001E6906">
        <w:rPr>
          <w:rFonts w:ascii="Arial" w:hAnsi="Arial" w:cs="Arial"/>
          <w:sz w:val="22"/>
          <w:szCs w:val="22"/>
        </w:rPr>
        <w:t xml:space="preserve">                     The combined trends in labour force participation, worker population ratio, and unemployment reveal clear gendered and spatial patterns in India’s labour market. LFPR and WPR both show a strong upward </w:t>
      </w:r>
      <w:r w:rsidR="00615142" w:rsidRPr="001E6906">
        <w:rPr>
          <w:rFonts w:ascii="Arial" w:hAnsi="Arial" w:cs="Arial"/>
          <w:sz w:val="22"/>
          <w:szCs w:val="22"/>
        </w:rPr>
        <w:t>trend</w:t>
      </w:r>
      <w:r w:rsidRPr="001E6906">
        <w:rPr>
          <w:rFonts w:ascii="Arial" w:hAnsi="Arial" w:cs="Arial"/>
          <w:sz w:val="22"/>
          <w:szCs w:val="22"/>
        </w:rPr>
        <w:t xml:space="preserve"> for rural women, whose participation increases steadily from around 18 percent to over 30 percent between 2017</w:t>
      </w:r>
      <w:r w:rsidR="00305325" w:rsidRPr="001E6906">
        <w:rPr>
          <w:rFonts w:ascii="Arial" w:hAnsi="Arial" w:cs="Arial"/>
          <w:sz w:val="22"/>
          <w:szCs w:val="22"/>
        </w:rPr>
        <w:t>-</w:t>
      </w:r>
      <w:r w:rsidRPr="001E6906">
        <w:rPr>
          <w:rFonts w:ascii="Arial" w:hAnsi="Arial" w:cs="Arial"/>
          <w:sz w:val="22"/>
          <w:szCs w:val="22"/>
        </w:rPr>
        <w:t>18 and 2022</w:t>
      </w:r>
      <w:r w:rsidR="00305325" w:rsidRPr="001E6906">
        <w:rPr>
          <w:rFonts w:ascii="Arial" w:hAnsi="Arial" w:cs="Arial"/>
          <w:sz w:val="22"/>
          <w:szCs w:val="22"/>
        </w:rPr>
        <w:t>-</w:t>
      </w:r>
      <w:r w:rsidRPr="001E6906">
        <w:rPr>
          <w:rFonts w:ascii="Arial" w:hAnsi="Arial" w:cs="Arial"/>
          <w:sz w:val="22"/>
          <w:szCs w:val="22"/>
        </w:rPr>
        <w:t>23, driven largely by greater engagement in agriculture, livestock, and other household-based work. In contrast, urban female participation remains low and rises only marginally, reflecting persistent barriers to women’s paid employment in urban areas. Male participation, both rural and urban, remains consistently high and largely unchanged over time. Unemployment trends complement these patterns</w:t>
      </w:r>
      <w:r w:rsidR="00305325" w:rsidRPr="001E6906">
        <w:rPr>
          <w:rFonts w:ascii="Arial" w:hAnsi="Arial" w:cs="Arial"/>
          <w:sz w:val="22"/>
          <w:szCs w:val="22"/>
        </w:rPr>
        <w:t>.</w:t>
      </w:r>
      <w:r w:rsidRPr="001E6906">
        <w:rPr>
          <w:rFonts w:ascii="Arial" w:hAnsi="Arial" w:cs="Arial"/>
          <w:sz w:val="22"/>
          <w:szCs w:val="22"/>
        </w:rPr>
        <w:t xml:space="preserve"> </w:t>
      </w:r>
      <w:r w:rsidR="00305325" w:rsidRPr="001E6906">
        <w:rPr>
          <w:rFonts w:ascii="Arial" w:hAnsi="Arial" w:cs="Arial"/>
          <w:sz w:val="22"/>
          <w:szCs w:val="22"/>
        </w:rPr>
        <w:t>R</w:t>
      </w:r>
      <w:r w:rsidRPr="001E6906">
        <w:rPr>
          <w:rFonts w:ascii="Arial" w:hAnsi="Arial" w:cs="Arial"/>
          <w:sz w:val="22"/>
          <w:szCs w:val="22"/>
        </w:rPr>
        <w:t>ural unemployment is very low for both sexes and declines further over the years, whereas urban unemployment remains significantly higher</w:t>
      </w:r>
      <w:r w:rsidR="00305325" w:rsidRPr="001E6906">
        <w:rPr>
          <w:rFonts w:ascii="Arial" w:hAnsi="Arial" w:cs="Arial"/>
          <w:sz w:val="22"/>
          <w:szCs w:val="22"/>
        </w:rPr>
        <w:t xml:space="preserve">, </w:t>
      </w:r>
      <w:r w:rsidRPr="001E6906">
        <w:rPr>
          <w:rFonts w:ascii="Arial" w:hAnsi="Arial" w:cs="Arial"/>
          <w:sz w:val="22"/>
          <w:szCs w:val="22"/>
        </w:rPr>
        <w:t>especially for women</w:t>
      </w:r>
      <w:r w:rsidR="00615142" w:rsidRPr="001E6906">
        <w:rPr>
          <w:rFonts w:ascii="Arial" w:hAnsi="Arial" w:cs="Arial"/>
          <w:sz w:val="22"/>
          <w:szCs w:val="22"/>
        </w:rPr>
        <w:t>,</w:t>
      </w:r>
      <w:r w:rsidR="00305325" w:rsidRPr="001E6906">
        <w:rPr>
          <w:rFonts w:ascii="Arial" w:hAnsi="Arial" w:cs="Arial"/>
          <w:sz w:val="22"/>
          <w:szCs w:val="22"/>
        </w:rPr>
        <w:t xml:space="preserve"> </w:t>
      </w:r>
      <w:r w:rsidRPr="001E6906">
        <w:rPr>
          <w:rFonts w:ascii="Arial" w:hAnsi="Arial" w:cs="Arial"/>
          <w:sz w:val="22"/>
          <w:szCs w:val="22"/>
        </w:rPr>
        <w:t xml:space="preserve">even though it shows some improvement. At </w:t>
      </w:r>
      <w:r w:rsidR="00615142" w:rsidRPr="001E6906">
        <w:rPr>
          <w:rFonts w:ascii="Arial" w:hAnsi="Arial" w:cs="Arial"/>
          <w:sz w:val="22"/>
          <w:szCs w:val="22"/>
        </w:rPr>
        <w:t xml:space="preserve">the </w:t>
      </w:r>
      <w:r w:rsidRPr="001E6906">
        <w:rPr>
          <w:rFonts w:ascii="Arial" w:hAnsi="Arial" w:cs="Arial"/>
          <w:sz w:val="22"/>
          <w:szCs w:val="22"/>
        </w:rPr>
        <w:t>all-India level, overall participation and employment rates improve mainly because of rising rural female work involvement, while unemployment falls steadily for both men and women. Taken together, the indicators suggest that India’s recent labour market improvements are driven primarily by increased rural female participation, while urban labour markets continue to present structural challenges for women.</w:t>
      </w:r>
    </w:p>
    <w:p w14:paraId="63C14FB5" w14:textId="77777777" w:rsidR="006D3402" w:rsidRPr="001E6906" w:rsidRDefault="00A4701E" w:rsidP="006E2238">
      <w:pPr>
        <w:spacing w:after="160" w:line="360" w:lineRule="auto"/>
        <w:jc w:val="both"/>
        <w:rPr>
          <w:rFonts w:ascii="Arial" w:hAnsi="Arial" w:cs="Arial"/>
          <w:sz w:val="22"/>
          <w:szCs w:val="22"/>
        </w:rPr>
      </w:pPr>
      <w:r w:rsidRPr="001E6906">
        <w:rPr>
          <w:rFonts w:ascii="Arial" w:hAnsi="Arial" w:cs="Arial"/>
          <w:sz w:val="22"/>
          <w:szCs w:val="22"/>
        </w:rPr>
        <w:t xml:space="preserve">                    The above analysis does not reflect what was the impact on sectoral employment during the COVID-19 pandemic.</w:t>
      </w:r>
      <w:r w:rsidR="00F44C00" w:rsidRPr="001E6906">
        <w:rPr>
          <w:rFonts w:ascii="Arial" w:hAnsi="Arial" w:cs="Arial"/>
          <w:sz w:val="22"/>
          <w:szCs w:val="22"/>
        </w:rPr>
        <w:t xml:space="preserve"> As represented in the figure, both WPR and LFPR showed an increasing trend</w:t>
      </w:r>
      <w:r w:rsidR="00615142" w:rsidRPr="001E6906">
        <w:rPr>
          <w:rFonts w:ascii="Arial" w:hAnsi="Arial" w:cs="Arial"/>
          <w:sz w:val="22"/>
          <w:szCs w:val="22"/>
        </w:rPr>
        <w:t>,</w:t>
      </w:r>
      <w:r w:rsidR="00F44C00" w:rsidRPr="001E6906">
        <w:rPr>
          <w:rFonts w:ascii="Arial" w:hAnsi="Arial" w:cs="Arial"/>
          <w:sz w:val="22"/>
          <w:szCs w:val="22"/>
        </w:rPr>
        <w:t xml:space="preserve"> along with </w:t>
      </w:r>
      <w:r w:rsidR="00615142" w:rsidRPr="001E6906">
        <w:rPr>
          <w:rFonts w:ascii="Arial" w:hAnsi="Arial" w:cs="Arial"/>
          <w:sz w:val="22"/>
          <w:szCs w:val="22"/>
        </w:rPr>
        <w:t xml:space="preserve">the </w:t>
      </w:r>
      <w:r w:rsidR="00F44C00" w:rsidRPr="001E6906">
        <w:rPr>
          <w:rFonts w:ascii="Arial" w:hAnsi="Arial" w:cs="Arial"/>
          <w:sz w:val="22"/>
          <w:szCs w:val="22"/>
        </w:rPr>
        <w:t>unemployment rate showing a declining trend across the period, despite the C</w:t>
      </w:r>
      <w:r w:rsidR="00615142" w:rsidRPr="001E6906">
        <w:rPr>
          <w:rFonts w:ascii="Arial" w:hAnsi="Arial" w:cs="Arial"/>
          <w:sz w:val="22"/>
          <w:szCs w:val="22"/>
        </w:rPr>
        <w:t>OVID</w:t>
      </w:r>
      <w:r w:rsidR="00F44C00" w:rsidRPr="001E6906">
        <w:rPr>
          <w:rFonts w:ascii="Arial" w:hAnsi="Arial" w:cs="Arial"/>
          <w:sz w:val="22"/>
          <w:szCs w:val="22"/>
        </w:rPr>
        <w:t xml:space="preserve">-19 pandemic. It fails to capture the distribution of workers across different sectors, </w:t>
      </w:r>
      <w:r w:rsidR="00615142" w:rsidRPr="001E6906">
        <w:rPr>
          <w:rFonts w:ascii="Arial" w:hAnsi="Arial" w:cs="Arial"/>
          <w:sz w:val="22"/>
          <w:szCs w:val="22"/>
        </w:rPr>
        <w:t xml:space="preserve">the </w:t>
      </w:r>
      <w:r w:rsidR="00F44C00" w:rsidRPr="001E6906">
        <w:rPr>
          <w:rFonts w:ascii="Arial" w:hAnsi="Arial" w:cs="Arial"/>
          <w:sz w:val="22"/>
          <w:szCs w:val="22"/>
        </w:rPr>
        <w:t>share of employment by work status</w:t>
      </w:r>
      <w:r w:rsidR="00615142" w:rsidRPr="001E6906">
        <w:rPr>
          <w:rFonts w:ascii="Arial" w:hAnsi="Arial" w:cs="Arial"/>
          <w:sz w:val="22"/>
          <w:szCs w:val="22"/>
        </w:rPr>
        <w:t>,</w:t>
      </w:r>
      <w:r w:rsidR="00F44C00" w:rsidRPr="001E6906">
        <w:rPr>
          <w:rFonts w:ascii="Arial" w:hAnsi="Arial" w:cs="Arial"/>
          <w:sz w:val="22"/>
          <w:szCs w:val="22"/>
        </w:rPr>
        <w:t xml:space="preserve"> which is needed to show the degree of job security. That’s why we consider the following factors to visualize the </w:t>
      </w:r>
      <w:r w:rsidR="00BC7067" w:rsidRPr="001E6906">
        <w:rPr>
          <w:rFonts w:ascii="Arial" w:hAnsi="Arial" w:cs="Arial"/>
          <w:sz w:val="22"/>
          <w:szCs w:val="22"/>
        </w:rPr>
        <w:t>above-mentioned</w:t>
      </w:r>
      <w:r w:rsidR="00F44C00" w:rsidRPr="001E6906">
        <w:rPr>
          <w:rFonts w:ascii="Arial" w:hAnsi="Arial" w:cs="Arial"/>
          <w:sz w:val="22"/>
          <w:szCs w:val="22"/>
        </w:rPr>
        <w:t xml:space="preserve"> factors.</w:t>
      </w:r>
    </w:p>
    <w:p w14:paraId="0A1BC180" w14:textId="77777777" w:rsidR="001E6906" w:rsidRDefault="006D3402" w:rsidP="006E2238">
      <w:pPr>
        <w:spacing w:after="160" w:line="360" w:lineRule="auto"/>
        <w:jc w:val="both"/>
        <w:rPr>
          <w:rFonts w:ascii="Arial" w:hAnsi="Arial" w:cs="Arial"/>
          <w:i/>
          <w:iCs/>
          <w:sz w:val="22"/>
          <w:szCs w:val="22"/>
        </w:rPr>
      </w:pPr>
      <w:r w:rsidRPr="001E6906">
        <w:rPr>
          <w:rFonts w:ascii="Arial" w:hAnsi="Arial" w:cs="Arial"/>
          <w:noProof/>
          <w:sz w:val="22"/>
          <w:szCs w:val="22"/>
          <w14:ligatures w14:val="standardContextual"/>
        </w:rPr>
        <w:lastRenderedPageBreak/>
        <w:drawing>
          <wp:inline distT="0" distB="0" distL="0" distR="0" wp14:anchorId="712F80BD" wp14:editId="466AC18E">
            <wp:extent cx="5697220" cy="3154961"/>
            <wp:effectExtent l="0" t="0" r="17780" b="7620"/>
            <wp:docPr id="1212804304" name="Chart 1">
              <a:extLst xmlns:a="http://schemas.openxmlformats.org/drawingml/2006/main">
                <a:ext uri="{FF2B5EF4-FFF2-40B4-BE49-F238E27FC236}">
                  <a16:creationId xmlns:a16="http://schemas.microsoft.com/office/drawing/2014/main" id="{0164B105-F632-4171-F68C-293642703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DB10CF" w14:textId="77777777" w:rsidR="001E6906" w:rsidRPr="001E6906" w:rsidRDefault="001E6906" w:rsidP="006E2238">
      <w:pPr>
        <w:spacing w:after="160" w:line="360" w:lineRule="auto"/>
        <w:jc w:val="both"/>
        <w:rPr>
          <w:rFonts w:ascii="Arial" w:hAnsi="Arial" w:cs="Arial"/>
          <w:sz w:val="22"/>
          <w:szCs w:val="22"/>
        </w:rPr>
      </w:pPr>
      <w:r w:rsidRPr="001E6906">
        <w:rPr>
          <w:rFonts w:ascii="Arial" w:hAnsi="Arial" w:cs="Arial"/>
          <w:sz w:val="22"/>
          <w:szCs w:val="22"/>
        </w:rPr>
        <w:t>Figure10: Sector-wise percentage distribution of workers</w:t>
      </w:r>
    </w:p>
    <w:p w14:paraId="2020AFB7" w14:textId="77777777" w:rsidR="00B83B5D" w:rsidRPr="001E6906" w:rsidRDefault="00F037C6" w:rsidP="006E2238">
      <w:pPr>
        <w:spacing w:after="160" w:line="360" w:lineRule="auto"/>
        <w:jc w:val="both"/>
        <w:rPr>
          <w:rFonts w:ascii="Arial" w:hAnsi="Arial" w:cs="Arial"/>
          <w:sz w:val="22"/>
          <w:szCs w:val="22"/>
        </w:rPr>
      </w:pPr>
      <w:r w:rsidRPr="001E6906">
        <w:rPr>
          <w:rFonts w:ascii="Arial" w:hAnsi="Arial" w:cs="Arial"/>
          <w:i/>
          <w:iCs/>
          <w:sz w:val="22"/>
          <w:szCs w:val="22"/>
        </w:rPr>
        <w:t>Source: Author</w:t>
      </w:r>
      <w:r w:rsidR="00EE7072" w:rsidRPr="001E6906">
        <w:rPr>
          <w:rFonts w:ascii="Arial" w:hAnsi="Arial" w:cs="Arial"/>
          <w:i/>
          <w:iCs/>
          <w:sz w:val="22"/>
          <w:szCs w:val="22"/>
        </w:rPr>
        <w:t>’</w:t>
      </w:r>
      <w:r w:rsidRPr="001E6906">
        <w:rPr>
          <w:rFonts w:ascii="Arial" w:hAnsi="Arial" w:cs="Arial"/>
          <w:i/>
          <w:iCs/>
          <w:sz w:val="22"/>
          <w:szCs w:val="22"/>
        </w:rPr>
        <w:t xml:space="preserve">s calculation from PLFS </w:t>
      </w:r>
      <w:r w:rsidR="00D0293F" w:rsidRPr="001E6906">
        <w:rPr>
          <w:rFonts w:ascii="Arial" w:hAnsi="Arial" w:cs="Arial"/>
          <w:i/>
          <w:iCs/>
          <w:sz w:val="22"/>
          <w:szCs w:val="22"/>
        </w:rPr>
        <w:t>(2019-20&amp;2022-23)</w:t>
      </w:r>
    </w:p>
    <w:p w14:paraId="2101C325" w14:textId="77777777" w:rsidR="000027F0" w:rsidRPr="001E6906" w:rsidRDefault="00F45AE1" w:rsidP="006E2238">
      <w:pPr>
        <w:spacing w:after="160" w:line="360" w:lineRule="auto"/>
        <w:jc w:val="both"/>
        <w:rPr>
          <w:rFonts w:ascii="Arial" w:hAnsi="Arial" w:cs="Arial"/>
          <w:color w:val="000000"/>
          <w:sz w:val="22"/>
          <w:szCs w:val="22"/>
        </w:rPr>
      </w:pPr>
      <w:r w:rsidRPr="001E6906">
        <w:rPr>
          <w:rFonts w:ascii="Arial" w:hAnsi="Arial" w:cs="Arial"/>
          <w:sz w:val="22"/>
          <w:szCs w:val="22"/>
        </w:rPr>
        <w:t xml:space="preserve">From </w:t>
      </w:r>
      <w:r w:rsidR="00615142" w:rsidRPr="001E6906">
        <w:rPr>
          <w:rFonts w:ascii="Arial" w:hAnsi="Arial" w:cs="Arial"/>
          <w:sz w:val="22"/>
          <w:szCs w:val="22"/>
        </w:rPr>
        <w:t>F</w:t>
      </w:r>
      <w:r w:rsidRPr="001E6906">
        <w:rPr>
          <w:rFonts w:ascii="Arial" w:hAnsi="Arial" w:cs="Arial"/>
          <w:sz w:val="22"/>
          <w:szCs w:val="22"/>
        </w:rPr>
        <w:t>igure 10</w:t>
      </w:r>
      <w:r w:rsidR="00615142" w:rsidRPr="001E6906">
        <w:rPr>
          <w:rFonts w:ascii="Arial" w:hAnsi="Arial" w:cs="Arial"/>
          <w:sz w:val="22"/>
          <w:szCs w:val="22"/>
        </w:rPr>
        <w:t>,</w:t>
      </w:r>
      <w:r w:rsidRPr="001E6906">
        <w:rPr>
          <w:rFonts w:ascii="Arial" w:hAnsi="Arial" w:cs="Arial"/>
          <w:sz w:val="22"/>
          <w:szCs w:val="22"/>
        </w:rPr>
        <w:t xml:space="preserve"> we can </w:t>
      </w:r>
      <w:r w:rsidR="00334502" w:rsidRPr="001E6906">
        <w:rPr>
          <w:rFonts w:ascii="Arial" w:hAnsi="Arial" w:cs="Arial"/>
          <w:sz w:val="22"/>
          <w:szCs w:val="22"/>
        </w:rPr>
        <w:t>analyse</w:t>
      </w:r>
      <w:r w:rsidRPr="001E6906">
        <w:rPr>
          <w:rFonts w:ascii="Arial" w:hAnsi="Arial" w:cs="Arial"/>
          <w:sz w:val="22"/>
          <w:szCs w:val="22"/>
        </w:rPr>
        <w:t xml:space="preserve"> the percentage distribution of workers in different sectors</w:t>
      </w:r>
      <w:r w:rsidR="00EE7072" w:rsidRPr="001E6906">
        <w:rPr>
          <w:rFonts w:ascii="Arial" w:hAnsi="Arial" w:cs="Arial"/>
          <w:sz w:val="22"/>
          <w:szCs w:val="22"/>
        </w:rPr>
        <w:t>,</w:t>
      </w:r>
      <w:r w:rsidRPr="001E6906">
        <w:rPr>
          <w:rFonts w:ascii="Arial" w:hAnsi="Arial" w:cs="Arial"/>
          <w:sz w:val="22"/>
          <w:szCs w:val="22"/>
        </w:rPr>
        <w:t xml:space="preserve"> mainly agriculture, industry and services. Here, we can observe that during the pandemic</w:t>
      </w:r>
      <w:r w:rsidR="00615142" w:rsidRPr="001E6906">
        <w:rPr>
          <w:rFonts w:ascii="Arial" w:hAnsi="Arial" w:cs="Arial"/>
          <w:sz w:val="22"/>
          <w:szCs w:val="22"/>
        </w:rPr>
        <w:t>,</w:t>
      </w:r>
      <w:r w:rsidRPr="001E6906">
        <w:rPr>
          <w:rFonts w:ascii="Arial" w:hAnsi="Arial" w:cs="Arial"/>
          <w:sz w:val="22"/>
          <w:szCs w:val="22"/>
        </w:rPr>
        <w:t xml:space="preserve"> there was</w:t>
      </w:r>
      <w:r w:rsidR="007C3F75" w:rsidRPr="001E6906">
        <w:rPr>
          <w:rFonts w:ascii="Arial" w:hAnsi="Arial" w:cs="Arial"/>
          <w:sz w:val="22"/>
          <w:szCs w:val="22"/>
        </w:rPr>
        <w:t xml:space="preserve"> a</w:t>
      </w:r>
      <w:r w:rsidRPr="001E6906">
        <w:rPr>
          <w:rFonts w:ascii="Arial" w:hAnsi="Arial" w:cs="Arial"/>
          <w:sz w:val="22"/>
          <w:szCs w:val="22"/>
        </w:rPr>
        <w:t xml:space="preserve"> decline</w:t>
      </w:r>
      <w:r w:rsidR="007C3F75" w:rsidRPr="001E6906">
        <w:rPr>
          <w:rFonts w:ascii="Arial" w:hAnsi="Arial" w:cs="Arial"/>
          <w:sz w:val="22"/>
          <w:szCs w:val="22"/>
        </w:rPr>
        <w:t xml:space="preserve"> in the number of </w:t>
      </w:r>
      <w:r w:rsidRPr="001E6906">
        <w:rPr>
          <w:rFonts w:ascii="Arial" w:hAnsi="Arial" w:cs="Arial"/>
          <w:sz w:val="22"/>
          <w:szCs w:val="22"/>
        </w:rPr>
        <w:t>workers</w:t>
      </w:r>
      <w:r w:rsidR="00615142" w:rsidRPr="001E6906">
        <w:rPr>
          <w:rFonts w:ascii="Arial" w:hAnsi="Arial" w:cs="Arial"/>
          <w:sz w:val="22"/>
          <w:szCs w:val="22"/>
        </w:rPr>
        <w:t>,</w:t>
      </w:r>
      <w:r w:rsidRPr="001E6906">
        <w:rPr>
          <w:rFonts w:ascii="Arial" w:hAnsi="Arial" w:cs="Arial"/>
          <w:sz w:val="22"/>
          <w:szCs w:val="22"/>
        </w:rPr>
        <w:t xml:space="preserve"> mainly in</w:t>
      </w:r>
      <w:r w:rsidR="007C3F75" w:rsidRPr="001E6906">
        <w:rPr>
          <w:rFonts w:ascii="Arial" w:hAnsi="Arial" w:cs="Arial"/>
          <w:sz w:val="22"/>
          <w:szCs w:val="22"/>
        </w:rPr>
        <w:t xml:space="preserve"> the</w:t>
      </w:r>
      <w:r w:rsidRPr="001E6906">
        <w:rPr>
          <w:rFonts w:ascii="Arial" w:hAnsi="Arial" w:cs="Arial"/>
          <w:sz w:val="22"/>
          <w:szCs w:val="22"/>
        </w:rPr>
        <w:t xml:space="preserve"> service sector</w:t>
      </w:r>
      <w:r w:rsidR="00774291" w:rsidRPr="001E6906">
        <w:rPr>
          <w:rFonts w:ascii="Arial" w:hAnsi="Arial" w:cs="Arial"/>
          <w:sz w:val="22"/>
          <w:szCs w:val="22"/>
        </w:rPr>
        <w:t>. It was 30.7 percent in 2019-20</w:t>
      </w:r>
      <w:r w:rsidR="00615142" w:rsidRPr="001E6906">
        <w:rPr>
          <w:rFonts w:ascii="Arial" w:hAnsi="Arial" w:cs="Arial"/>
          <w:sz w:val="22"/>
          <w:szCs w:val="22"/>
        </w:rPr>
        <w:t>,</w:t>
      </w:r>
      <w:r w:rsidR="00774291" w:rsidRPr="001E6906">
        <w:rPr>
          <w:rFonts w:ascii="Arial" w:hAnsi="Arial" w:cs="Arial"/>
          <w:sz w:val="22"/>
          <w:szCs w:val="22"/>
        </w:rPr>
        <w:t xml:space="preserve"> </w:t>
      </w:r>
      <w:r w:rsidR="007C3F75" w:rsidRPr="001E6906">
        <w:rPr>
          <w:rFonts w:ascii="Arial" w:hAnsi="Arial" w:cs="Arial"/>
          <w:sz w:val="22"/>
          <w:szCs w:val="22"/>
        </w:rPr>
        <w:t xml:space="preserve">which </w:t>
      </w:r>
      <w:r w:rsidR="00774291" w:rsidRPr="001E6906">
        <w:rPr>
          <w:rFonts w:ascii="Arial" w:hAnsi="Arial" w:cs="Arial"/>
          <w:sz w:val="22"/>
          <w:szCs w:val="22"/>
        </w:rPr>
        <w:t xml:space="preserve">reduced to 29.6 </w:t>
      </w:r>
      <w:r w:rsidR="00615142" w:rsidRPr="001E6906">
        <w:rPr>
          <w:rFonts w:ascii="Arial" w:hAnsi="Arial" w:cs="Arial"/>
          <w:sz w:val="22"/>
          <w:szCs w:val="22"/>
        </w:rPr>
        <w:t xml:space="preserve">percent </w:t>
      </w:r>
      <w:r w:rsidR="00774291" w:rsidRPr="001E6906">
        <w:rPr>
          <w:rFonts w:ascii="Arial" w:hAnsi="Arial" w:cs="Arial"/>
          <w:sz w:val="22"/>
          <w:szCs w:val="22"/>
        </w:rPr>
        <w:t>during the pandemic</w:t>
      </w:r>
      <w:r w:rsidR="000E04DB" w:rsidRPr="001E6906">
        <w:rPr>
          <w:rFonts w:ascii="Arial" w:hAnsi="Arial" w:cs="Arial"/>
          <w:sz w:val="22"/>
          <w:szCs w:val="22"/>
        </w:rPr>
        <w:t xml:space="preserve"> period</w:t>
      </w:r>
      <w:r w:rsidR="00774291" w:rsidRPr="001E6906">
        <w:rPr>
          <w:rFonts w:ascii="Arial" w:hAnsi="Arial" w:cs="Arial"/>
          <w:sz w:val="22"/>
          <w:szCs w:val="22"/>
        </w:rPr>
        <w:t xml:space="preserve">. This reduction of workers in </w:t>
      </w:r>
      <w:r w:rsidR="00615142" w:rsidRPr="001E6906">
        <w:rPr>
          <w:rFonts w:ascii="Arial" w:hAnsi="Arial" w:cs="Arial"/>
          <w:sz w:val="22"/>
          <w:szCs w:val="22"/>
        </w:rPr>
        <w:t xml:space="preserve">the </w:t>
      </w:r>
      <w:r w:rsidR="00774291" w:rsidRPr="001E6906">
        <w:rPr>
          <w:rFonts w:ascii="Arial" w:hAnsi="Arial" w:cs="Arial"/>
          <w:sz w:val="22"/>
          <w:szCs w:val="22"/>
        </w:rPr>
        <w:t>service sector</w:t>
      </w:r>
      <w:r w:rsidR="007C3F75" w:rsidRPr="001E6906">
        <w:rPr>
          <w:rFonts w:ascii="Arial" w:hAnsi="Arial" w:cs="Arial"/>
          <w:sz w:val="22"/>
          <w:szCs w:val="22"/>
        </w:rPr>
        <w:t xml:space="preserve"> was </w:t>
      </w:r>
      <w:r w:rsidR="00774291" w:rsidRPr="001E6906">
        <w:rPr>
          <w:rFonts w:ascii="Arial" w:hAnsi="Arial" w:cs="Arial"/>
          <w:sz w:val="22"/>
          <w:szCs w:val="22"/>
        </w:rPr>
        <w:t xml:space="preserve">absorbed by </w:t>
      </w:r>
      <w:r w:rsidR="00615142" w:rsidRPr="001E6906">
        <w:rPr>
          <w:rFonts w:ascii="Arial" w:hAnsi="Arial" w:cs="Arial"/>
          <w:sz w:val="22"/>
          <w:szCs w:val="22"/>
        </w:rPr>
        <w:t xml:space="preserve">the </w:t>
      </w:r>
      <w:r w:rsidR="00774291" w:rsidRPr="001E6906">
        <w:rPr>
          <w:rFonts w:ascii="Arial" w:hAnsi="Arial" w:cs="Arial"/>
          <w:sz w:val="22"/>
          <w:szCs w:val="22"/>
        </w:rPr>
        <w:t>agriculture sector in 2020-21</w:t>
      </w:r>
      <w:r w:rsidR="007C3F75" w:rsidRPr="001E6906">
        <w:rPr>
          <w:rFonts w:ascii="Arial" w:hAnsi="Arial" w:cs="Arial"/>
          <w:sz w:val="22"/>
          <w:szCs w:val="22"/>
        </w:rPr>
        <w:t>,</w:t>
      </w:r>
      <w:r w:rsidR="00774291" w:rsidRPr="001E6906">
        <w:rPr>
          <w:rFonts w:ascii="Arial" w:hAnsi="Arial" w:cs="Arial"/>
          <w:sz w:val="22"/>
          <w:szCs w:val="22"/>
        </w:rPr>
        <w:t xml:space="preserve"> as many workers migrated reversely and engaged in self-employment in agriculture. However, in 2021-22</w:t>
      </w:r>
      <w:r w:rsidR="007C3F75" w:rsidRPr="001E6906">
        <w:rPr>
          <w:rFonts w:ascii="Arial" w:hAnsi="Arial" w:cs="Arial"/>
          <w:sz w:val="22"/>
          <w:szCs w:val="22"/>
        </w:rPr>
        <w:t>,</w:t>
      </w:r>
      <w:r w:rsidR="00774291" w:rsidRPr="001E6906">
        <w:rPr>
          <w:rFonts w:ascii="Arial" w:hAnsi="Arial" w:cs="Arial"/>
          <w:sz w:val="22"/>
          <w:szCs w:val="22"/>
        </w:rPr>
        <w:t xml:space="preserve"> there </w:t>
      </w:r>
      <w:r w:rsidR="007C3F75" w:rsidRPr="001E6906">
        <w:rPr>
          <w:rFonts w:ascii="Arial" w:hAnsi="Arial" w:cs="Arial"/>
          <w:sz w:val="22"/>
          <w:szCs w:val="22"/>
        </w:rPr>
        <w:t>was a</w:t>
      </w:r>
      <w:r w:rsidR="00774291" w:rsidRPr="001E6906">
        <w:rPr>
          <w:rFonts w:ascii="Arial" w:hAnsi="Arial" w:cs="Arial"/>
          <w:sz w:val="22"/>
          <w:szCs w:val="22"/>
        </w:rPr>
        <w:t xml:space="preserve"> slight </w:t>
      </w:r>
      <w:r w:rsidR="001A130F" w:rsidRPr="001E6906">
        <w:rPr>
          <w:rFonts w:ascii="Arial" w:hAnsi="Arial" w:cs="Arial"/>
          <w:sz w:val="22"/>
          <w:szCs w:val="22"/>
        </w:rPr>
        <w:t>reduction</w:t>
      </w:r>
      <w:r w:rsidR="00774291" w:rsidRPr="001E6906">
        <w:rPr>
          <w:rFonts w:ascii="Arial" w:hAnsi="Arial" w:cs="Arial"/>
          <w:sz w:val="22"/>
          <w:szCs w:val="22"/>
        </w:rPr>
        <w:t xml:space="preserve"> in the percentage share of workers in agriculture (about 1%) </w:t>
      </w:r>
      <w:r w:rsidR="000E04DB" w:rsidRPr="001E6906">
        <w:rPr>
          <w:rFonts w:ascii="Arial" w:hAnsi="Arial" w:cs="Arial"/>
          <w:sz w:val="22"/>
          <w:szCs w:val="22"/>
        </w:rPr>
        <w:t xml:space="preserve">while </w:t>
      </w:r>
      <w:r w:rsidR="00615142" w:rsidRPr="001E6906">
        <w:rPr>
          <w:rFonts w:ascii="Arial" w:hAnsi="Arial" w:cs="Arial"/>
          <w:sz w:val="22"/>
          <w:szCs w:val="22"/>
        </w:rPr>
        <w:t xml:space="preserve">the </w:t>
      </w:r>
      <w:r w:rsidR="000E04DB" w:rsidRPr="001E6906">
        <w:rPr>
          <w:rFonts w:ascii="Arial" w:hAnsi="Arial" w:cs="Arial"/>
          <w:sz w:val="22"/>
          <w:szCs w:val="22"/>
        </w:rPr>
        <w:t>percentage</w:t>
      </w:r>
      <w:r w:rsidR="00774291" w:rsidRPr="001E6906">
        <w:rPr>
          <w:rFonts w:ascii="Arial" w:hAnsi="Arial" w:cs="Arial"/>
          <w:sz w:val="22"/>
          <w:szCs w:val="22"/>
        </w:rPr>
        <w:t xml:space="preserve"> share in manufacturing increase</w:t>
      </w:r>
      <w:r w:rsidR="007C3F75" w:rsidRPr="001E6906">
        <w:rPr>
          <w:rFonts w:ascii="Arial" w:hAnsi="Arial" w:cs="Arial"/>
          <w:sz w:val="22"/>
          <w:szCs w:val="22"/>
        </w:rPr>
        <w:t>d</w:t>
      </w:r>
      <w:r w:rsidR="00774291" w:rsidRPr="001E6906">
        <w:rPr>
          <w:rFonts w:ascii="Arial" w:hAnsi="Arial" w:cs="Arial"/>
          <w:sz w:val="22"/>
          <w:szCs w:val="22"/>
        </w:rPr>
        <w:t xml:space="preserve"> by 1%.</w:t>
      </w:r>
      <w:r w:rsidR="000E04DB" w:rsidRPr="001E6906">
        <w:rPr>
          <w:rFonts w:ascii="Arial" w:hAnsi="Arial" w:cs="Arial"/>
          <w:sz w:val="22"/>
          <w:szCs w:val="22"/>
        </w:rPr>
        <w:t xml:space="preserve"> </w:t>
      </w:r>
      <w:r w:rsidR="00774291" w:rsidRPr="001E6906">
        <w:rPr>
          <w:rFonts w:ascii="Arial" w:hAnsi="Arial" w:cs="Arial"/>
          <w:sz w:val="22"/>
          <w:szCs w:val="22"/>
        </w:rPr>
        <w:t xml:space="preserve">It depicts that the workers shifted from agriculture to </w:t>
      </w:r>
      <w:r w:rsidR="00615142" w:rsidRPr="001E6906">
        <w:rPr>
          <w:rFonts w:ascii="Arial" w:hAnsi="Arial" w:cs="Arial"/>
          <w:sz w:val="22"/>
          <w:szCs w:val="22"/>
        </w:rPr>
        <w:t xml:space="preserve">the </w:t>
      </w:r>
      <w:r w:rsidR="00774291" w:rsidRPr="001E6906">
        <w:rPr>
          <w:rFonts w:ascii="Arial" w:hAnsi="Arial" w:cs="Arial"/>
          <w:sz w:val="22"/>
          <w:szCs w:val="22"/>
        </w:rPr>
        <w:t>manufacturing sector. After the pandemic period</w:t>
      </w:r>
      <w:r w:rsidR="007C3F75" w:rsidRPr="001E6906">
        <w:rPr>
          <w:rFonts w:ascii="Arial" w:hAnsi="Arial" w:cs="Arial"/>
          <w:sz w:val="22"/>
          <w:szCs w:val="22"/>
        </w:rPr>
        <w:t xml:space="preserve">, </w:t>
      </w:r>
      <w:r w:rsidR="00774291" w:rsidRPr="001E6906">
        <w:rPr>
          <w:rFonts w:ascii="Arial" w:hAnsi="Arial" w:cs="Arial"/>
          <w:sz w:val="22"/>
          <w:szCs w:val="22"/>
        </w:rPr>
        <w:t xml:space="preserve">the percentage share of workers in </w:t>
      </w:r>
      <w:r w:rsidR="00615142" w:rsidRPr="001E6906">
        <w:rPr>
          <w:rFonts w:ascii="Arial" w:hAnsi="Arial" w:cs="Arial"/>
          <w:sz w:val="22"/>
          <w:szCs w:val="22"/>
        </w:rPr>
        <w:t xml:space="preserve">the </w:t>
      </w:r>
      <w:r w:rsidR="00774291" w:rsidRPr="001E6906">
        <w:rPr>
          <w:rFonts w:ascii="Arial" w:hAnsi="Arial" w:cs="Arial"/>
          <w:sz w:val="22"/>
          <w:szCs w:val="22"/>
        </w:rPr>
        <w:t>service sector</w:t>
      </w:r>
      <w:r w:rsidR="007C3F75" w:rsidRPr="001E6906">
        <w:rPr>
          <w:rFonts w:ascii="Arial" w:hAnsi="Arial" w:cs="Arial"/>
          <w:sz w:val="22"/>
          <w:szCs w:val="22"/>
        </w:rPr>
        <w:t xml:space="preserve"> declined further</w:t>
      </w:r>
      <w:r w:rsidR="00615142" w:rsidRPr="001E6906">
        <w:rPr>
          <w:rFonts w:ascii="Arial" w:hAnsi="Arial" w:cs="Arial"/>
          <w:sz w:val="22"/>
          <w:szCs w:val="22"/>
        </w:rPr>
        <w:t>,</w:t>
      </w:r>
      <w:r w:rsidR="007C3F75" w:rsidRPr="001E6906">
        <w:rPr>
          <w:rFonts w:ascii="Arial" w:hAnsi="Arial" w:cs="Arial"/>
          <w:sz w:val="22"/>
          <w:szCs w:val="22"/>
        </w:rPr>
        <w:t xml:space="preserve"> while the </w:t>
      </w:r>
      <w:r w:rsidR="000E04DB" w:rsidRPr="001E6906">
        <w:rPr>
          <w:rFonts w:ascii="Arial" w:hAnsi="Arial" w:cs="Arial"/>
          <w:sz w:val="22"/>
          <w:szCs w:val="22"/>
        </w:rPr>
        <w:t>share in manufacturing and agriculture increase</w:t>
      </w:r>
      <w:r w:rsidR="007C3F75" w:rsidRPr="001E6906">
        <w:rPr>
          <w:rFonts w:ascii="Arial" w:hAnsi="Arial" w:cs="Arial"/>
          <w:sz w:val="22"/>
          <w:szCs w:val="22"/>
        </w:rPr>
        <w:t>d</w:t>
      </w:r>
      <w:r w:rsidR="000E04DB" w:rsidRPr="001E6906">
        <w:rPr>
          <w:rFonts w:ascii="Arial" w:hAnsi="Arial" w:cs="Arial"/>
          <w:sz w:val="22"/>
          <w:szCs w:val="22"/>
        </w:rPr>
        <w:t>.</w:t>
      </w:r>
      <w:r w:rsidR="00CF5481" w:rsidRPr="001E6906">
        <w:rPr>
          <w:rFonts w:ascii="Arial" w:hAnsi="Arial" w:cs="Arial"/>
          <w:sz w:val="22"/>
          <w:szCs w:val="22"/>
        </w:rPr>
        <w:t xml:space="preserve"> </w:t>
      </w:r>
      <w:r w:rsidR="00CF5481" w:rsidRPr="001E6906">
        <w:rPr>
          <w:rFonts w:ascii="Arial" w:hAnsi="Arial" w:cs="Arial"/>
          <w:color w:val="000000"/>
          <w:sz w:val="22"/>
          <w:szCs w:val="22"/>
        </w:rPr>
        <w:t xml:space="preserve">The literature shows that India’s service sector experienced one of the deepest contractions during the COVID-19 pandemic and has struggled to return to its pre-pandemic trajectory. Bharathi and Dinesh (2021) and Sahoo and Raghavendra (2021) note that the shock was particularly severe in contact-intensive services such as tourism, hospitality, retail trade, transportation and education, all of which faced prolonged shutdowns and mobility restrictions. Several studies argue that although digital and IT-enabled services recovered quickly, they form a small share of total service employment and therefore could not offset the losses in labour-intensive segments of the sector </w:t>
      </w:r>
      <w:r w:rsidR="00CF5481" w:rsidRPr="001E6906">
        <w:rPr>
          <w:rFonts w:ascii="Arial" w:hAnsi="Arial" w:cs="Arial"/>
          <w:color w:val="000000"/>
          <w:sz w:val="22"/>
          <w:szCs w:val="22"/>
        </w:rPr>
        <w:lastRenderedPageBreak/>
        <w:t xml:space="preserve">(Jyothi, 2020; Nausheen, 2021). Post-pandemic analyses show that the recovery has been uneven. </w:t>
      </w:r>
      <w:r w:rsidR="00E04A6B" w:rsidRPr="001E6906">
        <w:rPr>
          <w:rFonts w:ascii="Arial" w:hAnsi="Arial" w:cs="Arial"/>
          <w:color w:val="000000"/>
          <w:sz w:val="22"/>
          <w:szCs w:val="22"/>
        </w:rPr>
        <w:t>U</w:t>
      </w:r>
      <w:r w:rsidR="00CF5481" w:rsidRPr="001E6906">
        <w:rPr>
          <w:rFonts w:ascii="Arial" w:hAnsi="Arial" w:cs="Arial"/>
          <w:color w:val="000000"/>
          <w:sz w:val="22"/>
          <w:szCs w:val="22"/>
        </w:rPr>
        <w:t xml:space="preserve">nlike manufacturing and agriculture, the services sector continues to face weak demand, </w:t>
      </w:r>
      <w:r w:rsidR="00615142" w:rsidRPr="001E6906">
        <w:rPr>
          <w:rFonts w:ascii="Arial" w:hAnsi="Arial" w:cs="Arial"/>
          <w:color w:val="000000"/>
          <w:sz w:val="22"/>
          <w:szCs w:val="22"/>
        </w:rPr>
        <w:t xml:space="preserve">a </w:t>
      </w:r>
      <w:r w:rsidR="00CF5481" w:rsidRPr="001E6906">
        <w:rPr>
          <w:rFonts w:ascii="Arial" w:hAnsi="Arial" w:cs="Arial"/>
          <w:color w:val="000000"/>
          <w:sz w:val="22"/>
          <w:szCs w:val="22"/>
        </w:rPr>
        <w:t>global slowdown in service exports, and persistent labour market mismatches. Padmapriya (2024) emphasises structural constraints such as high fixed costs, limited flexibility and dependence on urban consumer spending, all of which reduced the sector’s resilience to shock</w:t>
      </w:r>
      <w:r w:rsidR="00615142" w:rsidRPr="001E6906">
        <w:rPr>
          <w:rFonts w:ascii="Arial" w:hAnsi="Arial" w:cs="Arial"/>
          <w:color w:val="000000"/>
          <w:sz w:val="22"/>
          <w:szCs w:val="22"/>
        </w:rPr>
        <w:t>s</w:t>
      </w:r>
      <w:r w:rsidR="00CF5481" w:rsidRPr="001E6906">
        <w:rPr>
          <w:rFonts w:ascii="Arial" w:hAnsi="Arial" w:cs="Arial"/>
          <w:color w:val="000000"/>
          <w:sz w:val="22"/>
          <w:szCs w:val="22"/>
        </w:rPr>
        <w:t>. Evidence from labour studies further show</w:t>
      </w:r>
      <w:r w:rsidR="00615142" w:rsidRPr="001E6906">
        <w:rPr>
          <w:rFonts w:ascii="Arial" w:hAnsi="Arial" w:cs="Arial"/>
          <w:color w:val="000000"/>
          <w:sz w:val="22"/>
          <w:szCs w:val="22"/>
        </w:rPr>
        <w:t>s</w:t>
      </w:r>
      <w:r w:rsidR="00CF5481" w:rsidRPr="001E6906">
        <w:rPr>
          <w:rFonts w:ascii="Arial" w:hAnsi="Arial" w:cs="Arial"/>
          <w:color w:val="000000"/>
          <w:sz w:val="22"/>
          <w:szCs w:val="22"/>
        </w:rPr>
        <w:t xml:space="preserve"> that many displaced service workers, especially women, did not return to urban service jobs but shifted into agriculture and informal rural work, contributing to a slower revival of service-sector employment (Shrivastava, 2022; CSE, 2023). Overall, the literature suggests that India’s service-sector stagnation after COVID-19 is driven by a combination of structural weaknesses, demand-side contraction</w:t>
      </w:r>
      <w:r w:rsidR="007C3F75" w:rsidRPr="001E6906">
        <w:rPr>
          <w:rFonts w:ascii="Arial" w:hAnsi="Arial" w:cs="Arial"/>
          <w:color w:val="000000"/>
          <w:sz w:val="22"/>
          <w:szCs w:val="22"/>
        </w:rPr>
        <w:t xml:space="preserve"> </w:t>
      </w:r>
      <w:r w:rsidR="00CF5481" w:rsidRPr="001E6906">
        <w:rPr>
          <w:rFonts w:ascii="Arial" w:hAnsi="Arial" w:cs="Arial"/>
          <w:color w:val="000000"/>
          <w:sz w:val="22"/>
          <w:szCs w:val="22"/>
        </w:rPr>
        <w:t>and the inability of urban service industries to reabsorb workers displaced during the pandemic</w:t>
      </w:r>
      <w:r w:rsidR="001B3444" w:rsidRPr="001E6906">
        <w:rPr>
          <w:rFonts w:ascii="Arial" w:hAnsi="Arial" w:cs="Arial"/>
          <w:color w:val="000000"/>
          <w:sz w:val="22"/>
          <w:szCs w:val="22"/>
        </w:rPr>
        <w:t>. Recent studies indicate that India’s service sector is increasingly facing competitive pressures from emerging Asian economies</w:t>
      </w:r>
      <w:r w:rsidR="00615142" w:rsidRPr="001E6906">
        <w:rPr>
          <w:rFonts w:ascii="Arial" w:hAnsi="Arial" w:cs="Arial"/>
          <w:color w:val="000000"/>
          <w:sz w:val="22"/>
          <w:szCs w:val="22"/>
        </w:rPr>
        <w:t>,</w:t>
      </w:r>
      <w:r w:rsidR="00E14E0C" w:rsidRPr="001E6906">
        <w:rPr>
          <w:rFonts w:ascii="Arial" w:hAnsi="Arial" w:cs="Arial"/>
          <w:color w:val="18181B"/>
          <w:sz w:val="22"/>
          <w:szCs w:val="22"/>
          <w:shd w:val="clear" w:color="auto" w:fill="FFFFFF"/>
        </w:rPr>
        <w:t xml:space="preserve"> especially in IT and business process outsourcing. Competition from other Asian countries is increasing</w:t>
      </w:r>
      <w:r w:rsidR="00E14E0C" w:rsidRPr="001E6906">
        <w:rPr>
          <w:rStyle w:val="apple-converted-space"/>
          <w:rFonts w:ascii="Arial" w:eastAsiaTheme="majorEastAsia" w:hAnsi="Arial" w:cs="Arial"/>
          <w:color w:val="18181B"/>
          <w:sz w:val="22"/>
          <w:szCs w:val="22"/>
          <w:shd w:val="clear" w:color="auto" w:fill="FFFFFF"/>
        </w:rPr>
        <w:t>,</w:t>
      </w:r>
      <w:r w:rsidR="00E14E0C" w:rsidRPr="001E6906">
        <w:rPr>
          <w:rFonts w:ascii="Arial" w:hAnsi="Arial" w:cs="Arial"/>
          <w:color w:val="18181B"/>
          <w:sz w:val="22"/>
          <w:szCs w:val="22"/>
          <w:shd w:val="clear" w:color="auto" w:fill="FFFFFF"/>
        </w:rPr>
        <w:t xml:space="preserve"> driven by cost pressures, technological change and evolving regional dynamics.</w:t>
      </w:r>
      <w:r w:rsidR="0050611F" w:rsidRPr="001E6906">
        <w:rPr>
          <w:rFonts w:ascii="Arial" w:hAnsi="Arial" w:cs="Arial"/>
          <w:color w:val="18181B"/>
          <w:sz w:val="22"/>
          <w:szCs w:val="22"/>
          <w:shd w:val="clear" w:color="auto" w:fill="FFFFFF"/>
        </w:rPr>
        <w:t xml:space="preserve"> </w:t>
      </w:r>
      <w:r w:rsidR="0050611F" w:rsidRPr="001E6906">
        <w:rPr>
          <w:rFonts w:ascii="Arial" w:hAnsi="Arial" w:cs="Arial"/>
          <w:color w:val="000000"/>
          <w:sz w:val="22"/>
          <w:szCs w:val="22"/>
        </w:rPr>
        <w:t>F</w:t>
      </w:r>
      <w:r w:rsidR="001B3444" w:rsidRPr="001E6906">
        <w:rPr>
          <w:rFonts w:ascii="Arial" w:hAnsi="Arial" w:cs="Arial"/>
          <w:color w:val="000000"/>
          <w:sz w:val="22"/>
          <w:szCs w:val="22"/>
        </w:rPr>
        <w:t>irms are diversifying their outsourcing operations to Vietnam, Malaysia</w:t>
      </w:r>
      <w:r w:rsidR="00495A1C" w:rsidRPr="001E6906">
        <w:rPr>
          <w:rFonts w:ascii="Arial" w:hAnsi="Arial" w:cs="Arial"/>
          <w:color w:val="000000"/>
          <w:sz w:val="22"/>
          <w:szCs w:val="22"/>
        </w:rPr>
        <w:t xml:space="preserve"> </w:t>
      </w:r>
      <w:r w:rsidR="001B3444" w:rsidRPr="001E6906">
        <w:rPr>
          <w:rFonts w:ascii="Arial" w:hAnsi="Arial" w:cs="Arial"/>
          <w:color w:val="000000"/>
          <w:sz w:val="22"/>
          <w:szCs w:val="22"/>
        </w:rPr>
        <w:t>and the Philippines due to lower costs, favourable regulatory environments,</w:t>
      </w:r>
      <w:r w:rsidR="000C24B0" w:rsidRPr="001E6906">
        <w:rPr>
          <w:rFonts w:ascii="Arial" w:hAnsi="Arial" w:cs="Arial"/>
          <w:color w:val="000000"/>
          <w:sz w:val="22"/>
          <w:szCs w:val="22"/>
        </w:rPr>
        <w:t xml:space="preserve"> offer</w:t>
      </w:r>
      <w:r w:rsidR="00615142" w:rsidRPr="001E6906">
        <w:rPr>
          <w:rFonts w:ascii="Arial" w:hAnsi="Arial" w:cs="Arial"/>
          <w:color w:val="000000"/>
          <w:sz w:val="22"/>
          <w:szCs w:val="22"/>
        </w:rPr>
        <w:t>ing</w:t>
      </w:r>
      <w:r w:rsidR="000C24B0" w:rsidRPr="001E6906">
        <w:rPr>
          <w:rFonts w:ascii="Arial" w:hAnsi="Arial" w:cs="Arial"/>
          <w:color w:val="000000"/>
          <w:sz w:val="22"/>
          <w:szCs w:val="22"/>
        </w:rPr>
        <w:t xml:space="preserve"> competitive pricing, skilled labour </w:t>
      </w:r>
      <w:r w:rsidR="001B3444" w:rsidRPr="001E6906">
        <w:rPr>
          <w:rFonts w:ascii="Arial" w:hAnsi="Arial" w:cs="Arial"/>
          <w:color w:val="000000"/>
          <w:sz w:val="22"/>
          <w:szCs w:val="22"/>
        </w:rPr>
        <w:t>and aggressive digital-skills investment by these countries</w:t>
      </w:r>
      <w:r w:rsidR="00AE3609" w:rsidRPr="001E6906">
        <w:rPr>
          <w:rFonts w:ascii="Arial" w:hAnsi="Arial" w:cs="Arial"/>
          <w:color w:val="000000"/>
          <w:sz w:val="22"/>
          <w:szCs w:val="22"/>
        </w:rPr>
        <w:t xml:space="preserve"> (</w:t>
      </w:r>
      <w:r w:rsidR="00AE3609" w:rsidRPr="001E6906">
        <w:rPr>
          <w:rStyle w:val="Strong"/>
          <w:rFonts w:ascii="Arial" w:eastAsiaTheme="majorEastAsia" w:hAnsi="Arial" w:cs="Arial"/>
          <w:b w:val="0"/>
          <w:bCs w:val="0"/>
          <w:color w:val="000000"/>
          <w:sz w:val="22"/>
          <w:szCs w:val="22"/>
        </w:rPr>
        <w:t>Chanda, 2008).</w:t>
      </w:r>
      <w:r w:rsidR="00552151" w:rsidRPr="001E6906">
        <w:rPr>
          <w:rFonts w:ascii="Arial" w:hAnsi="Arial" w:cs="Arial"/>
          <w:color w:val="000000"/>
          <w:sz w:val="22"/>
          <w:szCs w:val="22"/>
        </w:rPr>
        <w:t xml:space="preserve"> </w:t>
      </w:r>
      <w:r w:rsidR="00AE3609" w:rsidRPr="001E6906">
        <w:rPr>
          <w:rFonts w:ascii="Arial" w:hAnsi="Arial" w:cs="Arial"/>
          <w:color w:val="18181B"/>
          <w:sz w:val="22"/>
          <w:szCs w:val="22"/>
          <w:shd w:val="clear" w:color="auto" w:fill="FFFFFF"/>
        </w:rPr>
        <w:t>Inadequate infrastructure, regulatory complexity and a persistent skill gap hinder India’s ability to sustain its lead. These issues are compounded by a large informal sector and uneven quality in education and training</w:t>
      </w:r>
      <w:r w:rsidR="00DE4F56" w:rsidRPr="001E6906">
        <w:rPr>
          <w:rFonts w:ascii="Arial" w:hAnsi="Arial" w:cs="Arial"/>
          <w:color w:val="18181B"/>
          <w:sz w:val="22"/>
          <w:szCs w:val="22"/>
          <w:shd w:val="clear" w:color="auto" w:fill="FFFFFF"/>
        </w:rPr>
        <w:t xml:space="preserve"> </w:t>
      </w:r>
      <w:r w:rsidR="00AE3609" w:rsidRPr="001E6906">
        <w:rPr>
          <w:rFonts w:ascii="Arial" w:hAnsi="Arial" w:cs="Arial"/>
          <w:color w:val="18181B"/>
          <w:sz w:val="22"/>
          <w:szCs w:val="22"/>
          <w:shd w:val="clear" w:color="auto" w:fill="FFFFFF"/>
        </w:rPr>
        <w:t>(</w:t>
      </w:r>
      <w:r w:rsidR="00DE4F56" w:rsidRPr="001E6906">
        <w:rPr>
          <w:rFonts w:ascii="Arial" w:hAnsi="Arial" w:cs="Arial"/>
          <w:color w:val="000000"/>
          <w:sz w:val="22"/>
          <w:szCs w:val="22"/>
        </w:rPr>
        <w:t>Yang, 2023</w:t>
      </w:r>
      <w:r w:rsidR="00C30E44" w:rsidRPr="001E6906">
        <w:rPr>
          <w:rFonts w:ascii="Arial" w:hAnsi="Arial" w:cs="Arial"/>
          <w:color w:val="000000"/>
          <w:sz w:val="22"/>
          <w:szCs w:val="22"/>
        </w:rPr>
        <w:t>;</w:t>
      </w:r>
      <w:r w:rsidR="00C30E44" w:rsidRPr="001E6906">
        <w:rPr>
          <w:rFonts w:ascii="Arial" w:hAnsi="Arial" w:cs="Arial"/>
          <w:b/>
          <w:bCs/>
          <w:color w:val="000000"/>
          <w:sz w:val="22"/>
          <w:szCs w:val="22"/>
        </w:rPr>
        <w:t xml:space="preserve"> </w:t>
      </w:r>
      <w:r w:rsidR="00C30E44" w:rsidRPr="001E6906">
        <w:rPr>
          <w:rFonts w:ascii="Arial" w:hAnsi="Arial" w:cs="Arial"/>
          <w:color w:val="000000"/>
          <w:sz w:val="22"/>
          <w:szCs w:val="22"/>
        </w:rPr>
        <w:t>Fang et</w:t>
      </w:r>
      <w:r w:rsidR="00615142" w:rsidRPr="001E6906">
        <w:rPr>
          <w:rFonts w:ascii="Arial" w:hAnsi="Arial" w:cs="Arial"/>
          <w:color w:val="000000"/>
          <w:sz w:val="22"/>
          <w:szCs w:val="22"/>
        </w:rPr>
        <w:t xml:space="preserve"> al</w:t>
      </w:r>
      <w:r w:rsidR="00C30E44" w:rsidRPr="001E6906">
        <w:rPr>
          <w:rFonts w:ascii="Arial" w:hAnsi="Arial" w:cs="Arial"/>
          <w:color w:val="000000"/>
          <w:sz w:val="22"/>
          <w:szCs w:val="22"/>
        </w:rPr>
        <w:t>.,</w:t>
      </w:r>
      <w:r w:rsidR="00615142" w:rsidRPr="001E6906">
        <w:rPr>
          <w:rFonts w:ascii="Arial" w:hAnsi="Arial" w:cs="Arial"/>
          <w:color w:val="000000"/>
          <w:sz w:val="22"/>
          <w:szCs w:val="22"/>
        </w:rPr>
        <w:t xml:space="preserve"> </w:t>
      </w:r>
      <w:r w:rsidR="00C30E44" w:rsidRPr="001E6906">
        <w:rPr>
          <w:rFonts w:ascii="Arial" w:hAnsi="Arial" w:cs="Arial"/>
          <w:color w:val="000000"/>
          <w:sz w:val="22"/>
          <w:szCs w:val="22"/>
        </w:rPr>
        <w:t>2022</w:t>
      </w:r>
      <w:r w:rsidR="00DE4F56" w:rsidRPr="001E6906">
        <w:rPr>
          <w:rFonts w:ascii="Arial" w:hAnsi="Arial" w:cs="Arial"/>
          <w:color w:val="000000"/>
          <w:sz w:val="22"/>
          <w:szCs w:val="22"/>
        </w:rPr>
        <w:t>)</w:t>
      </w:r>
      <w:r w:rsidR="00552151" w:rsidRPr="001E6906">
        <w:rPr>
          <w:rFonts w:ascii="Arial" w:hAnsi="Arial" w:cs="Arial"/>
          <w:color w:val="000000"/>
          <w:sz w:val="22"/>
          <w:szCs w:val="22"/>
        </w:rPr>
        <w:t>.</w:t>
      </w:r>
      <w:r w:rsidR="00C30E44" w:rsidRPr="001E6906">
        <w:rPr>
          <w:rFonts w:ascii="Arial" w:hAnsi="Arial" w:cs="Arial"/>
          <w:color w:val="000000"/>
          <w:sz w:val="22"/>
          <w:szCs w:val="22"/>
        </w:rPr>
        <w:t xml:space="preserve"> </w:t>
      </w:r>
      <w:r w:rsidR="00AE3609" w:rsidRPr="001E6906">
        <w:rPr>
          <w:rFonts w:ascii="Arial" w:hAnsi="Arial" w:cs="Arial"/>
          <w:color w:val="18181B"/>
          <w:sz w:val="22"/>
          <w:szCs w:val="22"/>
          <w:shd w:val="clear" w:color="auto" w:fill="FFFFFF"/>
        </w:rPr>
        <w:t>Fragmented logistics and limited integration of IT and supply chains reduce efficiency and competitiveness compared to more integrated ASEAN economies</w:t>
      </w:r>
      <w:r w:rsidR="00C30E44" w:rsidRPr="001E6906">
        <w:rPr>
          <w:rFonts w:ascii="Arial" w:hAnsi="Arial" w:cs="Arial"/>
          <w:color w:val="18181B"/>
          <w:sz w:val="22"/>
          <w:szCs w:val="22"/>
          <w:shd w:val="clear" w:color="auto" w:fill="FFFFFF"/>
        </w:rPr>
        <w:t xml:space="preserve"> </w:t>
      </w:r>
      <w:r w:rsidR="00AE3609" w:rsidRPr="001E6906">
        <w:rPr>
          <w:rFonts w:ascii="Arial" w:hAnsi="Arial" w:cs="Arial"/>
          <w:color w:val="18181B"/>
          <w:sz w:val="22"/>
          <w:szCs w:val="22"/>
          <w:shd w:val="clear" w:color="auto" w:fill="FFFFFF"/>
        </w:rPr>
        <w:t>(</w:t>
      </w:r>
      <w:r w:rsidR="00DE4F56" w:rsidRPr="001E6906">
        <w:rPr>
          <w:rFonts w:ascii="Arial" w:hAnsi="Arial" w:cs="Arial"/>
          <w:color w:val="000000"/>
          <w:sz w:val="22"/>
          <w:szCs w:val="22"/>
        </w:rPr>
        <w:t>Fang et</w:t>
      </w:r>
      <w:r w:rsidR="00615142" w:rsidRPr="001E6906">
        <w:rPr>
          <w:rFonts w:ascii="Arial" w:hAnsi="Arial" w:cs="Arial"/>
          <w:color w:val="000000"/>
          <w:sz w:val="22"/>
          <w:szCs w:val="22"/>
        </w:rPr>
        <w:t xml:space="preserve"> </w:t>
      </w:r>
      <w:r w:rsidR="00DE4F56" w:rsidRPr="001E6906">
        <w:rPr>
          <w:rFonts w:ascii="Arial" w:hAnsi="Arial" w:cs="Arial"/>
          <w:color w:val="000000"/>
          <w:sz w:val="22"/>
          <w:szCs w:val="22"/>
        </w:rPr>
        <w:t>al.,2022;</w:t>
      </w:r>
      <w:r w:rsidR="00DE4F56" w:rsidRPr="001E6906">
        <w:rPr>
          <w:rFonts w:ascii="Arial" w:hAnsi="Arial" w:cs="Arial"/>
          <w:b/>
          <w:bCs/>
          <w:color w:val="000000"/>
          <w:sz w:val="22"/>
          <w:szCs w:val="22"/>
        </w:rPr>
        <w:t xml:space="preserve"> </w:t>
      </w:r>
      <w:r w:rsidR="00E96C7D" w:rsidRPr="001E6906">
        <w:rPr>
          <w:rFonts w:ascii="Arial" w:hAnsi="Arial" w:cs="Arial"/>
          <w:color w:val="000000"/>
          <w:sz w:val="22"/>
          <w:szCs w:val="22"/>
        </w:rPr>
        <w:t>Singh &amp; Radhakrishna, 2024)</w:t>
      </w:r>
      <w:r w:rsidR="00E96C7D" w:rsidRPr="001E6906">
        <w:rPr>
          <w:rFonts w:ascii="Arial" w:hAnsi="Arial" w:cs="Arial"/>
          <w:b/>
          <w:bCs/>
          <w:color w:val="000000"/>
          <w:sz w:val="22"/>
          <w:szCs w:val="22"/>
        </w:rPr>
        <w:t>.</w:t>
      </w:r>
      <w:r w:rsidR="00495A1C" w:rsidRPr="001E6906">
        <w:rPr>
          <w:rFonts w:ascii="Arial" w:hAnsi="Arial" w:cs="Arial"/>
          <w:color w:val="000000"/>
          <w:sz w:val="22"/>
          <w:szCs w:val="22"/>
        </w:rPr>
        <w:t xml:space="preserve"> </w:t>
      </w:r>
      <w:r w:rsidR="001B3444" w:rsidRPr="001E6906">
        <w:rPr>
          <w:rFonts w:ascii="Arial" w:hAnsi="Arial" w:cs="Arial"/>
          <w:color w:val="000000"/>
          <w:sz w:val="22"/>
          <w:szCs w:val="22"/>
        </w:rPr>
        <w:t>Collectively, these studies demonstrate that post-COVID Asia has become a far more competitive landscape, and India is increasingly losing ground to faster-adapting and more cost-competitive Asian service economies</w:t>
      </w:r>
    </w:p>
    <w:p w14:paraId="5BA816BD" w14:textId="77777777" w:rsidR="00B83B5D" w:rsidRPr="001E6906" w:rsidRDefault="00B83B5D" w:rsidP="006E2238">
      <w:pPr>
        <w:spacing w:after="160" w:line="360" w:lineRule="auto"/>
        <w:jc w:val="both"/>
        <w:rPr>
          <w:rFonts w:ascii="Arial" w:hAnsi="Arial" w:cs="Arial"/>
          <w:sz w:val="22"/>
          <w:szCs w:val="22"/>
        </w:rPr>
      </w:pPr>
      <w:r w:rsidRPr="001E6906">
        <w:rPr>
          <w:rFonts w:ascii="Arial" w:hAnsi="Arial" w:cs="Arial"/>
          <w:noProof/>
          <w:sz w:val="22"/>
          <w:szCs w:val="22"/>
          <w14:ligatures w14:val="standardContextual"/>
        </w:rPr>
        <w:lastRenderedPageBreak/>
        <w:drawing>
          <wp:inline distT="0" distB="0" distL="0" distR="0" wp14:anchorId="089037D6" wp14:editId="1FBAB8A7">
            <wp:extent cx="5943600" cy="2959100"/>
            <wp:effectExtent l="0" t="0" r="12700" b="12700"/>
            <wp:docPr id="472155413" name="Chart 1">
              <a:extLst xmlns:a="http://schemas.openxmlformats.org/drawingml/2006/main">
                <a:ext uri="{FF2B5EF4-FFF2-40B4-BE49-F238E27FC236}">
                  <a16:creationId xmlns:a16="http://schemas.microsoft.com/office/drawing/2014/main" id="{6E076742-47AA-17F2-587A-0C03B39989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7D489E" w14:textId="77777777" w:rsidR="001E6906" w:rsidRPr="00DA2067" w:rsidRDefault="00DA2067" w:rsidP="006E2238">
      <w:pPr>
        <w:spacing w:after="160" w:line="360" w:lineRule="auto"/>
        <w:jc w:val="both"/>
        <w:rPr>
          <w:rFonts w:ascii="Arial" w:hAnsi="Arial" w:cs="Arial"/>
          <w:sz w:val="22"/>
          <w:szCs w:val="22"/>
          <w:lang w:val="en-US"/>
        </w:rPr>
      </w:pPr>
      <w:r w:rsidRPr="00DA2067">
        <w:rPr>
          <w:rFonts w:ascii="Arial" w:hAnsi="Arial" w:cs="Arial"/>
          <w:sz w:val="22"/>
          <w:szCs w:val="22"/>
          <w:lang w:val="en-US"/>
        </w:rPr>
        <w:t xml:space="preserve">Figure 11: Gender </w:t>
      </w:r>
      <w:proofErr w:type="spellStart"/>
      <w:r w:rsidRPr="00DA2067">
        <w:rPr>
          <w:rFonts w:ascii="Arial" w:hAnsi="Arial" w:cs="Arial"/>
          <w:sz w:val="22"/>
          <w:szCs w:val="22"/>
          <w:lang w:val="en-US"/>
        </w:rPr>
        <w:t>segragation</w:t>
      </w:r>
      <w:proofErr w:type="spellEnd"/>
      <w:r w:rsidRPr="00DA2067">
        <w:rPr>
          <w:rFonts w:ascii="Arial" w:hAnsi="Arial" w:cs="Arial"/>
          <w:sz w:val="22"/>
          <w:szCs w:val="22"/>
          <w:lang w:val="en-US"/>
        </w:rPr>
        <w:t xml:space="preserve"> of Employment by Sector (in%) </w:t>
      </w:r>
    </w:p>
    <w:p w14:paraId="1357CE30" w14:textId="77777777" w:rsidR="00F037C6" w:rsidRPr="001E6906" w:rsidRDefault="00F037C6" w:rsidP="006E2238">
      <w:pPr>
        <w:spacing w:after="160" w:line="360" w:lineRule="auto"/>
        <w:jc w:val="both"/>
        <w:rPr>
          <w:rFonts w:ascii="Arial" w:hAnsi="Arial" w:cs="Arial"/>
          <w:i/>
          <w:iCs/>
          <w:sz w:val="22"/>
          <w:szCs w:val="22"/>
        </w:rPr>
      </w:pPr>
      <w:r w:rsidRPr="001E6906">
        <w:rPr>
          <w:rFonts w:ascii="Arial" w:hAnsi="Arial" w:cs="Arial"/>
          <w:i/>
          <w:iCs/>
          <w:sz w:val="22"/>
          <w:szCs w:val="22"/>
        </w:rPr>
        <w:t>Source:</w:t>
      </w:r>
      <w:r w:rsidR="00C33A79" w:rsidRPr="001E6906">
        <w:rPr>
          <w:rFonts w:ascii="Arial" w:hAnsi="Arial" w:cs="Arial"/>
          <w:i/>
          <w:iCs/>
          <w:sz w:val="22"/>
          <w:szCs w:val="22"/>
        </w:rPr>
        <w:t xml:space="preserve"> Labour and Employment Statistics 2022,</w:t>
      </w:r>
      <w:r w:rsidR="007D4898" w:rsidRPr="001E6906">
        <w:rPr>
          <w:rFonts w:ascii="Arial" w:hAnsi="Arial" w:cs="Arial"/>
          <w:i/>
          <w:iCs/>
          <w:sz w:val="22"/>
          <w:szCs w:val="22"/>
        </w:rPr>
        <w:t xml:space="preserve"> </w:t>
      </w:r>
      <w:r w:rsidR="00C33A79" w:rsidRPr="001E6906">
        <w:rPr>
          <w:rFonts w:ascii="Arial" w:hAnsi="Arial" w:cs="Arial"/>
          <w:i/>
          <w:iCs/>
          <w:sz w:val="22"/>
          <w:szCs w:val="22"/>
        </w:rPr>
        <w:t>Periodic Labour Force Survey,</w:t>
      </w:r>
      <w:r w:rsidR="007D4898" w:rsidRPr="001E6906">
        <w:rPr>
          <w:rFonts w:ascii="Arial" w:hAnsi="Arial" w:cs="Arial"/>
          <w:i/>
          <w:iCs/>
          <w:sz w:val="22"/>
          <w:szCs w:val="22"/>
        </w:rPr>
        <w:t xml:space="preserve"> </w:t>
      </w:r>
      <w:proofErr w:type="spellStart"/>
      <w:r w:rsidR="00C33A79" w:rsidRPr="001E6906">
        <w:rPr>
          <w:rFonts w:ascii="Arial" w:hAnsi="Arial" w:cs="Arial"/>
          <w:i/>
          <w:iCs/>
          <w:sz w:val="22"/>
          <w:szCs w:val="22"/>
        </w:rPr>
        <w:t>MoSPI</w:t>
      </w:r>
      <w:proofErr w:type="spellEnd"/>
    </w:p>
    <w:p w14:paraId="2A8DB36C" w14:textId="77777777" w:rsidR="00751DD2" w:rsidRPr="001E6906" w:rsidRDefault="000E04DB" w:rsidP="006E2238">
      <w:pPr>
        <w:spacing w:after="160" w:line="360" w:lineRule="auto"/>
        <w:jc w:val="both"/>
        <w:rPr>
          <w:rFonts w:ascii="Arial" w:hAnsi="Arial" w:cs="Arial"/>
          <w:sz w:val="22"/>
          <w:szCs w:val="22"/>
        </w:rPr>
      </w:pPr>
      <w:r w:rsidRPr="001E6906">
        <w:rPr>
          <w:rFonts w:ascii="Arial" w:hAnsi="Arial" w:cs="Arial"/>
          <w:sz w:val="22"/>
          <w:szCs w:val="22"/>
        </w:rPr>
        <w:t xml:space="preserve">Figure 11 depicts gender </w:t>
      </w:r>
      <w:r w:rsidR="00615142" w:rsidRPr="001E6906">
        <w:rPr>
          <w:rFonts w:ascii="Arial" w:hAnsi="Arial" w:cs="Arial"/>
          <w:sz w:val="22"/>
          <w:szCs w:val="22"/>
        </w:rPr>
        <w:t>gender-</w:t>
      </w:r>
      <w:r w:rsidRPr="001E6906">
        <w:rPr>
          <w:rFonts w:ascii="Arial" w:hAnsi="Arial" w:cs="Arial"/>
          <w:sz w:val="22"/>
          <w:szCs w:val="22"/>
        </w:rPr>
        <w:t>wise percentage share of workers in different sectors from 2017-18 to 20</w:t>
      </w:r>
      <w:r w:rsidR="00E53584" w:rsidRPr="001E6906">
        <w:rPr>
          <w:rFonts w:ascii="Arial" w:hAnsi="Arial" w:cs="Arial"/>
          <w:sz w:val="22"/>
          <w:szCs w:val="22"/>
        </w:rPr>
        <w:t>20-</w:t>
      </w:r>
      <w:r w:rsidRPr="001E6906">
        <w:rPr>
          <w:rFonts w:ascii="Arial" w:hAnsi="Arial" w:cs="Arial"/>
          <w:sz w:val="22"/>
          <w:szCs w:val="22"/>
        </w:rPr>
        <w:t>21. In</w:t>
      </w:r>
      <w:r w:rsidR="002D07E9" w:rsidRPr="001E6906">
        <w:rPr>
          <w:rFonts w:ascii="Arial" w:hAnsi="Arial" w:cs="Arial"/>
          <w:sz w:val="22"/>
          <w:szCs w:val="22"/>
        </w:rPr>
        <w:t xml:space="preserve"> </w:t>
      </w:r>
      <w:r w:rsidRPr="001E6906">
        <w:rPr>
          <w:rFonts w:ascii="Arial" w:hAnsi="Arial" w:cs="Arial"/>
          <w:sz w:val="22"/>
          <w:szCs w:val="22"/>
        </w:rPr>
        <w:t>the figure</w:t>
      </w:r>
      <w:r w:rsidR="00615142" w:rsidRPr="001E6906">
        <w:rPr>
          <w:rFonts w:ascii="Arial" w:hAnsi="Arial" w:cs="Arial"/>
          <w:sz w:val="22"/>
          <w:szCs w:val="22"/>
        </w:rPr>
        <w:t>,</w:t>
      </w:r>
      <w:r w:rsidRPr="001E6906">
        <w:rPr>
          <w:rFonts w:ascii="Arial" w:hAnsi="Arial" w:cs="Arial"/>
          <w:sz w:val="22"/>
          <w:szCs w:val="22"/>
        </w:rPr>
        <w:t xml:space="preserve"> it is clearly visible that the percentage share of female workers is much higher compared to male workers</w:t>
      </w:r>
      <w:r w:rsidR="00317AF2" w:rsidRPr="001E6906">
        <w:rPr>
          <w:rFonts w:ascii="Arial" w:hAnsi="Arial" w:cs="Arial"/>
          <w:sz w:val="22"/>
          <w:szCs w:val="22"/>
        </w:rPr>
        <w:t xml:space="preserve"> in </w:t>
      </w:r>
      <w:r w:rsidR="00615142" w:rsidRPr="001E6906">
        <w:rPr>
          <w:rFonts w:ascii="Arial" w:hAnsi="Arial" w:cs="Arial"/>
          <w:sz w:val="22"/>
          <w:szCs w:val="22"/>
        </w:rPr>
        <w:t xml:space="preserve">the </w:t>
      </w:r>
      <w:r w:rsidR="00317AF2" w:rsidRPr="001E6906">
        <w:rPr>
          <w:rFonts w:ascii="Arial" w:hAnsi="Arial" w:cs="Arial"/>
          <w:sz w:val="22"/>
          <w:szCs w:val="22"/>
        </w:rPr>
        <w:t xml:space="preserve">agriculture sector. While in </w:t>
      </w:r>
      <w:r w:rsidR="00615142" w:rsidRPr="001E6906">
        <w:rPr>
          <w:rFonts w:ascii="Arial" w:hAnsi="Arial" w:cs="Arial"/>
          <w:sz w:val="22"/>
          <w:szCs w:val="22"/>
        </w:rPr>
        <w:t xml:space="preserve">the </w:t>
      </w:r>
      <w:r w:rsidR="00317AF2" w:rsidRPr="001E6906">
        <w:rPr>
          <w:rFonts w:ascii="Arial" w:hAnsi="Arial" w:cs="Arial"/>
          <w:sz w:val="22"/>
          <w:szCs w:val="22"/>
        </w:rPr>
        <w:t>industry and service sector</w:t>
      </w:r>
      <w:r w:rsidR="00615142" w:rsidRPr="001E6906">
        <w:rPr>
          <w:rFonts w:ascii="Arial" w:hAnsi="Arial" w:cs="Arial"/>
          <w:sz w:val="22"/>
          <w:szCs w:val="22"/>
        </w:rPr>
        <w:t>,</w:t>
      </w:r>
      <w:r w:rsidR="00317AF2" w:rsidRPr="001E6906">
        <w:rPr>
          <w:rFonts w:ascii="Arial" w:hAnsi="Arial" w:cs="Arial"/>
          <w:sz w:val="22"/>
          <w:szCs w:val="22"/>
        </w:rPr>
        <w:t xml:space="preserve"> the percentage share of male workers is more compared to female workers.</w:t>
      </w:r>
      <w:r w:rsidR="002D07E9" w:rsidRPr="001E6906">
        <w:rPr>
          <w:rFonts w:ascii="Arial" w:hAnsi="Arial" w:cs="Arial"/>
          <w:sz w:val="22"/>
          <w:szCs w:val="22"/>
        </w:rPr>
        <w:t xml:space="preserve"> Industry and </w:t>
      </w:r>
      <w:r w:rsidR="005E73B6" w:rsidRPr="001E6906">
        <w:rPr>
          <w:rFonts w:ascii="Arial" w:hAnsi="Arial" w:cs="Arial"/>
          <w:sz w:val="22"/>
          <w:szCs w:val="22"/>
        </w:rPr>
        <w:t>service-related</w:t>
      </w:r>
      <w:r w:rsidR="002D07E9" w:rsidRPr="001E6906">
        <w:rPr>
          <w:rFonts w:ascii="Arial" w:hAnsi="Arial" w:cs="Arial"/>
          <w:sz w:val="22"/>
          <w:szCs w:val="22"/>
        </w:rPr>
        <w:t xml:space="preserve"> jobs are mainly in urban areas and as male</w:t>
      </w:r>
      <w:r w:rsidR="00615142" w:rsidRPr="001E6906">
        <w:rPr>
          <w:rFonts w:ascii="Arial" w:hAnsi="Arial" w:cs="Arial"/>
          <w:sz w:val="22"/>
          <w:szCs w:val="22"/>
        </w:rPr>
        <w:t>s</w:t>
      </w:r>
      <w:r w:rsidR="002D07E9" w:rsidRPr="001E6906">
        <w:rPr>
          <w:rFonts w:ascii="Arial" w:hAnsi="Arial" w:cs="Arial"/>
          <w:sz w:val="22"/>
          <w:szCs w:val="22"/>
        </w:rPr>
        <w:t xml:space="preserve"> migrated more compared to female</w:t>
      </w:r>
      <w:r w:rsidR="00615142" w:rsidRPr="001E6906">
        <w:rPr>
          <w:rFonts w:ascii="Arial" w:hAnsi="Arial" w:cs="Arial"/>
          <w:sz w:val="22"/>
          <w:szCs w:val="22"/>
        </w:rPr>
        <w:t>s</w:t>
      </w:r>
      <w:r w:rsidR="002D07E9" w:rsidRPr="001E6906">
        <w:rPr>
          <w:rFonts w:ascii="Arial" w:hAnsi="Arial" w:cs="Arial"/>
          <w:sz w:val="22"/>
          <w:szCs w:val="22"/>
        </w:rPr>
        <w:t xml:space="preserve"> over long distance</w:t>
      </w:r>
      <w:r w:rsidR="00615142" w:rsidRPr="001E6906">
        <w:rPr>
          <w:rFonts w:ascii="Arial" w:hAnsi="Arial" w:cs="Arial"/>
          <w:sz w:val="22"/>
          <w:szCs w:val="22"/>
        </w:rPr>
        <w:t>s</w:t>
      </w:r>
      <w:r w:rsidR="00E17D5A" w:rsidRPr="001E6906">
        <w:rPr>
          <w:rFonts w:ascii="Arial" w:hAnsi="Arial" w:cs="Arial"/>
          <w:sz w:val="22"/>
          <w:szCs w:val="22"/>
        </w:rPr>
        <w:t xml:space="preserve"> in search of work</w:t>
      </w:r>
      <w:r w:rsidR="002D07E9" w:rsidRPr="001E6906">
        <w:rPr>
          <w:rFonts w:ascii="Arial" w:hAnsi="Arial" w:cs="Arial"/>
          <w:sz w:val="22"/>
          <w:szCs w:val="22"/>
        </w:rPr>
        <w:t xml:space="preserve">, </w:t>
      </w:r>
      <w:r w:rsidR="00615142" w:rsidRPr="001E6906">
        <w:rPr>
          <w:rFonts w:ascii="Arial" w:hAnsi="Arial" w:cs="Arial"/>
          <w:sz w:val="22"/>
          <w:szCs w:val="22"/>
        </w:rPr>
        <w:t xml:space="preserve">the </w:t>
      </w:r>
      <w:r w:rsidR="002D07E9" w:rsidRPr="001E6906">
        <w:rPr>
          <w:rFonts w:ascii="Arial" w:hAnsi="Arial" w:cs="Arial"/>
          <w:sz w:val="22"/>
          <w:szCs w:val="22"/>
        </w:rPr>
        <w:t xml:space="preserve">percentage share of male workers in </w:t>
      </w:r>
      <w:r w:rsidR="00615142" w:rsidRPr="001E6906">
        <w:rPr>
          <w:rFonts w:ascii="Arial" w:hAnsi="Arial" w:cs="Arial"/>
          <w:sz w:val="22"/>
          <w:szCs w:val="22"/>
        </w:rPr>
        <w:t xml:space="preserve">the </w:t>
      </w:r>
      <w:r w:rsidR="002D07E9" w:rsidRPr="001E6906">
        <w:rPr>
          <w:rFonts w:ascii="Arial" w:hAnsi="Arial" w:cs="Arial"/>
          <w:sz w:val="22"/>
          <w:szCs w:val="22"/>
        </w:rPr>
        <w:t xml:space="preserve">industry and service sector is </w:t>
      </w:r>
      <w:r w:rsidR="00615142" w:rsidRPr="001E6906">
        <w:rPr>
          <w:rFonts w:ascii="Arial" w:hAnsi="Arial" w:cs="Arial"/>
          <w:sz w:val="22"/>
          <w:szCs w:val="22"/>
        </w:rPr>
        <w:t>higher</w:t>
      </w:r>
      <w:r w:rsidR="002D07E9" w:rsidRPr="001E6906">
        <w:rPr>
          <w:rFonts w:ascii="Arial" w:hAnsi="Arial" w:cs="Arial"/>
          <w:sz w:val="22"/>
          <w:szCs w:val="22"/>
        </w:rPr>
        <w:t xml:space="preserve">. As </w:t>
      </w:r>
      <w:r w:rsidR="001A130F" w:rsidRPr="001E6906">
        <w:rPr>
          <w:rFonts w:ascii="Arial" w:hAnsi="Arial" w:cs="Arial"/>
          <w:sz w:val="22"/>
          <w:szCs w:val="22"/>
        </w:rPr>
        <w:t xml:space="preserve">per the </w:t>
      </w:r>
      <w:proofErr w:type="spellStart"/>
      <w:r w:rsidR="002D07E9" w:rsidRPr="001E6906">
        <w:rPr>
          <w:rFonts w:ascii="Arial" w:hAnsi="Arial" w:cs="Arial"/>
          <w:sz w:val="22"/>
          <w:szCs w:val="22"/>
        </w:rPr>
        <w:t>Ravenstein</w:t>
      </w:r>
      <w:proofErr w:type="spellEnd"/>
      <w:r w:rsidR="001A130F" w:rsidRPr="001E6906">
        <w:rPr>
          <w:rFonts w:ascii="Arial" w:hAnsi="Arial" w:cs="Arial"/>
          <w:sz w:val="22"/>
          <w:szCs w:val="22"/>
        </w:rPr>
        <w:t xml:space="preserve"> theory of migration (1885)</w:t>
      </w:r>
      <w:r w:rsidR="00EE7072" w:rsidRPr="001E6906">
        <w:rPr>
          <w:rFonts w:ascii="Arial" w:hAnsi="Arial" w:cs="Arial"/>
          <w:sz w:val="22"/>
          <w:szCs w:val="22"/>
        </w:rPr>
        <w:t>,</w:t>
      </w:r>
      <w:r w:rsidR="002D07E9" w:rsidRPr="001E6906">
        <w:rPr>
          <w:rFonts w:ascii="Arial" w:hAnsi="Arial" w:cs="Arial"/>
          <w:sz w:val="22"/>
          <w:szCs w:val="22"/>
        </w:rPr>
        <w:t xml:space="preserve"> females are more migratory than males in </w:t>
      </w:r>
      <w:r w:rsidR="00615142" w:rsidRPr="001E6906">
        <w:rPr>
          <w:rFonts w:ascii="Arial" w:hAnsi="Arial" w:cs="Arial"/>
          <w:sz w:val="22"/>
          <w:szCs w:val="22"/>
        </w:rPr>
        <w:t xml:space="preserve">the </w:t>
      </w:r>
      <w:r w:rsidR="002D07E9" w:rsidRPr="001E6906">
        <w:rPr>
          <w:rFonts w:ascii="Arial" w:hAnsi="Arial" w:cs="Arial"/>
          <w:sz w:val="22"/>
          <w:szCs w:val="22"/>
        </w:rPr>
        <w:t>case of short distance</w:t>
      </w:r>
      <w:r w:rsidR="00615142" w:rsidRPr="001E6906">
        <w:rPr>
          <w:rFonts w:ascii="Arial" w:hAnsi="Arial" w:cs="Arial"/>
          <w:sz w:val="22"/>
          <w:szCs w:val="22"/>
        </w:rPr>
        <w:t>s,</w:t>
      </w:r>
      <w:r w:rsidR="002D07E9" w:rsidRPr="001E6906">
        <w:rPr>
          <w:rFonts w:ascii="Arial" w:hAnsi="Arial" w:cs="Arial"/>
          <w:sz w:val="22"/>
          <w:szCs w:val="22"/>
        </w:rPr>
        <w:t xml:space="preserve"> but males are more migratory over long distances</w:t>
      </w:r>
      <w:r w:rsidR="001A130F" w:rsidRPr="001E6906">
        <w:rPr>
          <w:rFonts w:ascii="Arial" w:hAnsi="Arial" w:cs="Arial"/>
          <w:sz w:val="22"/>
          <w:szCs w:val="22"/>
        </w:rPr>
        <w:t>. F</w:t>
      </w:r>
      <w:r w:rsidR="00E17D5A" w:rsidRPr="001E6906">
        <w:rPr>
          <w:rFonts w:ascii="Arial" w:hAnsi="Arial" w:cs="Arial"/>
          <w:sz w:val="22"/>
          <w:szCs w:val="22"/>
        </w:rPr>
        <w:t>emale prefers to work in their home places where agriculture plays the dominant role for earning</w:t>
      </w:r>
      <w:r w:rsidR="00E53584" w:rsidRPr="001E6906">
        <w:rPr>
          <w:rFonts w:ascii="Arial" w:hAnsi="Arial" w:cs="Arial"/>
          <w:sz w:val="22"/>
          <w:szCs w:val="22"/>
        </w:rPr>
        <w:t xml:space="preserve"> incomes</w:t>
      </w:r>
      <w:r w:rsidR="00E17D5A" w:rsidRPr="001E6906">
        <w:rPr>
          <w:rFonts w:ascii="Arial" w:hAnsi="Arial" w:cs="Arial"/>
          <w:sz w:val="22"/>
          <w:szCs w:val="22"/>
        </w:rPr>
        <w:t>.</w:t>
      </w:r>
      <w:r w:rsidR="001141C2" w:rsidRPr="001E6906">
        <w:rPr>
          <w:rFonts w:ascii="Arial" w:hAnsi="Arial" w:cs="Arial"/>
          <w:sz w:val="22"/>
          <w:szCs w:val="22"/>
        </w:rPr>
        <w:t xml:space="preserve"> During the pandemic</w:t>
      </w:r>
      <w:r w:rsidR="001A130F" w:rsidRPr="001E6906">
        <w:rPr>
          <w:rFonts w:ascii="Arial" w:hAnsi="Arial" w:cs="Arial"/>
          <w:sz w:val="22"/>
          <w:szCs w:val="22"/>
        </w:rPr>
        <w:t xml:space="preserve">, </w:t>
      </w:r>
      <w:r w:rsidR="00615142" w:rsidRPr="001E6906">
        <w:rPr>
          <w:rFonts w:ascii="Arial" w:hAnsi="Arial" w:cs="Arial"/>
          <w:sz w:val="22"/>
          <w:szCs w:val="22"/>
        </w:rPr>
        <w:t xml:space="preserve">the </w:t>
      </w:r>
      <w:r w:rsidR="001141C2" w:rsidRPr="001E6906">
        <w:rPr>
          <w:rFonts w:ascii="Arial" w:hAnsi="Arial" w:cs="Arial"/>
          <w:sz w:val="22"/>
          <w:szCs w:val="22"/>
        </w:rPr>
        <w:t>employment share of male</w:t>
      </w:r>
      <w:r w:rsidR="00615142" w:rsidRPr="001E6906">
        <w:rPr>
          <w:rFonts w:ascii="Arial" w:hAnsi="Arial" w:cs="Arial"/>
          <w:sz w:val="22"/>
          <w:szCs w:val="22"/>
        </w:rPr>
        <w:t>s</w:t>
      </w:r>
      <w:r w:rsidR="001141C2" w:rsidRPr="001E6906">
        <w:rPr>
          <w:rFonts w:ascii="Arial" w:hAnsi="Arial" w:cs="Arial"/>
          <w:sz w:val="22"/>
          <w:szCs w:val="22"/>
        </w:rPr>
        <w:t xml:space="preserve"> increase</w:t>
      </w:r>
      <w:r w:rsidR="00615142" w:rsidRPr="001E6906">
        <w:rPr>
          <w:rFonts w:ascii="Arial" w:hAnsi="Arial" w:cs="Arial"/>
          <w:sz w:val="22"/>
          <w:szCs w:val="22"/>
        </w:rPr>
        <w:t>d;</w:t>
      </w:r>
      <w:r w:rsidR="001141C2" w:rsidRPr="001E6906">
        <w:rPr>
          <w:rFonts w:ascii="Arial" w:hAnsi="Arial" w:cs="Arial"/>
          <w:sz w:val="22"/>
          <w:szCs w:val="22"/>
        </w:rPr>
        <w:t xml:space="preserve"> on the other </w:t>
      </w:r>
      <w:proofErr w:type="gramStart"/>
      <w:r w:rsidR="001141C2" w:rsidRPr="001E6906">
        <w:rPr>
          <w:rFonts w:ascii="Arial" w:hAnsi="Arial" w:cs="Arial"/>
          <w:sz w:val="22"/>
          <w:szCs w:val="22"/>
        </w:rPr>
        <w:t>hand</w:t>
      </w:r>
      <w:proofErr w:type="gramEnd"/>
      <w:r w:rsidR="001141C2" w:rsidRPr="001E6906">
        <w:rPr>
          <w:rFonts w:ascii="Arial" w:hAnsi="Arial" w:cs="Arial"/>
          <w:sz w:val="22"/>
          <w:szCs w:val="22"/>
        </w:rPr>
        <w:t xml:space="preserve"> percentage of female workers declined. In </w:t>
      </w:r>
      <w:r w:rsidR="00615142" w:rsidRPr="001E6906">
        <w:rPr>
          <w:rFonts w:ascii="Arial" w:hAnsi="Arial" w:cs="Arial"/>
          <w:sz w:val="22"/>
          <w:szCs w:val="22"/>
        </w:rPr>
        <w:t xml:space="preserve">the </w:t>
      </w:r>
      <w:r w:rsidR="001141C2" w:rsidRPr="001E6906">
        <w:rPr>
          <w:rFonts w:ascii="Arial" w:hAnsi="Arial" w:cs="Arial"/>
          <w:sz w:val="22"/>
          <w:szCs w:val="22"/>
        </w:rPr>
        <w:t xml:space="preserve">case of </w:t>
      </w:r>
      <w:r w:rsidR="00615142" w:rsidRPr="001E6906">
        <w:rPr>
          <w:rFonts w:ascii="Arial" w:hAnsi="Arial" w:cs="Arial"/>
          <w:sz w:val="22"/>
          <w:szCs w:val="22"/>
        </w:rPr>
        <w:t xml:space="preserve">the </w:t>
      </w:r>
      <w:r w:rsidR="001141C2" w:rsidRPr="001E6906">
        <w:rPr>
          <w:rFonts w:ascii="Arial" w:hAnsi="Arial" w:cs="Arial"/>
          <w:sz w:val="22"/>
          <w:szCs w:val="22"/>
        </w:rPr>
        <w:t xml:space="preserve">service sector, there is </w:t>
      </w:r>
      <w:r w:rsidR="001A130F" w:rsidRPr="001E6906">
        <w:rPr>
          <w:rFonts w:ascii="Arial" w:hAnsi="Arial" w:cs="Arial"/>
          <w:sz w:val="22"/>
          <w:szCs w:val="22"/>
        </w:rPr>
        <w:t xml:space="preserve">a </w:t>
      </w:r>
      <w:r w:rsidR="001141C2" w:rsidRPr="001E6906">
        <w:rPr>
          <w:rFonts w:ascii="Arial" w:hAnsi="Arial" w:cs="Arial"/>
          <w:sz w:val="22"/>
          <w:szCs w:val="22"/>
        </w:rPr>
        <w:t>decline of both male and female workers during the pandemic.</w:t>
      </w:r>
    </w:p>
    <w:p w14:paraId="1929019D" w14:textId="77777777" w:rsidR="000027F0" w:rsidRPr="001E6906" w:rsidRDefault="008148C7" w:rsidP="006E2238">
      <w:pPr>
        <w:spacing w:after="160" w:line="360" w:lineRule="auto"/>
        <w:jc w:val="both"/>
        <w:rPr>
          <w:rFonts w:ascii="Arial" w:hAnsi="Arial" w:cs="Arial"/>
          <w:sz w:val="22"/>
          <w:szCs w:val="22"/>
        </w:rPr>
      </w:pPr>
      <w:r w:rsidRPr="001E6906">
        <w:rPr>
          <w:rFonts w:ascii="Arial" w:hAnsi="Arial" w:cs="Arial"/>
          <w:noProof/>
          <w:sz w:val="22"/>
          <w:szCs w:val="22"/>
          <w14:ligatures w14:val="standardContextual"/>
        </w:rPr>
        <w:lastRenderedPageBreak/>
        <w:drawing>
          <wp:inline distT="0" distB="0" distL="0" distR="0" wp14:anchorId="594AA314" wp14:editId="1F5F09E3">
            <wp:extent cx="5453349" cy="3205908"/>
            <wp:effectExtent l="0" t="0" r="8255" b="7620"/>
            <wp:docPr id="63613674" name="Chart 1">
              <a:extLst xmlns:a="http://schemas.openxmlformats.org/drawingml/2006/main">
                <a:ext uri="{FF2B5EF4-FFF2-40B4-BE49-F238E27FC236}">
                  <a16:creationId xmlns:a16="http://schemas.microsoft.com/office/drawing/2014/main" id="{02AC3F96-E01B-8E22-BB4D-8EA1EAB0E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2FB388" w14:textId="77777777" w:rsidR="00DA2067" w:rsidRPr="00DA2067" w:rsidRDefault="00DA2067" w:rsidP="006E2238">
      <w:pPr>
        <w:spacing w:after="160" w:line="360" w:lineRule="auto"/>
        <w:jc w:val="both"/>
        <w:rPr>
          <w:rFonts w:ascii="Arial" w:hAnsi="Arial" w:cs="Arial"/>
          <w:sz w:val="22"/>
          <w:szCs w:val="22"/>
          <w:lang w:val="en-US"/>
        </w:rPr>
      </w:pPr>
      <w:r>
        <w:rPr>
          <w:rFonts w:ascii="Arial" w:hAnsi="Arial" w:cs="Arial"/>
          <w:sz w:val="22"/>
          <w:szCs w:val="22"/>
          <w:lang w:val="en-US"/>
        </w:rPr>
        <w:t>F</w:t>
      </w:r>
      <w:r w:rsidRPr="00DA2067">
        <w:rPr>
          <w:rFonts w:ascii="Arial" w:hAnsi="Arial" w:cs="Arial"/>
          <w:sz w:val="22"/>
          <w:szCs w:val="22"/>
          <w:lang w:val="en-US"/>
        </w:rPr>
        <w:t>igure 12: Percentage distribution of workers in usual status by status in employment (Male)</w:t>
      </w:r>
    </w:p>
    <w:p w14:paraId="22075DE5" w14:textId="77777777" w:rsidR="000027F0" w:rsidRPr="001E6906" w:rsidRDefault="00BF5FAA" w:rsidP="006E2238">
      <w:pPr>
        <w:spacing w:after="160" w:line="360" w:lineRule="auto"/>
        <w:jc w:val="both"/>
        <w:rPr>
          <w:rFonts w:ascii="Arial" w:hAnsi="Arial" w:cs="Arial"/>
          <w:i/>
          <w:iCs/>
          <w:sz w:val="22"/>
          <w:szCs w:val="22"/>
        </w:rPr>
      </w:pPr>
      <w:r w:rsidRPr="001E6906">
        <w:rPr>
          <w:rFonts w:ascii="Arial" w:hAnsi="Arial" w:cs="Arial"/>
          <w:i/>
          <w:iCs/>
          <w:sz w:val="22"/>
          <w:szCs w:val="22"/>
        </w:rPr>
        <w:t>Source: Author’s construction from PLFS Reports (2019-20 &amp;2022-23</w:t>
      </w:r>
    </w:p>
    <w:p w14:paraId="0FA9ECD7" w14:textId="77777777" w:rsidR="00AE0CD6" w:rsidRPr="001E6906" w:rsidRDefault="00BF5FAA" w:rsidP="006E2238">
      <w:pPr>
        <w:spacing w:after="160" w:line="360" w:lineRule="auto"/>
        <w:jc w:val="both"/>
        <w:rPr>
          <w:rFonts w:ascii="Arial" w:hAnsi="Arial" w:cs="Arial"/>
          <w:sz w:val="22"/>
          <w:szCs w:val="22"/>
        </w:rPr>
      </w:pPr>
      <w:r w:rsidRPr="001E6906">
        <w:rPr>
          <w:rFonts w:ascii="Arial" w:hAnsi="Arial" w:cs="Arial"/>
          <w:noProof/>
          <w:sz w:val="22"/>
          <w:szCs w:val="22"/>
          <w14:ligatures w14:val="standardContextual"/>
        </w:rPr>
        <w:drawing>
          <wp:inline distT="0" distB="0" distL="0" distR="0" wp14:anchorId="1C0B1838" wp14:editId="70ACCC25">
            <wp:extent cx="5601970" cy="3310392"/>
            <wp:effectExtent l="0" t="0" r="11430" b="17145"/>
            <wp:docPr id="1696581251" name="Chart 1">
              <a:extLst xmlns:a="http://schemas.openxmlformats.org/drawingml/2006/main">
                <a:ext uri="{FF2B5EF4-FFF2-40B4-BE49-F238E27FC236}">
                  <a16:creationId xmlns:a16="http://schemas.microsoft.com/office/drawing/2014/main" id="{ADE836F0-F0E5-0C8E-E2B3-CCEA62BCB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EFB4FF" w14:textId="77777777" w:rsidR="00DA2067" w:rsidRPr="00DA2067" w:rsidRDefault="00DA2067" w:rsidP="006E2238">
      <w:pPr>
        <w:spacing w:after="160" w:line="360" w:lineRule="auto"/>
        <w:jc w:val="both"/>
        <w:rPr>
          <w:rFonts w:ascii="Arial" w:hAnsi="Arial" w:cs="Arial"/>
          <w:sz w:val="22"/>
          <w:szCs w:val="22"/>
          <w:lang w:val="en-US"/>
        </w:rPr>
      </w:pPr>
      <w:r w:rsidRPr="00DA2067">
        <w:rPr>
          <w:rFonts w:ascii="Arial" w:hAnsi="Arial" w:cs="Arial"/>
          <w:sz w:val="22"/>
          <w:szCs w:val="22"/>
          <w:lang w:val="en-US"/>
        </w:rPr>
        <w:t>Figure13: Percentage distribution of workers in usual status by status in employment (</w:t>
      </w:r>
      <w:r>
        <w:rPr>
          <w:rFonts w:ascii="Arial" w:hAnsi="Arial" w:cs="Arial"/>
          <w:sz w:val="22"/>
          <w:szCs w:val="22"/>
          <w:lang w:val="en-US"/>
        </w:rPr>
        <w:t>F</w:t>
      </w:r>
      <w:r w:rsidRPr="00DA2067">
        <w:rPr>
          <w:rFonts w:ascii="Arial" w:hAnsi="Arial" w:cs="Arial"/>
          <w:sz w:val="22"/>
          <w:szCs w:val="22"/>
          <w:lang w:val="en-US"/>
        </w:rPr>
        <w:t>emale)</w:t>
      </w:r>
    </w:p>
    <w:p w14:paraId="7AFF59A6" w14:textId="77777777" w:rsidR="00BF5FAA" w:rsidRPr="001E6906" w:rsidRDefault="00BF5FAA" w:rsidP="006E2238">
      <w:pPr>
        <w:spacing w:after="160" w:line="360" w:lineRule="auto"/>
        <w:jc w:val="both"/>
        <w:rPr>
          <w:rFonts w:ascii="Arial" w:hAnsi="Arial" w:cs="Arial"/>
          <w:i/>
          <w:iCs/>
          <w:sz w:val="22"/>
          <w:szCs w:val="22"/>
        </w:rPr>
      </w:pPr>
      <w:r w:rsidRPr="001E6906">
        <w:rPr>
          <w:rFonts w:ascii="Arial" w:hAnsi="Arial" w:cs="Arial"/>
          <w:i/>
          <w:iCs/>
          <w:sz w:val="22"/>
          <w:szCs w:val="22"/>
        </w:rPr>
        <w:t>Source: Author’s construction from PLFS Reports (2019-20 &amp;2022-23)</w:t>
      </w:r>
    </w:p>
    <w:p w14:paraId="311F2C4B" w14:textId="77777777" w:rsidR="00751DD2" w:rsidRPr="001E6906" w:rsidRDefault="00751DD2" w:rsidP="006E2238">
      <w:pPr>
        <w:spacing w:after="160" w:line="360" w:lineRule="auto"/>
        <w:jc w:val="both"/>
        <w:rPr>
          <w:rFonts w:ascii="Arial" w:hAnsi="Arial" w:cs="Arial"/>
          <w:sz w:val="22"/>
          <w:szCs w:val="22"/>
        </w:rPr>
      </w:pPr>
      <w:r w:rsidRPr="001E6906">
        <w:rPr>
          <w:rFonts w:ascii="Arial" w:hAnsi="Arial" w:cs="Arial"/>
          <w:sz w:val="22"/>
          <w:szCs w:val="22"/>
        </w:rPr>
        <w:lastRenderedPageBreak/>
        <w:t>Figure</w:t>
      </w:r>
      <w:r w:rsidR="00615142" w:rsidRPr="001E6906">
        <w:rPr>
          <w:rFonts w:ascii="Arial" w:hAnsi="Arial" w:cs="Arial"/>
          <w:sz w:val="22"/>
          <w:szCs w:val="22"/>
        </w:rPr>
        <w:t>s</w:t>
      </w:r>
      <w:r w:rsidRPr="001E6906">
        <w:rPr>
          <w:rFonts w:ascii="Arial" w:hAnsi="Arial" w:cs="Arial"/>
          <w:sz w:val="22"/>
          <w:szCs w:val="22"/>
        </w:rPr>
        <w:t xml:space="preserve"> 12 and 13 represent </w:t>
      </w:r>
      <w:r w:rsidR="00EE7072" w:rsidRPr="001E6906">
        <w:rPr>
          <w:rFonts w:ascii="Arial" w:hAnsi="Arial" w:cs="Arial"/>
          <w:sz w:val="22"/>
          <w:szCs w:val="22"/>
        </w:rPr>
        <w:t xml:space="preserve">the </w:t>
      </w:r>
      <w:r w:rsidRPr="001E6906">
        <w:rPr>
          <w:rFonts w:ascii="Arial" w:hAnsi="Arial" w:cs="Arial"/>
          <w:sz w:val="22"/>
          <w:szCs w:val="22"/>
        </w:rPr>
        <w:t>percentage distribution of workers in usual status by status in employment for male</w:t>
      </w:r>
      <w:r w:rsidR="00EE7072" w:rsidRPr="001E6906">
        <w:rPr>
          <w:rFonts w:ascii="Arial" w:hAnsi="Arial" w:cs="Arial"/>
          <w:sz w:val="22"/>
          <w:szCs w:val="22"/>
        </w:rPr>
        <w:t>s</w:t>
      </w:r>
      <w:r w:rsidRPr="001E6906">
        <w:rPr>
          <w:rFonts w:ascii="Arial" w:hAnsi="Arial" w:cs="Arial"/>
          <w:sz w:val="22"/>
          <w:szCs w:val="22"/>
        </w:rPr>
        <w:t xml:space="preserve"> and female</w:t>
      </w:r>
      <w:r w:rsidR="00EE7072" w:rsidRPr="001E6906">
        <w:rPr>
          <w:rFonts w:ascii="Arial" w:hAnsi="Arial" w:cs="Arial"/>
          <w:sz w:val="22"/>
          <w:szCs w:val="22"/>
        </w:rPr>
        <w:t>s</w:t>
      </w:r>
      <w:r w:rsidRPr="001E6906">
        <w:rPr>
          <w:rFonts w:ascii="Arial" w:hAnsi="Arial" w:cs="Arial"/>
          <w:sz w:val="22"/>
          <w:szCs w:val="22"/>
        </w:rPr>
        <w:t xml:space="preserve">. </w:t>
      </w:r>
      <w:r w:rsidR="009E233C" w:rsidRPr="001E6906">
        <w:rPr>
          <w:rFonts w:ascii="Arial" w:hAnsi="Arial" w:cs="Arial"/>
          <w:sz w:val="22"/>
          <w:szCs w:val="22"/>
        </w:rPr>
        <w:t xml:space="preserve">By observing </w:t>
      </w:r>
      <w:r w:rsidR="00615142" w:rsidRPr="001E6906">
        <w:rPr>
          <w:rFonts w:ascii="Arial" w:hAnsi="Arial" w:cs="Arial"/>
          <w:sz w:val="22"/>
          <w:szCs w:val="22"/>
        </w:rPr>
        <w:t>F</w:t>
      </w:r>
      <w:r w:rsidR="009E233C" w:rsidRPr="001E6906">
        <w:rPr>
          <w:rFonts w:ascii="Arial" w:hAnsi="Arial" w:cs="Arial"/>
          <w:sz w:val="22"/>
          <w:szCs w:val="22"/>
        </w:rPr>
        <w:t xml:space="preserve">igure 12, it can be </w:t>
      </w:r>
      <w:r w:rsidR="00FB790A" w:rsidRPr="001E6906">
        <w:rPr>
          <w:rFonts w:ascii="Arial" w:hAnsi="Arial" w:cs="Arial"/>
          <w:sz w:val="22"/>
          <w:szCs w:val="22"/>
        </w:rPr>
        <w:t xml:space="preserve">said </w:t>
      </w:r>
      <w:r w:rsidR="009E233C" w:rsidRPr="001E6906">
        <w:rPr>
          <w:rFonts w:ascii="Arial" w:hAnsi="Arial" w:cs="Arial"/>
          <w:sz w:val="22"/>
          <w:szCs w:val="22"/>
        </w:rPr>
        <w:t>that during the pandemic</w:t>
      </w:r>
      <w:r w:rsidR="00615142" w:rsidRPr="001E6906">
        <w:rPr>
          <w:rFonts w:ascii="Arial" w:hAnsi="Arial" w:cs="Arial"/>
          <w:sz w:val="22"/>
          <w:szCs w:val="22"/>
        </w:rPr>
        <w:t>,</w:t>
      </w:r>
      <w:r w:rsidR="009E233C" w:rsidRPr="001E6906">
        <w:rPr>
          <w:rFonts w:ascii="Arial" w:hAnsi="Arial" w:cs="Arial"/>
          <w:sz w:val="22"/>
          <w:szCs w:val="22"/>
        </w:rPr>
        <w:t xml:space="preserve"> self-employment</w:t>
      </w:r>
      <w:r w:rsidR="00FB790A" w:rsidRPr="001E6906">
        <w:rPr>
          <w:rFonts w:ascii="Arial" w:hAnsi="Arial" w:cs="Arial"/>
          <w:sz w:val="22"/>
          <w:szCs w:val="22"/>
        </w:rPr>
        <w:t xml:space="preserve"> of</w:t>
      </w:r>
      <w:r w:rsidR="009E233C" w:rsidRPr="001E6906">
        <w:rPr>
          <w:rFonts w:ascii="Arial" w:hAnsi="Arial" w:cs="Arial"/>
          <w:sz w:val="22"/>
          <w:szCs w:val="22"/>
        </w:rPr>
        <w:t xml:space="preserve"> male workers increase</w:t>
      </w:r>
      <w:r w:rsidR="00615142" w:rsidRPr="001E6906">
        <w:rPr>
          <w:rFonts w:ascii="Arial" w:hAnsi="Arial" w:cs="Arial"/>
          <w:sz w:val="22"/>
          <w:szCs w:val="22"/>
        </w:rPr>
        <w:t>d</w:t>
      </w:r>
      <w:r w:rsidR="009E233C" w:rsidRPr="001E6906">
        <w:rPr>
          <w:rFonts w:ascii="Arial" w:hAnsi="Arial" w:cs="Arial"/>
          <w:sz w:val="22"/>
          <w:szCs w:val="22"/>
        </w:rPr>
        <w:t xml:space="preserve"> while regular and casual workers declined compared to the pre-pandemic level. In 2022-23, self</w:t>
      </w:r>
      <w:r w:rsidR="00FB790A" w:rsidRPr="001E6906">
        <w:rPr>
          <w:rFonts w:ascii="Arial" w:hAnsi="Arial" w:cs="Arial"/>
          <w:sz w:val="22"/>
          <w:szCs w:val="22"/>
        </w:rPr>
        <w:t>-</w:t>
      </w:r>
      <w:r w:rsidR="009E233C" w:rsidRPr="001E6906">
        <w:rPr>
          <w:rFonts w:ascii="Arial" w:hAnsi="Arial" w:cs="Arial"/>
          <w:sz w:val="22"/>
          <w:szCs w:val="22"/>
        </w:rPr>
        <w:t>employment</w:t>
      </w:r>
      <w:r w:rsidR="00FB790A" w:rsidRPr="001E6906">
        <w:rPr>
          <w:rFonts w:ascii="Arial" w:hAnsi="Arial" w:cs="Arial"/>
          <w:sz w:val="22"/>
          <w:szCs w:val="22"/>
        </w:rPr>
        <w:t xml:space="preserve"> of</w:t>
      </w:r>
      <w:r w:rsidR="009E233C" w:rsidRPr="001E6906">
        <w:rPr>
          <w:rFonts w:ascii="Arial" w:hAnsi="Arial" w:cs="Arial"/>
          <w:sz w:val="22"/>
          <w:szCs w:val="22"/>
        </w:rPr>
        <w:t xml:space="preserve"> m</w:t>
      </w:r>
      <w:r w:rsidR="00AA0367" w:rsidRPr="001E6906">
        <w:rPr>
          <w:rFonts w:ascii="Arial" w:hAnsi="Arial" w:cs="Arial"/>
          <w:sz w:val="22"/>
          <w:szCs w:val="22"/>
        </w:rPr>
        <w:t>ale</w:t>
      </w:r>
      <w:r w:rsidR="009E233C" w:rsidRPr="001E6906">
        <w:rPr>
          <w:rFonts w:ascii="Arial" w:hAnsi="Arial" w:cs="Arial"/>
          <w:sz w:val="22"/>
          <w:szCs w:val="22"/>
        </w:rPr>
        <w:t xml:space="preserve"> workers further increases slightly </w:t>
      </w:r>
      <w:r w:rsidR="00615142" w:rsidRPr="001E6906">
        <w:rPr>
          <w:rFonts w:ascii="Arial" w:hAnsi="Arial" w:cs="Arial"/>
          <w:sz w:val="22"/>
          <w:szCs w:val="22"/>
        </w:rPr>
        <w:t xml:space="preserve">by </w:t>
      </w:r>
      <w:r w:rsidR="00FB790A" w:rsidRPr="001E6906">
        <w:rPr>
          <w:rFonts w:ascii="Arial" w:hAnsi="Arial" w:cs="Arial"/>
          <w:sz w:val="22"/>
          <w:szCs w:val="22"/>
        </w:rPr>
        <w:t>about 0.4 percent</w:t>
      </w:r>
      <w:r w:rsidR="00615142" w:rsidRPr="001E6906">
        <w:rPr>
          <w:rFonts w:ascii="Arial" w:hAnsi="Arial" w:cs="Arial"/>
          <w:sz w:val="22"/>
          <w:szCs w:val="22"/>
        </w:rPr>
        <w:t>;</w:t>
      </w:r>
      <w:r w:rsidR="00FB790A" w:rsidRPr="001E6906">
        <w:rPr>
          <w:rFonts w:ascii="Arial" w:hAnsi="Arial" w:cs="Arial"/>
          <w:sz w:val="22"/>
          <w:szCs w:val="22"/>
        </w:rPr>
        <w:t xml:space="preserve"> on the contrary</w:t>
      </w:r>
      <w:r w:rsidR="00615142" w:rsidRPr="001E6906">
        <w:rPr>
          <w:rFonts w:ascii="Arial" w:hAnsi="Arial" w:cs="Arial"/>
          <w:sz w:val="22"/>
          <w:szCs w:val="22"/>
        </w:rPr>
        <w:t>,</w:t>
      </w:r>
      <w:r w:rsidR="00FB790A" w:rsidRPr="001E6906">
        <w:rPr>
          <w:rFonts w:ascii="Arial" w:hAnsi="Arial" w:cs="Arial"/>
          <w:sz w:val="22"/>
          <w:szCs w:val="22"/>
        </w:rPr>
        <w:t xml:space="preserve"> regular </w:t>
      </w:r>
      <w:r w:rsidR="00511473" w:rsidRPr="001E6906">
        <w:rPr>
          <w:rFonts w:ascii="Arial" w:hAnsi="Arial" w:cs="Arial"/>
          <w:sz w:val="22"/>
          <w:szCs w:val="22"/>
        </w:rPr>
        <w:t xml:space="preserve">male </w:t>
      </w:r>
      <w:r w:rsidR="00FB790A" w:rsidRPr="001E6906">
        <w:rPr>
          <w:rFonts w:ascii="Arial" w:hAnsi="Arial" w:cs="Arial"/>
          <w:sz w:val="22"/>
          <w:szCs w:val="22"/>
        </w:rPr>
        <w:t>workers declined</w:t>
      </w:r>
      <w:r w:rsidR="00615142" w:rsidRPr="001E6906">
        <w:rPr>
          <w:rFonts w:ascii="Arial" w:hAnsi="Arial" w:cs="Arial"/>
          <w:sz w:val="22"/>
          <w:szCs w:val="22"/>
        </w:rPr>
        <w:t>,</w:t>
      </w:r>
      <w:r w:rsidR="00FB790A" w:rsidRPr="001E6906">
        <w:rPr>
          <w:rFonts w:ascii="Arial" w:hAnsi="Arial" w:cs="Arial"/>
          <w:sz w:val="22"/>
          <w:szCs w:val="22"/>
        </w:rPr>
        <w:t xml:space="preserve"> but casual male workers remain at the same level. From this</w:t>
      </w:r>
      <w:r w:rsidR="00615142" w:rsidRPr="001E6906">
        <w:rPr>
          <w:rFonts w:ascii="Arial" w:hAnsi="Arial" w:cs="Arial"/>
          <w:sz w:val="22"/>
          <w:szCs w:val="22"/>
        </w:rPr>
        <w:t>,</w:t>
      </w:r>
      <w:r w:rsidR="00FB790A" w:rsidRPr="001E6906">
        <w:rPr>
          <w:rFonts w:ascii="Arial" w:hAnsi="Arial" w:cs="Arial"/>
          <w:sz w:val="22"/>
          <w:szCs w:val="22"/>
        </w:rPr>
        <w:t xml:space="preserve"> we can say that regular workers shifted to self-employed workers as they had to face challenges </w:t>
      </w:r>
      <w:r w:rsidR="00615142" w:rsidRPr="001E6906">
        <w:rPr>
          <w:rFonts w:ascii="Arial" w:hAnsi="Arial" w:cs="Arial"/>
          <w:sz w:val="22"/>
          <w:szCs w:val="22"/>
        </w:rPr>
        <w:t>in</w:t>
      </w:r>
      <w:r w:rsidR="00FB790A" w:rsidRPr="001E6906">
        <w:rPr>
          <w:rFonts w:ascii="Arial" w:hAnsi="Arial" w:cs="Arial"/>
          <w:sz w:val="22"/>
          <w:szCs w:val="22"/>
        </w:rPr>
        <w:t xml:space="preserve"> </w:t>
      </w:r>
      <w:r w:rsidR="005C3AA0" w:rsidRPr="001E6906">
        <w:rPr>
          <w:rFonts w:ascii="Arial" w:hAnsi="Arial" w:cs="Arial"/>
          <w:sz w:val="22"/>
          <w:szCs w:val="22"/>
        </w:rPr>
        <w:t xml:space="preserve">earning income </w:t>
      </w:r>
      <w:r w:rsidR="00FB790A" w:rsidRPr="001E6906">
        <w:rPr>
          <w:rFonts w:ascii="Arial" w:hAnsi="Arial" w:cs="Arial"/>
          <w:sz w:val="22"/>
          <w:szCs w:val="22"/>
        </w:rPr>
        <w:t>during the pandemic.</w:t>
      </w:r>
      <w:r w:rsidR="005C3AA0" w:rsidRPr="001E6906">
        <w:rPr>
          <w:rFonts w:ascii="Arial" w:hAnsi="Arial" w:cs="Arial"/>
          <w:sz w:val="22"/>
          <w:szCs w:val="22"/>
        </w:rPr>
        <w:t xml:space="preserve"> </w:t>
      </w:r>
      <w:r w:rsidR="001A130F" w:rsidRPr="001E6906">
        <w:rPr>
          <w:rFonts w:ascii="Arial" w:hAnsi="Arial" w:cs="Arial"/>
          <w:sz w:val="22"/>
          <w:szCs w:val="22"/>
        </w:rPr>
        <w:t>Looking at</w:t>
      </w:r>
      <w:r w:rsidR="005C3AA0" w:rsidRPr="001E6906">
        <w:rPr>
          <w:rFonts w:ascii="Arial" w:hAnsi="Arial" w:cs="Arial"/>
          <w:sz w:val="22"/>
          <w:szCs w:val="22"/>
        </w:rPr>
        <w:t xml:space="preserve"> </w:t>
      </w:r>
      <w:r w:rsidR="00615142" w:rsidRPr="001E6906">
        <w:rPr>
          <w:rFonts w:ascii="Arial" w:hAnsi="Arial" w:cs="Arial"/>
          <w:sz w:val="22"/>
          <w:szCs w:val="22"/>
        </w:rPr>
        <w:t>F</w:t>
      </w:r>
      <w:r w:rsidR="005C3AA0" w:rsidRPr="001E6906">
        <w:rPr>
          <w:rFonts w:ascii="Arial" w:hAnsi="Arial" w:cs="Arial"/>
          <w:sz w:val="22"/>
          <w:szCs w:val="22"/>
        </w:rPr>
        <w:t>igure</w:t>
      </w:r>
      <w:r w:rsidR="0017237F" w:rsidRPr="001E6906">
        <w:rPr>
          <w:rFonts w:ascii="Arial" w:hAnsi="Arial" w:cs="Arial"/>
          <w:sz w:val="22"/>
          <w:szCs w:val="22"/>
        </w:rPr>
        <w:t xml:space="preserve"> </w:t>
      </w:r>
      <w:r w:rsidR="005C3AA0" w:rsidRPr="001E6906">
        <w:rPr>
          <w:rFonts w:ascii="Arial" w:hAnsi="Arial" w:cs="Arial"/>
          <w:sz w:val="22"/>
          <w:szCs w:val="22"/>
        </w:rPr>
        <w:t>13, it is visible that during the pandemic</w:t>
      </w:r>
      <w:r w:rsidR="00615142" w:rsidRPr="001E6906">
        <w:rPr>
          <w:rFonts w:ascii="Arial" w:hAnsi="Arial" w:cs="Arial"/>
          <w:sz w:val="22"/>
          <w:szCs w:val="22"/>
        </w:rPr>
        <w:t>,</w:t>
      </w:r>
      <w:r w:rsidR="005C3AA0" w:rsidRPr="001E6906">
        <w:rPr>
          <w:rFonts w:ascii="Arial" w:hAnsi="Arial" w:cs="Arial"/>
          <w:sz w:val="22"/>
          <w:szCs w:val="22"/>
        </w:rPr>
        <w:t xml:space="preserve"> female self-employed </w:t>
      </w:r>
      <w:r w:rsidR="0017237F" w:rsidRPr="001E6906">
        <w:rPr>
          <w:rFonts w:ascii="Arial" w:hAnsi="Arial" w:cs="Arial"/>
          <w:sz w:val="22"/>
          <w:szCs w:val="22"/>
        </w:rPr>
        <w:t xml:space="preserve">workers also </w:t>
      </w:r>
      <w:r w:rsidR="005C3AA0" w:rsidRPr="001E6906">
        <w:rPr>
          <w:rFonts w:ascii="Arial" w:hAnsi="Arial" w:cs="Arial"/>
          <w:sz w:val="22"/>
          <w:szCs w:val="22"/>
        </w:rPr>
        <w:t>increased to a significant level compared to the pre-pandemic level</w:t>
      </w:r>
      <w:r w:rsidR="001A130F" w:rsidRPr="001E6906">
        <w:rPr>
          <w:rFonts w:ascii="Arial" w:hAnsi="Arial" w:cs="Arial"/>
          <w:sz w:val="22"/>
          <w:szCs w:val="22"/>
        </w:rPr>
        <w:t>, w</w:t>
      </w:r>
      <w:r w:rsidR="005C3AA0" w:rsidRPr="001E6906">
        <w:rPr>
          <w:rFonts w:ascii="Arial" w:hAnsi="Arial" w:cs="Arial"/>
          <w:sz w:val="22"/>
          <w:szCs w:val="22"/>
        </w:rPr>
        <w:t xml:space="preserve">hile there is </w:t>
      </w:r>
      <w:r w:rsidR="001A130F" w:rsidRPr="001E6906">
        <w:rPr>
          <w:rFonts w:ascii="Arial" w:hAnsi="Arial" w:cs="Arial"/>
          <w:sz w:val="22"/>
          <w:szCs w:val="22"/>
        </w:rPr>
        <w:t xml:space="preserve">a </w:t>
      </w:r>
      <w:r w:rsidR="005C3AA0" w:rsidRPr="001E6906">
        <w:rPr>
          <w:rFonts w:ascii="Arial" w:hAnsi="Arial" w:cs="Arial"/>
          <w:sz w:val="22"/>
          <w:szCs w:val="22"/>
        </w:rPr>
        <w:t>decline in both regular and casual female workers. However, this rate of decline</w:t>
      </w:r>
      <w:r w:rsidR="001A130F" w:rsidRPr="001E6906">
        <w:rPr>
          <w:rFonts w:ascii="Arial" w:hAnsi="Arial" w:cs="Arial"/>
          <w:sz w:val="22"/>
          <w:szCs w:val="22"/>
        </w:rPr>
        <w:t xml:space="preserve"> </w:t>
      </w:r>
      <w:r w:rsidR="005C3AA0" w:rsidRPr="001E6906">
        <w:rPr>
          <w:rFonts w:ascii="Arial" w:hAnsi="Arial" w:cs="Arial"/>
          <w:sz w:val="22"/>
          <w:szCs w:val="22"/>
        </w:rPr>
        <w:t xml:space="preserve">in regular workers is </w:t>
      </w:r>
      <w:r w:rsidR="00615142" w:rsidRPr="001E6906">
        <w:rPr>
          <w:rFonts w:ascii="Arial" w:hAnsi="Arial" w:cs="Arial"/>
          <w:sz w:val="22"/>
          <w:szCs w:val="22"/>
        </w:rPr>
        <w:t>higher</w:t>
      </w:r>
      <w:r w:rsidR="005C3AA0" w:rsidRPr="001E6906">
        <w:rPr>
          <w:rFonts w:ascii="Arial" w:hAnsi="Arial" w:cs="Arial"/>
          <w:sz w:val="22"/>
          <w:szCs w:val="22"/>
        </w:rPr>
        <w:t xml:space="preserve"> in 2020-21 compared to casual female workers</w:t>
      </w:r>
      <w:r w:rsidR="00AA0367" w:rsidRPr="001E6906">
        <w:rPr>
          <w:rFonts w:ascii="Arial" w:hAnsi="Arial" w:cs="Arial"/>
          <w:sz w:val="22"/>
          <w:szCs w:val="22"/>
        </w:rPr>
        <w:t>,</w:t>
      </w:r>
      <w:r w:rsidR="005C3AA0" w:rsidRPr="001E6906">
        <w:rPr>
          <w:rFonts w:ascii="Arial" w:hAnsi="Arial" w:cs="Arial"/>
          <w:sz w:val="22"/>
          <w:szCs w:val="22"/>
        </w:rPr>
        <w:t xml:space="preserve"> and in 2021-22</w:t>
      </w:r>
      <w:r w:rsidR="00AA0367" w:rsidRPr="001E6906">
        <w:rPr>
          <w:rFonts w:ascii="Arial" w:hAnsi="Arial" w:cs="Arial"/>
          <w:sz w:val="22"/>
          <w:szCs w:val="22"/>
        </w:rPr>
        <w:t>,</w:t>
      </w:r>
      <w:r w:rsidR="005C3AA0" w:rsidRPr="001E6906">
        <w:rPr>
          <w:rFonts w:ascii="Arial" w:hAnsi="Arial" w:cs="Arial"/>
          <w:sz w:val="22"/>
          <w:szCs w:val="22"/>
        </w:rPr>
        <w:t xml:space="preserve"> </w:t>
      </w:r>
      <w:r w:rsidR="00AA0367" w:rsidRPr="001E6906">
        <w:rPr>
          <w:rFonts w:ascii="Arial" w:hAnsi="Arial" w:cs="Arial"/>
          <w:sz w:val="22"/>
          <w:szCs w:val="22"/>
        </w:rPr>
        <w:t>the</w:t>
      </w:r>
      <w:r w:rsidR="00495697" w:rsidRPr="001E6906">
        <w:rPr>
          <w:rFonts w:ascii="Arial" w:hAnsi="Arial" w:cs="Arial"/>
          <w:sz w:val="22"/>
          <w:szCs w:val="22"/>
        </w:rPr>
        <w:t xml:space="preserve"> rate of decline </w:t>
      </w:r>
      <w:r w:rsidR="00AA0367" w:rsidRPr="001E6906">
        <w:rPr>
          <w:rFonts w:ascii="Arial" w:hAnsi="Arial" w:cs="Arial"/>
          <w:sz w:val="22"/>
          <w:szCs w:val="22"/>
        </w:rPr>
        <w:t xml:space="preserve">in casual workers </w:t>
      </w:r>
      <w:r w:rsidR="00495697" w:rsidRPr="001E6906">
        <w:rPr>
          <w:rFonts w:ascii="Arial" w:hAnsi="Arial" w:cs="Arial"/>
          <w:sz w:val="22"/>
          <w:szCs w:val="22"/>
        </w:rPr>
        <w:t>increased compared to regular female workers.</w:t>
      </w:r>
      <w:r w:rsidR="007F39F6" w:rsidRPr="001E6906">
        <w:rPr>
          <w:rFonts w:ascii="Arial" w:hAnsi="Arial" w:cs="Arial"/>
          <w:sz w:val="22"/>
          <w:szCs w:val="22"/>
        </w:rPr>
        <w:t xml:space="preserve"> </w:t>
      </w:r>
      <w:r w:rsidR="00495697" w:rsidRPr="001E6906">
        <w:rPr>
          <w:rFonts w:ascii="Arial" w:hAnsi="Arial" w:cs="Arial"/>
          <w:sz w:val="22"/>
          <w:szCs w:val="22"/>
        </w:rPr>
        <w:t>Overall</w:t>
      </w:r>
      <w:r w:rsidR="007F39F6" w:rsidRPr="001E6906">
        <w:rPr>
          <w:rFonts w:ascii="Arial" w:hAnsi="Arial" w:cs="Arial"/>
          <w:sz w:val="22"/>
          <w:szCs w:val="22"/>
        </w:rPr>
        <w:t>,</w:t>
      </w:r>
      <w:r w:rsidR="00495697" w:rsidRPr="001E6906">
        <w:rPr>
          <w:rFonts w:ascii="Arial" w:hAnsi="Arial" w:cs="Arial"/>
          <w:sz w:val="22"/>
          <w:szCs w:val="22"/>
        </w:rPr>
        <w:t xml:space="preserve"> we can say that both male and female self-employed workers</w:t>
      </w:r>
      <w:r w:rsidR="001A130F" w:rsidRPr="001E6906">
        <w:rPr>
          <w:rFonts w:ascii="Arial" w:hAnsi="Arial" w:cs="Arial"/>
          <w:sz w:val="22"/>
          <w:szCs w:val="22"/>
        </w:rPr>
        <w:t>’</w:t>
      </w:r>
      <w:r w:rsidR="00495697" w:rsidRPr="001E6906">
        <w:rPr>
          <w:rFonts w:ascii="Arial" w:hAnsi="Arial" w:cs="Arial"/>
          <w:sz w:val="22"/>
          <w:szCs w:val="22"/>
        </w:rPr>
        <w:t xml:space="preserve"> share</w:t>
      </w:r>
      <w:r w:rsidR="00615142" w:rsidRPr="001E6906">
        <w:rPr>
          <w:rFonts w:ascii="Arial" w:hAnsi="Arial" w:cs="Arial"/>
          <w:sz w:val="22"/>
          <w:szCs w:val="22"/>
        </w:rPr>
        <w:t>s</w:t>
      </w:r>
      <w:r w:rsidR="00495697" w:rsidRPr="001E6906">
        <w:rPr>
          <w:rFonts w:ascii="Arial" w:hAnsi="Arial" w:cs="Arial"/>
          <w:sz w:val="22"/>
          <w:szCs w:val="22"/>
        </w:rPr>
        <w:t xml:space="preserve"> increase during the pandemic</w:t>
      </w:r>
      <w:r w:rsidR="007F39F6" w:rsidRPr="001E6906">
        <w:rPr>
          <w:rFonts w:ascii="Arial" w:hAnsi="Arial" w:cs="Arial"/>
          <w:sz w:val="22"/>
          <w:szCs w:val="22"/>
        </w:rPr>
        <w:t>. A</w:t>
      </w:r>
      <w:r w:rsidR="00495697" w:rsidRPr="001E6906">
        <w:rPr>
          <w:rFonts w:ascii="Arial" w:hAnsi="Arial" w:cs="Arial"/>
          <w:sz w:val="22"/>
          <w:szCs w:val="22"/>
        </w:rPr>
        <w:t>s they los</w:t>
      </w:r>
      <w:r w:rsidR="001A130F" w:rsidRPr="001E6906">
        <w:rPr>
          <w:rFonts w:ascii="Arial" w:hAnsi="Arial" w:cs="Arial"/>
          <w:sz w:val="22"/>
          <w:szCs w:val="22"/>
        </w:rPr>
        <w:t>t</w:t>
      </w:r>
      <w:r w:rsidR="00495697" w:rsidRPr="001E6906">
        <w:rPr>
          <w:rFonts w:ascii="Arial" w:hAnsi="Arial" w:cs="Arial"/>
          <w:sz w:val="22"/>
          <w:szCs w:val="22"/>
        </w:rPr>
        <w:t xml:space="preserve"> </w:t>
      </w:r>
      <w:r w:rsidR="005E73B6" w:rsidRPr="001E6906">
        <w:rPr>
          <w:rFonts w:ascii="Arial" w:hAnsi="Arial" w:cs="Arial"/>
          <w:sz w:val="22"/>
          <w:szCs w:val="22"/>
        </w:rPr>
        <w:t>jobs,</w:t>
      </w:r>
      <w:r w:rsidR="00495697" w:rsidRPr="001E6906">
        <w:rPr>
          <w:rFonts w:ascii="Arial" w:hAnsi="Arial" w:cs="Arial"/>
          <w:sz w:val="22"/>
          <w:szCs w:val="22"/>
        </w:rPr>
        <w:t xml:space="preserve"> they </w:t>
      </w:r>
      <w:r w:rsidR="001A130F" w:rsidRPr="001E6906">
        <w:rPr>
          <w:rFonts w:ascii="Arial" w:hAnsi="Arial" w:cs="Arial"/>
          <w:sz w:val="22"/>
          <w:szCs w:val="22"/>
        </w:rPr>
        <w:t>wer</w:t>
      </w:r>
      <w:r w:rsidR="007F39F6" w:rsidRPr="001E6906">
        <w:rPr>
          <w:rFonts w:ascii="Arial" w:hAnsi="Arial" w:cs="Arial"/>
          <w:sz w:val="22"/>
          <w:szCs w:val="22"/>
        </w:rPr>
        <w:t>e forced to search for means</w:t>
      </w:r>
      <w:r w:rsidR="001A130F" w:rsidRPr="001E6906">
        <w:rPr>
          <w:rFonts w:ascii="Arial" w:hAnsi="Arial" w:cs="Arial"/>
          <w:sz w:val="22"/>
          <w:szCs w:val="22"/>
        </w:rPr>
        <w:t xml:space="preserve"> of livelihood</w:t>
      </w:r>
      <w:r w:rsidR="007F39F6" w:rsidRPr="001E6906">
        <w:rPr>
          <w:rFonts w:ascii="Arial" w:hAnsi="Arial" w:cs="Arial"/>
          <w:sz w:val="22"/>
          <w:szCs w:val="22"/>
        </w:rPr>
        <w:t xml:space="preserve"> by themselves</w:t>
      </w:r>
      <w:r w:rsidR="00AA0367" w:rsidRPr="001E6906">
        <w:rPr>
          <w:rFonts w:ascii="Arial" w:hAnsi="Arial" w:cs="Arial"/>
          <w:sz w:val="22"/>
          <w:szCs w:val="22"/>
        </w:rPr>
        <w:t>,</w:t>
      </w:r>
      <w:r w:rsidR="007F39F6" w:rsidRPr="001E6906">
        <w:rPr>
          <w:rFonts w:ascii="Arial" w:hAnsi="Arial" w:cs="Arial"/>
          <w:sz w:val="22"/>
          <w:szCs w:val="22"/>
        </w:rPr>
        <w:t xml:space="preserve"> either by engaging in agriculture and allied activities or </w:t>
      </w:r>
      <w:r w:rsidR="00615142" w:rsidRPr="001E6906">
        <w:rPr>
          <w:rFonts w:ascii="Arial" w:hAnsi="Arial" w:cs="Arial"/>
          <w:sz w:val="22"/>
          <w:szCs w:val="22"/>
        </w:rPr>
        <w:t>in</w:t>
      </w:r>
      <w:r w:rsidR="007F39F6" w:rsidRPr="001E6906">
        <w:rPr>
          <w:rFonts w:ascii="Arial" w:hAnsi="Arial" w:cs="Arial"/>
          <w:sz w:val="22"/>
          <w:szCs w:val="22"/>
        </w:rPr>
        <w:t xml:space="preserve"> other way</w:t>
      </w:r>
      <w:r w:rsidR="00615142" w:rsidRPr="001E6906">
        <w:rPr>
          <w:rFonts w:ascii="Arial" w:hAnsi="Arial" w:cs="Arial"/>
          <w:sz w:val="22"/>
          <w:szCs w:val="22"/>
        </w:rPr>
        <w:t>s</w:t>
      </w:r>
      <w:r w:rsidR="007F39F6" w:rsidRPr="001E6906">
        <w:rPr>
          <w:rFonts w:ascii="Arial" w:hAnsi="Arial" w:cs="Arial"/>
          <w:sz w:val="22"/>
          <w:szCs w:val="22"/>
        </w:rPr>
        <w:t>. After the pandemic share of self-employed</w:t>
      </w:r>
      <w:r w:rsidR="00AA0367" w:rsidRPr="001E6906">
        <w:rPr>
          <w:rFonts w:ascii="Arial" w:hAnsi="Arial" w:cs="Arial"/>
          <w:sz w:val="22"/>
          <w:szCs w:val="22"/>
        </w:rPr>
        <w:t xml:space="preserve"> workers</w:t>
      </w:r>
      <w:r w:rsidR="007F39F6" w:rsidRPr="001E6906">
        <w:rPr>
          <w:rFonts w:ascii="Arial" w:hAnsi="Arial" w:cs="Arial"/>
          <w:sz w:val="22"/>
          <w:szCs w:val="22"/>
        </w:rPr>
        <w:t xml:space="preserve"> further increased</w:t>
      </w:r>
      <w:r w:rsidR="00615142" w:rsidRPr="001E6906">
        <w:rPr>
          <w:rFonts w:ascii="Arial" w:hAnsi="Arial" w:cs="Arial"/>
          <w:sz w:val="22"/>
          <w:szCs w:val="22"/>
        </w:rPr>
        <w:t>;</w:t>
      </w:r>
      <w:r w:rsidR="0017237F" w:rsidRPr="001E6906">
        <w:rPr>
          <w:rFonts w:ascii="Arial" w:hAnsi="Arial" w:cs="Arial"/>
          <w:sz w:val="22"/>
          <w:szCs w:val="22"/>
        </w:rPr>
        <w:t xml:space="preserve"> possibly they are now aware of the fact that to tackle </w:t>
      </w:r>
      <w:r w:rsidR="001A130F" w:rsidRPr="001E6906">
        <w:rPr>
          <w:rFonts w:ascii="Arial" w:hAnsi="Arial" w:cs="Arial"/>
          <w:sz w:val="22"/>
          <w:szCs w:val="22"/>
        </w:rPr>
        <w:t xml:space="preserve">a shock like </w:t>
      </w:r>
      <w:r w:rsidR="00615142" w:rsidRPr="001E6906">
        <w:rPr>
          <w:rFonts w:ascii="Arial" w:hAnsi="Arial" w:cs="Arial"/>
          <w:sz w:val="22"/>
          <w:szCs w:val="22"/>
        </w:rPr>
        <w:t xml:space="preserve">the </w:t>
      </w:r>
      <w:r w:rsidR="001A130F" w:rsidRPr="001E6906">
        <w:rPr>
          <w:rFonts w:ascii="Arial" w:hAnsi="Arial" w:cs="Arial"/>
          <w:sz w:val="22"/>
          <w:szCs w:val="22"/>
        </w:rPr>
        <w:t>Covid-19 pandemic,</w:t>
      </w:r>
      <w:r w:rsidR="0017237F" w:rsidRPr="001E6906">
        <w:rPr>
          <w:rFonts w:ascii="Arial" w:hAnsi="Arial" w:cs="Arial"/>
          <w:sz w:val="22"/>
          <w:szCs w:val="22"/>
        </w:rPr>
        <w:t xml:space="preserve"> they have to be self-employed for income security.</w:t>
      </w:r>
    </w:p>
    <w:p w14:paraId="13F2FDCF" w14:textId="77777777" w:rsidR="000842F8" w:rsidRPr="001E6906" w:rsidRDefault="00E44F52" w:rsidP="006E2238">
      <w:pPr>
        <w:spacing w:after="160" w:line="360" w:lineRule="auto"/>
        <w:jc w:val="both"/>
        <w:rPr>
          <w:rFonts w:ascii="Arial" w:hAnsi="Arial" w:cs="Arial"/>
          <w:sz w:val="22"/>
          <w:szCs w:val="22"/>
        </w:rPr>
      </w:pPr>
      <w:r w:rsidRPr="001E6906">
        <w:rPr>
          <w:rFonts w:ascii="Arial" w:hAnsi="Arial" w:cs="Arial"/>
          <w:b/>
          <w:bCs/>
          <w:sz w:val="22"/>
          <w:szCs w:val="22"/>
        </w:rPr>
        <w:t xml:space="preserve">7. </w:t>
      </w:r>
      <w:r w:rsidR="00341525" w:rsidRPr="001E6906">
        <w:rPr>
          <w:rFonts w:ascii="Arial" w:hAnsi="Arial" w:cs="Arial"/>
          <w:b/>
          <w:bCs/>
          <w:sz w:val="22"/>
          <w:szCs w:val="22"/>
        </w:rPr>
        <w:t>Conclusion</w:t>
      </w:r>
      <w:r w:rsidR="00341525" w:rsidRPr="001E6906">
        <w:rPr>
          <w:rFonts w:ascii="Arial" w:hAnsi="Arial" w:cs="Arial"/>
          <w:sz w:val="22"/>
          <w:szCs w:val="22"/>
        </w:rPr>
        <w:t xml:space="preserve">: </w:t>
      </w:r>
      <w:r w:rsidR="00691E7D" w:rsidRPr="001E6906">
        <w:rPr>
          <w:rFonts w:ascii="Arial" w:hAnsi="Arial" w:cs="Arial"/>
          <w:color w:val="000000"/>
          <w:sz w:val="22"/>
          <w:szCs w:val="22"/>
        </w:rPr>
        <w:t xml:space="preserve">Although several studies report an increase in unemployment during COVID-19, these findings are based largely on high-frequency surveys that capture the immediate shock of the nationwide lockdown. In contrast, this study uses the PLFS </w:t>
      </w:r>
      <w:r w:rsidR="00691E7D" w:rsidRPr="001E6906">
        <w:rPr>
          <w:rStyle w:val="Emphasis"/>
          <w:rFonts w:ascii="Arial" w:eastAsiaTheme="majorEastAsia" w:hAnsi="Arial" w:cs="Arial"/>
          <w:i w:val="0"/>
          <w:iCs w:val="0"/>
          <w:color w:val="000000"/>
          <w:sz w:val="22"/>
          <w:szCs w:val="22"/>
        </w:rPr>
        <w:t>annual</w:t>
      </w:r>
      <w:r w:rsidR="00691E7D" w:rsidRPr="001E6906">
        <w:rPr>
          <w:rStyle w:val="apple-converted-space"/>
          <w:rFonts w:ascii="Arial" w:eastAsiaTheme="majorEastAsia" w:hAnsi="Arial" w:cs="Arial"/>
          <w:color w:val="000000"/>
          <w:sz w:val="22"/>
          <w:szCs w:val="22"/>
        </w:rPr>
        <w:t> </w:t>
      </w:r>
      <w:r w:rsidR="00691E7D" w:rsidRPr="001E6906">
        <w:rPr>
          <w:rFonts w:ascii="Arial" w:hAnsi="Arial" w:cs="Arial"/>
          <w:color w:val="000000"/>
          <w:sz w:val="22"/>
          <w:szCs w:val="22"/>
        </w:rPr>
        <w:t>data and</w:t>
      </w:r>
      <w:r w:rsidR="00691E7D" w:rsidRPr="001E6906">
        <w:rPr>
          <w:rStyle w:val="apple-converted-space"/>
          <w:rFonts w:ascii="Arial" w:eastAsiaTheme="majorEastAsia" w:hAnsi="Arial" w:cs="Arial"/>
          <w:color w:val="000000"/>
          <w:sz w:val="22"/>
          <w:szCs w:val="22"/>
        </w:rPr>
        <w:t> </w:t>
      </w:r>
      <w:r w:rsidR="00691E7D" w:rsidRPr="001E6906">
        <w:rPr>
          <w:rStyle w:val="Emphasis"/>
          <w:rFonts w:ascii="Arial" w:eastAsiaTheme="majorEastAsia" w:hAnsi="Arial" w:cs="Arial"/>
          <w:i w:val="0"/>
          <w:iCs w:val="0"/>
          <w:color w:val="000000"/>
          <w:sz w:val="22"/>
          <w:szCs w:val="22"/>
        </w:rPr>
        <w:t>usual-status</w:t>
      </w:r>
      <w:r w:rsidR="00691E7D" w:rsidRPr="001E6906">
        <w:rPr>
          <w:rStyle w:val="apple-converted-space"/>
          <w:rFonts w:ascii="Arial" w:eastAsiaTheme="majorEastAsia" w:hAnsi="Arial" w:cs="Arial"/>
          <w:i/>
          <w:iCs/>
          <w:color w:val="000000"/>
          <w:sz w:val="22"/>
          <w:szCs w:val="22"/>
        </w:rPr>
        <w:t> </w:t>
      </w:r>
      <w:r w:rsidR="00691E7D" w:rsidRPr="001E6906">
        <w:rPr>
          <w:rFonts w:ascii="Arial" w:hAnsi="Arial" w:cs="Arial"/>
          <w:color w:val="000000"/>
          <w:sz w:val="22"/>
          <w:szCs w:val="22"/>
        </w:rPr>
        <w:t>measures, which average conditions over the entire year and therefore smooth short-term fluctuations. Moreover, many workers who lost regular jobs shifted into self-employment, agricultural work, or unpaid family labour categories that the PLFS still records as employment. As a result, the PLFS shows a decline in unemployment even though short-term job loss was substantial. Hence, the difference in trends reflects differences in</w:t>
      </w:r>
      <w:r w:rsidR="00691E7D" w:rsidRPr="001E6906">
        <w:rPr>
          <w:rStyle w:val="apple-converted-space"/>
          <w:rFonts w:ascii="Arial" w:eastAsiaTheme="majorEastAsia" w:hAnsi="Arial" w:cs="Arial"/>
          <w:color w:val="000000"/>
          <w:sz w:val="22"/>
          <w:szCs w:val="22"/>
        </w:rPr>
        <w:t> </w:t>
      </w:r>
      <w:r w:rsidR="00691E7D" w:rsidRPr="001E6906">
        <w:rPr>
          <w:rStyle w:val="Strong"/>
          <w:rFonts w:ascii="Arial" w:eastAsiaTheme="majorEastAsia" w:hAnsi="Arial" w:cs="Arial"/>
          <w:b w:val="0"/>
          <w:bCs w:val="0"/>
          <w:color w:val="000000"/>
          <w:sz w:val="22"/>
          <w:szCs w:val="22"/>
        </w:rPr>
        <w:t>time period</w:t>
      </w:r>
      <w:r w:rsidR="00691E7D" w:rsidRPr="001E6906">
        <w:rPr>
          <w:rFonts w:ascii="Arial" w:hAnsi="Arial" w:cs="Arial"/>
          <w:b/>
          <w:bCs/>
          <w:color w:val="000000"/>
          <w:sz w:val="22"/>
          <w:szCs w:val="22"/>
        </w:rPr>
        <w:t>,</w:t>
      </w:r>
      <w:r w:rsidR="00691E7D" w:rsidRPr="001E6906">
        <w:rPr>
          <w:rStyle w:val="apple-converted-space"/>
          <w:rFonts w:ascii="Arial" w:eastAsiaTheme="majorEastAsia" w:hAnsi="Arial" w:cs="Arial"/>
          <w:b/>
          <w:bCs/>
          <w:color w:val="000000"/>
          <w:sz w:val="22"/>
          <w:szCs w:val="22"/>
        </w:rPr>
        <w:t> </w:t>
      </w:r>
      <w:r w:rsidR="00691E7D" w:rsidRPr="001E6906">
        <w:rPr>
          <w:rStyle w:val="Strong"/>
          <w:rFonts w:ascii="Arial" w:eastAsiaTheme="majorEastAsia" w:hAnsi="Arial" w:cs="Arial"/>
          <w:b w:val="0"/>
          <w:bCs w:val="0"/>
          <w:color w:val="000000"/>
          <w:sz w:val="22"/>
          <w:szCs w:val="22"/>
        </w:rPr>
        <w:t>definitions</w:t>
      </w:r>
      <w:r w:rsidR="00691E7D" w:rsidRPr="001E6906">
        <w:rPr>
          <w:rFonts w:ascii="Arial" w:hAnsi="Arial" w:cs="Arial"/>
          <w:color w:val="000000"/>
          <w:sz w:val="22"/>
          <w:szCs w:val="22"/>
        </w:rPr>
        <w:t>, and</w:t>
      </w:r>
      <w:r w:rsidR="00691E7D" w:rsidRPr="001E6906">
        <w:rPr>
          <w:rStyle w:val="apple-converted-space"/>
          <w:rFonts w:ascii="Arial" w:eastAsiaTheme="majorEastAsia" w:hAnsi="Arial" w:cs="Arial"/>
          <w:color w:val="000000"/>
          <w:sz w:val="22"/>
          <w:szCs w:val="22"/>
        </w:rPr>
        <w:t> </w:t>
      </w:r>
      <w:r w:rsidR="00691E7D" w:rsidRPr="001E6906">
        <w:rPr>
          <w:rStyle w:val="Strong"/>
          <w:rFonts w:ascii="Arial" w:eastAsiaTheme="majorEastAsia" w:hAnsi="Arial" w:cs="Arial"/>
          <w:b w:val="0"/>
          <w:bCs w:val="0"/>
          <w:color w:val="000000"/>
          <w:sz w:val="22"/>
          <w:szCs w:val="22"/>
        </w:rPr>
        <w:t>classification of distress employment</w:t>
      </w:r>
      <w:r w:rsidR="00691E7D" w:rsidRPr="001E6906">
        <w:rPr>
          <w:rFonts w:ascii="Arial" w:hAnsi="Arial" w:cs="Arial"/>
          <w:color w:val="000000"/>
          <w:sz w:val="22"/>
          <w:szCs w:val="22"/>
        </w:rPr>
        <w:t xml:space="preserve">, rather than a contradiction. </w:t>
      </w:r>
      <w:r w:rsidR="00D33E22" w:rsidRPr="001E6906">
        <w:rPr>
          <w:rFonts w:ascii="Arial" w:hAnsi="Arial" w:cs="Arial"/>
          <w:color w:val="000000"/>
          <w:sz w:val="22"/>
          <w:szCs w:val="22"/>
        </w:rPr>
        <w:t xml:space="preserve">The trend analysis shows that despite the disruptions caused by the COVID-19 pandemic, India experienced a rise in the Labour Force Participation Rate (LFPR) and Worker Population Ratio (WPR), along with a decline in the unemployment rate. However, these improvements were accompanied by major shifts </w:t>
      </w:r>
      <w:r w:rsidR="00EE7072" w:rsidRPr="001E6906">
        <w:rPr>
          <w:rFonts w:ascii="Arial" w:hAnsi="Arial" w:cs="Arial"/>
          <w:color w:val="000000"/>
          <w:sz w:val="22"/>
          <w:szCs w:val="22"/>
        </w:rPr>
        <w:t>in</w:t>
      </w:r>
      <w:r w:rsidR="00D33E22" w:rsidRPr="001E6906">
        <w:rPr>
          <w:rFonts w:ascii="Arial" w:hAnsi="Arial" w:cs="Arial"/>
          <w:color w:val="000000"/>
          <w:sz w:val="22"/>
          <w:szCs w:val="22"/>
        </w:rPr>
        <w:t xml:space="preserve"> employment. A larger share of workers moved into</w:t>
      </w:r>
      <w:r w:rsidR="00D33E22" w:rsidRPr="001E6906">
        <w:rPr>
          <w:rStyle w:val="apple-converted-space"/>
          <w:rFonts w:ascii="Arial" w:eastAsiaTheme="majorEastAsia" w:hAnsi="Arial" w:cs="Arial"/>
          <w:color w:val="000000"/>
          <w:sz w:val="22"/>
          <w:szCs w:val="22"/>
        </w:rPr>
        <w:t> </w:t>
      </w:r>
      <w:r w:rsidR="00D33E22" w:rsidRPr="001E6906">
        <w:rPr>
          <w:rStyle w:val="Strong"/>
          <w:rFonts w:ascii="Arial" w:eastAsiaTheme="majorEastAsia" w:hAnsi="Arial" w:cs="Arial"/>
          <w:b w:val="0"/>
          <w:bCs w:val="0"/>
          <w:color w:val="000000"/>
          <w:sz w:val="22"/>
          <w:szCs w:val="22"/>
        </w:rPr>
        <w:t>self-employment</w:t>
      </w:r>
      <w:r w:rsidR="00D33E22" w:rsidRPr="001E6906">
        <w:rPr>
          <w:rFonts w:ascii="Arial" w:hAnsi="Arial" w:cs="Arial"/>
          <w:color w:val="000000"/>
          <w:sz w:val="22"/>
          <w:szCs w:val="22"/>
        </w:rPr>
        <w:t>, and many</w:t>
      </w:r>
      <w:r w:rsidR="00EE7072" w:rsidRPr="001E6906">
        <w:rPr>
          <w:rFonts w:ascii="Arial" w:hAnsi="Arial" w:cs="Arial"/>
          <w:color w:val="000000"/>
          <w:sz w:val="22"/>
          <w:szCs w:val="22"/>
        </w:rPr>
        <w:t>,</w:t>
      </w:r>
      <w:r w:rsidR="00D33E22" w:rsidRPr="001E6906">
        <w:rPr>
          <w:rFonts w:ascii="Arial" w:hAnsi="Arial" w:cs="Arial"/>
          <w:color w:val="000000"/>
          <w:sz w:val="22"/>
          <w:szCs w:val="22"/>
        </w:rPr>
        <w:t xml:space="preserve"> especially those displaced from informal service-sector jobs</w:t>
      </w:r>
      <w:r w:rsidR="00EE7072" w:rsidRPr="001E6906">
        <w:rPr>
          <w:rFonts w:ascii="Arial" w:hAnsi="Arial" w:cs="Arial"/>
          <w:color w:val="000000"/>
          <w:sz w:val="22"/>
          <w:szCs w:val="22"/>
        </w:rPr>
        <w:t>,</w:t>
      </w:r>
      <w:r w:rsidR="00D33E22" w:rsidRPr="001E6906">
        <w:rPr>
          <w:rFonts w:ascii="Arial" w:hAnsi="Arial" w:cs="Arial"/>
          <w:color w:val="000000"/>
          <w:sz w:val="22"/>
          <w:szCs w:val="22"/>
        </w:rPr>
        <w:t xml:space="preserve"> returned to rural areas and entered the</w:t>
      </w:r>
      <w:r w:rsidR="00D33E22" w:rsidRPr="001E6906">
        <w:rPr>
          <w:rStyle w:val="apple-converted-space"/>
          <w:rFonts w:ascii="Arial" w:eastAsiaTheme="majorEastAsia" w:hAnsi="Arial" w:cs="Arial"/>
          <w:color w:val="000000"/>
          <w:sz w:val="22"/>
          <w:szCs w:val="22"/>
        </w:rPr>
        <w:t> </w:t>
      </w:r>
      <w:r w:rsidR="00D33E22" w:rsidRPr="001E6906">
        <w:rPr>
          <w:rStyle w:val="Strong"/>
          <w:rFonts w:ascii="Arial" w:eastAsiaTheme="majorEastAsia" w:hAnsi="Arial" w:cs="Arial"/>
          <w:b w:val="0"/>
          <w:bCs w:val="0"/>
          <w:color w:val="000000"/>
          <w:sz w:val="22"/>
          <w:szCs w:val="22"/>
        </w:rPr>
        <w:t>primary sector</w:t>
      </w:r>
      <w:r w:rsidR="00D33E22" w:rsidRPr="001E6906">
        <w:rPr>
          <w:rFonts w:ascii="Arial" w:hAnsi="Arial" w:cs="Arial"/>
          <w:color w:val="000000"/>
          <w:sz w:val="22"/>
          <w:szCs w:val="22"/>
        </w:rPr>
        <w:t>, largely out of necessity. This highlights that the increase in employment was driven more by</w:t>
      </w:r>
      <w:r w:rsidR="00D33E22" w:rsidRPr="001E6906">
        <w:rPr>
          <w:rStyle w:val="apple-converted-space"/>
          <w:rFonts w:ascii="Arial" w:eastAsiaTheme="majorEastAsia" w:hAnsi="Arial" w:cs="Arial"/>
          <w:color w:val="000000"/>
          <w:sz w:val="22"/>
          <w:szCs w:val="22"/>
        </w:rPr>
        <w:t> </w:t>
      </w:r>
      <w:r w:rsidR="00D33E22" w:rsidRPr="001E6906">
        <w:rPr>
          <w:rStyle w:val="Strong"/>
          <w:rFonts w:ascii="Arial" w:eastAsiaTheme="majorEastAsia" w:hAnsi="Arial" w:cs="Arial"/>
          <w:b w:val="0"/>
          <w:bCs w:val="0"/>
          <w:color w:val="000000"/>
          <w:sz w:val="22"/>
          <w:szCs w:val="22"/>
        </w:rPr>
        <w:t>distress-led adjustments</w:t>
      </w:r>
      <w:r w:rsidR="00D33E22" w:rsidRPr="001E6906">
        <w:rPr>
          <w:rStyle w:val="apple-converted-space"/>
          <w:rFonts w:ascii="Arial" w:eastAsiaTheme="majorEastAsia" w:hAnsi="Arial" w:cs="Arial"/>
          <w:color w:val="000000"/>
          <w:sz w:val="22"/>
          <w:szCs w:val="22"/>
        </w:rPr>
        <w:t> </w:t>
      </w:r>
      <w:r w:rsidR="00D33E22" w:rsidRPr="001E6906">
        <w:rPr>
          <w:rFonts w:ascii="Arial" w:hAnsi="Arial" w:cs="Arial"/>
          <w:color w:val="000000"/>
          <w:sz w:val="22"/>
          <w:szCs w:val="22"/>
        </w:rPr>
        <w:t>than by improved labour-market conditions. While short-term relief measures offered temporary support, the pandemic underscored the need for</w:t>
      </w:r>
      <w:r w:rsidR="00D33E22" w:rsidRPr="001E6906">
        <w:rPr>
          <w:rStyle w:val="apple-converted-space"/>
          <w:rFonts w:ascii="Arial" w:eastAsiaTheme="majorEastAsia" w:hAnsi="Arial" w:cs="Arial"/>
          <w:color w:val="000000"/>
          <w:sz w:val="22"/>
          <w:szCs w:val="22"/>
        </w:rPr>
        <w:t> </w:t>
      </w:r>
      <w:r w:rsidR="00D33E22" w:rsidRPr="001E6906">
        <w:rPr>
          <w:rStyle w:val="Strong"/>
          <w:rFonts w:ascii="Arial" w:eastAsiaTheme="majorEastAsia" w:hAnsi="Arial" w:cs="Arial"/>
          <w:b w:val="0"/>
          <w:bCs w:val="0"/>
          <w:color w:val="000000"/>
          <w:sz w:val="22"/>
          <w:szCs w:val="22"/>
        </w:rPr>
        <w:t xml:space="preserve">long-term, resilient </w:t>
      </w:r>
      <w:r w:rsidR="00D33E22" w:rsidRPr="001E6906">
        <w:rPr>
          <w:rStyle w:val="Strong"/>
          <w:rFonts w:ascii="Arial" w:eastAsiaTheme="majorEastAsia" w:hAnsi="Arial" w:cs="Arial"/>
          <w:b w:val="0"/>
          <w:bCs w:val="0"/>
          <w:color w:val="000000"/>
          <w:sz w:val="22"/>
          <w:szCs w:val="22"/>
        </w:rPr>
        <w:lastRenderedPageBreak/>
        <w:t>policy</w:t>
      </w:r>
      <w:r w:rsidR="00D33E22" w:rsidRPr="001E6906">
        <w:rPr>
          <w:rStyle w:val="Strong"/>
          <w:rFonts w:ascii="Arial" w:eastAsiaTheme="majorEastAsia" w:hAnsi="Arial" w:cs="Arial"/>
          <w:color w:val="000000"/>
          <w:sz w:val="22"/>
          <w:szCs w:val="22"/>
        </w:rPr>
        <w:t xml:space="preserve"> </w:t>
      </w:r>
      <w:r w:rsidR="00D33E22" w:rsidRPr="001E6906">
        <w:rPr>
          <w:rStyle w:val="Strong"/>
          <w:rFonts w:ascii="Arial" w:eastAsiaTheme="majorEastAsia" w:hAnsi="Arial" w:cs="Arial"/>
          <w:b w:val="0"/>
          <w:bCs w:val="0"/>
          <w:color w:val="000000"/>
          <w:sz w:val="22"/>
          <w:szCs w:val="22"/>
        </w:rPr>
        <w:t>interventions</w:t>
      </w:r>
      <w:r w:rsidR="00D33E22" w:rsidRPr="001E6906">
        <w:rPr>
          <w:rFonts w:ascii="Arial" w:hAnsi="Arial" w:cs="Arial"/>
          <w:b/>
          <w:bCs/>
          <w:color w:val="000000"/>
          <w:sz w:val="22"/>
          <w:szCs w:val="22"/>
        </w:rPr>
        <w:t>.</w:t>
      </w:r>
      <w:r w:rsidR="00D33E22" w:rsidRPr="001E6906">
        <w:rPr>
          <w:rFonts w:ascii="Arial" w:hAnsi="Arial" w:cs="Arial"/>
          <w:color w:val="000000"/>
          <w:sz w:val="22"/>
          <w:szCs w:val="22"/>
        </w:rPr>
        <w:t xml:space="preserve"> Strengthening skill development programmes, ensuring equal access to training, and expanding investment in Micro, Small and Medium Enterprises (MSMEs) are crucial steps. These measures can create stable employment opportunities, enhance productivity</w:t>
      </w:r>
      <w:r w:rsidR="00AA0367" w:rsidRPr="001E6906">
        <w:rPr>
          <w:rFonts w:ascii="Arial" w:hAnsi="Arial" w:cs="Arial"/>
          <w:color w:val="000000"/>
          <w:sz w:val="22"/>
          <w:szCs w:val="22"/>
        </w:rPr>
        <w:t>,</w:t>
      </w:r>
      <w:r w:rsidR="00D33E22" w:rsidRPr="001E6906">
        <w:rPr>
          <w:rFonts w:ascii="Arial" w:hAnsi="Arial" w:cs="Arial"/>
          <w:color w:val="000000"/>
          <w:sz w:val="22"/>
          <w:szCs w:val="22"/>
        </w:rPr>
        <w:t xml:space="preserve"> and build a more resilient labour market capable of withstanding future economic shocks.</w:t>
      </w:r>
      <w:r w:rsidR="00D33E22" w:rsidRPr="001E6906">
        <w:rPr>
          <w:rFonts w:ascii="Arial" w:hAnsi="Arial" w:cs="Arial"/>
          <w:sz w:val="22"/>
          <w:szCs w:val="22"/>
        </w:rPr>
        <w:t xml:space="preserve"> Also</w:t>
      </w:r>
      <w:r w:rsidR="002E3CB6" w:rsidRPr="001E6906">
        <w:rPr>
          <w:rFonts w:ascii="Arial" w:hAnsi="Arial" w:cs="Arial"/>
          <w:sz w:val="22"/>
          <w:szCs w:val="22"/>
        </w:rPr>
        <w:t xml:space="preserve"> </w:t>
      </w:r>
      <w:r w:rsidR="00BF1F0B" w:rsidRPr="001E6906">
        <w:rPr>
          <w:rFonts w:ascii="Arial" w:hAnsi="Arial" w:cs="Arial"/>
          <w:sz w:val="22"/>
          <w:szCs w:val="22"/>
        </w:rPr>
        <w:t>targeted policy interventions</w:t>
      </w:r>
      <w:r w:rsidR="00AA0367" w:rsidRPr="001E6906">
        <w:rPr>
          <w:rFonts w:ascii="Arial" w:hAnsi="Arial" w:cs="Arial"/>
          <w:sz w:val="22"/>
          <w:szCs w:val="22"/>
        </w:rPr>
        <w:t>,</w:t>
      </w:r>
      <w:r w:rsidR="00BF1F0B" w:rsidRPr="001E6906">
        <w:rPr>
          <w:rFonts w:ascii="Arial" w:hAnsi="Arial" w:cs="Arial"/>
          <w:sz w:val="22"/>
          <w:szCs w:val="22"/>
        </w:rPr>
        <w:t xml:space="preserve"> such as digital skill development, childcare support</w:t>
      </w:r>
      <w:r w:rsidR="00AA0367" w:rsidRPr="001E6906">
        <w:rPr>
          <w:rFonts w:ascii="Arial" w:hAnsi="Arial" w:cs="Arial"/>
          <w:sz w:val="22"/>
          <w:szCs w:val="22"/>
        </w:rPr>
        <w:t>,</w:t>
      </w:r>
      <w:r w:rsidR="00BF1F0B" w:rsidRPr="001E6906">
        <w:rPr>
          <w:rFonts w:ascii="Arial" w:hAnsi="Arial" w:cs="Arial"/>
          <w:sz w:val="22"/>
          <w:szCs w:val="22"/>
        </w:rPr>
        <w:t xml:space="preserve"> and gender-responsive labour policies</w:t>
      </w:r>
      <w:r w:rsidR="00AA0367" w:rsidRPr="001E6906">
        <w:rPr>
          <w:rFonts w:ascii="Arial" w:hAnsi="Arial" w:cs="Arial"/>
          <w:sz w:val="22"/>
          <w:szCs w:val="22"/>
        </w:rPr>
        <w:t>,</w:t>
      </w:r>
      <w:r w:rsidR="00BF1F0B" w:rsidRPr="001E6906">
        <w:rPr>
          <w:rFonts w:ascii="Arial" w:hAnsi="Arial" w:cs="Arial"/>
          <w:sz w:val="22"/>
          <w:szCs w:val="22"/>
        </w:rPr>
        <w:t xml:space="preserve"> are essential to achieve a more inclusive and resilient economic recovery</w:t>
      </w:r>
    </w:p>
    <w:p w14:paraId="6BFFA964" w14:textId="77777777" w:rsidR="00751DD2" w:rsidRPr="001E6906" w:rsidRDefault="000842F8" w:rsidP="00F17EF4">
      <w:pPr>
        <w:spacing w:after="160" w:line="360" w:lineRule="auto"/>
        <w:jc w:val="both"/>
        <w:rPr>
          <w:rFonts w:ascii="Arial" w:hAnsi="Arial" w:cs="Arial"/>
          <w:sz w:val="22"/>
          <w:szCs w:val="22"/>
        </w:rPr>
      </w:pPr>
      <w:r w:rsidRPr="001E6906">
        <w:rPr>
          <w:rFonts w:ascii="Arial" w:hAnsi="Arial" w:cs="Arial"/>
          <w:b/>
          <w:bCs/>
          <w:sz w:val="22"/>
          <w:szCs w:val="22"/>
        </w:rPr>
        <w:t>Limitations of the Study:</w:t>
      </w:r>
      <w:r w:rsidR="00AA0367" w:rsidRPr="001E6906">
        <w:rPr>
          <w:rFonts w:ascii="Arial" w:hAnsi="Arial" w:cs="Arial"/>
          <w:sz w:val="22"/>
          <w:szCs w:val="22"/>
        </w:rPr>
        <w:t xml:space="preserve"> </w:t>
      </w:r>
      <w:r w:rsidR="00F17EF4" w:rsidRPr="001E6906">
        <w:rPr>
          <w:rFonts w:ascii="Arial" w:hAnsi="Arial" w:cs="Arial"/>
          <w:sz w:val="22"/>
          <w:szCs w:val="22"/>
        </w:rPr>
        <w:t>This study is based entirely on secondary data obtained from the Periodic Labour Force Survey (PLFS), which limits the analysis to variables and classifications defined by the survey. As a result, the study cannot capture individual-level experiences such as job quality, income loss, underemployment, or the intensity of work, particularly in informal and unpaid family labour. The use of usual status indicators (LFPR, WPR, and unemployment rate) may also understate short-term employment disruptions during the pandemic, as they do not fully reflect seasonal or intermittent job losses. Furthermore, the observed increase in female labour force participation may reflect distress-driven entry into low-productivity activities rather than genuine employment opportunities, which cannot be fully distinguished using aggregate survey data. The study also does not account for regional variations across states or districts, nor does it incorporate primary data or qualitative insights that could provide deeper understanding of gender-specific labour-market dynamics during the COVID-19 period in India.</w:t>
      </w:r>
      <w:r w:rsidR="00751DD2" w:rsidRPr="001E6906">
        <w:rPr>
          <w:rFonts w:ascii="Arial" w:hAnsi="Arial" w:cs="Arial"/>
          <w:sz w:val="22"/>
          <w:szCs w:val="22"/>
        </w:rPr>
        <w:br w:type="page"/>
      </w:r>
    </w:p>
    <w:p w14:paraId="4A124E33" w14:textId="77777777" w:rsidR="00AE0CD6" w:rsidRPr="001E6906" w:rsidRDefault="004C4BE4" w:rsidP="006E2238">
      <w:pPr>
        <w:spacing w:after="160" w:line="360" w:lineRule="auto"/>
        <w:jc w:val="both"/>
        <w:rPr>
          <w:rFonts w:ascii="Arial" w:hAnsi="Arial" w:cs="Arial"/>
          <w:b/>
          <w:bCs/>
          <w:sz w:val="22"/>
          <w:szCs w:val="22"/>
        </w:rPr>
      </w:pPr>
      <w:r w:rsidRPr="001E6906">
        <w:rPr>
          <w:rFonts w:ascii="Arial" w:hAnsi="Arial" w:cs="Arial"/>
          <w:b/>
          <w:bCs/>
          <w:sz w:val="22"/>
          <w:szCs w:val="22"/>
        </w:rPr>
        <w:lastRenderedPageBreak/>
        <w:t>References:</w:t>
      </w:r>
    </w:p>
    <w:p w14:paraId="3B4ED185" w14:textId="77777777" w:rsidR="006A7296" w:rsidRPr="001E6906" w:rsidRDefault="006A7296" w:rsidP="006E2238">
      <w:pPr>
        <w:spacing w:line="360" w:lineRule="auto"/>
        <w:jc w:val="both"/>
        <w:rPr>
          <w:rFonts w:ascii="Arial" w:hAnsi="Arial" w:cs="Arial"/>
          <w:color w:val="000000"/>
          <w:sz w:val="22"/>
          <w:szCs w:val="22"/>
        </w:rPr>
      </w:pPr>
      <w:r w:rsidRPr="001E6906">
        <w:rPr>
          <w:rFonts w:ascii="Arial" w:hAnsi="Arial" w:cs="Arial"/>
          <w:color w:val="000000"/>
          <w:sz w:val="22"/>
          <w:szCs w:val="22"/>
        </w:rPr>
        <w:t xml:space="preserve">Abraham, R., </w:t>
      </w:r>
      <w:proofErr w:type="spellStart"/>
      <w:r w:rsidRPr="001E6906">
        <w:rPr>
          <w:rFonts w:ascii="Arial" w:hAnsi="Arial" w:cs="Arial"/>
          <w:color w:val="000000"/>
          <w:sz w:val="22"/>
          <w:szCs w:val="22"/>
        </w:rPr>
        <w:t>Basole</w:t>
      </w:r>
      <w:proofErr w:type="spellEnd"/>
      <w:r w:rsidRPr="001E6906">
        <w:rPr>
          <w:rFonts w:ascii="Arial" w:hAnsi="Arial" w:cs="Arial"/>
          <w:color w:val="000000"/>
          <w:sz w:val="22"/>
          <w:szCs w:val="22"/>
        </w:rPr>
        <w:t>, A., &amp; Kesar, S. (2022).</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Down and out? The gendered impact of the Covid-19 pandemic on India’s labour market</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 xml:space="preserve">Economia </w:t>
      </w:r>
      <w:proofErr w:type="spellStart"/>
      <w:r w:rsidRPr="001E6906">
        <w:rPr>
          <w:rStyle w:val="Strong"/>
          <w:rFonts w:ascii="Arial" w:eastAsiaTheme="majorEastAsia" w:hAnsi="Arial" w:cs="Arial"/>
          <w:b w:val="0"/>
          <w:bCs w:val="0"/>
          <w:color w:val="000000"/>
          <w:sz w:val="22"/>
          <w:szCs w:val="22"/>
        </w:rPr>
        <w:t>Politica</w:t>
      </w:r>
      <w:proofErr w:type="spellEnd"/>
      <w:r w:rsidRPr="001E6906">
        <w:rPr>
          <w:rFonts w:ascii="Arial" w:hAnsi="Arial" w:cs="Arial"/>
          <w:color w:val="000000"/>
          <w:sz w:val="22"/>
          <w:szCs w:val="22"/>
        </w:rPr>
        <w:t>, 39, 101</w:t>
      </w:r>
      <w:r w:rsidR="00E846C5" w:rsidRPr="001E6906">
        <w:rPr>
          <w:rFonts w:ascii="Arial" w:hAnsi="Arial" w:cs="Arial"/>
          <w:color w:val="000000"/>
          <w:sz w:val="22"/>
          <w:szCs w:val="22"/>
        </w:rPr>
        <w:t>-</w:t>
      </w:r>
      <w:r w:rsidRPr="001E6906">
        <w:rPr>
          <w:rFonts w:ascii="Arial" w:hAnsi="Arial" w:cs="Arial"/>
          <w:color w:val="000000"/>
          <w:sz w:val="22"/>
          <w:szCs w:val="22"/>
        </w:rPr>
        <w:t>128.</w:t>
      </w:r>
      <w:r w:rsidRPr="001E6906">
        <w:rPr>
          <w:rStyle w:val="apple-converted-space"/>
          <w:rFonts w:ascii="Arial" w:eastAsiaTheme="majorEastAsia" w:hAnsi="Arial" w:cs="Arial"/>
          <w:color w:val="000000"/>
          <w:sz w:val="22"/>
          <w:szCs w:val="22"/>
        </w:rPr>
        <w:t> </w:t>
      </w:r>
      <w:hyperlink r:id="rId21" w:tgtFrame="_new" w:history="1">
        <w:r w:rsidRPr="001E6906">
          <w:rPr>
            <w:rStyle w:val="Hyperlink"/>
            <w:rFonts w:ascii="Arial" w:eastAsiaTheme="majorEastAsia" w:hAnsi="Arial" w:cs="Arial"/>
            <w:sz w:val="22"/>
            <w:szCs w:val="22"/>
          </w:rPr>
          <w:t>https://doi.org/10.1007/s40888-021-00234-8</w:t>
        </w:r>
      </w:hyperlink>
    </w:p>
    <w:p w14:paraId="59C8B0BC"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Albanesi, S., &amp; Kim, J. (2021). </w:t>
      </w:r>
      <w:r w:rsidRPr="001E6906">
        <w:rPr>
          <w:rFonts w:ascii="Arial" w:hAnsi="Arial" w:cs="Arial"/>
          <w:i/>
          <w:iCs/>
          <w:color w:val="000000"/>
          <w:sz w:val="22"/>
          <w:szCs w:val="22"/>
        </w:rPr>
        <w:t xml:space="preserve">The gendered impact of the COVID-19 recession on the U.S. </w:t>
      </w:r>
      <w:proofErr w:type="spellStart"/>
      <w:r w:rsidRPr="001E6906">
        <w:rPr>
          <w:rFonts w:ascii="Arial" w:hAnsi="Arial" w:cs="Arial"/>
          <w:i/>
          <w:iCs/>
          <w:color w:val="000000"/>
          <w:sz w:val="22"/>
          <w:szCs w:val="22"/>
        </w:rPr>
        <w:t>labor</w:t>
      </w:r>
      <w:proofErr w:type="spellEnd"/>
      <w:r w:rsidRPr="001E6906">
        <w:rPr>
          <w:rFonts w:ascii="Arial" w:hAnsi="Arial" w:cs="Arial"/>
          <w:i/>
          <w:iCs/>
          <w:color w:val="000000"/>
          <w:sz w:val="22"/>
          <w:szCs w:val="22"/>
        </w:rPr>
        <w:t xml:space="preserve"> market</w:t>
      </w:r>
      <w:r w:rsidRPr="001E6906">
        <w:rPr>
          <w:rFonts w:ascii="Arial" w:hAnsi="Arial" w:cs="Arial"/>
          <w:color w:val="000000"/>
          <w:sz w:val="22"/>
          <w:szCs w:val="22"/>
        </w:rPr>
        <w:t> (NBER Working Paper No. 28505). National Bureau of Economic Research. https://doi.org/10.3386/w28505</w:t>
      </w:r>
    </w:p>
    <w:p w14:paraId="0330F8D6" w14:textId="77777777" w:rsidR="004C4BE4" w:rsidRPr="001E6906" w:rsidRDefault="004C4BE4" w:rsidP="006E2238">
      <w:pPr>
        <w:spacing w:before="100" w:beforeAutospacing="1" w:after="100" w:afterAutospacing="1" w:line="360" w:lineRule="auto"/>
        <w:jc w:val="both"/>
        <w:rPr>
          <w:rFonts w:ascii="Arial" w:hAnsi="Arial" w:cs="Arial"/>
          <w:sz w:val="22"/>
          <w:szCs w:val="22"/>
        </w:rPr>
      </w:pPr>
      <w:r w:rsidRPr="001E6906">
        <w:rPr>
          <w:rFonts w:ascii="Arial" w:hAnsi="Arial" w:cs="Arial"/>
          <w:color w:val="000000"/>
          <w:sz w:val="22"/>
          <w:szCs w:val="22"/>
        </w:rPr>
        <w:t xml:space="preserve">Alon, T., Doepke, M., Olmstead-Rumsey, J., &amp; </w:t>
      </w:r>
      <w:proofErr w:type="spellStart"/>
      <w:r w:rsidRPr="001E6906">
        <w:rPr>
          <w:rFonts w:ascii="Arial" w:hAnsi="Arial" w:cs="Arial"/>
          <w:color w:val="000000"/>
          <w:sz w:val="22"/>
          <w:szCs w:val="22"/>
        </w:rPr>
        <w:t>Tertilt</w:t>
      </w:r>
      <w:proofErr w:type="spellEnd"/>
      <w:r w:rsidRPr="001E6906">
        <w:rPr>
          <w:rFonts w:ascii="Arial" w:hAnsi="Arial" w:cs="Arial"/>
          <w:color w:val="000000"/>
          <w:sz w:val="22"/>
          <w:szCs w:val="22"/>
        </w:rPr>
        <w:t>, M. (2020). </w:t>
      </w:r>
      <w:r w:rsidRPr="001E6906">
        <w:rPr>
          <w:rFonts w:ascii="Arial" w:hAnsi="Arial" w:cs="Arial"/>
          <w:i/>
          <w:iCs/>
          <w:color w:val="000000"/>
          <w:sz w:val="22"/>
          <w:szCs w:val="22"/>
        </w:rPr>
        <w:t>The impact of COVID-19 on gender equality</w:t>
      </w:r>
      <w:r w:rsidRPr="001E6906">
        <w:rPr>
          <w:rFonts w:ascii="Arial" w:hAnsi="Arial" w:cs="Arial"/>
          <w:color w:val="000000"/>
          <w:sz w:val="22"/>
          <w:szCs w:val="22"/>
        </w:rPr>
        <w:t> (NBER Working Paper No. 26947). National Bureau of Economic Research. </w:t>
      </w:r>
      <w:hyperlink r:id="rId22" w:tgtFrame="_new" w:history="1">
        <w:r w:rsidRPr="001E6906">
          <w:rPr>
            <w:rFonts w:ascii="Arial" w:hAnsi="Arial" w:cs="Arial"/>
            <w:color w:val="0000FF"/>
            <w:sz w:val="22"/>
            <w:szCs w:val="22"/>
            <w:u w:val="single"/>
          </w:rPr>
          <w:t>https://doi.org/10.3386/w26947</w:t>
        </w:r>
      </w:hyperlink>
    </w:p>
    <w:p w14:paraId="08C6E9BC" w14:textId="77777777" w:rsidR="005B3D09" w:rsidRPr="001E6906" w:rsidRDefault="005B3D09" w:rsidP="006E2238">
      <w:pPr>
        <w:spacing w:after="160" w:line="360" w:lineRule="auto"/>
        <w:jc w:val="both"/>
        <w:rPr>
          <w:rFonts w:ascii="Arial" w:hAnsi="Arial" w:cs="Arial"/>
          <w:sz w:val="22"/>
          <w:szCs w:val="22"/>
        </w:rPr>
      </w:pPr>
      <w:proofErr w:type="spellStart"/>
      <w:r w:rsidRPr="001E6906">
        <w:rPr>
          <w:rFonts w:ascii="Arial" w:hAnsi="Arial" w:cs="Arial"/>
          <w:color w:val="000000"/>
          <w:sz w:val="22"/>
          <w:szCs w:val="22"/>
        </w:rPr>
        <w:t>Balabhadrapatruni</w:t>
      </w:r>
      <w:proofErr w:type="spellEnd"/>
      <w:r w:rsidRPr="001E6906">
        <w:rPr>
          <w:rFonts w:ascii="Arial" w:hAnsi="Arial" w:cs="Arial"/>
          <w:color w:val="000000"/>
          <w:sz w:val="22"/>
          <w:szCs w:val="22"/>
        </w:rPr>
        <w:t>, P. (2024).</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Assessing the resilience of India’s service sector to shocks and fluctuations</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Asian Economics Letters, 5</w:t>
      </w:r>
      <w:r w:rsidRPr="001E6906">
        <w:rPr>
          <w:rFonts w:ascii="Arial" w:hAnsi="Arial" w:cs="Arial"/>
          <w:color w:val="000000"/>
          <w:sz w:val="22"/>
          <w:szCs w:val="22"/>
        </w:rPr>
        <w:t>(Early Issue), 1</w:t>
      </w:r>
      <w:r w:rsidR="00E846C5" w:rsidRPr="001E6906">
        <w:rPr>
          <w:rFonts w:ascii="Arial" w:hAnsi="Arial" w:cs="Arial"/>
          <w:color w:val="000000"/>
          <w:sz w:val="22"/>
          <w:szCs w:val="22"/>
        </w:rPr>
        <w:t>-</w:t>
      </w:r>
      <w:r w:rsidRPr="001E6906">
        <w:rPr>
          <w:rFonts w:ascii="Arial" w:hAnsi="Arial" w:cs="Arial"/>
          <w:color w:val="000000"/>
          <w:sz w:val="22"/>
          <w:szCs w:val="22"/>
        </w:rPr>
        <w:t>6.</w:t>
      </w:r>
      <w:r w:rsidRPr="001E6906">
        <w:rPr>
          <w:rStyle w:val="apple-converted-space"/>
          <w:rFonts w:ascii="Arial" w:eastAsiaTheme="majorEastAsia" w:hAnsi="Arial" w:cs="Arial"/>
          <w:color w:val="000000"/>
          <w:sz w:val="22"/>
          <w:szCs w:val="22"/>
        </w:rPr>
        <w:t> </w:t>
      </w:r>
      <w:r w:rsidRPr="001E6906">
        <w:rPr>
          <w:rFonts w:ascii="Arial" w:hAnsi="Arial" w:cs="Arial"/>
          <w:sz w:val="22"/>
          <w:szCs w:val="22"/>
        </w:rPr>
        <w:t>https://doi.org/10.46557/001c.117126</w:t>
      </w:r>
    </w:p>
    <w:p w14:paraId="5201896B" w14:textId="77777777" w:rsidR="001961A9" w:rsidRPr="001E6906" w:rsidRDefault="001961A9" w:rsidP="006E2238">
      <w:pPr>
        <w:pStyle w:val="NormalWeb"/>
        <w:spacing w:line="360" w:lineRule="auto"/>
        <w:jc w:val="both"/>
        <w:rPr>
          <w:rFonts w:ascii="Arial" w:hAnsi="Arial" w:cs="Arial"/>
          <w:color w:val="000000"/>
          <w:sz w:val="22"/>
          <w:szCs w:val="22"/>
        </w:rPr>
      </w:pPr>
      <w:r w:rsidRPr="001E6906">
        <w:rPr>
          <w:rFonts w:ascii="Arial" w:hAnsi="Arial" w:cs="Arial"/>
          <w:color w:val="000000"/>
          <w:sz w:val="22"/>
          <w:szCs w:val="22"/>
        </w:rPr>
        <w:t>Bansal, I., &amp; Mahajan, K. (2023).</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COVID-19, income shocks, and women’s employment in India</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Feminist Economics, 29</w:t>
      </w:r>
      <w:r w:rsidRPr="001E6906">
        <w:rPr>
          <w:rFonts w:ascii="Arial" w:hAnsi="Arial" w:cs="Arial"/>
          <w:color w:val="000000"/>
          <w:sz w:val="22"/>
          <w:szCs w:val="22"/>
        </w:rPr>
        <w:t>(4), 285</w:t>
      </w:r>
      <w:r w:rsidR="00E846C5" w:rsidRPr="001E6906">
        <w:rPr>
          <w:rFonts w:ascii="Arial" w:hAnsi="Arial" w:cs="Arial"/>
          <w:color w:val="000000"/>
          <w:sz w:val="22"/>
          <w:szCs w:val="22"/>
        </w:rPr>
        <w:t>-</w:t>
      </w:r>
      <w:r w:rsidRPr="001E6906">
        <w:rPr>
          <w:rFonts w:ascii="Arial" w:hAnsi="Arial" w:cs="Arial"/>
          <w:color w:val="000000"/>
          <w:sz w:val="22"/>
          <w:szCs w:val="22"/>
        </w:rPr>
        <w:t>317.</w:t>
      </w:r>
      <w:r w:rsidRPr="001E6906">
        <w:rPr>
          <w:rStyle w:val="apple-converted-space"/>
          <w:rFonts w:ascii="Arial" w:eastAsiaTheme="majorEastAsia" w:hAnsi="Arial" w:cs="Arial"/>
          <w:color w:val="000000"/>
          <w:sz w:val="22"/>
          <w:szCs w:val="22"/>
        </w:rPr>
        <w:t> </w:t>
      </w:r>
      <w:hyperlink r:id="rId23" w:history="1">
        <w:r w:rsidR="003A47F5" w:rsidRPr="001E6906">
          <w:rPr>
            <w:rStyle w:val="Hyperlink"/>
            <w:rFonts w:ascii="Arial" w:hAnsi="Arial" w:cs="Arial"/>
            <w:sz w:val="22"/>
            <w:szCs w:val="22"/>
          </w:rPr>
          <w:t>https://doi.org/10.1080/13545701.2023.2250797</w:t>
        </w:r>
      </w:hyperlink>
    </w:p>
    <w:p w14:paraId="2001C094" w14:textId="77777777" w:rsidR="003A47F5" w:rsidRPr="001E6906" w:rsidRDefault="003A47F5" w:rsidP="006E2238">
      <w:pPr>
        <w:spacing w:line="360" w:lineRule="auto"/>
        <w:jc w:val="both"/>
        <w:rPr>
          <w:rFonts w:ascii="Arial" w:hAnsi="Arial" w:cs="Arial"/>
          <w:i/>
          <w:iCs/>
          <w:color w:val="000000"/>
          <w:sz w:val="22"/>
          <w:szCs w:val="22"/>
        </w:rPr>
      </w:pPr>
      <w:r w:rsidRPr="001E6906">
        <w:rPr>
          <w:rFonts w:ascii="Arial" w:hAnsi="Arial" w:cs="Arial"/>
          <w:color w:val="000000"/>
          <w:sz w:val="22"/>
          <w:szCs w:val="22"/>
        </w:rPr>
        <w:t xml:space="preserve">Bertrand, M., Rebecca Dizon-Dross, Kaushik Krishnan, Heather Schofield. (2020). </w:t>
      </w:r>
      <w:r w:rsidRPr="001E6906">
        <w:rPr>
          <w:rFonts w:ascii="Arial" w:hAnsi="Arial" w:cs="Arial"/>
          <w:i/>
          <w:iCs/>
          <w:color w:val="000000"/>
          <w:sz w:val="22"/>
          <w:szCs w:val="22"/>
        </w:rPr>
        <w:t>“Employment,</w:t>
      </w:r>
    </w:p>
    <w:p w14:paraId="7E45BBD6" w14:textId="77777777" w:rsidR="003A47F5" w:rsidRPr="001E6906" w:rsidRDefault="003A47F5" w:rsidP="006E2238">
      <w:pPr>
        <w:spacing w:line="360" w:lineRule="auto"/>
        <w:jc w:val="both"/>
        <w:rPr>
          <w:rFonts w:ascii="Arial" w:hAnsi="Arial" w:cs="Arial"/>
          <w:color w:val="000000"/>
          <w:sz w:val="22"/>
          <w:szCs w:val="22"/>
        </w:rPr>
      </w:pPr>
      <w:r w:rsidRPr="001E6906">
        <w:rPr>
          <w:rFonts w:ascii="Arial" w:hAnsi="Arial" w:cs="Arial"/>
          <w:i/>
          <w:iCs/>
          <w:color w:val="000000"/>
          <w:sz w:val="22"/>
          <w:szCs w:val="22"/>
        </w:rPr>
        <w:t>Income and Consumption in India during and after the lockdown: A V-shape recovery?”</w:t>
      </w:r>
      <w:r w:rsidRPr="001E6906">
        <w:rPr>
          <w:rFonts w:ascii="Arial" w:hAnsi="Arial" w:cs="Arial"/>
          <w:color w:val="000000"/>
          <w:sz w:val="22"/>
          <w:szCs w:val="22"/>
        </w:rPr>
        <w:t xml:space="preserve"> Chicago-</w:t>
      </w:r>
    </w:p>
    <w:p w14:paraId="54440B49" w14:textId="77777777" w:rsidR="003A47F5" w:rsidRPr="001E6906" w:rsidRDefault="003A47F5" w:rsidP="006E2238">
      <w:pPr>
        <w:spacing w:line="360" w:lineRule="auto"/>
        <w:jc w:val="both"/>
        <w:rPr>
          <w:rFonts w:ascii="Arial" w:hAnsi="Arial" w:cs="Arial"/>
          <w:color w:val="000000"/>
          <w:sz w:val="22"/>
          <w:szCs w:val="22"/>
        </w:rPr>
      </w:pPr>
      <w:r w:rsidRPr="001E6906">
        <w:rPr>
          <w:rFonts w:ascii="Arial" w:hAnsi="Arial" w:cs="Arial"/>
          <w:color w:val="000000"/>
          <w:sz w:val="22"/>
          <w:szCs w:val="22"/>
        </w:rPr>
        <w:t>Booth Rustandy Centre for Social Sector</w:t>
      </w:r>
      <w:r w:rsidR="00E846C5" w:rsidRPr="001E6906">
        <w:rPr>
          <w:rFonts w:ascii="Arial" w:hAnsi="Arial" w:cs="Arial"/>
          <w:color w:val="000000"/>
          <w:sz w:val="22"/>
          <w:szCs w:val="22"/>
        </w:rPr>
        <w:t xml:space="preserve"> </w:t>
      </w:r>
      <w:r w:rsidRPr="001E6906">
        <w:rPr>
          <w:rFonts w:ascii="Arial" w:hAnsi="Arial" w:cs="Arial"/>
          <w:color w:val="000000"/>
          <w:sz w:val="22"/>
          <w:szCs w:val="22"/>
        </w:rPr>
        <w:t>Innovation.</w:t>
      </w:r>
      <w:r w:rsidR="00E846C5" w:rsidRPr="001E6906">
        <w:rPr>
          <w:rStyle w:val="apple-converted-space"/>
          <w:rFonts w:ascii="Arial" w:eastAsiaTheme="majorEastAsia" w:hAnsi="Arial" w:cs="Arial"/>
          <w:color w:val="000000"/>
          <w:sz w:val="22"/>
          <w:szCs w:val="22"/>
        </w:rPr>
        <w:t> </w:t>
      </w:r>
      <w:hyperlink r:id="rId24" w:tgtFrame="_new" w:history="1">
        <w:r w:rsidR="00E846C5" w:rsidRPr="001E6906">
          <w:rPr>
            <w:rStyle w:val="Hyperlink"/>
            <w:rFonts w:ascii="Arial" w:eastAsiaTheme="majorEastAsia" w:hAnsi="Arial" w:cs="Arial"/>
            <w:sz w:val="22"/>
            <w:szCs w:val="22"/>
          </w:rPr>
          <w:t>https://link.springer.com/article/10.1007/s11150-023-09659-5</w:t>
        </w:r>
      </w:hyperlink>
    </w:p>
    <w:p w14:paraId="5171C3D0" w14:textId="77777777" w:rsidR="004C4BE4" w:rsidRPr="001E6906" w:rsidRDefault="004C4BE4" w:rsidP="006E2238">
      <w:pPr>
        <w:spacing w:before="100" w:beforeAutospacing="1" w:after="100" w:afterAutospacing="1" w:line="360" w:lineRule="auto"/>
        <w:jc w:val="both"/>
        <w:rPr>
          <w:rFonts w:ascii="Arial" w:hAnsi="Arial" w:cs="Arial"/>
          <w:b/>
          <w:bCs/>
          <w:color w:val="000000"/>
          <w:sz w:val="22"/>
          <w:szCs w:val="22"/>
        </w:rPr>
      </w:pPr>
      <w:r w:rsidRPr="001E6906">
        <w:rPr>
          <w:rFonts w:ascii="Arial" w:hAnsi="Arial" w:cs="Arial"/>
          <w:color w:val="000000"/>
          <w:sz w:val="22"/>
          <w:szCs w:val="22"/>
        </w:rPr>
        <w:t>Bettin, G., Giorgi, F., &amp; others. (2023). </w:t>
      </w:r>
      <w:r w:rsidRPr="001E6906">
        <w:rPr>
          <w:rFonts w:ascii="Arial" w:hAnsi="Arial" w:cs="Arial"/>
          <w:i/>
          <w:iCs/>
          <w:color w:val="000000"/>
          <w:sz w:val="22"/>
          <w:szCs w:val="22"/>
        </w:rPr>
        <w:t>The impact of COVID-19 lockdown on the gender gap in the Italian labour market</w:t>
      </w:r>
      <w:r w:rsidRPr="001E6906">
        <w:rPr>
          <w:rFonts w:ascii="Arial" w:hAnsi="Arial" w:cs="Arial"/>
          <w:color w:val="000000"/>
          <w:sz w:val="22"/>
          <w:szCs w:val="22"/>
        </w:rPr>
        <w:t>. </w:t>
      </w:r>
      <w:r w:rsidRPr="001E6906">
        <w:rPr>
          <w:rFonts w:ascii="Arial" w:hAnsi="Arial" w:cs="Arial"/>
          <w:i/>
          <w:iCs/>
          <w:color w:val="000000"/>
          <w:sz w:val="22"/>
          <w:szCs w:val="22"/>
        </w:rPr>
        <w:t>Journal of Demographic Economics</w:t>
      </w:r>
      <w:r w:rsidRPr="001E6906">
        <w:rPr>
          <w:rFonts w:ascii="Arial" w:hAnsi="Arial" w:cs="Arial"/>
          <w:b/>
          <w:bCs/>
          <w:color w:val="000000"/>
          <w:sz w:val="22"/>
          <w:szCs w:val="22"/>
        </w:rPr>
        <w:t>.</w:t>
      </w:r>
      <w:r w:rsidR="00E846C5" w:rsidRPr="001E6906">
        <w:rPr>
          <w:rFonts w:ascii="Arial" w:hAnsi="Arial" w:cs="Arial"/>
          <w:b/>
          <w:bCs/>
          <w:color w:val="000000"/>
          <w:sz w:val="22"/>
          <w:szCs w:val="22"/>
        </w:rPr>
        <w:t xml:space="preserve"> </w:t>
      </w:r>
      <w:r w:rsidR="00E846C5" w:rsidRPr="001E6906">
        <w:rPr>
          <w:rFonts w:ascii="Arial" w:hAnsi="Arial" w:cs="Arial"/>
          <w:color w:val="000000"/>
          <w:sz w:val="22"/>
          <w:szCs w:val="22"/>
        </w:rPr>
        <w:t>DOI:</w:t>
      </w:r>
      <w:r w:rsidR="00E846C5" w:rsidRPr="001E6906">
        <w:rPr>
          <w:rStyle w:val="apple-converted-space"/>
          <w:rFonts w:ascii="Arial" w:eastAsiaTheme="majorEastAsia" w:hAnsi="Arial" w:cs="Arial"/>
          <w:b/>
          <w:bCs/>
          <w:color w:val="000000"/>
          <w:sz w:val="22"/>
          <w:szCs w:val="22"/>
        </w:rPr>
        <w:t> </w:t>
      </w:r>
      <w:r w:rsidR="00E846C5" w:rsidRPr="001E6906">
        <w:rPr>
          <w:rStyle w:val="Strong"/>
          <w:rFonts w:ascii="Arial" w:eastAsiaTheme="majorEastAsia" w:hAnsi="Arial" w:cs="Arial"/>
          <w:b w:val="0"/>
          <w:bCs w:val="0"/>
          <w:color w:val="000000"/>
          <w:sz w:val="22"/>
          <w:szCs w:val="22"/>
        </w:rPr>
        <w:t>10.1007/s11150-023-09659-5</w:t>
      </w:r>
      <w:r w:rsidR="00E846C5" w:rsidRPr="001E6906">
        <w:rPr>
          <w:rFonts w:ascii="Arial" w:hAnsi="Arial" w:cs="Arial"/>
          <w:b/>
          <w:bCs/>
          <w:color w:val="000000"/>
          <w:sz w:val="22"/>
          <w:szCs w:val="22"/>
        </w:rPr>
        <w:t>.</w:t>
      </w:r>
    </w:p>
    <w:p w14:paraId="1471E9AB"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Bharathi, D., &amp; Dinesh, G. P. (2021). </w:t>
      </w:r>
      <w:r w:rsidRPr="001E6906">
        <w:rPr>
          <w:rFonts w:ascii="Arial" w:hAnsi="Arial" w:cs="Arial"/>
          <w:i/>
          <w:iCs/>
          <w:color w:val="000000"/>
          <w:sz w:val="22"/>
          <w:szCs w:val="22"/>
        </w:rPr>
        <w:t>Impact of COVID-19 pandemic on Indian services sector</w:t>
      </w:r>
      <w:r w:rsidRPr="001E6906">
        <w:rPr>
          <w:rFonts w:ascii="Arial" w:hAnsi="Arial" w:cs="Arial"/>
          <w:color w:val="000000"/>
          <w:sz w:val="22"/>
          <w:szCs w:val="22"/>
        </w:rPr>
        <w:t>. SSRN Working Paper. </w:t>
      </w:r>
      <w:hyperlink r:id="rId25" w:tgtFrame="_new" w:history="1">
        <w:r w:rsidRPr="001E6906">
          <w:rPr>
            <w:rFonts w:ascii="Arial" w:hAnsi="Arial" w:cs="Arial"/>
            <w:color w:val="0000FF"/>
            <w:sz w:val="22"/>
            <w:szCs w:val="22"/>
            <w:u w:val="single"/>
          </w:rPr>
          <w:t>https://doi.org/10.2139/ssrn.3885430</w:t>
        </w:r>
      </w:hyperlink>
    </w:p>
    <w:p w14:paraId="711DF632" w14:textId="77777777" w:rsidR="00630E88" w:rsidRPr="001E6906" w:rsidRDefault="004C4BE4" w:rsidP="006E2238">
      <w:pPr>
        <w:spacing w:before="100" w:beforeAutospacing="1" w:after="100" w:afterAutospacing="1" w:line="360" w:lineRule="auto"/>
        <w:jc w:val="both"/>
        <w:rPr>
          <w:rFonts w:ascii="Arial" w:hAnsi="Arial" w:cs="Arial"/>
          <w:sz w:val="22"/>
          <w:szCs w:val="22"/>
        </w:rPr>
      </w:pPr>
      <w:r w:rsidRPr="001E6906">
        <w:rPr>
          <w:rFonts w:ascii="Arial" w:hAnsi="Arial" w:cs="Arial"/>
          <w:color w:val="000000"/>
          <w:sz w:val="22"/>
          <w:szCs w:val="22"/>
        </w:rPr>
        <w:t>Bluedorn, J., Caselli, F., Hansen, N.-J., Shibata, I., &amp; Tavares, M. M. (2021). </w:t>
      </w:r>
      <w:r w:rsidRPr="001E6906">
        <w:rPr>
          <w:rFonts w:ascii="Arial" w:hAnsi="Arial" w:cs="Arial"/>
          <w:i/>
          <w:iCs/>
          <w:color w:val="000000"/>
          <w:sz w:val="22"/>
          <w:szCs w:val="22"/>
        </w:rPr>
        <w:t>Gender and employment in the COVID-19 recession</w:t>
      </w:r>
      <w:r w:rsidRPr="001E6906">
        <w:rPr>
          <w:rFonts w:ascii="Arial" w:hAnsi="Arial" w:cs="Arial"/>
          <w:color w:val="000000"/>
          <w:sz w:val="22"/>
          <w:szCs w:val="22"/>
        </w:rPr>
        <w:t> (IMF Working Paper No. WP/21/95). International Monetary Fund. </w:t>
      </w:r>
      <w:hyperlink r:id="rId26" w:history="1">
        <w:r w:rsidR="00630E88" w:rsidRPr="001E6906">
          <w:rPr>
            <w:rStyle w:val="Hyperlink"/>
            <w:rFonts w:ascii="Arial" w:hAnsi="Arial" w:cs="Arial"/>
            <w:sz w:val="22"/>
            <w:szCs w:val="22"/>
          </w:rPr>
          <w:t>https://doi.org/10.5089/9781513582381.001</w:t>
        </w:r>
      </w:hyperlink>
    </w:p>
    <w:p w14:paraId="257ADB65" w14:textId="77777777" w:rsidR="00AE3609" w:rsidRPr="001E6906" w:rsidRDefault="00AE3609" w:rsidP="006E2238">
      <w:pPr>
        <w:pStyle w:val="NormalWeb"/>
        <w:spacing w:line="360" w:lineRule="auto"/>
        <w:jc w:val="both"/>
        <w:rPr>
          <w:rFonts w:ascii="Arial" w:hAnsi="Arial" w:cs="Arial"/>
          <w:color w:val="000000"/>
          <w:sz w:val="22"/>
          <w:szCs w:val="22"/>
        </w:rPr>
      </w:pPr>
      <w:r w:rsidRPr="001E6906">
        <w:rPr>
          <w:rFonts w:ascii="Arial" w:hAnsi="Arial" w:cs="Arial"/>
          <w:color w:val="000000"/>
          <w:sz w:val="22"/>
          <w:szCs w:val="22"/>
        </w:rPr>
        <w:lastRenderedPageBreak/>
        <w:t>Chanda, R. (2008).</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India and services outsourcing in Asia</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The Singapore Economic Review, 53</w:t>
      </w:r>
      <w:r w:rsidRPr="001E6906">
        <w:rPr>
          <w:rFonts w:ascii="Arial" w:hAnsi="Arial" w:cs="Arial"/>
          <w:color w:val="000000"/>
          <w:sz w:val="22"/>
          <w:szCs w:val="22"/>
        </w:rPr>
        <w:t>(3), 419</w:t>
      </w:r>
      <w:r w:rsidR="00E846C5" w:rsidRPr="001E6906">
        <w:rPr>
          <w:rFonts w:ascii="Arial" w:hAnsi="Arial" w:cs="Arial"/>
          <w:color w:val="000000"/>
          <w:sz w:val="22"/>
          <w:szCs w:val="22"/>
        </w:rPr>
        <w:t>-</w:t>
      </w:r>
      <w:r w:rsidRPr="001E6906">
        <w:rPr>
          <w:rFonts w:ascii="Arial" w:hAnsi="Arial" w:cs="Arial"/>
          <w:color w:val="000000"/>
          <w:sz w:val="22"/>
          <w:szCs w:val="22"/>
        </w:rPr>
        <w:t>447.</w:t>
      </w:r>
      <w:r w:rsidRPr="001E6906">
        <w:rPr>
          <w:rStyle w:val="apple-converted-space"/>
          <w:rFonts w:ascii="Arial" w:eastAsiaTheme="majorEastAsia" w:hAnsi="Arial" w:cs="Arial"/>
          <w:color w:val="000000"/>
          <w:sz w:val="22"/>
          <w:szCs w:val="22"/>
        </w:rPr>
        <w:t> </w:t>
      </w:r>
      <w:hyperlink r:id="rId27" w:tgtFrame="_new" w:history="1">
        <w:r w:rsidRPr="001E6906">
          <w:rPr>
            <w:rStyle w:val="Hyperlink"/>
            <w:rFonts w:ascii="Arial" w:eastAsiaTheme="majorEastAsia" w:hAnsi="Arial" w:cs="Arial"/>
            <w:sz w:val="22"/>
            <w:szCs w:val="22"/>
          </w:rPr>
          <w:t>https://doi.org/10.1142/S0217590808003051</w:t>
        </w:r>
      </w:hyperlink>
    </w:p>
    <w:p w14:paraId="753F7580" w14:textId="77777777" w:rsidR="00E846C5" w:rsidRPr="001E6906" w:rsidRDefault="00E846C5"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Cantillon, S., Moore, E., &amp; Teasdale, N. (2021). Care, COVID-19 and gender inequalities. </w:t>
      </w:r>
      <w:r w:rsidRPr="001E6906">
        <w:rPr>
          <w:rFonts w:ascii="Arial" w:hAnsi="Arial" w:cs="Arial"/>
          <w:i/>
          <w:iCs/>
          <w:color w:val="000000"/>
          <w:sz w:val="22"/>
          <w:szCs w:val="22"/>
        </w:rPr>
        <w:t>In</w:t>
      </w:r>
      <w:r w:rsidRPr="001E6906">
        <w:rPr>
          <w:rFonts w:ascii="Arial" w:hAnsi="Arial" w:cs="Arial"/>
          <w:color w:val="000000"/>
          <w:sz w:val="22"/>
          <w:szCs w:val="22"/>
        </w:rPr>
        <w:t xml:space="preserve"> B. </w:t>
      </w:r>
      <w:proofErr w:type="spellStart"/>
      <w:r w:rsidRPr="001E6906">
        <w:rPr>
          <w:rFonts w:ascii="Arial" w:hAnsi="Arial" w:cs="Arial"/>
          <w:color w:val="000000"/>
          <w:sz w:val="22"/>
          <w:szCs w:val="22"/>
        </w:rPr>
        <w:t>Klatzer</w:t>
      </w:r>
      <w:proofErr w:type="spellEnd"/>
      <w:r w:rsidRPr="001E6906">
        <w:rPr>
          <w:rFonts w:ascii="Arial" w:hAnsi="Arial" w:cs="Arial"/>
          <w:color w:val="000000"/>
          <w:sz w:val="22"/>
          <w:szCs w:val="22"/>
        </w:rPr>
        <w:t xml:space="preserve"> &amp; M. Rinaldi (Eds.), Feminist economic perspectives on the COVID-19 pandemic (pp. xx–xx). Routledge.</w:t>
      </w:r>
      <w:r w:rsidRPr="001E6906">
        <w:rPr>
          <w:rFonts w:ascii="Arial" w:hAnsi="Arial" w:cs="Arial"/>
          <w:color w:val="000000"/>
          <w:sz w:val="22"/>
          <w:szCs w:val="22"/>
        </w:rPr>
        <w:br/>
      </w:r>
      <w:hyperlink r:id="rId28" w:tgtFrame="_new" w:history="1">
        <w:r w:rsidRPr="001E6906">
          <w:rPr>
            <w:rFonts w:ascii="Arial" w:hAnsi="Arial" w:cs="Arial"/>
            <w:color w:val="0000FF"/>
            <w:sz w:val="22"/>
            <w:szCs w:val="22"/>
            <w:u w:val="single"/>
          </w:rPr>
          <w:t>https://doi.org/10.1080/13545701.2021.1876906</w:t>
        </w:r>
      </w:hyperlink>
    </w:p>
    <w:p w14:paraId="1E8B981A" w14:textId="77777777" w:rsidR="004C4BE4" w:rsidRPr="001E6906" w:rsidRDefault="005B3D09" w:rsidP="006E2238">
      <w:pPr>
        <w:pStyle w:val="NormalWeb"/>
        <w:spacing w:line="360" w:lineRule="auto"/>
        <w:jc w:val="both"/>
        <w:rPr>
          <w:rFonts w:ascii="Arial" w:hAnsi="Arial" w:cs="Arial"/>
          <w:color w:val="000000"/>
          <w:sz w:val="22"/>
          <w:szCs w:val="22"/>
        </w:rPr>
      </w:pPr>
      <w:r w:rsidRPr="001E6906">
        <w:rPr>
          <w:rFonts w:ascii="Arial" w:hAnsi="Arial" w:cs="Arial"/>
          <w:color w:val="000000"/>
          <w:sz w:val="22"/>
          <w:szCs w:val="22"/>
        </w:rPr>
        <w:t>Centre for Sustainable Employment. (2023).</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State of Working India 2023: Social identities and labour market outcomes</w:t>
      </w:r>
      <w:r w:rsidRPr="001E6906">
        <w:rPr>
          <w:rFonts w:ascii="Arial" w:hAnsi="Arial" w:cs="Arial"/>
          <w:color w:val="000000"/>
          <w:sz w:val="22"/>
          <w:szCs w:val="22"/>
        </w:rPr>
        <w:t>. Azim Premji University.</w:t>
      </w:r>
      <w:r w:rsidRPr="001E6906">
        <w:rPr>
          <w:rStyle w:val="apple-converted-space"/>
          <w:rFonts w:ascii="Arial" w:eastAsiaTheme="majorEastAsia" w:hAnsi="Arial" w:cs="Arial"/>
          <w:color w:val="000000"/>
          <w:sz w:val="22"/>
          <w:szCs w:val="22"/>
        </w:rPr>
        <w:t> </w:t>
      </w:r>
      <w:r w:rsidRPr="001E6906">
        <w:rPr>
          <w:rFonts w:ascii="Arial" w:hAnsi="Arial" w:cs="Arial"/>
          <w:color w:val="000000"/>
          <w:sz w:val="22"/>
          <w:szCs w:val="22"/>
        </w:rPr>
        <w:t>https://cse.azimpremjiuniversity.edu.in/state-of-working-india/</w:t>
      </w:r>
    </w:p>
    <w:p w14:paraId="6C56E6CC" w14:textId="77777777" w:rsidR="003A47F5" w:rsidRPr="001E6906" w:rsidRDefault="003A47F5" w:rsidP="00914260">
      <w:pPr>
        <w:spacing w:line="360" w:lineRule="auto"/>
        <w:rPr>
          <w:rFonts w:ascii="Arial" w:hAnsi="Arial" w:cs="Arial"/>
          <w:i/>
          <w:iCs/>
          <w:color w:val="000000"/>
          <w:sz w:val="22"/>
          <w:szCs w:val="22"/>
        </w:rPr>
      </w:pPr>
      <w:proofErr w:type="spellStart"/>
      <w:r w:rsidRPr="001E6906">
        <w:rPr>
          <w:rFonts w:ascii="Arial" w:hAnsi="Arial" w:cs="Arial"/>
          <w:color w:val="000000"/>
          <w:sz w:val="22"/>
          <w:szCs w:val="22"/>
        </w:rPr>
        <w:t>Desphande</w:t>
      </w:r>
      <w:proofErr w:type="spellEnd"/>
      <w:r w:rsidRPr="001E6906">
        <w:rPr>
          <w:rFonts w:ascii="Arial" w:hAnsi="Arial" w:cs="Arial"/>
          <w:color w:val="000000"/>
          <w:sz w:val="22"/>
          <w:szCs w:val="22"/>
        </w:rPr>
        <w:t xml:space="preserve">, A. (2020). </w:t>
      </w:r>
      <w:r w:rsidRPr="001E6906">
        <w:rPr>
          <w:rFonts w:ascii="Arial" w:hAnsi="Arial" w:cs="Arial"/>
          <w:i/>
          <w:iCs/>
          <w:color w:val="000000"/>
          <w:sz w:val="22"/>
          <w:szCs w:val="22"/>
        </w:rPr>
        <w:t>The Covid-19 Pandemic and Gendered Division of Paid and Unpaid</w:t>
      </w:r>
    </w:p>
    <w:p w14:paraId="5CE119A4" w14:textId="77777777" w:rsidR="004C4BE4" w:rsidRPr="001E6906" w:rsidRDefault="003A47F5" w:rsidP="00914260">
      <w:pPr>
        <w:spacing w:line="360" w:lineRule="auto"/>
        <w:rPr>
          <w:rFonts w:ascii="Arial" w:hAnsi="Arial" w:cs="Arial"/>
          <w:color w:val="000000"/>
          <w:sz w:val="22"/>
          <w:szCs w:val="22"/>
        </w:rPr>
      </w:pPr>
      <w:r w:rsidRPr="001E6906">
        <w:rPr>
          <w:rFonts w:ascii="Arial" w:hAnsi="Arial" w:cs="Arial"/>
          <w:i/>
          <w:iCs/>
          <w:color w:val="000000"/>
          <w:sz w:val="22"/>
          <w:szCs w:val="22"/>
        </w:rPr>
        <w:t>Work:</w:t>
      </w:r>
      <w:r w:rsidR="00F17EF4" w:rsidRPr="001E6906">
        <w:rPr>
          <w:rFonts w:ascii="Arial" w:hAnsi="Arial" w:cs="Arial"/>
          <w:i/>
          <w:iCs/>
          <w:color w:val="000000"/>
          <w:sz w:val="22"/>
          <w:szCs w:val="22"/>
        </w:rPr>
        <w:t xml:space="preserve"> </w:t>
      </w:r>
      <w:r w:rsidRPr="001E6906">
        <w:rPr>
          <w:rFonts w:ascii="Arial" w:hAnsi="Arial" w:cs="Arial"/>
          <w:i/>
          <w:iCs/>
          <w:color w:val="000000"/>
          <w:sz w:val="22"/>
          <w:szCs w:val="22"/>
        </w:rPr>
        <w:t>Evidence from India</w:t>
      </w:r>
      <w:r w:rsidRPr="001E6906">
        <w:rPr>
          <w:rFonts w:ascii="Arial" w:hAnsi="Arial" w:cs="Arial"/>
          <w:color w:val="000000"/>
          <w:sz w:val="22"/>
          <w:szCs w:val="22"/>
        </w:rPr>
        <w:t xml:space="preserve">. IZA Discussion Paper No. 13815. </w:t>
      </w:r>
      <w:r w:rsidRPr="001E6906">
        <w:rPr>
          <w:rFonts w:ascii="Arial" w:hAnsi="Arial" w:cs="Arial"/>
          <w:color w:val="0000FF"/>
          <w:sz w:val="22"/>
          <w:szCs w:val="22"/>
        </w:rPr>
        <w:t xml:space="preserve">http:// ftp. </w:t>
      </w:r>
      <w:proofErr w:type="spellStart"/>
      <w:r w:rsidRPr="001E6906">
        <w:rPr>
          <w:rFonts w:ascii="Arial" w:hAnsi="Arial" w:cs="Arial"/>
          <w:color w:val="0000FF"/>
          <w:sz w:val="22"/>
          <w:szCs w:val="22"/>
        </w:rPr>
        <w:t>iza</w:t>
      </w:r>
      <w:proofErr w:type="spellEnd"/>
      <w:r w:rsidRPr="001E6906">
        <w:rPr>
          <w:rFonts w:ascii="Arial" w:hAnsi="Arial" w:cs="Arial"/>
          <w:color w:val="0000FF"/>
          <w:sz w:val="22"/>
          <w:szCs w:val="22"/>
        </w:rPr>
        <w:t>. org/ dp138 15. Pdf</w:t>
      </w:r>
      <w:r w:rsidR="004C4BE4" w:rsidRPr="001E6906">
        <w:rPr>
          <w:rFonts w:ascii="Arial" w:hAnsi="Arial" w:cs="Arial"/>
          <w:color w:val="000000"/>
          <w:sz w:val="22"/>
          <w:szCs w:val="22"/>
        </w:rPr>
        <w:t>.</w:t>
      </w:r>
    </w:p>
    <w:p w14:paraId="42A19A3F" w14:textId="77777777" w:rsidR="001C2180" w:rsidRPr="001E6906" w:rsidRDefault="001C2180" w:rsidP="001C2180">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Dev, S. M., &amp; Sengupta, R. (2023). </w:t>
      </w:r>
      <w:r w:rsidRPr="001E6906">
        <w:rPr>
          <w:rFonts w:ascii="Arial" w:hAnsi="Arial" w:cs="Arial"/>
          <w:i/>
          <w:iCs/>
          <w:color w:val="000000"/>
          <w:sz w:val="22"/>
          <w:szCs w:val="22"/>
        </w:rPr>
        <w:t>The Indian economy in the post-pandemic world: Opportunities and challenges</w:t>
      </w:r>
      <w:r w:rsidR="00F17EF4" w:rsidRPr="001E6906">
        <w:rPr>
          <w:rFonts w:ascii="Arial" w:hAnsi="Arial" w:cs="Arial"/>
          <w:i/>
          <w:iCs/>
          <w:color w:val="000000"/>
          <w:sz w:val="22"/>
          <w:szCs w:val="22"/>
        </w:rPr>
        <w:t xml:space="preserve"> </w:t>
      </w:r>
      <w:r w:rsidRPr="001E6906">
        <w:rPr>
          <w:rFonts w:ascii="Arial" w:hAnsi="Arial" w:cs="Arial"/>
          <w:color w:val="000000"/>
          <w:sz w:val="22"/>
          <w:szCs w:val="22"/>
        </w:rPr>
        <w:t>(IGIDR Working Paper No. WP-2023-06). Indira Gandhi Institute of Development Research. </w:t>
      </w:r>
      <w:hyperlink r:id="rId29" w:tgtFrame="_new" w:history="1">
        <w:r w:rsidRPr="001E6906">
          <w:rPr>
            <w:rFonts w:ascii="Arial" w:hAnsi="Arial" w:cs="Arial"/>
            <w:color w:val="0000FF"/>
            <w:sz w:val="22"/>
            <w:szCs w:val="22"/>
            <w:u w:val="single"/>
          </w:rPr>
          <w:t>https://www.igidr.ac.in/pdf/publication/WP-2023-006.</w:t>
        </w:r>
      </w:hyperlink>
    </w:p>
    <w:p w14:paraId="4CA72B6B" w14:textId="77777777" w:rsidR="00630E88" w:rsidRPr="001E6906" w:rsidRDefault="00630E88" w:rsidP="006E2238">
      <w:pPr>
        <w:spacing w:before="100" w:beforeAutospacing="1" w:after="100" w:afterAutospacing="1" w:line="360" w:lineRule="auto"/>
        <w:jc w:val="both"/>
        <w:rPr>
          <w:rFonts w:ascii="Arial" w:hAnsi="Arial" w:cs="Arial"/>
          <w:sz w:val="22"/>
          <w:szCs w:val="22"/>
        </w:rPr>
      </w:pPr>
      <w:r w:rsidRPr="001E6906">
        <w:rPr>
          <w:rFonts w:ascii="Arial" w:hAnsi="Arial" w:cs="Arial"/>
          <w:color w:val="000000"/>
          <w:sz w:val="22"/>
          <w:szCs w:val="22"/>
        </w:rPr>
        <w:t xml:space="preserve">Duijs, S. E., </w:t>
      </w:r>
      <w:proofErr w:type="spellStart"/>
      <w:r w:rsidRPr="001E6906">
        <w:rPr>
          <w:rFonts w:ascii="Arial" w:hAnsi="Arial" w:cs="Arial"/>
          <w:color w:val="000000"/>
          <w:sz w:val="22"/>
          <w:szCs w:val="22"/>
        </w:rPr>
        <w:t>Haremaker</w:t>
      </w:r>
      <w:proofErr w:type="spellEnd"/>
      <w:r w:rsidRPr="001E6906">
        <w:rPr>
          <w:rFonts w:ascii="Arial" w:hAnsi="Arial" w:cs="Arial"/>
          <w:color w:val="000000"/>
          <w:sz w:val="22"/>
          <w:szCs w:val="22"/>
        </w:rPr>
        <w:t xml:space="preserve">, A., </w:t>
      </w:r>
      <w:proofErr w:type="spellStart"/>
      <w:r w:rsidRPr="001E6906">
        <w:rPr>
          <w:rFonts w:ascii="Arial" w:hAnsi="Arial" w:cs="Arial"/>
          <w:color w:val="000000"/>
          <w:sz w:val="22"/>
          <w:szCs w:val="22"/>
        </w:rPr>
        <w:t>Bourik</w:t>
      </w:r>
      <w:proofErr w:type="spellEnd"/>
      <w:r w:rsidRPr="001E6906">
        <w:rPr>
          <w:rFonts w:ascii="Arial" w:hAnsi="Arial" w:cs="Arial"/>
          <w:color w:val="000000"/>
          <w:sz w:val="22"/>
          <w:szCs w:val="22"/>
        </w:rPr>
        <w:t>, Z., Abma, T. A., &amp; Verdonk, P. (2021).</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Pushed to the margins and stretched to the limit: Experiences of freelance eldercare workers during the COVID-19 pandemic in the Netherlands</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Feminist Economics, 27</w:t>
      </w:r>
      <w:r w:rsidRPr="001E6906">
        <w:rPr>
          <w:rFonts w:ascii="Arial" w:hAnsi="Arial" w:cs="Arial"/>
          <w:color w:val="000000"/>
          <w:sz w:val="22"/>
          <w:szCs w:val="22"/>
        </w:rPr>
        <w:t>(1–2), 217–235.</w:t>
      </w:r>
      <w:r w:rsidRPr="001E6906">
        <w:rPr>
          <w:rStyle w:val="apple-converted-space"/>
          <w:rFonts w:ascii="Arial" w:eastAsiaTheme="majorEastAsia" w:hAnsi="Arial" w:cs="Arial"/>
          <w:color w:val="000000"/>
          <w:sz w:val="22"/>
          <w:szCs w:val="22"/>
        </w:rPr>
        <w:t> </w:t>
      </w:r>
      <w:hyperlink r:id="rId30" w:history="1">
        <w:r w:rsidR="00E846C5" w:rsidRPr="001E6906">
          <w:rPr>
            <w:rStyle w:val="Hyperlink"/>
            <w:rFonts w:ascii="Arial" w:hAnsi="Arial" w:cs="Arial"/>
            <w:sz w:val="22"/>
            <w:szCs w:val="22"/>
          </w:rPr>
          <w:t>https://doi.org/10.1080/13545701.2020.1845389</w:t>
        </w:r>
      </w:hyperlink>
    </w:p>
    <w:p w14:paraId="44397B1E" w14:textId="77777777" w:rsidR="00E846C5" w:rsidRPr="001E6906" w:rsidRDefault="00E846C5"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Fang, T.-Y., Lin, S.-W., Lo, H.-W., &amp; Wu, C.-H. (2022). Southeast Asian nations’ regional competitiveness: An exploration through grey relational analysis. Technological and Economic Development of Economy, 28(5), 1287–1312. </w:t>
      </w:r>
      <w:hyperlink r:id="rId31" w:tgtFrame="_new" w:history="1">
        <w:r w:rsidRPr="001E6906">
          <w:rPr>
            <w:rFonts w:ascii="Arial" w:hAnsi="Arial" w:cs="Arial"/>
            <w:color w:val="0000FF"/>
            <w:sz w:val="22"/>
            <w:szCs w:val="22"/>
            <w:u w:val="single"/>
          </w:rPr>
          <w:t>https://doi.org/10.3846/tede.2022.17033</w:t>
        </w:r>
      </w:hyperlink>
    </w:p>
    <w:p w14:paraId="6C35002B" w14:textId="77777777" w:rsidR="00877418" w:rsidRPr="001E6906" w:rsidRDefault="00877418" w:rsidP="006E2238">
      <w:pPr>
        <w:spacing w:before="100" w:beforeAutospacing="1" w:after="100" w:afterAutospacing="1" w:line="360" w:lineRule="auto"/>
        <w:jc w:val="both"/>
        <w:rPr>
          <w:rFonts w:ascii="Arial" w:hAnsi="Arial" w:cs="Arial"/>
          <w:color w:val="000000"/>
          <w:sz w:val="22"/>
          <w:szCs w:val="22"/>
        </w:rPr>
      </w:pPr>
      <w:proofErr w:type="spellStart"/>
      <w:r w:rsidRPr="001E6906">
        <w:rPr>
          <w:rFonts w:ascii="Arial" w:hAnsi="Arial" w:cs="Arial"/>
          <w:color w:val="000000"/>
          <w:sz w:val="22"/>
          <w:szCs w:val="22"/>
        </w:rPr>
        <w:t>Gottardello</w:t>
      </w:r>
      <w:proofErr w:type="spellEnd"/>
      <w:r w:rsidRPr="001E6906">
        <w:rPr>
          <w:rFonts w:ascii="Arial" w:hAnsi="Arial" w:cs="Arial"/>
          <w:color w:val="000000"/>
          <w:sz w:val="22"/>
          <w:szCs w:val="22"/>
        </w:rPr>
        <w:t xml:space="preserve">, D., &amp; </w:t>
      </w:r>
      <w:proofErr w:type="spellStart"/>
      <w:r w:rsidRPr="001E6906">
        <w:rPr>
          <w:rFonts w:ascii="Arial" w:hAnsi="Arial" w:cs="Arial"/>
          <w:color w:val="000000"/>
          <w:sz w:val="22"/>
          <w:szCs w:val="22"/>
        </w:rPr>
        <w:t>Mazrekaj</w:t>
      </w:r>
      <w:proofErr w:type="spellEnd"/>
      <w:r w:rsidRPr="001E6906">
        <w:rPr>
          <w:rFonts w:ascii="Arial" w:hAnsi="Arial" w:cs="Arial"/>
          <w:color w:val="000000"/>
          <w:sz w:val="22"/>
          <w:szCs w:val="22"/>
        </w:rPr>
        <w:t>, D. (2022). The COVID-19 pandemic and gender inequality on the labour market: A systematic review and future directions. Cranfield School of Management &amp; University of Oxford.</w:t>
      </w:r>
    </w:p>
    <w:p w14:paraId="48545C65" w14:textId="77777777" w:rsidR="00B712DE" w:rsidRPr="001E6906" w:rsidRDefault="00B712DE"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 xml:space="preserve">Hatayama, M., </w:t>
      </w:r>
      <w:proofErr w:type="spellStart"/>
      <w:r w:rsidRPr="001E6906">
        <w:rPr>
          <w:rFonts w:ascii="Arial" w:hAnsi="Arial" w:cs="Arial"/>
          <w:color w:val="000000"/>
          <w:sz w:val="22"/>
          <w:szCs w:val="22"/>
        </w:rPr>
        <w:t>Viollaz</w:t>
      </w:r>
      <w:proofErr w:type="spellEnd"/>
      <w:r w:rsidRPr="001E6906">
        <w:rPr>
          <w:rFonts w:ascii="Arial" w:hAnsi="Arial" w:cs="Arial"/>
          <w:color w:val="000000"/>
          <w:sz w:val="22"/>
          <w:szCs w:val="22"/>
        </w:rPr>
        <w:t>, M., &amp; Winkler, H. (2020).</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Jobs’ amenability to working from home: Evidence from skills surveys for 53 countries</w:t>
      </w:r>
      <w:r w:rsidRPr="001E6906">
        <w:rPr>
          <w:rStyle w:val="apple-converted-space"/>
          <w:rFonts w:ascii="Arial" w:eastAsiaTheme="majorEastAsia" w:hAnsi="Arial" w:cs="Arial"/>
          <w:color w:val="000000"/>
          <w:sz w:val="22"/>
          <w:szCs w:val="22"/>
        </w:rPr>
        <w:t> </w:t>
      </w:r>
      <w:r w:rsidRPr="001E6906">
        <w:rPr>
          <w:rFonts w:ascii="Arial" w:hAnsi="Arial" w:cs="Arial"/>
          <w:color w:val="000000"/>
          <w:sz w:val="22"/>
          <w:szCs w:val="22"/>
        </w:rPr>
        <w:t>(Policy Research Working Paper No. 9241). World Bank.</w:t>
      </w:r>
    </w:p>
    <w:p w14:paraId="67696262"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proofErr w:type="spellStart"/>
      <w:r w:rsidRPr="001E6906">
        <w:rPr>
          <w:rFonts w:ascii="Arial" w:hAnsi="Arial" w:cs="Arial"/>
          <w:color w:val="000000"/>
          <w:sz w:val="22"/>
          <w:szCs w:val="22"/>
        </w:rPr>
        <w:lastRenderedPageBreak/>
        <w:t>Heggeness</w:t>
      </w:r>
      <w:proofErr w:type="spellEnd"/>
      <w:r w:rsidRPr="001E6906">
        <w:rPr>
          <w:rFonts w:ascii="Arial" w:hAnsi="Arial" w:cs="Arial"/>
          <w:color w:val="000000"/>
          <w:sz w:val="22"/>
          <w:szCs w:val="22"/>
        </w:rPr>
        <w:t>, M. L. (2020). </w:t>
      </w:r>
      <w:r w:rsidRPr="001E6906">
        <w:rPr>
          <w:rFonts w:ascii="Arial" w:hAnsi="Arial" w:cs="Arial"/>
          <w:i/>
          <w:iCs/>
          <w:color w:val="000000"/>
          <w:sz w:val="22"/>
          <w:szCs w:val="22"/>
        </w:rPr>
        <w:t xml:space="preserve">Estimating the immediate impact of the COVID-19 shock on parental </w:t>
      </w:r>
      <w:proofErr w:type="spellStart"/>
      <w:r w:rsidRPr="001E6906">
        <w:rPr>
          <w:rFonts w:ascii="Arial" w:hAnsi="Arial" w:cs="Arial"/>
          <w:i/>
          <w:iCs/>
          <w:color w:val="000000"/>
          <w:sz w:val="22"/>
          <w:szCs w:val="22"/>
        </w:rPr>
        <w:t>labor</w:t>
      </w:r>
      <w:proofErr w:type="spellEnd"/>
      <w:r w:rsidRPr="001E6906">
        <w:rPr>
          <w:rFonts w:ascii="Arial" w:hAnsi="Arial" w:cs="Arial"/>
          <w:i/>
          <w:iCs/>
          <w:color w:val="000000"/>
          <w:sz w:val="22"/>
          <w:szCs w:val="22"/>
        </w:rPr>
        <w:t xml:space="preserve"> supply: Mothers bear the burden</w:t>
      </w:r>
      <w:r w:rsidRPr="001E6906">
        <w:rPr>
          <w:rFonts w:ascii="Arial" w:hAnsi="Arial" w:cs="Arial"/>
          <w:color w:val="000000"/>
          <w:sz w:val="22"/>
          <w:szCs w:val="22"/>
        </w:rPr>
        <w:t>. U.S. Census Bureau Working Paper.</w:t>
      </w:r>
    </w:p>
    <w:p w14:paraId="50F045AF" w14:textId="77777777" w:rsidR="001961A9" w:rsidRPr="001E6906" w:rsidRDefault="004C4BE4" w:rsidP="006E2238">
      <w:pPr>
        <w:spacing w:before="100" w:beforeAutospacing="1" w:after="100" w:afterAutospacing="1" w:line="360" w:lineRule="auto"/>
        <w:jc w:val="both"/>
        <w:rPr>
          <w:rFonts w:ascii="Arial" w:hAnsi="Arial" w:cs="Arial"/>
          <w:color w:val="000000"/>
          <w:sz w:val="22"/>
          <w:szCs w:val="22"/>
        </w:rPr>
      </w:pPr>
      <w:proofErr w:type="spellStart"/>
      <w:r w:rsidRPr="001E6906">
        <w:rPr>
          <w:rFonts w:ascii="Arial" w:hAnsi="Arial" w:cs="Arial"/>
          <w:color w:val="000000"/>
          <w:sz w:val="22"/>
          <w:szCs w:val="22"/>
        </w:rPr>
        <w:t>Hupkau</w:t>
      </w:r>
      <w:proofErr w:type="spellEnd"/>
      <w:r w:rsidRPr="001E6906">
        <w:rPr>
          <w:rFonts w:ascii="Arial" w:hAnsi="Arial" w:cs="Arial"/>
          <w:color w:val="000000"/>
          <w:sz w:val="22"/>
          <w:szCs w:val="22"/>
        </w:rPr>
        <w:t>, C., &amp; Petrongolo, B. (2020). </w:t>
      </w:r>
      <w:r w:rsidRPr="001E6906">
        <w:rPr>
          <w:rFonts w:ascii="Arial" w:hAnsi="Arial" w:cs="Arial"/>
          <w:i/>
          <w:iCs/>
          <w:color w:val="000000"/>
          <w:sz w:val="22"/>
          <w:szCs w:val="22"/>
        </w:rPr>
        <w:t>Work, care and gender during the COVID-19 crisis</w:t>
      </w:r>
      <w:r w:rsidRPr="001E6906">
        <w:rPr>
          <w:rFonts w:ascii="Arial" w:hAnsi="Arial" w:cs="Arial"/>
          <w:color w:val="000000"/>
          <w:sz w:val="22"/>
          <w:szCs w:val="22"/>
        </w:rPr>
        <w:t>. </w:t>
      </w:r>
      <w:r w:rsidRPr="001E6906">
        <w:rPr>
          <w:rFonts w:ascii="Arial" w:hAnsi="Arial" w:cs="Arial"/>
          <w:i/>
          <w:iCs/>
          <w:color w:val="000000"/>
          <w:sz w:val="22"/>
          <w:szCs w:val="22"/>
        </w:rPr>
        <w:t>Fiscal Studies, 41</w:t>
      </w:r>
      <w:r w:rsidRPr="001E6906">
        <w:rPr>
          <w:rFonts w:ascii="Arial" w:hAnsi="Arial" w:cs="Arial"/>
          <w:color w:val="000000"/>
          <w:sz w:val="22"/>
          <w:szCs w:val="22"/>
        </w:rPr>
        <w:t>(3), 623–651. https://doi.org/10.1111/1475-5890.12245</w:t>
      </w:r>
    </w:p>
    <w:p w14:paraId="2CAE1C9F" w14:textId="77777777" w:rsidR="006E2238" w:rsidRPr="001E6906" w:rsidRDefault="006E2238" w:rsidP="006E2238">
      <w:pPr>
        <w:spacing w:line="360" w:lineRule="auto"/>
        <w:jc w:val="both"/>
        <w:rPr>
          <w:rFonts w:ascii="Arial" w:hAnsi="Arial" w:cs="Arial"/>
          <w:color w:val="000000"/>
          <w:sz w:val="22"/>
          <w:szCs w:val="22"/>
          <w:lang w:val="en-US"/>
        </w:rPr>
      </w:pPr>
      <w:r w:rsidRPr="001E6906">
        <w:rPr>
          <w:rFonts w:ascii="Arial" w:hAnsi="Arial" w:cs="Arial"/>
          <w:color w:val="000000"/>
          <w:sz w:val="22"/>
          <w:szCs w:val="22"/>
        </w:rPr>
        <w:t>International Labour Organization. (2020). </w:t>
      </w:r>
      <w:r w:rsidRPr="001E6906">
        <w:rPr>
          <w:rFonts w:ascii="Arial" w:hAnsi="Arial" w:cs="Arial"/>
          <w:i/>
          <w:iCs/>
          <w:color w:val="000000"/>
          <w:sz w:val="22"/>
          <w:szCs w:val="22"/>
        </w:rPr>
        <w:t>The COVID-19 response: Getting gender equality right for a better future for women at work</w:t>
      </w:r>
      <w:r w:rsidRPr="001E6906">
        <w:rPr>
          <w:rFonts w:ascii="Arial" w:hAnsi="Arial" w:cs="Arial"/>
          <w:color w:val="000000"/>
          <w:sz w:val="22"/>
          <w:szCs w:val="22"/>
        </w:rPr>
        <w:t>. ILO. </w:t>
      </w:r>
      <w:hyperlink r:id="rId32" w:tgtFrame="_new" w:history="1">
        <w:r w:rsidRPr="001E6906">
          <w:rPr>
            <w:rFonts w:ascii="Arial" w:hAnsi="Arial" w:cs="Arial"/>
            <w:color w:val="0000FF"/>
            <w:sz w:val="22"/>
            <w:szCs w:val="22"/>
            <w:u w:val="single"/>
          </w:rPr>
          <w:t>https://www.ilo.org/</w:t>
        </w:r>
      </w:hyperlink>
    </w:p>
    <w:p w14:paraId="2E8CD5A2"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Jyothi, M. (2020). </w:t>
      </w:r>
      <w:r w:rsidRPr="001E6906">
        <w:rPr>
          <w:rFonts w:ascii="Arial" w:hAnsi="Arial" w:cs="Arial"/>
          <w:i/>
          <w:iCs/>
          <w:color w:val="000000"/>
          <w:sz w:val="22"/>
          <w:szCs w:val="22"/>
        </w:rPr>
        <w:t>A study on COVID effect on Indian service sector</w:t>
      </w:r>
      <w:r w:rsidRPr="001E6906">
        <w:rPr>
          <w:rFonts w:ascii="Arial" w:hAnsi="Arial" w:cs="Arial"/>
          <w:color w:val="000000"/>
          <w:sz w:val="22"/>
          <w:szCs w:val="22"/>
        </w:rPr>
        <w:t>. In </w:t>
      </w:r>
      <w:r w:rsidRPr="001E6906">
        <w:rPr>
          <w:rFonts w:ascii="Arial" w:hAnsi="Arial" w:cs="Arial"/>
          <w:i/>
          <w:iCs/>
          <w:color w:val="000000"/>
          <w:sz w:val="22"/>
          <w:szCs w:val="22"/>
        </w:rPr>
        <w:t>Proceedings of the International Conference on Emerging Trends in Social Sciences</w:t>
      </w:r>
      <w:r w:rsidRPr="001E6906">
        <w:rPr>
          <w:rFonts w:ascii="Arial" w:hAnsi="Arial" w:cs="Arial"/>
          <w:color w:val="000000"/>
          <w:sz w:val="22"/>
          <w:szCs w:val="22"/>
        </w:rPr>
        <w:t>.</w:t>
      </w:r>
    </w:p>
    <w:p w14:paraId="6BEC6178"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 xml:space="preserve">Malte Reichelt, M., </w:t>
      </w:r>
      <w:proofErr w:type="spellStart"/>
      <w:r w:rsidRPr="001E6906">
        <w:rPr>
          <w:rFonts w:ascii="Arial" w:hAnsi="Arial" w:cs="Arial"/>
          <w:color w:val="000000"/>
          <w:sz w:val="22"/>
          <w:szCs w:val="22"/>
        </w:rPr>
        <w:t>Makovi</w:t>
      </w:r>
      <w:proofErr w:type="spellEnd"/>
      <w:r w:rsidRPr="001E6906">
        <w:rPr>
          <w:rFonts w:ascii="Arial" w:hAnsi="Arial" w:cs="Arial"/>
          <w:color w:val="000000"/>
          <w:sz w:val="22"/>
          <w:szCs w:val="22"/>
        </w:rPr>
        <w:t>, K., &amp; Sargsyan, A. (2021). </w:t>
      </w:r>
      <w:r w:rsidRPr="001E6906">
        <w:rPr>
          <w:rFonts w:ascii="Arial" w:hAnsi="Arial" w:cs="Arial"/>
          <w:i/>
          <w:iCs/>
          <w:color w:val="000000"/>
          <w:sz w:val="22"/>
          <w:szCs w:val="22"/>
        </w:rPr>
        <w:t>The gendered impact of the COVID-19 pandemic on work across countries</w:t>
      </w:r>
      <w:r w:rsidRPr="001E6906">
        <w:rPr>
          <w:rFonts w:ascii="Arial" w:hAnsi="Arial" w:cs="Arial"/>
          <w:color w:val="000000"/>
          <w:sz w:val="22"/>
          <w:szCs w:val="22"/>
        </w:rPr>
        <w:t>. </w:t>
      </w:r>
      <w:r w:rsidRPr="001E6906">
        <w:rPr>
          <w:rFonts w:ascii="Arial" w:hAnsi="Arial" w:cs="Arial"/>
          <w:i/>
          <w:iCs/>
          <w:color w:val="000000"/>
          <w:sz w:val="22"/>
          <w:szCs w:val="22"/>
        </w:rPr>
        <w:t>Gender, Work &amp; Organization, 28</w:t>
      </w:r>
      <w:r w:rsidRPr="001E6906">
        <w:rPr>
          <w:rFonts w:ascii="Arial" w:hAnsi="Arial" w:cs="Arial"/>
          <w:color w:val="000000"/>
          <w:sz w:val="22"/>
          <w:szCs w:val="22"/>
        </w:rPr>
        <w:t>, 1–23. https://doi.org/10.1111/gwao.12563</w:t>
      </w:r>
    </w:p>
    <w:p w14:paraId="66642C95"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Nausheen, R. (2021). </w:t>
      </w:r>
      <w:r w:rsidRPr="001E6906">
        <w:rPr>
          <w:rFonts w:ascii="Arial" w:hAnsi="Arial" w:cs="Arial"/>
          <w:i/>
          <w:iCs/>
          <w:color w:val="000000"/>
          <w:sz w:val="22"/>
          <w:szCs w:val="22"/>
        </w:rPr>
        <w:t>Economic impact of COVID-19 on Indian service sector</w:t>
      </w:r>
      <w:r w:rsidRPr="001E6906">
        <w:rPr>
          <w:rFonts w:ascii="Arial" w:hAnsi="Arial" w:cs="Arial"/>
          <w:color w:val="000000"/>
          <w:sz w:val="22"/>
          <w:szCs w:val="22"/>
        </w:rPr>
        <w:t>. </w:t>
      </w:r>
      <w:r w:rsidRPr="001E6906">
        <w:rPr>
          <w:rFonts w:ascii="Arial" w:hAnsi="Arial" w:cs="Arial"/>
          <w:i/>
          <w:iCs/>
          <w:color w:val="000000"/>
          <w:sz w:val="22"/>
          <w:szCs w:val="22"/>
        </w:rPr>
        <w:t>International Journal of Academic Research in Management and Social Sciences, 10</w:t>
      </w:r>
      <w:r w:rsidRPr="001E6906">
        <w:rPr>
          <w:rFonts w:ascii="Arial" w:hAnsi="Arial" w:cs="Arial"/>
          <w:color w:val="000000"/>
          <w:sz w:val="22"/>
          <w:szCs w:val="22"/>
        </w:rPr>
        <w:t>(2), 45–52.</w:t>
      </w:r>
    </w:p>
    <w:p w14:paraId="2C0F30DD" w14:textId="77777777" w:rsidR="00314A28" w:rsidRPr="001E6906" w:rsidRDefault="00314A28"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Orjuela-Grimm, M.,</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et al.</w:t>
      </w:r>
      <w:r w:rsidRPr="001E6906">
        <w:rPr>
          <w:rStyle w:val="apple-converted-space"/>
          <w:rFonts w:ascii="Arial" w:eastAsiaTheme="majorEastAsia" w:hAnsi="Arial" w:cs="Arial"/>
          <w:color w:val="000000"/>
          <w:sz w:val="22"/>
          <w:szCs w:val="22"/>
        </w:rPr>
        <w:t> </w:t>
      </w:r>
      <w:r w:rsidRPr="001E6906">
        <w:rPr>
          <w:rFonts w:ascii="Arial" w:hAnsi="Arial" w:cs="Arial"/>
          <w:color w:val="000000"/>
          <w:sz w:val="22"/>
          <w:szCs w:val="22"/>
        </w:rPr>
        <w:t>(2021).</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Migrants on the move and food (in)security: A call for research.</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Journal of Immigrant and Minority Health, 24</w:t>
      </w:r>
      <w:r w:rsidRPr="001E6906">
        <w:rPr>
          <w:rFonts w:ascii="Arial" w:hAnsi="Arial" w:cs="Arial"/>
          <w:color w:val="000000"/>
          <w:sz w:val="22"/>
          <w:szCs w:val="22"/>
        </w:rPr>
        <w:t>(5), 1318–1327.</w:t>
      </w:r>
      <w:r w:rsidRPr="001E6906">
        <w:rPr>
          <w:rStyle w:val="apple-converted-space"/>
          <w:rFonts w:ascii="Arial" w:eastAsiaTheme="majorEastAsia" w:hAnsi="Arial" w:cs="Arial"/>
          <w:color w:val="000000"/>
          <w:sz w:val="22"/>
          <w:szCs w:val="22"/>
        </w:rPr>
        <w:t> </w:t>
      </w:r>
      <w:r w:rsidRPr="001E6906">
        <w:rPr>
          <w:rFonts w:ascii="Arial" w:hAnsi="Arial" w:cs="Arial"/>
          <w:sz w:val="22"/>
          <w:szCs w:val="22"/>
        </w:rPr>
        <w:t>https://doi.org/10.1007/s10903-021-01276-7</w:t>
      </w:r>
    </w:p>
    <w:p w14:paraId="5DD254DE"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Sahoo, S., &amp; Raghavendra, P. (2021). </w:t>
      </w:r>
      <w:r w:rsidRPr="001E6906">
        <w:rPr>
          <w:rFonts w:ascii="Arial" w:hAnsi="Arial" w:cs="Arial"/>
          <w:i/>
          <w:iCs/>
          <w:color w:val="000000"/>
          <w:sz w:val="22"/>
          <w:szCs w:val="22"/>
        </w:rPr>
        <w:t>Impact of COVID-19 on service sector in India</w:t>
      </w:r>
      <w:r w:rsidRPr="001E6906">
        <w:rPr>
          <w:rFonts w:ascii="Arial" w:hAnsi="Arial" w:cs="Arial"/>
          <w:color w:val="000000"/>
          <w:sz w:val="22"/>
          <w:szCs w:val="22"/>
        </w:rPr>
        <w:t>. </w:t>
      </w:r>
      <w:r w:rsidRPr="001E6906">
        <w:rPr>
          <w:rFonts w:ascii="Arial" w:hAnsi="Arial" w:cs="Arial"/>
          <w:i/>
          <w:iCs/>
          <w:color w:val="000000"/>
          <w:sz w:val="22"/>
          <w:szCs w:val="22"/>
        </w:rPr>
        <w:t>Journal of Public Affairs, 21</w:t>
      </w:r>
      <w:r w:rsidRPr="001E6906">
        <w:rPr>
          <w:rFonts w:ascii="Arial" w:hAnsi="Arial" w:cs="Arial"/>
          <w:color w:val="000000"/>
          <w:sz w:val="22"/>
          <w:szCs w:val="22"/>
        </w:rPr>
        <w:t>(4), e2622. </w:t>
      </w:r>
      <w:hyperlink r:id="rId33" w:tgtFrame="_new" w:history="1">
        <w:r w:rsidRPr="001E6906">
          <w:rPr>
            <w:rFonts w:ascii="Arial" w:hAnsi="Arial" w:cs="Arial"/>
            <w:color w:val="0000FF"/>
            <w:sz w:val="22"/>
            <w:szCs w:val="22"/>
            <w:u w:val="single"/>
          </w:rPr>
          <w:t>https://doi.org/10.1002/pa.2622</w:t>
        </w:r>
      </w:hyperlink>
    </w:p>
    <w:p w14:paraId="690EA688" w14:textId="77777777" w:rsidR="004C4BE4"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Sevilla, A., &amp; Smith, S. (2020). </w:t>
      </w:r>
      <w:r w:rsidRPr="001E6906">
        <w:rPr>
          <w:rFonts w:ascii="Arial" w:hAnsi="Arial" w:cs="Arial"/>
          <w:i/>
          <w:iCs/>
          <w:color w:val="000000"/>
          <w:sz w:val="22"/>
          <w:szCs w:val="22"/>
        </w:rPr>
        <w:t>Baby steps: The gender division of childcare during the COVID-19 pandemic</w:t>
      </w:r>
      <w:r w:rsidRPr="001E6906">
        <w:rPr>
          <w:rFonts w:ascii="Arial" w:hAnsi="Arial" w:cs="Arial"/>
          <w:color w:val="000000"/>
          <w:sz w:val="22"/>
          <w:szCs w:val="22"/>
        </w:rPr>
        <w:t>. </w:t>
      </w:r>
      <w:r w:rsidRPr="001E6906">
        <w:rPr>
          <w:rFonts w:ascii="Arial" w:hAnsi="Arial" w:cs="Arial"/>
          <w:i/>
          <w:iCs/>
          <w:color w:val="000000"/>
          <w:sz w:val="22"/>
          <w:szCs w:val="22"/>
        </w:rPr>
        <w:t>Oxford Review of Economic Policy, 36</w:t>
      </w:r>
      <w:r w:rsidRPr="001E6906">
        <w:rPr>
          <w:rFonts w:ascii="Arial" w:hAnsi="Arial" w:cs="Arial"/>
          <w:color w:val="000000"/>
          <w:sz w:val="22"/>
          <w:szCs w:val="22"/>
        </w:rPr>
        <w:t>(Supplement 1), S169–S186. https://doi.org/10.1093/oxrep/graa027</w:t>
      </w:r>
    </w:p>
    <w:p w14:paraId="7217A018" w14:textId="77777777" w:rsidR="00404BAE" w:rsidRPr="001E6906" w:rsidRDefault="004C4BE4"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Shrivastava, A. (2022). </w:t>
      </w:r>
      <w:r w:rsidRPr="001E6906">
        <w:rPr>
          <w:rFonts w:ascii="Arial" w:hAnsi="Arial" w:cs="Arial"/>
          <w:i/>
          <w:iCs/>
          <w:color w:val="000000"/>
          <w:sz w:val="22"/>
          <w:szCs w:val="22"/>
        </w:rPr>
        <w:t>Impact of COVID-19 on India’s labour market: Evidence from PLFS</w:t>
      </w:r>
      <w:r w:rsidRPr="001E6906">
        <w:rPr>
          <w:rFonts w:ascii="Arial" w:hAnsi="Arial" w:cs="Arial"/>
          <w:color w:val="000000"/>
          <w:sz w:val="22"/>
          <w:szCs w:val="22"/>
        </w:rPr>
        <w:t> (Working Paper No. 425). Institute of Economic Growth.</w:t>
      </w:r>
    </w:p>
    <w:p w14:paraId="0F65C01E" w14:textId="77777777" w:rsidR="00E96C7D" w:rsidRPr="001E6906" w:rsidRDefault="00E96C7D" w:rsidP="006E2238">
      <w:pPr>
        <w:spacing w:before="100" w:beforeAutospacing="1" w:after="100" w:afterAutospacing="1" w:line="360" w:lineRule="auto"/>
        <w:jc w:val="both"/>
        <w:rPr>
          <w:rFonts w:ascii="Arial" w:hAnsi="Arial" w:cs="Arial"/>
          <w:color w:val="000000"/>
          <w:sz w:val="22"/>
          <w:szCs w:val="22"/>
        </w:rPr>
      </w:pPr>
      <w:r w:rsidRPr="001E6906">
        <w:rPr>
          <w:rFonts w:ascii="Arial" w:hAnsi="Arial" w:cs="Arial"/>
          <w:color w:val="000000"/>
          <w:sz w:val="22"/>
          <w:szCs w:val="22"/>
        </w:rPr>
        <w:t>Singh, S. K., &amp; Radhakrishna, M. (2024).</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A study on the issues and challenges faced by the logistic and warehouse sector</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International Journal of Scientific Research in Engineering and Management (IJSREM)</w:t>
      </w:r>
      <w:r w:rsidRPr="001E6906">
        <w:rPr>
          <w:rFonts w:ascii="Arial" w:hAnsi="Arial" w:cs="Arial"/>
          <w:color w:val="000000"/>
          <w:sz w:val="22"/>
          <w:szCs w:val="22"/>
        </w:rPr>
        <w:t>, 8(6).</w:t>
      </w:r>
    </w:p>
    <w:p w14:paraId="4D87FB11" w14:textId="77777777" w:rsidR="006E2238" w:rsidRPr="001E6906" w:rsidRDefault="006E2238" w:rsidP="006E2238">
      <w:pPr>
        <w:pStyle w:val="NormalWeb"/>
        <w:spacing w:line="360" w:lineRule="auto"/>
        <w:jc w:val="both"/>
        <w:rPr>
          <w:rFonts w:ascii="Arial" w:hAnsi="Arial" w:cs="Arial"/>
          <w:b/>
          <w:bCs/>
          <w:color w:val="000000"/>
          <w:sz w:val="22"/>
          <w:szCs w:val="22"/>
          <w:lang w:val="en-US"/>
        </w:rPr>
      </w:pPr>
      <w:r w:rsidRPr="001E6906">
        <w:rPr>
          <w:rStyle w:val="Strong"/>
          <w:rFonts w:ascii="Arial" w:eastAsiaTheme="majorEastAsia" w:hAnsi="Arial" w:cs="Arial"/>
          <w:b w:val="0"/>
          <w:bCs w:val="0"/>
          <w:color w:val="000000"/>
          <w:sz w:val="22"/>
          <w:szCs w:val="22"/>
        </w:rPr>
        <w:lastRenderedPageBreak/>
        <w:t>World Bank. (2020).</w:t>
      </w:r>
      <w:r w:rsidRPr="001E6906">
        <w:rPr>
          <w:rStyle w:val="apple-converted-space"/>
          <w:rFonts w:ascii="Arial" w:eastAsiaTheme="majorEastAsia" w:hAnsi="Arial" w:cs="Arial"/>
          <w:b/>
          <w:bCs/>
          <w:color w:val="000000"/>
          <w:sz w:val="22"/>
          <w:szCs w:val="22"/>
        </w:rPr>
        <w:t> </w:t>
      </w:r>
      <w:r w:rsidRPr="001E6906">
        <w:rPr>
          <w:rStyle w:val="Emphasis"/>
          <w:rFonts w:ascii="Arial" w:eastAsiaTheme="majorEastAsia" w:hAnsi="Arial" w:cs="Arial"/>
          <w:color w:val="000000"/>
          <w:sz w:val="22"/>
          <w:szCs w:val="22"/>
        </w:rPr>
        <w:t>Beaten or broken? Informality and COVID-19</w:t>
      </w:r>
      <w:r w:rsidRPr="001E6906">
        <w:rPr>
          <w:rStyle w:val="apple-converted-space"/>
          <w:rFonts w:ascii="Arial" w:eastAsiaTheme="majorEastAsia" w:hAnsi="Arial" w:cs="Arial"/>
          <w:b/>
          <w:bCs/>
          <w:color w:val="000000"/>
          <w:sz w:val="22"/>
          <w:szCs w:val="22"/>
        </w:rPr>
        <w:t> </w:t>
      </w:r>
      <w:r w:rsidRPr="001E6906">
        <w:rPr>
          <w:rStyle w:val="Strong"/>
          <w:rFonts w:ascii="Arial" w:eastAsiaTheme="majorEastAsia" w:hAnsi="Arial" w:cs="Arial"/>
          <w:b w:val="0"/>
          <w:bCs w:val="0"/>
          <w:color w:val="000000"/>
          <w:sz w:val="22"/>
          <w:szCs w:val="22"/>
        </w:rPr>
        <w:t>(South Asia Economic Focus, October). World Bank.</w:t>
      </w:r>
      <w:r w:rsidRPr="001E6906">
        <w:rPr>
          <w:rStyle w:val="apple-converted-space"/>
          <w:rFonts w:ascii="Arial" w:eastAsiaTheme="majorEastAsia" w:hAnsi="Arial" w:cs="Arial"/>
          <w:b/>
          <w:bCs/>
          <w:color w:val="000000"/>
          <w:sz w:val="22"/>
          <w:szCs w:val="22"/>
        </w:rPr>
        <w:t> </w:t>
      </w:r>
      <w:r w:rsidRPr="001E6906">
        <w:rPr>
          <w:rStyle w:val="Strong"/>
          <w:rFonts w:ascii="Arial" w:eastAsiaTheme="majorEastAsia" w:hAnsi="Arial" w:cs="Arial"/>
          <w:b w:val="0"/>
          <w:bCs w:val="0"/>
          <w:color w:val="000000"/>
          <w:sz w:val="22"/>
          <w:szCs w:val="22"/>
        </w:rPr>
        <w:t>https://doi.org/10.1596/978-1-4648-1640-6</w:t>
      </w:r>
    </w:p>
    <w:p w14:paraId="74B78F8B" w14:textId="77777777" w:rsidR="006E2238" w:rsidRPr="001E6906" w:rsidRDefault="006E2238" w:rsidP="006E2238">
      <w:pPr>
        <w:pStyle w:val="NormalWeb"/>
        <w:spacing w:line="360" w:lineRule="auto"/>
        <w:jc w:val="both"/>
        <w:rPr>
          <w:rFonts w:ascii="Arial" w:hAnsi="Arial" w:cs="Arial"/>
          <w:color w:val="000000"/>
          <w:sz w:val="22"/>
          <w:szCs w:val="22"/>
        </w:rPr>
      </w:pPr>
      <w:r w:rsidRPr="001E6906">
        <w:rPr>
          <w:rStyle w:val="Strong"/>
          <w:rFonts w:ascii="Arial" w:eastAsiaTheme="majorEastAsia" w:hAnsi="Arial" w:cs="Arial"/>
          <w:b w:val="0"/>
          <w:bCs w:val="0"/>
          <w:color w:val="000000"/>
          <w:sz w:val="22"/>
          <w:szCs w:val="22"/>
        </w:rPr>
        <w:t>Yang, Y. (2023). India: Developmental challenges faced by a dual economy.</w:t>
      </w:r>
      <w:r w:rsidRPr="001E6906">
        <w:rPr>
          <w:rStyle w:val="apple-converted-space"/>
          <w:rFonts w:ascii="Arial" w:eastAsiaTheme="majorEastAsia" w:hAnsi="Arial" w:cs="Arial"/>
          <w:b/>
          <w:bCs/>
          <w:color w:val="000000"/>
          <w:sz w:val="22"/>
          <w:szCs w:val="22"/>
        </w:rPr>
        <w:t> </w:t>
      </w:r>
      <w:r w:rsidRPr="001E6906">
        <w:rPr>
          <w:rStyle w:val="Emphasis"/>
          <w:rFonts w:ascii="Arial" w:eastAsiaTheme="majorEastAsia" w:hAnsi="Arial" w:cs="Arial"/>
          <w:color w:val="000000"/>
          <w:sz w:val="22"/>
          <w:szCs w:val="22"/>
        </w:rPr>
        <w:t>Global Policy, 14</w:t>
      </w:r>
      <w:r w:rsidRPr="001E6906">
        <w:rPr>
          <w:rStyle w:val="Strong"/>
          <w:rFonts w:ascii="Arial" w:eastAsiaTheme="majorEastAsia" w:hAnsi="Arial" w:cs="Arial"/>
          <w:b w:val="0"/>
          <w:bCs w:val="0"/>
          <w:color w:val="000000"/>
          <w:sz w:val="22"/>
          <w:szCs w:val="22"/>
        </w:rPr>
        <w:t>(S4), 104–112</w:t>
      </w:r>
      <w:r w:rsidRPr="001E6906">
        <w:rPr>
          <w:rStyle w:val="Strong"/>
          <w:rFonts w:ascii="Arial" w:eastAsiaTheme="majorEastAsia" w:hAnsi="Arial" w:cs="Arial"/>
          <w:color w:val="000000"/>
          <w:sz w:val="22"/>
          <w:szCs w:val="22"/>
        </w:rPr>
        <w:t>.</w:t>
      </w:r>
      <w:r w:rsidRPr="001E6906">
        <w:rPr>
          <w:rStyle w:val="apple-converted-space"/>
          <w:rFonts w:ascii="Arial" w:eastAsiaTheme="majorEastAsia" w:hAnsi="Arial" w:cs="Arial"/>
          <w:b/>
          <w:bCs/>
          <w:color w:val="000000"/>
          <w:sz w:val="22"/>
          <w:szCs w:val="22"/>
        </w:rPr>
        <w:t> </w:t>
      </w:r>
      <w:hyperlink r:id="rId34" w:tgtFrame="_new" w:history="1">
        <w:r w:rsidRPr="001E6906">
          <w:rPr>
            <w:rStyle w:val="Hyperlink"/>
            <w:rFonts w:ascii="Arial" w:eastAsiaTheme="majorEastAsia" w:hAnsi="Arial" w:cs="Arial"/>
            <w:b/>
            <w:bCs/>
            <w:sz w:val="22"/>
            <w:szCs w:val="22"/>
          </w:rPr>
          <w:t>https://doi.org/10.1111/1758-5899.13272</w:t>
        </w:r>
      </w:hyperlink>
    </w:p>
    <w:p w14:paraId="410AB591" w14:textId="77777777" w:rsidR="00735CF1" w:rsidRPr="001E6906" w:rsidRDefault="00735CF1" w:rsidP="00735CF1">
      <w:pPr>
        <w:spacing w:before="100" w:beforeAutospacing="1" w:after="100" w:afterAutospacing="1" w:line="360" w:lineRule="auto"/>
        <w:jc w:val="both"/>
        <w:rPr>
          <w:rFonts w:ascii="Arial" w:hAnsi="Arial" w:cs="Arial"/>
          <w:color w:val="000000"/>
          <w:sz w:val="22"/>
          <w:szCs w:val="22"/>
        </w:rPr>
      </w:pPr>
      <w:proofErr w:type="spellStart"/>
      <w:r w:rsidRPr="001E6906">
        <w:rPr>
          <w:rFonts w:ascii="Arial" w:hAnsi="Arial" w:cs="Arial"/>
          <w:color w:val="000000"/>
          <w:sz w:val="22"/>
          <w:szCs w:val="22"/>
        </w:rPr>
        <w:t>Zamarro</w:t>
      </w:r>
      <w:proofErr w:type="spellEnd"/>
      <w:r w:rsidRPr="001E6906">
        <w:rPr>
          <w:rFonts w:ascii="Arial" w:hAnsi="Arial" w:cs="Arial"/>
          <w:color w:val="000000"/>
          <w:sz w:val="22"/>
          <w:szCs w:val="22"/>
        </w:rPr>
        <w:t>, G., &amp; Prados, M. J. (2021).</w:t>
      </w:r>
      <w:r w:rsidRPr="001E6906">
        <w:rPr>
          <w:rStyle w:val="apple-converted-space"/>
          <w:rFonts w:ascii="Arial" w:eastAsiaTheme="majorEastAsia" w:hAnsi="Arial" w:cs="Arial"/>
          <w:color w:val="000000"/>
          <w:sz w:val="22"/>
          <w:szCs w:val="22"/>
        </w:rPr>
        <w:t> </w:t>
      </w:r>
      <w:r w:rsidRPr="001E6906">
        <w:rPr>
          <w:rStyle w:val="Emphasis"/>
          <w:rFonts w:ascii="Arial" w:eastAsiaTheme="majorEastAsia" w:hAnsi="Arial" w:cs="Arial"/>
          <w:color w:val="000000"/>
          <w:sz w:val="22"/>
          <w:szCs w:val="22"/>
        </w:rPr>
        <w:t>Gender differences in couples’ division of childcare, work, and mental health during COVID-19</w:t>
      </w:r>
      <w:r w:rsidRPr="001E6906">
        <w:rPr>
          <w:rFonts w:ascii="Arial" w:hAnsi="Arial" w:cs="Arial"/>
          <w:color w:val="000000"/>
          <w:sz w:val="22"/>
          <w:szCs w:val="22"/>
        </w:rPr>
        <w:t>.</w:t>
      </w:r>
      <w:r w:rsidRPr="001E6906">
        <w:rPr>
          <w:rStyle w:val="apple-converted-space"/>
          <w:rFonts w:ascii="Arial" w:eastAsiaTheme="majorEastAsia" w:hAnsi="Arial" w:cs="Arial"/>
          <w:color w:val="000000"/>
          <w:sz w:val="22"/>
          <w:szCs w:val="22"/>
        </w:rPr>
        <w:t> </w:t>
      </w:r>
      <w:r w:rsidRPr="001E6906">
        <w:rPr>
          <w:rStyle w:val="Strong"/>
          <w:rFonts w:ascii="Arial" w:eastAsiaTheme="majorEastAsia" w:hAnsi="Arial" w:cs="Arial"/>
          <w:b w:val="0"/>
          <w:bCs w:val="0"/>
          <w:color w:val="000000"/>
          <w:sz w:val="22"/>
          <w:szCs w:val="22"/>
        </w:rPr>
        <w:t>Review of Economics of the Household, 19</w:t>
      </w:r>
      <w:r w:rsidRPr="001E6906">
        <w:rPr>
          <w:rFonts w:ascii="Arial" w:hAnsi="Arial" w:cs="Arial"/>
          <w:color w:val="000000"/>
          <w:sz w:val="22"/>
          <w:szCs w:val="22"/>
        </w:rPr>
        <w:t>(1), 11–40.</w:t>
      </w:r>
      <w:r w:rsidRPr="001E6906">
        <w:rPr>
          <w:rStyle w:val="apple-converted-space"/>
          <w:rFonts w:ascii="Arial" w:eastAsiaTheme="majorEastAsia" w:hAnsi="Arial" w:cs="Arial"/>
          <w:color w:val="000000"/>
          <w:sz w:val="22"/>
          <w:szCs w:val="22"/>
        </w:rPr>
        <w:t> </w:t>
      </w:r>
      <w:r w:rsidRPr="001E6906">
        <w:rPr>
          <w:rFonts w:ascii="Arial" w:hAnsi="Arial" w:cs="Arial"/>
          <w:sz w:val="22"/>
          <w:szCs w:val="22"/>
        </w:rPr>
        <w:t>https://doi.org/10.1007/s11150-020-09534-7</w:t>
      </w:r>
    </w:p>
    <w:p w14:paraId="52E44F12" w14:textId="77777777" w:rsidR="00AE0CD6" w:rsidRPr="001E6906" w:rsidRDefault="00AE0CD6" w:rsidP="006E2238">
      <w:pPr>
        <w:spacing w:after="160" w:line="360" w:lineRule="auto"/>
        <w:jc w:val="both"/>
        <w:rPr>
          <w:rFonts w:ascii="Arial" w:hAnsi="Arial" w:cs="Arial"/>
          <w:sz w:val="22"/>
          <w:szCs w:val="22"/>
        </w:rPr>
      </w:pPr>
    </w:p>
    <w:sectPr w:rsidR="00AE0CD6" w:rsidRPr="001E690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3C1C4" w14:textId="77777777" w:rsidR="00BD5F8F" w:rsidRDefault="00BD5F8F" w:rsidP="008D55D0">
      <w:r>
        <w:separator/>
      </w:r>
    </w:p>
  </w:endnote>
  <w:endnote w:type="continuationSeparator" w:id="0">
    <w:p w14:paraId="15A8F5D1" w14:textId="77777777" w:rsidR="00BD5F8F" w:rsidRDefault="00BD5F8F" w:rsidP="008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205D" w14:textId="77777777" w:rsidR="00B31AE7" w:rsidRDefault="00B31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A50B" w14:textId="77777777" w:rsidR="00B31AE7" w:rsidRDefault="00B31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A7ED" w14:textId="77777777" w:rsidR="00B31AE7" w:rsidRDefault="00B3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440E5" w14:textId="77777777" w:rsidR="00BD5F8F" w:rsidRDefault="00BD5F8F" w:rsidP="008D55D0">
      <w:r>
        <w:separator/>
      </w:r>
    </w:p>
  </w:footnote>
  <w:footnote w:type="continuationSeparator" w:id="0">
    <w:p w14:paraId="7B0142DF" w14:textId="77777777" w:rsidR="00BD5F8F" w:rsidRDefault="00BD5F8F" w:rsidP="008D55D0">
      <w:r>
        <w:continuationSeparator/>
      </w:r>
    </w:p>
  </w:footnote>
  <w:footnote w:id="1">
    <w:p w14:paraId="41E469CE" w14:textId="77777777" w:rsidR="00585050" w:rsidRPr="00585050" w:rsidRDefault="00585050">
      <w:pPr>
        <w:pStyle w:val="FootnoteText"/>
        <w:rPr>
          <w:lang w:val="en-US"/>
        </w:rPr>
      </w:pPr>
      <w:r>
        <w:rPr>
          <w:rStyle w:val="FootnoteReference"/>
        </w:rPr>
        <w:footnoteRef/>
      </w:r>
      <w:r>
        <w:t xml:space="preserve"> </w:t>
      </w:r>
      <w:r>
        <w:rPr>
          <w:lang w:val="en-US"/>
        </w:rPr>
        <w:t>Usual Status: The persons who either worked or were available for work for a relatively long part of the 365 days preceding the date of survey and also those persons from among the remaining population who had worked at least for 30 days during the reference period of 365 days preceding the date of survey</w:t>
      </w:r>
      <w:r w:rsidR="00E24ABD">
        <w:rPr>
          <w:lang w:val="en-US"/>
        </w:rPr>
        <w:t xml:space="preserve"> (Annual Report of PLFS 2019-20)</w:t>
      </w:r>
    </w:p>
  </w:footnote>
  <w:footnote w:id="2">
    <w:p w14:paraId="72BBCC37" w14:textId="77777777" w:rsidR="00F80894" w:rsidRDefault="00F80894">
      <w:pPr>
        <w:pStyle w:val="FootnoteText"/>
        <w:rPr>
          <w:lang w:val="en-US"/>
        </w:rPr>
      </w:pPr>
      <w:r>
        <w:rPr>
          <w:rStyle w:val="FootnoteReference"/>
        </w:rPr>
        <w:footnoteRef/>
      </w:r>
      <w:r>
        <w:t xml:space="preserve"> </w:t>
      </w:r>
      <w:r w:rsidR="00585050">
        <w:rPr>
          <w:lang w:val="en-US"/>
        </w:rPr>
        <w:t xml:space="preserve">PS: Principal status </w:t>
      </w:r>
    </w:p>
    <w:p w14:paraId="299645A7" w14:textId="77777777" w:rsidR="00585050" w:rsidRPr="00F80894" w:rsidRDefault="00585050">
      <w:pPr>
        <w:pStyle w:val="FootnoteText"/>
        <w:rPr>
          <w:lang w:val="en-US"/>
        </w:rPr>
      </w:pPr>
      <w:r>
        <w:rPr>
          <w:lang w:val="en-US"/>
        </w:rPr>
        <w:t xml:space="preserve">   SS: Subsidiary status</w:t>
      </w:r>
    </w:p>
  </w:footnote>
  <w:footnote w:id="3">
    <w:p w14:paraId="04FAF243" w14:textId="77777777" w:rsidR="00585050" w:rsidRPr="00585050" w:rsidRDefault="00585050">
      <w:pPr>
        <w:pStyle w:val="FootnoteText"/>
        <w:rPr>
          <w:lang w:val="en-US"/>
        </w:rPr>
      </w:pPr>
      <w:r>
        <w:rPr>
          <w:rStyle w:val="FootnoteReference"/>
        </w:rPr>
        <w:footnoteRef/>
      </w:r>
      <w:r>
        <w:t xml:space="preserve"> </w:t>
      </w:r>
      <w:r w:rsidR="00F54835">
        <w:t>CWS: It gives the average picture of the labour force participation in a short period of one week during the survey period</w:t>
      </w:r>
      <w:r w:rsidR="00E24ABD">
        <w:t xml:space="preserve"> (Annual Report of PLFS 2019-20)</w:t>
      </w:r>
    </w:p>
  </w:footnote>
  <w:footnote w:id="4">
    <w:p w14:paraId="2A2C989B" w14:textId="77777777" w:rsidR="00F80894" w:rsidRPr="00F80894" w:rsidRDefault="00F8089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004F" w14:textId="3D10BB12" w:rsidR="00B31AE7" w:rsidRDefault="00B31AE7">
    <w:pPr>
      <w:pStyle w:val="Header"/>
    </w:pPr>
    <w:r>
      <w:rPr>
        <w:noProof/>
      </w:rPr>
      <w:pict w14:anchorId="0695D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4250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95A15" w14:textId="28F34871" w:rsidR="00B31AE7" w:rsidRDefault="00B31AE7">
    <w:pPr>
      <w:pStyle w:val="Header"/>
    </w:pPr>
    <w:r>
      <w:rPr>
        <w:noProof/>
      </w:rPr>
      <w:pict w14:anchorId="5499B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4250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B9CE" w14:textId="65BF3AB6" w:rsidR="00B31AE7" w:rsidRDefault="00B31AE7">
    <w:pPr>
      <w:pStyle w:val="Header"/>
    </w:pPr>
    <w:r>
      <w:rPr>
        <w:noProof/>
      </w:rPr>
      <w:pict w14:anchorId="4A6D7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4250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7FDC"/>
    <w:multiLevelType w:val="hybridMultilevel"/>
    <w:tmpl w:val="270A0CE6"/>
    <w:lvl w:ilvl="0" w:tplc="35E63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5487F"/>
    <w:multiLevelType w:val="hybridMultilevel"/>
    <w:tmpl w:val="B4F82F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C5505"/>
    <w:multiLevelType w:val="multilevel"/>
    <w:tmpl w:val="3AFE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E79A4"/>
    <w:multiLevelType w:val="hybridMultilevel"/>
    <w:tmpl w:val="C526CEFE"/>
    <w:lvl w:ilvl="0" w:tplc="F9ACD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8463F"/>
    <w:multiLevelType w:val="hybridMultilevel"/>
    <w:tmpl w:val="315CF12C"/>
    <w:lvl w:ilvl="0" w:tplc="6A943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D7D4D"/>
    <w:multiLevelType w:val="multilevel"/>
    <w:tmpl w:val="8C34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46607"/>
    <w:multiLevelType w:val="hybridMultilevel"/>
    <w:tmpl w:val="F618AE48"/>
    <w:lvl w:ilvl="0" w:tplc="7F021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51F3E"/>
    <w:multiLevelType w:val="hybridMultilevel"/>
    <w:tmpl w:val="DD4A1CD0"/>
    <w:lvl w:ilvl="0" w:tplc="8F9CC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E1F2D"/>
    <w:multiLevelType w:val="hybridMultilevel"/>
    <w:tmpl w:val="C8BAFCEA"/>
    <w:lvl w:ilvl="0" w:tplc="A07E77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8"/>
  </w:num>
  <w:num w:numId="5">
    <w:abstractNumId w:val="4"/>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39"/>
    <w:rsid w:val="000027F0"/>
    <w:rsid w:val="000048F5"/>
    <w:rsid w:val="000077C7"/>
    <w:rsid w:val="00041065"/>
    <w:rsid w:val="00047193"/>
    <w:rsid w:val="000842F8"/>
    <w:rsid w:val="0008788E"/>
    <w:rsid w:val="00092C5A"/>
    <w:rsid w:val="000A6728"/>
    <w:rsid w:val="000C0C53"/>
    <w:rsid w:val="000C24B0"/>
    <w:rsid w:val="000C73A6"/>
    <w:rsid w:val="000E04DB"/>
    <w:rsid w:val="00106FE8"/>
    <w:rsid w:val="001136E0"/>
    <w:rsid w:val="0011406F"/>
    <w:rsid w:val="001141C2"/>
    <w:rsid w:val="00121AA2"/>
    <w:rsid w:val="00123D24"/>
    <w:rsid w:val="00131DDE"/>
    <w:rsid w:val="00137C76"/>
    <w:rsid w:val="001517AC"/>
    <w:rsid w:val="00153E90"/>
    <w:rsid w:val="00163158"/>
    <w:rsid w:val="00164633"/>
    <w:rsid w:val="00166854"/>
    <w:rsid w:val="0017237F"/>
    <w:rsid w:val="00175278"/>
    <w:rsid w:val="001765E2"/>
    <w:rsid w:val="00182F4A"/>
    <w:rsid w:val="00187077"/>
    <w:rsid w:val="001961A9"/>
    <w:rsid w:val="00197905"/>
    <w:rsid w:val="001A130F"/>
    <w:rsid w:val="001B3444"/>
    <w:rsid w:val="001C2180"/>
    <w:rsid w:val="001C59C7"/>
    <w:rsid w:val="001D3E1E"/>
    <w:rsid w:val="001E6906"/>
    <w:rsid w:val="001F3F61"/>
    <w:rsid w:val="001F5589"/>
    <w:rsid w:val="001F6BD6"/>
    <w:rsid w:val="00203DE4"/>
    <w:rsid w:val="0020468E"/>
    <w:rsid w:val="00212931"/>
    <w:rsid w:val="0023322A"/>
    <w:rsid w:val="002516B4"/>
    <w:rsid w:val="00261014"/>
    <w:rsid w:val="00277BAD"/>
    <w:rsid w:val="00292299"/>
    <w:rsid w:val="002A01DF"/>
    <w:rsid w:val="002A7907"/>
    <w:rsid w:val="002B7BB7"/>
    <w:rsid w:val="002D07E9"/>
    <w:rsid w:val="002D64C2"/>
    <w:rsid w:val="002E274B"/>
    <w:rsid w:val="002E3CB6"/>
    <w:rsid w:val="002E7173"/>
    <w:rsid w:val="003002AD"/>
    <w:rsid w:val="00302ED2"/>
    <w:rsid w:val="00305325"/>
    <w:rsid w:val="00314A28"/>
    <w:rsid w:val="00317AF2"/>
    <w:rsid w:val="00331666"/>
    <w:rsid w:val="00334502"/>
    <w:rsid w:val="00341525"/>
    <w:rsid w:val="0034480D"/>
    <w:rsid w:val="0034658D"/>
    <w:rsid w:val="003471B4"/>
    <w:rsid w:val="00357DB7"/>
    <w:rsid w:val="00365489"/>
    <w:rsid w:val="00375D54"/>
    <w:rsid w:val="003A47F5"/>
    <w:rsid w:val="003A5B26"/>
    <w:rsid w:val="003B107C"/>
    <w:rsid w:val="003B3ED2"/>
    <w:rsid w:val="003B7AF2"/>
    <w:rsid w:val="003C571F"/>
    <w:rsid w:val="003F6254"/>
    <w:rsid w:val="00404BAE"/>
    <w:rsid w:val="0040614E"/>
    <w:rsid w:val="004219B2"/>
    <w:rsid w:val="004418CA"/>
    <w:rsid w:val="0046173C"/>
    <w:rsid w:val="004809B2"/>
    <w:rsid w:val="00483E8A"/>
    <w:rsid w:val="004849F5"/>
    <w:rsid w:val="004900E2"/>
    <w:rsid w:val="00495697"/>
    <w:rsid w:val="00495A1C"/>
    <w:rsid w:val="00495D0B"/>
    <w:rsid w:val="004A264D"/>
    <w:rsid w:val="004A289E"/>
    <w:rsid w:val="004C4BE4"/>
    <w:rsid w:val="004D61F9"/>
    <w:rsid w:val="004E6C6D"/>
    <w:rsid w:val="004F36E0"/>
    <w:rsid w:val="0050611F"/>
    <w:rsid w:val="00511473"/>
    <w:rsid w:val="00522CB9"/>
    <w:rsid w:val="00531B4E"/>
    <w:rsid w:val="00533090"/>
    <w:rsid w:val="00552151"/>
    <w:rsid w:val="005608F6"/>
    <w:rsid w:val="00566E1C"/>
    <w:rsid w:val="00567791"/>
    <w:rsid w:val="00571055"/>
    <w:rsid w:val="00571AD3"/>
    <w:rsid w:val="00577D1C"/>
    <w:rsid w:val="00582429"/>
    <w:rsid w:val="00585050"/>
    <w:rsid w:val="00591B7E"/>
    <w:rsid w:val="005B3D09"/>
    <w:rsid w:val="005C3AA0"/>
    <w:rsid w:val="005D025E"/>
    <w:rsid w:val="005D1830"/>
    <w:rsid w:val="005E27F4"/>
    <w:rsid w:val="005E73B6"/>
    <w:rsid w:val="005E7EC8"/>
    <w:rsid w:val="006006BE"/>
    <w:rsid w:val="0060495E"/>
    <w:rsid w:val="00614F42"/>
    <w:rsid w:val="00615142"/>
    <w:rsid w:val="00630E88"/>
    <w:rsid w:val="0065640A"/>
    <w:rsid w:val="00657748"/>
    <w:rsid w:val="00681CC3"/>
    <w:rsid w:val="00684866"/>
    <w:rsid w:val="00691E7D"/>
    <w:rsid w:val="00692E6D"/>
    <w:rsid w:val="00694F5E"/>
    <w:rsid w:val="006965D4"/>
    <w:rsid w:val="00697734"/>
    <w:rsid w:val="006A7296"/>
    <w:rsid w:val="006B541F"/>
    <w:rsid w:val="006D3402"/>
    <w:rsid w:val="006E00A7"/>
    <w:rsid w:val="006E1D72"/>
    <w:rsid w:val="006E2238"/>
    <w:rsid w:val="006E5044"/>
    <w:rsid w:val="006F072F"/>
    <w:rsid w:val="007021E4"/>
    <w:rsid w:val="00716C81"/>
    <w:rsid w:val="007240DF"/>
    <w:rsid w:val="0073597D"/>
    <w:rsid w:val="00735CF1"/>
    <w:rsid w:val="00751DD2"/>
    <w:rsid w:val="00754B8C"/>
    <w:rsid w:val="00762CF1"/>
    <w:rsid w:val="00767AA4"/>
    <w:rsid w:val="00774291"/>
    <w:rsid w:val="00793A0E"/>
    <w:rsid w:val="007A3C32"/>
    <w:rsid w:val="007C3F75"/>
    <w:rsid w:val="007D4898"/>
    <w:rsid w:val="007F39F6"/>
    <w:rsid w:val="007F6E1F"/>
    <w:rsid w:val="008148C7"/>
    <w:rsid w:val="008445C4"/>
    <w:rsid w:val="008543DC"/>
    <w:rsid w:val="008658E8"/>
    <w:rsid w:val="00877418"/>
    <w:rsid w:val="00887901"/>
    <w:rsid w:val="0089633C"/>
    <w:rsid w:val="0089657C"/>
    <w:rsid w:val="008B20CA"/>
    <w:rsid w:val="008B28CC"/>
    <w:rsid w:val="008B78AC"/>
    <w:rsid w:val="008D4967"/>
    <w:rsid w:val="008D55D0"/>
    <w:rsid w:val="008E7CE3"/>
    <w:rsid w:val="009070F6"/>
    <w:rsid w:val="0091168D"/>
    <w:rsid w:val="00914260"/>
    <w:rsid w:val="00917260"/>
    <w:rsid w:val="00924CED"/>
    <w:rsid w:val="009A09BA"/>
    <w:rsid w:val="009E1392"/>
    <w:rsid w:val="009E233C"/>
    <w:rsid w:val="009E582B"/>
    <w:rsid w:val="009F0B77"/>
    <w:rsid w:val="00A26E06"/>
    <w:rsid w:val="00A42773"/>
    <w:rsid w:val="00A4701E"/>
    <w:rsid w:val="00A561B6"/>
    <w:rsid w:val="00A663E5"/>
    <w:rsid w:val="00A829D4"/>
    <w:rsid w:val="00A95B1C"/>
    <w:rsid w:val="00AA0367"/>
    <w:rsid w:val="00AB09CA"/>
    <w:rsid w:val="00AC7293"/>
    <w:rsid w:val="00AD2D12"/>
    <w:rsid w:val="00AD6BBC"/>
    <w:rsid w:val="00AE0CD6"/>
    <w:rsid w:val="00AE1D17"/>
    <w:rsid w:val="00AE3609"/>
    <w:rsid w:val="00AF74C8"/>
    <w:rsid w:val="00B13919"/>
    <w:rsid w:val="00B153EF"/>
    <w:rsid w:val="00B1731B"/>
    <w:rsid w:val="00B26524"/>
    <w:rsid w:val="00B31AE7"/>
    <w:rsid w:val="00B34951"/>
    <w:rsid w:val="00B502D9"/>
    <w:rsid w:val="00B712DE"/>
    <w:rsid w:val="00B75FEE"/>
    <w:rsid w:val="00B83B5D"/>
    <w:rsid w:val="00B927A1"/>
    <w:rsid w:val="00BA565E"/>
    <w:rsid w:val="00BC7067"/>
    <w:rsid w:val="00BC7151"/>
    <w:rsid w:val="00BD3603"/>
    <w:rsid w:val="00BD5F8F"/>
    <w:rsid w:val="00BE5D04"/>
    <w:rsid w:val="00BE7ED6"/>
    <w:rsid w:val="00BF1F0B"/>
    <w:rsid w:val="00BF2F84"/>
    <w:rsid w:val="00BF5FAA"/>
    <w:rsid w:val="00C164A4"/>
    <w:rsid w:val="00C2320E"/>
    <w:rsid w:val="00C30E44"/>
    <w:rsid w:val="00C33A79"/>
    <w:rsid w:val="00C454A7"/>
    <w:rsid w:val="00C463B3"/>
    <w:rsid w:val="00C869B9"/>
    <w:rsid w:val="00C927CD"/>
    <w:rsid w:val="00C931F1"/>
    <w:rsid w:val="00CA0D5A"/>
    <w:rsid w:val="00CB6048"/>
    <w:rsid w:val="00CC3790"/>
    <w:rsid w:val="00CC37A2"/>
    <w:rsid w:val="00CD239D"/>
    <w:rsid w:val="00CD3539"/>
    <w:rsid w:val="00CD57E4"/>
    <w:rsid w:val="00CE0726"/>
    <w:rsid w:val="00CF5481"/>
    <w:rsid w:val="00D0293F"/>
    <w:rsid w:val="00D049AA"/>
    <w:rsid w:val="00D1206C"/>
    <w:rsid w:val="00D17244"/>
    <w:rsid w:val="00D3056A"/>
    <w:rsid w:val="00D33E22"/>
    <w:rsid w:val="00D41589"/>
    <w:rsid w:val="00D434C5"/>
    <w:rsid w:val="00D561D0"/>
    <w:rsid w:val="00D60704"/>
    <w:rsid w:val="00D60DC6"/>
    <w:rsid w:val="00D63278"/>
    <w:rsid w:val="00D6589F"/>
    <w:rsid w:val="00D72516"/>
    <w:rsid w:val="00D74559"/>
    <w:rsid w:val="00D75F61"/>
    <w:rsid w:val="00D767F2"/>
    <w:rsid w:val="00D87D6A"/>
    <w:rsid w:val="00D93BEC"/>
    <w:rsid w:val="00DA2067"/>
    <w:rsid w:val="00DA5A3B"/>
    <w:rsid w:val="00DC3A8C"/>
    <w:rsid w:val="00DE1CA8"/>
    <w:rsid w:val="00DE468C"/>
    <w:rsid w:val="00DE4F56"/>
    <w:rsid w:val="00E0470C"/>
    <w:rsid w:val="00E04A6B"/>
    <w:rsid w:val="00E11682"/>
    <w:rsid w:val="00E14E0C"/>
    <w:rsid w:val="00E15837"/>
    <w:rsid w:val="00E17D5A"/>
    <w:rsid w:val="00E24ABD"/>
    <w:rsid w:val="00E33C2D"/>
    <w:rsid w:val="00E37D78"/>
    <w:rsid w:val="00E40AC7"/>
    <w:rsid w:val="00E41052"/>
    <w:rsid w:val="00E44F52"/>
    <w:rsid w:val="00E50A4F"/>
    <w:rsid w:val="00E53584"/>
    <w:rsid w:val="00E63738"/>
    <w:rsid w:val="00E846C5"/>
    <w:rsid w:val="00E95347"/>
    <w:rsid w:val="00E96C7D"/>
    <w:rsid w:val="00E96D7E"/>
    <w:rsid w:val="00EA4B9D"/>
    <w:rsid w:val="00EB430B"/>
    <w:rsid w:val="00EC56D0"/>
    <w:rsid w:val="00EC5B94"/>
    <w:rsid w:val="00ED33A4"/>
    <w:rsid w:val="00EE7072"/>
    <w:rsid w:val="00EF3A1F"/>
    <w:rsid w:val="00EF48E7"/>
    <w:rsid w:val="00EF7D8E"/>
    <w:rsid w:val="00F037C6"/>
    <w:rsid w:val="00F10733"/>
    <w:rsid w:val="00F11EFE"/>
    <w:rsid w:val="00F12BD0"/>
    <w:rsid w:val="00F1484D"/>
    <w:rsid w:val="00F16A2A"/>
    <w:rsid w:val="00F17919"/>
    <w:rsid w:val="00F17EF4"/>
    <w:rsid w:val="00F2178A"/>
    <w:rsid w:val="00F21935"/>
    <w:rsid w:val="00F240A8"/>
    <w:rsid w:val="00F44C00"/>
    <w:rsid w:val="00F45AE1"/>
    <w:rsid w:val="00F54835"/>
    <w:rsid w:val="00F714AE"/>
    <w:rsid w:val="00F80894"/>
    <w:rsid w:val="00F8302B"/>
    <w:rsid w:val="00F9284F"/>
    <w:rsid w:val="00FA4A25"/>
    <w:rsid w:val="00FA5648"/>
    <w:rsid w:val="00FB6DF6"/>
    <w:rsid w:val="00FB790A"/>
    <w:rsid w:val="00FC03F8"/>
    <w:rsid w:val="00FD3E5F"/>
    <w:rsid w:val="00FD4490"/>
    <w:rsid w:val="00F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08F70"/>
  <w15:chartTrackingRefBased/>
  <w15:docId w15:val="{3C5ECD6A-BFDC-654F-B1F8-E0DB606D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F56"/>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CD35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35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D35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353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353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353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353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353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353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3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539"/>
    <w:rPr>
      <w:rFonts w:eastAsiaTheme="majorEastAsia" w:cstheme="majorBidi"/>
      <w:color w:val="272727" w:themeColor="text1" w:themeTint="D8"/>
    </w:rPr>
  </w:style>
  <w:style w:type="paragraph" w:styleId="Title">
    <w:name w:val="Title"/>
    <w:basedOn w:val="Normal"/>
    <w:next w:val="Normal"/>
    <w:link w:val="TitleChar"/>
    <w:uiPriority w:val="10"/>
    <w:qFormat/>
    <w:rsid w:val="00CD35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3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5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3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53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D3539"/>
    <w:rPr>
      <w:i/>
      <w:iCs/>
      <w:color w:val="404040" w:themeColor="text1" w:themeTint="BF"/>
    </w:rPr>
  </w:style>
  <w:style w:type="paragraph" w:styleId="ListParagraph">
    <w:name w:val="List Paragraph"/>
    <w:basedOn w:val="Normal"/>
    <w:uiPriority w:val="34"/>
    <w:qFormat/>
    <w:rsid w:val="00CD353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D3539"/>
    <w:rPr>
      <w:i/>
      <w:iCs/>
      <w:color w:val="0F4761" w:themeColor="accent1" w:themeShade="BF"/>
    </w:rPr>
  </w:style>
  <w:style w:type="paragraph" w:styleId="IntenseQuote">
    <w:name w:val="Intense Quote"/>
    <w:basedOn w:val="Normal"/>
    <w:next w:val="Normal"/>
    <w:link w:val="IntenseQuoteChar"/>
    <w:uiPriority w:val="30"/>
    <w:qFormat/>
    <w:rsid w:val="00CD35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D3539"/>
    <w:rPr>
      <w:i/>
      <w:iCs/>
      <w:color w:val="0F4761" w:themeColor="accent1" w:themeShade="BF"/>
    </w:rPr>
  </w:style>
  <w:style w:type="character" w:styleId="IntenseReference">
    <w:name w:val="Intense Reference"/>
    <w:basedOn w:val="DefaultParagraphFont"/>
    <w:uiPriority w:val="32"/>
    <w:qFormat/>
    <w:rsid w:val="00CD3539"/>
    <w:rPr>
      <w:b/>
      <w:bCs/>
      <w:smallCaps/>
      <w:color w:val="0F4761" w:themeColor="accent1" w:themeShade="BF"/>
      <w:spacing w:val="5"/>
    </w:rPr>
  </w:style>
  <w:style w:type="paragraph" w:customStyle="1" w:styleId="p2">
    <w:name w:val="p2"/>
    <w:basedOn w:val="Normal"/>
    <w:rsid w:val="00CD3539"/>
    <w:rPr>
      <w:rFonts w:ascii="Helvetica" w:hAnsi="Helvetica"/>
      <w:color w:val="000000"/>
      <w:sz w:val="16"/>
      <w:szCs w:val="16"/>
    </w:rPr>
  </w:style>
  <w:style w:type="character" w:customStyle="1" w:styleId="s1">
    <w:name w:val="s1"/>
    <w:basedOn w:val="DefaultParagraphFont"/>
    <w:rsid w:val="00CD3539"/>
    <w:rPr>
      <w:rFonts w:ascii="Helvetica" w:hAnsi="Helvetica" w:hint="default"/>
      <w:color w:val="000071"/>
      <w:sz w:val="11"/>
      <w:szCs w:val="11"/>
    </w:rPr>
  </w:style>
  <w:style w:type="table" w:styleId="TableGrid">
    <w:name w:val="Table Grid"/>
    <w:basedOn w:val="TableNormal"/>
    <w:uiPriority w:val="39"/>
    <w:rsid w:val="00CD3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55D0"/>
    <w:pPr>
      <w:tabs>
        <w:tab w:val="center" w:pos="4680"/>
        <w:tab w:val="right" w:pos="9360"/>
      </w:tabs>
    </w:pPr>
  </w:style>
  <w:style w:type="character" w:customStyle="1" w:styleId="HeaderChar">
    <w:name w:val="Header Char"/>
    <w:basedOn w:val="DefaultParagraphFont"/>
    <w:link w:val="Header"/>
    <w:uiPriority w:val="99"/>
    <w:rsid w:val="008D55D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D55D0"/>
    <w:pPr>
      <w:tabs>
        <w:tab w:val="center" w:pos="4680"/>
        <w:tab w:val="right" w:pos="9360"/>
      </w:tabs>
    </w:pPr>
  </w:style>
  <w:style w:type="character" w:customStyle="1" w:styleId="FooterChar">
    <w:name w:val="Footer Char"/>
    <w:basedOn w:val="DefaultParagraphFont"/>
    <w:link w:val="Footer"/>
    <w:uiPriority w:val="99"/>
    <w:rsid w:val="008D55D0"/>
    <w:rPr>
      <w:rFonts w:ascii="Times New Roman" w:eastAsia="Times New Roman" w:hAnsi="Times New Roman" w:cs="Times New Roman"/>
      <w:kern w:val="0"/>
      <w14:ligatures w14:val="none"/>
    </w:rPr>
  </w:style>
  <w:style w:type="paragraph" w:styleId="NormalWeb">
    <w:name w:val="Normal (Web)"/>
    <w:basedOn w:val="Normal"/>
    <w:uiPriority w:val="99"/>
    <w:unhideWhenUsed/>
    <w:rsid w:val="00F16A2A"/>
    <w:pPr>
      <w:spacing w:before="100" w:beforeAutospacing="1" w:after="100" w:afterAutospacing="1"/>
    </w:pPr>
  </w:style>
  <w:style w:type="character" w:customStyle="1" w:styleId="apple-converted-space">
    <w:name w:val="apple-converted-space"/>
    <w:basedOn w:val="DefaultParagraphFont"/>
    <w:rsid w:val="00F16A2A"/>
  </w:style>
  <w:style w:type="character" w:styleId="Strong">
    <w:name w:val="Strong"/>
    <w:basedOn w:val="DefaultParagraphFont"/>
    <w:uiPriority w:val="22"/>
    <w:qFormat/>
    <w:rsid w:val="00F16A2A"/>
    <w:rPr>
      <w:b/>
      <w:bCs/>
    </w:rPr>
  </w:style>
  <w:style w:type="character" w:styleId="Emphasis">
    <w:name w:val="Emphasis"/>
    <w:basedOn w:val="DefaultParagraphFont"/>
    <w:uiPriority w:val="20"/>
    <w:qFormat/>
    <w:rsid w:val="00AE0CD6"/>
    <w:rPr>
      <w:i/>
      <w:iCs/>
    </w:rPr>
  </w:style>
  <w:style w:type="character" w:styleId="Hyperlink">
    <w:name w:val="Hyperlink"/>
    <w:basedOn w:val="DefaultParagraphFont"/>
    <w:uiPriority w:val="99"/>
    <w:unhideWhenUsed/>
    <w:rsid w:val="00CF5481"/>
    <w:rPr>
      <w:color w:val="0000FF"/>
      <w:u w:val="single"/>
    </w:rPr>
  </w:style>
  <w:style w:type="paragraph" w:customStyle="1" w:styleId="p1">
    <w:name w:val="p1"/>
    <w:basedOn w:val="Normal"/>
    <w:rsid w:val="009E1392"/>
    <w:rPr>
      <w:rFonts w:ascii="Helvetica" w:hAnsi="Helvetica"/>
      <w:color w:val="000000"/>
      <w:sz w:val="18"/>
      <w:szCs w:val="18"/>
    </w:rPr>
  </w:style>
  <w:style w:type="character" w:styleId="UnresolvedMention">
    <w:name w:val="Unresolved Mention"/>
    <w:basedOn w:val="DefaultParagraphFont"/>
    <w:uiPriority w:val="99"/>
    <w:semiHidden/>
    <w:unhideWhenUsed/>
    <w:rsid w:val="003A47F5"/>
    <w:rPr>
      <w:color w:val="605E5C"/>
      <w:shd w:val="clear" w:color="auto" w:fill="E1DFDD"/>
    </w:rPr>
  </w:style>
  <w:style w:type="character" w:styleId="FollowedHyperlink">
    <w:name w:val="FollowedHyperlink"/>
    <w:basedOn w:val="DefaultParagraphFont"/>
    <w:uiPriority w:val="99"/>
    <w:semiHidden/>
    <w:unhideWhenUsed/>
    <w:rsid w:val="00E846C5"/>
    <w:rPr>
      <w:color w:val="96607D" w:themeColor="followedHyperlink"/>
      <w:u w:val="single"/>
    </w:rPr>
  </w:style>
  <w:style w:type="paragraph" w:styleId="FootnoteText">
    <w:name w:val="footnote text"/>
    <w:basedOn w:val="Normal"/>
    <w:link w:val="FootnoteTextChar"/>
    <w:uiPriority w:val="99"/>
    <w:semiHidden/>
    <w:unhideWhenUsed/>
    <w:rsid w:val="00F80894"/>
    <w:rPr>
      <w:sz w:val="20"/>
      <w:szCs w:val="20"/>
    </w:rPr>
  </w:style>
  <w:style w:type="character" w:customStyle="1" w:styleId="FootnoteTextChar">
    <w:name w:val="Footnote Text Char"/>
    <w:basedOn w:val="DefaultParagraphFont"/>
    <w:link w:val="FootnoteText"/>
    <w:uiPriority w:val="99"/>
    <w:semiHidden/>
    <w:rsid w:val="00F80894"/>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F80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doi.org/10.5089/9781513582381.001" TargetMode="External"/><Relationship Id="rId39" Type="http://schemas.openxmlformats.org/officeDocument/2006/relationships/header" Target="header3.xml"/><Relationship Id="rId21" Type="http://schemas.openxmlformats.org/officeDocument/2006/relationships/hyperlink" Target="https://doi.org/10.1007/s40888-021-00234-8" TargetMode="External"/><Relationship Id="rId34" Type="http://schemas.openxmlformats.org/officeDocument/2006/relationships/hyperlink" Target="https://doi.org/10.1111/1758-5899.1327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www.igidr.ac.in/pdf/publication/WP-2023-006.pdf?utm_source=chatgp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link.springer.com/article/10.1007/s11150-023-09659-5?utm_source=chatgpt.com" TargetMode="External"/><Relationship Id="rId32" Type="http://schemas.openxmlformats.org/officeDocument/2006/relationships/hyperlink" Target="https://www.ilo.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080/13545701.2023.2250797" TargetMode="External"/><Relationship Id="rId28" Type="http://schemas.openxmlformats.org/officeDocument/2006/relationships/hyperlink" Target="https://doi.org/10.1080/13545701.2021.1876906" TargetMode="External"/><Relationship Id="rId36"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3846/tede.2022.1703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86/w26947" TargetMode="External"/><Relationship Id="rId27" Type="http://schemas.openxmlformats.org/officeDocument/2006/relationships/hyperlink" Target="https://doi.org/10.1142/S0217590808003051" TargetMode="External"/><Relationship Id="rId30" Type="http://schemas.openxmlformats.org/officeDocument/2006/relationships/hyperlink" Target="https://doi.org/10.1080/13545701.2020.1845389"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doi.org/10.2139/ssrn.3885430" TargetMode="External"/><Relationship Id="rId33" Type="http://schemas.openxmlformats.org/officeDocument/2006/relationships/hyperlink" Target="https://doi.org/10.1002/pa.2622"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preetybasumatary\Downloads\Book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Sheet2!$B$20</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Sheet2!$A$21:$A$26</c:f>
              <c:strCache>
                <c:ptCount val="6"/>
                <c:pt idx="0">
                  <c:v>2017-18</c:v>
                </c:pt>
                <c:pt idx="1">
                  <c:v>2018-19</c:v>
                </c:pt>
                <c:pt idx="2">
                  <c:v>2019-20</c:v>
                </c:pt>
                <c:pt idx="3">
                  <c:v>2020-21</c:v>
                </c:pt>
                <c:pt idx="4">
                  <c:v>2021-22</c:v>
                </c:pt>
                <c:pt idx="5">
                  <c:v>2022-23</c:v>
                </c:pt>
              </c:strCache>
            </c:strRef>
          </c:cat>
          <c:val>
            <c:numRef>
              <c:f>Sheet2!$B$21:$B$26</c:f>
              <c:numCache>
                <c:formatCode>General</c:formatCode>
                <c:ptCount val="6"/>
                <c:pt idx="0">
                  <c:v>54.9</c:v>
                </c:pt>
                <c:pt idx="1">
                  <c:v>55.1</c:v>
                </c:pt>
                <c:pt idx="2">
                  <c:v>56.3</c:v>
                </c:pt>
                <c:pt idx="3">
                  <c:v>57.1</c:v>
                </c:pt>
                <c:pt idx="4">
                  <c:v>56.9</c:v>
                </c:pt>
                <c:pt idx="5">
                  <c:v>55.5</c:v>
                </c:pt>
              </c:numCache>
            </c:numRef>
          </c:val>
          <c:smooth val="0"/>
          <c:extLst>
            <c:ext xmlns:c16="http://schemas.microsoft.com/office/drawing/2014/chart" uri="{C3380CC4-5D6E-409C-BE32-E72D297353CC}">
              <c16:uniqueId val="{00000000-53E4-8E4B-92D8-CD0868E5D11E}"/>
            </c:ext>
          </c:extLst>
        </c:ser>
        <c:ser>
          <c:idx val="1"/>
          <c:order val="1"/>
          <c:tx>
            <c:strRef>
              <c:f>Sheet2!$C$20</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Sheet2!$A$21:$A$26</c:f>
              <c:strCache>
                <c:ptCount val="6"/>
                <c:pt idx="0">
                  <c:v>2017-18</c:v>
                </c:pt>
                <c:pt idx="1">
                  <c:v>2018-19</c:v>
                </c:pt>
                <c:pt idx="2">
                  <c:v>2019-20</c:v>
                </c:pt>
                <c:pt idx="3">
                  <c:v>2020-21</c:v>
                </c:pt>
                <c:pt idx="4">
                  <c:v>2021-22</c:v>
                </c:pt>
                <c:pt idx="5">
                  <c:v>2022-23</c:v>
                </c:pt>
              </c:strCache>
            </c:strRef>
          </c:cat>
          <c:val>
            <c:numRef>
              <c:f>Sheet2!$C$21:$C$26</c:f>
              <c:numCache>
                <c:formatCode>General</c:formatCode>
                <c:ptCount val="6"/>
                <c:pt idx="0">
                  <c:v>18.2</c:v>
                </c:pt>
                <c:pt idx="1">
                  <c:v>19.7</c:v>
                </c:pt>
                <c:pt idx="2">
                  <c:v>24.7</c:v>
                </c:pt>
                <c:pt idx="3">
                  <c:v>27.7</c:v>
                </c:pt>
                <c:pt idx="4">
                  <c:v>27.2</c:v>
                </c:pt>
                <c:pt idx="5">
                  <c:v>30.5</c:v>
                </c:pt>
              </c:numCache>
            </c:numRef>
          </c:val>
          <c:smooth val="0"/>
          <c:extLst>
            <c:ext xmlns:c16="http://schemas.microsoft.com/office/drawing/2014/chart" uri="{C3380CC4-5D6E-409C-BE32-E72D297353CC}">
              <c16:uniqueId val="{00000001-53E4-8E4B-92D8-CD0868E5D11E}"/>
            </c:ext>
          </c:extLst>
        </c:ser>
        <c:dLbls>
          <c:showLegendKey val="0"/>
          <c:showVal val="0"/>
          <c:showCatName val="0"/>
          <c:showSerName val="0"/>
          <c:showPercent val="0"/>
          <c:showBubbleSize val="0"/>
        </c:dLbls>
        <c:marker val="1"/>
        <c:smooth val="0"/>
        <c:axId val="1932508560"/>
        <c:axId val="1415925024"/>
      </c:lineChart>
      <c:catAx>
        <c:axId val="1932508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925024"/>
        <c:crosses val="autoZero"/>
        <c:auto val="1"/>
        <c:lblAlgn val="ctr"/>
        <c:lblOffset val="100"/>
        <c:noMultiLvlLbl val="0"/>
      </c:catAx>
      <c:valAx>
        <c:axId val="141592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250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Sheet2!$B$90</c:f>
              <c:strCache>
                <c:ptCount val="1"/>
                <c:pt idx="0">
                  <c:v>Agriculture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Sheet2!$A$91:$A$96</c:f>
              <c:strCache>
                <c:ptCount val="6"/>
                <c:pt idx="0">
                  <c:v>2017-18</c:v>
                </c:pt>
                <c:pt idx="1">
                  <c:v>2018-19</c:v>
                </c:pt>
                <c:pt idx="2">
                  <c:v>2019-20</c:v>
                </c:pt>
                <c:pt idx="3">
                  <c:v>2020-21</c:v>
                </c:pt>
                <c:pt idx="4">
                  <c:v>2021-22</c:v>
                </c:pt>
                <c:pt idx="5">
                  <c:v>2022-23</c:v>
                </c:pt>
              </c:strCache>
            </c:strRef>
          </c:cat>
          <c:val>
            <c:numRef>
              <c:f>Sheet2!$B$91:$B$96</c:f>
              <c:numCache>
                <c:formatCode>General</c:formatCode>
                <c:ptCount val="6"/>
                <c:pt idx="0">
                  <c:v>44.1</c:v>
                </c:pt>
                <c:pt idx="1">
                  <c:v>42.5</c:v>
                </c:pt>
                <c:pt idx="2">
                  <c:v>45.6</c:v>
                </c:pt>
                <c:pt idx="3">
                  <c:v>46.5</c:v>
                </c:pt>
                <c:pt idx="4">
                  <c:v>45.5</c:v>
                </c:pt>
                <c:pt idx="5">
                  <c:v>45.8</c:v>
                </c:pt>
              </c:numCache>
            </c:numRef>
          </c:val>
          <c:extLst>
            <c:ext xmlns:c16="http://schemas.microsoft.com/office/drawing/2014/chart" uri="{C3380CC4-5D6E-409C-BE32-E72D297353CC}">
              <c16:uniqueId val="{00000000-1972-F449-A293-E1DE8E18D653}"/>
            </c:ext>
          </c:extLst>
        </c:ser>
        <c:ser>
          <c:idx val="1"/>
          <c:order val="1"/>
          <c:tx>
            <c:strRef>
              <c:f>Sheet2!$C$90</c:f>
              <c:strCache>
                <c:ptCount val="1"/>
                <c:pt idx="0">
                  <c:v>Industry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Sheet2!$A$91:$A$96</c:f>
              <c:strCache>
                <c:ptCount val="6"/>
                <c:pt idx="0">
                  <c:v>2017-18</c:v>
                </c:pt>
                <c:pt idx="1">
                  <c:v>2018-19</c:v>
                </c:pt>
                <c:pt idx="2">
                  <c:v>2019-20</c:v>
                </c:pt>
                <c:pt idx="3">
                  <c:v>2020-21</c:v>
                </c:pt>
                <c:pt idx="4">
                  <c:v>2021-22</c:v>
                </c:pt>
                <c:pt idx="5">
                  <c:v>2022-23</c:v>
                </c:pt>
              </c:strCache>
            </c:strRef>
          </c:cat>
          <c:val>
            <c:numRef>
              <c:f>Sheet2!$C$91:$C$96</c:f>
              <c:numCache>
                <c:formatCode>General</c:formatCode>
                <c:ptCount val="6"/>
                <c:pt idx="0">
                  <c:v>24.8</c:v>
                </c:pt>
                <c:pt idx="1">
                  <c:v>25.2</c:v>
                </c:pt>
                <c:pt idx="2">
                  <c:v>23.7</c:v>
                </c:pt>
                <c:pt idx="3">
                  <c:v>23.9</c:v>
                </c:pt>
                <c:pt idx="4">
                  <c:v>24.9</c:v>
                </c:pt>
                <c:pt idx="5">
                  <c:v>25.2</c:v>
                </c:pt>
              </c:numCache>
            </c:numRef>
          </c:val>
          <c:extLst>
            <c:ext xmlns:c16="http://schemas.microsoft.com/office/drawing/2014/chart" uri="{C3380CC4-5D6E-409C-BE32-E72D297353CC}">
              <c16:uniqueId val="{00000001-1972-F449-A293-E1DE8E18D653}"/>
            </c:ext>
          </c:extLst>
        </c:ser>
        <c:ser>
          <c:idx val="2"/>
          <c:order val="2"/>
          <c:tx>
            <c:strRef>
              <c:f>Sheet2!$D$90</c:f>
              <c:strCache>
                <c:ptCount val="1"/>
                <c:pt idx="0">
                  <c:v>Services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Sheet2!$A$91:$A$96</c:f>
              <c:strCache>
                <c:ptCount val="6"/>
                <c:pt idx="0">
                  <c:v>2017-18</c:v>
                </c:pt>
                <c:pt idx="1">
                  <c:v>2018-19</c:v>
                </c:pt>
                <c:pt idx="2">
                  <c:v>2019-20</c:v>
                </c:pt>
                <c:pt idx="3">
                  <c:v>2020-21</c:v>
                </c:pt>
                <c:pt idx="4">
                  <c:v>2021-22</c:v>
                </c:pt>
                <c:pt idx="5">
                  <c:v>2022-23</c:v>
                </c:pt>
              </c:strCache>
            </c:strRef>
          </c:cat>
          <c:val>
            <c:numRef>
              <c:f>Sheet2!$D$91:$D$96</c:f>
              <c:numCache>
                <c:formatCode>General</c:formatCode>
                <c:ptCount val="6"/>
                <c:pt idx="0">
                  <c:v>31.1</c:v>
                </c:pt>
                <c:pt idx="1">
                  <c:v>32.299999999999997</c:v>
                </c:pt>
                <c:pt idx="2">
                  <c:v>30.7</c:v>
                </c:pt>
                <c:pt idx="3">
                  <c:v>29.6</c:v>
                </c:pt>
                <c:pt idx="4">
                  <c:v>29.6</c:v>
                </c:pt>
                <c:pt idx="5">
                  <c:v>28.9</c:v>
                </c:pt>
              </c:numCache>
            </c:numRef>
          </c:val>
          <c:extLst>
            <c:ext xmlns:c16="http://schemas.microsoft.com/office/drawing/2014/chart" uri="{C3380CC4-5D6E-409C-BE32-E72D297353CC}">
              <c16:uniqueId val="{00000002-1972-F449-A293-E1DE8E18D653}"/>
            </c:ext>
          </c:extLst>
        </c:ser>
        <c:dLbls>
          <c:showLegendKey val="0"/>
          <c:showVal val="0"/>
          <c:showCatName val="0"/>
          <c:showSerName val="0"/>
          <c:showPercent val="0"/>
          <c:showBubbleSize val="0"/>
        </c:dLbls>
        <c:gapWidth val="150"/>
        <c:overlap val="100"/>
        <c:axId val="511293248"/>
        <c:axId val="1789917296"/>
      </c:barChart>
      <c:catAx>
        <c:axId val="51129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9917296"/>
        <c:crosses val="autoZero"/>
        <c:auto val="1"/>
        <c:lblAlgn val="ctr"/>
        <c:lblOffset val="100"/>
        <c:noMultiLvlLbl val="0"/>
      </c:catAx>
      <c:valAx>
        <c:axId val="1789917296"/>
        <c:scaling>
          <c:orientation val="minMax"/>
          <c:max val="1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9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[Book1.xlsx]Sheet2!$H$110</c:f>
              <c:strCache>
                <c:ptCount val="1"/>
                <c:pt idx="0">
                  <c:v>2017-18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[Book1.xlsx]Sheet2!$I$110:$N$110</c:f>
              <c:numCache>
                <c:formatCode>General</c:formatCode>
                <c:ptCount val="6"/>
                <c:pt idx="0">
                  <c:v>40.200000000000003</c:v>
                </c:pt>
                <c:pt idx="1">
                  <c:v>57</c:v>
                </c:pt>
                <c:pt idx="2">
                  <c:v>26.9</c:v>
                </c:pt>
                <c:pt idx="3">
                  <c:v>17.899999999999999</c:v>
                </c:pt>
                <c:pt idx="4">
                  <c:v>32.799999999999997</c:v>
                </c:pt>
                <c:pt idx="5">
                  <c:v>25.2</c:v>
                </c:pt>
              </c:numCache>
            </c:numRef>
          </c:val>
          <c:extLst>
            <c:ext xmlns:c16="http://schemas.microsoft.com/office/drawing/2014/chart" uri="{C3380CC4-5D6E-409C-BE32-E72D297353CC}">
              <c16:uniqueId val="{00000000-6A1E-6B49-93BB-6AB047C8C625}"/>
            </c:ext>
          </c:extLst>
        </c:ser>
        <c:ser>
          <c:idx val="1"/>
          <c:order val="1"/>
          <c:tx>
            <c:strRef>
              <c:f>[Book1.xlsx]Sheet2!$H$111</c:f>
              <c:strCache>
                <c:ptCount val="1"/>
                <c:pt idx="0">
                  <c:v>2018-19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[Book1.xlsx]Sheet2!$I$111:$N$111</c:f>
              <c:numCache>
                <c:formatCode>General</c:formatCode>
                <c:ptCount val="6"/>
                <c:pt idx="0">
                  <c:v>38.299999999999997</c:v>
                </c:pt>
                <c:pt idx="1">
                  <c:v>55.3</c:v>
                </c:pt>
                <c:pt idx="2">
                  <c:v>27.2</c:v>
                </c:pt>
                <c:pt idx="3">
                  <c:v>18.7</c:v>
                </c:pt>
                <c:pt idx="4">
                  <c:v>34.4</c:v>
                </c:pt>
                <c:pt idx="5">
                  <c:v>25.9</c:v>
                </c:pt>
              </c:numCache>
            </c:numRef>
          </c:val>
          <c:extLst>
            <c:ext xmlns:c16="http://schemas.microsoft.com/office/drawing/2014/chart" uri="{C3380CC4-5D6E-409C-BE32-E72D297353CC}">
              <c16:uniqueId val="{00000001-6A1E-6B49-93BB-6AB047C8C625}"/>
            </c:ext>
          </c:extLst>
        </c:ser>
        <c:ser>
          <c:idx val="2"/>
          <c:order val="2"/>
          <c:tx>
            <c:strRef>
              <c:f>[Book1.xlsx]Sheet2!$H$112</c:f>
              <c:strCache>
                <c:ptCount val="1"/>
                <c:pt idx="0">
                  <c:v>2019-20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[Book1.xlsx]Sheet2!$I$112:$N$112</c:f>
              <c:numCache>
                <c:formatCode>General</c:formatCode>
                <c:ptCount val="6"/>
                <c:pt idx="0">
                  <c:v>40</c:v>
                </c:pt>
                <c:pt idx="1">
                  <c:v>59.9</c:v>
                </c:pt>
                <c:pt idx="2">
                  <c:v>26.6</c:v>
                </c:pt>
                <c:pt idx="3">
                  <c:v>16.7</c:v>
                </c:pt>
                <c:pt idx="4">
                  <c:v>33.6</c:v>
                </c:pt>
                <c:pt idx="5">
                  <c:v>23.4</c:v>
                </c:pt>
              </c:numCache>
            </c:numRef>
          </c:val>
          <c:extLst>
            <c:ext xmlns:c16="http://schemas.microsoft.com/office/drawing/2014/chart" uri="{C3380CC4-5D6E-409C-BE32-E72D297353CC}">
              <c16:uniqueId val="{00000002-6A1E-6B49-93BB-6AB047C8C625}"/>
            </c:ext>
          </c:extLst>
        </c:ser>
        <c:ser>
          <c:idx val="3"/>
          <c:order val="3"/>
          <c:tx>
            <c:strRef>
              <c:f>[Book1.xlsx]Sheet2!$H$113</c:f>
              <c:strCache>
                <c:ptCount val="1"/>
                <c:pt idx="0">
                  <c:v>2020-21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[Book1.xlsx]Sheet2!$I$108:$N$109</c:f>
              <c:multiLvlStrCache>
                <c:ptCount val="6"/>
                <c:lvl>
                  <c:pt idx="0">
                    <c:v>male</c:v>
                  </c:pt>
                  <c:pt idx="1">
                    <c:v>female</c:v>
                  </c:pt>
                  <c:pt idx="2">
                    <c:v>male</c:v>
                  </c:pt>
                  <c:pt idx="3">
                    <c:v>female</c:v>
                  </c:pt>
                  <c:pt idx="4">
                    <c:v>male</c:v>
                  </c:pt>
                  <c:pt idx="5">
                    <c:v>female</c:v>
                  </c:pt>
                </c:lvl>
                <c:lvl>
                  <c:pt idx="0">
                    <c:v>agriculture</c:v>
                  </c:pt>
                  <c:pt idx="2">
                    <c:v>industry</c:v>
                  </c:pt>
                  <c:pt idx="4">
                    <c:v>service</c:v>
                  </c:pt>
                </c:lvl>
              </c:multiLvlStrCache>
            </c:multiLvlStrRef>
          </c:cat>
          <c:val>
            <c:numRef>
              <c:f>[Book1.xlsx]Sheet2!$I$113:$N$113</c:f>
              <c:numCache>
                <c:formatCode>General</c:formatCode>
                <c:ptCount val="6"/>
                <c:pt idx="0">
                  <c:v>39.799999999999997</c:v>
                </c:pt>
                <c:pt idx="1">
                  <c:v>62.2</c:v>
                </c:pt>
                <c:pt idx="2">
                  <c:v>27.2</c:v>
                </c:pt>
                <c:pt idx="3">
                  <c:v>16.5</c:v>
                </c:pt>
                <c:pt idx="4">
                  <c:v>33.1</c:v>
                </c:pt>
                <c:pt idx="5">
                  <c:v>21.5</c:v>
                </c:pt>
              </c:numCache>
            </c:numRef>
          </c:val>
          <c:extLst>
            <c:ext xmlns:c16="http://schemas.microsoft.com/office/drawing/2014/chart" uri="{C3380CC4-5D6E-409C-BE32-E72D297353CC}">
              <c16:uniqueId val="{00000003-6A1E-6B49-93BB-6AB047C8C625}"/>
            </c:ext>
          </c:extLst>
        </c:ser>
        <c:dLbls>
          <c:showLegendKey val="0"/>
          <c:showVal val="0"/>
          <c:showCatName val="0"/>
          <c:showSerName val="0"/>
          <c:showPercent val="0"/>
          <c:showBubbleSize val="0"/>
        </c:dLbls>
        <c:gapWidth val="219"/>
        <c:overlap val="-27"/>
        <c:axId val="1890179472"/>
        <c:axId val="1889683664"/>
      </c:barChart>
      <c:catAx>
        <c:axId val="189017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9683664"/>
        <c:crosses val="autoZero"/>
        <c:auto val="1"/>
        <c:lblAlgn val="ctr"/>
        <c:lblOffset val="100"/>
        <c:noMultiLvlLbl val="0"/>
      </c:catAx>
      <c:valAx>
        <c:axId val="1889683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7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Sheet3!$C$28</c:f>
              <c:strCache>
                <c:ptCount val="1"/>
                <c:pt idx="0">
                  <c:v>self employed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Sheet3!$B$29:$B$34</c:f>
              <c:strCache>
                <c:ptCount val="6"/>
                <c:pt idx="0">
                  <c:v>2017-18</c:v>
                </c:pt>
                <c:pt idx="1">
                  <c:v>2018-19</c:v>
                </c:pt>
                <c:pt idx="2">
                  <c:v>2019-20</c:v>
                </c:pt>
                <c:pt idx="3">
                  <c:v>2020-21</c:v>
                </c:pt>
                <c:pt idx="4">
                  <c:v>2021-22</c:v>
                </c:pt>
                <c:pt idx="5">
                  <c:v>2022-23</c:v>
                </c:pt>
              </c:strCache>
            </c:strRef>
          </c:cat>
          <c:val>
            <c:numRef>
              <c:f>Sheet3!$C$29:$C$34</c:f>
              <c:numCache>
                <c:formatCode>General</c:formatCode>
                <c:ptCount val="6"/>
                <c:pt idx="0">
                  <c:v>52.3</c:v>
                </c:pt>
                <c:pt idx="1">
                  <c:v>51.7</c:v>
                </c:pt>
                <c:pt idx="2">
                  <c:v>52.4</c:v>
                </c:pt>
                <c:pt idx="3">
                  <c:v>53.9</c:v>
                </c:pt>
                <c:pt idx="4">
                  <c:v>53.2</c:v>
                </c:pt>
                <c:pt idx="5">
                  <c:v>53.6</c:v>
                </c:pt>
              </c:numCache>
            </c:numRef>
          </c:val>
          <c:extLst>
            <c:ext xmlns:c16="http://schemas.microsoft.com/office/drawing/2014/chart" uri="{C3380CC4-5D6E-409C-BE32-E72D297353CC}">
              <c16:uniqueId val="{00000000-83C3-3548-BE01-DC63889C79F0}"/>
            </c:ext>
          </c:extLst>
        </c:ser>
        <c:ser>
          <c:idx val="1"/>
          <c:order val="1"/>
          <c:tx>
            <c:strRef>
              <c:f>Sheet3!$D$28</c:f>
              <c:strCache>
                <c:ptCount val="1"/>
                <c:pt idx="0">
                  <c:v>regular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Sheet3!$B$29:$B$34</c:f>
              <c:strCache>
                <c:ptCount val="6"/>
                <c:pt idx="0">
                  <c:v>2017-18</c:v>
                </c:pt>
                <c:pt idx="1">
                  <c:v>2018-19</c:v>
                </c:pt>
                <c:pt idx="2">
                  <c:v>2019-20</c:v>
                </c:pt>
                <c:pt idx="3">
                  <c:v>2020-21</c:v>
                </c:pt>
                <c:pt idx="4">
                  <c:v>2021-22</c:v>
                </c:pt>
                <c:pt idx="5">
                  <c:v>2022-23</c:v>
                </c:pt>
              </c:strCache>
            </c:strRef>
          </c:cat>
          <c:val>
            <c:numRef>
              <c:f>Sheet3!$D$29:$D$34</c:f>
              <c:numCache>
                <c:formatCode>General</c:formatCode>
                <c:ptCount val="6"/>
                <c:pt idx="0">
                  <c:v>23.4</c:v>
                </c:pt>
                <c:pt idx="1">
                  <c:v>24.4</c:v>
                </c:pt>
                <c:pt idx="2">
                  <c:v>24</c:v>
                </c:pt>
                <c:pt idx="3">
                  <c:v>22.7</c:v>
                </c:pt>
                <c:pt idx="4">
                  <c:v>23.6</c:v>
                </c:pt>
                <c:pt idx="5">
                  <c:v>23.2</c:v>
                </c:pt>
              </c:numCache>
            </c:numRef>
          </c:val>
          <c:extLst>
            <c:ext xmlns:c16="http://schemas.microsoft.com/office/drawing/2014/chart" uri="{C3380CC4-5D6E-409C-BE32-E72D297353CC}">
              <c16:uniqueId val="{00000001-83C3-3548-BE01-DC63889C79F0}"/>
            </c:ext>
          </c:extLst>
        </c:ser>
        <c:ser>
          <c:idx val="2"/>
          <c:order val="2"/>
          <c:tx>
            <c:strRef>
              <c:f>Sheet3!$E$28</c:f>
              <c:strCache>
                <c:ptCount val="1"/>
                <c:pt idx="0">
                  <c:v>casual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Sheet3!$B$29:$B$34</c:f>
              <c:strCache>
                <c:ptCount val="6"/>
                <c:pt idx="0">
                  <c:v>2017-18</c:v>
                </c:pt>
                <c:pt idx="1">
                  <c:v>2018-19</c:v>
                </c:pt>
                <c:pt idx="2">
                  <c:v>2019-20</c:v>
                </c:pt>
                <c:pt idx="3">
                  <c:v>2020-21</c:v>
                </c:pt>
                <c:pt idx="4">
                  <c:v>2021-22</c:v>
                </c:pt>
                <c:pt idx="5">
                  <c:v>2022-23</c:v>
                </c:pt>
              </c:strCache>
            </c:strRef>
          </c:cat>
          <c:val>
            <c:numRef>
              <c:f>Sheet3!$E$29:$E$34</c:f>
              <c:numCache>
                <c:formatCode>General</c:formatCode>
                <c:ptCount val="6"/>
                <c:pt idx="0">
                  <c:v>24.3</c:v>
                </c:pt>
                <c:pt idx="1">
                  <c:v>24</c:v>
                </c:pt>
                <c:pt idx="2">
                  <c:v>23.6</c:v>
                </c:pt>
                <c:pt idx="3">
                  <c:v>23.3</c:v>
                </c:pt>
                <c:pt idx="4">
                  <c:v>23.2</c:v>
                </c:pt>
                <c:pt idx="5">
                  <c:v>23.2</c:v>
                </c:pt>
              </c:numCache>
            </c:numRef>
          </c:val>
          <c:extLst>
            <c:ext xmlns:c16="http://schemas.microsoft.com/office/drawing/2014/chart" uri="{C3380CC4-5D6E-409C-BE32-E72D297353CC}">
              <c16:uniqueId val="{00000002-83C3-3548-BE01-DC63889C79F0}"/>
            </c:ext>
          </c:extLst>
        </c:ser>
        <c:dLbls>
          <c:dLblPos val="ctr"/>
          <c:showLegendKey val="0"/>
          <c:showVal val="1"/>
          <c:showCatName val="0"/>
          <c:showSerName val="0"/>
          <c:showPercent val="0"/>
          <c:showBubbleSize val="0"/>
        </c:dLbls>
        <c:gapWidth val="79"/>
        <c:overlap val="100"/>
        <c:axId val="1765656384"/>
        <c:axId val="1678624640"/>
      </c:barChart>
      <c:catAx>
        <c:axId val="17656563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678624640"/>
        <c:crosses val="autoZero"/>
        <c:auto val="1"/>
        <c:lblAlgn val="ctr"/>
        <c:lblOffset val="100"/>
        <c:noMultiLvlLbl val="0"/>
      </c:catAx>
      <c:valAx>
        <c:axId val="1678624640"/>
        <c:scaling>
          <c:orientation val="minMax"/>
        </c:scaling>
        <c:delete val="1"/>
        <c:axPos val="l"/>
        <c:numFmt formatCode="General" sourceLinked="1"/>
        <c:majorTickMark val="none"/>
        <c:minorTickMark val="none"/>
        <c:tickLblPos val="nextTo"/>
        <c:crossAx val="17656563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858747405689172E-2"/>
          <c:y val="0.32060622449306353"/>
          <c:w val="0.94628250518862167"/>
          <c:h val="0.6058661951033798"/>
        </c:manualLayout>
      </c:layout>
      <c:barChart>
        <c:barDir val="col"/>
        <c:grouping val="stacked"/>
        <c:varyColors val="0"/>
        <c:ser>
          <c:idx val="0"/>
          <c:order val="0"/>
          <c:tx>
            <c:strRef>
              <c:f>Sheet3!$H$28</c:f>
              <c:strCache>
                <c:ptCount val="1"/>
                <c:pt idx="0">
                  <c:v>self employed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Sheet3!$G$29:$G$34</c:f>
              <c:strCache>
                <c:ptCount val="6"/>
                <c:pt idx="0">
                  <c:v>2017-18</c:v>
                </c:pt>
                <c:pt idx="1">
                  <c:v>2018-19</c:v>
                </c:pt>
                <c:pt idx="2">
                  <c:v>2019-20</c:v>
                </c:pt>
                <c:pt idx="3">
                  <c:v>2020-21</c:v>
                </c:pt>
                <c:pt idx="4">
                  <c:v>2021-22</c:v>
                </c:pt>
                <c:pt idx="5">
                  <c:v>2022-23</c:v>
                </c:pt>
              </c:strCache>
            </c:strRef>
          </c:cat>
          <c:val>
            <c:numRef>
              <c:f>Sheet3!$H$29:$H$34</c:f>
              <c:numCache>
                <c:formatCode>General</c:formatCode>
                <c:ptCount val="6"/>
                <c:pt idx="0">
                  <c:v>51.9</c:v>
                </c:pt>
                <c:pt idx="1">
                  <c:v>53.4</c:v>
                </c:pt>
                <c:pt idx="2">
                  <c:v>56.3</c:v>
                </c:pt>
                <c:pt idx="3">
                  <c:v>59.4</c:v>
                </c:pt>
                <c:pt idx="4">
                  <c:v>62.1</c:v>
                </c:pt>
                <c:pt idx="5">
                  <c:v>65.3</c:v>
                </c:pt>
              </c:numCache>
            </c:numRef>
          </c:val>
          <c:extLst>
            <c:ext xmlns:c16="http://schemas.microsoft.com/office/drawing/2014/chart" uri="{C3380CC4-5D6E-409C-BE32-E72D297353CC}">
              <c16:uniqueId val="{00000000-427E-7645-8B7E-5D4882A2C679}"/>
            </c:ext>
          </c:extLst>
        </c:ser>
        <c:ser>
          <c:idx val="1"/>
          <c:order val="1"/>
          <c:tx>
            <c:strRef>
              <c:f>Sheet3!$I$28</c:f>
              <c:strCache>
                <c:ptCount val="1"/>
                <c:pt idx="0">
                  <c:v>regular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Sheet3!$G$29:$G$34</c:f>
              <c:strCache>
                <c:ptCount val="6"/>
                <c:pt idx="0">
                  <c:v>2017-18</c:v>
                </c:pt>
                <c:pt idx="1">
                  <c:v>2018-19</c:v>
                </c:pt>
                <c:pt idx="2">
                  <c:v>2019-20</c:v>
                </c:pt>
                <c:pt idx="3">
                  <c:v>2020-21</c:v>
                </c:pt>
                <c:pt idx="4">
                  <c:v>2021-22</c:v>
                </c:pt>
                <c:pt idx="5">
                  <c:v>2022-23</c:v>
                </c:pt>
              </c:strCache>
            </c:strRef>
          </c:cat>
          <c:val>
            <c:numRef>
              <c:f>Sheet3!$I$29:$I$34</c:f>
              <c:numCache>
                <c:formatCode>General</c:formatCode>
                <c:ptCount val="6"/>
                <c:pt idx="0">
                  <c:v>21</c:v>
                </c:pt>
                <c:pt idx="1">
                  <c:v>21.9</c:v>
                </c:pt>
                <c:pt idx="2">
                  <c:v>20</c:v>
                </c:pt>
                <c:pt idx="3">
                  <c:v>17.399999999999999</c:v>
                </c:pt>
                <c:pt idx="4">
                  <c:v>16.5</c:v>
                </c:pt>
                <c:pt idx="5">
                  <c:v>15.9</c:v>
                </c:pt>
              </c:numCache>
            </c:numRef>
          </c:val>
          <c:extLst>
            <c:ext xmlns:c16="http://schemas.microsoft.com/office/drawing/2014/chart" uri="{C3380CC4-5D6E-409C-BE32-E72D297353CC}">
              <c16:uniqueId val="{00000001-427E-7645-8B7E-5D4882A2C679}"/>
            </c:ext>
          </c:extLst>
        </c:ser>
        <c:ser>
          <c:idx val="2"/>
          <c:order val="2"/>
          <c:tx>
            <c:strRef>
              <c:f>Sheet3!$J$28</c:f>
              <c:strCache>
                <c:ptCount val="1"/>
                <c:pt idx="0">
                  <c:v>casual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Sheet3!$G$29:$G$34</c:f>
              <c:strCache>
                <c:ptCount val="6"/>
                <c:pt idx="0">
                  <c:v>2017-18</c:v>
                </c:pt>
                <c:pt idx="1">
                  <c:v>2018-19</c:v>
                </c:pt>
                <c:pt idx="2">
                  <c:v>2019-20</c:v>
                </c:pt>
                <c:pt idx="3">
                  <c:v>2020-21</c:v>
                </c:pt>
                <c:pt idx="4">
                  <c:v>2021-22</c:v>
                </c:pt>
                <c:pt idx="5">
                  <c:v>2022-23</c:v>
                </c:pt>
              </c:strCache>
            </c:strRef>
          </c:cat>
          <c:val>
            <c:numRef>
              <c:f>Sheet3!$J$29:$J$34</c:f>
              <c:numCache>
                <c:formatCode>General</c:formatCode>
                <c:ptCount val="6"/>
                <c:pt idx="0">
                  <c:v>27</c:v>
                </c:pt>
                <c:pt idx="1">
                  <c:v>24.7</c:v>
                </c:pt>
                <c:pt idx="2">
                  <c:v>23.7</c:v>
                </c:pt>
                <c:pt idx="3">
                  <c:v>23.2</c:v>
                </c:pt>
                <c:pt idx="4">
                  <c:v>21.4</c:v>
                </c:pt>
                <c:pt idx="5">
                  <c:v>18.8</c:v>
                </c:pt>
              </c:numCache>
            </c:numRef>
          </c:val>
          <c:extLst>
            <c:ext xmlns:c16="http://schemas.microsoft.com/office/drawing/2014/chart" uri="{C3380CC4-5D6E-409C-BE32-E72D297353CC}">
              <c16:uniqueId val="{00000002-427E-7645-8B7E-5D4882A2C679}"/>
            </c:ext>
          </c:extLst>
        </c:ser>
        <c:dLbls>
          <c:dLblPos val="ctr"/>
          <c:showLegendKey val="0"/>
          <c:showVal val="1"/>
          <c:showCatName val="0"/>
          <c:showSerName val="0"/>
          <c:showPercent val="0"/>
          <c:showBubbleSize val="0"/>
        </c:dLbls>
        <c:gapWidth val="79"/>
        <c:overlap val="100"/>
        <c:axId val="1635182800"/>
        <c:axId val="1635270624"/>
      </c:barChart>
      <c:catAx>
        <c:axId val="1635182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635270624"/>
        <c:crosses val="autoZero"/>
        <c:auto val="1"/>
        <c:lblAlgn val="ctr"/>
        <c:lblOffset val="100"/>
        <c:noMultiLvlLbl val="0"/>
      </c:catAx>
      <c:valAx>
        <c:axId val="1635270624"/>
        <c:scaling>
          <c:orientation val="minMax"/>
        </c:scaling>
        <c:delete val="1"/>
        <c:axPos val="l"/>
        <c:numFmt formatCode="General" sourceLinked="1"/>
        <c:majorTickMark val="none"/>
        <c:minorTickMark val="none"/>
        <c:tickLblPos val="nextTo"/>
        <c:crossAx val="1635182800"/>
        <c:crosses val="autoZero"/>
        <c:crossBetween val="between"/>
      </c:valAx>
      <c:spPr>
        <a:noFill/>
        <a:ln>
          <a:noFill/>
        </a:ln>
        <a:effectLst/>
      </c:spPr>
    </c:plotArea>
    <c:legend>
      <c:legendPos val="t"/>
      <c:layout>
        <c:manualLayout>
          <c:xMode val="edge"/>
          <c:yMode val="edge"/>
          <c:x val="0.29845701591049134"/>
          <c:y val="0.24435173687337888"/>
          <c:w val="0.40308596817901732"/>
          <c:h val="7.62544876196846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2: LFPR</a:t>
            </a:r>
            <a:r>
              <a:rPr lang="en-US" sz="1100" baseline="0">
                <a:latin typeface="Times New Roman" panose="02020603050405020304" pitchFamily="18" charset="0"/>
                <a:cs typeface="Times New Roman" panose="02020603050405020304" pitchFamily="18" charset="0"/>
              </a:rPr>
              <a:t> urban(usual status</a:t>
            </a:r>
            <a:r>
              <a:rPr lang="en-US" baseline="0"/>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Sheet2!$B$29</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Sheet2!$A$30:$A$35</c:f>
              <c:strCache>
                <c:ptCount val="6"/>
                <c:pt idx="0">
                  <c:v>2017-18</c:v>
                </c:pt>
                <c:pt idx="1">
                  <c:v>2018-19</c:v>
                </c:pt>
                <c:pt idx="2">
                  <c:v>2019-20</c:v>
                </c:pt>
                <c:pt idx="3">
                  <c:v>2020-21</c:v>
                </c:pt>
                <c:pt idx="4">
                  <c:v>2021-22</c:v>
                </c:pt>
                <c:pt idx="5">
                  <c:v>2022-23</c:v>
                </c:pt>
              </c:strCache>
            </c:strRef>
          </c:cat>
          <c:val>
            <c:numRef>
              <c:f>Sheet2!$B$30:$B$35</c:f>
              <c:numCache>
                <c:formatCode>General</c:formatCode>
                <c:ptCount val="6"/>
                <c:pt idx="0">
                  <c:v>57</c:v>
                </c:pt>
                <c:pt idx="1">
                  <c:v>56.7</c:v>
                </c:pt>
                <c:pt idx="2">
                  <c:v>57.8</c:v>
                </c:pt>
                <c:pt idx="3">
                  <c:v>58.4</c:v>
                </c:pt>
                <c:pt idx="4">
                  <c:v>58.3</c:v>
                </c:pt>
                <c:pt idx="5">
                  <c:v>58.3</c:v>
                </c:pt>
              </c:numCache>
            </c:numRef>
          </c:val>
          <c:smooth val="0"/>
          <c:extLst>
            <c:ext xmlns:c16="http://schemas.microsoft.com/office/drawing/2014/chart" uri="{C3380CC4-5D6E-409C-BE32-E72D297353CC}">
              <c16:uniqueId val="{00000000-39CF-D846-977C-DFD9923A1E44}"/>
            </c:ext>
          </c:extLst>
        </c:ser>
        <c:ser>
          <c:idx val="1"/>
          <c:order val="1"/>
          <c:tx>
            <c:strRef>
              <c:f>Sheet2!$C$29</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Sheet2!$A$30:$A$35</c:f>
              <c:strCache>
                <c:ptCount val="6"/>
                <c:pt idx="0">
                  <c:v>2017-18</c:v>
                </c:pt>
                <c:pt idx="1">
                  <c:v>2018-19</c:v>
                </c:pt>
                <c:pt idx="2">
                  <c:v>2019-20</c:v>
                </c:pt>
                <c:pt idx="3">
                  <c:v>2020-21</c:v>
                </c:pt>
                <c:pt idx="4">
                  <c:v>2021-22</c:v>
                </c:pt>
                <c:pt idx="5">
                  <c:v>2022-23</c:v>
                </c:pt>
              </c:strCache>
            </c:strRef>
          </c:cat>
          <c:val>
            <c:numRef>
              <c:f>Sheet2!$C$30:$C$35</c:f>
              <c:numCache>
                <c:formatCode>General</c:formatCode>
                <c:ptCount val="6"/>
                <c:pt idx="0">
                  <c:v>15.9</c:v>
                </c:pt>
                <c:pt idx="1">
                  <c:v>16.100000000000001</c:v>
                </c:pt>
                <c:pt idx="2">
                  <c:v>18.5</c:v>
                </c:pt>
                <c:pt idx="3">
                  <c:v>18.600000000000001</c:v>
                </c:pt>
                <c:pt idx="4">
                  <c:v>18.8</c:v>
                </c:pt>
                <c:pt idx="5">
                  <c:v>20.2</c:v>
                </c:pt>
              </c:numCache>
            </c:numRef>
          </c:val>
          <c:smooth val="0"/>
          <c:extLst>
            <c:ext xmlns:c16="http://schemas.microsoft.com/office/drawing/2014/chart" uri="{C3380CC4-5D6E-409C-BE32-E72D297353CC}">
              <c16:uniqueId val="{00000001-39CF-D846-977C-DFD9923A1E44}"/>
            </c:ext>
          </c:extLst>
        </c:ser>
        <c:dLbls>
          <c:showLegendKey val="0"/>
          <c:showVal val="0"/>
          <c:showCatName val="0"/>
          <c:showSerName val="0"/>
          <c:showPercent val="0"/>
          <c:showBubbleSize val="0"/>
        </c:dLbls>
        <c:marker val="1"/>
        <c:smooth val="0"/>
        <c:axId val="1891463344"/>
        <c:axId val="1946209008"/>
      </c:lineChart>
      <c:catAx>
        <c:axId val="189146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209008"/>
        <c:crosses val="autoZero"/>
        <c:auto val="1"/>
        <c:lblAlgn val="ctr"/>
        <c:lblOffset val="100"/>
        <c:noMultiLvlLbl val="0"/>
      </c:catAx>
      <c:valAx>
        <c:axId val="19462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46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3:</a:t>
            </a:r>
            <a:r>
              <a:rPr lang="en-US" sz="1100" baseline="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All India(usual</a:t>
            </a:r>
            <a:r>
              <a:rPr lang="en-US" sz="1100" baseline="0">
                <a:latin typeface="Times New Roman" panose="02020603050405020304" pitchFamily="18" charset="0"/>
                <a:cs typeface="Times New Roman" panose="02020603050405020304" pitchFamily="18" charset="0"/>
              </a:rPr>
              <a:t> status)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Sheet2!$B$40</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Sheet2!$A$41:$A$46</c:f>
              <c:strCache>
                <c:ptCount val="6"/>
                <c:pt idx="0">
                  <c:v>2017-18</c:v>
                </c:pt>
                <c:pt idx="1">
                  <c:v>2018-19</c:v>
                </c:pt>
                <c:pt idx="2">
                  <c:v>2019-20</c:v>
                </c:pt>
                <c:pt idx="3">
                  <c:v>2020-21</c:v>
                </c:pt>
                <c:pt idx="4">
                  <c:v>2021-22</c:v>
                </c:pt>
                <c:pt idx="5">
                  <c:v>2022-23</c:v>
                </c:pt>
              </c:strCache>
            </c:strRef>
          </c:cat>
          <c:val>
            <c:numRef>
              <c:f>Sheet2!$B$41:$B$46</c:f>
              <c:numCache>
                <c:formatCode>General</c:formatCode>
                <c:ptCount val="6"/>
                <c:pt idx="0">
                  <c:v>55.5</c:v>
                </c:pt>
                <c:pt idx="1">
                  <c:v>55.6</c:v>
                </c:pt>
                <c:pt idx="2">
                  <c:v>56.8</c:v>
                </c:pt>
                <c:pt idx="3">
                  <c:v>57.5</c:v>
                </c:pt>
                <c:pt idx="4">
                  <c:v>57.3</c:v>
                </c:pt>
                <c:pt idx="5">
                  <c:v>56.2</c:v>
                </c:pt>
              </c:numCache>
            </c:numRef>
          </c:val>
          <c:smooth val="0"/>
          <c:extLst>
            <c:ext xmlns:c16="http://schemas.microsoft.com/office/drawing/2014/chart" uri="{C3380CC4-5D6E-409C-BE32-E72D297353CC}">
              <c16:uniqueId val="{00000000-DC1A-7F48-B1F8-9893A244F6D5}"/>
            </c:ext>
          </c:extLst>
        </c:ser>
        <c:ser>
          <c:idx val="1"/>
          <c:order val="1"/>
          <c:tx>
            <c:strRef>
              <c:f>Sheet2!$C$40</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Sheet2!$A$41:$A$46</c:f>
              <c:strCache>
                <c:ptCount val="6"/>
                <c:pt idx="0">
                  <c:v>2017-18</c:v>
                </c:pt>
                <c:pt idx="1">
                  <c:v>2018-19</c:v>
                </c:pt>
                <c:pt idx="2">
                  <c:v>2019-20</c:v>
                </c:pt>
                <c:pt idx="3">
                  <c:v>2020-21</c:v>
                </c:pt>
                <c:pt idx="4">
                  <c:v>2021-22</c:v>
                </c:pt>
                <c:pt idx="5">
                  <c:v>2022-23</c:v>
                </c:pt>
              </c:strCache>
            </c:strRef>
          </c:cat>
          <c:val>
            <c:numRef>
              <c:f>Sheet2!$C$41:$C$46</c:f>
              <c:numCache>
                <c:formatCode>General</c:formatCode>
                <c:ptCount val="6"/>
                <c:pt idx="0">
                  <c:v>17.5</c:v>
                </c:pt>
                <c:pt idx="1">
                  <c:v>18.600000000000001</c:v>
                </c:pt>
                <c:pt idx="2">
                  <c:v>22.8</c:v>
                </c:pt>
                <c:pt idx="3">
                  <c:v>25.1</c:v>
                </c:pt>
                <c:pt idx="4">
                  <c:v>24.8</c:v>
                </c:pt>
                <c:pt idx="5">
                  <c:v>27.8</c:v>
                </c:pt>
              </c:numCache>
            </c:numRef>
          </c:val>
          <c:smooth val="0"/>
          <c:extLst>
            <c:ext xmlns:c16="http://schemas.microsoft.com/office/drawing/2014/chart" uri="{C3380CC4-5D6E-409C-BE32-E72D297353CC}">
              <c16:uniqueId val="{00000001-DC1A-7F48-B1F8-9893A244F6D5}"/>
            </c:ext>
          </c:extLst>
        </c:ser>
        <c:dLbls>
          <c:showLegendKey val="0"/>
          <c:showVal val="0"/>
          <c:showCatName val="0"/>
          <c:showSerName val="0"/>
          <c:showPercent val="0"/>
          <c:showBubbleSize val="0"/>
        </c:dLbls>
        <c:marker val="1"/>
        <c:smooth val="0"/>
        <c:axId val="1981283936"/>
        <c:axId val="1869753968"/>
      </c:lineChart>
      <c:catAx>
        <c:axId val="198128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9753968"/>
        <c:crosses val="autoZero"/>
        <c:auto val="1"/>
        <c:lblAlgn val="ctr"/>
        <c:lblOffset val="100"/>
        <c:noMultiLvlLbl val="0"/>
      </c:catAx>
      <c:valAx>
        <c:axId val="186975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28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Sheet2!$B$56</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Sheet2!$A$57:$A$62</c:f>
              <c:strCache>
                <c:ptCount val="6"/>
                <c:pt idx="0">
                  <c:v>2017-18</c:v>
                </c:pt>
                <c:pt idx="1">
                  <c:v>2018-19</c:v>
                </c:pt>
                <c:pt idx="2">
                  <c:v>2019-20</c:v>
                </c:pt>
                <c:pt idx="3">
                  <c:v>2020-21</c:v>
                </c:pt>
                <c:pt idx="4">
                  <c:v>2021-22</c:v>
                </c:pt>
                <c:pt idx="5">
                  <c:v>2022-23</c:v>
                </c:pt>
              </c:strCache>
            </c:strRef>
          </c:cat>
          <c:val>
            <c:numRef>
              <c:f>Sheet2!$B$57:$B$62</c:f>
              <c:numCache>
                <c:formatCode>General</c:formatCode>
                <c:ptCount val="6"/>
                <c:pt idx="0">
                  <c:v>51.7</c:v>
                </c:pt>
                <c:pt idx="1">
                  <c:v>52.1</c:v>
                </c:pt>
                <c:pt idx="2">
                  <c:v>53.8</c:v>
                </c:pt>
                <c:pt idx="3">
                  <c:v>54.9</c:v>
                </c:pt>
                <c:pt idx="4">
                  <c:v>54.7</c:v>
                </c:pt>
                <c:pt idx="5">
                  <c:v>54</c:v>
                </c:pt>
              </c:numCache>
            </c:numRef>
          </c:val>
          <c:smooth val="0"/>
          <c:extLst>
            <c:ext xmlns:c16="http://schemas.microsoft.com/office/drawing/2014/chart" uri="{C3380CC4-5D6E-409C-BE32-E72D297353CC}">
              <c16:uniqueId val="{00000000-364D-3046-90CC-A6739D30C067}"/>
            </c:ext>
          </c:extLst>
        </c:ser>
        <c:ser>
          <c:idx val="1"/>
          <c:order val="1"/>
          <c:tx>
            <c:strRef>
              <c:f>Sheet2!$C$56</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Sheet2!$A$57:$A$62</c:f>
              <c:strCache>
                <c:ptCount val="6"/>
                <c:pt idx="0">
                  <c:v>2017-18</c:v>
                </c:pt>
                <c:pt idx="1">
                  <c:v>2018-19</c:v>
                </c:pt>
                <c:pt idx="2">
                  <c:v>2019-20</c:v>
                </c:pt>
                <c:pt idx="3">
                  <c:v>2020-21</c:v>
                </c:pt>
                <c:pt idx="4">
                  <c:v>2021-22</c:v>
                </c:pt>
                <c:pt idx="5">
                  <c:v>2022-23</c:v>
                </c:pt>
              </c:strCache>
            </c:strRef>
          </c:cat>
          <c:val>
            <c:numRef>
              <c:f>Sheet2!$C$57:$C$62</c:f>
              <c:numCache>
                <c:formatCode>General</c:formatCode>
                <c:ptCount val="6"/>
                <c:pt idx="0">
                  <c:v>17.5</c:v>
                </c:pt>
                <c:pt idx="1">
                  <c:v>19</c:v>
                </c:pt>
                <c:pt idx="2">
                  <c:v>24</c:v>
                </c:pt>
                <c:pt idx="3">
                  <c:v>27.1</c:v>
                </c:pt>
                <c:pt idx="4">
                  <c:v>26.6</c:v>
                </c:pt>
                <c:pt idx="5">
                  <c:v>30</c:v>
                </c:pt>
              </c:numCache>
            </c:numRef>
          </c:val>
          <c:smooth val="0"/>
          <c:extLst>
            <c:ext xmlns:c16="http://schemas.microsoft.com/office/drawing/2014/chart" uri="{C3380CC4-5D6E-409C-BE32-E72D297353CC}">
              <c16:uniqueId val="{00000001-364D-3046-90CC-A6739D30C067}"/>
            </c:ext>
          </c:extLst>
        </c:ser>
        <c:dLbls>
          <c:showLegendKey val="0"/>
          <c:showVal val="0"/>
          <c:showCatName val="0"/>
          <c:showSerName val="0"/>
          <c:showPercent val="0"/>
          <c:showBubbleSize val="0"/>
        </c:dLbls>
        <c:marker val="1"/>
        <c:smooth val="0"/>
        <c:axId val="1365580880"/>
        <c:axId val="2019199088"/>
      </c:lineChart>
      <c:catAx>
        <c:axId val="136558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199088"/>
        <c:crosses val="autoZero"/>
        <c:auto val="1"/>
        <c:lblAlgn val="ctr"/>
        <c:lblOffset val="100"/>
        <c:noMultiLvlLbl val="0"/>
      </c:catAx>
      <c:valAx>
        <c:axId val="201919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558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Sheet2!$B$65</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Sheet2!$A$66:$A$71</c:f>
              <c:strCache>
                <c:ptCount val="6"/>
                <c:pt idx="0">
                  <c:v>2017-18</c:v>
                </c:pt>
                <c:pt idx="1">
                  <c:v>2018-19</c:v>
                </c:pt>
                <c:pt idx="2">
                  <c:v>2019-20</c:v>
                </c:pt>
                <c:pt idx="3">
                  <c:v>2020-21</c:v>
                </c:pt>
                <c:pt idx="4">
                  <c:v>2021-22</c:v>
                </c:pt>
                <c:pt idx="5">
                  <c:v>2022-23</c:v>
                </c:pt>
              </c:strCache>
            </c:strRef>
          </c:cat>
          <c:val>
            <c:numRef>
              <c:f>Sheet2!$B$66:$B$71</c:f>
              <c:numCache>
                <c:formatCode>General</c:formatCode>
                <c:ptCount val="6"/>
                <c:pt idx="0">
                  <c:v>53</c:v>
                </c:pt>
                <c:pt idx="1">
                  <c:v>52.7</c:v>
                </c:pt>
                <c:pt idx="2">
                  <c:v>54.1</c:v>
                </c:pt>
                <c:pt idx="3">
                  <c:v>54.9</c:v>
                </c:pt>
                <c:pt idx="4">
                  <c:v>55</c:v>
                </c:pt>
                <c:pt idx="5">
                  <c:v>55.6</c:v>
                </c:pt>
              </c:numCache>
            </c:numRef>
          </c:val>
          <c:smooth val="0"/>
          <c:extLst>
            <c:ext xmlns:c16="http://schemas.microsoft.com/office/drawing/2014/chart" uri="{C3380CC4-5D6E-409C-BE32-E72D297353CC}">
              <c16:uniqueId val="{00000000-8DFB-4E48-9BDF-7FCE2F2036F5}"/>
            </c:ext>
          </c:extLst>
        </c:ser>
        <c:ser>
          <c:idx val="1"/>
          <c:order val="1"/>
          <c:tx>
            <c:strRef>
              <c:f>Sheet2!$C$65</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Sheet2!$A$66:$A$71</c:f>
              <c:strCache>
                <c:ptCount val="6"/>
                <c:pt idx="0">
                  <c:v>2017-18</c:v>
                </c:pt>
                <c:pt idx="1">
                  <c:v>2018-19</c:v>
                </c:pt>
                <c:pt idx="2">
                  <c:v>2019-20</c:v>
                </c:pt>
                <c:pt idx="3">
                  <c:v>2020-21</c:v>
                </c:pt>
                <c:pt idx="4">
                  <c:v>2021-22</c:v>
                </c:pt>
                <c:pt idx="5">
                  <c:v>2022-23</c:v>
                </c:pt>
              </c:strCache>
            </c:strRef>
          </c:cat>
          <c:val>
            <c:numRef>
              <c:f>Sheet2!$C$66:$C$71</c:f>
              <c:numCache>
                <c:formatCode>General</c:formatCode>
                <c:ptCount val="6"/>
                <c:pt idx="0">
                  <c:v>14.2</c:v>
                </c:pt>
                <c:pt idx="1">
                  <c:v>14.5</c:v>
                </c:pt>
                <c:pt idx="2">
                  <c:v>16.8</c:v>
                </c:pt>
                <c:pt idx="3">
                  <c:v>17</c:v>
                </c:pt>
                <c:pt idx="4">
                  <c:v>17.3</c:v>
                </c:pt>
                <c:pt idx="5">
                  <c:v>18.7</c:v>
                </c:pt>
              </c:numCache>
            </c:numRef>
          </c:val>
          <c:smooth val="0"/>
          <c:extLst>
            <c:ext xmlns:c16="http://schemas.microsoft.com/office/drawing/2014/chart" uri="{C3380CC4-5D6E-409C-BE32-E72D297353CC}">
              <c16:uniqueId val="{00000001-8DFB-4E48-9BDF-7FCE2F2036F5}"/>
            </c:ext>
          </c:extLst>
        </c:ser>
        <c:dLbls>
          <c:showLegendKey val="0"/>
          <c:showVal val="0"/>
          <c:showCatName val="0"/>
          <c:showSerName val="0"/>
          <c:showPercent val="0"/>
          <c:showBubbleSize val="0"/>
        </c:dLbls>
        <c:marker val="1"/>
        <c:smooth val="0"/>
        <c:axId val="1977582256"/>
        <c:axId val="1870053008"/>
      </c:lineChart>
      <c:catAx>
        <c:axId val="197758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0053008"/>
        <c:crosses val="autoZero"/>
        <c:auto val="1"/>
        <c:lblAlgn val="ctr"/>
        <c:lblOffset val="100"/>
        <c:noMultiLvlLbl val="0"/>
      </c:catAx>
      <c:valAx>
        <c:axId val="187005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58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Sheet2!$B$75</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Sheet2!$A$76:$A$81</c:f>
              <c:strCache>
                <c:ptCount val="6"/>
                <c:pt idx="0">
                  <c:v>2017-18</c:v>
                </c:pt>
                <c:pt idx="1">
                  <c:v>2018-19</c:v>
                </c:pt>
                <c:pt idx="2">
                  <c:v>2019-20</c:v>
                </c:pt>
                <c:pt idx="3">
                  <c:v>2020-21</c:v>
                </c:pt>
                <c:pt idx="4">
                  <c:v>2021-22</c:v>
                </c:pt>
                <c:pt idx="5">
                  <c:v>2022-23</c:v>
                </c:pt>
              </c:strCache>
            </c:strRef>
          </c:cat>
          <c:val>
            <c:numRef>
              <c:f>Sheet2!$B$76:$B$81</c:f>
              <c:numCache>
                <c:formatCode>General</c:formatCode>
                <c:ptCount val="6"/>
                <c:pt idx="0">
                  <c:v>52.1</c:v>
                </c:pt>
                <c:pt idx="1">
                  <c:v>52.3</c:v>
                </c:pt>
                <c:pt idx="2">
                  <c:v>53.9</c:v>
                </c:pt>
                <c:pt idx="3">
                  <c:v>54.9</c:v>
                </c:pt>
                <c:pt idx="4">
                  <c:v>54.8</c:v>
                </c:pt>
                <c:pt idx="5">
                  <c:v>54.4</c:v>
                </c:pt>
              </c:numCache>
            </c:numRef>
          </c:val>
          <c:smooth val="0"/>
          <c:extLst>
            <c:ext xmlns:c16="http://schemas.microsoft.com/office/drawing/2014/chart" uri="{C3380CC4-5D6E-409C-BE32-E72D297353CC}">
              <c16:uniqueId val="{00000000-7539-F445-B6F5-1864F6029349}"/>
            </c:ext>
          </c:extLst>
        </c:ser>
        <c:ser>
          <c:idx val="1"/>
          <c:order val="1"/>
          <c:tx>
            <c:strRef>
              <c:f>Sheet2!$C$75</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Sheet2!$A$76:$A$81</c:f>
              <c:strCache>
                <c:ptCount val="6"/>
                <c:pt idx="0">
                  <c:v>2017-18</c:v>
                </c:pt>
                <c:pt idx="1">
                  <c:v>2018-19</c:v>
                </c:pt>
                <c:pt idx="2">
                  <c:v>2019-20</c:v>
                </c:pt>
                <c:pt idx="3">
                  <c:v>2020-21</c:v>
                </c:pt>
                <c:pt idx="4">
                  <c:v>2021-22</c:v>
                </c:pt>
                <c:pt idx="5">
                  <c:v>2022-23</c:v>
                </c:pt>
              </c:strCache>
            </c:strRef>
          </c:cat>
          <c:val>
            <c:numRef>
              <c:f>Sheet2!$C$76:$C$81</c:f>
              <c:numCache>
                <c:formatCode>General</c:formatCode>
                <c:ptCount val="6"/>
                <c:pt idx="0">
                  <c:v>16.5</c:v>
                </c:pt>
                <c:pt idx="1">
                  <c:v>17.600000000000001</c:v>
                </c:pt>
                <c:pt idx="2">
                  <c:v>21.8</c:v>
                </c:pt>
                <c:pt idx="3">
                  <c:v>24.2</c:v>
                </c:pt>
                <c:pt idx="4">
                  <c:v>24</c:v>
                </c:pt>
                <c:pt idx="5">
                  <c:v>27</c:v>
                </c:pt>
              </c:numCache>
            </c:numRef>
          </c:val>
          <c:smooth val="0"/>
          <c:extLst>
            <c:ext xmlns:c16="http://schemas.microsoft.com/office/drawing/2014/chart" uri="{C3380CC4-5D6E-409C-BE32-E72D297353CC}">
              <c16:uniqueId val="{00000001-7539-F445-B6F5-1864F6029349}"/>
            </c:ext>
          </c:extLst>
        </c:ser>
        <c:dLbls>
          <c:showLegendKey val="0"/>
          <c:showVal val="0"/>
          <c:showCatName val="0"/>
          <c:showSerName val="0"/>
          <c:showPercent val="0"/>
          <c:showBubbleSize val="0"/>
        </c:dLbls>
        <c:marker val="1"/>
        <c:smooth val="0"/>
        <c:axId val="1806737760"/>
        <c:axId val="1806739680"/>
      </c:lineChart>
      <c:catAx>
        <c:axId val="180673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739680"/>
        <c:crosses val="autoZero"/>
        <c:auto val="1"/>
        <c:lblAlgn val="ctr"/>
        <c:lblOffset val="100"/>
        <c:noMultiLvlLbl val="0"/>
      </c:catAx>
      <c:valAx>
        <c:axId val="180673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73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endParaRPr lang="en-US" sz="1100">
              <a:latin typeface="Times New Roman" panose="02020603050405020304" pitchFamily="18" charset="0"/>
              <a:cs typeface="Times New Roman" panose="02020603050405020304" pitchFamily="18" charset="0"/>
            </a:endParaRPr>
          </a:p>
        </c:rich>
      </c:tx>
      <c:layout>
        <c:manualLayout>
          <c:xMode val="edge"/>
          <c:yMode val="edge"/>
          <c:x val="0.21700502448272252"/>
          <c:y val="2.081706999739786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670292344678633E-2"/>
          <c:y val="0.18106470679209505"/>
          <c:w val="0.87692613083997983"/>
          <c:h val="0.38181691848723859"/>
        </c:manualLayout>
      </c:layout>
      <c:lineChart>
        <c:grouping val="standard"/>
        <c:varyColors val="0"/>
        <c:ser>
          <c:idx val="0"/>
          <c:order val="0"/>
          <c:tx>
            <c:strRef>
              <c:f>Sheet1!$D$90:$D$91</c:f>
              <c:strCache>
                <c:ptCount val="2"/>
                <c:pt idx="0">
                  <c:v>rural</c:v>
                </c:pt>
                <c:pt idx="1">
                  <c:v>Usual status(male)</c:v>
                </c:pt>
              </c:strCache>
            </c:strRef>
          </c:tx>
          <c:spPr>
            <a:ln w="28575" cap="rnd">
              <a:solidFill>
                <a:schemeClr val="accent1"/>
              </a:solidFill>
              <a:round/>
            </a:ln>
            <a:effectLst/>
          </c:spPr>
          <c:marker>
            <c:symbol val="none"/>
          </c:marker>
          <c:dLbls>
            <c:dLbl>
              <c:idx val="0"/>
              <c:layout>
                <c:manualLayout>
                  <c:x val="-5.8581578465482537E-2"/>
                  <c:y val="-4.5545118132650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C9-3148-9839-631747F0DB2A}"/>
                </c:ext>
              </c:extLst>
            </c:dLbl>
            <c:dLbl>
              <c:idx val="1"/>
              <c:layout>
                <c:manualLayout>
                  <c:x val="-6.7883354696941955E-2"/>
                  <c:y val="-3.985197836606888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8.4604651162790687E-2"/>
                      <c:h val="6.8232504241837411E-2"/>
                    </c:manualLayout>
                  </c15:layout>
                </c:ext>
                <c:ext xmlns:c16="http://schemas.microsoft.com/office/drawing/2014/chart" uri="{C3380CC4-5D6E-409C-BE32-E72D297353CC}">
                  <c16:uniqueId val="{00000004-F8C9-3148-9839-631747F0DB2A}"/>
                </c:ext>
              </c:extLst>
            </c:dLbl>
            <c:dLbl>
              <c:idx val="2"/>
              <c:layout>
                <c:manualLayout>
                  <c:x val="-6.3232741256180183E-2"/>
                  <c:y val="-3.9851978366068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C9-3148-9839-631747F0DB2A}"/>
                </c:ext>
              </c:extLst>
            </c:dLbl>
            <c:dLbl>
              <c:idx val="3"/>
              <c:layout>
                <c:manualLayout>
                  <c:x val="-6.7883904046877858E-2"/>
                  <c:y val="-3.98519783660688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C9-3148-9839-631747F0DB2A}"/>
                </c:ext>
              </c:extLst>
            </c:dLbl>
            <c:dLbl>
              <c:idx val="4"/>
              <c:layout>
                <c:manualLayout>
                  <c:x val="-7.253451748763963E-2"/>
                  <c:y val="-2.846569883290640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8.4604651162790687E-2"/>
                      <c:h val="6.253936447525614E-2"/>
                    </c:manualLayout>
                  </c15:layout>
                </c:ext>
                <c:ext xmlns:c16="http://schemas.microsoft.com/office/drawing/2014/chart" uri="{C3380CC4-5D6E-409C-BE32-E72D297353CC}">
                  <c16:uniqueId val="{00000001-F8C9-3148-9839-631747F0DB2A}"/>
                </c:ext>
              </c:extLst>
            </c:dLbl>
            <c:dLbl>
              <c:idx val="5"/>
              <c:layout>
                <c:manualLayout>
                  <c:x val="-6.7883354696942122E-2"/>
                  <c:y val="-3.985175422670799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8.4604651162790687E-2"/>
                      <c:h val="9.6698203074743735E-2"/>
                    </c:manualLayout>
                  </c15:layout>
                </c:ext>
                <c:ext xmlns:c16="http://schemas.microsoft.com/office/drawing/2014/chart" uri="{C3380CC4-5D6E-409C-BE32-E72D297353CC}">
                  <c16:uniqueId val="{00000002-F8C9-3148-9839-631747F0DB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Sheet1!$C$92:$C$97</c:f>
              <c:strCache>
                <c:ptCount val="6"/>
                <c:pt idx="0">
                  <c:v>2017-18</c:v>
                </c:pt>
                <c:pt idx="1">
                  <c:v>2018-19</c:v>
                </c:pt>
                <c:pt idx="2">
                  <c:v>2019-20</c:v>
                </c:pt>
                <c:pt idx="3">
                  <c:v>2020-21</c:v>
                </c:pt>
                <c:pt idx="4">
                  <c:v>2021-22</c:v>
                </c:pt>
                <c:pt idx="5">
                  <c:v>2022-23</c:v>
                </c:pt>
              </c:strCache>
            </c:strRef>
          </c:cat>
          <c:val>
            <c:numRef>
              <c:f>Sheet1!$D$92:$D$97</c:f>
              <c:numCache>
                <c:formatCode>General</c:formatCode>
                <c:ptCount val="6"/>
                <c:pt idx="0">
                  <c:v>5.8</c:v>
                </c:pt>
                <c:pt idx="1">
                  <c:v>5.6</c:v>
                </c:pt>
                <c:pt idx="2">
                  <c:v>4.5</c:v>
                </c:pt>
                <c:pt idx="3">
                  <c:v>3.9</c:v>
                </c:pt>
                <c:pt idx="4">
                  <c:v>3.8</c:v>
                </c:pt>
                <c:pt idx="5">
                  <c:v>2.8</c:v>
                </c:pt>
              </c:numCache>
            </c:numRef>
          </c:val>
          <c:smooth val="0"/>
          <c:extLst>
            <c:ext xmlns:c16="http://schemas.microsoft.com/office/drawing/2014/chart" uri="{C3380CC4-5D6E-409C-BE32-E72D297353CC}">
              <c16:uniqueId val="{00000000-EF54-BD46-B4B4-FBF9AD466415}"/>
            </c:ext>
          </c:extLst>
        </c:ser>
        <c:ser>
          <c:idx val="1"/>
          <c:order val="1"/>
          <c:tx>
            <c:strRef>
              <c:f>Sheet1!$E$90:$E$91</c:f>
              <c:strCache>
                <c:ptCount val="2"/>
                <c:pt idx="0">
                  <c:v>rural</c:v>
                </c:pt>
                <c:pt idx="1">
                  <c:v>Usual status 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Sheet1!$C$92:$C$97</c:f>
              <c:strCache>
                <c:ptCount val="6"/>
                <c:pt idx="0">
                  <c:v>2017-18</c:v>
                </c:pt>
                <c:pt idx="1">
                  <c:v>2018-19</c:v>
                </c:pt>
                <c:pt idx="2">
                  <c:v>2019-20</c:v>
                </c:pt>
                <c:pt idx="3">
                  <c:v>2020-21</c:v>
                </c:pt>
                <c:pt idx="4">
                  <c:v>2021-22</c:v>
                </c:pt>
                <c:pt idx="5">
                  <c:v>2022-23</c:v>
                </c:pt>
              </c:strCache>
            </c:strRef>
          </c:cat>
          <c:val>
            <c:numRef>
              <c:f>Sheet1!$E$92:$E$97</c:f>
              <c:numCache>
                <c:formatCode>General</c:formatCode>
                <c:ptCount val="6"/>
                <c:pt idx="0">
                  <c:v>3.8</c:v>
                </c:pt>
                <c:pt idx="1">
                  <c:v>3.5</c:v>
                </c:pt>
                <c:pt idx="2">
                  <c:v>2.6</c:v>
                </c:pt>
                <c:pt idx="3">
                  <c:v>2.1</c:v>
                </c:pt>
                <c:pt idx="4">
                  <c:v>2.1</c:v>
                </c:pt>
                <c:pt idx="5">
                  <c:v>1.8</c:v>
                </c:pt>
              </c:numCache>
            </c:numRef>
          </c:val>
          <c:smooth val="0"/>
          <c:extLst>
            <c:ext xmlns:c16="http://schemas.microsoft.com/office/drawing/2014/chart" uri="{C3380CC4-5D6E-409C-BE32-E72D297353CC}">
              <c16:uniqueId val="{00000001-EF54-BD46-B4B4-FBF9AD466415}"/>
            </c:ext>
          </c:extLst>
        </c:ser>
        <c:dLbls>
          <c:dLblPos val="ctr"/>
          <c:showLegendKey val="0"/>
          <c:showVal val="1"/>
          <c:showCatName val="0"/>
          <c:showSerName val="0"/>
          <c:showPercent val="0"/>
          <c:showBubbleSize val="0"/>
        </c:dLbls>
        <c:smooth val="0"/>
        <c:axId val="1545942416"/>
        <c:axId val="1610772064"/>
      </c:lineChart>
      <c:catAx>
        <c:axId val="154594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0772064"/>
        <c:crosses val="autoZero"/>
        <c:auto val="1"/>
        <c:lblAlgn val="ctr"/>
        <c:lblOffset val="100"/>
        <c:noMultiLvlLbl val="0"/>
      </c:catAx>
      <c:valAx>
        <c:axId val="161077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5942416"/>
        <c:crosses val="autoZero"/>
        <c:crossBetween val="between"/>
      </c:valAx>
      <c:spPr>
        <a:noFill/>
        <a:ln>
          <a:noFill/>
        </a:ln>
        <a:effectLst/>
      </c:spPr>
    </c:plotArea>
    <c:legend>
      <c:legendPos val="b"/>
      <c:layout>
        <c:manualLayout>
          <c:xMode val="edge"/>
          <c:yMode val="edge"/>
          <c:x val="5.8917780626258937E-2"/>
          <c:y val="0.78223605909210114"/>
          <c:w val="0.84030360739791243"/>
          <c:h val="0.18360510230841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Sheet1!$D$101</c:f>
              <c:strCache>
                <c:ptCount val="1"/>
                <c:pt idx="0">
                  <c:v>Usual status(male)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Sheet1!$C$102:$C$107</c:f>
              <c:strCache>
                <c:ptCount val="6"/>
                <c:pt idx="0">
                  <c:v>2017-18</c:v>
                </c:pt>
                <c:pt idx="1">
                  <c:v>2018-19</c:v>
                </c:pt>
                <c:pt idx="2">
                  <c:v>2019-20</c:v>
                </c:pt>
                <c:pt idx="3">
                  <c:v>2020-21</c:v>
                </c:pt>
                <c:pt idx="4">
                  <c:v>2021-22</c:v>
                </c:pt>
                <c:pt idx="5">
                  <c:v>2022-23</c:v>
                </c:pt>
              </c:strCache>
            </c:strRef>
          </c:cat>
          <c:val>
            <c:numRef>
              <c:f>Sheet1!$D$102:$D$107</c:f>
              <c:numCache>
                <c:formatCode>General</c:formatCode>
                <c:ptCount val="6"/>
                <c:pt idx="0">
                  <c:v>7.1</c:v>
                </c:pt>
                <c:pt idx="1">
                  <c:v>7.1</c:v>
                </c:pt>
                <c:pt idx="2">
                  <c:v>6.4</c:v>
                </c:pt>
                <c:pt idx="3">
                  <c:v>6.1</c:v>
                </c:pt>
                <c:pt idx="4">
                  <c:v>5.8</c:v>
                </c:pt>
                <c:pt idx="5">
                  <c:v>4.7</c:v>
                </c:pt>
              </c:numCache>
            </c:numRef>
          </c:val>
          <c:smooth val="0"/>
          <c:extLst>
            <c:ext xmlns:c16="http://schemas.microsoft.com/office/drawing/2014/chart" uri="{C3380CC4-5D6E-409C-BE32-E72D297353CC}">
              <c16:uniqueId val="{00000000-5BE4-2943-965E-53C7B97730B6}"/>
            </c:ext>
          </c:extLst>
        </c:ser>
        <c:ser>
          <c:idx val="1"/>
          <c:order val="1"/>
          <c:tx>
            <c:strRef>
              <c:f>Sheet1!$E$101</c:f>
              <c:strCache>
                <c:ptCount val="1"/>
                <c:pt idx="0">
                  <c:v>usual status 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Sheet1!$C$102:$C$107</c:f>
              <c:strCache>
                <c:ptCount val="6"/>
                <c:pt idx="0">
                  <c:v>2017-18</c:v>
                </c:pt>
                <c:pt idx="1">
                  <c:v>2018-19</c:v>
                </c:pt>
                <c:pt idx="2">
                  <c:v>2019-20</c:v>
                </c:pt>
                <c:pt idx="3">
                  <c:v>2020-21</c:v>
                </c:pt>
                <c:pt idx="4">
                  <c:v>2021-22</c:v>
                </c:pt>
                <c:pt idx="5">
                  <c:v>2022-23</c:v>
                </c:pt>
              </c:strCache>
            </c:strRef>
          </c:cat>
          <c:val>
            <c:numRef>
              <c:f>Sheet1!$E$102:$E$107</c:f>
              <c:numCache>
                <c:formatCode>General</c:formatCode>
                <c:ptCount val="6"/>
                <c:pt idx="0">
                  <c:v>10.8</c:v>
                </c:pt>
                <c:pt idx="1">
                  <c:v>9.9</c:v>
                </c:pt>
                <c:pt idx="2">
                  <c:v>8.9</c:v>
                </c:pt>
                <c:pt idx="3">
                  <c:v>8.6</c:v>
                </c:pt>
                <c:pt idx="4">
                  <c:v>7.9</c:v>
                </c:pt>
                <c:pt idx="5">
                  <c:v>7.5</c:v>
                </c:pt>
              </c:numCache>
            </c:numRef>
          </c:val>
          <c:smooth val="0"/>
          <c:extLst>
            <c:ext xmlns:c16="http://schemas.microsoft.com/office/drawing/2014/chart" uri="{C3380CC4-5D6E-409C-BE32-E72D297353CC}">
              <c16:uniqueId val="{00000001-5BE4-2943-965E-53C7B97730B6}"/>
            </c:ext>
          </c:extLst>
        </c:ser>
        <c:dLbls>
          <c:dLblPos val="ctr"/>
          <c:showLegendKey val="0"/>
          <c:showVal val="1"/>
          <c:showCatName val="0"/>
          <c:showSerName val="0"/>
          <c:showPercent val="0"/>
          <c:showBubbleSize val="0"/>
        </c:dLbls>
        <c:smooth val="0"/>
        <c:axId val="1837314672"/>
        <c:axId val="1849711712"/>
      </c:lineChart>
      <c:catAx>
        <c:axId val="183731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11712"/>
        <c:crosses val="autoZero"/>
        <c:auto val="1"/>
        <c:lblAlgn val="ctr"/>
        <c:lblOffset val="100"/>
        <c:noMultiLvlLbl val="0"/>
      </c:catAx>
      <c:valAx>
        <c:axId val="184971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31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Figure 9:All</a:t>
            </a:r>
            <a:r>
              <a:rPr lang="en-US" sz="1100" baseline="0">
                <a:latin typeface="Times New Roman" panose="02020603050405020304" pitchFamily="18" charset="0"/>
                <a:cs typeface="Times New Roman" panose="02020603050405020304" pitchFamily="18" charset="0"/>
              </a:rPr>
              <a:t> India(usual status)</a:t>
            </a:r>
            <a:endParaRPr lang="en-US" sz="1100">
              <a:latin typeface="Times New Roman" panose="02020603050405020304" pitchFamily="18" charset="0"/>
              <a:cs typeface="Times New Roman" panose="02020603050405020304" pitchFamily="18" charset="0"/>
            </a:endParaRPr>
          </a:p>
        </c:rich>
      </c:tx>
      <c:layout>
        <c:manualLayout>
          <c:xMode val="edge"/>
          <c:yMode val="edge"/>
          <c:x val="0.35685700341630061"/>
          <c:y val="2.65545474662535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Sheet2!$C$3</c:f>
              <c:strCache>
                <c:ptCount val="1"/>
                <c:pt idx="0">
                  <c:v>male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Sheet2!$B$4:$B$9</c:f>
              <c:strCache>
                <c:ptCount val="6"/>
                <c:pt idx="0">
                  <c:v>2017-18</c:v>
                </c:pt>
                <c:pt idx="1">
                  <c:v>2018-19</c:v>
                </c:pt>
                <c:pt idx="2">
                  <c:v>2019-20</c:v>
                </c:pt>
                <c:pt idx="3">
                  <c:v>2020-21</c:v>
                </c:pt>
                <c:pt idx="4">
                  <c:v>2021-22</c:v>
                </c:pt>
                <c:pt idx="5">
                  <c:v>2022-23</c:v>
                </c:pt>
              </c:strCache>
            </c:strRef>
          </c:cat>
          <c:val>
            <c:numRef>
              <c:f>Sheet2!$C$4:$C$9</c:f>
              <c:numCache>
                <c:formatCode>General</c:formatCode>
                <c:ptCount val="6"/>
                <c:pt idx="0">
                  <c:v>6.2</c:v>
                </c:pt>
                <c:pt idx="1">
                  <c:v>6</c:v>
                </c:pt>
                <c:pt idx="2">
                  <c:v>5.0999999999999996</c:v>
                </c:pt>
                <c:pt idx="3">
                  <c:v>4.5</c:v>
                </c:pt>
                <c:pt idx="4">
                  <c:v>4.4000000000000004</c:v>
                </c:pt>
                <c:pt idx="5">
                  <c:v>3.3</c:v>
                </c:pt>
              </c:numCache>
            </c:numRef>
          </c:val>
          <c:smooth val="0"/>
          <c:extLst>
            <c:ext xmlns:c16="http://schemas.microsoft.com/office/drawing/2014/chart" uri="{C3380CC4-5D6E-409C-BE32-E72D297353CC}">
              <c16:uniqueId val="{00000000-B80A-A346-BD60-2ADF6D3385CC}"/>
            </c:ext>
          </c:extLst>
        </c:ser>
        <c:ser>
          <c:idx val="1"/>
          <c:order val="1"/>
          <c:tx>
            <c:strRef>
              <c:f>Sheet2!$D$3</c:f>
              <c:strCache>
                <c:ptCount val="1"/>
                <c:pt idx="0">
                  <c:v>female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Sheet2!$B$4:$B$9</c:f>
              <c:strCache>
                <c:ptCount val="6"/>
                <c:pt idx="0">
                  <c:v>2017-18</c:v>
                </c:pt>
                <c:pt idx="1">
                  <c:v>2018-19</c:v>
                </c:pt>
                <c:pt idx="2">
                  <c:v>2019-20</c:v>
                </c:pt>
                <c:pt idx="3">
                  <c:v>2020-21</c:v>
                </c:pt>
                <c:pt idx="4">
                  <c:v>2021-22</c:v>
                </c:pt>
                <c:pt idx="5">
                  <c:v>2022-23</c:v>
                </c:pt>
              </c:strCache>
            </c:strRef>
          </c:cat>
          <c:val>
            <c:numRef>
              <c:f>Sheet2!$D$4:$D$9</c:f>
              <c:numCache>
                <c:formatCode>General</c:formatCode>
                <c:ptCount val="6"/>
                <c:pt idx="0">
                  <c:v>5.7</c:v>
                </c:pt>
                <c:pt idx="1">
                  <c:v>5.2</c:v>
                </c:pt>
                <c:pt idx="2">
                  <c:v>4.2</c:v>
                </c:pt>
                <c:pt idx="3">
                  <c:v>3.5</c:v>
                </c:pt>
                <c:pt idx="4">
                  <c:v>3.3</c:v>
                </c:pt>
                <c:pt idx="5">
                  <c:v>2.9</c:v>
                </c:pt>
              </c:numCache>
            </c:numRef>
          </c:val>
          <c:smooth val="0"/>
          <c:extLst>
            <c:ext xmlns:c16="http://schemas.microsoft.com/office/drawing/2014/chart" uri="{C3380CC4-5D6E-409C-BE32-E72D297353CC}">
              <c16:uniqueId val="{00000001-B80A-A346-BD60-2ADF6D3385CC}"/>
            </c:ext>
          </c:extLst>
        </c:ser>
        <c:dLbls>
          <c:showLegendKey val="0"/>
          <c:showVal val="0"/>
          <c:showCatName val="0"/>
          <c:showSerName val="0"/>
          <c:showPercent val="0"/>
          <c:showBubbleSize val="0"/>
        </c:dLbls>
        <c:marker val="1"/>
        <c:smooth val="0"/>
        <c:axId val="1891572256"/>
        <c:axId val="1891404544"/>
      </c:lineChart>
      <c:catAx>
        <c:axId val="189157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404544"/>
        <c:crosses val="autoZero"/>
        <c:auto val="1"/>
        <c:lblAlgn val="ctr"/>
        <c:lblOffset val="100"/>
        <c:noMultiLvlLbl val="0"/>
      </c:catAx>
      <c:valAx>
        <c:axId val="189140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57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4C05E-0A5E-446D-9B63-131DA95C1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preetybasumatary12345@gmail.com</dc:creator>
  <cp:keywords/>
  <dc:description/>
  <cp:lastModifiedBy>SDI PC 1170</cp:lastModifiedBy>
  <cp:revision>10</cp:revision>
  <dcterms:created xsi:type="dcterms:W3CDTF">2026-01-12T14:39:00Z</dcterms:created>
  <dcterms:modified xsi:type="dcterms:W3CDTF">2026-01-21T11:01:00Z</dcterms:modified>
</cp:coreProperties>
</file>