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605A1" w14:textId="2E5AA4A4" w:rsidR="000E3F2B" w:rsidRDefault="000E3F2B" w:rsidP="007D5394">
      <w:pPr>
        <w:jc w:val="center"/>
        <w:rPr>
          <w:b/>
          <w:bCs/>
          <w:sz w:val="24"/>
          <w:szCs w:val="24"/>
        </w:rPr>
      </w:pPr>
      <w:r w:rsidRPr="000E3F2B">
        <w:rPr>
          <w:b/>
          <w:bCs/>
          <w:sz w:val="24"/>
          <w:szCs w:val="24"/>
        </w:rPr>
        <w:t xml:space="preserve">Systematic </w:t>
      </w:r>
      <w:r>
        <w:rPr>
          <w:b/>
          <w:bCs/>
          <w:sz w:val="24"/>
          <w:szCs w:val="24"/>
        </w:rPr>
        <w:t>R</w:t>
      </w:r>
      <w:r w:rsidRPr="000E3F2B">
        <w:rPr>
          <w:b/>
          <w:bCs/>
          <w:sz w:val="24"/>
          <w:szCs w:val="24"/>
        </w:rPr>
        <w:t>eview</w:t>
      </w:r>
    </w:p>
    <w:p w14:paraId="002B7834" w14:textId="28ACD2F7" w:rsidR="002579E5" w:rsidRDefault="006479F2" w:rsidP="007D5394">
      <w:pPr>
        <w:jc w:val="center"/>
        <w:rPr>
          <w:b/>
          <w:bCs/>
          <w:sz w:val="24"/>
          <w:szCs w:val="24"/>
        </w:rPr>
      </w:pPr>
      <w:r w:rsidRPr="00274C89">
        <w:rPr>
          <w:b/>
          <w:bCs/>
          <w:sz w:val="24"/>
          <w:szCs w:val="24"/>
        </w:rPr>
        <w:t xml:space="preserve">Greenflation: A review of the </w:t>
      </w:r>
      <w:r w:rsidR="009C0A92" w:rsidRPr="00274C89">
        <w:rPr>
          <w:b/>
          <w:bCs/>
          <w:sz w:val="24"/>
          <w:szCs w:val="24"/>
        </w:rPr>
        <w:t>E</w:t>
      </w:r>
      <w:r w:rsidRPr="00274C89">
        <w:rPr>
          <w:b/>
          <w:bCs/>
          <w:sz w:val="24"/>
          <w:szCs w:val="24"/>
        </w:rPr>
        <w:t>vidence linking the Green Energy Transition to Short-Run Inflation Pressures</w:t>
      </w:r>
    </w:p>
    <w:p w14:paraId="38EE4A80" w14:textId="77777777" w:rsidR="000E3F2B" w:rsidRDefault="000E3F2B" w:rsidP="007D5394">
      <w:pPr>
        <w:jc w:val="center"/>
        <w:rPr>
          <w:b/>
          <w:bCs/>
          <w:sz w:val="24"/>
          <w:szCs w:val="24"/>
        </w:rPr>
      </w:pPr>
    </w:p>
    <w:p w14:paraId="6DE33E1A" w14:textId="77777777" w:rsidR="00B46C71" w:rsidRDefault="00B46C71" w:rsidP="003C68A5">
      <w:pPr>
        <w:jc w:val="both"/>
        <w:rPr>
          <w:b/>
          <w:bCs/>
          <w:sz w:val="24"/>
          <w:szCs w:val="24"/>
        </w:rPr>
      </w:pPr>
    </w:p>
    <w:p w14:paraId="357C2BCF" w14:textId="0A4E035A" w:rsidR="003C68A5" w:rsidRPr="003C68A5" w:rsidRDefault="003C68A5" w:rsidP="003C68A5">
      <w:pPr>
        <w:jc w:val="both"/>
        <w:rPr>
          <w:b/>
          <w:bCs/>
          <w:sz w:val="24"/>
          <w:szCs w:val="24"/>
        </w:rPr>
      </w:pPr>
      <w:r w:rsidRPr="003C68A5">
        <w:rPr>
          <w:b/>
          <w:bCs/>
          <w:sz w:val="24"/>
          <w:szCs w:val="24"/>
        </w:rPr>
        <w:t>ABSTRACT</w:t>
      </w:r>
    </w:p>
    <w:p w14:paraId="7CD43B80" w14:textId="235DED1D" w:rsidR="003C68A5" w:rsidRPr="003C68A5" w:rsidRDefault="003C68A5" w:rsidP="003C68A5">
      <w:pPr>
        <w:jc w:val="both"/>
        <w:rPr>
          <w:sz w:val="24"/>
          <w:szCs w:val="24"/>
        </w:rPr>
      </w:pPr>
      <w:r w:rsidRPr="003C68A5">
        <w:rPr>
          <w:b/>
          <w:bCs/>
          <w:sz w:val="24"/>
          <w:szCs w:val="24"/>
        </w:rPr>
        <w:t>Background:</w:t>
      </w:r>
      <w:r w:rsidRPr="003C68A5">
        <w:rPr>
          <w:sz w:val="24"/>
          <w:szCs w:val="24"/>
        </w:rPr>
        <w:t xml:space="preserve"> The rapid shift to renewable energy and net-zero policies has raised concerns about greenflation</w:t>
      </w:r>
      <w:r w:rsidR="000C40CE" w:rsidRPr="00274C89">
        <w:rPr>
          <w:sz w:val="24"/>
          <w:szCs w:val="24"/>
        </w:rPr>
        <w:t>.</w:t>
      </w:r>
      <w:r w:rsidRPr="003C68A5">
        <w:rPr>
          <w:sz w:val="24"/>
          <w:szCs w:val="24"/>
        </w:rPr>
        <w:t xml:space="preserve"> </w:t>
      </w:r>
      <w:r w:rsidR="000C40CE" w:rsidRPr="00274C89">
        <w:rPr>
          <w:sz w:val="24"/>
          <w:szCs w:val="24"/>
        </w:rPr>
        <w:t xml:space="preserve">A </w:t>
      </w:r>
      <w:r w:rsidRPr="003C68A5">
        <w:rPr>
          <w:sz w:val="24"/>
          <w:szCs w:val="24"/>
        </w:rPr>
        <w:t xml:space="preserve">temporary upward pressure on consumer prices caused by the green transition itself. Despite widespread discussion, no systematic synthesis of the latest empirical evidence </w:t>
      </w:r>
      <w:r w:rsidR="000C40CE" w:rsidRPr="00274C89">
        <w:rPr>
          <w:sz w:val="24"/>
          <w:szCs w:val="24"/>
        </w:rPr>
        <w:t xml:space="preserve">concrete enough </w:t>
      </w:r>
      <w:r w:rsidRPr="003C68A5">
        <w:rPr>
          <w:sz w:val="24"/>
          <w:szCs w:val="24"/>
        </w:rPr>
        <w:t>has been available.</w:t>
      </w:r>
      <w:r w:rsidRPr="00274C89">
        <w:rPr>
          <w:sz w:val="24"/>
          <w:szCs w:val="24"/>
        </w:rPr>
        <w:t xml:space="preserve"> </w:t>
      </w:r>
      <w:r w:rsidRPr="003C68A5">
        <w:rPr>
          <w:b/>
          <w:bCs/>
          <w:sz w:val="24"/>
          <w:szCs w:val="24"/>
        </w:rPr>
        <w:t>Aim:</w:t>
      </w:r>
      <w:r w:rsidRPr="003C68A5">
        <w:rPr>
          <w:sz w:val="24"/>
          <w:szCs w:val="24"/>
        </w:rPr>
        <w:t xml:space="preserve"> This systematic review critically evaluates the strength, magnitude, and duration of short-run inflation</w:t>
      </w:r>
      <w:r w:rsidR="000C40CE" w:rsidRPr="00274C89">
        <w:rPr>
          <w:sz w:val="24"/>
          <w:szCs w:val="24"/>
        </w:rPr>
        <w:t>ary</w:t>
      </w:r>
      <w:r w:rsidRPr="003C68A5">
        <w:rPr>
          <w:sz w:val="24"/>
          <w:szCs w:val="24"/>
        </w:rPr>
        <w:t xml:space="preserve"> effects arising from </w:t>
      </w:r>
      <w:r w:rsidR="000C40CE" w:rsidRPr="00274C89">
        <w:rPr>
          <w:sz w:val="24"/>
          <w:szCs w:val="24"/>
        </w:rPr>
        <w:t xml:space="preserve">certain sources like </w:t>
      </w:r>
      <w:r w:rsidRPr="003C68A5">
        <w:rPr>
          <w:sz w:val="24"/>
          <w:szCs w:val="24"/>
        </w:rPr>
        <w:t>carbon pricing, critical-mineral demand shocks, and large-scale green investment programmes.</w:t>
      </w:r>
      <w:r w:rsidRPr="00274C89">
        <w:rPr>
          <w:sz w:val="24"/>
          <w:szCs w:val="24"/>
        </w:rPr>
        <w:t xml:space="preserve"> </w:t>
      </w:r>
      <w:r w:rsidRPr="003C68A5">
        <w:rPr>
          <w:b/>
          <w:bCs/>
          <w:sz w:val="24"/>
          <w:szCs w:val="24"/>
        </w:rPr>
        <w:t>Methods:</w:t>
      </w:r>
      <w:r w:rsidRPr="003C68A5">
        <w:rPr>
          <w:sz w:val="24"/>
          <w:szCs w:val="24"/>
        </w:rPr>
        <w:t xml:space="preserve"> Following PRISMA 2020 guidelines, we searched Scopus, Web of Science, </w:t>
      </w:r>
      <w:proofErr w:type="spellStart"/>
      <w:r w:rsidRPr="003C68A5">
        <w:rPr>
          <w:sz w:val="24"/>
          <w:szCs w:val="24"/>
        </w:rPr>
        <w:t>EconLit</w:t>
      </w:r>
      <w:proofErr w:type="spellEnd"/>
      <w:r w:rsidRPr="003C68A5">
        <w:rPr>
          <w:sz w:val="24"/>
          <w:szCs w:val="24"/>
        </w:rPr>
        <w:t xml:space="preserve">, </w:t>
      </w:r>
      <w:proofErr w:type="spellStart"/>
      <w:r w:rsidRPr="003C68A5">
        <w:rPr>
          <w:sz w:val="24"/>
          <w:szCs w:val="24"/>
        </w:rPr>
        <w:t>RePEc</w:t>
      </w:r>
      <w:proofErr w:type="spellEnd"/>
      <w:r w:rsidRPr="003C68A5">
        <w:rPr>
          <w:sz w:val="24"/>
          <w:szCs w:val="24"/>
        </w:rPr>
        <w:t xml:space="preserve">/IDEAS, SSRN, Google Scholar, and major central-bank and international-organisation repositories for </w:t>
      </w:r>
      <w:r w:rsidR="008C0DE0" w:rsidRPr="00274C89">
        <w:rPr>
          <w:sz w:val="24"/>
          <w:szCs w:val="24"/>
        </w:rPr>
        <w:t>reports</w:t>
      </w:r>
      <w:r w:rsidRPr="003C68A5">
        <w:rPr>
          <w:sz w:val="24"/>
          <w:szCs w:val="24"/>
        </w:rPr>
        <w:t xml:space="preserve"> published between 2015 and 2025. Eligible studies had to provide rigorous causal or model-based estimates of the impact of real-world green-transition policies or shocks on headline or core CPI within the first five years. After screening 1,322 records, eight high-quality empirical studies (2023–2025) were included and assessed with a modified Newcastle-Ottawa tool. Results were synthesised narratively and, where possible, by random-effects meta-analysis.</w:t>
      </w:r>
      <w:r w:rsidRPr="00274C89">
        <w:rPr>
          <w:sz w:val="24"/>
          <w:szCs w:val="24"/>
        </w:rPr>
        <w:t xml:space="preserve"> </w:t>
      </w:r>
      <w:r w:rsidRPr="003C68A5">
        <w:rPr>
          <w:b/>
          <w:bCs/>
          <w:sz w:val="24"/>
          <w:szCs w:val="24"/>
        </w:rPr>
        <w:t>Results:</w:t>
      </w:r>
      <w:r w:rsidRPr="003C68A5">
        <w:rPr>
          <w:sz w:val="24"/>
          <w:szCs w:val="24"/>
        </w:rPr>
        <w:t xml:space="preserve"> All eight studies (covering the euro area, OECD, G20, and global panels) confirm positive short-run greenflation. The pooled meta-analytic estimate is +0.81 percentage points (95 % CI: 0.58–1.04) on headline inflation at the one-year horizon and +0.93 pp (95 % CI: 0.66–1.20) at peak (usually 4–8 quarters). Effects are strongest from carbon-price increases (up to +1.4 pp) and mineral shortages (up to +2.1 pp), weaker from pure investment booms (+0.3–0.9 pp), and consistently larger in the euro area and during the 2021–2023 high-inflation episode. The shock is universally transitory, returning to near zero by year four or five.</w:t>
      </w:r>
      <w:r w:rsidRPr="00274C89">
        <w:rPr>
          <w:sz w:val="24"/>
          <w:szCs w:val="24"/>
        </w:rPr>
        <w:t xml:space="preserve"> </w:t>
      </w:r>
      <w:r w:rsidRPr="003C68A5">
        <w:rPr>
          <w:b/>
          <w:bCs/>
          <w:sz w:val="24"/>
          <w:szCs w:val="24"/>
        </w:rPr>
        <w:t>Conclusion:</w:t>
      </w:r>
      <w:r w:rsidRPr="003C68A5">
        <w:rPr>
          <w:sz w:val="24"/>
          <w:szCs w:val="24"/>
        </w:rPr>
        <w:t xml:space="preserve"> Greenflation is real but modest and short-lived, averaging less than one percentage point in most settings. Central banks can largely look through it</w:t>
      </w:r>
      <w:r w:rsidR="00E76789" w:rsidRPr="00274C89">
        <w:rPr>
          <w:sz w:val="24"/>
          <w:szCs w:val="24"/>
        </w:rPr>
        <w:t>. W</w:t>
      </w:r>
      <w:r w:rsidRPr="003C68A5">
        <w:rPr>
          <w:sz w:val="24"/>
          <w:szCs w:val="24"/>
        </w:rPr>
        <w:t>hile governments can minimise it through revenue-neutral carbon pricing and accelerated supply-side measures. The inflation cost of climate action is small and manageable compared with the far greater risks of climate inaction.</w:t>
      </w:r>
    </w:p>
    <w:p w14:paraId="74FBAA36" w14:textId="066E6E7E" w:rsidR="003C68A5" w:rsidRPr="003C68A5" w:rsidRDefault="003C68A5" w:rsidP="003C68A5">
      <w:pPr>
        <w:jc w:val="both"/>
        <w:rPr>
          <w:sz w:val="24"/>
          <w:szCs w:val="24"/>
        </w:rPr>
      </w:pPr>
      <w:r w:rsidRPr="003C68A5">
        <w:rPr>
          <w:b/>
          <w:bCs/>
          <w:sz w:val="24"/>
          <w:szCs w:val="24"/>
        </w:rPr>
        <w:t>Keywords:</w:t>
      </w:r>
      <w:r w:rsidRPr="003C68A5">
        <w:rPr>
          <w:sz w:val="24"/>
          <w:szCs w:val="24"/>
        </w:rPr>
        <w:t xml:space="preserve"> Greenflation, energy transition, carbon pricing, inflation, climate policy, short-run costs</w:t>
      </w:r>
    </w:p>
    <w:p w14:paraId="6FA37348" w14:textId="41D2644E" w:rsidR="007D5394" w:rsidRDefault="007D5394" w:rsidP="007D5394">
      <w:pPr>
        <w:jc w:val="both"/>
        <w:rPr>
          <w:sz w:val="24"/>
          <w:szCs w:val="24"/>
        </w:rPr>
      </w:pPr>
    </w:p>
    <w:p w14:paraId="3F5EDDBA" w14:textId="356CF6CC" w:rsidR="00B46C71" w:rsidRDefault="00B46C71" w:rsidP="007D5394">
      <w:pPr>
        <w:jc w:val="both"/>
        <w:rPr>
          <w:sz w:val="24"/>
          <w:szCs w:val="24"/>
        </w:rPr>
      </w:pPr>
    </w:p>
    <w:p w14:paraId="3044BBDD" w14:textId="77777777" w:rsidR="00B46C71" w:rsidRPr="00274C89" w:rsidRDefault="00B46C71" w:rsidP="007D5394">
      <w:pPr>
        <w:jc w:val="both"/>
        <w:rPr>
          <w:sz w:val="24"/>
          <w:szCs w:val="24"/>
        </w:rPr>
      </w:pPr>
      <w:bookmarkStart w:id="0" w:name="_GoBack"/>
      <w:bookmarkEnd w:id="0"/>
    </w:p>
    <w:p w14:paraId="01316E72" w14:textId="695BF6BD" w:rsidR="00F178E7" w:rsidRPr="00274C89" w:rsidRDefault="00F178E7" w:rsidP="00F178E7">
      <w:pPr>
        <w:jc w:val="both"/>
        <w:rPr>
          <w:b/>
          <w:bCs/>
          <w:sz w:val="24"/>
          <w:szCs w:val="24"/>
        </w:rPr>
      </w:pPr>
      <w:r w:rsidRPr="00274C89">
        <w:rPr>
          <w:b/>
          <w:bCs/>
          <w:sz w:val="24"/>
          <w:szCs w:val="24"/>
        </w:rPr>
        <w:lastRenderedPageBreak/>
        <w:t>Introduction</w:t>
      </w:r>
    </w:p>
    <w:p w14:paraId="40166E66" w14:textId="4F861A0A" w:rsidR="00C3258C" w:rsidRPr="00274C89" w:rsidRDefault="00C3258C" w:rsidP="00C3258C">
      <w:pPr>
        <w:jc w:val="both"/>
        <w:rPr>
          <w:sz w:val="24"/>
          <w:szCs w:val="24"/>
        </w:rPr>
      </w:pPr>
      <w:r w:rsidRPr="00274C89">
        <w:rPr>
          <w:sz w:val="24"/>
          <w:szCs w:val="24"/>
        </w:rPr>
        <w:t>The world is moving fast toward green energy to stop climate change. Governments have promised to cut carbon emissions to almost zero by 2050, and many countries now spend billions of dollars every year on wind farms, solar panels, electric cars, and batteries</w:t>
      </w:r>
      <w:r w:rsidR="00A97543" w:rsidRPr="00274C89">
        <w:rPr>
          <w:sz w:val="24"/>
          <w:szCs w:val="24"/>
        </w:rPr>
        <w:t xml:space="preserve"> (Chen et al., 2022</w:t>
      </w:r>
      <w:r w:rsidR="00447138" w:rsidRPr="00274C89">
        <w:rPr>
          <w:sz w:val="24"/>
          <w:szCs w:val="24"/>
        </w:rPr>
        <w:t>; Jawadi, 2023</w:t>
      </w:r>
      <w:r w:rsidR="00A97543" w:rsidRPr="00274C89">
        <w:rPr>
          <w:sz w:val="24"/>
          <w:szCs w:val="24"/>
        </w:rPr>
        <w:t>)</w:t>
      </w:r>
      <w:r w:rsidRPr="00274C89">
        <w:rPr>
          <w:sz w:val="24"/>
          <w:szCs w:val="24"/>
        </w:rPr>
        <w:t>. In 2024 alone, the world invested more than 1.8 trillion U.S. dollars in clean energy</w:t>
      </w:r>
      <w:r w:rsidR="00A97543" w:rsidRPr="00274C89">
        <w:rPr>
          <w:sz w:val="24"/>
          <w:szCs w:val="24"/>
        </w:rPr>
        <w:t xml:space="preserve"> (Ranasinghe, 2022)</w:t>
      </w:r>
      <w:r w:rsidRPr="00274C89">
        <w:rPr>
          <w:sz w:val="24"/>
          <w:szCs w:val="24"/>
        </w:rPr>
        <w:t>. That is almost double the amount spent ten years ago</w:t>
      </w:r>
      <w:r w:rsidR="00A97543" w:rsidRPr="00274C89">
        <w:rPr>
          <w:sz w:val="24"/>
          <w:szCs w:val="24"/>
        </w:rPr>
        <w:t xml:space="preserve"> (Raihan and </w:t>
      </w:r>
      <w:proofErr w:type="spellStart"/>
      <w:r w:rsidR="00A97543" w:rsidRPr="00274C89">
        <w:rPr>
          <w:sz w:val="24"/>
          <w:szCs w:val="24"/>
        </w:rPr>
        <w:t>Tuspekova</w:t>
      </w:r>
      <w:proofErr w:type="spellEnd"/>
      <w:r w:rsidR="00A97543" w:rsidRPr="00274C89">
        <w:rPr>
          <w:sz w:val="24"/>
          <w:szCs w:val="24"/>
        </w:rPr>
        <w:t>, 2023)</w:t>
      </w:r>
      <w:r w:rsidRPr="00274C89">
        <w:rPr>
          <w:sz w:val="24"/>
          <w:szCs w:val="24"/>
        </w:rPr>
        <w:t>. At the same time, many countries introduced carbon taxes or emissions-trading systems that make coal, oil, and gas more expensive</w:t>
      </w:r>
      <w:r w:rsidR="00A97543" w:rsidRPr="00274C89">
        <w:rPr>
          <w:sz w:val="24"/>
          <w:szCs w:val="24"/>
        </w:rPr>
        <w:t xml:space="preserve"> (Raihan and </w:t>
      </w:r>
      <w:proofErr w:type="spellStart"/>
      <w:r w:rsidR="00A97543" w:rsidRPr="00274C89">
        <w:rPr>
          <w:sz w:val="24"/>
          <w:szCs w:val="24"/>
        </w:rPr>
        <w:t>Tuspekova</w:t>
      </w:r>
      <w:proofErr w:type="spellEnd"/>
      <w:r w:rsidR="00A97543" w:rsidRPr="00274C89">
        <w:rPr>
          <w:sz w:val="24"/>
          <w:szCs w:val="24"/>
        </w:rPr>
        <w:t>, 2023)</w:t>
      </w:r>
      <w:r w:rsidRPr="00274C89">
        <w:rPr>
          <w:sz w:val="24"/>
          <w:szCs w:val="24"/>
        </w:rPr>
        <w:t xml:space="preserve">. All these changes are good for the planet in the long run, but in the short run they can push prices up. </w:t>
      </w:r>
      <w:r w:rsidR="00C25B3A" w:rsidRPr="00274C89">
        <w:rPr>
          <w:sz w:val="24"/>
          <w:szCs w:val="24"/>
        </w:rPr>
        <w:t xml:space="preserve">This short run prices being largely referred to as </w:t>
      </w:r>
      <w:r w:rsidRPr="00274C89">
        <w:rPr>
          <w:sz w:val="24"/>
          <w:szCs w:val="24"/>
        </w:rPr>
        <w:t>“greenflation.”</w:t>
      </w:r>
    </w:p>
    <w:p w14:paraId="3796179F" w14:textId="2B918446" w:rsidR="00C3258C" w:rsidRPr="00274C89" w:rsidRDefault="00C25B3A" w:rsidP="00C3258C">
      <w:pPr>
        <w:jc w:val="both"/>
        <w:rPr>
          <w:sz w:val="24"/>
          <w:szCs w:val="24"/>
        </w:rPr>
      </w:pPr>
      <w:r w:rsidRPr="00274C89">
        <w:rPr>
          <w:sz w:val="24"/>
          <w:szCs w:val="24"/>
        </w:rPr>
        <w:t>Post</w:t>
      </w:r>
      <w:r w:rsidR="00C3258C" w:rsidRPr="00274C89">
        <w:rPr>
          <w:sz w:val="24"/>
          <w:szCs w:val="24"/>
        </w:rPr>
        <w:t xml:space="preserve"> COVID-19 pandemic</w:t>
      </w:r>
      <w:r w:rsidRPr="00274C89">
        <w:rPr>
          <w:sz w:val="24"/>
          <w:szCs w:val="24"/>
        </w:rPr>
        <w:t>, there was a huge jump in in</w:t>
      </w:r>
      <w:r w:rsidR="00C3258C" w:rsidRPr="00274C89">
        <w:rPr>
          <w:sz w:val="24"/>
          <w:szCs w:val="24"/>
        </w:rPr>
        <w:t xml:space="preserve">flation </w:t>
      </w:r>
      <w:r w:rsidRPr="00274C89">
        <w:rPr>
          <w:sz w:val="24"/>
          <w:szCs w:val="24"/>
        </w:rPr>
        <w:t>across the world</w:t>
      </w:r>
      <w:r w:rsidR="00C3258C" w:rsidRPr="00274C89">
        <w:rPr>
          <w:sz w:val="24"/>
          <w:szCs w:val="24"/>
        </w:rPr>
        <w:t>. Energy and food prices went up a lot in 2021 and 2022</w:t>
      </w:r>
      <w:r w:rsidR="00A97543" w:rsidRPr="00274C89">
        <w:rPr>
          <w:sz w:val="24"/>
          <w:szCs w:val="24"/>
        </w:rPr>
        <w:t xml:space="preserve"> (Jawadi, 2023; Shuaibu et al., 2024)</w:t>
      </w:r>
      <w:r w:rsidR="00C3258C" w:rsidRPr="00274C89">
        <w:rPr>
          <w:sz w:val="24"/>
          <w:szCs w:val="24"/>
        </w:rPr>
        <w:t xml:space="preserve">. Some economists </w:t>
      </w:r>
      <w:r w:rsidR="00BC0C40" w:rsidRPr="00274C89">
        <w:rPr>
          <w:sz w:val="24"/>
          <w:szCs w:val="24"/>
        </w:rPr>
        <w:t xml:space="preserve">reported </w:t>
      </w:r>
      <w:r w:rsidR="00C3258C" w:rsidRPr="00274C89">
        <w:rPr>
          <w:sz w:val="24"/>
          <w:szCs w:val="24"/>
        </w:rPr>
        <w:t>the war in Ukraine and broken supply chains caused most of the inflation. Others pointed to the green transition. For example, the price of lithium (needed for batteries) rose more than 400 % in one year. Nickel, cobalt, and copper also became much more expensive</w:t>
      </w:r>
      <w:r w:rsidR="00A2256A" w:rsidRPr="00274C89">
        <w:rPr>
          <w:sz w:val="24"/>
          <w:szCs w:val="24"/>
        </w:rPr>
        <w:t xml:space="preserve"> (Blinder et al., 2024</w:t>
      </w:r>
      <w:r w:rsidR="00194FEA">
        <w:rPr>
          <w:sz w:val="24"/>
          <w:szCs w:val="24"/>
        </w:rPr>
        <w:t>; Adeoba et al., 2025a</w:t>
      </w:r>
      <w:r w:rsidR="00A2256A" w:rsidRPr="00274C89">
        <w:rPr>
          <w:sz w:val="24"/>
          <w:szCs w:val="24"/>
        </w:rPr>
        <w:t>)</w:t>
      </w:r>
      <w:r w:rsidR="00C3258C" w:rsidRPr="00274C89">
        <w:rPr>
          <w:sz w:val="24"/>
          <w:szCs w:val="24"/>
        </w:rPr>
        <w:t>. At the same time, building millions of wind turbines and solar parks needed huge amounts of steel, cement, and workers</w:t>
      </w:r>
      <w:r w:rsidR="00447138" w:rsidRPr="00274C89">
        <w:rPr>
          <w:sz w:val="24"/>
          <w:szCs w:val="24"/>
        </w:rPr>
        <w:t xml:space="preserve"> (</w:t>
      </w:r>
      <w:r w:rsidR="00A2256A" w:rsidRPr="00274C89">
        <w:rPr>
          <w:sz w:val="24"/>
          <w:szCs w:val="24"/>
        </w:rPr>
        <w:t xml:space="preserve">Blinder et al., 2024; </w:t>
      </w:r>
      <w:r w:rsidR="00447138" w:rsidRPr="00274C89">
        <w:rPr>
          <w:sz w:val="24"/>
          <w:szCs w:val="24"/>
        </w:rPr>
        <w:t>Kalungi et al., 2024)</w:t>
      </w:r>
      <w:r w:rsidR="00C3258C" w:rsidRPr="00274C89">
        <w:rPr>
          <w:sz w:val="24"/>
          <w:szCs w:val="24"/>
        </w:rPr>
        <w:t>. When demand grows faster than supply, prices go up. Central banks noticed this problem. The European Central Bank, the U.S. Federal Reserve, and the Bank of England all published reports asking: does the green transition make inflation worse right now, even if it will make energy cheaper later</w:t>
      </w:r>
      <w:r w:rsidR="00447138" w:rsidRPr="00274C89">
        <w:rPr>
          <w:sz w:val="24"/>
          <w:szCs w:val="24"/>
        </w:rPr>
        <w:t xml:space="preserve"> (Sokol et al., 2023; Blinder et al., 2024)</w:t>
      </w:r>
    </w:p>
    <w:p w14:paraId="65BC0DAA" w14:textId="06F9D2E1" w:rsidR="00C3258C" w:rsidRPr="00274C89" w:rsidRDefault="00C3258C" w:rsidP="00C3258C">
      <w:pPr>
        <w:jc w:val="both"/>
        <w:rPr>
          <w:sz w:val="24"/>
          <w:szCs w:val="24"/>
        </w:rPr>
      </w:pPr>
      <w:r w:rsidRPr="00274C89">
        <w:rPr>
          <w:sz w:val="24"/>
          <w:szCs w:val="24"/>
        </w:rPr>
        <w:t>This question matters a lot today. Central banks want to bring inflation back to 2 %</w:t>
      </w:r>
      <w:r w:rsidR="00A2256A" w:rsidRPr="00274C89">
        <w:rPr>
          <w:sz w:val="24"/>
          <w:szCs w:val="24"/>
        </w:rPr>
        <w:t xml:space="preserve"> (Buiter et al., 2023; He et al., 2023)</w:t>
      </w:r>
      <w:r w:rsidRPr="00274C89">
        <w:rPr>
          <w:sz w:val="24"/>
          <w:szCs w:val="24"/>
        </w:rPr>
        <w:t>. If green policies add extra inflation for a few years, central banks need to know how big the effect is and how long it will last. If they tighten interest rates too much to fight greenflation, they might slow down green investments and make climate targets harder to reach</w:t>
      </w:r>
      <w:r w:rsidR="00447138" w:rsidRPr="00274C89">
        <w:rPr>
          <w:sz w:val="24"/>
          <w:szCs w:val="24"/>
        </w:rPr>
        <w:t xml:space="preserve"> (He et al.,</w:t>
      </w:r>
      <w:r w:rsidR="00A2256A" w:rsidRPr="00274C89">
        <w:rPr>
          <w:sz w:val="24"/>
          <w:szCs w:val="24"/>
        </w:rPr>
        <w:t xml:space="preserve"> 2023)</w:t>
      </w:r>
      <w:r w:rsidRPr="00274C89">
        <w:rPr>
          <w:sz w:val="24"/>
          <w:szCs w:val="24"/>
        </w:rPr>
        <w:t>. If they ignore greenflation, people may lose trust that prices will stay stable</w:t>
      </w:r>
      <w:r w:rsidR="00A2256A" w:rsidRPr="00274C89">
        <w:rPr>
          <w:sz w:val="24"/>
          <w:szCs w:val="24"/>
        </w:rPr>
        <w:t xml:space="preserve"> (Castillo-Martinez and Reis, 2024; Moschella, 2024)</w:t>
      </w:r>
      <w:r w:rsidRPr="00274C89">
        <w:rPr>
          <w:sz w:val="24"/>
          <w:szCs w:val="24"/>
        </w:rPr>
        <w:t>. Policymakers therefore need clear evidence.</w:t>
      </w:r>
    </w:p>
    <w:p w14:paraId="16838300" w14:textId="77777777" w:rsidR="00C3258C" w:rsidRPr="00274C89" w:rsidRDefault="00C3258C" w:rsidP="00C3258C">
      <w:pPr>
        <w:jc w:val="both"/>
        <w:rPr>
          <w:sz w:val="24"/>
          <w:szCs w:val="24"/>
        </w:rPr>
      </w:pPr>
    </w:p>
    <w:p w14:paraId="5436FB27" w14:textId="77777777" w:rsidR="00C3258C" w:rsidRPr="00274C89" w:rsidRDefault="00C3258C" w:rsidP="00C3258C">
      <w:pPr>
        <w:jc w:val="both"/>
        <w:rPr>
          <w:sz w:val="24"/>
          <w:szCs w:val="24"/>
        </w:rPr>
      </w:pPr>
    </w:p>
    <w:p w14:paraId="4081C356" w14:textId="4EB29A1F" w:rsidR="00C3258C" w:rsidRPr="00274C89" w:rsidRDefault="002F14E5" w:rsidP="00C3258C">
      <w:pPr>
        <w:jc w:val="both"/>
        <w:rPr>
          <w:b/>
          <w:bCs/>
          <w:sz w:val="24"/>
          <w:szCs w:val="24"/>
        </w:rPr>
      </w:pPr>
      <w:r w:rsidRPr="00274C89">
        <w:rPr>
          <w:b/>
          <w:bCs/>
          <w:sz w:val="24"/>
          <w:szCs w:val="24"/>
        </w:rPr>
        <w:t>T</w:t>
      </w:r>
      <w:r w:rsidR="00C3258C" w:rsidRPr="00274C89">
        <w:rPr>
          <w:b/>
          <w:bCs/>
          <w:sz w:val="24"/>
          <w:szCs w:val="24"/>
        </w:rPr>
        <w:t>heoretical channels of greenflation</w:t>
      </w:r>
    </w:p>
    <w:p w14:paraId="4D2FA012" w14:textId="5397BD1A" w:rsidR="00C3258C" w:rsidRPr="00274C89" w:rsidRDefault="00C3258C" w:rsidP="00C3258C">
      <w:pPr>
        <w:jc w:val="both"/>
        <w:rPr>
          <w:sz w:val="24"/>
          <w:szCs w:val="24"/>
        </w:rPr>
      </w:pPr>
      <w:r w:rsidRPr="00274C89">
        <w:rPr>
          <w:sz w:val="24"/>
          <w:szCs w:val="24"/>
        </w:rPr>
        <w:t xml:space="preserve">Greenflation </w:t>
      </w:r>
      <w:r w:rsidR="002F14E5" w:rsidRPr="00274C89">
        <w:rPr>
          <w:sz w:val="24"/>
          <w:szCs w:val="24"/>
        </w:rPr>
        <w:t>refers to</w:t>
      </w:r>
      <w:r w:rsidRPr="00274C89">
        <w:rPr>
          <w:sz w:val="24"/>
          <w:szCs w:val="24"/>
        </w:rPr>
        <w:t xml:space="preserve"> higher consumer prices caused directly by the shift to clean energy and the fight against climate change. It is not a permanent type of inflation. Most experts agree that it only lasts a short time</w:t>
      </w:r>
      <w:r w:rsidR="00A2256A" w:rsidRPr="00274C89">
        <w:rPr>
          <w:sz w:val="24"/>
          <w:szCs w:val="24"/>
        </w:rPr>
        <w:t xml:space="preserve"> (Chen and Semmler, 2025)</w:t>
      </w:r>
      <w:r w:rsidR="005D111A" w:rsidRPr="00274C89">
        <w:rPr>
          <w:sz w:val="24"/>
          <w:szCs w:val="24"/>
        </w:rPr>
        <w:t>. This can be</w:t>
      </w:r>
      <w:r w:rsidRPr="00274C89">
        <w:rPr>
          <w:sz w:val="24"/>
          <w:szCs w:val="24"/>
        </w:rPr>
        <w:t xml:space="preserve"> between one and five years</w:t>
      </w:r>
      <w:r w:rsidR="005D111A" w:rsidRPr="00274C89">
        <w:rPr>
          <w:sz w:val="24"/>
          <w:szCs w:val="24"/>
        </w:rPr>
        <w:t xml:space="preserve"> </w:t>
      </w:r>
      <w:r w:rsidRPr="00274C89">
        <w:rPr>
          <w:sz w:val="24"/>
          <w:szCs w:val="24"/>
        </w:rPr>
        <w:t>while the world builds new factories, mines, power plants, and grids</w:t>
      </w:r>
      <w:r w:rsidR="00A2256A" w:rsidRPr="00274C89">
        <w:rPr>
          <w:sz w:val="24"/>
          <w:szCs w:val="24"/>
        </w:rPr>
        <w:t xml:space="preserve"> (</w:t>
      </w:r>
      <w:r w:rsidR="00194FEA">
        <w:rPr>
          <w:sz w:val="24"/>
          <w:szCs w:val="24"/>
        </w:rPr>
        <w:t xml:space="preserve">Adeoba et al., 2025b; </w:t>
      </w:r>
      <w:proofErr w:type="spellStart"/>
      <w:r w:rsidR="00A2256A" w:rsidRPr="00274C89">
        <w:rPr>
          <w:sz w:val="24"/>
          <w:szCs w:val="24"/>
        </w:rPr>
        <w:t>Bettarelli</w:t>
      </w:r>
      <w:proofErr w:type="spellEnd"/>
      <w:r w:rsidR="00A2256A" w:rsidRPr="00274C89">
        <w:rPr>
          <w:sz w:val="24"/>
          <w:szCs w:val="24"/>
        </w:rPr>
        <w:t xml:space="preserve"> et al., 2025)</w:t>
      </w:r>
      <w:r w:rsidRPr="00274C89">
        <w:rPr>
          <w:sz w:val="24"/>
          <w:szCs w:val="24"/>
        </w:rPr>
        <w:t>. After that period, cheaper renewable energy and better technology normally bring prices down again.</w:t>
      </w:r>
    </w:p>
    <w:p w14:paraId="613080DE" w14:textId="4A764250" w:rsidR="00C3258C" w:rsidRPr="00274C89" w:rsidRDefault="00C3258C" w:rsidP="00C3258C">
      <w:pPr>
        <w:jc w:val="both"/>
        <w:rPr>
          <w:sz w:val="24"/>
          <w:szCs w:val="24"/>
        </w:rPr>
      </w:pPr>
      <w:r w:rsidRPr="00274C89">
        <w:rPr>
          <w:sz w:val="24"/>
          <w:szCs w:val="24"/>
        </w:rPr>
        <w:lastRenderedPageBreak/>
        <w:t>The green transition pushes prices up through three clear channels that often happen at the same time</w:t>
      </w:r>
      <w:r w:rsidR="005D111A" w:rsidRPr="00274C89">
        <w:rPr>
          <w:sz w:val="24"/>
          <w:szCs w:val="24"/>
        </w:rPr>
        <w:t xml:space="preserve"> </w:t>
      </w:r>
      <w:r w:rsidRPr="00274C89">
        <w:rPr>
          <w:sz w:val="24"/>
          <w:szCs w:val="24"/>
        </w:rPr>
        <w:t>First, the world suddenly needs enormous amounts of special metals and minerals</w:t>
      </w:r>
      <w:r w:rsidR="00A2256A" w:rsidRPr="00274C89">
        <w:rPr>
          <w:sz w:val="24"/>
          <w:szCs w:val="24"/>
        </w:rPr>
        <w:t xml:space="preserve"> (Soto et al., 2025)</w:t>
      </w:r>
      <w:r w:rsidRPr="00274C89">
        <w:rPr>
          <w:sz w:val="24"/>
          <w:szCs w:val="24"/>
        </w:rPr>
        <w:t>. Electric cars, batteries, wind turbines, and solar panels use far more copper, lithium, nickel, cobalt, and rare-earth elements than old coal or gas power plants ever did</w:t>
      </w:r>
      <w:r w:rsidR="00A2256A" w:rsidRPr="00274C89">
        <w:rPr>
          <w:sz w:val="24"/>
          <w:szCs w:val="24"/>
        </w:rPr>
        <w:t xml:space="preserve"> (</w:t>
      </w:r>
      <w:r w:rsidR="000E705C" w:rsidRPr="00274C89">
        <w:rPr>
          <w:sz w:val="24"/>
          <w:szCs w:val="24"/>
        </w:rPr>
        <w:t xml:space="preserve">Glavas, 2023; </w:t>
      </w:r>
      <w:r w:rsidR="00A2256A" w:rsidRPr="00274C89">
        <w:rPr>
          <w:sz w:val="24"/>
          <w:szCs w:val="24"/>
        </w:rPr>
        <w:t>Jackson, 2024)</w:t>
      </w:r>
      <w:r w:rsidRPr="00274C89">
        <w:rPr>
          <w:sz w:val="24"/>
          <w:szCs w:val="24"/>
        </w:rPr>
        <w:t>. For example, one electric car needs about six times more minerals than a normal car, and an onshore wind plant needs nine times more minerals than a gas plant of the same size</w:t>
      </w:r>
      <w:r w:rsidR="00134669" w:rsidRPr="00274C89">
        <w:rPr>
          <w:sz w:val="24"/>
          <w:szCs w:val="24"/>
        </w:rPr>
        <w:t xml:space="preserve"> (Fontana, 2025)</w:t>
      </w:r>
      <w:r w:rsidRPr="00274C89">
        <w:rPr>
          <w:sz w:val="24"/>
          <w:szCs w:val="24"/>
        </w:rPr>
        <w:t>. Most of these minerals come from only a few countries, and opening new mines or refineries takes five to fifteen years. When demand grows very fast but supply grows slowly, the prices of these metals explode. Companies then charge more for batteries, cars, electricity cables, and almost everything else, and those extra costs reach ordinary shoppers</w:t>
      </w:r>
      <w:r w:rsidR="00134669" w:rsidRPr="00274C89">
        <w:rPr>
          <w:sz w:val="24"/>
          <w:szCs w:val="24"/>
        </w:rPr>
        <w:t xml:space="preserve"> (</w:t>
      </w:r>
      <w:proofErr w:type="spellStart"/>
      <w:r w:rsidR="00134669" w:rsidRPr="00274C89">
        <w:rPr>
          <w:sz w:val="24"/>
          <w:szCs w:val="24"/>
        </w:rPr>
        <w:t>Ünüvar</w:t>
      </w:r>
      <w:proofErr w:type="spellEnd"/>
      <w:r w:rsidR="00134669" w:rsidRPr="00274C89">
        <w:rPr>
          <w:sz w:val="24"/>
          <w:szCs w:val="24"/>
        </w:rPr>
        <w:t xml:space="preserve"> and </w:t>
      </w:r>
      <w:proofErr w:type="spellStart"/>
      <w:r w:rsidR="00134669" w:rsidRPr="00274C89">
        <w:rPr>
          <w:sz w:val="24"/>
          <w:szCs w:val="24"/>
        </w:rPr>
        <w:t>Yeldan</w:t>
      </w:r>
      <w:proofErr w:type="spellEnd"/>
      <w:r w:rsidR="00134669" w:rsidRPr="00274C89">
        <w:rPr>
          <w:sz w:val="24"/>
          <w:szCs w:val="24"/>
        </w:rPr>
        <w:t xml:space="preserve">, 2023; </w:t>
      </w:r>
      <w:proofErr w:type="spellStart"/>
      <w:r w:rsidR="00134669" w:rsidRPr="00274C89">
        <w:rPr>
          <w:sz w:val="24"/>
          <w:szCs w:val="24"/>
        </w:rPr>
        <w:t>Druchyn</w:t>
      </w:r>
      <w:proofErr w:type="spellEnd"/>
      <w:r w:rsidR="00134669" w:rsidRPr="00274C89">
        <w:rPr>
          <w:sz w:val="24"/>
          <w:szCs w:val="24"/>
        </w:rPr>
        <w:t xml:space="preserve"> et al., 2025)</w:t>
      </w:r>
      <w:r w:rsidRPr="00274C89">
        <w:rPr>
          <w:sz w:val="24"/>
          <w:szCs w:val="24"/>
        </w:rPr>
        <w:t>.</w:t>
      </w:r>
    </w:p>
    <w:p w14:paraId="1CCCA875" w14:textId="63BF92FF" w:rsidR="00C3258C" w:rsidRPr="00274C89" w:rsidRDefault="00736F6C" w:rsidP="00C3258C">
      <w:pPr>
        <w:jc w:val="both"/>
        <w:rPr>
          <w:sz w:val="24"/>
          <w:szCs w:val="24"/>
        </w:rPr>
      </w:pPr>
      <w:r w:rsidRPr="00274C89">
        <w:rPr>
          <w:sz w:val="24"/>
          <w:szCs w:val="24"/>
        </w:rPr>
        <w:t>Also</w:t>
      </w:r>
      <w:r w:rsidR="00C3258C" w:rsidRPr="00274C89">
        <w:rPr>
          <w:sz w:val="24"/>
          <w:szCs w:val="24"/>
        </w:rPr>
        <w:t xml:space="preserve">, governments </w:t>
      </w:r>
      <w:r w:rsidRPr="00274C89">
        <w:rPr>
          <w:sz w:val="24"/>
          <w:szCs w:val="24"/>
        </w:rPr>
        <w:t xml:space="preserve">may </w:t>
      </w:r>
      <w:r w:rsidR="00C3258C" w:rsidRPr="00274C89">
        <w:rPr>
          <w:sz w:val="24"/>
          <w:szCs w:val="24"/>
        </w:rPr>
        <w:t>deliberately make fossil fuels more expensive through carbon taxes or emissions-trading systems such as the European Union’s ETS. When a power plant or factory has to pay for every tonne of CO₂ it releases, it simply adds that cost to the price of electricity, petrol, heating, transport, and food</w:t>
      </w:r>
      <w:r w:rsidR="000E705C" w:rsidRPr="00274C89">
        <w:rPr>
          <w:sz w:val="24"/>
          <w:szCs w:val="24"/>
        </w:rPr>
        <w:t xml:space="preserve"> (Weber et al., 2024; </w:t>
      </w:r>
      <w:proofErr w:type="spellStart"/>
      <w:r w:rsidR="000E705C" w:rsidRPr="00274C89">
        <w:rPr>
          <w:sz w:val="24"/>
          <w:szCs w:val="24"/>
        </w:rPr>
        <w:t>Nademi</w:t>
      </w:r>
      <w:proofErr w:type="spellEnd"/>
      <w:r w:rsidR="000E705C" w:rsidRPr="00274C89">
        <w:rPr>
          <w:sz w:val="24"/>
          <w:szCs w:val="24"/>
        </w:rPr>
        <w:t xml:space="preserve"> and </w:t>
      </w:r>
      <w:proofErr w:type="spellStart"/>
      <w:r w:rsidR="000E705C" w:rsidRPr="00274C89">
        <w:rPr>
          <w:sz w:val="24"/>
          <w:szCs w:val="24"/>
        </w:rPr>
        <w:t>Kalmarzi</w:t>
      </w:r>
      <w:proofErr w:type="spellEnd"/>
      <w:r w:rsidR="000E705C" w:rsidRPr="00274C89">
        <w:rPr>
          <w:sz w:val="24"/>
          <w:szCs w:val="24"/>
        </w:rPr>
        <w:t>, 2025)</w:t>
      </w:r>
      <w:r w:rsidR="00C3258C" w:rsidRPr="00274C89">
        <w:rPr>
          <w:sz w:val="24"/>
          <w:szCs w:val="24"/>
        </w:rPr>
        <w:t>. Energy is used in nearly every product, so a carbon price quickly spreads across the whole economy and shows up as higher inflation, especially in the first years</w:t>
      </w:r>
      <w:r w:rsidR="000E705C" w:rsidRPr="00274C89">
        <w:rPr>
          <w:sz w:val="24"/>
          <w:szCs w:val="24"/>
        </w:rPr>
        <w:t xml:space="preserve"> (Horváth et al., 2022; Boehl et al., 2024)</w:t>
      </w:r>
      <w:r w:rsidR="00C3258C" w:rsidRPr="00274C89">
        <w:rPr>
          <w:sz w:val="24"/>
          <w:szCs w:val="24"/>
        </w:rPr>
        <w:t>.</w:t>
      </w:r>
    </w:p>
    <w:p w14:paraId="726741E1" w14:textId="21C93FE6" w:rsidR="00C3258C" w:rsidRPr="00274C89" w:rsidRDefault="007B29EB" w:rsidP="00C3258C">
      <w:pPr>
        <w:jc w:val="both"/>
        <w:rPr>
          <w:sz w:val="24"/>
          <w:szCs w:val="24"/>
        </w:rPr>
      </w:pPr>
      <w:r w:rsidRPr="00274C89">
        <w:rPr>
          <w:sz w:val="24"/>
          <w:szCs w:val="24"/>
        </w:rPr>
        <w:t>In another light</w:t>
      </w:r>
      <w:r w:rsidR="00C3258C" w:rsidRPr="00274C89">
        <w:rPr>
          <w:sz w:val="24"/>
          <w:szCs w:val="24"/>
        </w:rPr>
        <w:t>, governments and companies are spending trillions of dollars all at once on green projects</w:t>
      </w:r>
      <w:r w:rsidRPr="00274C89">
        <w:rPr>
          <w:sz w:val="24"/>
          <w:szCs w:val="24"/>
        </w:rPr>
        <w:t xml:space="preserve"> </w:t>
      </w:r>
      <w:r w:rsidR="00C3258C" w:rsidRPr="00274C89">
        <w:rPr>
          <w:sz w:val="24"/>
          <w:szCs w:val="24"/>
        </w:rPr>
        <w:t>new solar farms, wind parks, battery factories, electric charging stations, and modern power lines. This giant wave of spending acts like a classic demand boom. If an economy is already close to full employment, the extra demand for construction workers, engineers, steel, cement, and machines pushes wages and materials prices higher. Those higher costs again appear as inflation.</w:t>
      </w:r>
    </w:p>
    <w:p w14:paraId="7E574979" w14:textId="0CF1B74B" w:rsidR="00C3258C" w:rsidRPr="00274C89" w:rsidRDefault="00C3258C" w:rsidP="00C3258C">
      <w:pPr>
        <w:jc w:val="both"/>
        <w:rPr>
          <w:sz w:val="24"/>
          <w:szCs w:val="24"/>
        </w:rPr>
      </w:pPr>
      <w:r w:rsidRPr="00274C89">
        <w:rPr>
          <w:sz w:val="24"/>
          <w:szCs w:val="24"/>
        </w:rPr>
        <w:t>These three forces</w:t>
      </w:r>
      <w:r w:rsidR="007B29EB" w:rsidRPr="00274C89">
        <w:rPr>
          <w:sz w:val="24"/>
          <w:szCs w:val="24"/>
        </w:rPr>
        <w:t xml:space="preserve"> </w:t>
      </w:r>
      <w:r w:rsidRPr="00274C89">
        <w:rPr>
          <w:sz w:val="24"/>
          <w:szCs w:val="24"/>
        </w:rPr>
        <w:t>metal shortages</w:t>
      </w:r>
      <w:r w:rsidR="00331019" w:rsidRPr="00274C89">
        <w:rPr>
          <w:sz w:val="24"/>
          <w:szCs w:val="24"/>
        </w:rPr>
        <w:t xml:space="preserve"> (Sun et al., 2025)</w:t>
      </w:r>
      <w:r w:rsidRPr="00274C89">
        <w:rPr>
          <w:sz w:val="24"/>
          <w:szCs w:val="24"/>
        </w:rPr>
        <w:t>, carbon pricing</w:t>
      </w:r>
      <w:r w:rsidR="00826259" w:rsidRPr="00274C89">
        <w:rPr>
          <w:sz w:val="24"/>
          <w:szCs w:val="24"/>
        </w:rPr>
        <w:t xml:space="preserve"> (</w:t>
      </w:r>
      <w:proofErr w:type="spellStart"/>
      <w:r w:rsidR="00826259" w:rsidRPr="00274C89">
        <w:rPr>
          <w:sz w:val="24"/>
          <w:szCs w:val="24"/>
        </w:rPr>
        <w:t>DebRoy</w:t>
      </w:r>
      <w:proofErr w:type="spellEnd"/>
      <w:r w:rsidR="00826259" w:rsidRPr="00274C89">
        <w:rPr>
          <w:sz w:val="24"/>
          <w:szCs w:val="24"/>
        </w:rPr>
        <w:t xml:space="preserve"> and Elmer, 2024)</w:t>
      </w:r>
      <w:r w:rsidRPr="00274C89">
        <w:rPr>
          <w:sz w:val="24"/>
          <w:szCs w:val="24"/>
        </w:rPr>
        <w:t>, and the investment boom</w:t>
      </w:r>
      <w:r w:rsidR="007B29EB" w:rsidRPr="00274C89">
        <w:rPr>
          <w:sz w:val="24"/>
          <w:szCs w:val="24"/>
        </w:rPr>
        <w:t xml:space="preserve"> </w:t>
      </w:r>
      <w:r w:rsidRPr="00274C89">
        <w:rPr>
          <w:sz w:val="24"/>
          <w:szCs w:val="24"/>
        </w:rPr>
        <w:t>do not work separately. They strengthen one another. For example, carbon taxes push companies to buy more batteries faster, which makes the metal shortage worse</w:t>
      </w:r>
      <w:r w:rsidR="00826259" w:rsidRPr="00274C89">
        <w:rPr>
          <w:sz w:val="24"/>
          <w:szCs w:val="24"/>
        </w:rPr>
        <w:t xml:space="preserve"> (Auger et al., 2021; </w:t>
      </w:r>
      <w:proofErr w:type="spellStart"/>
      <w:r w:rsidR="00826259" w:rsidRPr="00274C89">
        <w:rPr>
          <w:sz w:val="24"/>
          <w:szCs w:val="24"/>
        </w:rPr>
        <w:t>DebRoy</w:t>
      </w:r>
      <w:proofErr w:type="spellEnd"/>
      <w:r w:rsidR="00826259" w:rsidRPr="00274C89">
        <w:rPr>
          <w:sz w:val="24"/>
          <w:szCs w:val="24"/>
        </w:rPr>
        <w:t xml:space="preserve"> and Elmer, 2024)</w:t>
      </w:r>
      <w:r w:rsidRPr="00274C89">
        <w:rPr>
          <w:sz w:val="24"/>
          <w:szCs w:val="24"/>
        </w:rPr>
        <w:t>. The investment boom creates jobs and higher wages, which makes it easier for companies to pass carbon taxes on to customers. The combined effect can therefore be larger than any single channel alone</w:t>
      </w:r>
      <w:r w:rsidR="00826259" w:rsidRPr="00274C89">
        <w:rPr>
          <w:sz w:val="24"/>
          <w:szCs w:val="24"/>
        </w:rPr>
        <w:t xml:space="preserve"> (Naef, 2024)</w:t>
      </w:r>
      <w:r w:rsidRPr="00274C89">
        <w:rPr>
          <w:sz w:val="24"/>
          <w:szCs w:val="24"/>
        </w:rPr>
        <w:t>.</w:t>
      </w:r>
    </w:p>
    <w:p w14:paraId="2EDBA1A5" w14:textId="77F0AB4E" w:rsidR="00C3258C" w:rsidRPr="00274C89" w:rsidRDefault="00C3258C" w:rsidP="00C3258C">
      <w:pPr>
        <w:jc w:val="both"/>
        <w:rPr>
          <w:sz w:val="24"/>
          <w:szCs w:val="24"/>
        </w:rPr>
      </w:pPr>
      <w:r w:rsidRPr="00274C89">
        <w:rPr>
          <w:sz w:val="24"/>
          <w:szCs w:val="24"/>
        </w:rPr>
        <w:t>Several important organisations have already published reports on greenflation. In 2022 the Bank for International Settlements (BIS) released a detailed study</w:t>
      </w:r>
      <w:r w:rsidR="00826259" w:rsidRPr="00274C89">
        <w:rPr>
          <w:sz w:val="24"/>
          <w:szCs w:val="24"/>
        </w:rPr>
        <w:t xml:space="preserve"> (Bistline et al., 2023)</w:t>
      </w:r>
      <w:r w:rsidRPr="00274C89">
        <w:rPr>
          <w:sz w:val="24"/>
          <w:szCs w:val="24"/>
        </w:rPr>
        <w:t>. The European Central Bank, the International Monetary Fund, and the Network for Greening the Financial System (NGFS) published their own reports between 2022 and 2024</w:t>
      </w:r>
      <w:r w:rsidR="00826259" w:rsidRPr="00274C89">
        <w:rPr>
          <w:sz w:val="24"/>
          <w:szCs w:val="24"/>
        </w:rPr>
        <w:t xml:space="preserve"> (Rosa, 2025)</w:t>
      </w:r>
      <w:r w:rsidRPr="00274C89">
        <w:rPr>
          <w:sz w:val="24"/>
          <w:szCs w:val="24"/>
        </w:rPr>
        <w:t>. These reports explain the idea clearly and give real-world examples, such as the huge rise in lithium and nickel prices in 2021–2022. However, they are narrative reviews. They summarise opinions and selected studies, but they do not search for every relevant paper in a structured way, and they do not compare the numbers from different studies side by side.</w:t>
      </w:r>
    </w:p>
    <w:p w14:paraId="3AD4F103" w14:textId="7CFB80A8" w:rsidR="00C3258C" w:rsidRPr="00274C89" w:rsidRDefault="00C3258C" w:rsidP="00C3258C">
      <w:pPr>
        <w:jc w:val="both"/>
        <w:rPr>
          <w:sz w:val="24"/>
          <w:szCs w:val="24"/>
        </w:rPr>
      </w:pPr>
      <w:r w:rsidRPr="00274C89">
        <w:rPr>
          <w:sz w:val="24"/>
          <w:szCs w:val="24"/>
        </w:rPr>
        <w:lastRenderedPageBreak/>
        <w:t>Most of these reports also mix short-run effects with long-run effects, making it hard to see the exact size and length of greenflation. Many focus only on Europe or only on the United States, so we do not know how big the problem is in Asia, Latin America, or Africa</w:t>
      </w:r>
      <w:r w:rsidR="00826259" w:rsidRPr="00274C89">
        <w:rPr>
          <w:sz w:val="24"/>
          <w:szCs w:val="24"/>
        </w:rPr>
        <w:t xml:space="preserve"> (</w:t>
      </w:r>
      <w:proofErr w:type="spellStart"/>
      <w:r w:rsidR="00826259" w:rsidRPr="00274C89">
        <w:rPr>
          <w:sz w:val="24"/>
          <w:szCs w:val="24"/>
        </w:rPr>
        <w:t>Vyshnevskyi</w:t>
      </w:r>
      <w:proofErr w:type="spellEnd"/>
      <w:r w:rsidR="00826259" w:rsidRPr="00274C89">
        <w:rPr>
          <w:sz w:val="24"/>
          <w:szCs w:val="24"/>
        </w:rPr>
        <w:t xml:space="preserve"> and Sohn, 2025)</w:t>
      </w:r>
      <w:r w:rsidRPr="00274C89">
        <w:rPr>
          <w:sz w:val="24"/>
          <w:szCs w:val="24"/>
        </w:rPr>
        <w:t>. Very few reports try to give a precise average number</w:t>
      </w:r>
      <w:r w:rsidR="00181285" w:rsidRPr="00274C89">
        <w:rPr>
          <w:sz w:val="24"/>
          <w:szCs w:val="24"/>
        </w:rPr>
        <w:t xml:space="preserve"> </w:t>
      </w:r>
      <w:r w:rsidRPr="00274C89">
        <w:rPr>
          <w:sz w:val="24"/>
          <w:szCs w:val="24"/>
        </w:rPr>
        <w:t>for example, the green transition adds 0.7 percentage points to inflation for three years</w:t>
      </w:r>
      <w:r w:rsidR="00826259" w:rsidRPr="00274C89">
        <w:rPr>
          <w:sz w:val="24"/>
          <w:szCs w:val="24"/>
        </w:rPr>
        <w:t xml:space="preserve"> (Quaglia et al., 2025)</w:t>
      </w:r>
      <w:r w:rsidRPr="00274C89">
        <w:rPr>
          <w:sz w:val="24"/>
          <w:szCs w:val="24"/>
        </w:rPr>
        <w:t>. Even fewer compare different kinds of policies: do carbon taxes cause more inflation than green subsidies? Do countries that recycle carbon-tax money back to households suffer less inflation? Basic questions like these still lack clear, evidence-based answers. Because no truly systematic review exists that collects and analyses every credible study from the past ten years, policymakers and central banks still work with incomplete information.</w:t>
      </w:r>
    </w:p>
    <w:p w14:paraId="13808DD5" w14:textId="7A1A002B" w:rsidR="00C3258C" w:rsidRPr="00274C89" w:rsidRDefault="00C3258C" w:rsidP="00C3258C">
      <w:pPr>
        <w:jc w:val="both"/>
        <w:rPr>
          <w:sz w:val="24"/>
          <w:szCs w:val="24"/>
        </w:rPr>
      </w:pPr>
      <w:r w:rsidRPr="00274C89">
        <w:rPr>
          <w:sz w:val="24"/>
          <w:szCs w:val="24"/>
        </w:rPr>
        <w:t>The main purpose of this systematic review is to gather high-quality scientific study published between 2015 and 2025 that measures the short-run impact of the green energy transition on consumer price inflation. We will read each study carefully, pull out the numbers, and combine the results so that we can give clear and honest answers.</w:t>
      </w:r>
      <w:r w:rsidR="00181285" w:rsidRPr="00274C89">
        <w:rPr>
          <w:sz w:val="24"/>
          <w:szCs w:val="24"/>
        </w:rPr>
        <w:t xml:space="preserve"> </w:t>
      </w:r>
      <w:r w:rsidRPr="00274C89">
        <w:rPr>
          <w:sz w:val="24"/>
          <w:szCs w:val="24"/>
        </w:rPr>
        <w:t xml:space="preserve">We want to answer </w:t>
      </w:r>
      <w:r w:rsidR="00181285" w:rsidRPr="00274C89">
        <w:rPr>
          <w:sz w:val="24"/>
          <w:szCs w:val="24"/>
        </w:rPr>
        <w:t>some</w:t>
      </w:r>
      <w:r w:rsidRPr="00274C89">
        <w:rPr>
          <w:sz w:val="24"/>
          <w:szCs w:val="24"/>
        </w:rPr>
        <w:t xml:space="preserve"> specific questions:</w:t>
      </w:r>
      <w:r w:rsidR="00181285" w:rsidRPr="00274C89">
        <w:rPr>
          <w:sz w:val="24"/>
          <w:szCs w:val="24"/>
        </w:rPr>
        <w:t xml:space="preserve"> </w:t>
      </w:r>
      <w:r w:rsidRPr="00274C89">
        <w:rPr>
          <w:sz w:val="24"/>
          <w:szCs w:val="24"/>
        </w:rPr>
        <w:t>First, does the green transition actually increase inflation in the short run, and if yes, by how many percentage points on average?</w:t>
      </w:r>
      <w:r w:rsidR="00181285" w:rsidRPr="00274C89">
        <w:rPr>
          <w:sz w:val="24"/>
          <w:szCs w:val="24"/>
        </w:rPr>
        <w:t xml:space="preserve"> S</w:t>
      </w:r>
      <w:r w:rsidRPr="00274C89">
        <w:rPr>
          <w:sz w:val="24"/>
          <w:szCs w:val="24"/>
        </w:rPr>
        <w:t>econd, which of the three channels is usually the most powerful</w:t>
      </w:r>
      <w:r w:rsidR="00181285" w:rsidRPr="00274C89">
        <w:rPr>
          <w:sz w:val="24"/>
          <w:szCs w:val="24"/>
        </w:rPr>
        <w:t xml:space="preserve"> </w:t>
      </w:r>
      <w:r w:rsidRPr="00274C89">
        <w:rPr>
          <w:sz w:val="24"/>
          <w:szCs w:val="24"/>
        </w:rPr>
        <w:t>skyrocketing metal and mineral prices, carbon taxes and emissions trading, or the giant wave of green investment?</w:t>
      </w:r>
    </w:p>
    <w:p w14:paraId="45CDEA49" w14:textId="4665F61C" w:rsidR="00C3258C" w:rsidRPr="00274C89" w:rsidRDefault="00C3258C" w:rsidP="00C3258C">
      <w:pPr>
        <w:jc w:val="both"/>
        <w:rPr>
          <w:sz w:val="24"/>
          <w:szCs w:val="24"/>
        </w:rPr>
      </w:pPr>
      <w:r w:rsidRPr="00274C89">
        <w:rPr>
          <w:sz w:val="24"/>
          <w:szCs w:val="24"/>
        </w:rPr>
        <w:t>Third, does the size of greenflation differ across regions</w:t>
      </w:r>
      <w:r w:rsidR="00181285" w:rsidRPr="00274C89">
        <w:rPr>
          <w:sz w:val="24"/>
          <w:szCs w:val="24"/>
        </w:rPr>
        <w:t xml:space="preserve"> </w:t>
      </w:r>
      <w:r w:rsidRPr="00274C89">
        <w:rPr>
          <w:sz w:val="24"/>
          <w:szCs w:val="24"/>
        </w:rPr>
        <w:t>for example, is it larger in Europe than in the United States, or much larger in energy-importing emerging countries?</w:t>
      </w:r>
    </w:p>
    <w:p w14:paraId="07A1DE6C" w14:textId="77777777" w:rsidR="00C3258C" w:rsidRPr="00274C89" w:rsidRDefault="00C3258C" w:rsidP="00C3258C">
      <w:pPr>
        <w:jc w:val="both"/>
        <w:rPr>
          <w:sz w:val="24"/>
          <w:szCs w:val="24"/>
        </w:rPr>
      </w:pPr>
      <w:r w:rsidRPr="00274C89">
        <w:rPr>
          <w:sz w:val="24"/>
          <w:szCs w:val="24"/>
        </w:rPr>
        <w:t>Fourth, does greenflation become bigger or last longer when overall inflation is already high, such as during 2021–2023?</w:t>
      </w:r>
    </w:p>
    <w:p w14:paraId="67DE77ED" w14:textId="0FCC7A17" w:rsidR="00C3258C" w:rsidRPr="00274C89" w:rsidRDefault="00C3258C" w:rsidP="00C3258C">
      <w:pPr>
        <w:jc w:val="both"/>
        <w:rPr>
          <w:sz w:val="24"/>
          <w:szCs w:val="24"/>
        </w:rPr>
      </w:pPr>
      <w:r w:rsidRPr="00274C89">
        <w:rPr>
          <w:sz w:val="24"/>
          <w:szCs w:val="24"/>
        </w:rPr>
        <w:t>Fifth, which policy choices create the smallest amount of extra inflation</w:t>
      </w:r>
      <w:r w:rsidR="00181285" w:rsidRPr="00274C89">
        <w:rPr>
          <w:sz w:val="24"/>
          <w:szCs w:val="24"/>
        </w:rPr>
        <w:t xml:space="preserve"> </w:t>
      </w:r>
      <w:r w:rsidRPr="00274C89">
        <w:rPr>
          <w:sz w:val="24"/>
          <w:szCs w:val="24"/>
        </w:rPr>
        <w:t>for instance, carbon taxes whose money is given back to families, large direct subsidies for solar and wind, or tax breaks for research and development?</w:t>
      </w:r>
    </w:p>
    <w:p w14:paraId="34A6856A" w14:textId="37DEC58A" w:rsidR="00C3258C" w:rsidRPr="00274C89" w:rsidRDefault="00C3258C" w:rsidP="00C3258C">
      <w:pPr>
        <w:jc w:val="both"/>
        <w:rPr>
          <w:sz w:val="24"/>
          <w:szCs w:val="24"/>
        </w:rPr>
      </w:pPr>
      <w:r w:rsidRPr="00274C89">
        <w:rPr>
          <w:sz w:val="24"/>
          <w:szCs w:val="24"/>
        </w:rPr>
        <w:t xml:space="preserve">By providing precise answers backed by studies from many countries and methods, this review will give </w:t>
      </w:r>
      <w:r w:rsidR="00795CA1" w:rsidRPr="00274C89">
        <w:rPr>
          <w:sz w:val="24"/>
          <w:szCs w:val="24"/>
        </w:rPr>
        <w:t xml:space="preserve">those concerned </w:t>
      </w:r>
      <w:r w:rsidR="007C77AA" w:rsidRPr="00274C89">
        <w:rPr>
          <w:sz w:val="24"/>
          <w:szCs w:val="24"/>
        </w:rPr>
        <w:t xml:space="preserve">  </w:t>
      </w:r>
      <w:r w:rsidRPr="00274C89">
        <w:rPr>
          <w:sz w:val="24"/>
          <w:szCs w:val="24"/>
        </w:rPr>
        <w:t>the solid evidence they need to decide whether they can safely ignore temporary greenflation or whether they must adjust interest rates or redesign policies to keep price rises small and short.</w:t>
      </w:r>
    </w:p>
    <w:p w14:paraId="5013AD09" w14:textId="77777777" w:rsidR="00A94454" w:rsidRPr="00274C89" w:rsidRDefault="00A94454" w:rsidP="00F178E7">
      <w:pPr>
        <w:jc w:val="both"/>
        <w:rPr>
          <w:b/>
          <w:bCs/>
          <w:sz w:val="24"/>
          <w:szCs w:val="24"/>
        </w:rPr>
      </w:pPr>
    </w:p>
    <w:p w14:paraId="0C398D4C" w14:textId="24EB1F9A" w:rsidR="00A94454" w:rsidRPr="00274C89" w:rsidRDefault="00557C23" w:rsidP="00A94454">
      <w:pPr>
        <w:jc w:val="both"/>
        <w:rPr>
          <w:b/>
          <w:bCs/>
          <w:sz w:val="24"/>
          <w:szCs w:val="24"/>
        </w:rPr>
      </w:pPr>
      <w:r w:rsidRPr="00274C89">
        <w:rPr>
          <w:b/>
          <w:bCs/>
          <w:sz w:val="24"/>
          <w:szCs w:val="24"/>
        </w:rPr>
        <w:t>2</w:t>
      </w:r>
      <w:r w:rsidR="00A94454" w:rsidRPr="00274C89">
        <w:rPr>
          <w:b/>
          <w:bCs/>
          <w:sz w:val="24"/>
          <w:szCs w:val="24"/>
        </w:rPr>
        <w:t xml:space="preserve">. Methods </w:t>
      </w:r>
    </w:p>
    <w:p w14:paraId="4F638F16" w14:textId="7A5580B4" w:rsidR="00A94454" w:rsidRPr="00274C89" w:rsidRDefault="00557C23" w:rsidP="00A94454">
      <w:pPr>
        <w:jc w:val="both"/>
        <w:rPr>
          <w:b/>
          <w:bCs/>
          <w:sz w:val="24"/>
          <w:szCs w:val="24"/>
        </w:rPr>
      </w:pPr>
      <w:r w:rsidRPr="00274C89">
        <w:rPr>
          <w:b/>
          <w:bCs/>
          <w:sz w:val="24"/>
          <w:szCs w:val="24"/>
        </w:rPr>
        <w:t>2</w:t>
      </w:r>
      <w:r w:rsidR="00A94454" w:rsidRPr="00274C89">
        <w:rPr>
          <w:b/>
          <w:bCs/>
          <w:sz w:val="24"/>
          <w:szCs w:val="24"/>
        </w:rPr>
        <w:t>.1 Protocol and Registration</w:t>
      </w:r>
    </w:p>
    <w:p w14:paraId="5D4089CC" w14:textId="77777777" w:rsidR="00A94454" w:rsidRPr="00274C89" w:rsidRDefault="00A94454" w:rsidP="00A94454">
      <w:pPr>
        <w:jc w:val="both"/>
        <w:rPr>
          <w:b/>
          <w:bCs/>
          <w:sz w:val="24"/>
          <w:szCs w:val="24"/>
        </w:rPr>
      </w:pPr>
    </w:p>
    <w:p w14:paraId="035B6168" w14:textId="1532031B" w:rsidR="00A94454" w:rsidRPr="00274C89" w:rsidRDefault="00557C23" w:rsidP="00A94454">
      <w:pPr>
        <w:jc w:val="both"/>
        <w:rPr>
          <w:b/>
          <w:bCs/>
          <w:sz w:val="24"/>
          <w:szCs w:val="24"/>
        </w:rPr>
      </w:pPr>
      <w:r w:rsidRPr="00274C89">
        <w:rPr>
          <w:b/>
          <w:bCs/>
          <w:sz w:val="24"/>
          <w:szCs w:val="24"/>
        </w:rPr>
        <w:t>2</w:t>
      </w:r>
      <w:r w:rsidR="00A94454" w:rsidRPr="00274C89">
        <w:rPr>
          <w:b/>
          <w:bCs/>
          <w:sz w:val="24"/>
          <w:szCs w:val="24"/>
        </w:rPr>
        <w:t>.2 Eligibility Criteria</w:t>
      </w:r>
    </w:p>
    <w:p w14:paraId="3D08B630" w14:textId="3ADA167E" w:rsidR="00A94454" w:rsidRPr="00274C89" w:rsidRDefault="00557C23" w:rsidP="00A94454">
      <w:pPr>
        <w:jc w:val="both"/>
        <w:rPr>
          <w:b/>
          <w:bCs/>
          <w:sz w:val="24"/>
          <w:szCs w:val="24"/>
        </w:rPr>
      </w:pPr>
      <w:r w:rsidRPr="00274C89">
        <w:rPr>
          <w:b/>
          <w:bCs/>
          <w:sz w:val="24"/>
          <w:szCs w:val="24"/>
        </w:rPr>
        <w:t>2</w:t>
      </w:r>
      <w:r w:rsidR="00A94454" w:rsidRPr="00274C89">
        <w:rPr>
          <w:b/>
          <w:bCs/>
          <w:sz w:val="24"/>
          <w:szCs w:val="24"/>
        </w:rPr>
        <w:t>.3 Information Sources and Search Strategy</w:t>
      </w:r>
    </w:p>
    <w:p w14:paraId="18168456" w14:textId="3E3C8C92" w:rsidR="009A26D0" w:rsidRPr="00274C89" w:rsidRDefault="00557C23" w:rsidP="009A26D0">
      <w:pPr>
        <w:jc w:val="both"/>
        <w:rPr>
          <w:b/>
          <w:bCs/>
          <w:sz w:val="24"/>
          <w:szCs w:val="24"/>
        </w:rPr>
      </w:pPr>
      <w:r w:rsidRPr="00274C89">
        <w:rPr>
          <w:b/>
          <w:bCs/>
          <w:sz w:val="24"/>
          <w:szCs w:val="24"/>
        </w:rPr>
        <w:lastRenderedPageBreak/>
        <w:t>2</w:t>
      </w:r>
      <w:r w:rsidR="009A26D0" w:rsidRPr="00274C89">
        <w:rPr>
          <w:b/>
          <w:bCs/>
          <w:sz w:val="24"/>
          <w:szCs w:val="24"/>
        </w:rPr>
        <w:t>.</w:t>
      </w:r>
      <w:r w:rsidRPr="00274C89">
        <w:rPr>
          <w:b/>
          <w:bCs/>
          <w:sz w:val="24"/>
          <w:szCs w:val="24"/>
        </w:rPr>
        <w:t>4</w:t>
      </w:r>
      <w:r w:rsidR="009A26D0" w:rsidRPr="00274C89">
        <w:rPr>
          <w:b/>
          <w:bCs/>
          <w:sz w:val="24"/>
          <w:szCs w:val="24"/>
        </w:rPr>
        <w:t xml:space="preserve"> Eligibility criteria</w:t>
      </w:r>
    </w:p>
    <w:p w14:paraId="79CEAB22" w14:textId="226AF1A1" w:rsidR="009A26D0" w:rsidRPr="00274C89" w:rsidRDefault="00557C23" w:rsidP="009A26D0">
      <w:pPr>
        <w:jc w:val="both"/>
        <w:rPr>
          <w:b/>
          <w:bCs/>
          <w:sz w:val="24"/>
          <w:szCs w:val="24"/>
        </w:rPr>
      </w:pPr>
      <w:r w:rsidRPr="00274C89">
        <w:rPr>
          <w:b/>
          <w:bCs/>
          <w:sz w:val="24"/>
          <w:szCs w:val="24"/>
        </w:rPr>
        <w:t>2</w:t>
      </w:r>
      <w:r w:rsidR="009A26D0" w:rsidRPr="00274C89">
        <w:rPr>
          <w:b/>
          <w:bCs/>
          <w:sz w:val="24"/>
          <w:szCs w:val="24"/>
        </w:rPr>
        <w:t>.</w:t>
      </w:r>
      <w:r w:rsidRPr="00274C89">
        <w:rPr>
          <w:b/>
          <w:bCs/>
          <w:sz w:val="24"/>
          <w:szCs w:val="24"/>
        </w:rPr>
        <w:t>5</w:t>
      </w:r>
      <w:r w:rsidR="009A26D0" w:rsidRPr="00274C89">
        <w:rPr>
          <w:b/>
          <w:bCs/>
          <w:sz w:val="24"/>
          <w:szCs w:val="24"/>
        </w:rPr>
        <w:t xml:space="preserve"> Study selection and data extraction process</w:t>
      </w:r>
    </w:p>
    <w:p w14:paraId="685BD583" w14:textId="3A8335FA" w:rsidR="009A26D0" w:rsidRPr="00274C89" w:rsidRDefault="00557C23" w:rsidP="009A26D0">
      <w:pPr>
        <w:jc w:val="both"/>
        <w:rPr>
          <w:b/>
          <w:bCs/>
          <w:sz w:val="24"/>
          <w:szCs w:val="24"/>
        </w:rPr>
      </w:pPr>
      <w:r w:rsidRPr="00274C89">
        <w:rPr>
          <w:b/>
          <w:bCs/>
          <w:sz w:val="24"/>
          <w:szCs w:val="24"/>
        </w:rPr>
        <w:t>2</w:t>
      </w:r>
      <w:r w:rsidR="009A26D0" w:rsidRPr="00274C89">
        <w:rPr>
          <w:b/>
          <w:bCs/>
          <w:sz w:val="24"/>
          <w:szCs w:val="24"/>
        </w:rPr>
        <w:t>.</w:t>
      </w:r>
      <w:r w:rsidRPr="00274C89">
        <w:rPr>
          <w:b/>
          <w:bCs/>
          <w:sz w:val="24"/>
          <w:szCs w:val="24"/>
        </w:rPr>
        <w:t>6</w:t>
      </w:r>
      <w:r w:rsidR="009A26D0" w:rsidRPr="00274C89">
        <w:rPr>
          <w:b/>
          <w:bCs/>
          <w:sz w:val="24"/>
          <w:szCs w:val="24"/>
        </w:rPr>
        <w:t xml:space="preserve"> Risk of bias and quality assessment</w:t>
      </w:r>
    </w:p>
    <w:p w14:paraId="519EC54C" w14:textId="0C4CA6E0" w:rsidR="009A26D0" w:rsidRPr="00F14A0F" w:rsidRDefault="00557C23" w:rsidP="009A26D0">
      <w:pPr>
        <w:jc w:val="both"/>
        <w:rPr>
          <w:b/>
          <w:bCs/>
          <w:sz w:val="24"/>
          <w:szCs w:val="24"/>
        </w:rPr>
      </w:pPr>
      <w:r w:rsidRPr="00274C89">
        <w:rPr>
          <w:b/>
          <w:bCs/>
          <w:sz w:val="24"/>
          <w:szCs w:val="24"/>
        </w:rPr>
        <w:t>2</w:t>
      </w:r>
      <w:r w:rsidR="009A26D0" w:rsidRPr="00274C89">
        <w:rPr>
          <w:b/>
          <w:bCs/>
          <w:sz w:val="24"/>
          <w:szCs w:val="24"/>
        </w:rPr>
        <w:t>.</w:t>
      </w:r>
      <w:r w:rsidRPr="00274C89">
        <w:rPr>
          <w:b/>
          <w:bCs/>
          <w:sz w:val="24"/>
          <w:szCs w:val="24"/>
        </w:rPr>
        <w:t>7</w:t>
      </w:r>
      <w:r w:rsidR="009A26D0" w:rsidRPr="00274C89">
        <w:rPr>
          <w:b/>
          <w:bCs/>
          <w:sz w:val="24"/>
          <w:szCs w:val="24"/>
        </w:rPr>
        <w:t xml:space="preserve"> Synthesis methods</w:t>
      </w:r>
    </w:p>
    <w:p w14:paraId="69AAFC77" w14:textId="2058E806" w:rsidR="009A26D0" w:rsidRPr="00274C89" w:rsidRDefault="00557C23" w:rsidP="009A26D0">
      <w:pPr>
        <w:jc w:val="both"/>
        <w:rPr>
          <w:b/>
          <w:bCs/>
          <w:sz w:val="24"/>
          <w:szCs w:val="24"/>
        </w:rPr>
      </w:pPr>
      <w:r w:rsidRPr="00274C89">
        <w:rPr>
          <w:b/>
          <w:bCs/>
          <w:sz w:val="24"/>
          <w:szCs w:val="24"/>
        </w:rPr>
        <w:t>2</w:t>
      </w:r>
      <w:r w:rsidR="009A26D0" w:rsidRPr="00274C89">
        <w:rPr>
          <w:b/>
          <w:bCs/>
          <w:sz w:val="24"/>
          <w:szCs w:val="24"/>
        </w:rPr>
        <w:t>.8 Ethical issues</w:t>
      </w:r>
    </w:p>
    <w:p w14:paraId="58D21698" w14:textId="5EE3568D" w:rsidR="009A26D0" w:rsidRPr="00274C89" w:rsidRDefault="003932A2" w:rsidP="009A26D0">
      <w:pPr>
        <w:jc w:val="both"/>
        <w:rPr>
          <w:sz w:val="24"/>
          <w:szCs w:val="24"/>
        </w:rPr>
      </w:pPr>
      <w:r w:rsidRPr="00274C89">
        <w:rPr>
          <w:sz w:val="24"/>
          <w:szCs w:val="24"/>
        </w:rPr>
        <w:t>This was a systematic review and we only</w:t>
      </w:r>
      <w:r w:rsidR="009A26D0" w:rsidRPr="00274C89">
        <w:rPr>
          <w:sz w:val="24"/>
          <w:szCs w:val="24"/>
        </w:rPr>
        <w:t xml:space="preserve"> </w:t>
      </w:r>
      <w:r w:rsidRPr="00274C89">
        <w:rPr>
          <w:sz w:val="24"/>
          <w:szCs w:val="24"/>
        </w:rPr>
        <w:t>used</w:t>
      </w:r>
      <w:r w:rsidR="009A26D0" w:rsidRPr="00274C89">
        <w:rPr>
          <w:sz w:val="24"/>
          <w:szCs w:val="24"/>
        </w:rPr>
        <w:t xml:space="preserve"> published or publicly available studies; no human or animal subjects are involved, and no private data are collected. Therefore, formal ethical approval from an institutional review board is not required. We follow standard academic ethics by citing every source correctly, </w:t>
      </w:r>
      <w:r w:rsidR="00862FFA">
        <w:rPr>
          <w:sz w:val="24"/>
          <w:szCs w:val="24"/>
        </w:rPr>
        <w:t xml:space="preserve">with intent to </w:t>
      </w:r>
      <w:r w:rsidR="009A26D0" w:rsidRPr="00274C89">
        <w:rPr>
          <w:sz w:val="24"/>
          <w:szCs w:val="24"/>
        </w:rPr>
        <w:t>reporting all results (even those that find no or negative greenflation effects), and making our data-extraction files and analysis code openly available on the OSF page after publication. This guarantees full transparency and allows other researchers to check or update our work in the future.</w:t>
      </w:r>
    </w:p>
    <w:p w14:paraId="07148D1A" w14:textId="77777777" w:rsidR="009A26D0" w:rsidRPr="00274C89" w:rsidRDefault="009A26D0" w:rsidP="00F178E7">
      <w:pPr>
        <w:jc w:val="both"/>
        <w:rPr>
          <w:sz w:val="24"/>
          <w:szCs w:val="24"/>
        </w:rPr>
      </w:pPr>
    </w:p>
    <w:p w14:paraId="26C535DE" w14:textId="049EF025" w:rsidR="00F178E7" w:rsidRDefault="00557C23" w:rsidP="00F178E7">
      <w:pPr>
        <w:jc w:val="both"/>
        <w:rPr>
          <w:b/>
          <w:bCs/>
          <w:sz w:val="24"/>
          <w:szCs w:val="24"/>
        </w:rPr>
      </w:pPr>
      <w:r w:rsidRPr="00274C89">
        <w:rPr>
          <w:b/>
          <w:bCs/>
          <w:sz w:val="24"/>
          <w:szCs w:val="24"/>
        </w:rPr>
        <w:t>3</w:t>
      </w:r>
      <w:r w:rsidR="00F178E7" w:rsidRPr="00274C89">
        <w:rPr>
          <w:b/>
          <w:bCs/>
          <w:sz w:val="24"/>
          <w:szCs w:val="24"/>
        </w:rPr>
        <w:t>. Results</w:t>
      </w:r>
    </w:p>
    <w:p w14:paraId="35B1F13A" w14:textId="77777777" w:rsidR="00126BCA" w:rsidRPr="00274C89" w:rsidRDefault="00126BCA" w:rsidP="00126BCA">
      <w:pPr>
        <w:jc w:val="both"/>
        <w:rPr>
          <w:sz w:val="24"/>
          <w:szCs w:val="24"/>
        </w:rPr>
      </w:pPr>
      <w:r w:rsidRPr="00274C89">
        <w:rPr>
          <w:sz w:val="24"/>
          <w:szCs w:val="24"/>
        </w:rPr>
        <w:t>The searches across all databases and grey-literature sources were completed in March 2026. They produced a total of 1,322 records. After removing 287 duplicates, 935 studies remained. Titles and abstracts of these remaining 935 papers were screened but 899 were excluded due to unrelated or irrelevant contents. For example, long-run climate-damage studies, technology-only papers, or general inflation reviews with no green-transition angle. The remaining 36 reports were retrieved in full text.</w:t>
      </w:r>
    </w:p>
    <w:p w14:paraId="06801F42" w14:textId="77777777" w:rsidR="00126BCA" w:rsidRPr="00274C89" w:rsidRDefault="00126BCA" w:rsidP="00126BCA">
      <w:pPr>
        <w:jc w:val="both"/>
        <w:rPr>
          <w:b/>
          <w:bCs/>
          <w:sz w:val="24"/>
          <w:szCs w:val="24"/>
        </w:rPr>
      </w:pPr>
      <w:r w:rsidRPr="00274C89">
        <w:rPr>
          <w:sz w:val="24"/>
          <w:szCs w:val="24"/>
        </w:rPr>
        <w:t>Full-text assessment excluded another 28 reports for the following main reasons</w:t>
      </w:r>
      <w:r w:rsidRPr="00274C89">
        <w:rPr>
          <w:b/>
          <w:bCs/>
          <w:sz w:val="24"/>
          <w:szCs w:val="24"/>
        </w:rPr>
        <w:t xml:space="preserve">: </w:t>
      </w:r>
      <w:r w:rsidRPr="00274C89">
        <w:rPr>
          <w:sz w:val="24"/>
          <w:szCs w:val="24"/>
        </w:rPr>
        <w:t>no quantifiable inflation outcome (n = 7),</w:t>
      </w:r>
      <w:r w:rsidRPr="00274C89">
        <w:rPr>
          <w:b/>
          <w:bCs/>
          <w:sz w:val="24"/>
          <w:szCs w:val="24"/>
        </w:rPr>
        <w:t xml:space="preserve"> </w:t>
      </w:r>
      <w:r w:rsidRPr="00274C89">
        <w:rPr>
          <w:sz w:val="24"/>
          <w:szCs w:val="24"/>
        </w:rPr>
        <w:t>purely theoretical or calibration-based models with no empirical estimation (n = 3),</w:t>
      </w:r>
      <w:r w:rsidRPr="00274C89">
        <w:rPr>
          <w:b/>
          <w:bCs/>
          <w:sz w:val="24"/>
          <w:szCs w:val="24"/>
        </w:rPr>
        <w:t xml:space="preserve"> </w:t>
      </w:r>
      <w:r w:rsidRPr="00274C89">
        <w:rPr>
          <w:sz w:val="24"/>
          <w:szCs w:val="24"/>
        </w:rPr>
        <w:t>publication before 2015 or after December 2025 (n = 11),</w:t>
      </w:r>
      <w:r w:rsidRPr="00274C89">
        <w:rPr>
          <w:b/>
          <w:bCs/>
          <w:sz w:val="24"/>
          <w:szCs w:val="24"/>
        </w:rPr>
        <w:t xml:space="preserve"> </w:t>
      </w:r>
      <w:r w:rsidRPr="00274C89">
        <w:rPr>
          <w:sz w:val="24"/>
          <w:szCs w:val="24"/>
        </w:rPr>
        <w:t>only long-run effects examined (beyond 5 years) (n = 2),</w:t>
      </w:r>
      <w:r w:rsidRPr="00274C89">
        <w:rPr>
          <w:b/>
          <w:bCs/>
          <w:sz w:val="24"/>
          <w:szCs w:val="24"/>
        </w:rPr>
        <w:t xml:space="preserve"> </w:t>
      </w:r>
      <w:r w:rsidRPr="00274C89">
        <w:rPr>
          <w:sz w:val="24"/>
          <w:szCs w:val="24"/>
        </w:rPr>
        <w:t>descriptive commentary or opinion pieces (n = 5).</w:t>
      </w:r>
    </w:p>
    <w:p w14:paraId="7C3BCAA4" w14:textId="77777777" w:rsidR="00126BCA" w:rsidRPr="00274C89" w:rsidRDefault="00126BCA" w:rsidP="00126BCA">
      <w:pPr>
        <w:jc w:val="both"/>
        <w:rPr>
          <w:sz w:val="24"/>
          <w:szCs w:val="24"/>
        </w:rPr>
      </w:pPr>
      <w:r w:rsidRPr="00274C89">
        <w:rPr>
          <w:sz w:val="24"/>
          <w:szCs w:val="24"/>
        </w:rPr>
        <w:t>This left 8 studies that fully met all inclusion criteria and provided direct, recent, and rigorous empirical evidence on the short-run link between the green energy transition and inflation pressures. These eight studies form the entire evidence base of this systematic review.</w:t>
      </w:r>
    </w:p>
    <w:p w14:paraId="122DE497" w14:textId="77777777" w:rsidR="00126BCA" w:rsidRDefault="00126BCA" w:rsidP="00F178E7">
      <w:pPr>
        <w:jc w:val="both"/>
        <w:rPr>
          <w:b/>
          <w:bCs/>
          <w:sz w:val="24"/>
          <w:szCs w:val="24"/>
        </w:rPr>
      </w:pPr>
    </w:p>
    <w:p w14:paraId="3B7B6140" w14:textId="77777777" w:rsidR="00126BCA" w:rsidRDefault="00126BCA" w:rsidP="00F178E7">
      <w:pPr>
        <w:jc w:val="both"/>
        <w:rPr>
          <w:b/>
          <w:bCs/>
          <w:sz w:val="24"/>
          <w:szCs w:val="24"/>
        </w:rPr>
      </w:pPr>
    </w:p>
    <w:p w14:paraId="70205E09" w14:textId="77777777" w:rsidR="00126BCA" w:rsidRDefault="00126BCA" w:rsidP="00F178E7">
      <w:pPr>
        <w:jc w:val="both"/>
        <w:rPr>
          <w:b/>
          <w:bCs/>
          <w:sz w:val="24"/>
          <w:szCs w:val="24"/>
        </w:rPr>
      </w:pPr>
    </w:p>
    <w:p w14:paraId="1D6FE3EA" w14:textId="44221F54" w:rsidR="00126BCA" w:rsidRDefault="00126BCA" w:rsidP="00F178E7">
      <w:pPr>
        <w:jc w:val="both"/>
        <w:rPr>
          <w:b/>
          <w:bCs/>
          <w:sz w:val="24"/>
          <w:szCs w:val="24"/>
        </w:rPr>
      </w:pPr>
      <w:r>
        <w:rPr>
          <w:b/>
          <w:bCs/>
          <w:noProof/>
          <w:sz w:val="24"/>
          <w:szCs w:val="24"/>
        </w:rPr>
        <w:lastRenderedPageBreak/>
        <w:drawing>
          <wp:inline distT="0" distB="0" distL="0" distR="0" wp14:anchorId="55F55AF8" wp14:editId="6995CA99">
            <wp:extent cx="5271579" cy="5305425"/>
            <wp:effectExtent l="0" t="0" r="5715" b="0"/>
            <wp:docPr id="1759234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5446" cy="5309317"/>
                    </a:xfrm>
                    <a:prstGeom prst="rect">
                      <a:avLst/>
                    </a:prstGeom>
                    <a:noFill/>
                    <a:ln>
                      <a:noFill/>
                    </a:ln>
                  </pic:spPr>
                </pic:pic>
              </a:graphicData>
            </a:graphic>
          </wp:inline>
        </w:drawing>
      </w:r>
    </w:p>
    <w:p w14:paraId="4B4EECE5" w14:textId="4CA122E6" w:rsidR="00126BCA" w:rsidRPr="00274C89" w:rsidRDefault="00126BCA" w:rsidP="00F178E7">
      <w:pPr>
        <w:jc w:val="both"/>
        <w:rPr>
          <w:b/>
          <w:bCs/>
          <w:sz w:val="24"/>
          <w:szCs w:val="24"/>
        </w:rPr>
      </w:pPr>
      <w:r>
        <w:rPr>
          <w:b/>
          <w:bCs/>
          <w:sz w:val="24"/>
          <w:szCs w:val="24"/>
        </w:rPr>
        <w:t>Figure 1: PRISMA flow diagram of included studies</w:t>
      </w:r>
    </w:p>
    <w:p w14:paraId="28408E91" w14:textId="77F2B90C" w:rsidR="00A55A40" w:rsidRDefault="00557C23" w:rsidP="00F178E7">
      <w:pPr>
        <w:jc w:val="both"/>
        <w:rPr>
          <w:b/>
          <w:bCs/>
          <w:sz w:val="24"/>
          <w:szCs w:val="24"/>
        </w:rPr>
      </w:pPr>
      <w:r w:rsidRPr="00274C89">
        <w:rPr>
          <w:b/>
          <w:bCs/>
          <w:sz w:val="24"/>
          <w:szCs w:val="24"/>
        </w:rPr>
        <w:t>3.</w:t>
      </w:r>
      <w:r w:rsidR="00126BCA">
        <w:rPr>
          <w:b/>
          <w:bCs/>
          <w:sz w:val="24"/>
          <w:szCs w:val="24"/>
        </w:rPr>
        <w:t>2</w:t>
      </w:r>
      <w:r w:rsidRPr="00274C89">
        <w:rPr>
          <w:b/>
          <w:bCs/>
          <w:sz w:val="24"/>
          <w:szCs w:val="24"/>
        </w:rPr>
        <w:t xml:space="preserve"> </w:t>
      </w:r>
      <w:r w:rsidR="00A55A40" w:rsidRPr="00274C89">
        <w:rPr>
          <w:b/>
          <w:bCs/>
          <w:sz w:val="24"/>
          <w:szCs w:val="24"/>
        </w:rPr>
        <w:t>Characteristics of included studies</w:t>
      </w:r>
    </w:p>
    <w:p w14:paraId="16FAF228" w14:textId="4FAAFFB6" w:rsidR="00192D0A" w:rsidRPr="00126BCA" w:rsidRDefault="00126BCA" w:rsidP="00192D0A">
      <w:pPr>
        <w:jc w:val="both"/>
        <w:rPr>
          <w:sz w:val="24"/>
          <w:szCs w:val="24"/>
        </w:rPr>
      </w:pPr>
      <w:r w:rsidRPr="00126BCA">
        <w:rPr>
          <w:sz w:val="24"/>
          <w:szCs w:val="24"/>
        </w:rPr>
        <w:t>table below summarises the eight included studies (ordered by publication year, most recent first). Based on a review of the available abstracts, full texts (where accessible), and methodological descriptions from publisher pages and repositories, the characteristics focus on the core elements: authors and year, countries or region studied, primary method employed, data period or simulation horizon, and the main greenflation channel examined (e.g., carbon pricing shocks, mineral/supply constraints, or investment booms). Note that some studies emphasize carbon pricing as the dominant channel, reflecting its prominence in European and Canadian contexts, while others incorporate broader transition elements.</w:t>
      </w:r>
    </w:p>
    <w:p w14:paraId="2D6D1ADF" w14:textId="77777777" w:rsidR="00F31D5D" w:rsidRDefault="00F31D5D" w:rsidP="00192D0A">
      <w:pPr>
        <w:jc w:val="both"/>
        <w:rPr>
          <w:sz w:val="24"/>
          <w:szCs w:val="24"/>
        </w:rPr>
      </w:pPr>
    </w:p>
    <w:p w14:paraId="02FB1052" w14:textId="77777777" w:rsidR="00126BCA" w:rsidRDefault="00126BCA" w:rsidP="00192D0A">
      <w:pPr>
        <w:jc w:val="both"/>
        <w:rPr>
          <w:sz w:val="24"/>
          <w:szCs w:val="24"/>
        </w:rPr>
      </w:pPr>
    </w:p>
    <w:p w14:paraId="49F36386" w14:textId="2D57A1F9" w:rsidR="00126BCA" w:rsidRPr="00274C89" w:rsidRDefault="00126BCA" w:rsidP="00192D0A">
      <w:pPr>
        <w:jc w:val="both"/>
        <w:rPr>
          <w:sz w:val="24"/>
          <w:szCs w:val="24"/>
        </w:rPr>
      </w:pPr>
      <w:r>
        <w:rPr>
          <w:sz w:val="24"/>
          <w:szCs w:val="24"/>
        </w:rPr>
        <w:lastRenderedPageBreak/>
        <w:t>Table 1: characteristics of included studies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990"/>
        <w:gridCol w:w="1440"/>
        <w:gridCol w:w="1800"/>
        <w:gridCol w:w="1530"/>
        <w:gridCol w:w="2250"/>
      </w:tblGrid>
      <w:tr w:rsidR="00557C23" w:rsidRPr="00274C89" w14:paraId="7468D948" w14:textId="77777777" w:rsidTr="00C255C3">
        <w:tc>
          <w:tcPr>
            <w:tcW w:w="1350" w:type="dxa"/>
            <w:tcBorders>
              <w:top w:val="single" w:sz="4" w:space="0" w:color="auto"/>
              <w:bottom w:val="single" w:sz="4" w:space="0" w:color="auto"/>
            </w:tcBorders>
            <w:hideMark/>
          </w:tcPr>
          <w:p w14:paraId="35BB70D8" w14:textId="77777777" w:rsidR="00F72003" w:rsidRPr="00F72003" w:rsidRDefault="00F72003" w:rsidP="00F72003">
            <w:pPr>
              <w:spacing w:after="160" w:line="259" w:lineRule="auto"/>
              <w:jc w:val="both"/>
              <w:rPr>
                <w:b/>
                <w:bCs/>
                <w:sz w:val="24"/>
                <w:szCs w:val="24"/>
              </w:rPr>
            </w:pPr>
            <w:r w:rsidRPr="00F72003">
              <w:rPr>
                <w:b/>
                <w:bCs/>
                <w:sz w:val="24"/>
                <w:szCs w:val="24"/>
              </w:rPr>
              <w:t>Authors</w:t>
            </w:r>
          </w:p>
        </w:tc>
        <w:tc>
          <w:tcPr>
            <w:tcW w:w="990" w:type="dxa"/>
            <w:tcBorders>
              <w:top w:val="single" w:sz="4" w:space="0" w:color="auto"/>
              <w:bottom w:val="single" w:sz="4" w:space="0" w:color="auto"/>
            </w:tcBorders>
            <w:hideMark/>
          </w:tcPr>
          <w:p w14:paraId="72E4E2E9" w14:textId="77777777" w:rsidR="00F72003" w:rsidRPr="00F72003" w:rsidRDefault="00F72003" w:rsidP="00F72003">
            <w:pPr>
              <w:spacing w:after="160" w:line="259" w:lineRule="auto"/>
              <w:jc w:val="both"/>
              <w:rPr>
                <w:b/>
                <w:bCs/>
                <w:sz w:val="24"/>
                <w:szCs w:val="24"/>
              </w:rPr>
            </w:pPr>
            <w:r w:rsidRPr="00F72003">
              <w:rPr>
                <w:b/>
                <w:bCs/>
                <w:sz w:val="24"/>
                <w:szCs w:val="24"/>
              </w:rPr>
              <w:t>Year</w:t>
            </w:r>
          </w:p>
        </w:tc>
        <w:tc>
          <w:tcPr>
            <w:tcW w:w="1440" w:type="dxa"/>
            <w:tcBorders>
              <w:top w:val="single" w:sz="4" w:space="0" w:color="auto"/>
              <w:bottom w:val="single" w:sz="4" w:space="0" w:color="auto"/>
            </w:tcBorders>
            <w:hideMark/>
          </w:tcPr>
          <w:p w14:paraId="51E1F9AF" w14:textId="77777777" w:rsidR="00F72003" w:rsidRPr="00F72003" w:rsidRDefault="00F72003" w:rsidP="00F72003">
            <w:pPr>
              <w:spacing w:after="160" w:line="259" w:lineRule="auto"/>
              <w:jc w:val="both"/>
              <w:rPr>
                <w:b/>
                <w:bCs/>
                <w:sz w:val="24"/>
                <w:szCs w:val="24"/>
              </w:rPr>
            </w:pPr>
            <w:r w:rsidRPr="00F72003">
              <w:rPr>
                <w:b/>
                <w:bCs/>
                <w:sz w:val="24"/>
                <w:szCs w:val="24"/>
              </w:rPr>
              <w:t>Countries / Region</w:t>
            </w:r>
          </w:p>
        </w:tc>
        <w:tc>
          <w:tcPr>
            <w:tcW w:w="1800" w:type="dxa"/>
            <w:tcBorders>
              <w:top w:val="single" w:sz="4" w:space="0" w:color="auto"/>
              <w:bottom w:val="single" w:sz="4" w:space="0" w:color="auto"/>
            </w:tcBorders>
            <w:hideMark/>
          </w:tcPr>
          <w:p w14:paraId="65347DEC" w14:textId="77777777" w:rsidR="00F72003" w:rsidRPr="00F72003" w:rsidRDefault="00F72003" w:rsidP="00F72003">
            <w:pPr>
              <w:spacing w:after="160" w:line="259" w:lineRule="auto"/>
              <w:jc w:val="both"/>
              <w:rPr>
                <w:b/>
                <w:bCs/>
                <w:sz w:val="24"/>
                <w:szCs w:val="24"/>
              </w:rPr>
            </w:pPr>
            <w:r w:rsidRPr="00F72003">
              <w:rPr>
                <w:b/>
                <w:bCs/>
                <w:sz w:val="24"/>
                <w:szCs w:val="24"/>
              </w:rPr>
              <w:t>Method</w:t>
            </w:r>
          </w:p>
        </w:tc>
        <w:tc>
          <w:tcPr>
            <w:tcW w:w="1530" w:type="dxa"/>
            <w:tcBorders>
              <w:top w:val="single" w:sz="4" w:space="0" w:color="auto"/>
              <w:bottom w:val="single" w:sz="4" w:space="0" w:color="auto"/>
            </w:tcBorders>
            <w:hideMark/>
          </w:tcPr>
          <w:p w14:paraId="29CFAE49" w14:textId="77777777" w:rsidR="00F72003" w:rsidRPr="00F72003" w:rsidRDefault="00F72003" w:rsidP="00F72003">
            <w:pPr>
              <w:spacing w:after="160" w:line="259" w:lineRule="auto"/>
              <w:jc w:val="both"/>
              <w:rPr>
                <w:b/>
                <w:bCs/>
                <w:sz w:val="24"/>
                <w:szCs w:val="24"/>
              </w:rPr>
            </w:pPr>
            <w:r w:rsidRPr="00F72003">
              <w:rPr>
                <w:b/>
                <w:bCs/>
                <w:sz w:val="24"/>
                <w:szCs w:val="24"/>
              </w:rPr>
              <w:t>Data period</w:t>
            </w:r>
          </w:p>
        </w:tc>
        <w:tc>
          <w:tcPr>
            <w:tcW w:w="2250" w:type="dxa"/>
            <w:tcBorders>
              <w:top w:val="single" w:sz="4" w:space="0" w:color="auto"/>
              <w:bottom w:val="single" w:sz="4" w:space="0" w:color="auto"/>
            </w:tcBorders>
            <w:hideMark/>
          </w:tcPr>
          <w:p w14:paraId="1F5E0169" w14:textId="77777777" w:rsidR="00F72003" w:rsidRPr="00F72003" w:rsidRDefault="00F72003" w:rsidP="00F72003">
            <w:pPr>
              <w:spacing w:after="160" w:line="259" w:lineRule="auto"/>
              <w:jc w:val="both"/>
              <w:rPr>
                <w:b/>
                <w:bCs/>
                <w:sz w:val="24"/>
                <w:szCs w:val="24"/>
              </w:rPr>
            </w:pPr>
            <w:r w:rsidRPr="00F72003">
              <w:rPr>
                <w:b/>
                <w:bCs/>
                <w:sz w:val="24"/>
                <w:szCs w:val="24"/>
              </w:rPr>
              <w:t>Main greenflation channel examined</w:t>
            </w:r>
          </w:p>
        </w:tc>
      </w:tr>
      <w:tr w:rsidR="00557C23" w:rsidRPr="00274C89" w14:paraId="60912999" w14:textId="77777777" w:rsidTr="00C255C3">
        <w:tc>
          <w:tcPr>
            <w:tcW w:w="1350" w:type="dxa"/>
            <w:tcBorders>
              <w:top w:val="single" w:sz="4" w:space="0" w:color="auto"/>
            </w:tcBorders>
            <w:hideMark/>
          </w:tcPr>
          <w:p w14:paraId="75648B93" w14:textId="2EB1F258" w:rsidR="00F72003" w:rsidRPr="00F72003" w:rsidRDefault="00F72003" w:rsidP="00F72003">
            <w:pPr>
              <w:spacing w:after="160" w:line="259" w:lineRule="auto"/>
              <w:jc w:val="both"/>
              <w:rPr>
                <w:sz w:val="24"/>
                <w:szCs w:val="24"/>
              </w:rPr>
            </w:pPr>
            <w:r w:rsidRPr="00F72003">
              <w:rPr>
                <w:sz w:val="24"/>
                <w:szCs w:val="24"/>
              </w:rPr>
              <w:t>Moessner</w:t>
            </w:r>
          </w:p>
        </w:tc>
        <w:tc>
          <w:tcPr>
            <w:tcW w:w="990" w:type="dxa"/>
            <w:tcBorders>
              <w:top w:val="single" w:sz="4" w:space="0" w:color="auto"/>
            </w:tcBorders>
            <w:hideMark/>
          </w:tcPr>
          <w:p w14:paraId="2D4B8050" w14:textId="77777777" w:rsidR="00F72003" w:rsidRPr="00F72003" w:rsidRDefault="00F72003" w:rsidP="00F72003">
            <w:pPr>
              <w:spacing w:after="160" w:line="259" w:lineRule="auto"/>
              <w:jc w:val="both"/>
              <w:rPr>
                <w:sz w:val="24"/>
                <w:szCs w:val="24"/>
              </w:rPr>
            </w:pPr>
            <w:r w:rsidRPr="00F72003">
              <w:rPr>
                <w:sz w:val="24"/>
                <w:szCs w:val="24"/>
              </w:rPr>
              <w:t>2025</w:t>
            </w:r>
          </w:p>
        </w:tc>
        <w:tc>
          <w:tcPr>
            <w:tcW w:w="1440" w:type="dxa"/>
            <w:tcBorders>
              <w:top w:val="single" w:sz="4" w:space="0" w:color="auto"/>
            </w:tcBorders>
            <w:hideMark/>
          </w:tcPr>
          <w:p w14:paraId="448644EB" w14:textId="77777777" w:rsidR="00F72003" w:rsidRPr="00F72003" w:rsidRDefault="00F72003" w:rsidP="00F72003">
            <w:pPr>
              <w:spacing w:after="160" w:line="259" w:lineRule="auto"/>
              <w:jc w:val="both"/>
              <w:rPr>
                <w:sz w:val="24"/>
                <w:szCs w:val="24"/>
              </w:rPr>
            </w:pPr>
            <w:r w:rsidRPr="00F72003">
              <w:rPr>
                <w:sz w:val="24"/>
                <w:szCs w:val="24"/>
              </w:rPr>
              <w:t>Global (focus on OECD)</w:t>
            </w:r>
          </w:p>
        </w:tc>
        <w:tc>
          <w:tcPr>
            <w:tcW w:w="1800" w:type="dxa"/>
            <w:tcBorders>
              <w:top w:val="single" w:sz="4" w:space="0" w:color="auto"/>
            </w:tcBorders>
            <w:hideMark/>
          </w:tcPr>
          <w:p w14:paraId="6E0ECCA0" w14:textId="77777777" w:rsidR="00F72003" w:rsidRPr="00F72003" w:rsidRDefault="00F72003" w:rsidP="00F72003">
            <w:pPr>
              <w:spacing w:after="160" w:line="259" w:lineRule="auto"/>
              <w:jc w:val="both"/>
              <w:rPr>
                <w:sz w:val="24"/>
                <w:szCs w:val="24"/>
              </w:rPr>
            </w:pPr>
            <w:r w:rsidRPr="00F72003">
              <w:rPr>
                <w:sz w:val="24"/>
                <w:szCs w:val="24"/>
              </w:rPr>
              <w:t>Panel regressions and VAR</w:t>
            </w:r>
          </w:p>
        </w:tc>
        <w:tc>
          <w:tcPr>
            <w:tcW w:w="1530" w:type="dxa"/>
            <w:tcBorders>
              <w:top w:val="single" w:sz="4" w:space="0" w:color="auto"/>
            </w:tcBorders>
            <w:hideMark/>
          </w:tcPr>
          <w:p w14:paraId="48CD0D7C" w14:textId="77777777" w:rsidR="00F72003" w:rsidRPr="00F72003" w:rsidRDefault="00F72003" w:rsidP="00F72003">
            <w:pPr>
              <w:spacing w:after="160" w:line="259" w:lineRule="auto"/>
              <w:jc w:val="both"/>
              <w:rPr>
                <w:sz w:val="24"/>
                <w:szCs w:val="24"/>
              </w:rPr>
            </w:pPr>
            <w:r w:rsidRPr="00F72003">
              <w:rPr>
                <w:sz w:val="24"/>
                <w:szCs w:val="24"/>
              </w:rPr>
              <w:t>2000–2024</w:t>
            </w:r>
          </w:p>
        </w:tc>
        <w:tc>
          <w:tcPr>
            <w:tcW w:w="2250" w:type="dxa"/>
            <w:tcBorders>
              <w:top w:val="single" w:sz="4" w:space="0" w:color="auto"/>
            </w:tcBorders>
            <w:hideMark/>
          </w:tcPr>
          <w:p w14:paraId="7D8B3585" w14:textId="77777777" w:rsidR="00F72003" w:rsidRPr="00F72003" w:rsidRDefault="00F72003" w:rsidP="00F72003">
            <w:pPr>
              <w:spacing w:after="160" w:line="259" w:lineRule="auto"/>
              <w:jc w:val="both"/>
              <w:rPr>
                <w:sz w:val="24"/>
                <w:szCs w:val="24"/>
              </w:rPr>
            </w:pPr>
            <w:r w:rsidRPr="00F72003">
              <w:rPr>
                <w:sz w:val="24"/>
                <w:szCs w:val="24"/>
              </w:rPr>
              <w:t>Carbon price shocks and emissions trading</w:t>
            </w:r>
          </w:p>
        </w:tc>
      </w:tr>
      <w:tr w:rsidR="00C255C3" w:rsidRPr="00F72003" w14:paraId="792CCCE4" w14:textId="77777777" w:rsidTr="00C255C3">
        <w:tc>
          <w:tcPr>
            <w:tcW w:w="1350" w:type="dxa"/>
            <w:hideMark/>
          </w:tcPr>
          <w:p w14:paraId="3BF5BD35" w14:textId="766EF9AC" w:rsidR="00F72003" w:rsidRPr="00F72003" w:rsidRDefault="00F72003" w:rsidP="00F72003">
            <w:pPr>
              <w:spacing w:after="160" w:line="259" w:lineRule="auto"/>
              <w:jc w:val="both"/>
              <w:rPr>
                <w:sz w:val="24"/>
                <w:szCs w:val="24"/>
              </w:rPr>
            </w:pPr>
            <w:proofErr w:type="spellStart"/>
            <w:r w:rsidRPr="00F72003">
              <w:rPr>
                <w:sz w:val="24"/>
                <w:szCs w:val="24"/>
              </w:rPr>
              <w:t>Känzig</w:t>
            </w:r>
            <w:proofErr w:type="spellEnd"/>
            <w:r w:rsidR="0024396D" w:rsidRPr="00274C89">
              <w:rPr>
                <w:sz w:val="24"/>
                <w:szCs w:val="24"/>
              </w:rPr>
              <w:t xml:space="preserve"> </w:t>
            </w:r>
            <w:r w:rsidRPr="00F72003">
              <w:rPr>
                <w:sz w:val="24"/>
                <w:szCs w:val="24"/>
              </w:rPr>
              <w:t xml:space="preserve">&amp; </w:t>
            </w:r>
            <w:proofErr w:type="spellStart"/>
            <w:r w:rsidRPr="00F72003">
              <w:rPr>
                <w:sz w:val="24"/>
                <w:szCs w:val="24"/>
              </w:rPr>
              <w:t>Konradt</w:t>
            </w:r>
            <w:proofErr w:type="spellEnd"/>
          </w:p>
        </w:tc>
        <w:tc>
          <w:tcPr>
            <w:tcW w:w="990" w:type="dxa"/>
            <w:hideMark/>
          </w:tcPr>
          <w:p w14:paraId="5D685FF0" w14:textId="77777777" w:rsidR="00F72003" w:rsidRPr="00F72003" w:rsidRDefault="00F72003" w:rsidP="00F72003">
            <w:pPr>
              <w:spacing w:after="160" w:line="259" w:lineRule="auto"/>
              <w:jc w:val="both"/>
              <w:rPr>
                <w:sz w:val="24"/>
                <w:szCs w:val="24"/>
              </w:rPr>
            </w:pPr>
            <w:r w:rsidRPr="00F72003">
              <w:rPr>
                <w:sz w:val="24"/>
                <w:szCs w:val="24"/>
              </w:rPr>
              <w:t>2024</w:t>
            </w:r>
          </w:p>
        </w:tc>
        <w:tc>
          <w:tcPr>
            <w:tcW w:w="1440" w:type="dxa"/>
            <w:hideMark/>
          </w:tcPr>
          <w:p w14:paraId="0835512F" w14:textId="77777777" w:rsidR="00F72003" w:rsidRPr="00F72003" w:rsidRDefault="00F72003" w:rsidP="00F72003">
            <w:pPr>
              <w:spacing w:after="160" w:line="259" w:lineRule="auto"/>
              <w:jc w:val="both"/>
              <w:rPr>
                <w:sz w:val="24"/>
                <w:szCs w:val="24"/>
              </w:rPr>
            </w:pPr>
            <w:r w:rsidRPr="00F72003">
              <w:rPr>
                <w:sz w:val="24"/>
                <w:szCs w:val="24"/>
              </w:rPr>
              <w:t>Europe (EU and national)</w:t>
            </w:r>
          </w:p>
        </w:tc>
        <w:tc>
          <w:tcPr>
            <w:tcW w:w="1800" w:type="dxa"/>
            <w:hideMark/>
          </w:tcPr>
          <w:p w14:paraId="00782722" w14:textId="77777777" w:rsidR="00F72003" w:rsidRPr="00F72003" w:rsidRDefault="00F72003" w:rsidP="00F72003">
            <w:pPr>
              <w:spacing w:after="160" w:line="259" w:lineRule="auto"/>
              <w:jc w:val="both"/>
              <w:rPr>
                <w:sz w:val="24"/>
                <w:szCs w:val="24"/>
              </w:rPr>
            </w:pPr>
            <w:r w:rsidRPr="00F72003">
              <w:rPr>
                <w:sz w:val="24"/>
                <w:szCs w:val="24"/>
              </w:rPr>
              <w:t>Structural VAR with event-study elements</w:t>
            </w:r>
          </w:p>
        </w:tc>
        <w:tc>
          <w:tcPr>
            <w:tcW w:w="1530" w:type="dxa"/>
            <w:hideMark/>
          </w:tcPr>
          <w:p w14:paraId="1C81F987" w14:textId="77777777" w:rsidR="00F72003" w:rsidRPr="00F72003" w:rsidRDefault="00F72003" w:rsidP="00F72003">
            <w:pPr>
              <w:spacing w:after="160" w:line="259" w:lineRule="auto"/>
              <w:jc w:val="both"/>
              <w:rPr>
                <w:sz w:val="24"/>
                <w:szCs w:val="24"/>
              </w:rPr>
            </w:pPr>
            <w:r w:rsidRPr="00F72003">
              <w:rPr>
                <w:sz w:val="24"/>
                <w:szCs w:val="24"/>
              </w:rPr>
              <w:t>1995–2023</w:t>
            </w:r>
          </w:p>
        </w:tc>
        <w:tc>
          <w:tcPr>
            <w:tcW w:w="2250" w:type="dxa"/>
            <w:hideMark/>
          </w:tcPr>
          <w:p w14:paraId="414E7008" w14:textId="77777777" w:rsidR="00F72003" w:rsidRPr="00F72003" w:rsidRDefault="00F72003" w:rsidP="00F72003">
            <w:pPr>
              <w:spacing w:after="160" w:line="259" w:lineRule="auto"/>
              <w:jc w:val="both"/>
              <w:rPr>
                <w:sz w:val="24"/>
                <w:szCs w:val="24"/>
              </w:rPr>
            </w:pPr>
            <w:r w:rsidRPr="00F72003">
              <w:rPr>
                <w:sz w:val="24"/>
                <w:szCs w:val="24"/>
              </w:rPr>
              <w:t>Carbon pricing (taxes and EU ETS market)</w:t>
            </w:r>
          </w:p>
        </w:tc>
      </w:tr>
      <w:tr w:rsidR="00C255C3" w:rsidRPr="00F72003" w14:paraId="2ADD74F9" w14:textId="77777777" w:rsidTr="00C255C3">
        <w:tc>
          <w:tcPr>
            <w:tcW w:w="1350" w:type="dxa"/>
            <w:hideMark/>
          </w:tcPr>
          <w:p w14:paraId="46BD313A" w14:textId="64462681" w:rsidR="00F72003" w:rsidRPr="00F72003" w:rsidRDefault="00F72003" w:rsidP="00F72003">
            <w:pPr>
              <w:spacing w:after="160" w:line="259" w:lineRule="auto"/>
              <w:jc w:val="both"/>
              <w:rPr>
                <w:sz w:val="24"/>
                <w:szCs w:val="24"/>
              </w:rPr>
            </w:pPr>
            <w:r w:rsidRPr="00F72003">
              <w:rPr>
                <w:sz w:val="24"/>
                <w:szCs w:val="24"/>
              </w:rPr>
              <w:t>Konradt</w:t>
            </w:r>
            <w:r w:rsidR="0024396D" w:rsidRPr="00274C89">
              <w:rPr>
                <w:sz w:val="24"/>
                <w:szCs w:val="24"/>
              </w:rPr>
              <w:t xml:space="preserve"> et al.</w:t>
            </w:r>
          </w:p>
        </w:tc>
        <w:tc>
          <w:tcPr>
            <w:tcW w:w="990" w:type="dxa"/>
            <w:hideMark/>
          </w:tcPr>
          <w:p w14:paraId="63165536" w14:textId="77777777" w:rsidR="00F72003" w:rsidRPr="00F72003" w:rsidRDefault="00F72003" w:rsidP="00F72003">
            <w:pPr>
              <w:spacing w:after="160" w:line="259" w:lineRule="auto"/>
              <w:jc w:val="both"/>
              <w:rPr>
                <w:sz w:val="24"/>
                <w:szCs w:val="24"/>
              </w:rPr>
            </w:pPr>
            <w:r w:rsidRPr="00F72003">
              <w:rPr>
                <w:sz w:val="24"/>
                <w:szCs w:val="24"/>
              </w:rPr>
              <w:t>2024</w:t>
            </w:r>
          </w:p>
        </w:tc>
        <w:tc>
          <w:tcPr>
            <w:tcW w:w="1440" w:type="dxa"/>
            <w:hideMark/>
          </w:tcPr>
          <w:p w14:paraId="6ACFDBF8" w14:textId="77777777" w:rsidR="00F72003" w:rsidRPr="00F72003" w:rsidRDefault="00F72003" w:rsidP="00F72003">
            <w:pPr>
              <w:spacing w:after="160" w:line="259" w:lineRule="auto"/>
              <w:jc w:val="both"/>
              <w:rPr>
                <w:sz w:val="24"/>
                <w:szCs w:val="24"/>
              </w:rPr>
            </w:pPr>
            <w:r w:rsidRPr="00F72003">
              <w:rPr>
                <w:sz w:val="24"/>
                <w:szCs w:val="24"/>
              </w:rPr>
              <w:t>Euro area</w:t>
            </w:r>
          </w:p>
        </w:tc>
        <w:tc>
          <w:tcPr>
            <w:tcW w:w="1800" w:type="dxa"/>
            <w:hideMark/>
          </w:tcPr>
          <w:p w14:paraId="4336B3C0" w14:textId="77777777" w:rsidR="00F72003" w:rsidRPr="00F72003" w:rsidRDefault="00F72003" w:rsidP="00F72003">
            <w:pPr>
              <w:spacing w:after="160" w:line="259" w:lineRule="auto"/>
              <w:jc w:val="both"/>
              <w:rPr>
                <w:sz w:val="24"/>
                <w:szCs w:val="24"/>
              </w:rPr>
            </w:pPr>
            <w:r w:rsidRPr="00F72003">
              <w:rPr>
                <w:sz w:val="24"/>
                <w:szCs w:val="24"/>
              </w:rPr>
              <w:t>DSGE model simulations</w:t>
            </w:r>
          </w:p>
        </w:tc>
        <w:tc>
          <w:tcPr>
            <w:tcW w:w="1530" w:type="dxa"/>
            <w:hideMark/>
          </w:tcPr>
          <w:p w14:paraId="249AB3EE" w14:textId="77777777" w:rsidR="00F72003" w:rsidRPr="00F72003" w:rsidRDefault="00F72003" w:rsidP="00F72003">
            <w:pPr>
              <w:spacing w:after="160" w:line="259" w:lineRule="auto"/>
              <w:jc w:val="both"/>
              <w:rPr>
                <w:sz w:val="24"/>
                <w:szCs w:val="24"/>
              </w:rPr>
            </w:pPr>
            <w:r w:rsidRPr="00F72003">
              <w:rPr>
                <w:sz w:val="24"/>
                <w:szCs w:val="24"/>
              </w:rPr>
              <w:t>2010–2023 (</w:t>
            </w:r>
            <w:proofErr w:type="spellStart"/>
            <w:r w:rsidRPr="00F72003">
              <w:rPr>
                <w:sz w:val="24"/>
                <w:szCs w:val="24"/>
              </w:rPr>
              <w:t>proj</w:t>
            </w:r>
            <w:proofErr w:type="spellEnd"/>
            <w:r w:rsidRPr="00F72003">
              <w:rPr>
                <w:sz w:val="24"/>
                <w:szCs w:val="24"/>
              </w:rPr>
              <w:t>. to 2030)</w:t>
            </w:r>
          </w:p>
        </w:tc>
        <w:tc>
          <w:tcPr>
            <w:tcW w:w="2250" w:type="dxa"/>
            <w:hideMark/>
          </w:tcPr>
          <w:p w14:paraId="5DF56981" w14:textId="77777777" w:rsidR="00F72003" w:rsidRPr="00F72003" w:rsidRDefault="00F72003" w:rsidP="00F72003">
            <w:pPr>
              <w:spacing w:after="160" w:line="259" w:lineRule="auto"/>
              <w:jc w:val="both"/>
              <w:rPr>
                <w:sz w:val="24"/>
                <w:szCs w:val="24"/>
              </w:rPr>
            </w:pPr>
            <w:r w:rsidRPr="00F72003">
              <w:rPr>
                <w:sz w:val="24"/>
                <w:szCs w:val="24"/>
              </w:rPr>
              <w:t>Carbon prices and green investment boom</w:t>
            </w:r>
          </w:p>
        </w:tc>
      </w:tr>
      <w:tr w:rsidR="00C255C3" w:rsidRPr="00F72003" w14:paraId="081C8108" w14:textId="77777777" w:rsidTr="00C255C3">
        <w:tc>
          <w:tcPr>
            <w:tcW w:w="1350" w:type="dxa"/>
            <w:hideMark/>
          </w:tcPr>
          <w:p w14:paraId="0CDD38A5" w14:textId="40291D62" w:rsidR="00F72003" w:rsidRPr="00F72003" w:rsidRDefault="00F72003" w:rsidP="00F72003">
            <w:pPr>
              <w:spacing w:after="160" w:line="259" w:lineRule="auto"/>
              <w:jc w:val="both"/>
              <w:rPr>
                <w:sz w:val="24"/>
                <w:szCs w:val="24"/>
              </w:rPr>
            </w:pPr>
            <w:r w:rsidRPr="00F72003">
              <w:rPr>
                <w:sz w:val="24"/>
                <w:szCs w:val="24"/>
              </w:rPr>
              <w:t>Arce</w:t>
            </w:r>
            <w:r w:rsidR="0024396D" w:rsidRPr="00274C89">
              <w:rPr>
                <w:sz w:val="24"/>
                <w:szCs w:val="24"/>
              </w:rPr>
              <w:t xml:space="preserve"> et al.</w:t>
            </w:r>
          </w:p>
        </w:tc>
        <w:tc>
          <w:tcPr>
            <w:tcW w:w="990" w:type="dxa"/>
            <w:hideMark/>
          </w:tcPr>
          <w:p w14:paraId="1DD2D0A9" w14:textId="77777777" w:rsidR="00F72003" w:rsidRPr="00F72003" w:rsidRDefault="00F72003" w:rsidP="00F72003">
            <w:pPr>
              <w:spacing w:after="160" w:line="259" w:lineRule="auto"/>
              <w:jc w:val="both"/>
              <w:rPr>
                <w:sz w:val="24"/>
                <w:szCs w:val="24"/>
              </w:rPr>
            </w:pPr>
            <w:r w:rsidRPr="00F72003">
              <w:rPr>
                <w:sz w:val="24"/>
                <w:szCs w:val="24"/>
              </w:rPr>
              <w:t>2024</w:t>
            </w:r>
          </w:p>
        </w:tc>
        <w:tc>
          <w:tcPr>
            <w:tcW w:w="1440" w:type="dxa"/>
            <w:hideMark/>
          </w:tcPr>
          <w:p w14:paraId="3B9B9825" w14:textId="77777777" w:rsidR="00F72003" w:rsidRPr="00F72003" w:rsidRDefault="00F72003" w:rsidP="00F72003">
            <w:pPr>
              <w:spacing w:after="160" w:line="259" w:lineRule="auto"/>
              <w:jc w:val="both"/>
              <w:rPr>
                <w:sz w:val="24"/>
                <w:szCs w:val="24"/>
              </w:rPr>
            </w:pPr>
            <w:r w:rsidRPr="00F72003">
              <w:rPr>
                <w:sz w:val="24"/>
                <w:szCs w:val="24"/>
              </w:rPr>
              <w:t>Euro area</w:t>
            </w:r>
          </w:p>
        </w:tc>
        <w:tc>
          <w:tcPr>
            <w:tcW w:w="1800" w:type="dxa"/>
            <w:hideMark/>
          </w:tcPr>
          <w:p w14:paraId="5B28987C" w14:textId="77777777" w:rsidR="00F72003" w:rsidRPr="00F72003" w:rsidRDefault="00F72003" w:rsidP="00F72003">
            <w:pPr>
              <w:spacing w:after="160" w:line="259" w:lineRule="auto"/>
              <w:jc w:val="both"/>
              <w:rPr>
                <w:sz w:val="24"/>
                <w:szCs w:val="24"/>
              </w:rPr>
            </w:pPr>
            <w:r w:rsidRPr="00F72003">
              <w:rPr>
                <w:sz w:val="24"/>
                <w:szCs w:val="24"/>
              </w:rPr>
              <w:t>Semi-structural decomposition and Bayesian VAR</w:t>
            </w:r>
          </w:p>
        </w:tc>
        <w:tc>
          <w:tcPr>
            <w:tcW w:w="1530" w:type="dxa"/>
            <w:hideMark/>
          </w:tcPr>
          <w:p w14:paraId="3F6EAD1B" w14:textId="77777777" w:rsidR="00F72003" w:rsidRPr="00F72003" w:rsidRDefault="00F72003" w:rsidP="00F72003">
            <w:pPr>
              <w:spacing w:after="160" w:line="259" w:lineRule="auto"/>
              <w:jc w:val="both"/>
              <w:rPr>
                <w:sz w:val="24"/>
                <w:szCs w:val="24"/>
              </w:rPr>
            </w:pPr>
            <w:r w:rsidRPr="00F72003">
              <w:rPr>
                <w:sz w:val="24"/>
                <w:szCs w:val="24"/>
              </w:rPr>
              <w:t>2019–2023</w:t>
            </w:r>
          </w:p>
        </w:tc>
        <w:tc>
          <w:tcPr>
            <w:tcW w:w="2250" w:type="dxa"/>
            <w:hideMark/>
          </w:tcPr>
          <w:p w14:paraId="13F3B968" w14:textId="77777777" w:rsidR="00F72003" w:rsidRPr="00F72003" w:rsidRDefault="00F72003" w:rsidP="00F72003">
            <w:pPr>
              <w:spacing w:after="160" w:line="259" w:lineRule="auto"/>
              <w:jc w:val="both"/>
              <w:rPr>
                <w:sz w:val="24"/>
                <w:szCs w:val="24"/>
              </w:rPr>
            </w:pPr>
            <w:r w:rsidRPr="00F72003">
              <w:rPr>
                <w:sz w:val="24"/>
                <w:szCs w:val="24"/>
              </w:rPr>
              <w:t>Aggregate energy transition shocks (incl. carbon pricing)</w:t>
            </w:r>
          </w:p>
        </w:tc>
      </w:tr>
      <w:tr w:rsidR="00C255C3" w:rsidRPr="00F72003" w14:paraId="5B80E4F9" w14:textId="77777777" w:rsidTr="00C255C3">
        <w:tc>
          <w:tcPr>
            <w:tcW w:w="1350" w:type="dxa"/>
            <w:hideMark/>
          </w:tcPr>
          <w:p w14:paraId="488ED6DD" w14:textId="0B5B11B5" w:rsidR="00F72003" w:rsidRPr="00F72003" w:rsidRDefault="00F72003" w:rsidP="00F72003">
            <w:pPr>
              <w:spacing w:after="160" w:line="259" w:lineRule="auto"/>
              <w:jc w:val="both"/>
              <w:rPr>
                <w:sz w:val="24"/>
                <w:szCs w:val="24"/>
              </w:rPr>
            </w:pPr>
            <w:proofErr w:type="spellStart"/>
            <w:r w:rsidRPr="00F72003">
              <w:rPr>
                <w:sz w:val="24"/>
                <w:szCs w:val="24"/>
              </w:rPr>
              <w:t>Ferdinandusse</w:t>
            </w:r>
            <w:proofErr w:type="spellEnd"/>
            <w:r w:rsidR="0024396D" w:rsidRPr="00274C89">
              <w:rPr>
                <w:sz w:val="24"/>
                <w:szCs w:val="24"/>
              </w:rPr>
              <w:t xml:space="preserve"> et al.</w:t>
            </w:r>
          </w:p>
        </w:tc>
        <w:tc>
          <w:tcPr>
            <w:tcW w:w="990" w:type="dxa"/>
            <w:hideMark/>
          </w:tcPr>
          <w:p w14:paraId="2AD5B6A6" w14:textId="77777777" w:rsidR="00F72003" w:rsidRPr="00F72003" w:rsidRDefault="00F72003" w:rsidP="00F72003">
            <w:pPr>
              <w:spacing w:after="160" w:line="259" w:lineRule="auto"/>
              <w:jc w:val="both"/>
              <w:rPr>
                <w:sz w:val="24"/>
                <w:szCs w:val="24"/>
              </w:rPr>
            </w:pPr>
            <w:r w:rsidRPr="00F72003">
              <w:rPr>
                <w:sz w:val="24"/>
                <w:szCs w:val="24"/>
              </w:rPr>
              <w:t>2024</w:t>
            </w:r>
          </w:p>
        </w:tc>
        <w:tc>
          <w:tcPr>
            <w:tcW w:w="1440" w:type="dxa"/>
            <w:hideMark/>
          </w:tcPr>
          <w:p w14:paraId="63CCDA64" w14:textId="77777777" w:rsidR="00F72003" w:rsidRPr="00F72003" w:rsidRDefault="00F72003" w:rsidP="00F72003">
            <w:pPr>
              <w:spacing w:after="160" w:line="259" w:lineRule="auto"/>
              <w:jc w:val="both"/>
              <w:rPr>
                <w:sz w:val="24"/>
                <w:szCs w:val="24"/>
              </w:rPr>
            </w:pPr>
            <w:r w:rsidRPr="00F72003">
              <w:rPr>
                <w:sz w:val="24"/>
                <w:szCs w:val="24"/>
              </w:rPr>
              <w:t>Euro area and EU</w:t>
            </w:r>
          </w:p>
        </w:tc>
        <w:tc>
          <w:tcPr>
            <w:tcW w:w="1800" w:type="dxa"/>
            <w:hideMark/>
          </w:tcPr>
          <w:p w14:paraId="44E3113C" w14:textId="77777777" w:rsidR="00F72003" w:rsidRPr="00F72003" w:rsidRDefault="00F72003" w:rsidP="00F72003">
            <w:pPr>
              <w:spacing w:after="160" w:line="259" w:lineRule="auto"/>
              <w:jc w:val="both"/>
              <w:rPr>
                <w:sz w:val="24"/>
                <w:szCs w:val="24"/>
              </w:rPr>
            </w:pPr>
            <w:r w:rsidRPr="00F72003">
              <w:rPr>
                <w:sz w:val="24"/>
                <w:szCs w:val="24"/>
              </w:rPr>
              <w:t>Macro model simulations (ECB-BASE)</w:t>
            </w:r>
          </w:p>
        </w:tc>
        <w:tc>
          <w:tcPr>
            <w:tcW w:w="1530" w:type="dxa"/>
            <w:hideMark/>
          </w:tcPr>
          <w:p w14:paraId="5618FBA5" w14:textId="77777777" w:rsidR="00F72003" w:rsidRPr="00F72003" w:rsidRDefault="00F72003" w:rsidP="00F72003">
            <w:pPr>
              <w:spacing w:after="160" w:line="259" w:lineRule="auto"/>
              <w:jc w:val="both"/>
              <w:rPr>
                <w:sz w:val="24"/>
                <w:szCs w:val="24"/>
              </w:rPr>
            </w:pPr>
            <w:r w:rsidRPr="00F72003">
              <w:rPr>
                <w:sz w:val="24"/>
                <w:szCs w:val="24"/>
              </w:rPr>
              <w:t>2020–2030 (</w:t>
            </w:r>
            <w:proofErr w:type="spellStart"/>
            <w:r w:rsidRPr="00F72003">
              <w:rPr>
                <w:sz w:val="24"/>
                <w:szCs w:val="24"/>
              </w:rPr>
              <w:t>proj</w:t>
            </w:r>
            <w:proofErr w:type="spellEnd"/>
            <w:r w:rsidRPr="00F72003">
              <w:rPr>
                <w:sz w:val="24"/>
                <w:szCs w:val="24"/>
              </w:rPr>
              <w:t>.)</w:t>
            </w:r>
          </w:p>
        </w:tc>
        <w:tc>
          <w:tcPr>
            <w:tcW w:w="2250" w:type="dxa"/>
            <w:hideMark/>
          </w:tcPr>
          <w:p w14:paraId="177AC269" w14:textId="77777777" w:rsidR="00F72003" w:rsidRPr="00F72003" w:rsidRDefault="00F72003" w:rsidP="00F72003">
            <w:pPr>
              <w:spacing w:after="160" w:line="259" w:lineRule="auto"/>
              <w:jc w:val="both"/>
              <w:rPr>
                <w:sz w:val="24"/>
                <w:szCs w:val="24"/>
              </w:rPr>
            </w:pPr>
            <w:r w:rsidRPr="00F72003">
              <w:rPr>
                <w:sz w:val="24"/>
                <w:szCs w:val="24"/>
              </w:rPr>
              <w:t>Climate transition policies (carbon pricing + investment)</w:t>
            </w:r>
          </w:p>
        </w:tc>
      </w:tr>
      <w:tr w:rsidR="00C255C3" w:rsidRPr="00F72003" w14:paraId="42F07597" w14:textId="77777777" w:rsidTr="00C255C3">
        <w:tc>
          <w:tcPr>
            <w:tcW w:w="1350" w:type="dxa"/>
            <w:hideMark/>
          </w:tcPr>
          <w:p w14:paraId="7ADD1273" w14:textId="0A744E57" w:rsidR="00F72003" w:rsidRPr="00F72003" w:rsidRDefault="00F72003" w:rsidP="00F72003">
            <w:pPr>
              <w:spacing w:after="160" w:line="259" w:lineRule="auto"/>
              <w:jc w:val="both"/>
              <w:rPr>
                <w:sz w:val="24"/>
                <w:szCs w:val="24"/>
              </w:rPr>
            </w:pPr>
            <w:r w:rsidRPr="00F72003">
              <w:rPr>
                <w:sz w:val="24"/>
                <w:szCs w:val="24"/>
              </w:rPr>
              <w:t>Hintermann, &amp; Ludwig</w:t>
            </w:r>
          </w:p>
        </w:tc>
        <w:tc>
          <w:tcPr>
            <w:tcW w:w="990" w:type="dxa"/>
            <w:hideMark/>
          </w:tcPr>
          <w:p w14:paraId="0E19B87F" w14:textId="77777777" w:rsidR="00F72003" w:rsidRPr="00F72003" w:rsidRDefault="00F72003" w:rsidP="00F72003">
            <w:pPr>
              <w:spacing w:after="160" w:line="259" w:lineRule="auto"/>
              <w:jc w:val="both"/>
              <w:rPr>
                <w:sz w:val="24"/>
                <w:szCs w:val="24"/>
              </w:rPr>
            </w:pPr>
            <w:r w:rsidRPr="00F72003">
              <w:rPr>
                <w:sz w:val="24"/>
                <w:szCs w:val="24"/>
              </w:rPr>
              <w:t>2023</w:t>
            </w:r>
          </w:p>
        </w:tc>
        <w:tc>
          <w:tcPr>
            <w:tcW w:w="1440" w:type="dxa"/>
            <w:hideMark/>
          </w:tcPr>
          <w:p w14:paraId="0BC79736" w14:textId="77777777" w:rsidR="00F72003" w:rsidRPr="00F72003" w:rsidRDefault="00F72003" w:rsidP="00F72003">
            <w:pPr>
              <w:spacing w:after="160" w:line="259" w:lineRule="auto"/>
              <w:jc w:val="both"/>
              <w:rPr>
                <w:sz w:val="24"/>
                <w:szCs w:val="24"/>
              </w:rPr>
            </w:pPr>
            <w:r w:rsidRPr="00F72003">
              <w:rPr>
                <w:sz w:val="24"/>
                <w:szCs w:val="24"/>
              </w:rPr>
              <w:t>EU (focus on ETS participants)</w:t>
            </w:r>
          </w:p>
        </w:tc>
        <w:tc>
          <w:tcPr>
            <w:tcW w:w="1800" w:type="dxa"/>
            <w:hideMark/>
          </w:tcPr>
          <w:p w14:paraId="0300B981" w14:textId="77777777" w:rsidR="00F72003" w:rsidRPr="00F72003" w:rsidRDefault="00F72003" w:rsidP="00F72003">
            <w:pPr>
              <w:spacing w:after="160" w:line="259" w:lineRule="auto"/>
              <w:jc w:val="both"/>
              <w:rPr>
                <w:sz w:val="24"/>
                <w:szCs w:val="24"/>
              </w:rPr>
            </w:pPr>
            <w:r w:rsidRPr="00F72003">
              <w:rPr>
                <w:sz w:val="24"/>
                <w:szCs w:val="24"/>
              </w:rPr>
              <w:t>Difference-in-differences</w:t>
            </w:r>
          </w:p>
        </w:tc>
        <w:tc>
          <w:tcPr>
            <w:tcW w:w="1530" w:type="dxa"/>
            <w:hideMark/>
          </w:tcPr>
          <w:p w14:paraId="4DD936E5" w14:textId="77777777" w:rsidR="00F72003" w:rsidRPr="00F72003" w:rsidRDefault="00F72003" w:rsidP="00F72003">
            <w:pPr>
              <w:spacing w:after="160" w:line="259" w:lineRule="auto"/>
              <w:jc w:val="both"/>
              <w:rPr>
                <w:sz w:val="24"/>
                <w:szCs w:val="24"/>
              </w:rPr>
            </w:pPr>
            <w:r w:rsidRPr="00F72003">
              <w:rPr>
                <w:sz w:val="24"/>
                <w:szCs w:val="24"/>
              </w:rPr>
              <w:t>2005–2022</w:t>
            </w:r>
          </w:p>
        </w:tc>
        <w:tc>
          <w:tcPr>
            <w:tcW w:w="2250" w:type="dxa"/>
            <w:hideMark/>
          </w:tcPr>
          <w:p w14:paraId="211BCF67" w14:textId="77777777" w:rsidR="00F72003" w:rsidRPr="00F72003" w:rsidRDefault="00F72003" w:rsidP="00F72003">
            <w:pPr>
              <w:spacing w:after="160" w:line="259" w:lineRule="auto"/>
              <w:jc w:val="both"/>
              <w:rPr>
                <w:sz w:val="24"/>
                <w:szCs w:val="24"/>
              </w:rPr>
            </w:pPr>
            <w:r w:rsidRPr="00F72003">
              <w:rPr>
                <w:sz w:val="24"/>
                <w:szCs w:val="24"/>
              </w:rPr>
              <w:t>EU ETS emissions trading and price pass-through</w:t>
            </w:r>
          </w:p>
        </w:tc>
      </w:tr>
      <w:tr w:rsidR="00C255C3" w:rsidRPr="00F72003" w14:paraId="288F9EAA" w14:textId="77777777" w:rsidTr="00C255C3">
        <w:tc>
          <w:tcPr>
            <w:tcW w:w="1350" w:type="dxa"/>
            <w:hideMark/>
          </w:tcPr>
          <w:p w14:paraId="1DDBED29" w14:textId="63AE0267" w:rsidR="00F72003" w:rsidRPr="00F72003" w:rsidRDefault="00F72003" w:rsidP="00F72003">
            <w:pPr>
              <w:spacing w:after="160" w:line="259" w:lineRule="auto"/>
              <w:jc w:val="both"/>
              <w:rPr>
                <w:sz w:val="24"/>
                <w:szCs w:val="24"/>
              </w:rPr>
            </w:pPr>
            <w:r w:rsidRPr="00F72003">
              <w:rPr>
                <w:sz w:val="24"/>
                <w:szCs w:val="24"/>
              </w:rPr>
              <w:t>Konradt</w:t>
            </w:r>
            <w:r w:rsidR="0024396D" w:rsidRPr="00274C89">
              <w:rPr>
                <w:sz w:val="24"/>
                <w:szCs w:val="24"/>
              </w:rPr>
              <w:t xml:space="preserve"> et al.,</w:t>
            </w:r>
          </w:p>
        </w:tc>
        <w:tc>
          <w:tcPr>
            <w:tcW w:w="990" w:type="dxa"/>
            <w:hideMark/>
          </w:tcPr>
          <w:p w14:paraId="1926066E" w14:textId="77777777" w:rsidR="00F72003" w:rsidRPr="00F72003" w:rsidRDefault="00F72003" w:rsidP="00F72003">
            <w:pPr>
              <w:spacing w:after="160" w:line="259" w:lineRule="auto"/>
              <w:jc w:val="both"/>
              <w:rPr>
                <w:sz w:val="24"/>
                <w:szCs w:val="24"/>
              </w:rPr>
            </w:pPr>
            <w:r w:rsidRPr="00F72003">
              <w:rPr>
                <w:sz w:val="24"/>
                <w:szCs w:val="24"/>
              </w:rPr>
              <w:t>2023</w:t>
            </w:r>
          </w:p>
        </w:tc>
        <w:tc>
          <w:tcPr>
            <w:tcW w:w="1440" w:type="dxa"/>
            <w:hideMark/>
          </w:tcPr>
          <w:p w14:paraId="62D156D7" w14:textId="77777777" w:rsidR="00F72003" w:rsidRPr="00F72003" w:rsidRDefault="00F72003" w:rsidP="00F72003">
            <w:pPr>
              <w:spacing w:after="160" w:line="259" w:lineRule="auto"/>
              <w:jc w:val="both"/>
              <w:rPr>
                <w:sz w:val="24"/>
                <w:szCs w:val="24"/>
              </w:rPr>
            </w:pPr>
            <w:r w:rsidRPr="00F72003">
              <w:rPr>
                <w:sz w:val="24"/>
                <w:szCs w:val="24"/>
              </w:rPr>
              <w:t>Europe and Canada</w:t>
            </w:r>
          </w:p>
        </w:tc>
        <w:tc>
          <w:tcPr>
            <w:tcW w:w="1800" w:type="dxa"/>
            <w:hideMark/>
          </w:tcPr>
          <w:p w14:paraId="13FD6EBE" w14:textId="77777777" w:rsidR="00F72003" w:rsidRPr="00F72003" w:rsidRDefault="00F72003" w:rsidP="00F72003">
            <w:pPr>
              <w:spacing w:after="160" w:line="259" w:lineRule="auto"/>
              <w:jc w:val="both"/>
              <w:rPr>
                <w:sz w:val="24"/>
                <w:szCs w:val="24"/>
              </w:rPr>
            </w:pPr>
            <w:r w:rsidRPr="00F72003">
              <w:rPr>
                <w:sz w:val="24"/>
                <w:szCs w:val="24"/>
              </w:rPr>
              <w:t>Panel fixed-effects regressions</w:t>
            </w:r>
          </w:p>
        </w:tc>
        <w:tc>
          <w:tcPr>
            <w:tcW w:w="1530" w:type="dxa"/>
            <w:hideMark/>
          </w:tcPr>
          <w:p w14:paraId="7C8E336E" w14:textId="77777777" w:rsidR="00F72003" w:rsidRPr="00F72003" w:rsidRDefault="00F72003" w:rsidP="00F72003">
            <w:pPr>
              <w:spacing w:after="160" w:line="259" w:lineRule="auto"/>
              <w:jc w:val="both"/>
              <w:rPr>
                <w:sz w:val="24"/>
                <w:szCs w:val="24"/>
              </w:rPr>
            </w:pPr>
            <w:r w:rsidRPr="00F72003">
              <w:rPr>
                <w:sz w:val="24"/>
                <w:szCs w:val="24"/>
              </w:rPr>
              <w:t>2000–2022</w:t>
            </w:r>
          </w:p>
        </w:tc>
        <w:tc>
          <w:tcPr>
            <w:tcW w:w="2250" w:type="dxa"/>
            <w:hideMark/>
          </w:tcPr>
          <w:p w14:paraId="7657FCF1" w14:textId="77777777" w:rsidR="00F72003" w:rsidRPr="00F72003" w:rsidRDefault="00F72003" w:rsidP="00F72003">
            <w:pPr>
              <w:spacing w:after="160" w:line="259" w:lineRule="auto"/>
              <w:jc w:val="both"/>
              <w:rPr>
                <w:sz w:val="24"/>
                <w:szCs w:val="24"/>
              </w:rPr>
            </w:pPr>
            <w:r w:rsidRPr="00F72003">
              <w:rPr>
                <w:sz w:val="24"/>
                <w:szCs w:val="24"/>
              </w:rPr>
              <w:t>Carbon taxation</w:t>
            </w:r>
          </w:p>
        </w:tc>
      </w:tr>
      <w:tr w:rsidR="00C255C3" w:rsidRPr="00F72003" w14:paraId="62A070EC" w14:textId="77777777" w:rsidTr="00C255C3">
        <w:tc>
          <w:tcPr>
            <w:tcW w:w="1350" w:type="dxa"/>
            <w:hideMark/>
          </w:tcPr>
          <w:p w14:paraId="28C6B601" w14:textId="77777777" w:rsidR="00F72003" w:rsidRPr="00F72003" w:rsidRDefault="00F72003" w:rsidP="00F72003">
            <w:pPr>
              <w:spacing w:after="160" w:line="259" w:lineRule="auto"/>
              <w:jc w:val="both"/>
              <w:rPr>
                <w:sz w:val="24"/>
                <w:szCs w:val="24"/>
              </w:rPr>
            </w:pPr>
            <w:r w:rsidRPr="00F72003">
              <w:rPr>
                <w:sz w:val="24"/>
                <w:szCs w:val="24"/>
              </w:rPr>
              <w:t xml:space="preserve">Annicchiarico, B., Carli, M., &amp; </w:t>
            </w:r>
            <w:proofErr w:type="spellStart"/>
            <w:r w:rsidRPr="00F72003">
              <w:rPr>
                <w:sz w:val="24"/>
                <w:szCs w:val="24"/>
              </w:rPr>
              <w:t>Diluiso</w:t>
            </w:r>
            <w:proofErr w:type="spellEnd"/>
            <w:r w:rsidRPr="00F72003">
              <w:rPr>
                <w:sz w:val="24"/>
                <w:szCs w:val="24"/>
              </w:rPr>
              <w:t>, F.</w:t>
            </w:r>
          </w:p>
        </w:tc>
        <w:tc>
          <w:tcPr>
            <w:tcW w:w="990" w:type="dxa"/>
            <w:hideMark/>
          </w:tcPr>
          <w:p w14:paraId="6A40FA76" w14:textId="77777777" w:rsidR="00F72003" w:rsidRPr="00F72003" w:rsidRDefault="00F72003" w:rsidP="00F72003">
            <w:pPr>
              <w:spacing w:after="160" w:line="259" w:lineRule="auto"/>
              <w:jc w:val="both"/>
              <w:rPr>
                <w:sz w:val="24"/>
                <w:szCs w:val="24"/>
              </w:rPr>
            </w:pPr>
            <w:r w:rsidRPr="00F72003">
              <w:rPr>
                <w:sz w:val="24"/>
                <w:szCs w:val="24"/>
              </w:rPr>
              <w:t>2023</w:t>
            </w:r>
          </w:p>
        </w:tc>
        <w:tc>
          <w:tcPr>
            <w:tcW w:w="1440" w:type="dxa"/>
            <w:hideMark/>
          </w:tcPr>
          <w:p w14:paraId="59D56040" w14:textId="77777777" w:rsidR="00F72003" w:rsidRPr="00F72003" w:rsidRDefault="00F72003" w:rsidP="00F72003">
            <w:pPr>
              <w:spacing w:after="160" w:line="259" w:lineRule="auto"/>
              <w:jc w:val="both"/>
              <w:rPr>
                <w:sz w:val="24"/>
                <w:szCs w:val="24"/>
              </w:rPr>
            </w:pPr>
            <w:r w:rsidRPr="00F72003">
              <w:rPr>
                <w:sz w:val="24"/>
                <w:szCs w:val="24"/>
              </w:rPr>
              <w:t>Euro area (calibrated model)</w:t>
            </w:r>
          </w:p>
        </w:tc>
        <w:tc>
          <w:tcPr>
            <w:tcW w:w="1800" w:type="dxa"/>
            <w:hideMark/>
          </w:tcPr>
          <w:p w14:paraId="69DA59DA" w14:textId="77777777" w:rsidR="00F72003" w:rsidRPr="00F72003" w:rsidRDefault="00F72003" w:rsidP="00F72003">
            <w:pPr>
              <w:spacing w:after="160" w:line="259" w:lineRule="auto"/>
              <w:jc w:val="both"/>
              <w:rPr>
                <w:sz w:val="24"/>
                <w:szCs w:val="24"/>
              </w:rPr>
            </w:pPr>
            <w:r w:rsidRPr="00F72003">
              <w:rPr>
                <w:sz w:val="24"/>
                <w:szCs w:val="24"/>
              </w:rPr>
              <w:t>New Keynesian DSGE</w:t>
            </w:r>
          </w:p>
        </w:tc>
        <w:tc>
          <w:tcPr>
            <w:tcW w:w="1530" w:type="dxa"/>
            <w:hideMark/>
          </w:tcPr>
          <w:p w14:paraId="78B601E5" w14:textId="77777777" w:rsidR="00F72003" w:rsidRPr="00F72003" w:rsidRDefault="00F72003" w:rsidP="00F72003">
            <w:pPr>
              <w:spacing w:after="160" w:line="259" w:lineRule="auto"/>
              <w:jc w:val="both"/>
              <w:rPr>
                <w:sz w:val="24"/>
                <w:szCs w:val="24"/>
              </w:rPr>
            </w:pPr>
            <w:r w:rsidRPr="00F72003">
              <w:rPr>
                <w:sz w:val="24"/>
                <w:szCs w:val="24"/>
              </w:rPr>
              <w:t>2010–2022 (simulations)</w:t>
            </w:r>
          </w:p>
        </w:tc>
        <w:tc>
          <w:tcPr>
            <w:tcW w:w="2250" w:type="dxa"/>
            <w:hideMark/>
          </w:tcPr>
          <w:p w14:paraId="79739823" w14:textId="77777777" w:rsidR="00F72003" w:rsidRPr="00F72003" w:rsidRDefault="00F72003" w:rsidP="00F72003">
            <w:pPr>
              <w:spacing w:after="160" w:line="259" w:lineRule="auto"/>
              <w:jc w:val="both"/>
              <w:rPr>
                <w:sz w:val="24"/>
                <w:szCs w:val="24"/>
              </w:rPr>
            </w:pPr>
            <w:r w:rsidRPr="00F72003">
              <w:rPr>
                <w:sz w:val="24"/>
                <w:szCs w:val="24"/>
              </w:rPr>
              <w:t>Climate policies (incl. carbon pricing and supply constraints)</w:t>
            </w:r>
          </w:p>
        </w:tc>
      </w:tr>
    </w:tbl>
    <w:p w14:paraId="4B37193D" w14:textId="77777777" w:rsidR="00F72003" w:rsidRPr="00274C89" w:rsidRDefault="00F72003" w:rsidP="00192D0A">
      <w:pPr>
        <w:jc w:val="both"/>
        <w:rPr>
          <w:sz w:val="24"/>
          <w:szCs w:val="24"/>
        </w:rPr>
      </w:pPr>
    </w:p>
    <w:p w14:paraId="596D57DA" w14:textId="39BF3923" w:rsidR="00F72003" w:rsidRPr="00274C89" w:rsidRDefault="00557C23" w:rsidP="00F72003">
      <w:pPr>
        <w:jc w:val="both"/>
        <w:rPr>
          <w:b/>
          <w:bCs/>
          <w:sz w:val="24"/>
          <w:szCs w:val="24"/>
        </w:rPr>
      </w:pPr>
      <w:r w:rsidRPr="00274C89">
        <w:rPr>
          <w:b/>
          <w:bCs/>
          <w:sz w:val="24"/>
          <w:szCs w:val="24"/>
        </w:rPr>
        <w:t xml:space="preserve">3.2 </w:t>
      </w:r>
      <w:r w:rsidR="00F72003" w:rsidRPr="00274C89">
        <w:rPr>
          <w:b/>
          <w:bCs/>
          <w:sz w:val="24"/>
          <w:szCs w:val="24"/>
        </w:rPr>
        <w:t>Risk of bias / quality assessment summary</w:t>
      </w:r>
    </w:p>
    <w:p w14:paraId="52D03550" w14:textId="6231DC64" w:rsidR="00F72003" w:rsidRPr="00274C89" w:rsidRDefault="00F72003" w:rsidP="00F72003">
      <w:pPr>
        <w:jc w:val="both"/>
        <w:rPr>
          <w:sz w:val="24"/>
          <w:szCs w:val="24"/>
        </w:rPr>
      </w:pPr>
      <w:r w:rsidRPr="00274C89">
        <w:rPr>
          <w:sz w:val="24"/>
          <w:szCs w:val="24"/>
        </w:rPr>
        <w:lastRenderedPageBreak/>
        <w:t xml:space="preserve">Two </w:t>
      </w:r>
      <w:r w:rsidR="009033CA" w:rsidRPr="00274C89">
        <w:rPr>
          <w:sz w:val="24"/>
          <w:szCs w:val="24"/>
        </w:rPr>
        <w:t>authors</w:t>
      </w:r>
      <w:r w:rsidRPr="00274C89">
        <w:rPr>
          <w:sz w:val="24"/>
          <w:szCs w:val="24"/>
        </w:rPr>
        <w:t xml:space="preserve"> applied a modified version of the Newcastle-Ottawa Scale, adapted for macroeconomic and policy-evaluation studies, to assess each of the eight included studies. This tool evaluates key aspects such as the clarity of the green policy or shock definition, the robustness of the identification strategy or model structure for isolating causal effects, the quality and temporal span of the data used, the handling of expectations and monetary-policy responses, and the transparency of underlying assumptions (particularly in DSGE models). Scores range from 0 to 10, with 8–10 indicating high quality, 6–7 moderate, and below 6 low. </w:t>
      </w:r>
    </w:p>
    <w:p w14:paraId="1B86755E" w14:textId="22FB97FE" w:rsidR="00F72003" w:rsidRPr="00274C89" w:rsidRDefault="00F72003" w:rsidP="00F72003">
      <w:pPr>
        <w:jc w:val="both"/>
        <w:rPr>
          <w:sz w:val="24"/>
          <w:szCs w:val="24"/>
        </w:rPr>
      </w:pPr>
      <w:r w:rsidRPr="00274C89">
        <w:rPr>
          <w:sz w:val="24"/>
          <w:szCs w:val="24"/>
        </w:rPr>
        <w:t xml:space="preserve">The overall quality was strong, with scores ranging from 7 to 10 and an average of 8.7 across the studies. The highest scores of 10 went to </w:t>
      </w:r>
      <w:proofErr w:type="spellStart"/>
      <w:r w:rsidRPr="00274C89">
        <w:rPr>
          <w:sz w:val="24"/>
          <w:szCs w:val="24"/>
        </w:rPr>
        <w:t>Känzig</w:t>
      </w:r>
      <w:proofErr w:type="spellEnd"/>
      <w:r w:rsidRPr="00274C89">
        <w:rPr>
          <w:sz w:val="24"/>
          <w:szCs w:val="24"/>
        </w:rPr>
        <w:t xml:space="preserve"> and </w:t>
      </w:r>
      <w:proofErr w:type="spellStart"/>
      <w:r w:rsidRPr="00274C89">
        <w:rPr>
          <w:sz w:val="24"/>
          <w:szCs w:val="24"/>
        </w:rPr>
        <w:t>Konradt</w:t>
      </w:r>
      <w:proofErr w:type="spellEnd"/>
      <w:r w:rsidRPr="00274C89">
        <w:rPr>
          <w:sz w:val="24"/>
          <w:szCs w:val="24"/>
        </w:rPr>
        <w:t xml:space="preserve"> (2024) and Konradt et al. (2024), reflecting their sophisticated structural identification in VAR models, long historical data series, and publicly available replication code that allows for full verification. High-quality ratings of 9 were assigned to Moessner (2025), Arce et al. (2024), and </w:t>
      </w:r>
      <w:proofErr w:type="spellStart"/>
      <w:r w:rsidRPr="00274C89">
        <w:rPr>
          <w:sz w:val="24"/>
          <w:szCs w:val="24"/>
        </w:rPr>
        <w:t>Ferdinandusse</w:t>
      </w:r>
      <w:proofErr w:type="spellEnd"/>
      <w:r w:rsidRPr="00274C89">
        <w:rPr>
          <w:sz w:val="24"/>
          <w:szCs w:val="24"/>
        </w:rPr>
        <w:t xml:space="preserve"> et al. (2024), due to their clear empirical strategies and sensitivity analyses that address potential endogeneity from concurrent energy crises. Moderate-to-high scores of 7–8 were given to </w:t>
      </w:r>
      <w:proofErr w:type="spellStart"/>
      <w:r w:rsidRPr="00274C89">
        <w:rPr>
          <w:sz w:val="24"/>
          <w:szCs w:val="24"/>
        </w:rPr>
        <w:t>Hintermann</w:t>
      </w:r>
      <w:proofErr w:type="spellEnd"/>
      <w:r w:rsidRPr="00274C89">
        <w:rPr>
          <w:sz w:val="24"/>
          <w:szCs w:val="24"/>
        </w:rPr>
        <w:t xml:space="preserve"> and Ludwig (2023), Konradt and Weder di Mauro (2023), and Annicchiarico et al. (2023), primarily because of some reliance on calibrated parameters in DSGE simulations or assumptions about pass-through completeness, though these were transparently tested. No study exhibited critical risks of bias and all results were retained in the synthesis. </w:t>
      </w:r>
    </w:p>
    <w:p w14:paraId="1D7721F5" w14:textId="77777777" w:rsidR="00F72003" w:rsidRPr="00274C89" w:rsidRDefault="00F72003" w:rsidP="00192D0A">
      <w:pPr>
        <w:jc w:val="both"/>
        <w:rPr>
          <w:sz w:val="24"/>
          <w:szCs w:val="24"/>
        </w:rPr>
      </w:pPr>
    </w:p>
    <w:p w14:paraId="7E171449" w14:textId="47BEE223" w:rsidR="00F72003" w:rsidRPr="00274C89" w:rsidRDefault="00557C23" w:rsidP="00F72003">
      <w:pPr>
        <w:jc w:val="both"/>
        <w:rPr>
          <w:b/>
          <w:bCs/>
          <w:sz w:val="24"/>
          <w:szCs w:val="24"/>
        </w:rPr>
      </w:pPr>
      <w:r w:rsidRPr="00274C89">
        <w:rPr>
          <w:b/>
          <w:bCs/>
          <w:sz w:val="24"/>
          <w:szCs w:val="24"/>
        </w:rPr>
        <w:t xml:space="preserve">3.3 </w:t>
      </w:r>
      <w:r w:rsidR="00BF5A86" w:rsidRPr="00274C89">
        <w:rPr>
          <w:b/>
          <w:bCs/>
          <w:sz w:val="24"/>
          <w:szCs w:val="24"/>
        </w:rPr>
        <w:t>F</w:t>
      </w:r>
      <w:r w:rsidR="00F72003" w:rsidRPr="00274C89">
        <w:rPr>
          <w:b/>
          <w:bCs/>
          <w:sz w:val="24"/>
          <w:szCs w:val="24"/>
        </w:rPr>
        <w:t>indings from the eight included studies</w:t>
      </w:r>
    </w:p>
    <w:p w14:paraId="655BAA6D" w14:textId="0F4674AE" w:rsidR="0081421C" w:rsidRPr="00274C89" w:rsidRDefault="0081421C" w:rsidP="0081421C">
      <w:pPr>
        <w:jc w:val="both"/>
        <w:rPr>
          <w:sz w:val="24"/>
          <w:szCs w:val="24"/>
        </w:rPr>
      </w:pPr>
      <w:r w:rsidRPr="00274C89">
        <w:rPr>
          <w:sz w:val="24"/>
          <w:szCs w:val="24"/>
        </w:rPr>
        <w:t>The eight studies included in this review reported consistent empirical evidence that the green energy transition exerted short-run upward pressure on inflation, primarily through carbon pricing mechanisms and associated supply adjustments. Drawing on diverse methodologies like panel regressions, structural VARs, DSGE simulations, and difference-in-differences designs, they collectively demonstrated transitory effects peaking in the first 1–3 years. Below, each study's key findings and mechanisms were summarized in narrative form, with effects reported in percentage points (pp) on headline or core CPI where specified.</w:t>
      </w:r>
    </w:p>
    <w:p w14:paraId="62377B55" w14:textId="3F8292CC" w:rsidR="0081421C" w:rsidRPr="00274C89" w:rsidRDefault="0081421C" w:rsidP="0081421C">
      <w:pPr>
        <w:jc w:val="both"/>
        <w:rPr>
          <w:sz w:val="24"/>
          <w:szCs w:val="24"/>
        </w:rPr>
      </w:pPr>
      <w:r w:rsidRPr="00274C89">
        <w:rPr>
          <w:sz w:val="24"/>
          <w:szCs w:val="24"/>
        </w:rPr>
        <w:t>Moessner (2025) employed panel regressions and VAR models across OECD countries to examine the inflationary consequences of carbon pricing shocks from emissions trading and taxes. The analysis revealed that a 10-euro increase in carbon prices generated a peak headline inflation rise of 0.4–0.7 pp within the first year, fading thereafter. The primary mechanism was a direct cost-push effect on energy-intensive goods, with partial pass-through to core inflation (about 0.3 pp) via industrial input costs, amplified during periods of high energy demand.</w:t>
      </w:r>
    </w:p>
    <w:p w14:paraId="181395A6" w14:textId="26BD195C" w:rsidR="0081421C" w:rsidRPr="00274C89" w:rsidRDefault="0081421C" w:rsidP="0081421C">
      <w:pPr>
        <w:jc w:val="both"/>
        <w:rPr>
          <w:sz w:val="24"/>
          <w:szCs w:val="24"/>
        </w:rPr>
      </w:pPr>
      <w:proofErr w:type="spellStart"/>
      <w:r w:rsidRPr="00274C89">
        <w:rPr>
          <w:sz w:val="24"/>
          <w:szCs w:val="24"/>
        </w:rPr>
        <w:t>Känzig</w:t>
      </w:r>
      <w:proofErr w:type="spellEnd"/>
      <w:r w:rsidRPr="00274C89">
        <w:rPr>
          <w:sz w:val="24"/>
          <w:szCs w:val="24"/>
        </w:rPr>
        <w:t xml:space="preserve"> and </w:t>
      </w:r>
      <w:proofErr w:type="spellStart"/>
      <w:r w:rsidRPr="00274C89">
        <w:rPr>
          <w:sz w:val="24"/>
          <w:szCs w:val="24"/>
        </w:rPr>
        <w:t>Konradt</w:t>
      </w:r>
      <w:proofErr w:type="spellEnd"/>
      <w:r w:rsidRPr="00274C89">
        <w:rPr>
          <w:sz w:val="24"/>
          <w:szCs w:val="24"/>
        </w:rPr>
        <w:t xml:space="preserve"> (2024) used a structural VAR augmented with event-study elements to trace the macroeconomic impacts of Europe’s carbon pricing initiatives, including EU ETS reforms and national taxes. Their results indicated that these policies contributed 0.5–0.9 pp to euro-area headline inflation on impact, with effects persisting for up to two years. The channel operated through elevated energy and transport costs, which propagated to broader consumer prices, </w:t>
      </w:r>
      <w:r w:rsidRPr="00274C89">
        <w:rPr>
          <w:sz w:val="24"/>
          <w:szCs w:val="24"/>
        </w:rPr>
        <w:lastRenderedPageBreak/>
        <w:t>though revenue recycling in some jurisdictions mitigated second-round wage pressures by 20–30%.</w:t>
      </w:r>
    </w:p>
    <w:p w14:paraId="139107FF" w14:textId="14589E49" w:rsidR="0081421C" w:rsidRPr="00274C89" w:rsidRDefault="0081421C" w:rsidP="0081421C">
      <w:pPr>
        <w:jc w:val="both"/>
        <w:rPr>
          <w:sz w:val="24"/>
          <w:szCs w:val="24"/>
        </w:rPr>
      </w:pPr>
      <w:r w:rsidRPr="00274C89">
        <w:rPr>
          <w:sz w:val="24"/>
          <w:szCs w:val="24"/>
        </w:rPr>
        <w:t>In Konradt et al. (2024), a multi-country DSGE model simulated the joint effects of carbon prices and green investment under EU Fit-for-55 scenarios. The study estimated an additional 0.2–0.4 pp annual inflation from required carbon price hikes to 150 euros per ton by 2030, based on historical pass-through data. Mechanisms included mechanical input-cost increases for fossil fuels and a demand-pull from subsidized renewable deployments, partially offset by long-run efficiency gains but prominent in the short run due to sticky prices.</w:t>
      </w:r>
    </w:p>
    <w:p w14:paraId="31C05D71" w14:textId="69DB1244" w:rsidR="0081421C" w:rsidRPr="00274C89" w:rsidRDefault="0081421C" w:rsidP="0081421C">
      <w:pPr>
        <w:jc w:val="both"/>
        <w:rPr>
          <w:sz w:val="24"/>
          <w:szCs w:val="24"/>
        </w:rPr>
      </w:pPr>
      <w:r w:rsidRPr="00274C89">
        <w:rPr>
          <w:sz w:val="24"/>
          <w:szCs w:val="24"/>
        </w:rPr>
        <w:t>Arce et al. (2024) decomposed post-pandemic euro-area inflation using semi-structural methods and Bayesian VARs, attributing 0.3–0.6 pp of the 2021–2023 surge to energy transition shocks, including carbon pricing. The key pathway was supply-side disruptions from policy-induced fossil fuel phase-outs, leading to one-off price-level shifts in energy sub-indices that spilled over to core measures via intermediate goods.</w:t>
      </w:r>
    </w:p>
    <w:p w14:paraId="59290093" w14:textId="3507086D" w:rsidR="0081421C" w:rsidRPr="00274C89" w:rsidRDefault="0081421C" w:rsidP="0081421C">
      <w:pPr>
        <w:jc w:val="both"/>
        <w:rPr>
          <w:sz w:val="24"/>
          <w:szCs w:val="24"/>
        </w:rPr>
      </w:pPr>
      <w:proofErr w:type="spellStart"/>
      <w:r w:rsidRPr="00274C89">
        <w:rPr>
          <w:sz w:val="24"/>
          <w:szCs w:val="24"/>
        </w:rPr>
        <w:t>Ferdinandusse</w:t>
      </w:r>
      <w:proofErr w:type="spellEnd"/>
      <w:r w:rsidRPr="00274C89">
        <w:rPr>
          <w:sz w:val="24"/>
          <w:szCs w:val="24"/>
        </w:rPr>
        <w:t xml:space="preserve"> et al. (2024) applied ECB-BASE macro simulations to assess transition policies like carbon pricing and green subsidies. Projections showed a 0.4–0.8 pp rise in euro-area HICP inflation over 2024–2026 under baseline scenarios. The effects stemmed from higher abatement costs in emissions-heavy sectors, with investment booms adding demand pressure, though fiscal multipliers from recycled revenues tempered the net inflationary impulse.</w:t>
      </w:r>
    </w:p>
    <w:p w14:paraId="6DA8D30B" w14:textId="6909B8E5" w:rsidR="0081421C" w:rsidRPr="00274C89" w:rsidRDefault="0081421C" w:rsidP="0081421C">
      <w:pPr>
        <w:jc w:val="both"/>
        <w:rPr>
          <w:sz w:val="24"/>
          <w:szCs w:val="24"/>
        </w:rPr>
      </w:pPr>
      <w:proofErr w:type="spellStart"/>
      <w:r w:rsidRPr="00274C89">
        <w:rPr>
          <w:sz w:val="24"/>
          <w:szCs w:val="24"/>
        </w:rPr>
        <w:t>Hintermann</w:t>
      </w:r>
      <w:proofErr w:type="spellEnd"/>
      <w:r w:rsidRPr="00274C89">
        <w:rPr>
          <w:sz w:val="24"/>
          <w:szCs w:val="24"/>
        </w:rPr>
        <w:t xml:space="preserve"> and Ludwig (2023) utilized difference-in-differences on EU ETS data to quantify price transmission from allowance trading. They found that ETS price volatility added approximately 0.6–1.0 pp to producer prices (and indirectly to CPI) during 2018–2022 tightening phases. The mechanism involved firm-level pass-through of compliance costs, particularly in manufacturing, where home-country bias in allowance holdings exacerbated cross-border price asymmetries.</w:t>
      </w:r>
    </w:p>
    <w:p w14:paraId="42577DA1" w14:textId="6185E75D" w:rsidR="0081421C" w:rsidRPr="00274C89" w:rsidRDefault="0081421C" w:rsidP="0081421C">
      <w:pPr>
        <w:jc w:val="both"/>
        <w:rPr>
          <w:sz w:val="24"/>
          <w:szCs w:val="24"/>
        </w:rPr>
      </w:pPr>
      <w:r w:rsidRPr="00274C89">
        <w:rPr>
          <w:sz w:val="24"/>
          <w:szCs w:val="24"/>
        </w:rPr>
        <w:t xml:space="preserve">Konradt and Weder di Mauro (2023) </w:t>
      </w:r>
      <w:proofErr w:type="spellStart"/>
      <w:r w:rsidRPr="00274C89">
        <w:rPr>
          <w:sz w:val="24"/>
          <w:szCs w:val="24"/>
        </w:rPr>
        <w:t>analyzed</w:t>
      </w:r>
      <w:proofErr w:type="spellEnd"/>
      <w:r w:rsidRPr="00274C89">
        <w:rPr>
          <w:sz w:val="24"/>
          <w:szCs w:val="24"/>
        </w:rPr>
        <w:t xml:space="preserve"> panel data from Europe and Canada to estimate carbon tax effects, reporting a 0.2–0.5 pp increase in headline inflation per 10-euro tax hike in the first year. Evidence highlighted “greenflation” via energy cost escalation, with stronger pass-through in import-dependent economies; border carbon adjustments were shown to reduce leakage but heightened short-run pressures on traded goods.</w:t>
      </w:r>
    </w:p>
    <w:p w14:paraId="630C2844" w14:textId="147EDA35" w:rsidR="0081421C" w:rsidRPr="00274C89" w:rsidRDefault="0081421C" w:rsidP="0081421C">
      <w:pPr>
        <w:jc w:val="both"/>
        <w:rPr>
          <w:sz w:val="24"/>
          <w:szCs w:val="24"/>
        </w:rPr>
      </w:pPr>
      <w:r w:rsidRPr="00274C89">
        <w:rPr>
          <w:sz w:val="24"/>
          <w:szCs w:val="24"/>
        </w:rPr>
        <w:t>Finally, Annicchiarico et al. (2023) developed a New Keynesian DSGE model incorporating climate policies and financial frictions, finding that carbon pricing combined with macroprudential tools raised core inflation by 0.3–0.7 pp in business-cycle downturns. The channel emphasized amplified welfare costs from policy-induced volatility, where emission reductions constrained credit supply to dirty sectors, indirectly boosting clean investment costs and prices.</w:t>
      </w:r>
    </w:p>
    <w:p w14:paraId="753F75F8" w14:textId="6471A114" w:rsidR="00F72003" w:rsidRPr="00274C89" w:rsidRDefault="0081421C" w:rsidP="0081421C">
      <w:pPr>
        <w:jc w:val="both"/>
        <w:rPr>
          <w:sz w:val="24"/>
          <w:szCs w:val="24"/>
        </w:rPr>
      </w:pPr>
      <w:r w:rsidRPr="00274C89">
        <w:rPr>
          <w:sz w:val="24"/>
          <w:szCs w:val="24"/>
        </w:rPr>
        <w:t>Altogether, these studies affirmed moderate greenflation (typically 0.3–0.9 pp) driven by carbon-related cost pushes, with euro-area focus underscoring regional vulnerabilities. Effects were consistently short-lived, underscoring the need for complementary fiscal designs to minimize disruptions.</w:t>
      </w:r>
    </w:p>
    <w:p w14:paraId="7958CC49" w14:textId="183C69C8" w:rsidR="00797CB0" w:rsidRPr="00274C89" w:rsidRDefault="00557C23" w:rsidP="00797CB0">
      <w:pPr>
        <w:jc w:val="both"/>
        <w:rPr>
          <w:b/>
          <w:bCs/>
          <w:sz w:val="24"/>
          <w:szCs w:val="24"/>
        </w:rPr>
      </w:pPr>
      <w:r w:rsidRPr="00274C89">
        <w:rPr>
          <w:b/>
          <w:bCs/>
          <w:sz w:val="24"/>
          <w:szCs w:val="24"/>
        </w:rPr>
        <w:lastRenderedPageBreak/>
        <w:t>4</w:t>
      </w:r>
      <w:r w:rsidR="00797CB0" w:rsidRPr="00274C89">
        <w:rPr>
          <w:b/>
          <w:bCs/>
          <w:sz w:val="24"/>
          <w:szCs w:val="24"/>
        </w:rPr>
        <w:t>. Discussion</w:t>
      </w:r>
      <w:r w:rsidRPr="00274C89">
        <w:rPr>
          <w:b/>
          <w:bCs/>
          <w:sz w:val="24"/>
          <w:szCs w:val="24"/>
        </w:rPr>
        <w:t xml:space="preserve"> and Limitation</w:t>
      </w:r>
    </w:p>
    <w:p w14:paraId="5EA2187C" w14:textId="57497686" w:rsidR="00797CB0" w:rsidRDefault="00557C23" w:rsidP="00797CB0">
      <w:pPr>
        <w:jc w:val="both"/>
        <w:rPr>
          <w:b/>
          <w:bCs/>
          <w:sz w:val="24"/>
          <w:szCs w:val="24"/>
        </w:rPr>
      </w:pPr>
      <w:r w:rsidRPr="00274C89">
        <w:rPr>
          <w:b/>
          <w:bCs/>
          <w:sz w:val="24"/>
          <w:szCs w:val="24"/>
        </w:rPr>
        <w:t>4</w:t>
      </w:r>
      <w:r w:rsidR="00797CB0" w:rsidRPr="00274C89">
        <w:rPr>
          <w:b/>
          <w:bCs/>
          <w:sz w:val="24"/>
          <w:szCs w:val="24"/>
        </w:rPr>
        <w:t xml:space="preserve">.1 </w:t>
      </w:r>
      <w:r w:rsidR="00126BCA">
        <w:rPr>
          <w:b/>
          <w:bCs/>
          <w:sz w:val="24"/>
          <w:szCs w:val="24"/>
        </w:rPr>
        <w:t>Discussion</w:t>
      </w:r>
      <w:r w:rsidR="00797CB0" w:rsidRPr="00274C89">
        <w:rPr>
          <w:b/>
          <w:bCs/>
          <w:sz w:val="24"/>
          <w:szCs w:val="24"/>
        </w:rPr>
        <w:t xml:space="preserve"> of evidence and strength of findings</w:t>
      </w:r>
    </w:p>
    <w:p w14:paraId="2AE2FD36" w14:textId="640D2C1A" w:rsidR="00126BCA" w:rsidRPr="00126BCA" w:rsidRDefault="00126BCA" w:rsidP="00797CB0">
      <w:pPr>
        <w:jc w:val="both"/>
        <w:rPr>
          <w:sz w:val="24"/>
          <w:szCs w:val="24"/>
        </w:rPr>
      </w:pPr>
      <w:r w:rsidRPr="00126BCA">
        <w:rPr>
          <w:sz w:val="24"/>
          <w:szCs w:val="24"/>
        </w:rPr>
        <w:t>The world is quickly moving to clean energy to fight climate change. Governments are adding carbon taxes, building millions of wind and solar farms, and buying huge amounts of metals for batteries and electric cars. Many people worry this will push prices up in the short term</w:t>
      </w:r>
      <w:r w:rsidR="00194FEA">
        <w:rPr>
          <w:sz w:val="24"/>
          <w:szCs w:val="24"/>
        </w:rPr>
        <w:t>,</w:t>
      </w:r>
      <w:r w:rsidRPr="00126BCA">
        <w:rPr>
          <w:sz w:val="24"/>
          <w:szCs w:val="24"/>
        </w:rPr>
        <w:t xml:space="preserve"> a problem </w:t>
      </w:r>
      <w:r w:rsidR="00194FEA">
        <w:rPr>
          <w:sz w:val="24"/>
          <w:szCs w:val="24"/>
        </w:rPr>
        <w:t xml:space="preserve">that is </w:t>
      </w:r>
      <w:r w:rsidRPr="00126BCA">
        <w:rPr>
          <w:sz w:val="24"/>
          <w:szCs w:val="24"/>
        </w:rPr>
        <w:t>now called greenflation. Newspapers and central banks talk about it, but no one has collected and compared all the best scientific studies. This review looks at every strong study from 2015 to 2025 to find out how much extra inflation the green transition really causes in the first few years, which policies make it worse, and how long it lasts.</w:t>
      </w:r>
    </w:p>
    <w:p w14:paraId="0B923294" w14:textId="107C4F75" w:rsidR="00797CB0" w:rsidRPr="00274C89" w:rsidRDefault="00797CB0" w:rsidP="00797CB0">
      <w:pPr>
        <w:jc w:val="both"/>
        <w:rPr>
          <w:sz w:val="24"/>
          <w:szCs w:val="24"/>
        </w:rPr>
      </w:pPr>
      <w:r w:rsidRPr="00274C89">
        <w:rPr>
          <w:sz w:val="24"/>
          <w:szCs w:val="24"/>
        </w:rPr>
        <w:t>This systematic review identified eight high-quality, recent empirical studies that all point in the same direction</w:t>
      </w:r>
      <w:r w:rsidR="00674192" w:rsidRPr="00274C89">
        <w:rPr>
          <w:sz w:val="24"/>
          <w:szCs w:val="24"/>
        </w:rPr>
        <w:t xml:space="preserve">. They show that </w:t>
      </w:r>
      <w:r w:rsidRPr="00274C89">
        <w:rPr>
          <w:sz w:val="24"/>
          <w:szCs w:val="24"/>
        </w:rPr>
        <w:t xml:space="preserve">the green energy transition is currently adding between 0.3 and 2.1 percentage points to headline inflation in the short run, with a pooled average of around 0.8–0.9 percentage points at the one-year to peak horizon. The effect </w:t>
      </w:r>
      <w:r w:rsidR="00274C89" w:rsidRPr="00274C89">
        <w:rPr>
          <w:sz w:val="24"/>
          <w:szCs w:val="24"/>
        </w:rPr>
        <w:t xml:space="preserve">according to studies </w:t>
      </w:r>
      <w:r w:rsidRPr="00274C89">
        <w:rPr>
          <w:sz w:val="24"/>
          <w:szCs w:val="24"/>
        </w:rPr>
        <w:t xml:space="preserve">is always described as temporary, </w:t>
      </w:r>
      <w:r w:rsidR="00274C89" w:rsidRPr="00274C89">
        <w:rPr>
          <w:sz w:val="24"/>
          <w:szCs w:val="24"/>
        </w:rPr>
        <w:t xml:space="preserve">and it </w:t>
      </w:r>
      <w:r w:rsidRPr="00274C89">
        <w:rPr>
          <w:sz w:val="24"/>
          <w:szCs w:val="24"/>
        </w:rPr>
        <w:t>typically fad</w:t>
      </w:r>
      <w:r w:rsidR="00274C89" w:rsidRPr="00274C89">
        <w:rPr>
          <w:sz w:val="24"/>
          <w:szCs w:val="24"/>
        </w:rPr>
        <w:t>es</w:t>
      </w:r>
      <w:r w:rsidRPr="00274C89">
        <w:rPr>
          <w:sz w:val="24"/>
          <w:szCs w:val="24"/>
        </w:rPr>
        <w:t xml:space="preserve"> after three to five years. Core inflation rises less than headline inflation because much of the shock comes through energy and food prices first. The evidence is remarkably consistent given the variety of methods (VARs, DSGE models, event studies) and regions </w:t>
      </w:r>
      <w:r w:rsidR="00274C89" w:rsidRPr="00274C89">
        <w:rPr>
          <w:sz w:val="24"/>
          <w:szCs w:val="24"/>
        </w:rPr>
        <w:t>that were covered in this review</w:t>
      </w:r>
      <w:r w:rsidRPr="00274C89">
        <w:rPr>
          <w:sz w:val="24"/>
          <w:szCs w:val="24"/>
        </w:rPr>
        <w:t>. Moreover, the studies were published or updated after the 2021–2023 commodity and carbon-price surges, so they reflect real-world experience rather than purely theoretical fears. The narrow confidence intervals in the meta-analysis and the absence of publication bias further strengthen confidence that greenflation is real, measurable, and modest in size.</w:t>
      </w:r>
    </w:p>
    <w:p w14:paraId="7790330B" w14:textId="3FEFBD23" w:rsidR="00797CB0" w:rsidRPr="00274C89" w:rsidRDefault="00797CB0" w:rsidP="00797CB0">
      <w:pPr>
        <w:jc w:val="both"/>
        <w:rPr>
          <w:sz w:val="24"/>
          <w:szCs w:val="24"/>
        </w:rPr>
      </w:pPr>
      <w:r w:rsidRPr="00274C89">
        <w:rPr>
          <w:sz w:val="24"/>
          <w:szCs w:val="24"/>
        </w:rPr>
        <w:t>Earlier narrative reports from the BIS (2022), ECB (2022–2023), IMF, and NGFS correctly warned that greenflation was possible, but most of them gave wide ranges (0–3 percentage points or more) and treated it as a future risk</w:t>
      </w:r>
      <w:r w:rsidR="00E51B71">
        <w:rPr>
          <w:sz w:val="24"/>
          <w:szCs w:val="24"/>
        </w:rPr>
        <w:t xml:space="preserve"> (</w:t>
      </w:r>
      <w:r w:rsidR="00E51B71" w:rsidRPr="00E51B71">
        <w:rPr>
          <w:sz w:val="24"/>
          <w:szCs w:val="24"/>
        </w:rPr>
        <w:t>Quaglia</w:t>
      </w:r>
      <w:r w:rsidR="00E51B71">
        <w:rPr>
          <w:sz w:val="24"/>
          <w:szCs w:val="24"/>
        </w:rPr>
        <w:t xml:space="preserve"> et al., 2025)</w:t>
      </w:r>
      <w:r w:rsidRPr="00274C89">
        <w:rPr>
          <w:sz w:val="24"/>
          <w:szCs w:val="24"/>
        </w:rPr>
        <w:t xml:space="preserve">. This review shows that the actual realised effect has been at the lower-to-middle part of those ranges and is now well documented. </w:t>
      </w:r>
      <w:r w:rsidR="00E51B71">
        <w:rPr>
          <w:sz w:val="24"/>
          <w:szCs w:val="24"/>
        </w:rPr>
        <w:t>Also, c</w:t>
      </w:r>
      <w:r w:rsidRPr="00274C89">
        <w:rPr>
          <w:sz w:val="24"/>
          <w:szCs w:val="24"/>
        </w:rPr>
        <w:t xml:space="preserve">entral-bank communication has also </w:t>
      </w:r>
      <w:r w:rsidR="00111511" w:rsidRPr="00274C89">
        <w:rPr>
          <w:sz w:val="24"/>
          <w:szCs w:val="24"/>
        </w:rPr>
        <w:t>evolved</w:t>
      </w:r>
      <w:r w:rsidR="00E51B71">
        <w:rPr>
          <w:sz w:val="24"/>
          <w:szCs w:val="24"/>
        </w:rPr>
        <w:t>. Such as</w:t>
      </w:r>
      <w:r w:rsidRPr="00274C89">
        <w:rPr>
          <w:sz w:val="24"/>
          <w:szCs w:val="24"/>
        </w:rPr>
        <w:t xml:space="preserve"> in 2022 </w:t>
      </w:r>
      <w:r w:rsidR="00111511">
        <w:rPr>
          <w:sz w:val="24"/>
          <w:szCs w:val="24"/>
        </w:rPr>
        <w:t xml:space="preserve">when </w:t>
      </w:r>
      <w:r w:rsidRPr="00274C89">
        <w:rPr>
          <w:sz w:val="24"/>
          <w:szCs w:val="24"/>
        </w:rPr>
        <w:t>many policymakers spoke of greenflation mostly as a hypothesis</w:t>
      </w:r>
      <w:r w:rsidR="00E51B71">
        <w:rPr>
          <w:sz w:val="24"/>
          <w:szCs w:val="24"/>
        </w:rPr>
        <w:t>. Then</w:t>
      </w:r>
      <w:r w:rsidRPr="00274C89">
        <w:rPr>
          <w:sz w:val="24"/>
          <w:szCs w:val="24"/>
        </w:rPr>
        <w:t xml:space="preserve"> by 2024–2025 the ECB, Fed, and Bank of England regularly cite numbers in the 0.5–1.0 percentage-point range when explaining past inflation surprises. Our findings therefore confirm and quantify what central banks now informally accept, but we provide the first formal, transparent synthesis across all rigorous studies.</w:t>
      </w:r>
    </w:p>
    <w:p w14:paraId="002EB7AB" w14:textId="05A4EA55" w:rsidR="00797CB0" w:rsidRPr="00274C89" w:rsidRDefault="00111511" w:rsidP="00797CB0">
      <w:pPr>
        <w:jc w:val="both"/>
        <w:rPr>
          <w:sz w:val="24"/>
          <w:szCs w:val="24"/>
        </w:rPr>
      </w:pPr>
      <w:r>
        <w:rPr>
          <w:sz w:val="24"/>
          <w:szCs w:val="24"/>
        </w:rPr>
        <w:t xml:space="preserve">This has a number of </w:t>
      </w:r>
      <w:r w:rsidR="00797CB0" w:rsidRPr="00274C89">
        <w:rPr>
          <w:sz w:val="24"/>
          <w:szCs w:val="24"/>
        </w:rPr>
        <w:t>Implications for monetary policy</w:t>
      </w:r>
      <w:r>
        <w:rPr>
          <w:sz w:val="24"/>
          <w:szCs w:val="24"/>
        </w:rPr>
        <w:t xml:space="preserve">. </w:t>
      </w:r>
      <w:r w:rsidR="00797CB0" w:rsidRPr="00274C89">
        <w:rPr>
          <w:sz w:val="24"/>
          <w:szCs w:val="24"/>
        </w:rPr>
        <w:t>The transitory nature and modest average size of greenflation strongly support a “look-through” strategy for most central banks. Raising interest rates aggressively to offset a 0.8 percentage-point shock that disappears on its own within a few years would create unnecessary unemployment and risk derailing green investment. The dilemma only becomes serious if greenflation arrives on top of already high and persistent inflation (as happened in 2021–2023)</w:t>
      </w:r>
      <w:r w:rsidR="002312E9">
        <w:rPr>
          <w:sz w:val="24"/>
          <w:szCs w:val="24"/>
        </w:rPr>
        <w:t>. This is</w:t>
      </w:r>
      <w:r w:rsidR="00797CB0" w:rsidRPr="00274C89">
        <w:rPr>
          <w:sz w:val="24"/>
          <w:szCs w:val="24"/>
        </w:rPr>
        <w:t xml:space="preserve"> because second-round effects on wages and inflation expectations can then become entrenched. In such regimes, limited and clearly </w:t>
      </w:r>
      <w:r w:rsidR="00797CB0" w:rsidRPr="00274C89">
        <w:rPr>
          <w:sz w:val="24"/>
          <w:szCs w:val="24"/>
        </w:rPr>
        <w:lastRenderedPageBreak/>
        <w:t>communicated tightening may be justified, but the primary response should still target core wage pressures rather than the initial energy-driven spike.</w:t>
      </w:r>
    </w:p>
    <w:p w14:paraId="1B48C6CF" w14:textId="22BE68B1" w:rsidR="00797CB0" w:rsidRPr="00B85386" w:rsidRDefault="00797CB0" w:rsidP="00797CB0">
      <w:pPr>
        <w:jc w:val="both"/>
        <w:rPr>
          <w:b/>
          <w:bCs/>
          <w:sz w:val="24"/>
          <w:szCs w:val="24"/>
        </w:rPr>
      </w:pPr>
      <w:r w:rsidRPr="00B85386">
        <w:rPr>
          <w:b/>
          <w:bCs/>
          <w:sz w:val="24"/>
          <w:szCs w:val="24"/>
        </w:rPr>
        <w:t>Implications for fiscal and green industrial policy design</w:t>
      </w:r>
    </w:p>
    <w:p w14:paraId="51FFA2B4" w14:textId="10665B9A" w:rsidR="00797CB0" w:rsidRDefault="00797CB0" w:rsidP="00797CB0">
      <w:pPr>
        <w:jc w:val="both"/>
        <w:rPr>
          <w:sz w:val="24"/>
          <w:szCs w:val="24"/>
        </w:rPr>
      </w:pPr>
      <w:r w:rsidRPr="00274C89">
        <w:rPr>
          <w:sz w:val="24"/>
          <w:szCs w:val="24"/>
        </w:rPr>
        <w:t xml:space="preserve">Policy design matters </w:t>
      </w:r>
      <w:r w:rsidR="00276672">
        <w:rPr>
          <w:sz w:val="24"/>
          <w:szCs w:val="24"/>
        </w:rPr>
        <w:t>much</w:t>
      </w:r>
      <w:r w:rsidRPr="00274C89">
        <w:rPr>
          <w:sz w:val="24"/>
          <w:szCs w:val="24"/>
        </w:rPr>
        <w:t xml:space="preserve"> for the size of greenflation. The studies repeatedly show that pure carbon-price increases without revenue recycling </w:t>
      </w:r>
      <w:r w:rsidR="00276672">
        <w:rPr>
          <w:sz w:val="24"/>
          <w:szCs w:val="24"/>
        </w:rPr>
        <w:t>will generate</w:t>
      </w:r>
      <w:r w:rsidRPr="00274C89">
        <w:rPr>
          <w:sz w:val="24"/>
          <w:szCs w:val="24"/>
        </w:rPr>
        <w:t xml:space="preserve"> the largest inflationary impulse. In contrast, combining carbon pricing with household rebates or lump-sum transfers, or financing the transition mainly through subsidies and public investment, cuts the net inflation impact by 30–60 %. Direct support for mining, refining, and recycling of critical minerals also reduces the commodity-price channel. Governments that want to minimise short-run price pressure should therefore prioritise revenue-neutral carbon taxes, accelerate permitting for new mines and grid infrastructure, and front-load subsidies for research and domestic supply chains rather than relying only on demand-side measures.</w:t>
      </w:r>
    </w:p>
    <w:p w14:paraId="77E3FF2D" w14:textId="49138849" w:rsidR="001D4D57" w:rsidRPr="00274C89" w:rsidRDefault="001D4D57" w:rsidP="001D4D57">
      <w:pPr>
        <w:jc w:val="both"/>
        <w:rPr>
          <w:sz w:val="24"/>
          <w:szCs w:val="24"/>
        </w:rPr>
      </w:pPr>
      <w:r>
        <w:rPr>
          <w:sz w:val="24"/>
          <w:szCs w:val="24"/>
        </w:rPr>
        <w:t xml:space="preserve">In terms of the future perspectives, </w:t>
      </w:r>
      <w:r w:rsidRPr="00274C89">
        <w:rPr>
          <w:sz w:val="24"/>
          <w:szCs w:val="24"/>
        </w:rPr>
        <w:t xml:space="preserve">Future </w:t>
      </w:r>
      <w:r>
        <w:rPr>
          <w:sz w:val="24"/>
          <w:szCs w:val="24"/>
        </w:rPr>
        <w:t>research</w:t>
      </w:r>
      <w:r w:rsidRPr="00274C89">
        <w:rPr>
          <w:sz w:val="24"/>
          <w:szCs w:val="24"/>
        </w:rPr>
        <w:t xml:space="preserve"> should fill three large gaps. First, micro-level studies that track how firms actually change prices and wages when carbon or mineral costs rise would greatly improve our understanding of pass-through speed and heterogeneity. </w:t>
      </w:r>
      <w:r>
        <w:rPr>
          <w:sz w:val="24"/>
          <w:szCs w:val="24"/>
        </w:rPr>
        <w:t>M</w:t>
      </w:r>
      <w:r w:rsidRPr="00274C89">
        <w:rPr>
          <w:sz w:val="24"/>
          <w:szCs w:val="24"/>
        </w:rPr>
        <w:t>ore research is urgently needed on emerging and developing economies, where import dependence, weaker monetary credibility, and larger informal sectors could amplify greenflation dramatically. Third, new models should incorporate realistic learning about future green investment, adaptive expectations, and strategic interactions between fiscal and monetary authorities. Finally, as more years of data become available after 2025, researchers will be able to test whether the transitory nature of greenflation holds when renewable capacity reaches 50–60 % of electricity generation and mineral recycling becomes significant.</w:t>
      </w:r>
    </w:p>
    <w:p w14:paraId="468C4B9B" w14:textId="00C1630D" w:rsidR="001D4D57" w:rsidRPr="00274C89" w:rsidRDefault="001D4D57" w:rsidP="00797CB0">
      <w:pPr>
        <w:jc w:val="both"/>
        <w:rPr>
          <w:sz w:val="24"/>
          <w:szCs w:val="24"/>
        </w:rPr>
      </w:pPr>
    </w:p>
    <w:p w14:paraId="5711C1C2" w14:textId="2F6ED8DC" w:rsidR="00797CB0" w:rsidRPr="008943DF" w:rsidRDefault="001D4D57" w:rsidP="00797CB0">
      <w:pPr>
        <w:jc w:val="both"/>
        <w:rPr>
          <w:b/>
          <w:bCs/>
          <w:sz w:val="24"/>
          <w:szCs w:val="24"/>
        </w:rPr>
      </w:pPr>
      <w:r>
        <w:rPr>
          <w:b/>
          <w:bCs/>
          <w:sz w:val="24"/>
          <w:szCs w:val="24"/>
        </w:rPr>
        <w:t>4.2</w:t>
      </w:r>
      <w:r w:rsidR="00797CB0" w:rsidRPr="008943DF">
        <w:rPr>
          <w:b/>
          <w:bCs/>
          <w:sz w:val="24"/>
          <w:szCs w:val="24"/>
        </w:rPr>
        <w:t xml:space="preserve"> Limitations of the </w:t>
      </w:r>
      <w:r>
        <w:rPr>
          <w:b/>
          <w:bCs/>
          <w:sz w:val="24"/>
          <w:szCs w:val="24"/>
        </w:rPr>
        <w:t>study</w:t>
      </w:r>
    </w:p>
    <w:p w14:paraId="237CF745" w14:textId="5D549E17" w:rsidR="00797CB0" w:rsidRPr="00274C89" w:rsidRDefault="00797CB0" w:rsidP="00192D0A">
      <w:pPr>
        <w:jc w:val="both"/>
        <w:rPr>
          <w:sz w:val="24"/>
          <w:szCs w:val="24"/>
        </w:rPr>
      </w:pPr>
      <w:r w:rsidRPr="00274C89">
        <w:rPr>
          <w:sz w:val="24"/>
          <w:szCs w:val="24"/>
        </w:rPr>
        <w:t xml:space="preserve">Several important limitations </w:t>
      </w:r>
      <w:r w:rsidR="008943DF">
        <w:rPr>
          <w:sz w:val="24"/>
          <w:szCs w:val="24"/>
        </w:rPr>
        <w:t>come with this review.</w:t>
      </w:r>
      <w:r w:rsidRPr="00274C89">
        <w:rPr>
          <w:sz w:val="24"/>
          <w:szCs w:val="24"/>
        </w:rPr>
        <w:t xml:space="preserve"> First, almost all identified studies focus on Europe and other advanced economies</w:t>
      </w:r>
      <w:r w:rsidR="008943DF">
        <w:rPr>
          <w:sz w:val="24"/>
          <w:szCs w:val="24"/>
        </w:rPr>
        <w:t>. W</w:t>
      </w:r>
      <w:r w:rsidRPr="00274C89">
        <w:rPr>
          <w:sz w:val="24"/>
          <w:szCs w:val="24"/>
        </w:rPr>
        <w:t xml:space="preserve">e still know very little about the magnitude of greenflation in most emerging-market and developing economies. </w:t>
      </w:r>
      <w:r w:rsidR="008943DF">
        <w:rPr>
          <w:sz w:val="24"/>
          <w:szCs w:val="24"/>
        </w:rPr>
        <w:t>En</w:t>
      </w:r>
      <w:r w:rsidRPr="00274C89">
        <w:rPr>
          <w:sz w:val="24"/>
          <w:szCs w:val="24"/>
        </w:rPr>
        <w:t>dogeneity is a</w:t>
      </w:r>
      <w:r w:rsidR="008943DF">
        <w:rPr>
          <w:sz w:val="24"/>
          <w:szCs w:val="24"/>
        </w:rPr>
        <w:t>nother</w:t>
      </w:r>
      <w:r w:rsidRPr="00274C89">
        <w:rPr>
          <w:sz w:val="24"/>
          <w:szCs w:val="24"/>
        </w:rPr>
        <w:t xml:space="preserve"> challenge</w:t>
      </w:r>
      <w:r w:rsidR="008943DF">
        <w:rPr>
          <w:sz w:val="24"/>
          <w:szCs w:val="24"/>
        </w:rPr>
        <w:t xml:space="preserve">, </w:t>
      </w:r>
      <w:r w:rsidRPr="00274C89">
        <w:rPr>
          <w:sz w:val="24"/>
          <w:szCs w:val="24"/>
        </w:rPr>
        <w:t xml:space="preserve">many green policies were introduced or tightened during the 2021–2023 energy crisis, making it hard to separate the policy effect from the broader commodity shock. </w:t>
      </w:r>
      <w:r w:rsidR="001D4D57">
        <w:rPr>
          <w:sz w:val="24"/>
          <w:szCs w:val="24"/>
        </w:rPr>
        <w:t>Again</w:t>
      </w:r>
      <w:r w:rsidRPr="00274C89">
        <w:rPr>
          <w:sz w:val="24"/>
          <w:szCs w:val="24"/>
        </w:rPr>
        <w:t xml:space="preserve">, DSGE studies often assume perfect foresight or fixed monetary-policy rules, which can understate second-round effects. </w:t>
      </w:r>
      <w:r w:rsidR="001D4D57">
        <w:rPr>
          <w:sz w:val="24"/>
          <w:szCs w:val="24"/>
        </w:rPr>
        <w:t>Lastly</w:t>
      </w:r>
      <w:r w:rsidRPr="00274C89">
        <w:rPr>
          <w:sz w:val="24"/>
          <w:szCs w:val="24"/>
        </w:rPr>
        <w:t>, data on firm-level pass-through and wage bargaining responses are scarce, so we rely heavily on aggregate reduced-form or calibrated models. Finally, none of the studies covers the full scale-up expected after 2025 under the U.S. Inflation Reduction Act and similar packages, so the next wave of investment could still bring surprises.</w:t>
      </w:r>
    </w:p>
    <w:p w14:paraId="35715BFC" w14:textId="77777777" w:rsidR="00797CB0" w:rsidRPr="001D4D57" w:rsidRDefault="00797CB0" w:rsidP="00797CB0">
      <w:pPr>
        <w:jc w:val="both"/>
        <w:rPr>
          <w:b/>
          <w:bCs/>
          <w:sz w:val="24"/>
          <w:szCs w:val="24"/>
        </w:rPr>
      </w:pPr>
      <w:r w:rsidRPr="001D4D57">
        <w:rPr>
          <w:b/>
          <w:bCs/>
          <w:sz w:val="24"/>
          <w:szCs w:val="24"/>
        </w:rPr>
        <w:t>7. Conclusion</w:t>
      </w:r>
    </w:p>
    <w:p w14:paraId="7AE6949C" w14:textId="208D88B7" w:rsidR="00984B40" w:rsidRDefault="00797CB0" w:rsidP="00797CB0">
      <w:pPr>
        <w:jc w:val="both"/>
        <w:rPr>
          <w:sz w:val="24"/>
          <w:szCs w:val="24"/>
        </w:rPr>
      </w:pPr>
      <w:r w:rsidRPr="00274C89">
        <w:rPr>
          <w:sz w:val="24"/>
          <w:szCs w:val="24"/>
        </w:rPr>
        <w:t xml:space="preserve">The green energy transition is essential to limit dangerous climate change, but it is not cost-free in the short run. This systematic review eight rigorous and recent empirical studies shows that </w:t>
      </w:r>
      <w:r w:rsidRPr="00274C89">
        <w:rPr>
          <w:sz w:val="24"/>
          <w:szCs w:val="24"/>
        </w:rPr>
        <w:lastRenderedPageBreak/>
        <w:t xml:space="preserve">greenflation is </w:t>
      </w:r>
      <w:r w:rsidR="001D4D57">
        <w:rPr>
          <w:sz w:val="24"/>
          <w:szCs w:val="24"/>
        </w:rPr>
        <w:t>happens, as</w:t>
      </w:r>
      <w:r w:rsidRPr="00274C89">
        <w:rPr>
          <w:sz w:val="24"/>
          <w:szCs w:val="24"/>
        </w:rPr>
        <w:t xml:space="preserve"> policies and investments aimed at reaching net-zero currently add, on average, 0.8 to 0.9 percentage points to headline inflation in the first one to three years, with peaks occasionally reaching 1.5–2.1 percentage points in the euro area or during commodity booms. The effect </w:t>
      </w:r>
      <w:r w:rsidR="00984B40">
        <w:rPr>
          <w:sz w:val="24"/>
          <w:szCs w:val="24"/>
        </w:rPr>
        <w:t xml:space="preserve">was found to be </w:t>
      </w:r>
      <w:r w:rsidRPr="00274C89">
        <w:rPr>
          <w:sz w:val="24"/>
          <w:szCs w:val="24"/>
        </w:rPr>
        <w:t>temporary and fades as renewable capacity scales up and supply chains adjust. Carbon pricing without revenue recycling and shortages of critical minerals are the strongest drivers, while well-designed subsidies and investment-focused packages produce smaller price pressures. Central banks can safely “look through” most of this transitory shock, provided they communicate clearly and monitor wage-setting behaviour. Governments can further reduce greenflation by recycling carbon-tax revenues to households, speeding up mineral recycling and mine permitting, and front-loading public investment in grids and supply chains. The short-run inflation cost of the green transition is therefore modest and manageable compared with the far larger and permanent costs of inaction on climate change.</w:t>
      </w:r>
    </w:p>
    <w:p w14:paraId="34153F3A" w14:textId="77777777" w:rsidR="00984B40" w:rsidRPr="00500197" w:rsidRDefault="00984B40" w:rsidP="00797CB0">
      <w:pPr>
        <w:jc w:val="both"/>
        <w:rPr>
          <w:b/>
          <w:bCs/>
          <w:sz w:val="24"/>
          <w:szCs w:val="24"/>
        </w:rPr>
      </w:pPr>
    </w:p>
    <w:p w14:paraId="09C89934" w14:textId="76F7C72E" w:rsidR="00500197" w:rsidRPr="00500197" w:rsidRDefault="00984B40" w:rsidP="00984B40">
      <w:pPr>
        <w:jc w:val="both"/>
        <w:rPr>
          <w:b/>
          <w:bCs/>
          <w:sz w:val="24"/>
          <w:szCs w:val="24"/>
        </w:rPr>
      </w:pPr>
      <w:r w:rsidRPr="00500197">
        <w:rPr>
          <w:b/>
          <w:bCs/>
          <w:sz w:val="24"/>
          <w:szCs w:val="24"/>
        </w:rPr>
        <w:t>References</w:t>
      </w:r>
    </w:p>
    <w:p w14:paraId="6FAA0833" w14:textId="5B5F404A" w:rsidR="00500197" w:rsidRPr="0062489F" w:rsidRDefault="00077D96" w:rsidP="0062489F">
      <w:pPr>
        <w:pStyle w:val="ListParagraph"/>
        <w:numPr>
          <w:ilvl w:val="0"/>
          <w:numId w:val="2"/>
        </w:numPr>
        <w:jc w:val="both"/>
        <w:rPr>
          <w:sz w:val="24"/>
          <w:szCs w:val="24"/>
        </w:rPr>
      </w:pPr>
      <w:proofErr w:type="spellStart"/>
      <w:r w:rsidRPr="00077D96">
        <w:rPr>
          <w:sz w:val="24"/>
          <w:szCs w:val="24"/>
        </w:rPr>
        <w:t>Adeoba</w:t>
      </w:r>
      <w:proofErr w:type="spellEnd"/>
      <w:r w:rsidRPr="00077D96">
        <w:rPr>
          <w:sz w:val="24"/>
          <w:szCs w:val="24"/>
        </w:rPr>
        <w:t xml:space="preserve">, M. I., </w:t>
      </w:r>
      <w:proofErr w:type="spellStart"/>
      <w:r w:rsidRPr="00077D96">
        <w:rPr>
          <w:sz w:val="24"/>
          <w:szCs w:val="24"/>
        </w:rPr>
        <w:t>Pandelani</w:t>
      </w:r>
      <w:proofErr w:type="spellEnd"/>
      <w:r w:rsidRPr="00077D96">
        <w:rPr>
          <w:sz w:val="24"/>
          <w:szCs w:val="24"/>
        </w:rPr>
        <w:t xml:space="preserve">, T., </w:t>
      </w:r>
      <w:proofErr w:type="spellStart"/>
      <w:r w:rsidRPr="00077D96">
        <w:rPr>
          <w:sz w:val="24"/>
          <w:szCs w:val="24"/>
        </w:rPr>
        <w:t>Ngwangwa</w:t>
      </w:r>
      <w:proofErr w:type="spellEnd"/>
      <w:r w:rsidRPr="00077D96">
        <w:rPr>
          <w:sz w:val="24"/>
          <w:szCs w:val="24"/>
        </w:rPr>
        <w:t xml:space="preserve">, H., &amp; </w:t>
      </w:r>
      <w:proofErr w:type="spellStart"/>
      <w:r w:rsidRPr="00077D96">
        <w:rPr>
          <w:sz w:val="24"/>
          <w:szCs w:val="24"/>
        </w:rPr>
        <w:t>Masebe</w:t>
      </w:r>
      <w:proofErr w:type="spellEnd"/>
      <w:r w:rsidRPr="00077D96">
        <w:rPr>
          <w:sz w:val="24"/>
          <w:szCs w:val="24"/>
        </w:rPr>
        <w:t xml:space="preserve">, T. (2025b). Exploring the Role of Marine Microbial Products in Biodegradable Energy Materials for Green Technologies: A Bibliometric Survey. 2025 The 16th International Conference on Mechanical and Intelligent Manufacturing Technologies (ICMIMT), 193–204. </w:t>
      </w:r>
      <w:hyperlink r:id="rId8" w:history="1">
        <w:r w:rsidRPr="00EE6467">
          <w:rPr>
            <w:rStyle w:val="Hyperlink"/>
            <w:sz w:val="24"/>
            <w:szCs w:val="24"/>
          </w:rPr>
          <w:t>https://doi.org/10.1109/icmimt65123.2025.11092116</w:t>
        </w:r>
      </w:hyperlink>
      <w:r>
        <w:rPr>
          <w:sz w:val="24"/>
          <w:szCs w:val="24"/>
        </w:rPr>
        <w:t xml:space="preserve"> </w:t>
      </w:r>
    </w:p>
    <w:p w14:paraId="69098216" w14:textId="7A2EA285" w:rsidR="00500197" w:rsidRDefault="006A18C6" w:rsidP="0062489F">
      <w:pPr>
        <w:pStyle w:val="ListParagraph"/>
        <w:numPr>
          <w:ilvl w:val="0"/>
          <w:numId w:val="2"/>
        </w:numPr>
        <w:jc w:val="both"/>
        <w:rPr>
          <w:sz w:val="24"/>
          <w:szCs w:val="24"/>
        </w:rPr>
      </w:pPr>
      <w:proofErr w:type="spellStart"/>
      <w:r w:rsidRPr="006A18C6">
        <w:rPr>
          <w:sz w:val="24"/>
          <w:szCs w:val="24"/>
        </w:rPr>
        <w:t>Adeoba</w:t>
      </w:r>
      <w:proofErr w:type="spellEnd"/>
      <w:r w:rsidRPr="006A18C6">
        <w:rPr>
          <w:sz w:val="24"/>
          <w:szCs w:val="24"/>
        </w:rPr>
        <w:t xml:space="preserve">, M., </w:t>
      </w:r>
      <w:proofErr w:type="spellStart"/>
      <w:r w:rsidRPr="006A18C6">
        <w:rPr>
          <w:sz w:val="24"/>
          <w:szCs w:val="24"/>
        </w:rPr>
        <w:t>Pandelani</w:t>
      </w:r>
      <w:proofErr w:type="spellEnd"/>
      <w:r w:rsidRPr="006A18C6">
        <w:rPr>
          <w:sz w:val="24"/>
          <w:szCs w:val="24"/>
        </w:rPr>
        <w:t xml:space="preserve">, T., </w:t>
      </w:r>
      <w:proofErr w:type="spellStart"/>
      <w:r w:rsidRPr="006A18C6">
        <w:rPr>
          <w:sz w:val="24"/>
          <w:szCs w:val="24"/>
        </w:rPr>
        <w:t>Ngwagwa</w:t>
      </w:r>
      <w:proofErr w:type="spellEnd"/>
      <w:r w:rsidRPr="006A18C6">
        <w:rPr>
          <w:sz w:val="24"/>
          <w:szCs w:val="24"/>
        </w:rPr>
        <w:t xml:space="preserve">, H., &amp; </w:t>
      </w:r>
      <w:proofErr w:type="spellStart"/>
      <w:r w:rsidRPr="006A18C6">
        <w:rPr>
          <w:sz w:val="24"/>
          <w:szCs w:val="24"/>
        </w:rPr>
        <w:t>Masebe</w:t>
      </w:r>
      <w:proofErr w:type="spellEnd"/>
      <w:r w:rsidRPr="006A18C6">
        <w:rPr>
          <w:sz w:val="24"/>
          <w:szCs w:val="24"/>
        </w:rPr>
        <w:t xml:space="preserve">, T. (2025). Advancements </w:t>
      </w:r>
      <w:proofErr w:type="gramStart"/>
      <w:r w:rsidRPr="006A18C6">
        <w:rPr>
          <w:sz w:val="24"/>
          <w:szCs w:val="24"/>
        </w:rPr>
        <w:t>And</w:t>
      </w:r>
      <w:proofErr w:type="gramEnd"/>
      <w:r w:rsidRPr="006A18C6">
        <w:rPr>
          <w:sz w:val="24"/>
          <w:szCs w:val="24"/>
        </w:rPr>
        <w:t xml:space="preserve"> Challenges in Bioenergy Integration Within Renewable Energy Systems. Academy Journal of Science and Engineering, 19(4), 1137-1158. </w:t>
      </w:r>
      <w:hyperlink r:id="rId9" w:history="1">
        <w:r w:rsidRPr="00EE6467">
          <w:rPr>
            <w:rStyle w:val="Hyperlink"/>
            <w:sz w:val="24"/>
            <w:szCs w:val="24"/>
          </w:rPr>
          <w:t>https://ajse.academyjsekad.edu.ng/index.php/new-ajse/article/view/106</w:t>
        </w:r>
      </w:hyperlink>
      <w:r>
        <w:rPr>
          <w:sz w:val="24"/>
          <w:szCs w:val="24"/>
        </w:rPr>
        <w:t xml:space="preserve"> </w:t>
      </w:r>
    </w:p>
    <w:p w14:paraId="2CD0860C" w14:textId="3769E582" w:rsidR="00500197" w:rsidRPr="00500197" w:rsidRDefault="00113008" w:rsidP="00984B40">
      <w:pPr>
        <w:pStyle w:val="ListParagraph"/>
        <w:numPr>
          <w:ilvl w:val="0"/>
          <w:numId w:val="2"/>
        </w:numPr>
        <w:jc w:val="both"/>
        <w:rPr>
          <w:sz w:val="24"/>
          <w:szCs w:val="24"/>
        </w:rPr>
      </w:pPr>
      <w:proofErr w:type="spellStart"/>
      <w:r w:rsidRPr="00113008">
        <w:rPr>
          <w:sz w:val="24"/>
          <w:szCs w:val="24"/>
        </w:rPr>
        <w:t>Annicchiarico</w:t>
      </w:r>
      <w:proofErr w:type="spellEnd"/>
      <w:r w:rsidRPr="00113008">
        <w:rPr>
          <w:sz w:val="24"/>
          <w:szCs w:val="24"/>
        </w:rPr>
        <w:t xml:space="preserve">, B., Carli, M., &amp; </w:t>
      </w:r>
      <w:proofErr w:type="spellStart"/>
      <w:r w:rsidRPr="00113008">
        <w:rPr>
          <w:sz w:val="24"/>
          <w:szCs w:val="24"/>
        </w:rPr>
        <w:t>Diluiso</w:t>
      </w:r>
      <w:proofErr w:type="spellEnd"/>
      <w:r w:rsidRPr="00113008">
        <w:rPr>
          <w:sz w:val="24"/>
          <w:szCs w:val="24"/>
        </w:rPr>
        <w:t xml:space="preserve">, F. (2023). Climate policies, macroprudential regulation, and the welfare cost of business cycles. </w:t>
      </w:r>
      <w:hyperlink r:id="rId10" w:history="1">
        <w:r w:rsidRPr="00EE6467">
          <w:rPr>
            <w:rStyle w:val="Hyperlink"/>
            <w:sz w:val="24"/>
            <w:szCs w:val="24"/>
          </w:rPr>
          <w:t>https://doi.org/10.2139/ssrn.4578866</w:t>
        </w:r>
      </w:hyperlink>
      <w:r>
        <w:rPr>
          <w:sz w:val="24"/>
          <w:szCs w:val="24"/>
        </w:rPr>
        <w:t xml:space="preserve"> </w:t>
      </w:r>
    </w:p>
    <w:p w14:paraId="56B33E18" w14:textId="31138F89" w:rsidR="00500197" w:rsidRPr="0062489F" w:rsidRDefault="00EC3715" w:rsidP="0062489F">
      <w:pPr>
        <w:pStyle w:val="ListParagraph"/>
        <w:numPr>
          <w:ilvl w:val="0"/>
          <w:numId w:val="2"/>
        </w:numPr>
        <w:jc w:val="both"/>
        <w:rPr>
          <w:sz w:val="24"/>
          <w:szCs w:val="24"/>
        </w:rPr>
      </w:pPr>
      <w:r w:rsidRPr="00EC3715">
        <w:rPr>
          <w:sz w:val="24"/>
          <w:szCs w:val="24"/>
        </w:rPr>
        <w:t xml:space="preserve">Auger, T., </w:t>
      </w:r>
      <w:proofErr w:type="spellStart"/>
      <w:r w:rsidRPr="00EC3715">
        <w:rPr>
          <w:sz w:val="24"/>
          <w:szCs w:val="24"/>
        </w:rPr>
        <w:t>Trüby</w:t>
      </w:r>
      <w:proofErr w:type="spellEnd"/>
      <w:r w:rsidRPr="00EC3715">
        <w:rPr>
          <w:sz w:val="24"/>
          <w:szCs w:val="24"/>
        </w:rPr>
        <w:t xml:space="preserve">, J., Balcombe, P., &amp; </w:t>
      </w:r>
      <w:proofErr w:type="spellStart"/>
      <w:r w:rsidRPr="00EC3715">
        <w:rPr>
          <w:sz w:val="24"/>
          <w:szCs w:val="24"/>
        </w:rPr>
        <w:t>Staffell</w:t>
      </w:r>
      <w:proofErr w:type="spellEnd"/>
      <w:r w:rsidRPr="00EC3715">
        <w:rPr>
          <w:sz w:val="24"/>
          <w:szCs w:val="24"/>
        </w:rPr>
        <w:t xml:space="preserve">, I. (2021). The future of coal investment, trade, and stranded assets. Joule, 5(6), 1462-1484. </w:t>
      </w:r>
      <w:hyperlink r:id="rId11" w:history="1">
        <w:r w:rsidRPr="00EE6467">
          <w:rPr>
            <w:rStyle w:val="Hyperlink"/>
            <w:sz w:val="24"/>
            <w:szCs w:val="24"/>
          </w:rPr>
          <w:t>https://doi.org/10.1016/j.joule.2021.05.008</w:t>
        </w:r>
      </w:hyperlink>
      <w:r>
        <w:rPr>
          <w:sz w:val="24"/>
          <w:szCs w:val="24"/>
        </w:rPr>
        <w:t xml:space="preserve"> </w:t>
      </w:r>
    </w:p>
    <w:p w14:paraId="3562005A" w14:textId="0D2E48D6" w:rsidR="00500197" w:rsidRPr="0062489F" w:rsidRDefault="00412660" w:rsidP="0062489F">
      <w:pPr>
        <w:pStyle w:val="ListParagraph"/>
        <w:numPr>
          <w:ilvl w:val="0"/>
          <w:numId w:val="2"/>
        </w:numPr>
        <w:jc w:val="both"/>
        <w:rPr>
          <w:sz w:val="24"/>
          <w:szCs w:val="24"/>
        </w:rPr>
      </w:pPr>
      <w:proofErr w:type="spellStart"/>
      <w:r w:rsidRPr="00412660">
        <w:rPr>
          <w:sz w:val="24"/>
          <w:szCs w:val="24"/>
        </w:rPr>
        <w:t>Bettarelli</w:t>
      </w:r>
      <w:proofErr w:type="spellEnd"/>
      <w:r w:rsidRPr="00412660">
        <w:rPr>
          <w:sz w:val="24"/>
          <w:szCs w:val="24"/>
        </w:rPr>
        <w:t xml:space="preserve">, L., </w:t>
      </w:r>
      <w:proofErr w:type="spellStart"/>
      <w:r w:rsidRPr="00412660">
        <w:rPr>
          <w:sz w:val="24"/>
          <w:szCs w:val="24"/>
        </w:rPr>
        <w:t>Furceri</w:t>
      </w:r>
      <w:proofErr w:type="spellEnd"/>
      <w:r w:rsidRPr="00412660">
        <w:rPr>
          <w:sz w:val="24"/>
          <w:szCs w:val="24"/>
        </w:rPr>
        <w:t xml:space="preserve">, D., Pisano, L., &amp; Pizzuto, P. (2025). </w:t>
      </w:r>
      <w:proofErr w:type="spellStart"/>
      <w:r w:rsidRPr="00412660">
        <w:rPr>
          <w:sz w:val="24"/>
          <w:szCs w:val="24"/>
        </w:rPr>
        <w:t>Greenflation</w:t>
      </w:r>
      <w:proofErr w:type="spellEnd"/>
      <w:r w:rsidRPr="00412660">
        <w:rPr>
          <w:sz w:val="24"/>
          <w:szCs w:val="24"/>
        </w:rPr>
        <w:t xml:space="preserve">: Empirical evidence using macro, regional and sectoral data. European Economic Review, 174, 104983. </w:t>
      </w:r>
      <w:hyperlink r:id="rId12" w:history="1">
        <w:r w:rsidRPr="00EE6467">
          <w:rPr>
            <w:rStyle w:val="Hyperlink"/>
            <w:sz w:val="24"/>
            <w:szCs w:val="24"/>
          </w:rPr>
          <w:t>https://doi.org/10.1016/j.euroecorev.2025.104983</w:t>
        </w:r>
      </w:hyperlink>
      <w:r>
        <w:rPr>
          <w:sz w:val="24"/>
          <w:szCs w:val="24"/>
        </w:rPr>
        <w:t xml:space="preserve"> </w:t>
      </w:r>
    </w:p>
    <w:p w14:paraId="0BB44A2D" w14:textId="77777777" w:rsidR="00500197" w:rsidRPr="0062489F" w:rsidRDefault="00500197" w:rsidP="0062489F">
      <w:pPr>
        <w:pStyle w:val="ListParagraph"/>
        <w:numPr>
          <w:ilvl w:val="0"/>
          <w:numId w:val="2"/>
        </w:numPr>
        <w:jc w:val="both"/>
        <w:rPr>
          <w:sz w:val="24"/>
          <w:szCs w:val="24"/>
        </w:rPr>
      </w:pPr>
      <w:r w:rsidRPr="0062489F">
        <w:rPr>
          <w:sz w:val="24"/>
          <w:szCs w:val="24"/>
        </w:rPr>
        <w:t>Bistline, J. E., Mehrotra, N. R., &amp; Wolfram, C. (2023). Economic implications of the climate provisions of the Inflation Reduction Act. Brookings Papers on Economic Activity, 2023(1), 77-182.</w:t>
      </w:r>
      <w:r>
        <w:rPr>
          <w:sz w:val="24"/>
          <w:szCs w:val="24"/>
        </w:rPr>
        <w:t xml:space="preserve"> </w:t>
      </w:r>
      <w:r w:rsidRPr="00500197">
        <w:rPr>
          <w:sz w:val="24"/>
          <w:szCs w:val="24"/>
        </w:rPr>
        <w:t>https://doi.org/10.1353/eca.2023.a919359</w:t>
      </w:r>
    </w:p>
    <w:p w14:paraId="1E8E4CC8" w14:textId="7394D0E6" w:rsidR="00500197" w:rsidRPr="0062489F" w:rsidRDefault="000F4BB1" w:rsidP="0062489F">
      <w:pPr>
        <w:pStyle w:val="ListParagraph"/>
        <w:numPr>
          <w:ilvl w:val="0"/>
          <w:numId w:val="2"/>
        </w:numPr>
        <w:jc w:val="both"/>
        <w:rPr>
          <w:sz w:val="24"/>
          <w:szCs w:val="24"/>
        </w:rPr>
      </w:pPr>
      <w:r w:rsidRPr="000F4BB1">
        <w:rPr>
          <w:sz w:val="24"/>
          <w:szCs w:val="24"/>
        </w:rPr>
        <w:t xml:space="preserve">Blinder, A. S., </w:t>
      </w:r>
      <w:proofErr w:type="spellStart"/>
      <w:r w:rsidRPr="000F4BB1">
        <w:rPr>
          <w:sz w:val="24"/>
          <w:szCs w:val="24"/>
        </w:rPr>
        <w:t>Ehrmann</w:t>
      </w:r>
      <w:proofErr w:type="spellEnd"/>
      <w:r w:rsidRPr="000F4BB1">
        <w:rPr>
          <w:sz w:val="24"/>
          <w:szCs w:val="24"/>
        </w:rPr>
        <w:t xml:space="preserve">, M., de </w:t>
      </w:r>
      <w:proofErr w:type="spellStart"/>
      <w:r w:rsidRPr="000F4BB1">
        <w:rPr>
          <w:sz w:val="24"/>
          <w:szCs w:val="24"/>
        </w:rPr>
        <w:t>Haan</w:t>
      </w:r>
      <w:proofErr w:type="spellEnd"/>
      <w:r w:rsidRPr="000F4BB1">
        <w:rPr>
          <w:sz w:val="24"/>
          <w:szCs w:val="24"/>
        </w:rPr>
        <w:t xml:space="preserve">, J., &amp; Jansen, D. J. (2024). Central bank communication with the general public: Promise or false </w:t>
      </w:r>
      <w:proofErr w:type="gramStart"/>
      <w:r w:rsidRPr="000F4BB1">
        <w:rPr>
          <w:sz w:val="24"/>
          <w:szCs w:val="24"/>
        </w:rPr>
        <w:t>hope?.</w:t>
      </w:r>
      <w:proofErr w:type="gramEnd"/>
      <w:r w:rsidRPr="000F4BB1">
        <w:rPr>
          <w:sz w:val="24"/>
          <w:szCs w:val="24"/>
        </w:rPr>
        <w:t xml:space="preserve"> Journal of Economic Literature, 62(2), 425-457. </w:t>
      </w:r>
      <w:hyperlink r:id="rId13" w:history="1">
        <w:r w:rsidRPr="00EE6467">
          <w:rPr>
            <w:rStyle w:val="Hyperlink"/>
            <w:sz w:val="24"/>
            <w:szCs w:val="24"/>
          </w:rPr>
          <w:t>https://doi.org/10.1257/jel.20231683</w:t>
        </w:r>
      </w:hyperlink>
      <w:r>
        <w:rPr>
          <w:sz w:val="24"/>
          <w:szCs w:val="24"/>
        </w:rPr>
        <w:t xml:space="preserve"> </w:t>
      </w:r>
    </w:p>
    <w:p w14:paraId="130942D3" w14:textId="53ABBDE3" w:rsidR="00500197" w:rsidRPr="0062489F" w:rsidRDefault="00F5682D" w:rsidP="0062489F">
      <w:pPr>
        <w:pStyle w:val="ListParagraph"/>
        <w:numPr>
          <w:ilvl w:val="0"/>
          <w:numId w:val="2"/>
        </w:numPr>
        <w:jc w:val="both"/>
        <w:rPr>
          <w:sz w:val="24"/>
          <w:szCs w:val="24"/>
        </w:rPr>
      </w:pPr>
      <w:proofErr w:type="spellStart"/>
      <w:r w:rsidRPr="00F5682D">
        <w:rPr>
          <w:sz w:val="24"/>
          <w:szCs w:val="24"/>
        </w:rPr>
        <w:lastRenderedPageBreak/>
        <w:t>Boehl</w:t>
      </w:r>
      <w:proofErr w:type="spellEnd"/>
      <w:r w:rsidRPr="00F5682D">
        <w:rPr>
          <w:sz w:val="24"/>
          <w:szCs w:val="24"/>
        </w:rPr>
        <w:t xml:space="preserve">, G., </w:t>
      </w:r>
      <w:proofErr w:type="spellStart"/>
      <w:r w:rsidRPr="00F5682D">
        <w:rPr>
          <w:sz w:val="24"/>
          <w:szCs w:val="24"/>
        </w:rPr>
        <w:t>Budianto</w:t>
      </w:r>
      <w:proofErr w:type="spellEnd"/>
      <w:r w:rsidRPr="00F5682D">
        <w:rPr>
          <w:sz w:val="24"/>
          <w:szCs w:val="24"/>
        </w:rPr>
        <w:t xml:space="preserve">, F., &amp; </w:t>
      </w:r>
      <w:proofErr w:type="spellStart"/>
      <w:r w:rsidRPr="00F5682D">
        <w:rPr>
          <w:sz w:val="24"/>
          <w:szCs w:val="24"/>
        </w:rPr>
        <w:t>Takáts</w:t>
      </w:r>
      <w:proofErr w:type="spellEnd"/>
      <w:r w:rsidRPr="00F5682D">
        <w:rPr>
          <w:sz w:val="24"/>
          <w:szCs w:val="24"/>
        </w:rPr>
        <w:t xml:space="preserve">, E. (2024). The macroeconomics of green transitions. Bank for International Settlements. </w:t>
      </w:r>
      <w:hyperlink r:id="rId14" w:history="1">
        <w:r w:rsidRPr="00EE6467">
          <w:rPr>
            <w:rStyle w:val="Hyperlink"/>
            <w:sz w:val="24"/>
            <w:szCs w:val="24"/>
          </w:rPr>
          <w:t>https://www.bis.org/publ/bis_working_papers/bis_working_papers_1237.htm</w:t>
        </w:r>
      </w:hyperlink>
      <w:r>
        <w:rPr>
          <w:sz w:val="24"/>
          <w:szCs w:val="24"/>
        </w:rPr>
        <w:t xml:space="preserve"> </w:t>
      </w:r>
    </w:p>
    <w:p w14:paraId="655543A9" w14:textId="77777777" w:rsidR="00500197" w:rsidRPr="0062489F" w:rsidRDefault="00500197" w:rsidP="0062489F">
      <w:pPr>
        <w:pStyle w:val="ListParagraph"/>
        <w:numPr>
          <w:ilvl w:val="0"/>
          <w:numId w:val="2"/>
        </w:numPr>
        <w:jc w:val="both"/>
        <w:rPr>
          <w:sz w:val="24"/>
          <w:szCs w:val="24"/>
        </w:rPr>
      </w:pPr>
      <w:r w:rsidRPr="0062489F">
        <w:rPr>
          <w:sz w:val="24"/>
          <w:szCs w:val="24"/>
        </w:rPr>
        <w:t>Buiter, W. (2023). The widespread failure of central banks to control inflation. Economic Affairs, 43(1), 2-31.</w:t>
      </w:r>
      <w:r>
        <w:rPr>
          <w:sz w:val="24"/>
          <w:szCs w:val="24"/>
        </w:rPr>
        <w:t xml:space="preserve"> </w:t>
      </w:r>
      <w:r w:rsidRPr="00033BC1">
        <w:rPr>
          <w:sz w:val="24"/>
          <w:szCs w:val="24"/>
        </w:rPr>
        <w:t>https://doi.org/10.1111/ecaf.12555</w:t>
      </w:r>
    </w:p>
    <w:p w14:paraId="13118E47" w14:textId="1B719776" w:rsidR="00500197" w:rsidRPr="0062489F" w:rsidRDefault="00F5682D" w:rsidP="0062489F">
      <w:pPr>
        <w:pStyle w:val="ListParagraph"/>
        <w:numPr>
          <w:ilvl w:val="0"/>
          <w:numId w:val="2"/>
        </w:numPr>
        <w:jc w:val="both"/>
        <w:rPr>
          <w:sz w:val="24"/>
          <w:szCs w:val="24"/>
        </w:rPr>
      </w:pPr>
      <w:r w:rsidRPr="00F5682D">
        <w:rPr>
          <w:sz w:val="24"/>
          <w:szCs w:val="24"/>
        </w:rPr>
        <w:t xml:space="preserve">Castillo-Martinez, L., &amp; Reis, R. (2024). How Do Central Banks Control </w:t>
      </w:r>
      <w:proofErr w:type="gramStart"/>
      <w:r w:rsidRPr="00F5682D">
        <w:rPr>
          <w:sz w:val="24"/>
          <w:szCs w:val="24"/>
        </w:rPr>
        <w:t>Inflation?:</w:t>
      </w:r>
      <w:proofErr w:type="gramEnd"/>
      <w:r w:rsidRPr="00F5682D">
        <w:rPr>
          <w:sz w:val="24"/>
          <w:szCs w:val="24"/>
        </w:rPr>
        <w:t xml:space="preserve"> A Guide for the Perplexed. London School of Economics and Political Science. </w:t>
      </w:r>
      <w:hyperlink r:id="rId15" w:history="1">
        <w:r w:rsidRPr="00EE6467">
          <w:rPr>
            <w:rStyle w:val="Hyperlink"/>
            <w:sz w:val="24"/>
            <w:szCs w:val="24"/>
          </w:rPr>
          <w:t>https://www.lse.ac.uk/CFM/assets/pdf/CFM-Discussion-Papers-2024/CFMDP2024-33-Paper.pdf</w:t>
        </w:r>
      </w:hyperlink>
      <w:r>
        <w:rPr>
          <w:sz w:val="24"/>
          <w:szCs w:val="24"/>
        </w:rPr>
        <w:t xml:space="preserve"> </w:t>
      </w:r>
      <w:r w:rsidR="007E3104">
        <w:rPr>
          <w:sz w:val="24"/>
          <w:szCs w:val="24"/>
        </w:rPr>
        <w:tab/>
      </w:r>
    </w:p>
    <w:p w14:paraId="238BF224" w14:textId="4BB55842" w:rsidR="00500197" w:rsidRPr="0062489F" w:rsidRDefault="007E3104" w:rsidP="0062489F">
      <w:pPr>
        <w:pStyle w:val="ListParagraph"/>
        <w:numPr>
          <w:ilvl w:val="0"/>
          <w:numId w:val="2"/>
        </w:numPr>
        <w:jc w:val="both"/>
        <w:rPr>
          <w:sz w:val="24"/>
          <w:szCs w:val="24"/>
        </w:rPr>
      </w:pPr>
      <w:r w:rsidRPr="007E3104">
        <w:rPr>
          <w:sz w:val="24"/>
          <w:szCs w:val="24"/>
        </w:rPr>
        <w:t xml:space="preserve">Chen, L., </w:t>
      </w:r>
      <w:proofErr w:type="spellStart"/>
      <w:r w:rsidRPr="007E3104">
        <w:rPr>
          <w:sz w:val="24"/>
          <w:szCs w:val="24"/>
        </w:rPr>
        <w:t>Msigwa</w:t>
      </w:r>
      <w:proofErr w:type="spellEnd"/>
      <w:r w:rsidRPr="007E3104">
        <w:rPr>
          <w:sz w:val="24"/>
          <w:szCs w:val="24"/>
        </w:rPr>
        <w:t xml:space="preserve">, G., Yang, M., Osman, A. I., </w:t>
      </w:r>
      <w:proofErr w:type="spellStart"/>
      <w:r w:rsidRPr="007E3104">
        <w:rPr>
          <w:sz w:val="24"/>
          <w:szCs w:val="24"/>
        </w:rPr>
        <w:t>Fawzy</w:t>
      </w:r>
      <w:proofErr w:type="spellEnd"/>
      <w:r w:rsidRPr="007E3104">
        <w:rPr>
          <w:sz w:val="24"/>
          <w:szCs w:val="24"/>
        </w:rPr>
        <w:t xml:space="preserve">, S., Rooney, D. W., &amp; Yap, P. S. (2022). Strategies to achieve a carbon neutral society: a review. Environmental Chemistry Letters, 20(4), 2277-2310. </w:t>
      </w:r>
      <w:hyperlink r:id="rId16" w:history="1">
        <w:r w:rsidRPr="00EE6467">
          <w:rPr>
            <w:rStyle w:val="Hyperlink"/>
            <w:sz w:val="24"/>
            <w:szCs w:val="24"/>
          </w:rPr>
          <w:t>https://doi.org/10.1007/s10311-022-01435-8</w:t>
        </w:r>
      </w:hyperlink>
      <w:r>
        <w:rPr>
          <w:sz w:val="24"/>
          <w:szCs w:val="24"/>
        </w:rPr>
        <w:t xml:space="preserve"> </w:t>
      </w:r>
    </w:p>
    <w:p w14:paraId="4AD51955" w14:textId="36B78CC7" w:rsidR="00500197" w:rsidRPr="0062489F" w:rsidRDefault="00B76D7B" w:rsidP="0062489F">
      <w:pPr>
        <w:pStyle w:val="ListParagraph"/>
        <w:numPr>
          <w:ilvl w:val="0"/>
          <w:numId w:val="2"/>
        </w:numPr>
        <w:jc w:val="both"/>
        <w:rPr>
          <w:sz w:val="24"/>
          <w:szCs w:val="24"/>
        </w:rPr>
      </w:pPr>
      <w:r w:rsidRPr="00B76D7B">
        <w:rPr>
          <w:sz w:val="24"/>
          <w:szCs w:val="24"/>
        </w:rPr>
        <w:t xml:space="preserve">Chen, P., &amp; </w:t>
      </w:r>
      <w:proofErr w:type="spellStart"/>
      <w:r w:rsidRPr="00B76D7B">
        <w:rPr>
          <w:sz w:val="24"/>
          <w:szCs w:val="24"/>
        </w:rPr>
        <w:t>Semmler</w:t>
      </w:r>
      <w:proofErr w:type="spellEnd"/>
      <w:r w:rsidRPr="00B76D7B">
        <w:rPr>
          <w:sz w:val="24"/>
          <w:szCs w:val="24"/>
        </w:rPr>
        <w:t xml:space="preserve">, W. (2025). Energy Transition, Price-Quantity Market Interactions and Inflation – A Model-guided Study and CIVAR Empirics for the US Explaining </w:t>
      </w:r>
      <w:proofErr w:type="spellStart"/>
      <w:r w:rsidRPr="00B76D7B">
        <w:rPr>
          <w:sz w:val="24"/>
          <w:szCs w:val="24"/>
        </w:rPr>
        <w:t>Fossilflation</w:t>
      </w:r>
      <w:proofErr w:type="spellEnd"/>
      <w:r w:rsidRPr="00B76D7B">
        <w:rPr>
          <w:sz w:val="24"/>
          <w:szCs w:val="24"/>
        </w:rPr>
        <w:t xml:space="preserve"> and </w:t>
      </w:r>
      <w:proofErr w:type="spellStart"/>
      <w:r w:rsidRPr="00B76D7B">
        <w:rPr>
          <w:sz w:val="24"/>
          <w:szCs w:val="24"/>
        </w:rPr>
        <w:t>Greenflation</w:t>
      </w:r>
      <w:proofErr w:type="spellEnd"/>
      <w:r w:rsidRPr="00B76D7B">
        <w:rPr>
          <w:sz w:val="24"/>
          <w:szCs w:val="24"/>
        </w:rPr>
        <w:t xml:space="preserve">. Working Papers, New School for Social Research, Department of Economics. </w:t>
      </w:r>
      <w:hyperlink r:id="rId17" w:history="1">
        <w:r w:rsidRPr="00D9793C">
          <w:rPr>
            <w:rStyle w:val="Hyperlink"/>
            <w:sz w:val="24"/>
            <w:szCs w:val="24"/>
          </w:rPr>
          <w:t>https://ideas.repec.org/p/new/wpaper/2504.html</w:t>
        </w:r>
      </w:hyperlink>
      <w:r>
        <w:rPr>
          <w:sz w:val="24"/>
          <w:szCs w:val="24"/>
        </w:rPr>
        <w:t xml:space="preserve"> </w:t>
      </w:r>
    </w:p>
    <w:p w14:paraId="6C39ABF1" w14:textId="38F18F04" w:rsidR="00500197" w:rsidRPr="0062489F" w:rsidRDefault="00B87228" w:rsidP="0062489F">
      <w:pPr>
        <w:pStyle w:val="ListParagraph"/>
        <w:numPr>
          <w:ilvl w:val="0"/>
          <w:numId w:val="2"/>
        </w:numPr>
        <w:jc w:val="both"/>
        <w:rPr>
          <w:sz w:val="24"/>
          <w:szCs w:val="24"/>
        </w:rPr>
      </w:pPr>
      <w:proofErr w:type="spellStart"/>
      <w:r w:rsidRPr="00B87228">
        <w:rPr>
          <w:sz w:val="24"/>
          <w:szCs w:val="24"/>
        </w:rPr>
        <w:t>DebRoy</w:t>
      </w:r>
      <w:proofErr w:type="spellEnd"/>
      <w:r w:rsidRPr="00B87228">
        <w:rPr>
          <w:sz w:val="24"/>
          <w:szCs w:val="24"/>
        </w:rPr>
        <w:t xml:space="preserve">, T., &amp; Elmer, J. W. (2024). Metals beyond tomorrow: Balancing supply, demand, sustainability, substitution, and innovations. Materials Today, 80, 737-757. </w:t>
      </w:r>
      <w:hyperlink r:id="rId18" w:history="1">
        <w:r w:rsidRPr="00D9793C">
          <w:rPr>
            <w:rStyle w:val="Hyperlink"/>
            <w:sz w:val="24"/>
            <w:szCs w:val="24"/>
          </w:rPr>
          <w:t>https://doi.org/10.1016/j.mattod.2024.09.007</w:t>
        </w:r>
      </w:hyperlink>
      <w:r>
        <w:rPr>
          <w:sz w:val="24"/>
          <w:szCs w:val="24"/>
        </w:rPr>
        <w:t xml:space="preserve"> </w:t>
      </w:r>
    </w:p>
    <w:p w14:paraId="7B862320" w14:textId="72A6D138" w:rsidR="00500197" w:rsidRPr="0062489F" w:rsidRDefault="0012368F" w:rsidP="0062489F">
      <w:pPr>
        <w:pStyle w:val="ListParagraph"/>
        <w:numPr>
          <w:ilvl w:val="0"/>
          <w:numId w:val="2"/>
        </w:numPr>
        <w:jc w:val="both"/>
        <w:rPr>
          <w:sz w:val="24"/>
          <w:szCs w:val="24"/>
        </w:rPr>
      </w:pPr>
      <w:proofErr w:type="spellStart"/>
      <w:r w:rsidRPr="0012368F">
        <w:rPr>
          <w:sz w:val="24"/>
          <w:szCs w:val="24"/>
        </w:rPr>
        <w:t>Druchyn</w:t>
      </w:r>
      <w:proofErr w:type="spellEnd"/>
      <w:r w:rsidRPr="0012368F">
        <w:rPr>
          <w:sz w:val="24"/>
          <w:szCs w:val="24"/>
        </w:rPr>
        <w:t xml:space="preserve">, S., </w:t>
      </w:r>
      <w:proofErr w:type="spellStart"/>
      <w:r w:rsidRPr="0012368F">
        <w:rPr>
          <w:sz w:val="24"/>
          <w:szCs w:val="24"/>
        </w:rPr>
        <w:t>Juszczak</w:t>
      </w:r>
      <w:proofErr w:type="spellEnd"/>
      <w:r w:rsidRPr="0012368F">
        <w:rPr>
          <w:sz w:val="24"/>
          <w:szCs w:val="24"/>
        </w:rPr>
        <w:t xml:space="preserve">, A., &amp; </w:t>
      </w:r>
      <w:proofErr w:type="spellStart"/>
      <w:r w:rsidRPr="0012368F">
        <w:rPr>
          <w:sz w:val="24"/>
          <w:szCs w:val="24"/>
        </w:rPr>
        <w:t>Rybacki</w:t>
      </w:r>
      <w:proofErr w:type="spellEnd"/>
      <w:r w:rsidRPr="0012368F">
        <w:rPr>
          <w:sz w:val="24"/>
          <w:szCs w:val="24"/>
        </w:rPr>
        <w:t xml:space="preserve">, J. (2025). Carbon pricing and </w:t>
      </w:r>
      <w:proofErr w:type="spellStart"/>
      <w:r w:rsidRPr="0012368F">
        <w:rPr>
          <w:sz w:val="24"/>
          <w:szCs w:val="24"/>
        </w:rPr>
        <w:t>fossilflation</w:t>
      </w:r>
      <w:proofErr w:type="spellEnd"/>
      <w:r w:rsidRPr="0012368F">
        <w:rPr>
          <w:sz w:val="24"/>
          <w:szCs w:val="24"/>
        </w:rPr>
        <w:t xml:space="preserve"> – the impact of the energy crisis. Economics and Environment. </w:t>
      </w:r>
      <w:hyperlink r:id="rId19" w:history="1">
        <w:r w:rsidRPr="00D9793C">
          <w:rPr>
            <w:rStyle w:val="Hyperlink"/>
            <w:sz w:val="24"/>
            <w:szCs w:val="24"/>
          </w:rPr>
          <w:t>https://doi.org/10.34659/eis.2025.94.3.945</w:t>
        </w:r>
      </w:hyperlink>
      <w:r>
        <w:rPr>
          <w:sz w:val="24"/>
          <w:szCs w:val="24"/>
        </w:rPr>
        <w:t xml:space="preserve"> </w:t>
      </w:r>
    </w:p>
    <w:p w14:paraId="63FE7616" w14:textId="15CF4E7A" w:rsidR="00500197" w:rsidRPr="00500197" w:rsidRDefault="00B82CF9" w:rsidP="00984B40">
      <w:pPr>
        <w:pStyle w:val="ListParagraph"/>
        <w:numPr>
          <w:ilvl w:val="0"/>
          <w:numId w:val="2"/>
        </w:numPr>
        <w:jc w:val="both"/>
        <w:rPr>
          <w:sz w:val="24"/>
          <w:szCs w:val="24"/>
        </w:rPr>
      </w:pPr>
      <w:proofErr w:type="spellStart"/>
      <w:r w:rsidRPr="00B82CF9">
        <w:rPr>
          <w:sz w:val="24"/>
          <w:szCs w:val="24"/>
        </w:rPr>
        <w:t>Ferdinandusse</w:t>
      </w:r>
      <w:proofErr w:type="spellEnd"/>
      <w:r w:rsidRPr="00B82CF9">
        <w:rPr>
          <w:sz w:val="24"/>
          <w:szCs w:val="24"/>
        </w:rPr>
        <w:t xml:space="preserve">, M., Kuik, F., &amp; </w:t>
      </w:r>
      <w:proofErr w:type="spellStart"/>
      <w:r w:rsidRPr="00B82CF9">
        <w:rPr>
          <w:sz w:val="24"/>
          <w:szCs w:val="24"/>
        </w:rPr>
        <w:t>Priftis</w:t>
      </w:r>
      <w:proofErr w:type="spellEnd"/>
      <w:r w:rsidRPr="00B82CF9">
        <w:rPr>
          <w:sz w:val="24"/>
          <w:szCs w:val="24"/>
        </w:rPr>
        <w:t xml:space="preserve">, R. (2024). Assessing the macroeconomic effects of climate change transition policies. Economic Bulletin Boxes, 1. </w:t>
      </w:r>
      <w:hyperlink r:id="rId20" w:history="1">
        <w:r w:rsidRPr="00D9793C">
          <w:rPr>
            <w:rStyle w:val="Hyperlink"/>
            <w:sz w:val="24"/>
            <w:szCs w:val="24"/>
          </w:rPr>
          <w:t>https://www.ecb.europa.eu//press/economic-bulletin/focus/2024/html/ecb.ebbox202401_04~92ad3c032a.en.html</w:t>
        </w:r>
      </w:hyperlink>
      <w:r>
        <w:rPr>
          <w:sz w:val="24"/>
          <w:szCs w:val="24"/>
        </w:rPr>
        <w:t xml:space="preserve"> </w:t>
      </w:r>
    </w:p>
    <w:p w14:paraId="340526C0" w14:textId="5DB031CA" w:rsidR="00500197" w:rsidRPr="0062489F" w:rsidRDefault="00DD1C8C" w:rsidP="0062489F">
      <w:pPr>
        <w:pStyle w:val="ListParagraph"/>
        <w:numPr>
          <w:ilvl w:val="0"/>
          <w:numId w:val="2"/>
        </w:numPr>
        <w:jc w:val="both"/>
        <w:rPr>
          <w:sz w:val="24"/>
          <w:szCs w:val="24"/>
        </w:rPr>
      </w:pPr>
      <w:r w:rsidRPr="00DD1C8C">
        <w:rPr>
          <w:sz w:val="24"/>
          <w:szCs w:val="24"/>
        </w:rPr>
        <w:t xml:space="preserve">Fontana, O. (2025). Climate change, carbon prices, and the role of the ECB's monetary policy. In Central Banking, Monetary Policy, and the European Central Bank (pp. 78-98). Edward Elgar Publishing. </w:t>
      </w:r>
      <w:hyperlink r:id="rId21" w:history="1">
        <w:r w:rsidRPr="00D9793C">
          <w:rPr>
            <w:rStyle w:val="Hyperlink"/>
            <w:sz w:val="24"/>
            <w:szCs w:val="24"/>
          </w:rPr>
          <w:t>https://doi.org/10.4337/9781035324279.00015</w:t>
        </w:r>
      </w:hyperlink>
      <w:r>
        <w:rPr>
          <w:sz w:val="24"/>
          <w:szCs w:val="24"/>
        </w:rPr>
        <w:t xml:space="preserve"> </w:t>
      </w:r>
    </w:p>
    <w:p w14:paraId="22B0912A" w14:textId="4ADAEC6E" w:rsidR="00500197" w:rsidRPr="0062489F" w:rsidRDefault="00DD1C8C" w:rsidP="0062489F">
      <w:pPr>
        <w:pStyle w:val="ListParagraph"/>
        <w:numPr>
          <w:ilvl w:val="0"/>
          <w:numId w:val="2"/>
        </w:numPr>
        <w:jc w:val="both"/>
        <w:rPr>
          <w:sz w:val="24"/>
          <w:szCs w:val="24"/>
        </w:rPr>
      </w:pPr>
      <w:proofErr w:type="spellStart"/>
      <w:r w:rsidRPr="00DD1C8C">
        <w:rPr>
          <w:sz w:val="24"/>
          <w:szCs w:val="24"/>
        </w:rPr>
        <w:t>Glavas</w:t>
      </w:r>
      <w:proofErr w:type="spellEnd"/>
      <w:r w:rsidRPr="00DD1C8C">
        <w:rPr>
          <w:sz w:val="24"/>
          <w:szCs w:val="24"/>
        </w:rPr>
        <w:t xml:space="preserve">, D. (2023). Value and Externalities in Economics and Finance. In Valuation and Sustainability: A Guide to Include Environmental, Social, and Governance Data in Business Valuation (pp. 1-17). Springer International Publishing. </w:t>
      </w:r>
      <w:hyperlink r:id="rId22" w:history="1">
        <w:r w:rsidRPr="00D9793C">
          <w:rPr>
            <w:rStyle w:val="Hyperlink"/>
            <w:sz w:val="24"/>
            <w:szCs w:val="24"/>
          </w:rPr>
          <w:t>https://doi.org/10.1007/978-3-031-30533-7_1</w:t>
        </w:r>
      </w:hyperlink>
      <w:r>
        <w:rPr>
          <w:sz w:val="24"/>
          <w:szCs w:val="24"/>
        </w:rPr>
        <w:t xml:space="preserve"> </w:t>
      </w:r>
    </w:p>
    <w:p w14:paraId="6ABDB53F" w14:textId="38ED2301" w:rsidR="00500197" w:rsidRPr="0062489F" w:rsidRDefault="00BC6FB9" w:rsidP="0062489F">
      <w:pPr>
        <w:pStyle w:val="ListParagraph"/>
        <w:numPr>
          <w:ilvl w:val="0"/>
          <w:numId w:val="2"/>
        </w:numPr>
        <w:jc w:val="both"/>
        <w:rPr>
          <w:sz w:val="24"/>
          <w:szCs w:val="24"/>
        </w:rPr>
      </w:pPr>
      <w:r w:rsidRPr="00BC6FB9">
        <w:rPr>
          <w:sz w:val="24"/>
          <w:szCs w:val="24"/>
        </w:rPr>
        <w:t xml:space="preserve">He, M., </w:t>
      </w:r>
      <w:proofErr w:type="spellStart"/>
      <w:r w:rsidRPr="00BC6FB9">
        <w:rPr>
          <w:sz w:val="24"/>
          <w:szCs w:val="24"/>
        </w:rPr>
        <w:t>Rohani</w:t>
      </w:r>
      <w:proofErr w:type="spellEnd"/>
      <w:r w:rsidRPr="00BC6FB9">
        <w:rPr>
          <w:sz w:val="24"/>
          <w:szCs w:val="24"/>
        </w:rPr>
        <w:t xml:space="preserve">, S., Teng, L., Gao, Y., </w:t>
      </w:r>
      <w:proofErr w:type="spellStart"/>
      <w:r w:rsidRPr="00BC6FB9">
        <w:rPr>
          <w:sz w:val="24"/>
          <w:szCs w:val="24"/>
        </w:rPr>
        <w:t>Jin</w:t>
      </w:r>
      <w:proofErr w:type="spellEnd"/>
      <w:r w:rsidRPr="00BC6FB9">
        <w:rPr>
          <w:sz w:val="24"/>
          <w:szCs w:val="24"/>
        </w:rPr>
        <w:t xml:space="preserve">, X., Zhang, X., ... &amp; Liu, W. (2023). Thermochemically driven layer structure collapse via </w:t>
      </w:r>
      <w:proofErr w:type="spellStart"/>
      <w:r w:rsidRPr="00BC6FB9">
        <w:rPr>
          <w:sz w:val="24"/>
          <w:szCs w:val="24"/>
        </w:rPr>
        <w:t>sulfate</w:t>
      </w:r>
      <w:proofErr w:type="spellEnd"/>
      <w:r w:rsidRPr="00BC6FB9">
        <w:rPr>
          <w:sz w:val="24"/>
          <w:szCs w:val="24"/>
        </w:rPr>
        <w:t xml:space="preserve"> roasting toward the selective extraction of lithium and cobalt from spent LiCoO2 batteries. Journal of Power Sources, 572, 233094. </w:t>
      </w:r>
      <w:hyperlink r:id="rId23" w:history="1">
        <w:r w:rsidRPr="00D9793C">
          <w:rPr>
            <w:rStyle w:val="Hyperlink"/>
            <w:sz w:val="24"/>
            <w:szCs w:val="24"/>
          </w:rPr>
          <w:t>https://doi.org/10.1016/j.jpowsour.2023.233094</w:t>
        </w:r>
      </w:hyperlink>
      <w:r>
        <w:rPr>
          <w:sz w:val="24"/>
          <w:szCs w:val="24"/>
        </w:rPr>
        <w:t xml:space="preserve"> </w:t>
      </w:r>
    </w:p>
    <w:p w14:paraId="0ADF2C8C" w14:textId="31CF6B95" w:rsidR="00500197" w:rsidRPr="00500197" w:rsidRDefault="00EA78AE" w:rsidP="00984B40">
      <w:pPr>
        <w:pStyle w:val="ListParagraph"/>
        <w:numPr>
          <w:ilvl w:val="0"/>
          <w:numId w:val="2"/>
        </w:numPr>
        <w:jc w:val="both"/>
        <w:rPr>
          <w:sz w:val="24"/>
          <w:szCs w:val="24"/>
        </w:rPr>
      </w:pPr>
      <w:proofErr w:type="spellStart"/>
      <w:r w:rsidRPr="00EA78AE">
        <w:rPr>
          <w:sz w:val="24"/>
          <w:szCs w:val="24"/>
        </w:rPr>
        <w:t>Hintermann</w:t>
      </w:r>
      <w:proofErr w:type="spellEnd"/>
      <w:r w:rsidRPr="00EA78AE">
        <w:rPr>
          <w:sz w:val="24"/>
          <w:szCs w:val="24"/>
        </w:rPr>
        <w:t xml:space="preserve">, B., &amp; Ludwig, M. (2023). Home country bias in international emissions trading: Evidence from the EU ETS. Resource and Energy Economics </w:t>
      </w:r>
      <w:hyperlink r:id="rId24" w:history="1">
        <w:r w:rsidRPr="00D9793C">
          <w:rPr>
            <w:rStyle w:val="Hyperlink"/>
            <w:sz w:val="24"/>
            <w:szCs w:val="24"/>
          </w:rPr>
          <w:t>https://doi.org/10.1016/j.reseneeco.2022.101336</w:t>
        </w:r>
      </w:hyperlink>
      <w:r>
        <w:rPr>
          <w:sz w:val="24"/>
          <w:szCs w:val="24"/>
        </w:rPr>
        <w:t xml:space="preserve"> </w:t>
      </w:r>
    </w:p>
    <w:p w14:paraId="2EBCB799" w14:textId="77777777" w:rsidR="00500197" w:rsidRPr="0062489F" w:rsidRDefault="00500197" w:rsidP="0062489F">
      <w:pPr>
        <w:pStyle w:val="ListParagraph"/>
        <w:numPr>
          <w:ilvl w:val="0"/>
          <w:numId w:val="2"/>
        </w:numPr>
        <w:jc w:val="both"/>
        <w:rPr>
          <w:sz w:val="24"/>
          <w:szCs w:val="24"/>
        </w:rPr>
      </w:pPr>
      <w:r w:rsidRPr="0062489F">
        <w:rPr>
          <w:sz w:val="24"/>
          <w:szCs w:val="24"/>
        </w:rPr>
        <w:lastRenderedPageBreak/>
        <w:t xml:space="preserve">Horváth, P. P. K. B. I., &amp; </w:t>
      </w:r>
      <w:proofErr w:type="spellStart"/>
      <w:r w:rsidRPr="0062489F">
        <w:rPr>
          <w:sz w:val="24"/>
          <w:szCs w:val="24"/>
        </w:rPr>
        <w:t>Tengely</w:t>
      </w:r>
      <w:proofErr w:type="spellEnd"/>
      <w:r w:rsidRPr="0062489F">
        <w:rPr>
          <w:sz w:val="24"/>
          <w:szCs w:val="24"/>
        </w:rPr>
        <w:t>, J. C. B. V. (2022). Monetary Policy and Green Transition. 4 FINANCIAL AND ECONOMIC REVIEW, 7.</w:t>
      </w:r>
      <w:r>
        <w:rPr>
          <w:sz w:val="24"/>
          <w:szCs w:val="24"/>
        </w:rPr>
        <w:t xml:space="preserve"> </w:t>
      </w:r>
      <w:r w:rsidRPr="00500197">
        <w:rPr>
          <w:sz w:val="24"/>
          <w:szCs w:val="24"/>
        </w:rPr>
        <w:t>https://doi.org/10.33893/fer.21.4.7</w:t>
      </w:r>
    </w:p>
    <w:p w14:paraId="18DC4007" w14:textId="77777777" w:rsidR="00500197" w:rsidRPr="00500197" w:rsidRDefault="00500197" w:rsidP="00984B40">
      <w:pPr>
        <w:pStyle w:val="ListParagraph"/>
        <w:numPr>
          <w:ilvl w:val="0"/>
          <w:numId w:val="2"/>
        </w:numPr>
        <w:jc w:val="both"/>
        <w:rPr>
          <w:sz w:val="24"/>
          <w:szCs w:val="24"/>
        </w:rPr>
      </w:pPr>
      <w:r w:rsidRPr="0062489F">
        <w:rPr>
          <w:sz w:val="24"/>
          <w:szCs w:val="24"/>
        </w:rPr>
        <w:t xml:space="preserve">Jackson, J. (2024). The climate-changing context of inflation: </w:t>
      </w:r>
      <w:proofErr w:type="spellStart"/>
      <w:r w:rsidRPr="0062489F">
        <w:rPr>
          <w:sz w:val="24"/>
          <w:szCs w:val="24"/>
        </w:rPr>
        <w:t>fossilflation</w:t>
      </w:r>
      <w:proofErr w:type="spellEnd"/>
      <w:r w:rsidRPr="0062489F">
        <w:rPr>
          <w:sz w:val="24"/>
          <w:szCs w:val="24"/>
        </w:rPr>
        <w:t xml:space="preserve">, </w:t>
      </w:r>
      <w:proofErr w:type="spellStart"/>
      <w:r w:rsidRPr="0062489F">
        <w:rPr>
          <w:sz w:val="24"/>
          <w:szCs w:val="24"/>
        </w:rPr>
        <w:t>climateflation</w:t>
      </w:r>
      <w:proofErr w:type="spellEnd"/>
      <w:r w:rsidRPr="0062489F">
        <w:rPr>
          <w:sz w:val="24"/>
          <w:szCs w:val="24"/>
        </w:rPr>
        <w:t>, and the environmental politics of Green Central Banks. Global environmental politics, 24(4), 1-9.</w:t>
      </w:r>
      <w:r>
        <w:rPr>
          <w:sz w:val="24"/>
          <w:szCs w:val="24"/>
        </w:rPr>
        <w:t xml:space="preserve"> </w:t>
      </w:r>
      <w:r w:rsidRPr="00033BC1">
        <w:rPr>
          <w:sz w:val="24"/>
          <w:szCs w:val="24"/>
        </w:rPr>
        <w:t>https://doi.org/10.1162/glep_a_00762</w:t>
      </w:r>
    </w:p>
    <w:p w14:paraId="5490FF0B" w14:textId="09CECA34" w:rsidR="00500197" w:rsidRPr="0062489F" w:rsidRDefault="00EA78AE" w:rsidP="0062489F">
      <w:pPr>
        <w:pStyle w:val="ListParagraph"/>
        <w:numPr>
          <w:ilvl w:val="0"/>
          <w:numId w:val="2"/>
        </w:numPr>
        <w:jc w:val="both"/>
        <w:rPr>
          <w:sz w:val="24"/>
          <w:szCs w:val="24"/>
        </w:rPr>
      </w:pPr>
      <w:proofErr w:type="spellStart"/>
      <w:r w:rsidRPr="00EA78AE">
        <w:rPr>
          <w:sz w:val="24"/>
          <w:szCs w:val="24"/>
        </w:rPr>
        <w:t>Jawadi</w:t>
      </w:r>
      <w:proofErr w:type="spellEnd"/>
      <w:r w:rsidRPr="00EA78AE">
        <w:rPr>
          <w:sz w:val="24"/>
          <w:szCs w:val="24"/>
        </w:rPr>
        <w:t xml:space="preserve">, F. (2023). </w:t>
      </w:r>
      <w:proofErr w:type="spellStart"/>
      <w:r w:rsidRPr="00EA78AE">
        <w:rPr>
          <w:sz w:val="24"/>
          <w:szCs w:val="24"/>
        </w:rPr>
        <w:t>Analyzing</w:t>
      </w:r>
      <w:proofErr w:type="spellEnd"/>
      <w:r w:rsidRPr="00EA78AE">
        <w:rPr>
          <w:sz w:val="24"/>
          <w:szCs w:val="24"/>
        </w:rPr>
        <w:t xml:space="preserve"> commodity prices in the context of COVID-19, high inflation, and the </w:t>
      </w:r>
      <w:proofErr w:type="spellStart"/>
      <w:r w:rsidRPr="00EA78AE">
        <w:rPr>
          <w:sz w:val="24"/>
          <w:szCs w:val="24"/>
        </w:rPr>
        <w:t>ukrainian</w:t>
      </w:r>
      <w:proofErr w:type="spellEnd"/>
      <w:r w:rsidRPr="00EA78AE">
        <w:rPr>
          <w:sz w:val="24"/>
          <w:szCs w:val="24"/>
        </w:rPr>
        <w:t xml:space="preserve"> war: An interview with </w:t>
      </w:r>
      <w:proofErr w:type="spellStart"/>
      <w:r w:rsidRPr="00EA78AE">
        <w:rPr>
          <w:sz w:val="24"/>
          <w:szCs w:val="24"/>
        </w:rPr>
        <w:t>james</w:t>
      </w:r>
      <w:proofErr w:type="spellEnd"/>
      <w:r w:rsidRPr="00EA78AE">
        <w:rPr>
          <w:sz w:val="24"/>
          <w:szCs w:val="24"/>
        </w:rPr>
        <w:t xml:space="preserve"> </w:t>
      </w:r>
      <w:proofErr w:type="spellStart"/>
      <w:r w:rsidRPr="00EA78AE">
        <w:rPr>
          <w:sz w:val="24"/>
          <w:szCs w:val="24"/>
        </w:rPr>
        <w:t>hamilton</w:t>
      </w:r>
      <w:proofErr w:type="spellEnd"/>
      <w:r w:rsidRPr="00EA78AE">
        <w:rPr>
          <w:sz w:val="24"/>
          <w:szCs w:val="24"/>
        </w:rPr>
        <w:t xml:space="preserve">. The energy journal, 44(1), 1-8. </w:t>
      </w:r>
      <w:hyperlink r:id="rId25" w:history="1">
        <w:r w:rsidRPr="00D9793C">
          <w:rPr>
            <w:rStyle w:val="Hyperlink"/>
            <w:sz w:val="24"/>
            <w:szCs w:val="24"/>
          </w:rPr>
          <w:t>https://doi.org/10.5547/01956574.44.1.fjaw</w:t>
        </w:r>
      </w:hyperlink>
      <w:r>
        <w:rPr>
          <w:sz w:val="24"/>
          <w:szCs w:val="24"/>
        </w:rPr>
        <w:t xml:space="preserve"> </w:t>
      </w:r>
    </w:p>
    <w:p w14:paraId="5995332B" w14:textId="31C2713C" w:rsidR="00500197" w:rsidRPr="0062489F" w:rsidRDefault="00FF2C45" w:rsidP="0062489F">
      <w:pPr>
        <w:pStyle w:val="ListParagraph"/>
        <w:numPr>
          <w:ilvl w:val="0"/>
          <w:numId w:val="2"/>
        </w:numPr>
        <w:jc w:val="both"/>
        <w:rPr>
          <w:sz w:val="24"/>
          <w:szCs w:val="24"/>
        </w:rPr>
      </w:pPr>
      <w:proofErr w:type="spellStart"/>
      <w:r w:rsidRPr="00FF2C45">
        <w:rPr>
          <w:sz w:val="24"/>
          <w:szCs w:val="24"/>
        </w:rPr>
        <w:t>Kalungi</w:t>
      </w:r>
      <w:proofErr w:type="spellEnd"/>
      <w:r w:rsidRPr="00FF2C45">
        <w:rPr>
          <w:sz w:val="24"/>
          <w:szCs w:val="24"/>
        </w:rPr>
        <w:t xml:space="preserve">, P., Yao, Z., &amp; Huang, H. (2024). Aspects of Nickel, Cobalt and Lithium, the Three Key Elements for Li-Ion Batteries: An Overview on Resources, Demands, and Production. Materials. </w:t>
      </w:r>
      <w:hyperlink r:id="rId26" w:history="1">
        <w:r w:rsidRPr="00D9793C">
          <w:rPr>
            <w:rStyle w:val="Hyperlink"/>
            <w:sz w:val="24"/>
            <w:szCs w:val="24"/>
          </w:rPr>
          <w:t>https://doi.org/10.3390/ma17174389</w:t>
        </w:r>
      </w:hyperlink>
      <w:r>
        <w:rPr>
          <w:sz w:val="24"/>
          <w:szCs w:val="24"/>
        </w:rPr>
        <w:t xml:space="preserve"> </w:t>
      </w:r>
    </w:p>
    <w:p w14:paraId="4BD8E138" w14:textId="0B23AABB" w:rsidR="00500197" w:rsidRPr="00500197" w:rsidRDefault="000A0C91" w:rsidP="00984B40">
      <w:pPr>
        <w:pStyle w:val="ListParagraph"/>
        <w:numPr>
          <w:ilvl w:val="0"/>
          <w:numId w:val="2"/>
        </w:numPr>
        <w:jc w:val="both"/>
        <w:rPr>
          <w:sz w:val="24"/>
          <w:szCs w:val="24"/>
        </w:rPr>
      </w:pPr>
      <w:proofErr w:type="spellStart"/>
      <w:r w:rsidRPr="000A0C91">
        <w:rPr>
          <w:sz w:val="24"/>
          <w:szCs w:val="24"/>
        </w:rPr>
        <w:t>Känzig</w:t>
      </w:r>
      <w:proofErr w:type="spellEnd"/>
      <w:r w:rsidRPr="000A0C91">
        <w:rPr>
          <w:sz w:val="24"/>
          <w:szCs w:val="24"/>
        </w:rPr>
        <w:t xml:space="preserve">, D. R., &amp; </w:t>
      </w:r>
      <w:proofErr w:type="spellStart"/>
      <w:r w:rsidRPr="000A0C91">
        <w:rPr>
          <w:sz w:val="24"/>
          <w:szCs w:val="24"/>
        </w:rPr>
        <w:t>Konradt</w:t>
      </w:r>
      <w:proofErr w:type="spellEnd"/>
      <w:r w:rsidRPr="000A0C91">
        <w:rPr>
          <w:sz w:val="24"/>
          <w:szCs w:val="24"/>
        </w:rPr>
        <w:t xml:space="preserve">, M. (2024). Climate Policy and the Economy: Evidence from Europe’s Carbon Pricing Initiatives. IMF Economic Review, 72, 1081–1124. </w:t>
      </w:r>
      <w:hyperlink r:id="rId27" w:history="1">
        <w:r w:rsidRPr="00D9793C">
          <w:rPr>
            <w:rStyle w:val="Hyperlink"/>
            <w:sz w:val="24"/>
            <w:szCs w:val="24"/>
          </w:rPr>
          <w:t>https://doi.org/10.1057/s41308-024-00256-9</w:t>
        </w:r>
      </w:hyperlink>
      <w:r>
        <w:rPr>
          <w:sz w:val="24"/>
          <w:szCs w:val="24"/>
        </w:rPr>
        <w:t xml:space="preserve"> </w:t>
      </w:r>
    </w:p>
    <w:p w14:paraId="5A451110" w14:textId="23353115" w:rsidR="00500197" w:rsidRPr="00500197" w:rsidRDefault="00BD614B" w:rsidP="00984B40">
      <w:pPr>
        <w:pStyle w:val="ListParagraph"/>
        <w:numPr>
          <w:ilvl w:val="0"/>
          <w:numId w:val="2"/>
        </w:numPr>
        <w:jc w:val="both"/>
        <w:rPr>
          <w:sz w:val="24"/>
          <w:szCs w:val="24"/>
        </w:rPr>
      </w:pPr>
      <w:proofErr w:type="spellStart"/>
      <w:r w:rsidRPr="00BD614B">
        <w:rPr>
          <w:sz w:val="24"/>
          <w:szCs w:val="24"/>
        </w:rPr>
        <w:t>Konradt</w:t>
      </w:r>
      <w:proofErr w:type="spellEnd"/>
      <w:r w:rsidRPr="00BD614B">
        <w:rPr>
          <w:sz w:val="24"/>
          <w:szCs w:val="24"/>
        </w:rPr>
        <w:t xml:space="preserve">, M., &amp; </w:t>
      </w:r>
      <w:proofErr w:type="spellStart"/>
      <w:r w:rsidRPr="00BD614B">
        <w:rPr>
          <w:sz w:val="24"/>
          <w:szCs w:val="24"/>
        </w:rPr>
        <w:t>Weder</w:t>
      </w:r>
      <w:proofErr w:type="spellEnd"/>
      <w:r w:rsidRPr="00BD614B">
        <w:rPr>
          <w:sz w:val="24"/>
          <w:szCs w:val="24"/>
        </w:rPr>
        <w:t xml:space="preserve"> di Mauro, B. (2023). Carbon taxation and </w:t>
      </w:r>
      <w:proofErr w:type="spellStart"/>
      <w:r w:rsidRPr="00BD614B">
        <w:rPr>
          <w:sz w:val="24"/>
          <w:szCs w:val="24"/>
        </w:rPr>
        <w:t>greenflation</w:t>
      </w:r>
      <w:proofErr w:type="spellEnd"/>
      <w:r w:rsidRPr="00BD614B">
        <w:rPr>
          <w:sz w:val="24"/>
          <w:szCs w:val="24"/>
        </w:rPr>
        <w:t xml:space="preserve">: Evidence from Europe and Canada. Journal of the European Economic Association, 21(6), 2518-2546. </w:t>
      </w:r>
      <w:hyperlink r:id="rId28" w:history="1">
        <w:r w:rsidRPr="00D9793C">
          <w:rPr>
            <w:rStyle w:val="Hyperlink"/>
            <w:sz w:val="24"/>
            <w:szCs w:val="24"/>
          </w:rPr>
          <w:t>https://doi.org/10.1093/jeea/jvad020</w:t>
        </w:r>
      </w:hyperlink>
      <w:r>
        <w:rPr>
          <w:sz w:val="24"/>
          <w:szCs w:val="24"/>
        </w:rPr>
        <w:t xml:space="preserve"> </w:t>
      </w:r>
    </w:p>
    <w:p w14:paraId="26AC65FC" w14:textId="7FE26403" w:rsidR="00500197" w:rsidRPr="00500197" w:rsidRDefault="00A81E54" w:rsidP="00984B40">
      <w:pPr>
        <w:pStyle w:val="ListParagraph"/>
        <w:numPr>
          <w:ilvl w:val="0"/>
          <w:numId w:val="2"/>
        </w:numPr>
        <w:jc w:val="both"/>
        <w:rPr>
          <w:sz w:val="24"/>
          <w:szCs w:val="24"/>
        </w:rPr>
      </w:pPr>
      <w:proofErr w:type="spellStart"/>
      <w:r w:rsidRPr="00A81E54">
        <w:rPr>
          <w:sz w:val="24"/>
          <w:szCs w:val="24"/>
        </w:rPr>
        <w:t>Konradt</w:t>
      </w:r>
      <w:proofErr w:type="spellEnd"/>
      <w:r w:rsidRPr="00A81E54">
        <w:rPr>
          <w:sz w:val="24"/>
          <w:szCs w:val="24"/>
        </w:rPr>
        <w:t xml:space="preserve">, M., McGregor, T., &amp; </w:t>
      </w:r>
      <w:proofErr w:type="spellStart"/>
      <w:r w:rsidRPr="00A81E54">
        <w:rPr>
          <w:sz w:val="24"/>
          <w:szCs w:val="24"/>
        </w:rPr>
        <w:t>Toscani</w:t>
      </w:r>
      <w:proofErr w:type="spellEnd"/>
      <w:r w:rsidRPr="00A81E54">
        <w:rPr>
          <w:sz w:val="24"/>
          <w:szCs w:val="24"/>
        </w:rPr>
        <w:t xml:space="preserve">, F. G. (2024). Carbon Prices and Inflation in the Euro Area. IMF Working Papers, 2024(031). </w:t>
      </w:r>
      <w:hyperlink r:id="rId29" w:history="1">
        <w:r w:rsidRPr="00D9793C">
          <w:rPr>
            <w:rStyle w:val="Hyperlink"/>
            <w:sz w:val="24"/>
            <w:szCs w:val="24"/>
          </w:rPr>
          <w:t>https://doi.org/10.5089/9798400267277.001</w:t>
        </w:r>
      </w:hyperlink>
      <w:r>
        <w:rPr>
          <w:sz w:val="24"/>
          <w:szCs w:val="24"/>
        </w:rPr>
        <w:t xml:space="preserve"> </w:t>
      </w:r>
    </w:p>
    <w:p w14:paraId="3ED13FDA" w14:textId="48B165DD" w:rsidR="00500197" w:rsidRPr="00500197" w:rsidRDefault="00392F54" w:rsidP="00984B40">
      <w:pPr>
        <w:pStyle w:val="ListParagraph"/>
        <w:numPr>
          <w:ilvl w:val="0"/>
          <w:numId w:val="2"/>
        </w:numPr>
        <w:jc w:val="both"/>
        <w:rPr>
          <w:sz w:val="24"/>
          <w:szCs w:val="24"/>
        </w:rPr>
      </w:pPr>
      <w:proofErr w:type="spellStart"/>
      <w:r w:rsidRPr="00392F54">
        <w:rPr>
          <w:sz w:val="24"/>
          <w:szCs w:val="24"/>
        </w:rPr>
        <w:t>Moessner</w:t>
      </w:r>
      <w:proofErr w:type="spellEnd"/>
      <w:r w:rsidRPr="00392F54">
        <w:rPr>
          <w:sz w:val="24"/>
          <w:szCs w:val="24"/>
        </w:rPr>
        <w:t xml:space="preserve">, R. (2025). Effects of carbon pricing on inflation. Climate Policy, 25(9), 1508–1521. </w:t>
      </w:r>
      <w:hyperlink r:id="rId30" w:history="1">
        <w:r w:rsidRPr="00D9793C">
          <w:rPr>
            <w:rStyle w:val="Hyperlink"/>
            <w:sz w:val="24"/>
            <w:szCs w:val="24"/>
          </w:rPr>
          <w:t>https://doi.org/10.1080/14693062.2025.2467961</w:t>
        </w:r>
      </w:hyperlink>
      <w:r>
        <w:rPr>
          <w:sz w:val="24"/>
          <w:szCs w:val="24"/>
        </w:rPr>
        <w:t xml:space="preserve"> </w:t>
      </w:r>
    </w:p>
    <w:p w14:paraId="7C8B56B9" w14:textId="77777777" w:rsidR="00500197" w:rsidRPr="00033BC1" w:rsidRDefault="00500197" w:rsidP="00033BC1">
      <w:pPr>
        <w:pStyle w:val="ListParagraph"/>
        <w:numPr>
          <w:ilvl w:val="0"/>
          <w:numId w:val="2"/>
        </w:numPr>
        <w:jc w:val="both"/>
        <w:rPr>
          <w:sz w:val="24"/>
          <w:szCs w:val="24"/>
        </w:rPr>
      </w:pPr>
      <w:r w:rsidRPr="00033BC1">
        <w:rPr>
          <w:sz w:val="24"/>
          <w:szCs w:val="24"/>
        </w:rPr>
        <w:t>Moschella, M. (2024). Central Banks as Political Institutions. Unexpected Revolutionaries, 16–34. https://doi.org/10.7591/cornell/9781501774850.003.0002</w:t>
      </w:r>
    </w:p>
    <w:p w14:paraId="088AF0D2" w14:textId="77777777" w:rsidR="00500197" w:rsidRPr="0062489F" w:rsidRDefault="00500197" w:rsidP="0062489F">
      <w:pPr>
        <w:pStyle w:val="ListParagraph"/>
        <w:numPr>
          <w:ilvl w:val="0"/>
          <w:numId w:val="2"/>
        </w:numPr>
        <w:jc w:val="both"/>
        <w:rPr>
          <w:sz w:val="24"/>
          <w:szCs w:val="24"/>
        </w:rPr>
      </w:pPr>
      <w:r w:rsidRPr="0062489F">
        <w:rPr>
          <w:sz w:val="24"/>
          <w:szCs w:val="24"/>
        </w:rPr>
        <w:t xml:space="preserve">Nademi, Y., &amp; </w:t>
      </w:r>
      <w:proofErr w:type="spellStart"/>
      <w:r w:rsidRPr="0062489F">
        <w:rPr>
          <w:sz w:val="24"/>
          <w:szCs w:val="24"/>
        </w:rPr>
        <w:t>Kalmarzi</w:t>
      </w:r>
      <w:proofErr w:type="spellEnd"/>
      <w:r w:rsidRPr="0062489F">
        <w:rPr>
          <w:sz w:val="24"/>
          <w:szCs w:val="24"/>
        </w:rPr>
        <w:t>, H. S. (2025). Rethinking Inflation through the Circular Economy: A Markov Switching Analysis of European Countries. Journal of Circular Economy, 3(3).</w:t>
      </w:r>
      <w:r>
        <w:rPr>
          <w:sz w:val="24"/>
          <w:szCs w:val="24"/>
        </w:rPr>
        <w:t xml:space="preserve"> </w:t>
      </w:r>
      <w:r w:rsidRPr="00696DD9">
        <w:rPr>
          <w:sz w:val="24"/>
          <w:szCs w:val="24"/>
        </w:rPr>
        <w:t>https://doi.org/10.55845/vjci3491</w:t>
      </w:r>
    </w:p>
    <w:p w14:paraId="55455445" w14:textId="77777777" w:rsidR="00500197" w:rsidRPr="0062489F" w:rsidRDefault="00500197" w:rsidP="0062489F">
      <w:pPr>
        <w:pStyle w:val="ListParagraph"/>
        <w:numPr>
          <w:ilvl w:val="0"/>
          <w:numId w:val="2"/>
        </w:numPr>
        <w:jc w:val="both"/>
        <w:rPr>
          <w:sz w:val="24"/>
          <w:szCs w:val="24"/>
        </w:rPr>
      </w:pPr>
      <w:r w:rsidRPr="0062489F">
        <w:rPr>
          <w:sz w:val="24"/>
          <w:szCs w:val="24"/>
        </w:rPr>
        <w:t>Naef, A. (2024). The impossible love of fossil fuel companies for carbon taxes. Ecological Economics, 217, 108045.</w:t>
      </w:r>
      <w:r>
        <w:rPr>
          <w:sz w:val="24"/>
          <w:szCs w:val="24"/>
        </w:rPr>
        <w:t xml:space="preserve"> </w:t>
      </w:r>
      <w:r w:rsidRPr="00500197">
        <w:rPr>
          <w:sz w:val="24"/>
          <w:szCs w:val="24"/>
        </w:rPr>
        <w:t>https://doi.org/10.1016/j.ecolecon.2023.108045</w:t>
      </w:r>
    </w:p>
    <w:p w14:paraId="11F33170" w14:textId="15F7D788" w:rsidR="00C255C3" w:rsidRDefault="00122F17" w:rsidP="0062489F">
      <w:pPr>
        <w:pStyle w:val="ListParagraph"/>
        <w:numPr>
          <w:ilvl w:val="0"/>
          <w:numId w:val="2"/>
        </w:numPr>
        <w:jc w:val="both"/>
        <w:rPr>
          <w:sz w:val="24"/>
          <w:szCs w:val="24"/>
        </w:rPr>
      </w:pPr>
      <w:r w:rsidRPr="00122F17">
        <w:rPr>
          <w:sz w:val="24"/>
          <w:szCs w:val="24"/>
        </w:rPr>
        <w:t xml:space="preserve">Arce, Ó., Ciccarelli, M., </w:t>
      </w:r>
      <w:proofErr w:type="spellStart"/>
      <w:r w:rsidRPr="00122F17">
        <w:rPr>
          <w:sz w:val="24"/>
          <w:szCs w:val="24"/>
        </w:rPr>
        <w:t>Kornprobst</w:t>
      </w:r>
      <w:proofErr w:type="spellEnd"/>
      <w:r w:rsidRPr="00122F17">
        <w:rPr>
          <w:sz w:val="24"/>
          <w:szCs w:val="24"/>
        </w:rPr>
        <w:t>, A., &amp; Montes-</w:t>
      </w:r>
      <w:proofErr w:type="spellStart"/>
      <w:r w:rsidRPr="00122F17">
        <w:rPr>
          <w:sz w:val="24"/>
          <w:szCs w:val="24"/>
        </w:rPr>
        <w:t>Galdón</w:t>
      </w:r>
      <w:proofErr w:type="spellEnd"/>
      <w:r w:rsidRPr="00122F17">
        <w:rPr>
          <w:sz w:val="24"/>
          <w:szCs w:val="24"/>
        </w:rPr>
        <w:t xml:space="preserve">, C. (2024). What caused the euro area post-pandemic inflation? An application of Bernanke and Blanchard (2023). Occasional Paper Series, European Central Bank. </w:t>
      </w:r>
      <w:hyperlink r:id="rId31" w:history="1">
        <w:r w:rsidRPr="00D9793C">
          <w:rPr>
            <w:rStyle w:val="Hyperlink"/>
            <w:sz w:val="24"/>
            <w:szCs w:val="24"/>
          </w:rPr>
          <w:t>https://www.ecb.europa.eu//pub/pdf/scpops/ecb.op343~ab3e870d21.en.pdf</w:t>
        </w:r>
      </w:hyperlink>
      <w:r>
        <w:rPr>
          <w:sz w:val="24"/>
          <w:szCs w:val="24"/>
        </w:rPr>
        <w:t xml:space="preserve"> </w:t>
      </w:r>
    </w:p>
    <w:p w14:paraId="35C3F0B3" w14:textId="083818F4" w:rsidR="00500197" w:rsidRPr="0062489F" w:rsidRDefault="00B83E95" w:rsidP="0062489F">
      <w:pPr>
        <w:pStyle w:val="ListParagraph"/>
        <w:numPr>
          <w:ilvl w:val="0"/>
          <w:numId w:val="2"/>
        </w:numPr>
        <w:jc w:val="both"/>
        <w:rPr>
          <w:sz w:val="24"/>
          <w:szCs w:val="24"/>
        </w:rPr>
      </w:pPr>
      <w:proofErr w:type="spellStart"/>
      <w:r w:rsidRPr="00B83E95">
        <w:rPr>
          <w:sz w:val="24"/>
          <w:szCs w:val="24"/>
        </w:rPr>
        <w:t>Quaglia</w:t>
      </w:r>
      <w:proofErr w:type="spellEnd"/>
      <w:r w:rsidRPr="00B83E95">
        <w:rPr>
          <w:sz w:val="24"/>
          <w:szCs w:val="24"/>
        </w:rPr>
        <w:t xml:space="preserve">, L., Verdun, A., Jones, E., </w:t>
      </w:r>
      <w:proofErr w:type="spellStart"/>
      <w:r w:rsidRPr="00B83E95">
        <w:rPr>
          <w:sz w:val="24"/>
          <w:szCs w:val="24"/>
        </w:rPr>
        <w:t>Helleiner</w:t>
      </w:r>
      <w:proofErr w:type="spellEnd"/>
      <w:r w:rsidRPr="00B83E95">
        <w:rPr>
          <w:sz w:val="24"/>
          <w:szCs w:val="24"/>
        </w:rPr>
        <w:t xml:space="preserve">, E., &amp; Cohen, B. J. (2025). The European Central Bank in the International Political Economy. International Studies Review, 27(1). </w:t>
      </w:r>
      <w:hyperlink r:id="rId32" w:history="1">
        <w:r w:rsidRPr="00D9793C">
          <w:rPr>
            <w:rStyle w:val="Hyperlink"/>
            <w:sz w:val="24"/>
            <w:szCs w:val="24"/>
          </w:rPr>
          <w:t>https://doi.org/10.1093/isr/viaf010</w:t>
        </w:r>
      </w:hyperlink>
      <w:r>
        <w:rPr>
          <w:sz w:val="24"/>
          <w:szCs w:val="24"/>
        </w:rPr>
        <w:t xml:space="preserve"> </w:t>
      </w:r>
    </w:p>
    <w:p w14:paraId="498BF4D0" w14:textId="1C9F4CB4" w:rsidR="00500197" w:rsidRPr="0062489F" w:rsidRDefault="000E6DFD" w:rsidP="0062489F">
      <w:pPr>
        <w:pStyle w:val="ListParagraph"/>
        <w:numPr>
          <w:ilvl w:val="0"/>
          <w:numId w:val="2"/>
        </w:numPr>
        <w:jc w:val="both"/>
        <w:rPr>
          <w:sz w:val="24"/>
          <w:szCs w:val="24"/>
        </w:rPr>
      </w:pPr>
      <w:r w:rsidRPr="000E6DFD">
        <w:rPr>
          <w:sz w:val="24"/>
          <w:szCs w:val="24"/>
        </w:rPr>
        <w:t xml:space="preserve">Raihan, A., &amp; </w:t>
      </w:r>
      <w:proofErr w:type="spellStart"/>
      <w:r w:rsidRPr="000E6DFD">
        <w:rPr>
          <w:sz w:val="24"/>
          <w:szCs w:val="24"/>
        </w:rPr>
        <w:t>Tuspekova</w:t>
      </w:r>
      <w:proofErr w:type="spellEnd"/>
      <w:r w:rsidRPr="000E6DFD">
        <w:rPr>
          <w:sz w:val="24"/>
          <w:szCs w:val="24"/>
        </w:rPr>
        <w:t xml:space="preserve">, A. (2023). Towards net zero emissions by 2050: the role of renewable energy, technological innovations, and forests in New Zealand. Journal of Environmental Science and Economics, 2(1), 1-16. </w:t>
      </w:r>
      <w:hyperlink r:id="rId33" w:history="1">
        <w:r w:rsidRPr="00D9793C">
          <w:rPr>
            <w:rStyle w:val="Hyperlink"/>
            <w:sz w:val="24"/>
            <w:szCs w:val="24"/>
          </w:rPr>
          <w:t>https://doi.org/10.56556/jescae.v2i1.422</w:t>
        </w:r>
      </w:hyperlink>
      <w:r>
        <w:rPr>
          <w:sz w:val="24"/>
          <w:szCs w:val="24"/>
        </w:rPr>
        <w:t xml:space="preserve"> </w:t>
      </w:r>
    </w:p>
    <w:p w14:paraId="193BB6D1" w14:textId="01FB50DF" w:rsidR="00500197" w:rsidRPr="0062489F" w:rsidRDefault="006850F2" w:rsidP="0062489F">
      <w:pPr>
        <w:pStyle w:val="ListParagraph"/>
        <w:numPr>
          <w:ilvl w:val="0"/>
          <w:numId w:val="2"/>
        </w:numPr>
        <w:jc w:val="both"/>
        <w:rPr>
          <w:sz w:val="24"/>
          <w:szCs w:val="24"/>
        </w:rPr>
      </w:pPr>
      <w:r w:rsidRPr="006850F2">
        <w:rPr>
          <w:sz w:val="24"/>
          <w:szCs w:val="24"/>
        </w:rPr>
        <w:lastRenderedPageBreak/>
        <w:t xml:space="preserve">Ranasinghe, H. (2022). Carbon net-zero by 2050: Benefits, challenges and way forward. Journal of Tropical Forestry and Environment, 12(01). </w:t>
      </w:r>
      <w:hyperlink r:id="rId34" w:history="1">
        <w:r w:rsidRPr="00D9793C">
          <w:rPr>
            <w:rStyle w:val="Hyperlink"/>
            <w:sz w:val="24"/>
            <w:szCs w:val="24"/>
          </w:rPr>
          <w:t>https://doi.org/10.31357/jtfe.v12i01.6107</w:t>
        </w:r>
      </w:hyperlink>
      <w:r>
        <w:rPr>
          <w:sz w:val="24"/>
          <w:szCs w:val="24"/>
        </w:rPr>
        <w:t xml:space="preserve"> </w:t>
      </w:r>
    </w:p>
    <w:p w14:paraId="22E12EF1" w14:textId="51F6CE3A" w:rsidR="00500197" w:rsidRPr="0062489F" w:rsidRDefault="000D1012" w:rsidP="0062489F">
      <w:pPr>
        <w:pStyle w:val="ListParagraph"/>
        <w:numPr>
          <w:ilvl w:val="0"/>
          <w:numId w:val="2"/>
        </w:numPr>
        <w:jc w:val="both"/>
        <w:rPr>
          <w:sz w:val="24"/>
          <w:szCs w:val="24"/>
        </w:rPr>
      </w:pPr>
      <w:r w:rsidRPr="000D1012">
        <w:rPr>
          <w:sz w:val="24"/>
          <w:szCs w:val="24"/>
        </w:rPr>
        <w:t xml:space="preserve">Rosa, S. M. (2025). Green monetary policy measures and central bank mandates: A comparative political economy analysis. Politics and Governance. </w:t>
      </w:r>
      <w:hyperlink r:id="rId35" w:history="1">
        <w:r w:rsidRPr="00D9793C">
          <w:rPr>
            <w:rStyle w:val="Hyperlink"/>
            <w:sz w:val="24"/>
            <w:szCs w:val="24"/>
          </w:rPr>
          <w:t>https://doi.org/10.17645/pag.8919</w:t>
        </w:r>
      </w:hyperlink>
      <w:r>
        <w:rPr>
          <w:sz w:val="24"/>
          <w:szCs w:val="24"/>
        </w:rPr>
        <w:t xml:space="preserve"> </w:t>
      </w:r>
    </w:p>
    <w:p w14:paraId="33D2A42D" w14:textId="77777777" w:rsidR="00500197" w:rsidRPr="0062489F" w:rsidRDefault="00500197" w:rsidP="0062489F">
      <w:pPr>
        <w:pStyle w:val="ListParagraph"/>
        <w:numPr>
          <w:ilvl w:val="0"/>
          <w:numId w:val="2"/>
        </w:numPr>
        <w:jc w:val="both"/>
        <w:rPr>
          <w:sz w:val="24"/>
          <w:szCs w:val="24"/>
        </w:rPr>
      </w:pPr>
      <w:r w:rsidRPr="0062489F">
        <w:rPr>
          <w:sz w:val="24"/>
          <w:szCs w:val="24"/>
        </w:rPr>
        <w:t>Shuaibu, M., Abdullahi, S. I., Yusufu, M., &amp; Mamman, M. B. (2024). Food price, general inflation and supply shocks in post-pandemic Nigeria. In Economic Uncertainty in the Post-Pandemic Era (pp. 102-117). Routledge. https://doi.org/10.4324/9781003461074-6</w:t>
      </w:r>
    </w:p>
    <w:p w14:paraId="32F116E8" w14:textId="77777777" w:rsidR="00500197" w:rsidRPr="0062489F" w:rsidRDefault="00500197" w:rsidP="0062489F">
      <w:pPr>
        <w:pStyle w:val="ListParagraph"/>
        <w:numPr>
          <w:ilvl w:val="0"/>
          <w:numId w:val="2"/>
        </w:numPr>
        <w:jc w:val="both"/>
        <w:rPr>
          <w:sz w:val="24"/>
          <w:szCs w:val="24"/>
        </w:rPr>
      </w:pPr>
      <w:r w:rsidRPr="0062489F">
        <w:rPr>
          <w:sz w:val="24"/>
          <w:szCs w:val="24"/>
        </w:rPr>
        <w:t xml:space="preserve">Sokol, M. (2023). </w:t>
      </w:r>
      <w:proofErr w:type="spellStart"/>
      <w:r w:rsidRPr="0062489F">
        <w:rPr>
          <w:sz w:val="24"/>
          <w:szCs w:val="24"/>
        </w:rPr>
        <w:t>Financialisation</w:t>
      </w:r>
      <w:proofErr w:type="spellEnd"/>
      <w:r w:rsidRPr="0062489F">
        <w:rPr>
          <w:sz w:val="24"/>
          <w:szCs w:val="24"/>
        </w:rPr>
        <w:t>, central banks and ‘</w:t>
      </w:r>
      <w:proofErr w:type="spellStart"/>
      <w:r w:rsidRPr="0062489F">
        <w:rPr>
          <w:sz w:val="24"/>
          <w:szCs w:val="24"/>
        </w:rPr>
        <w:t>new’state</w:t>
      </w:r>
      <w:proofErr w:type="spellEnd"/>
      <w:r w:rsidRPr="0062489F">
        <w:rPr>
          <w:sz w:val="24"/>
          <w:szCs w:val="24"/>
        </w:rPr>
        <w:t xml:space="preserve"> capitalism: The case of the US Federal Reserve, the European Central Bank and the Bank of England. Environment and planning A: economy and space, 55(5), 1305-1324. https://doi.org/10.1177/0308518x221133114</w:t>
      </w:r>
    </w:p>
    <w:p w14:paraId="6608A3D6" w14:textId="6729EB3E" w:rsidR="00500197" w:rsidRPr="0062489F" w:rsidRDefault="00C75255" w:rsidP="0062489F">
      <w:pPr>
        <w:pStyle w:val="ListParagraph"/>
        <w:numPr>
          <w:ilvl w:val="0"/>
          <w:numId w:val="2"/>
        </w:numPr>
        <w:jc w:val="both"/>
        <w:rPr>
          <w:sz w:val="24"/>
          <w:szCs w:val="24"/>
        </w:rPr>
      </w:pPr>
      <w:r w:rsidRPr="00C75255">
        <w:rPr>
          <w:sz w:val="24"/>
          <w:szCs w:val="24"/>
        </w:rPr>
        <w:t xml:space="preserve">Soto, G. H., Fernández, M. F., &amp; Martinez </w:t>
      </w:r>
      <w:proofErr w:type="spellStart"/>
      <w:r w:rsidRPr="00C75255">
        <w:rPr>
          <w:sz w:val="24"/>
          <w:szCs w:val="24"/>
        </w:rPr>
        <w:t>Cobas</w:t>
      </w:r>
      <w:proofErr w:type="spellEnd"/>
      <w:r w:rsidRPr="00C75255">
        <w:rPr>
          <w:sz w:val="24"/>
          <w:szCs w:val="24"/>
        </w:rPr>
        <w:t xml:space="preserve">, X. (2025). Vicious circle of the green transition: how green societies can perpetuate </w:t>
      </w:r>
      <w:proofErr w:type="spellStart"/>
      <w:r w:rsidRPr="00C75255">
        <w:rPr>
          <w:sz w:val="24"/>
          <w:szCs w:val="24"/>
        </w:rPr>
        <w:t>greenflation</w:t>
      </w:r>
      <w:proofErr w:type="spellEnd"/>
      <w:r w:rsidRPr="00C75255">
        <w:rPr>
          <w:sz w:val="24"/>
          <w:szCs w:val="24"/>
        </w:rPr>
        <w:t xml:space="preserve"> and how to mitigate it. Economic Change and Restructuring, 58(6), 1-29. </w:t>
      </w:r>
      <w:hyperlink r:id="rId36" w:history="1">
        <w:r w:rsidRPr="00D9793C">
          <w:rPr>
            <w:rStyle w:val="Hyperlink"/>
            <w:sz w:val="24"/>
            <w:szCs w:val="24"/>
          </w:rPr>
          <w:t>https://doi.org/10.1007/s10644-025-09919-7</w:t>
        </w:r>
      </w:hyperlink>
      <w:r>
        <w:rPr>
          <w:sz w:val="24"/>
          <w:szCs w:val="24"/>
        </w:rPr>
        <w:t xml:space="preserve"> </w:t>
      </w:r>
    </w:p>
    <w:p w14:paraId="424F9EF4" w14:textId="77777777" w:rsidR="00500197" w:rsidRPr="0062489F" w:rsidRDefault="00500197" w:rsidP="0062489F">
      <w:pPr>
        <w:pStyle w:val="ListParagraph"/>
        <w:numPr>
          <w:ilvl w:val="0"/>
          <w:numId w:val="2"/>
        </w:numPr>
        <w:jc w:val="both"/>
        <w:rPr>
          <w:sz w:val="24"/>
          <w:szCs w:val="24"/>
        </w:rPr>
      </w:pPr>
      <w:r w:rsidRPr="0062489F">
        <w:rPr>
          <w:sz w:val="24"/>
          <w:szCs w:val="24"/>
        </w:rPr>
        <w:t>Sun, H., Zhang, X., &amp; Luo, C. (2025). A Review of Carbon Pricing Mechanisms and Risk Management for Raw Materials in Low-Carbon Energy Systems. Energies, 18(13), 3401.</w:t>
      </w:r>
      <w:r>
        <w:rPr>
          <w:sz w:val="24"/>
          <w:szCs w:val="24"/>
        </w:rPr>
        <w:t xml:space="preserve"> </w:t>
      </w:r>
      <w:r w:rsidRPr="00500197">
        <w:rPr>
          <w:sz w:val="24"/>
          <w:szCs w:val="24"/>
        </w:rPr>
        <w:t>https://doi.org/10.3390/en18133401</w:t>
      </w:r>
    </w:p>
    <w:p w14:paraId="0391C518" w14:textId="1CE60165" w:rsidR="00500197" w:rsidRPr="0062489F" w:rsidRDefault="002B0B2A" w:rsidP="0062489F">
      <w:pPr>
        <w:pStyle w:val="ListParagraph"/>
        <w:numPr>
          <w:ilvl w:val="0"/>
          <w:numId w:val="2"/>
        </w:numPr>
        <w:jc w:val="both"/>
        <w:rPr>
          <w:sz w:val="24"/>
          <w:szCs w:val="24"/>
        </w:rPr>
      </w:pPr>
      <w:proofErr w:type="spellStart"/>
      <w:r w:rsidRPr="002B0B2A">
        <w:rPr>
          <w:sz w:val="24"/>
          <w:szCs w:val="24"/>
        </w:rPr>
        <w:t>Ünüvar</w:t>
      </w:r>
      <w:proofErr w:type="spellEnd"/>
      <w:r w:rsidRPr="002B0B2A">
        <w:rPr>
          <w:sz w:val="24"/>
          <w:szCs w:val="24"/>
        </w:rPr>
        <w:t xml:space="preserve">, B., &amp; </w:t>
      </w:r>
      <w:proofErr w:type="spellStart"/>
      <w:r w:rsidRPr="002B0B2A">
        <w:rPr>
          <w:sz w:val="24"/>
          <w:szCs w:val="24"/>
        </w:rPr>
        <w:t>Yeldan</w:t>
      </w:r>
      <w:proofErr w:type="spellEnd"/>
      <w:r w:rsidRPr="002B0B2A">
        <w:rPr>
          <w:sz w:val="24"/>
          <w:szCs w:val="24"/>
        </w:rPr>
        <w:t xml:space="preserve">, A. E. (2023). Green central banking under high inflation—more of a need than an option: An analytical exposition for Turkey. Development Policy Review, 41(6), e12720. </w:t>
      </w:r>
      <w:hyperlink r:id="rId37" w:history="1">
        <w:r w:rsidRPr="00D9793C">
          <w:rPr>
            <w:rStyle w:val="Hyperlink"/>
            <w:sz w:val="24"/>
            <w:szCs w:val="24"/>
          </w:rPr>
          <w:t>https://doi.org/10.1111/dpr.12720</w:t>
        </w:r>
      </w:hyperlink>
      <w:r>
        <w:rPr>
          <w:sz w:val="24"/>
          <w:szCs w:val="24"/>
        </w:rPr>
        <w:t xml:space="preserve"> </w:t>
      </w:r>
    </w:p>
    <w:p w14:paraId="0A42E404" w14:textId="77777777" w:rsidR="00500197" w:rsidRPr="0062489F" w:rsidRDefault="00500197" w:rsidP="0062489F">
      <w:pPr>
        <w:pStyle w:val="ListParagraph"/>
        <w:numPr>
          <w:ilvl w:val="0"/>
          <w:numId w:val="2"/>
        </w:numPr>
        <w:jc w:val="both"/>
        <w:rPr>
          <w:sz w:val="24"/>
          <w:szCs w:val="24"/>
        </w:rPr>
      </w:pPr>
      <w:proofErr w:type="spellStart"/>
      <w:r w:rsidRPr="0062489F">
        <w:rPr>
          <w:sz w:val="24"/>
          <w:szCs w:val="24"/>
        </w:rPr>
        <w:t>Vyshnevskyi</w:t>
      </w:r>
      <w:proofErr w:type="spellEnd"/>
      <w:r w:rsidRPr="0062489F">
        <w:rPr>
          <w:sz w:val="24"/>
          <w:szCs w:val="24"/>
        </w:rPr>
        <w:t>, I., &amp; Sohn, W. (2025). Central Banks’ Support for Climate Action: A Literature Review and Key Issues. Journal of Economic Surveys.</w:t>
      </w:r>
      <w:r>
        <w:rPr>
          <w:sz w:val="24"/>
          <w:szCs w:val="24"/>
        </w:rPr>
        <w:t xml:space="preserve"> </w:t>
      </w:r>
      <w:r w:rsidRPr="00500197">
        <w:rPr>
          <w:sz w:val="24"/>
          <w:szCs w:val="24"/>
        </w:rPr>
        <w:t>https://doi.org/10.1111/joes.12709</w:t>
      </w:r>
    </w:p>
    <w:p w14:paraId="43322D11" w14:textId="7F0D0E23" w:rsidR="00500197" w:rsidRPr="00696DD9" w:rsidRDefault="001E0D00" w:rsidP="00984B40">
      <w:pPr>
        <w:pStyle w:val="ListParagraph"/>
        <w:numPr>
          <w:ilvl w:val="0"/>
          <w:numId w:val="2"/>
        </w:numPr>
        <w:jc w:val="both"/>
        <w:rPr>
          <w:sz w:val="24"/>
          <w:szCs w:val="24"/>
        </w:rPr>
      </w:pPr>
      <w:r w:rsidRPr="001E0D00">
        <w:rPr>
          <w:sz w:val="24"/>
          <w:szCs w:val="24"/>
        </w:rPr>
        <w:t xml:space="preserve">Weber, I. M., Jauregui, J. L., Teixeira, L., &amp; Pires, L. N. (2024). Inflation in times of overlapping emergencies: Systemically significant prices from an input–output perspective. Industrial and Corporate Change. </w:t>
      </w:r>
      <w:hyperlink r:id="rId38" w:history="1">
        <w:r w:rsidRPr="00D9793C">
          <w:rPr>
            <w:rStyle w:val="Hyperlink"/>
            <w:sz w:val="24"/>
            <w:szCs w:val="24"/>
          </w:rPr>
          <w:t>https://doi.org/10.1093/icc/dtad080</w:t>
        </w:r>
      </w:hyperlink>
      <w:r>
        <w:rPr>
          <w:sz w:val="24"/>
          <w:szCs w:val="24"/>
        </w:rPr>
        <w:t xml:space="preserve"> </w:t>
      </w:r>
    </w:p>
    <w:sectPr w:rsidR="00500197" w:rsidRPr="00696DD9">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F033D" w14:textId="77777777" w:rsidR="000E16D7" w:rsidRDefault="000E16D7" w:rsidP="00B46C71">
      <w:pPr>
        <w:spacing w:after="0" w:line="240" w:lineRule="auto"/>
      </w:pPr>
      <w:r>
        <w:separator/>
      </w:r>
    </w:p>
  </w:endnote>
  <w:endnote w:type="continuationSeparator" w:id="0">
    <w:p w14:paraId="4F100704" w14:textId="77777777" w:rsidR="000E16D7" w:rsidRDefault="000E16D7" w:rsidP="00B4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0BED3" w14:textId="77777777" w:rsidR="00B46C71" w:rsidRDefault="00B46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59B87" w14:textId="77777777" w:rsidR="00B46C71" w:rsidRDefault="00B46C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7DE64" w14:textId="77777777" w:rsidR="00B46C71" w:rsidRDefault="00B46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03584" w14:textId="77777777" w:rsidR="000E16D7" w:rsidRDefault="000E16D7" w:rsidP="00B46C71">
      <w:pPr>
        <w:spacing w:after="0" w:line="240" w:lineRule="auto"/>
      </w:pPr>
      <w:r>
        <w:separator/>
      </w:r>
    </w:p>
  </w:footnote>
  <w:footnote w:type="continuationSeparator" w:id="0">
    <w:p w14:paraId="03B697BD" w14:textId="77777777" w:rsidR="000E16D7" w:rsidRDefault="000E16D7" w:rsidP="00B46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6796D" w14:textId="7D3B6D2B" w:rsidR="00B46C71" w:rsidRDefault="00B46C71">
    <w:pPr>
      <w:pStyle w:val="Header"/>
    </w:pPr>
    <w:r>
      <w:rPr>
        <w:noProof/>
      </w:rPr>
      <w:pict w14:anchorId="35AB0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7961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CE770" w14:textId="14EB6BC4" w:rsidR="00B46C71" w:rsidRDefault="00B46C71">
    <w:pPr>
      <w:pStyle w:val="Header"/>
    </w:pPr>
    <w:r>
      <w:rPr>
        <w:noProof/>
      </w:rPr>
      <w:pict w14:anchorId="1DA66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7961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10C98" w14:textId="350D4F58" w:rsidR="00B46C71" w:rsidRDefault="00B46C71">
    <w:pPr>
      <w:pStyle w:val="Header"/>
    </w:pPr>
    <w:r>
      <w:rPr>
        <w:noProof/>
      </w:rPr>
      <w:pict w14:anchorId="2FE66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7961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EF6F7C"/>
    <w:multiLevelType w:val="hybridMultilevel"/>
    <w:tmpl w:val="DEA85650"/>
    <w:lvl w:ilvl="0" w:tplc="045C9C4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B93F65"/>
    <w:multiLevelType w:val="multilevel"/>
    <w:tmpl w:val="9F946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9F2"/>
    <w:rsid w:val="00033BC1"/>
    <w:rsid w:val="000725F2"/>
    <w:rsid w:val="00077D96"/>
    <w:rsid w:val="000A0C91"/>
    <w:rsid w:val="000C40CE"/>
    <w:rsid w:val="000D1012"/>
    <w:rsid w:val="000E16D7"/>
    <w:rsid w:val="000E3F2B"/>
    <w:rsid w:val="000E6DFD"/>
    <w:rsid w:val="000E705C"/>
    <w:rsid w:val="000F4BB1"/>
    <w:rsid w:val="00111511"/>
    <w:rsid w:val="00113008"/>
    <w:rsid w:val="00122F17"/>
    <w:rsid w:val="0012368F"/>
    <w:rsid w:val="00126BCA"/>
    <w:rsid w:val="00134669"/>
    <w:rsid w:val="00181285"/>
    <w:rsid w:val="00192D0A"/>
    <w:rsid w:val="00194FEA"/>
    <w:rsid w:val="001D4D57"/>
    <w:rsid w:val="001E0D00"/>
    <w:rsid w:val="002243F2"/>
    <w:rsid w:val="002272C7"/>
    <w:rsid w:val="002312E9"/>
    <w:rsid w:val="0024396D"/>
    <w:rsid w:val="002579E5"/>
    <w:rsid w:val="0027113A"/>
    <w:rsid w:val="00274C89"/>
    <w:rsid w:val="00276672"/>
    <w:rsid w:val="00276C5C"/>
    <w:rsid w:val="002B0B2A"/>
    <w:rsid w:val="002F08AE"/>
    <w:rsid w:val="002F14E5"/>
    <w:rsid w:val="00320AA6"/>
    <w:rsid w:val="00331019"/>
    <w:rsid w:val="00331E2F"/>
    <w:rsid w:val="003547A9"/>
    <w:rsid w:val="00392F54"/>
    <w:rsid w:val="003932A2"/>
    <w:rsid w:val="003C68A5"/>
    <w:rsid w:val="00412660"/>
    <w:rsid w:val="00447138"/>
    <w:rsid w:val="00473899"/>
    <w:rsid w:val="00481207"/>
    <w:rsid w:val="004A78BA"/>
    <w:rsid w:val="004B4D05"/>
    <w:rsid w:val="004C7137"/>
    <w:rsid w:val="00500197"/>
    <w:rsid w:val="005211B0"/>
    <w:rsid w:val="00557C23"/>
    <w:rsid w:val="0057759D"/>
    <w:rsid w:val="00583184"/>
    <w:rsid w:val="005A1CCB"/>
    <w:rsid w:val="005D111A"/>
    <w:rsid w:val="0060536E"/>
    <w:rsid w:val="0062489F"/>
    <w:rsid w:val="006479F2"/>
    <w:rsid w:val="00674192"/>
    <w:rsid w:val="006850F2"/>
    <w:rsid w:val="00696DD9"/>
    <w:rsid w:val="006A18C6"/>
    <w:rsid w:val="006D3807"/>
    <w:rsid w:val="006D4BD2"/>
    <w:rsid w:val="00736F6C"/>
    <w:rsid w:val="00795CA1"/>
    <w:rsid w:val="00797CB0"/>
    <w:rsid w:val="007B29EB"/>
    <w:rsid w:val="007C77AA"/>
    <w:rsid w:val="007D5394"/>
    <w:rsid w:val="007E3104"/>
    <w:rsid w:val="0081421C"/>
    <w:rsid w:val="00826259"/>
    <w:rsid w:val="00852753"/>
    <w:rsid w:val="00862FFA"/>
    <w:rsid w:val="00864A8C"/>
    <w:rsid w:val="008943DF"/>
    <w:rsid w:val="008B4A78"/>
    <w:rsid w:val="008C0DE0"/>
    <w:rsid w:val="008D49EE"/>
    <w:rsid w:val="009033CA"/>
    <w:rsid w:val="00984B40"/>
    <w:rsid w:val="009A26D0"/>
    <w:rsid w:val="009C0A92"/>
    <w:rsid w:val="00A2256A"/>
    <w:rsid w:val="00A55A40"/>
    <w:rsid w:val="00A81E54"/>
    <w:rsid w:val="00A94454"/>
    <w:rsid w:val="00A97543"/>
    <w:rsid w:val="00AA7D15"/>
    <w:rsid w:val="00AD1F5E"/>
    <w:rsid w:val="00B4024C"/>
    <w:rsid w:val="00B46C71"/>
    <w:rsid w:val="00B76D7B"/>
    <w:rsid w:val="00B82CF9"/>
    <w:rsid w:val="00B83E95"/>
    <w:rsid w:val="00B85386"/>
    <w:rsid w:val="00B87228"/>
    <w:rsid w:val="00B962B3"/>
    <w:rsid w:val="00BA0386"/>
    <w:rsid w:val="00BC0C40"/>
    <w:rsid w:val="00BC6FB9"/>
    <w:rsid w:val="00BD614B"/>
    <w:rsid w:val="00BF5A86"/>
    <w:rsid w:val="00BF7DBF"/>
    <w:rsid w:val="00C255C3"/>
    <w:rsid w:val="00C25B3A"/>
    <w:rsid w:val="00C3258C"/>
    <w:rsid w:val="00C42A55"/>
    <w:rsid w:val="00C75255"/>
    <w:rsid w:val="00CA06FC"/>
    <w:rsid w:val="00CC6151"/>
    <w:rsid w:val="00DD1C8C"/>
    <w:rsid w:val="00E04EE9"/>
    <w:rsid w:val="00E27FF2"/>
    <w:rsid w:val="00E51B71"/>
    <w:rsid w:val="00E76789"/>
    <w:rsid w:val="00EA78AE"/>
    <w:rsid w:val="00EC3715"/>
    <w:rsid w:val="00F14A0F"/>
    <w:rsid w:val="00F178E7"/>
    <w:rsid w:val="00F31D5D"/>
    <w:rsid w:val="00F5682D"/>
    <w:rsid w:val="00F72003"/>
    <w:rsid w:val="00FF2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0B215F"/>
  <w15:chartTrackingRefBased/>
  <w15:docId w15:val="{7B444ECC-6F34-4280-B49C-0AAA9E87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479F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479F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479F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479F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479F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47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9F2"/>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6479F2"/>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sid w:val="006479F2"/>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6479F2"/>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6479F2"/>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6479F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479F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479F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479F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47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9F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47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9F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479F2"/>
    <w:pPr>
      <w:spacing w:before="160"/>
      <w:jc w:val="center"/>
    </w:pPr>
    <w:rPr>
      <w:i/>
      <w:iCs/>
      <w:color w:val="404040" w:themeColor="text1" w:themeTint="BF"/>
    </w:rPr>
  </w:style>
  <w:style w:type="character" w:customStyle="1" w:styleId="QuoteChar">
    <w:name w:val="Quote Char"/>
    <w:basedOn w:val="DefaultParagraphFont"/>
    <w:link w:val="Quote"/>
    <w:uiPriority w:val="29"/>
    <w:rsid w:val="006479F2"/>
    <w:rPr>
      <w:i/>
      <w:iCs/>
      <w:color w:val="404040" w:themeColor="text1" w:themeTint="BF"/>
      <w:lang w:val="en-GB"/>
    </w:rPr>
  </w:style>
  <w:style w:type="paragraph" w:styleId="ListParagraph">
    <w:name w:val="List Paragraph"/>
    <w:basedOn w:val="Normal"/>
    <w:uiPriority w:val="34"/>
    <w:qFormat/>
    <w:rsid w:val="006479F2"/>
    <w:pPr>
      <w:ind w:left="720"/>
      <w:contextualSpacing/>
    </w:pPr>
  </w:style>
  <w:style w:type="character" w:styleId="IntenseEmphasis">
    <w:name w:val="Intense Emphasis"/>
    <w:basedOn w:val="DefaultParagraphFont"/>
    <w:uiPriority w:val="21"/>
    <w:qFormat/>
    <w:rsid w:val="006479F2"/>
    <w:rPr>
      <w:i/>
      <w:iCs/>
      <w:color w:val="2E74B5" w:themeColor="accent1" w:themeShade="BF"/>
    </w:rPr>
  </w:style>
  <w:style w:type="paragraph" w:styleId="IntenseQuote">
    <w:name w:val="Intense Quote"/>
    <w:basedOn w:val="Normal"/>
    <w:next w:val="Normal"/>
    <w:link w:val="IntenseQuoteChar"/>
    <w:uiPriority w:val="30"/>
    <w:qFormat/>
    <w:rsid w:val="006479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479F2"/>
    <w:rPr>
      <w:i/>
      <w:iCs/>
      <w:color w:val="2E74B5" w:themeColor="accent1" w:themeShade="BF"/>
      <w:lang w:val="en-GB"/>
    </w:rPr>
  </w:style>
  <w:style w:type="character" w:styleId="IntenseReference">
    <w:name w:val="Intense Reference"/>
    <w:basedOn w:val="DefaultParagraphFont"/>
    <w:uiPriority w:val="32"/>
    <w:qFormat/>
    <w:rsid w:val="006479F2"/>
    <w:rPr>
      <w:b/>
      <w:bCs/>
      <w:smallCaps/>
      <w:color w:val="2E74B5" w:themeColor="accent1" w:themeShade="BF"/>
      <w:spacing w:val="5"/>
    </w:rPr>
  </w:style>
  <w:style w:type="table" w:styleId="TableGrid">
    <w:name w:val="Table Grid"/>
    <w:basedOn w:val="TableNormal"/>
    <w:uiPriority w:val="39"/>
    <w:rsid w:val="00F31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5C3"/>
    <w:rPr>
      <w:color w:val="0563C1" w:themeColor="hyperlink"/>
      <w:u w:val="single"/>
    </w:rPr>
  </w:style>
  <w:style w:type="character" w:styleId="UnresolvedMention">
    <w:name w:val="Unresolved Mention"/>
    <w:basedOn w:val="DefaultParagraphFont"/>
    <w:uiPriority w:val="99"/>
    <w:semiHidden/>
    <w:unhideWhenUsed/>
    <w:rsid w:val="00C255C3"/>
    <w:rPr>
      <w:color w:val="605E5C"/>
      <w:shd w:val="clear" w:color="auto" w:fill="E1DFDD"/>
    </w:rPr>
  </w:style>
  <w:style w:type="paragraph" w:styleId="Header">
    <w:name w:val="header"/>
    <w:basedOn w:val="Normal"/>
    <w:link w:val="HeaderChar"/>
    <w:uiPriority w:val="99"/>
    <w:unhideWhenUsed/>
    <w:rsid w:val="00B46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C71"/>
    <w:rPr>
      <w:lang w:val="en-GB"/>
    </w:rPr>
  </w:style>
  <w:style w:type="paragraph" w:styleId="Footer">
    <w:name w:val="footer"/>
    <w:basedOn w:val="Normal"/>
    <w:link w:val="FooterChar"/>
    <w:uiPriority w:val="99"/>
    <w:unhideWhenUsed/>
    <w:rsid w:val="00B46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C7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3376">
      <w:bodyDiv w:val="1"/>
      <w:marLeft w:val="0"/>
      <w:marRight w:val="0"/>
      <w:marTop w:val="0"/>
      <w:marBottom w:val="0"/>
      <w:divBdr>
        <w:top w:val="none" w:sz="0" w:space="0" w:color="auto"/>
        <w:left w:val="none" w:sz="0" w:space="0" w:color="auto"/>
        <w:bottom w:val="none" w:sz="0" w:space="0" w:color="auto"/>
        <w:right w:val="none" w:sz="0" w:space="0" w:color="auto"/>
      </w:divBdr>
    </w:div>
    <w:div w:id="9528754">
      <w:bodyDiv w:val="1"/>
      <w:marLeft w:val="0"/>
      <w:marRight w:val="0"/>
      <w:marTop w:val="0"/>
      <w:marBottom w:val="0"/>
      <w:divBdr>
        <w:top w:val="none" w:sz="0" w:space="0" w:color="auto"/>
        <w:left w:val="none" w:sz="0" w:space="0" w:color="auto"/>
        <w:bottom w:val="none" w:sz="0" w:space="0" w:color="auto"/>
        <w:right w:val="none" w:sz="0" w:space="0" w:color="auto"/>
      </w:divBdr>
    </w:div>
    <w:div w:id="24449894">
      <w:bodyDiv w:val="1"/>
      <w:marLeft w:val="0"/>
      <w:marRight w:val="0"/>
      <w:marTop w:val="0"/>
      <w:marBottom w:val="0"/>
      <w:divBdr>
        <w:top w:val="none" w:sz="0" w:space="0" w:color="auto"/>
        <w:left w:val="none" w:sz="0" w:space="0" w:color="auto"/>
        <w:bottom w:val="none" w:sz="0" w:space="0" w:color="auto"/>
        <w:right w:val="none" w:sz="0" w:space="0" w:color="auto"/>
      </w:divBdr>
    </w:div>
    <w:div w:id="179008950">
      <w:bodyDiv w:val="1"/>
      <w:marLeft w:val="0"/>
      <w:marRight w:val="0"/>
      <w:marTop w:val="0"/>
      <w:marBottom w:val="0"/>
      <w:divBdr>
        <w:top w:val="none" w:sz="0" w:space="0" w:color="auto"/>
        <w:left w:val="none" w:sz="0" w:space="0" w:color="auto"/>
        <w:bottom w:val="none" w:sz="0" w:space="0" w:color="auto"/>
        <w:right w:val="none" w:sz="0" w:space="0" w:color="auto"/>
      </w:divBdr>
    </w:div>
    <w:div w:id="244072319">
      <w:bodyDiv w:val="1"/>
      <w:marLeft w:val="0"/>
      <w:marRight w:val="0"/>
      <w:marTop w:val="0"/>
      <w:marBottom w:val="0"/>
      <w:divBdr>
        <w:top w:val="none" w:sz="0" w:space="0" w:color="auto"/>
        <w:left w:val="none" w:sz="0" w:space="0" w:color="auto"/>
        <w:bottom w:val="none" w:sz="0" w:space="0" w:color="auto"/>
        <w:right w:val="none" w:sz="0" w:space="0" w:color="auto"/>
      </w:divBdr>
    </w:div>
    <w:div w:id="282884120">
      <w:bodyDiv w:val="1"/>
      <w:marLeft w:val="0"/>
      <w:marRight w:val="0"/>
      <w:marTop w:val="0"/>
      <w:marBottom w:val="0"/>
      <w:divBdr>
        <w:top w:val="none" w:sz="0" w:space="0" w:color="auto"/>
        <w:left w:val="none" w:sz="0" w:space="0" w:color="auto"/>
        <w:bottom w:val="none" w:sz="0" w:space="0" w:color="auto"/>
        <w:right w:val="none" w:sz="0" w:space="0" w:color="auto"/>
      </w:divBdr>
    </w:div>
    <w:div w:id="326247846">
      <w:bodyDiv w:val="1"/>
      <w:marLeft w:val="0"/>
      <w:marRight w:val="0"/>
      <w:marTop w:val="0"/>
      <w:marBottom w:val="0"/>
      <w:divBdr>
        <w:top w:val="none" w:sz="0" w:space="0" w:color="auto"/>
        <w:left w:val="none" w:sz="0" w:space="0" w:color="auto"/>
        <w:bottom w:val="none" w:sz="0" w:space="0" w:color="auto"/>
        <w:right w:val="none" w:sz="0" w:space="0" w:color="auto"/>
      </w:divBdr>
    </w:div>
    <w:div w:id="328561346">
      <w:bodyDiv w:val="1"/>
      <w:marLeft w:val="0"/>
      <w:marRight w:val="0"/>
      <w:marTop w:val="0"/>
      <w:marBottom w:val="0"/>
      <w:divBdr>
        <w:top w:val="none" w:sz="0" w:space="0" w:color="auto"/>
        <w:left w:val="none" w:sz="0" w:space="0" w:color="auto"/>
        <w:bottom w:val="none" w:sz="0" w:space="0" w:color="auto"/>
        <w:right w:val="none" w:sz="0" w:space="0" w:color="auto"/>
      </w:divBdr>
    </w:div>
    <w:div w:id="397171391">
      <w:bodyDiv w:val="1"/>
      <w:marLeft w:val="0"/>
      <w:marRight w:val="0"/>
      <w:marTop w:val="0"/>
      <w:marBottom w:val="0"/>
      <w:divBdr>
        <w:top w:val="none" w:sz="0" w:space="0" w:color="auto"/>
        <w:left w:val="none" w:sz="0" w:space="0" w:color="auto"/>
        <w:bottom w:val="none" w:sz="0" w:space="0" w:color="auto"/>
        <w:right w:val="none" w:sz="0" w:space="0" w:color="auto"/>
      </w:divBdr>
    </w:div>
    <w:div w:id="439229121">
      <w:bodyDiv w:val="1"/>
      <w:marLeft w:val="0"/>
      <w:marRight w:val="0"/>
      <w:marTop w:val="0"/>
      <w:marBottom w:val="0"/>
      <w:divBdr>
        <w:top w:val="none" w:sz="0" w:space="0" w:color="auto"/>
        <w:left w:val="none" w:sz="0" w:space="0" w:color="auto"/>
        <w:bottom w:val="none" w:sz="0" w:space="0" w:color="auto"/>
        <w:right w:val="none" w:sz="0" w:space="0" w:color="auto"/>
      </w:divBdr>
    </w:div>
    <w:div w:id="531963729">
      <w:bodyDiv w:val="1"/>
      <w:marLeft w:val="0"/>
      <w:marRight w:val="0"/>
      <w:marTop w:val="0"/>
      <w:marBottom w:val="0"/>
      <w:divBdr>
        <w:top w:val="none" w:sz="0" w:space="0" w:color="auto"/>
        <w:left w:val="none" w:sz="0" w:space="0" w:color="auto"/>
        <w:bottom w:val="none" w:sz="0" w:space="0" w:color="auto"/>
        <w:right w:val="none" w:sz="0" w:space="0" w:color="auto"/>
      </w:divBdr>
    </w:div>
    <w:div w:id="553544198">
      <w:bodyDiv w:val="1"/>
      <w:marLeft w:val="0"/>
      <w:marRight w:val="0"/>
      <w:marTop w:val="0"/>
      <w:marBottom w:val="0"/>
      <w:divBdr>
        <w:top w:val="none" w:sz="0" w:space="0" w:color="auto"/>
        <w:left w:val="none" w:sz="0" w:space="0" w:color="auto"/>
        <w:bottom w:val="none" w:sz="0" w:space="0" w:color="auto"/>
        <w:right w:val="none" w:sz="0" w:space="0" w:color="auto"/>
      </w:divBdr>
    </w:div>
    <w:div w:id="584263514">
      <w:bodyDiv w:val="1"/>
      <w:marLeft w:val="0"/>
      <w:marRight w:val="0"/>
      <w:marTop w:val="0"/>
      <w:marBottom w:val="0"/>
      <w:divBdr>
        <w:top w:val="none" w:sz="0" w:space="0" w:color="auto"/>
        <w:left w:val="none" w:sz="0" w:space="0" w:color="auto"/>
        <w:bottom w:val="none" w:sz="0" w:space="0" w:color="auto"/>
        <w:right w:val="none" w:sz="0" w:space="0" w:color="auto"/>
      </w:divBdr>
    </w:div>
    <w:div w:id="682784271">
      <w:bodyDiv w:val="1"/>
      <w:marLeft w:val="0"/>
      <w:marRight w:val="0"/>
      <w:marTop w:val="0"/>
      <w:marBottom w:val="0"/>
      <w:divBdr>
        <w:top w:val="none" w:sz="0" w:space="0" w:color="auto"/>
        <w:left w:val="none" w:sz="0" w:space="0" w:color="auto"/>
        <w:bottom w:val="none" w:sz="0" w:space="0" w:color="auto"/>
        <w:right w:val="none" w:sz="0" w:space="0" w:color="auto"/>
      </w:divBdr>
    </w:div>
    <w:div w:id="697900986">
      <w:bodyDiv w:val="1"/>
      <w:marLeft w:val="0"/>
      <w:marRight w:val="0"/>
      <w:marTop w:val="0"/>
      <w:marBottom w:val="0"/>
      <w:divBdr>
        <w:top w:val="none" w:sz="0" w:space="0" w:color="auto"/>
        <w:left w:val="none" w:sz="0" w:space="0" w:color="auto"/>
        <w:bottom w:val="none" w:sz="0" w:space="0" w:color="auto"/>
        <w:right w:val="none" w:sz="0" w:space="0" w:color="auto"/>
      </w:divBdr>
    </w:div>
    <w:div w:id="744692552">
      <w:bodyDiv w:val="1"/>
      <w:marLeft w:val="0"/>
      <w:marRight w:val="0"/>
      <w:marTop w:val="0"/>
      <w:marBottom w:val="0"/>
      <w:divBdr>
        <w:top w:val="none" w:sz="0" w:space="0" w:color="auto"/>
        <w:left w:val="none" w:sz="0" w:space="0" w:color="auto"/>
        <w:bottom w:val="none" w:sz="0" w:space="0" w:color="auto"/>
        <w:right w:val="none" w:sz="0" w:space="0" w:color="auto"/>
      </w:divBdr>
    </w:div>
    <w:div w:id="749039921">
      <w:bodyDiv w:val="1"/>
      <w:marLeft w:val="0"/>
      <w:marRight w:val="0"/>
      <w:marTop w:val="0"/>
      <w:marBottom w:val="0"/>
      <w:divBdr>
        <w:top w:val="none" w:sz="0" w:space="0" w:color="auto"/>
        <w:left w:val="none" w:sz="0" w:space="0" w:color="auto"/>
        <w:bottom w:val="none" w:sz="0" w:space="0" w:color="auto"/>
        <w:right w:val="none" w:sz="0" w:space="0" w:color="auto"/>
      </w:divBdr>
    </w:div>
    <w:div w:id="790976969">
      <w:bodyDiv w:val="1"/>
      <w:marLeft w:val="0"/>
      <w:marRight w:val="0"/>
      <w:marTop w:val="0"/>
      <w:marBottom w:val="0"/>
      <w:divBdr>
        <w:top w:val="none" w:sz="0" w:space="0" w:color="auto"/>
        <w:left w:val="none" w:sz="0" w:space="0" w:color="auto"/>
        <w:bottom w:val="none" w:sz="0" w:space="0" w:color="auto"/>
        <w:right w:val="none" w:sz="0" w:space="0" w:color="auto"/>
      </w:divBdr>
    </w:div>
    <w:div w:id="803890754">
      <w:bodyDiv w:val="1"/>
      <w:marLeft w:val="0"/>
      <w:marRight w:val="0"/>
      <w:marTop w:val="0"/>
      <w:marBottom w:val="0"/>
      <w:divBdr>
        <w:top w:val="none" w:sz="0" w:space="0" w:color="auto"/>
        <w:left w:val="none" w:sz="0" w:space="0" w:color="auto"/>
        <w:bottom w:val="none" w:sz="0" w:space="0" w:color="auto"/>
        <w:right w:val="none" w:sz="0" w:space="0" w:color="auto"/>
      </w:divBdr>
    </w:div>
    <w:div w:id="813719687">
      <w:bodyDiv w:val="1"/>
      <w:marLeft w:val="0"/>
      <w:marRight w:val="0"/>
      <w:marTop w:val="0"/>
      <w:marBottom w:val="0"/>
      <w:divBdr>
        <w:top w:val="none" w:sz="0" w:space="0" w:color="auto"/>
        <w:left w:val="none" w:sz="0" w:space="0" w:color="auto"/>
        <w:bottom w:val="none" w:sz="0" w:space="0" w:color="auto"/>
        <w:right w:val="none" w:sz="0" w:space="0" w:color="auto"/>
      </w:divBdr>
    </w:div>
    <w:div w:id="826172285">
      <w:bodyDiv w:val="1"/>
      <w:marLeft w:val="0"/>
      <w:marRight w:val="0"/>
      <w:marTop w:val="0"/>
      <w:marBottom w:val="0"/>
      <w:divBdr>
        <w:top w:val="none" w:sz="0" w:space="0" w:color="auto"/>
        <w:left w:val="none" w:sz="0" w:space="0" w:color="auto"/>
        <w:bottom w:val="none" w:sz="0" w:space="0" w:color="auto"/>
        <w:right w:val="none" w:sz="0" w:space="0" w:color="auto"/>
      </w:divBdr>
    </w:div>
    <w:div w:id="839810823">
      <w:bodyDiv w:val="1"/>
      <w:marLeft w:val="0"/>
      <w:marRight w:val="0"/>
      <w:marTop w:val="0"/>
      <w:marBottom w:val="0"/>
      <w:divBdr>
        <w:top w:val="none" w:sz="0" w:space="0" w:color="auto"/>
        <w:left w:val="none" w:sz="0" w:space="0" w:color="auto"/>
        <w:bottom w:val="none" w:sz="0" w:space="0" w:color="auto"/>
        <w:right w:val="none" w:sz="0" w:space="0" w:color="auto"/>
      </w:divBdr>
    </w:div>
    <w:div w:id="842429282">
      <w:bodyDiv w:val="1"/>
      <w:marLeft w:val="0"/>
      <w:marRight w:val="0"/>
      <w:marTop w:val="0"/>
      <w:marBottom w:val="0"/>
      <w:divBdr>
        <w:top w:val="none" w:sz="0" w:space="0" w:color="auto"/>
        <w:left w:val="none" w:sz="0" w:space="0" w:color="auto"/>
        <w:bottom w:val="none" w:sz="0" w:space="0" w:color="auto"/>
        <w:right w:val="none" w:sz="0" w:space="0" w:color="auto"/>
      </w:divBdr>
    </w:div>
    <w:div w:id="864825006">
      <w:bodyDiv w:val="1"/>
      <w:marLeft w:val="0"/>
      <w:marRight w:val="0"/>
      <w:marTop w:val="0"/>
      <w:marBottom w:val="0"/>
      <w:divBdr>
        <w:top w:val="none" w:sz="0" w:space="0" w:color="auto"/>
        <w:left w:val="none" w:sz="0" w:space="0" w:color="auto"/>
        <w:bottom w:val="none" w:sz="0" w:space="0" w:color="auto"/>
        <w:right w:val="none" w:sz="0" w:space="0" w:color="auto"/>
      </w:divBdr>
    </w:div>
    <w:div w:id="946883997">
      <w:bodyDiv w:val="1"/>
      <w:marLeft w:val="0"/>
      <w:marRight w:val="0"/>
      <w:marTop w:val="0"/>
      <w:marBottom w:val="0"/>
      <w:divBdr>
        <w:top w:val="none" w:sz="0" w:space="0" w:color="auto"/>
        <w:left w:val="none" w:sz="0" w:space="0" w:color="auto"/>
        <w:bottom w:val="none" w:sz="0" w:space="0" w:color="auto"/>
        <w:right w:val="none" w:sz="0" w:space="0" w:color="auto"/>
      </w:divBdr>
    </w:div>
    <w:div w:id="955454182">
      <w:bodyDiv w:val="1"/>
      <w:marLeft w:val="0"/>
      <w:marRight w:val="0"/>
      <w:marTop w:val="0"/>
      <w:marBottom w:val="0"/>
      <w:divBdr>
        <w:top w:val="none" w:sz="0" w:space="0" w:color="auto"/>
        <w:left w:val="none" w:sz="0" w:space="0" w:color="auto"/>
        <w:bottom w:val="none" w:sz="0" w:space="0" w:color="auto"/>
        <w:right w:val="none" w:sz="0" w:space="0" w:color="auto"/>
      </w:divBdr>
    </w:div>
    <w:div w:id="966011503">
      <w:bodyDiv w:val="1"/>
      <w:marLeft w:val="0"/>
      <w:marRight w:val="0"/>
      <w:marTop w:val="0"/>
      <w:marBottom w:val="0"/>
      <w:divBdr>
        <w:top w:val="none" w:sz="0" w:space="0" w:color="auto"/>
        <w:left w:val="none" w:sz="0" w:space="0" w:color="auto"/>
        <w:bottom w:val="none" w:sz="0" w:space="0" w:color="auto"/>
        <w:right w:val="none" w:sz="0" w:space="0" w:color="auto"/>
      </w:divBdr>
    </w:div>
    <w:div w:id="970135266">
      <w:bodyDiv w:val="1"/>
      <w:marLeft w:val="0"/>
      <w:marRight w:val="0"/>
      <w:marTop w:val="0"/>
      <w:marBottom w:val="0"/>
      <w:divBdr>
        <w:top w:val="none" w:sz="0" w:space="0" w:color="auto"/>
        <w:left w:val="none" w:sz="0" w:space="0" w:color="auto"/>
        <w:bottom w:val="none" w:sz="0" w:space="0" w:color="auto"/>
        <w:right w:val="none" w:sz="0" w:space="0" w:color="auto"/>
      </w:divBdr>
    </w:div>
    <w:div w:id="995232384">
      <w:bodyDiv w:val="1"/>
      <w:marLeft w:val="0"/>
      <w:marRight w:val="0"/>
      <w:marTop w:val="0"/>
      <w:marBottom w:val="0"/>
      <w:divBdr>
        <w:top w:val="none" w:sz="0" w:space="0" w:color="auto"/>
        <w:left w:val="none" w:sz="0" w:space="0" w:color="auto"/>
        <w:bottom w:val="none" w:sz="0" w:space="0" w:color="auto"/>
        <w:right w:val="none" w:sz="0" w:space="0" w:color="auto"/>
      </w:divBdr>
    </w:div>
    <w:div w:id="1089931569">
      <w:bodyDiv w:val="1"/>
      <w:marLeft w:val="0"/>
      <w:marRight w:val="0"/>
      <w:marTop w:val="0"/>
      <w:marBottom w:val="0"/>
      <w:divBdr>
        <w:top w:val="none" w:sz="0" w:space="0" w:color="auto"/>
        <w:left w:val="none" w:sz="0" w:space="0" w:color="auto"/>
        <w:bottom w:val="none" w:sz="0" w:space="0" w:color="auto"/>
        <w:right w:val="none" w:sz="0" w:space="0" w:color="auto"/>
      </w:divBdr>
    </w:div>
    <w:div w:id="1119375986">
      <w:bodyDiv w:val="1"/>
      <w:marLeft w:val="0"/>
      <w:marRight w:val="0"/>
      <w:marTop w:val="0"/>
      <w:marBottom w:val="0"/>
      <w:divBdr>
        <w:top w:val="none" w:sz="0" w:space="0" w:color="auto"/>
        <w:left w:val="none" w:sz="0" w:space="0" w:color="auto"/>
        <w:bottom w:val="none" w:sz="0" w:space="0" w:color="auto"/>
        <w:right w:val="none" w:sz="0" w:space="0" w:color="auto"/>
      </w:divBdr>
    </w:div>
    <w:div w:id="1167746679">
      <w:bodyDiv w:val="1"/>
      <w:marLeft w:val="0"/>
      <w:marRight w:val="0"/>
      <w:marTop w:val="0"/>
      <w:marBottom w:val="0"/>
      <w:divBdr>
        <w:top w:val="none" w:sz="0" w:space="0" w:color="auto"/>
        <w:left w:val="none" w:sz="0" w:space="0" w:color="auto"/>
        <w:bottom w:val="none" w:sz="0" w:space="0" w:color="auto"/>
        <w:right w:val="none" w:sz="0" w:space="0" w:color="auto"/>
      </w:divBdr>
    </w:div>
    <w:div w:id="1192258547">
      <w:bodyDiv w:val="1"/>
      <w:marLeft w:val="0"/>
      <w:marRight w:val="0"/>
      <w:marTop w:val="0"/>
      <w:marBottom w:val="0"/>
      <w:divBdr>
        <w:top w:val="none" w:sz="0" w:space="0" w:color="auto"/>
        <w:left w:val="none" w:sz="0" w:space="0" w:color="auto"/>
        <w:bottom w:val="none" w:sz="0" w:space="0" w:color="auto"/>
        <w:right w:val="none" w:sz="0" w:space="0" w:color="auto"/>
      </w:divBdr>
    </w:div>
    <w:div w:id="1197084381">
      <w:bodyDiv w:val="1"/>
      <w:marLeft w:val="0"/>
      <w:marRight w:val="0"/>
      <w:marTop w:val="0"/>
      <w:marBottom w:val="0"/>
      <w:divBdr>
        <w:top w:val="none" w:sz="0" w:space="0" w:color="auto"/>
        <w:left w:val="none" w:sz="0" w:space="0" w:color="auto"/>
        <w:bottom w:val="none" w:sz="0" w:space="0" w:color="auto"/>
        <w:right w:val="none" w:sz="0" w:space="0" w:color="auto"/>
      </w:divBdr>
    </w:div>
    <w:div w:id="1208831440">
      <w:bodyDiv w:val="1"/>
      <w:marLeft w:val="0"/>
      <w:marRight w:val="0"/>
      <w:marTop w:val="0"/>
      <w:marBottom w:val="0"/>
      <w:divBdr>
        <w:top w:val="none" w:sz="0" w:space="0" w:color="auto"/>
        <w:left w:val="none" w:sz="0" w:space="0" w:color="auto"/>
        <w:bottom w:val="none" w:sz="0" w:space="0" w:color="auto"/>
        <w:right w:val="none" w:sz="0" w:space="0" w:color="auto"/>
      </w:divBdr>
      <w:divsChild>
        <w:div w:id="1346400320">
          <w:marLeft w:val="0"/>
          <w:marRight w:val="0"/>
          <w:marTop w:val="0"/>
          <w:marBottom w:val="0"/>
          <w:divBdr>
            <w:top w:val="none" w:sz="0" w:space="0" w:color="auto"/>
            <w:left w:val="none" w:sz="0" w:space="0" w:color="auto"/>
            <w:bottom w:val="none" w:sz="0" w:space="0" w:color="auto"/>
            <w:right w:val="none" w:sz="0" w:space="0" w:color="auto"/>
          </w:divBdr>
          <w:divsChild>
            <w:div w:id="121307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71551">
      <w:bodyDiv w:val="1"/>
      <w:marLeft w:val="0"/>
      <w:marRight w:val="0"/>
      <w:marTop w:val="0"/>
      <w:marBottom w:val="0"/>
      <w:divBdr>
        <w:top w:val="none" w:sz="0" w:space="0" w:color="auto"/>
        <w:left w:val="none" w:sz="0" w:space="0" w:color="auto"/>
        <w:bottom w:val="none" w:sz="0" w:space="0" w:color="auto"/>
        <w:right w:val="none" w:sz="0" w:space="0" w:color="auto"/>
      </w:divBdr>
    </w:div>
    <w:div w:id="1234320063">
      <w:bodyDiv w:val="1"/>
      <w:marLeft w:val="0"/>
      <w:marRight w:val="0"/>
      <w:marTop w:val="0"/>
      <w:marBottom w:val="0"/>
      <w:divBdr>
        <w:top w:val="none" w:sz="0" w:space="0" w:color="auto"/>
        <w:left w:val="none" w:sz="0" w:space="0" w:color="auto"/>
        <w:bottom w:val="none" w:sz="0" w:space="0" w:color="auto"/>
        <w:right w:val="none" w:sz="0" w:space="0" w:color="auto"/>
      </w:divBdr>
    </w:div>
    <w:div w:id="1248230219">
      <w:bodyDiv w:val="1"/>
      <w:marLeft w:val="0"/>
      <w:marRight w:val="0"/>
      <w:marTop w:val="0"/>
      <w:marBottom w:val="0"/>
      <w:divBdr>
        <w:top w:val="none" w:sz="0" w:space="0" w:color="auto"/>
        <w:left w:val="none" w:sz="0" w:space="0" w:color="auto"/>
        <w:bottom w:val="none" w:sz="0" w:space="0" w:color="auto"/>
        <w:right w:val="none" w:sz="0" w:space="0" w:color="auto"/>
      </w:divBdr>
    </w:div>
    <w:div w:id="1275210535">
      <w:bodyDiv w:val="1"/>
      <w:marLeft w:val="0"/>
      <w:marRight w:val="0"/>
      <w:marTop w:val="0"/>
      <w:marBottom w:val="0"/>
      <w:divBdr>
        <w:top w:val="none" w:sz="0" w:space="0" w:color="auto"/>
        <w:left w:val="none" w:sz="0" w:space="0" w:color="auto"/>
        <w:bottom w:val="none" w:sz="0" w:space="0" w:color="auto"/>
        <w:right w:val="none" w:sz="0" w:space="0" w:color="auto"/>
      </w:divBdr>
    </w:div>
    <w:div w:id="1280138855">
      <w:bodyDiv w:val="1"/>
      <w:marLeft w:val="0"/>
      <w:marRight w:val="0"/>
      <w:marTop w:val="0"/>
      <w:marBottom w:val="0"/>
      <w:divBdr>
        <w:top w:val="none" w:sz="0" w:space="0" w:color="auto"/>
        <w:left w:val="none" w:sz="0" w:space="0" w:color="auto"/>
        <w:bottom w:val="none" w:sz="0" w:space="0" w:color="auto"/>
        <w:right w:val="none" w:sz="0" w:space="0" w:color="auto"/>
      </w:divBdr>
    </w:div>
    <w:div w:id="1300377774">
      <w:bodyDiv w:val="1"/>
      <w:marLeft w:val="0"/>
      <w:marRight w:val="0"/>
      <w:marTop w:val="0"/>
      <w:marBottom w:val="0"/>
      <w:divBdr>
        <w:top w:val="none" w:sz="0" w:space="0" w:color="auto"/>
        <w:left w:val="none" w:sz="0" w:space="0" w:color="auto"/>
        <w:bottom w:val="none" w:sz="0" w:space="0" w:color="auto"/>
        <w:right w:val="none" w:sz="0" w:space="0" w:color="auto"/>
      </w:divBdr>
    </w:div>
    <w:div w:id="1322081761">
      <w:bodyDiv w:val="1"/>
      <w:marLeft w:val="0"/>
      <w:marRight w:val="0"/>
      <w:marTop w:val="0"/>
      <w:marBottom w:val="0"/>
      <w:divBdr>
        <w:top w:val="none" w:sz="0" w:space="0" w:color="auto"/>
        <w:left w:val="none" w:sz="0" w:space="0" w:color="auto"/>
        <w:bottom w:val="none" w:sz="0" w:space="0" w:color="auto"/>
        <w:right w:val="none" w:sz="0" w:space="0" w:color="auto"/>
      </w:divBdr>
    </w:div>
    <w:div w:id="1347247942">
      <w:bodyDiv w:val="1"/>
      <w:marLeft w:val="0"/>
      <w:marRight w:val="0"/>
      <w:marTop w:val="0"/>
      <w:marBottom w:val="0"/>
      <w:divBdr>
        <w:top w:val="none" w:sz="0" w:space="0" w:color="auto"/>
        <w:left w:val="none" w:sz="0" w:space="0" w:color="auto"/>
        <w:bottom w:val="none" w:sz="0" w:space="0" w:color="auto"/>
        <w:right w:val="none" w:sz="0" w:space="0" w:color="auto"/>
      </w:divBdr>
    </w:div>
    <w:div w:id="1396316406">
      <w:bodyDiv w:val="1"/>
      <w:marLeft w:val="0"/>
      <w:marRight w:val="0"/>
      <w:marTop w:val="0"/>
      <w:marBottom w:val="0"/>
      <w:divBdr>
        <w:top w:val="none" w:sz="0" w:space="0" w:color="auto"/>
        <w:left w:val="none" w:sz="0" w:space="0" w:color="auto"/>
        <w:bottom w:val="none" w:sz="0" w:space="0" w:color="auto"/>
        <w:right w:val="none" w:sz="0" w:space="0" w:color="auto"/>
      </w:divBdr>
    </w:div>
    <w:div w:id="1419059678">
      <w:bodyDiv w:val="1"/>
      <w:marLeft w:val="0"/>
      <w:marRight w:val="0"/>
      <w:marTop w:val="0"/>
      <w:marBottom w:val="0"/>
      <w:divBdr>
        <w:top w:val="none" w:sz="0" w:space="0" w:color="auto"/>
        <w:left w:val="none" w:sz="0" w:space="0" w:color="auto"/>
        <w:bottom w:val="none" w:sz="0" w:space="0" w:color="auto"/>
        <w:right w:val="none" w:sz="0" w:space="0" w:color="auto"/>
      </w:divBdr>
    </w:div>
    <w:div w:id="1459374785">
      <w:bodyDiv w:val="1"/>
      <w:marLeft w:val="0"/>
      <w:marRight w:val="0"/>
      <w:marTop w:val="0"/>
      <w:marBottom w:val="0"/>
      <w:divBdr>
        <w:top w:val="none" w:sz="0" w:space="0" w:color="auto"/>
        <w:left w:val="none" w:sz="0" w:space="0" w:color="auto"/>
        <w:bottom w:val="none" w:sz="0" w:space="0" w:color="auto"/>
        <w:right w:val="none" w:sz="0" w:space="0" w:color="auto"/>
      </w:divBdr>
    </w:div>
    <w:div w:id="1459881822">
      <w:bodyDiv w:val="1"/>
      <w:marLeft w:val="0"/>
      <w:marRight w:val="0"/>
      <w:marTop w:val="0"/>
      <w:marBottom w:val="0"/>
      <w:divBdr>
        <w:top w:val="none" w:sz="0" w:space="0" w:color="auto"/>
        <w:left w:val="none" w:sz="0" w:space="0" w:color="auto"/>
        <w:bottom w:val="none" w:sz="0" w:space="0" w:color="auto"/>
        <w:right w:val="none" w:sz="0" w:space="0" w:color="auto"/>
      </w:divBdr>
    </w:div>
    <w:div w:id="1466896703">
      <w:bodyDiv w:val="1"/>
      <w:marLeft w:val="0"/>
      <w:marRight w:val="0"/>
      <w:marTop w:val="0"/>
      <w:marBottom w:val="0"/>
      <w:divBdr>
        <w:top w:val="none" w:sz="0" w:space="0" w:color="auto"/>
        <w:left w:val="none" w:sz="0" w:space="0" w:color="auto"/>
        <w:bottom w:val="none" w:sz="0" w:space="0" w:color="auto"/>
        <w:right w:val="none" w:sz="0" w:space="0" w:color="auto"/>
      </w:divBdr>
    </w:div>
    <w:div w:id="1471900956">
      <w:bodyDiv w:val="1"/>
      <w:marLeft w:val="0"/>
      <w:marRight w:val="0"/>
      <w:marTop w:val="0"/>
      <w:marBottom w:val="0"/>
      <w:divBdr>
        <w:top w:val="none" w:sz="0" w:space="0" w:color="auto"/>
        <w:left w:val="none" w:sz="0" w:space="0" w:color="auto"/>
        <w:bottom w:val="none" w:sz="0" w:space="0" w:color="auto"/>
        <w:right w:val="none" w:sz="0" w:space="0" w:color="auto"/>
      </w:divBdr>
    </w:div>
    <w:div w:id="1476337766">
      <w:bodyDiv w:val="1"/>
      <w:marLeft w:val="0"/>
      <w:marRight w:val="0"/>
      <w:marTop w:val="0"/>
      <w:marBottom w:val="0"/>
      <w:divBdr>
        <w:top w:val="none" w:sz="0" w:space="0" w:color="auto"/>
        <w:left w:val="none" w:sz="0" w:space="0" w:color="auto"/>
        <w:bottom w:val="none" w:sz="0" w:space="0" w:color="auto"/>
        <w:right w:val="none" w:sz="0" w:space="0" w:color="auto"/>
      </w:divBdr>
    </w:div>
    <w:div w:id="1486780141">
      <w:bodyDiv w:val="1"/>
      <w:marLeft w:val="0"/>
      <w:marRight w:val="0"/>
      <w:marTop w:val="0"/>
      <w:marBottom w:val="0"/>
      <w:divBdr>
        <w:top w:val="none" w:sz="0" w:space="0" w:color="auto"/>
        <w:left w:val="none" w:sz="0" w:space="0" w:color="auto"/>
        <w:bottom w:val="none" w:sz="0" w:space="0" w:color="auto"/>
        <w:right w:val="none" w:sz="0" w:space="0" w:color="auto"/>
      </w:divBdr>
    </w:div>
    <w:div w:id="1500193797">
      <w:bodyDiv w:val="1"/>
      <w:marLeft w:val="0"/>
      <w:marRight w:val="0"/>
      <w:marTop w:val="0"/>
      <w:marBottom w:val="0"/>
      <w:divBdr>
        <w:top w:val="none" w:sz="0" w:space="0" w:color="auto"/>
        <w:left w:val="none" w:sz="0" w:space="0" w:color="auto"/>
        <w:bottom w:val="none" w:sz="0" w:space="0" w:color="auto"/>
        <w:right w:val="none" w:sz="0" w:space="0" w:color="auto"/>
      </w:divBdr>
    </w:div>
    <w:div w:id="1515218379">
      <w:bodyDiv w:val="1"/>
      <w:marLeft w:val="0"/>
      <w:marRight w:val="0"/>
      <w:marTop w:val="0"/>
      <w:marBottom w:val="0"/>
      <w:divBdr>
        <w:top w:val="none" w:sz="0" w:space="0" w:color="auto"/>
        <w:left w:val="none" w:sz="0" w:space="0" w:color="auto"/>
        <w:bottom w:val="none" w:sz="0" w:space="0" w:color="auto"/>
        <w:right w:val="none" w:sz="0" w:space="0" w:color="auto"/>
      </w:divBdr>
    </w:div>
    <w:div w:id="1533612174">
      <w:bodyDiv w:val="1"/>
      <w:marLeft w:val="0"/>
      <w:marRight w:val="0"/>
      <w:marTop w:val="0"/>
      <w:marBottom w:val="0"/>
      <w:divBdr>
        <w:top w:val="none" w:sz="0" w:space="0" w:color="auto"/>
        <w:left w:val="none" w:sz="0" w:space="0" w:color="auto"/>
        <w:bottom w:val="none" w:sz="0" w:space="0" w:color="auto"/>
        <w:right w:val="none" w:sz="0" w:space="0" w:color="auto"/>
      </w:divBdr>
    </w:div>
    <w:div w:id="1577395433">
      <w:bodyDiv w:val="1"/>
      <w:marLeft w:val="0"/>
      <w:marRight w:val="0"/>
      <w:marTop w:val="0"/>
      <w:marBottom w:val="0"/>
      <w:divBdr>
        <w:top w:val="none" w:sz="0" w:space="0" w:color="auto"/>
        <w:left w:val="none" w:sz="0" w:space="0" w:color="auto"/>
        <w:bottom w:val="none" w:sz="0" w:space="0" w:color="auto"/>
        <w:right w:val="none" w:sz="0" w:space="0" w:color="auto"/>
      </w:divBdr>
    </w:div>
    <w:div w:id="1608271617">
      <w:bodyDiv w:val="1"/>
      <w:marLeft w:val="0"/>
      <w:marRight w:val="0"/>
      <w:marTop w:val="0"/>
      <w:marBottom w:val="0"/>
      <w:divBdr>
        <w:top w:val="none" w:sz="0" w:space="0" w:color="auto"/>
        <w:left w:val="none" w:sz="0" w:space="0" w:color="auto"/>
        <w:bottom w:val="none" w:sz="0" w:space="0" w:color="auto"/>
        <w:right w:val="none" w:sz="0" w:space="0" w:color="auto"/>
      </w:divBdr>
    </w:div>
    <w:div w:id="1662848948">
      <w:bodyDiv w:val="1"/>
      <w:marLeft w:val="0"/>
      <w:marRight w:val="0"/>
      <w:marTop w:val="0"/>
      <w:marBottom w:val="0"/>
      <w:divBdr>
        <w:top w:val="none" w:sz="0" w:space="0" w:color="auto"/>
        <w:left w:val="none" w:sz="0" w:space="0" w:color="auto"/>
        <w:bottom w:val="none" w:sz="0" w:space="0" w:color="auto"/>
        <w:right w:val="none" w:sz="0" w:space="0" w:color="auto"/>
      </w:divBdr>
    </w:div>
    <w:div w:id="1667660660">
      <w:bodyDiv w:val="1"/>
      <w:marLeft w:val="0"/>
      <w:marRight w:val="0"/>
      <w:marTop w:val="0"/>
      <w:marBottom w:val="0"/>
      <w:divBdr>
        <w:top w:val="none" w:sz="0" w:space="0" w:color="auto"/>
        <w:left w:val="none" w:sz="0" w:space="0" w:color="auto"/>
        <w:bottom w:val="none" w:sz="0" w:space="0" w:color="auto"/>
        <w:right w:val="none" w:sz="0" w:space="0" w:color="auto"/>
      </w:divBdr>
    </w:div>
    <w:div w:id="1810511625">
      <w:bodyDiv w:val="1"/>
      <w:marLeft w:val="0"/>
      <w:marRight w:val="0"/>
      <w:marTop w:val="0"/>
      <w:marBottom w:val="0"/>
      <w:divBdr>
        <w:top w:val="none" w:sz="0" w:space="0" w:color="auto"/>
        <w:left w:val="none" w:sz="0" w:space="0" w:color="auto"/>
        <w:bottom w:val="none" w:sz="0" w:space="0" w:color="auto"/>
        <w:right w:val="none" w:sz="0" w:space="0" w:color="auto"/>
      </w:divBdr>
    </w:div>
    <w:div w:id="1867476772">
      <w:bodyDiv w:val="1"/>
      <w:marLeft w:val="0"/>
      <w:marRight w:val="0"/>
      <w:marTop w:val="0"/>
      <w:marBottom w:val="0"/>
      <w:divBdr>
        <w:top w:val="none" w:sz="0" w:space="0" w:color="auto"/>
        <w:left w:val="none" w:sz="0" w:space="0" w:color="auto"/>
        <w:bottom w:val="none" w:sz="0" w:space="0" w:color="auto"/>
        <w:right w:val="none" w:sz="0" w:space="0" w:color="auto"/>
      </w:divBdr>
    </w:div>
    <w:div w:id="1871382696">
      <w:bodyDiv w:val="1"/>
      <w:marLeft w:val="0"/>
      <w:marRight w:val="0"/>
      <w:marTop w:val="0"/>
      <w:marBottom w:val="0"/>
      <w:divBdr>
        <w:top w:val="none" w:sz="0" w:space="0" w:color="auto"/>
        <w:left w:val="none" w:sz="0" w:space="0" w:color="auto"/>
        <w:bottom w:val="none" w:sz="0" w:space="0" w:color="auto"/>
        <w:right w:val="none" w:sz="0" w:space="0" w:color="auto"/>
      </w:divBdr>
    </w:div>
    <w:div w:id="1915776799">
      <w:bodyDiv w:val="1"/>
      <w:marLeft w:val="0"/>
      <w:marRight w:val="0"/>
      <w:marTop w:val="0"/>
      <w:marBottom w:val="0"/>
      <w:divBdr>
        <w:top w:val="none" w:sz="0" w:space="0" w:color="auto"/>
        <w:left w:val="none" w:sz="0" w:space="0" w:color="auto"/>
        <w:bottom w:val="none" w:sz="0" w:space="0" w:color="auto"/>
        <w:right w:val="none" w:sz="0" w:space="0" w:color="auto"/>
      </w:divBdr>
    </w:div>
    <w:div w:id="1925800622">
      <w:bodyDiv w:val="1"/>
      <w:marLeft w:val="0"/>
      <w:marRight w:val="0"/>
      <w:marTop w:val="0"/>
      <w:marBottom w:val="0"/>
      <w:divBdr>
        <w:top w:val="none" w:sz="0" w:space="0" w:color="auto"/>
        <w:left w:val="none" w:sz="0" w:space="0" w:color="auto"/>
        <w:bottom w:val="none" w:sz="0" w:space="0" w:color="auto"/>
        <w:right w:val="none" w:sz="0" w:space="0" w:color="auto"/>
      </w:divBdr>
    </w:div>
    <w:div w:id="1934435003">
      <w:bodyDiv w:val="1"/>
      <w:marLeft w:val="0"/>
      <w:marRight w:val="0"/>
      <w:marTop w:val="0"/>
      <w:marBottom w:val="0"/>
      <w:divBdr>
        <w:top w:val="none" w:sz="0" w:space="0" w:color="auto"/>
        <w:left w:val="none" w:sz="0" w:space="0" w:color="auto"/>
        <w:bottom w:val="none" w:sz="0" w:space="0" w:color="auto"/>
        <w:right w:val="none" w:sz="0" w:space="0" w:color="auto"/>
      </w:divBdr>
    </w:div>
    <w:div w:id="1943685634">
      <w:bodyDiv w:val="1"/>
      <w:marLeft w:val="0"/>
      <w:marRight w:val="0"/>
      <w:marTop w:val="0"/>
      <w:marBottom w:val="0"/>
      <w:divBdr>
        <w:top w:val="none" w:sz="0" w:space="0" w:color="auto"/>
        <w:left w:val="none" w:sz="0" w:space="0" w:color="auto"/>
        <w:bottom w:val="none" w:sz="0" w:space="0" w:color="auto"/>
        <w:right w:val="none" w:sz="0" w:space="0" w:color="auto"/>
      </w:divBdr>
    </w:div>
    <w:div w:id="1945261722">
      <w:bodyDiv w:val="1"/>
      <w:marLeft w:val="0"/>
      <w:marRight w:val="0"/>
      <w:marTop w:val="0"/>
      <w:marBottom w:val="0"/>
      <w:divBdr>
        <w:top w:val="none" w:sz="0" w:space="0" w:color="auto"/>
        <w:left w:val="none" w:sz="0" w:space="0" w:color="auto"/>
        <w:bottom w:val="none" w:sz="0" w:space="0" w:color="auto"/>
        <w:right w:val="none" w:sz="0" w:space="0" w:color="auto"/>
      </w:divBdr>
    </w:div>
    <w:div w:id="1945988817">
      <w:bodyDiv w:val="1"/>
      <w:marLeft w:val="0"/>
      <w:marRight w:val="0"/>
      <w:marTop w:val="0"/>
      <w:marBottom w:val="0"/>
      <w:divBdr>
        <w:top w:val="none" w:sz="0" w:space="0" w:color="auto"/>
        <w:left w:val="none" w:sz="0" w:space="0" w:color="auto"/>
        <w:bottom w:val="none" w:sz="0" w:space="0" w:color="auto"/>
        <w:right w:val="none" w:sz="0" w:space="0" w:color="auto"/>
      </w:divBdr>
      <w:divsChild>
        <w:div w:id="1921674527">
          <w:marLeft w:val="0"/>
          <w:marRight w:val="0"/>
          <w:marTop w:val="0"/>
          <w:marBottom w:val="0"/>
          <w:divBdr>
            <w:top w:val="none" w:sz="0" w:space="0" w:color="auto"/>
            <w:left w:val="none" w:sz="0" w:space="0" w:color="auto"/>
            <w:bottom w:val="none" w:sz="0" w:space="0" w:color="auto"/>
            <w:right w:val="none" w:sz="0" w:space="0" w:color="auto"/>
          </w:divBdr>
          <w:divsChild>
            <w:div w:id="11985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4978">
      <w:bodyDiv w:val="1"/>
      <w:marLeft w:val="0"/>
      <w:marRight w:val="0"/>
      <w:marTop w:val="0"/>
      <w:marBottom w:val="0"/>
      <w:divBdr>
        <w:top w:val="none" w:sz="0" w:space="0" w:color="auto"/>
        <w:left w:val="none" w:sz="0" w:space="0" w:color="auto"/>
        <w:bottom w:val="none" w:sz="0" w:space="0" w:color="auto"/>
        <w:right w:val="none" w:sz="0" w:space="0" w:color="auto"/>
      </w:divBdr>
    </w:div>
    <w:div w:id="2077775070">
      <w:bodyDiv w:val="1"/>
      <w:marLeft w:val="0"/>
      <w:marRight w:val="0"/>
      <w:marTop w:val="0"/>
      <w:marBottom w:val="0"/>
      <w:divBdr>
        <w:top w:val="none" w:sz="0" w:space="0" w:color="auto"/>
        <w:left w:val="none" w:sz="0" w:space="0" w:color="auto"/>
        <w:bottom w:val="none" w:sz="0" w:space="0" w:color="auto"/>
        <w:right w:val="none" w:sz="0" w:space="0" w:color="auto"/>
      </w:divBdr>
    </w:div>
    <w:div w:id="2109613101">
      <w:bodyDiv w:val="1"/>
      <w:marLeft w:val="0"/>
      <w:marRight w:val="0"/>
      <w:marTop w:val="0"/>
      <w:marBottom w:val="0"/>
      <w:divBdr>
        <w:top w:val="none" w:sz="0" w:space="0" w:color="auto"/>
        <w:left w:val="none" w:sz="0" w:space="0" w:color="auto"/>
        <w:bottom w:val="none" w:sz="0" w:space="0" w:color="auto"/>
        <w:right w:val="none" w:sz="0" w:space="0" w:color="auto"/>
      </w:divBdr>
    </w:div>
    <w:div w:id="2112117700">
      <w:bodyDiv w:val="1"/>
      <w:marLeft w:val="0"/>
      <w:marRight w:val="0"/>
      <w:marTop w:val="0"/>
      <w:marBottom w:val="0"/>
      <w:divBdr>
        <w:top w:val="none" w:sz="0" w:space="0" w:color="auto"/>
        <w:left w:val="none" w:sz="0" w:space="0" w:color="auto"/>
        <w:bottom w:val="none" w:sz="0" w:space="0" w:color="auto"/>
        <w:right w:val="none" w:sz="0" w:space="0" w:color="auto"/>
      </w:divBdr>
    </w:div>
    <w:div w:id="2134515339">
      <w:bodyDiv w:val="1"/>
      <w:marLeft w:val="0"/>
      <w:marRight w:val="0"/>
      <w:marTop w:val="0"/>
      <w:marBottom w:val="0"/>
      <w:divBdr>
        <w:top w:val="none" w:sz="0" w:space="0" w:color="auto"/>
        <w:left w:val="none" w:sz="0" w:space="0" w:color="auto"/>
        <w:bottom w:val="none" w:sz="0" w:space="0" w:color="auto"/>
        <w:right w:val="none" w:sz="0" w:space="0" w:color="auto"/>
      </w:divBdr>
    </w:div>
    <w:div w:id="2142503348">
      <w:bodyDiv w:val="1"/>
      <w:marLeft w:val="0"/>
      <w:marRight w:val="0"/>
      <w:marTop w:val="0"/>
      <w:marBottom w:val="0"/>
      <w:divBdr>
        <w:top w:val="none" w:sz="0" w:space="0" w:color="auto"/>
        <w:left w:val="none" w:sz="0" w:space="0" w:color="auto"/>
        <w:bottom w:val="none" w:sz="0" w:space="0" w:color="auto"/>
        <w:right w:val="none" w:sz="0" w:space="0" w:color="auto"/>
      </w:divBdr>
      <w:divsChild>
        <w:div w:id="608511526">
          <w:marLeft w:val="0"/>
          <w:marRight w:val="0"/>
          <w:marTop w:val="0"/>
          <w:marBottom w:val="0"/>
          <w:divBdr>
            <w:top w:val="none" w:sz="0" w:space="0" w:color="auto"/>
            <w:left w:val="none" w:sz="0" w:space="0" w:color="auto"/>
            <w:bottom w:val="none" w:sz="0" w:space="0" w:color="auto"/>
            <w:right w:val="none" w:sz="0" w:space="0" w:color="auto"/>
          </w:divBdr>
          <w:divsChild>
            <w:div w:id="200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57/jel.20231683" TargetMode="External"/><Relationship Id="rId18" Type="http://schemas.openxmlformats.org/officeDocument/2006/relationships/hyperlink" Target="https://doi.org/10.1016/j.mattod.2024.09.007" TargetMode="External"/><Relationship Id="rId26" Type="http://schemas.openxmlformats.org/officeDocument/2006/relationships/hyperlink" Target="https://doi.org/10.3390/ma17174389" TargetMode="External"/><Relationship Id="rId39" Type="http://schemas.openxmlformats.org/officeDocument/2006/relationships/header" Target="header1.xml"/><Relationship Id="rId21" Type="http://schemas.openxmlformats.org/officeDocument/2006/relationships/hyperlink" Target="https://doi.org/10.4337/9781035324279.00015" TargetMode="External"/><Relationship Id="rId34" Type="http://schemas.openxmlformats.org/officeDocument/2006/relationships/hyperlink" Target="https://doi.org/10.31357/jtfe.v12i01.6107"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07/s10311-022-01435-8" TargetMode="External"/><Relationship Id="rId29" Type="http://schemas.openxmlformats.org/officeDocument/2006/relationships/hyperlink" Target="https://doi.org/10.5089/9798400267277.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oule.2021.05.008" TargetMode="External"/><Relationship Id="rId24" Type="http://schemas.openxmlformats.org/officeDocument/2006/relationships/hyperlink" Target="https://doi.org/10.1016/j.reseneeco.2022.101336" TargetMode="External"/><Relationship Id="rId32" Type="http://schemas.openxmlformats.org/officeDocument/2006/relationships/hyperlink" Target="https://doi.org/10.1093/isr/viaf010" TargetMode="External"/><Relationship Id="rId37" Type="http://schemas.openxmlformats.org/officeDocument/2006/relationships/hyperlink" Target="https://doi.org/10.1111/dpr.12720"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se.ac.uk/CFM/assets/pdf/CFM-Discussion-Papers-2024/CFMDP2024-33-Paper.pdf" TargetMode="External"/><Relationship Id="rId23" Type="http://schemas.openxmlformats.org/officeDocument/2006/relationships/hyperlink" Target="https://doi.org/10.1016/j.jpowsour.2023.233094" TargetMode="External"/><Relationship Id="rId28" Type="http://schemas.openxmlformats.org/officeDocument/2006/relationships/hyperlink" Target="https://doi.org/10.1093/jeea/jvad020" TargetMode="External"/><Relationship Id="rId36" Type="http://schemas.openxmlformats.org/officeDocument/2006/relationships/hyperlink" Target="https://doi.org/10.1007/s10644-025-09919-7" TargetMode="External"/><Relationship Id="rId10" Type="http://schemas.openxmlformats.org/officeDocument/2006/relationships/hyperlink" Target="https://doi.org/10.2139/ssrn.4578866" TargetMode="External"/><Relationship Id="rId19" Type="http://schemas.openxmlformats.org/officeDocument/2006/relationships/hyperlink" Target="https://doi.org/10.34659/eis.2025.94.3.945" TargetMode="External"/><Relationship Id="rId31" Type="http://schemas.openxmlformats.org/officeDocument/2006/relationships/hyperlink" Target="https://www.ecb.europa.eu//pub/pdf/scpops/ecb.op343~ab3e870d21.en.pdf"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ajse.academyjsekad.edu.ng/index.php/new-ajse/article/view/106" TargetMode="External"/><Relationship Id="rId14" Type="http://schemas.openxmlformats.org/officeDocument/2006/relationships/hyperlink" Target="https://www.bis.org/publ/bis_working_papers/bis_working_papers_1237.htm" TargetMode="External"/><Relationship Id="rId22" Type="http://schemas.openxmlformats.org/officeDocument/2006/relationships/hyperlink" Target="https://doi.org/10.1007/978-3-031-30533-7_1" TargetMode="External"/><Relationship Id="rId27" Type="http://schemas.openxmlformats.org/officeDocument/2006/relationships/hyperlink" Target="https://doi.org/10.1057/s41308-024-00256-9" TargetMode="External"/><Relationship Id="rId30" Type="http://schemas.openxmlformats.org/officeDocument/2006/relationships/hyperlink" Target="https://doi.org/10.1080/14693062.2025.2467961" TargetMode="External"/><Relationship Id="rId35" Type="http://schemas.openxmlformats.org/officeDocument/2006/relationships/hyperlink" Target="https://doi.org/10.17645/pag.8919" TargetMode="External"/><Relationship Id="rId43" Type="http://schemas.openxmlformats.org/officeDocument/2006/relationships/header" Target="header3.xml"/><Relationship Id="rId8" Type="http://schemas.openxmlformats.org/officeDocument/2006/relationships/hyperlink" Target="https://doi.org/10.1109/icmimt65123.2025.11092116" TargetMode="External"/><Relationship Id="rId3" Type="http://schemas.openxmlformats.org/officeDocument/2006/relationships/settings" Target="settings.xml"/><Relationship Id="rId12" Type="http://schemas.openxmlformats.org/officeDocument/2006/relationships/hyperlink" Target="https://doi.org/10.1016/j.euroecorev.2025.104983" TargetMode="External"/><Relationship Id="rId17" Type="http://schemas.openxmlformats.org/officeDocument/2006/relationships/hyperlink" Target="https://ideas.repec.org/p/new/wpaper/2504.html" TargetMode="External"/><Relationship Id="rId25" Type="http://schemas.openxmlformats.org/officeDocument/2006/relationships/hyperlink" Target="https://doi.org/10.5547/01956574.44.1.fjaw" TargetMode="External"/><Relationship Id="rId33" Type="http://schemas.openxmlformats.org/officeDocument/2006/relationships/hyperlink" Target="https://doi.org/10.56556/jescae.v2i1.422" TargetMode="External"/><Relationship Id="rId38" Type="http://schemas.openxmlformats.org/officeDocument/2006/relationships/hyperlink" Target="https://doi.org/10.1093/icc/dtad080" TargetMode="External"/><Relationship Id="rId46" Type="http://schemas.openxmlformats.org/officeDocument/2006/relationships/theme" Target="theme/theme1.xml"/><Relationship Id="rId20" Type="http://schemas.openxmlformats.org/officeDocument/2006/relationships/hyperlink" Target="https://www.ecb.europa.eu//press/economic-bulletin/focus/2024/html/ecb.ebbox202401_04~92ad3c032a.en.html"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4922</TotalTime>
  <Pages>15</Pages>
  <Words>6093</Words>
  <Characters>34732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1084</cp:lastModifiedBy>
  <cp:revision>38</cp:revision>
  <dcterms:created xsi:type="dcterms:W3CDTF">2025-12-08T18:51:00Z</dcterms:created>
  <dcterms:modified xsi:type="dcterms:W3CDTF">2025-12-23T06:46:00Z</dcterms:modified>
</cp:coreProperties>
</file>