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3182E0" w14:textId="77777777" w:rsidR="00364DED" w:rsidRDefault="00A70A1E">
      <w:pPr>
        <w:pStyle w:val="ListParagraph"/>
        <w:autoSpaceDE w:val="0"/>
        <w:autoSpaceDN w:val="0"/>
        <w:adjustRightInd w:val="0"/>
        <w:spacing w:after="0" w:line="360" w:lineRule="auto"/>
        <w:ind w:left="0"/>
        <w:jc w:val="center"/>
        <w:rPr>
          <w:rFonts w:ascii="Times New Roman" w:hAnsi="Times New Roman" w:cs="Times New Roman"/>
          <w:sz w:val="28"/>
          <w:szCs w:val="24"/>
          <w:rtl/>
        </w:rPr>
      </w:pPr>
      <w:r>
        <w:rPr>
          <w:rFonts w:ascii="Times New Roman" w:hAnsi="Times New Roman" w:cs="Times New Roman"/>
          <w:sz w:val="28"/>
          <w:szCs w:val="24"/>
        </w:rPr>
        <w:t>Mass spectrometric, thermodynamic studies using MNDO method and evaluation of the antibacterial and antifungal activities of</w:t>
      </w:r>
      <w:r>
        <w:rPr>
          <w:rFonts w:ascii="Times New Roman" w:hAnsi="Times New Roman" w:cs="Times New Roman"/>
          <w:i/>
          <w:iCs/>
          <w:sz w:val="28"/>
          <w:szCs w:val="24"/>
        </w:rPr>
        <w:t xml:space="preserve"> Bougainvillea spectabilis</w:t>
      </w:r>
      <w:r>
        <w:rPr>
          <w:rFonts w:ascii="Times New Roman" w:hAnsi="Times New Roman" w:cs="Times New Roman"/>
          <w:sz w:val="28"/>
          <w:szCs w:val="24"/>
        </w:rPr>
        <w:t xml:space="preserve"> extracts</w:t>
      </w:r>
    </w:p>
    <w:p w14:paraId="593C5F9B" w14:textId="77777777" w:rsidR="00364DED" w:rsidRDefault="00364DED">
      <w:pPr>
        <w:rPr>
          <w:rFonts w:ascii="Times New Roman" w:hAnsi="Times New Roman" w:cs="Times New Roman"/>
          <w:b/>
          <w:bCs/>
          <w:sz w:val="24"/>
        </w:rPr>
      </w:pPr>
    </w:p>
    <w:p w14:paraId="7C2CA4DB" w14:textId="77777777" w:rsidR="00364DED" w:rsidRDefault="00A70A1E">
      <w:pPr>
        <w:rPr>
          <w:rFonts w:ascii="Times New Roman" w:hAnsi="Times New Roman" w:cs="Times New Roman"/>
          <w:b/>
          <w:bCs/>
          <w:sz w:val="24"/>
          <w:rtl/>
          <w:lang w:bidi="ar-EG"/>
        </w:rPr>
      </w:pPr>
      <w:r>
        <w:rPr>
          <w:rFonts w:ascii="Times New Roman" w:hAnsi="Times New Roman" w:cs="Times New Roman"/>
          <w:b/>
          <w:bCs/>
          <w:sz w:val="24"/>
        </w:rPr>
        <w:t>Abstract</w:t>
      </w:r>
    </w:p>
    <w:p w14:paraId="57BD66CF" w14:textId="77777777" w:rsidR="00364DED" w:rsidRDefault="00A70A1E">
      <w:pPr>
        <w:spacing w:line="360" w:lineRule="auto"/>
        <w:jc w:val="both"/>
        <w:rPr>
          <w:rFonts w:ascii="Times New Roman" w:hAnsi="Times New Roman" w:cs="Times New Roman"/>
          <w:sz w:val="24"/>
          <w:szCs w:val="24"/>
        </w:rPr>
      </w:pPr>
      <w:r>
        <w:rPr>
          <w:rFonts w:ascii="Times New Roman" w:hAnsi="Times New Roman" w:cs="Times New Roman"/>
          <w:i/>
          <w:iCs/>
          <w:sz w:val="24"/>
        </w:rPr>
        <w:t xml:space="preserve">Bougainvillea spectabilis </w:t>
      </w:r>
      <w:r>
        <w:rPr>
          <w:rFonts w:ascii="Times New Roman" w:hAnsi="Times New Roman" w:cs="Times New Roman"/>
          <w:sz w:val="24"/>
        </w:rPr>
        <w:t xml:space="preserve">Willd. (Family </w:t>
      </w:r>
      <w:proofErr w:type="spellStart"/>
      <w:r>
        <w:rPr>
          <w:rFonts w:ascii="Times New Roman" w:hAnsi="Times New Roman" w:cs="Times New Roman"/>
          <w:sz w:val="24"/>
        </w:rPr>
        <w:t>Nyctaginaceae</w:t>
      </w:r>
      <w:proofErr w:type="spellEnd"/>
      <w:r>
        <w:rPr>
          <w:rFonts w:ascii="Times New Roman" w:hAnsi="Times New Roman" w:cs="Times New Roman"/>
          <w:sz w:val="24"/>
        </w:rPr>
        <w:t>) possesses several bioactive chemical components</w:t>
      </w:r>
      <w:r>
        <w:rPr>
          <w:rFonts w:ascii="Times New Roman" w:hAnsi="Times New Roman" w:cs="Times New Roman"/>
          <w:i/>
          <w:iCs/>
          <w:sz w:val="24"/>
        </w:rPr>
        <w:t xml:space="preserve">. </w:t>
      </w:r>
      <w:r>
        <w:rPr>
          <w:rFonts w:ascii="Times New Roman" w:hAnsi="Times New Roman" w:cs="Times New Roman"/>
          <w:sz w:val="24"/>
        </w:rPr>
        <w:t>Consequently, wood and bark portions were extracted using several solvents in the current investigation</w:t>
      </w:r>
      <w:r>
        <w:rPr>
          <w:rFonts w:ascii="Times New Roman" w:hAnsi="Times New Roman" w:cs="Times New Roman"/>
          <w:sz w:val="24"/>
          <w:szCs w:val="24"/>
        </w:rPr>
        <w:t xml:space="preserve">. In particular, the bark samples were extracted using methanol, acetone, and </w:t>
      </w:r>
      <w:r>
        <w:rPr>
          <w:rFonts w:ascii="Times New Roman" w:hAnsi="Times New Roman" w:cs="Times New Roman"/>
          <w:i/>
          <w:iCs/>
          <w:sz w:val="24"/>
          <w:szCs w:val="24"/>
        </w:rPr>
        <w:t>n</w:t>
      </w:r>
      <w:r>
        <w:rPr>
          <w:rFonts w:ascii="Times New Roman" w:hAnsi="Times New Roman" w:cs="Times New Roman"/>
          <w:sz w:val="24"/>
          <w:szCs w:val="24"/>
        </w:rPr>
        <w:t xml:space="preserve">-butanol; the essential oils (EO) from the wood samples were extracted using the hydro distillation process. The chemical compounds in each extract were identified by gas chromatography-mass spectrometry (GC-MS) with possible mass spectrometric investigations for the main compounds. The extracts were evaluated for their bioactivities against some plant pathogenic bacterial strains namely </w:t>
      </w:r>
      <w:r>
        <w:rPr>
          <w:rFonts w:ascii="Times New Roman" w:hAnsi="Times New Roman" w:cs="Times New Roman"/>
          <w:i/>
          <w:iCs/>
          <w:sz w:val="24"/>
          <w:szCs w:val="24"/>
        </w:rPr>
        <w:t>Agrobacterium tumefaciens</w:t>
      </w:r>
      <w:r>
        <w:rPr>
          <w:rFonts w:ascii="Times New Roman" w:hAnsi="Times New Roman" w:cs="Times New Roman"/>
          <w:sz w:val="24"/>
          <w:szCs w:val="24"/>
        </w:rPr>
        <w:t xml:space="preserve"> (MG706145), </w:t>
      </w:r>
      <w:proofErr w:type="spellStart"/>
      <w:r>
        <w:rPr>
          <w:rFonts w:ascii="Times New Roman" w:hAnsi="Times New Roman" w:cs="Times New Roman"/>
          <w:i/>
          <w:iCs/>
          <w:sz w:val="24"/>
          <w:szCs w:val="24"/>
        </w:rPr>
        <w:t>Ralstonia</w:t>
      </w:r>
      <w:proofErr w:type="spellEnd"/>
      <w:r>
        <w:rPr>
          <w:rFonts w:ascii="Times New Roman" w:hAnsi="Times New Roman" w:cs="Times New Roman"/>
          <w:i/>
          <w:iCs/>
          <w:sz w:val="24"/>
          <w:szCs w:val="24"/>
        </w:rPr>
        <w:t xml:space="preserve"> solanacearum</w:t>
      </w:r>
      <w:r>
        <w:rPr>
          <w:rFonts w:ascii="Times New Roman" w:hAnsi="Times New Roman" w:cs="Times New Roman"/>
          <w:sz w:val="24"/>
          <w:szCs w:val="24"/>
        </w:rPr>
        <w:t xml:space="preserve"> (GH425351), </w:t>
      </w:r>
      <w:r>
        <w:rPr>
          <w:rFonts w:ascii="Times New Roman" w:hAnsi="Times New Roman" w:cs="Times New Roman"/>
          <w:i/>
          <w:iCs/>
          <w:sz w:val="24"/>
          <w:szCs w:val="24"/>
        </w:rPr>
        <w:t xml:space="preserve">Erwinia </w:t>
      </w:r>
      <w:proofErr w:type="spellStart"/>
      <w:r>
        <w:rPr>
          <w:rFonts w:ascii="Times New Roman" w:hAnsi="Times New Roman" w:cs="Times New Roman"/>
          <w:i/>
          <w:iCs/>
          <w:sz w:val="24"/>
          <w:szCs w:val="24"/>
        </w:rPr>
        <w:t>amylovora</w:t>
      </w:r>
      <w:proofErr w:type="spellEnd"/>
      <w:r>
        <w:rPr>
          <w:rFonts w:ascii="Times New Roman" w:hAnsi="Times New Roman" w:cs="Times New Roman"/>
          <w:sz w:val="24"/>
          <w:szCs w:val="24"/>
        </w:rPr>
        <w:t xml:space="preserve"> (HG423347), </w:t>
      </w:r>
      <w:proofErr w:type="spellStart"/>
      <w:r>
        <w:rPr>
          <w:rFonts w:ascii="Times New Roman" w:hAnsi="Times New Roman" w:cs="Times New Roman"/>
          <w:i/>
          <w:iCs/>
          <w:sz w:val="24"/>
          <w:szCs w:val="24"/>
        </w:rPr>
        <w:t>Pectobacterium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carotovorum</w:t>
      </w:r>
      <w:proofErr w:type="spellEnd"/>
      <w:r>
        <w:rPr>
          <w:rFonts w:ascii="Times New Roman" w:hAnsi="Times New Roman" w:cs="Times New Roman"/>
          <w:sz w:val="24"/>
          <w:szCs w:val="24"/>
        </w:rPr>
        <w:t xml:space="preserve"> (HF674984), </w:t>
      </w:r>
      <w:r>
        <w:rPr>
          <w:rFonts w:ascii="Times New Roman" w:hAnsi="Times New Roman" w:cs="Times New Roman"/>
          <w:i/>
          <w:iCs/>
          <w:sz w:val="24"/>
          <w:szCs w:val="24"/>
        </w:rPr>
        <w:t xml:space="preserve">P. </w:t>
      </w:r>
      <w:proofErr w:type="spellStart"/>
      <w:r>
        <w:rPr>
          <w:rFonts w:ascii="Times New Roman" w:hAnsi="Times New Roman" w:cs="Times New Roman"/>
          <w:i/>
          <w:iCs/>
          <w:sz w:val="24"/>
          <w:szCs w:val="24"/>
        </w:rPr>
        <w:t>atrosepticum</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(MG706146), and </w:t>
      </w:r>
      <w:proofErr w:type="spellStart"/>
      <w:r>
        <w:rPr>
          <w:rFonts w:ascii="Times New Roman" w:hAnsi="Times New Roman" w:cs="Times New Roman"/>
          <w:i/>
          <w:iCs/>
          <w:sz w:val="24"/>
          <w:szCs w:val="24"/>
        </w:rPr>
        <w:t>Dickeya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solani</w:t>
      </w:r>
      <w:proofErr w:type="spellEnd"/>
      <w:r>
        <w:rPr>
          <w:rFonts w:ascii="Times New Roman" w:hAnsi="Times New Roman" w:cs="Times New Roman"/>
          <w:sz w:val="24"/>
          <w:szCs w:val="24"/>
        </w:rPr>
        <w:t xml:space="preserve"> (HF569035) and molecularly identified isolated fungi namely </w:t>
      </w:r>
      <w:proofErr w:type="spellStart"/>
      <w:r>
        <w:rPr>
          <w:rFonts w:ascii="Times New Roman" w:hAnsi="Times New Roman" w:cs="Times New Roman"/>
          <w:i/>
          <w:iCs/>
          <w:sz w:val="24"/>
          <w:szCs w:val="24"/>
        </w:rPr>
        <w:t>Rhizoctonia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solani</w:t>
      </w:r>
      <w:proofErr w:type="spellEnd"/>
      <w:r>
        <w:rPr>
          <w:rFonts w:ascii="Times New Roman" w:hAnsi="Times New Roman" w:cs="Times New Roman"/>
          <w:sz w:val="24"/>
          <w:szCs w:val="24"/>
        </w:rPr>
        <w:t xml:space="preserve"> ON808453, </w:t>
      </w:r>
      <w:r>
        <w:rPr>
          <w:rFonts w:ascii="Times New Roman" w:hAnsi="Times New Roman" w:cs="Times New Roman"/>
          <w:i/>
          <w:iCs/>
          <w:sz w:val="24"/>
          <w:szCs w:val="24"/>
        </w:rPr>
        <w:t xml:space="preserve">Fusarium </w:t>
      </w:r>
      <w:proofErr w:type="spellStart"/>
      <w:r>
        <w:rPr>
          <w:rFonts w:ascii="Times New Roman" w:hAnsi="Times New Roman" w:cs="Times New Roman"/>
          <w:i/>
          <w:iCs/>
          <w:sz w:val="24"/>
          <w:szCs w:val="24"/>
        </w:rPr>
        <w:t>oxysporum</w:t>
      </w:r>
      <w:proofErr w:type="spellEnd"/>
      <w:r>
        <w:rPr>
          <w:rFonts w:ascii="Times New Roman" w:hAnsi="Times New Roman" w:cs="Times New Roman"/>
          <w:sz w:val="24"/>
          <w:szCs w:val="24"/>
        </w:rPr>
        <w:t xml:space="preserve"> ON808454 and </w:t>
      </w:r>
      <w:r>
        <w:rPr>
          <w:rFonts w:ascii="Times New Roman" w:hAnsi="Times New Roman" w:cs="Times New Roman"/>
          <w:i/>
          <w:iCs/>
          <w:sz w:val="24"/>
          <w:szCs w:val="24"/>
        </w:rPr>
        <w:t xml:space="preserve">Penicillium </w:t>
      </w:r>
      <w:proofErr w:type="spellStart"/>
      <w:r>
        <w:rPr>
          <w:rFonts w:ascii="Times New Roman" w:hAnsi="Times New Roman" w:cs="Times New Roman"/>
          <w:i/>
          <w:iCs/>
          <w:sz w:val="24"/>
          <w:szCs w:val="24"/>
        </w:rPr>
        <w:t>digitatum</w:t>
      </w:r>
      <w:proofErr w:type="spellEnd"/>
      <w:r>
        <w:rPr>
          <w:rFonts w:ascii="Times New Roman" w:hAnsi="Times New Roman" w:cs="Times New Roman"/>
          <w:sz w:val="24"/>
          <w:szCs w:val="24"/>
        </w:rPr>
        <w:t xml:space="preserve"> ON808455. The main chemical components in bark methanol extract (ME) were (Z)-9-octadecenoic acid (24.16%), oleic acid (23.84%), retinal (12.07%), trans-13-octadecenoic acid (9.41%), and </w:t>
      </w:r>
      <w:r>
        <w:rPr>
          <w:rFonts w:ascii="Times New Roman" w:hAnsi="Times New Roman" w:cs="Times New Roman"/>
          <w:i/>
          <w:iCs/>
          <w:sz w:val="24"/>
          <w:szCs w:val="24"/>
        </w:rPr>
        <w:t>cis</w:t>
      </w:r>
      <w:r>
        <w:rPr>
          <w:rFonts w:ascii="Times New Roman" w:hAnsi="Times New Roman" w:cs="Times New Roman"/>
          <w:sz w:val="24"/>
          <w:szCs w:val="24"/>
        </w:rPr>
        <w:t>-13-eicosenoic acid (8.30%).</w:t>
      </w:r>
      <w:r>
        <w:t xml:space="preserve"> </w:t>
      </w:r>
      <w:r>
        <w:rPr>
          <w:rFonts w:ascii="Times New Roman" w:hAnsi="Times New Roman" w:cs="Times New Roman"/>
          <w:sz w:val="24"/>
          <w:szCs w:val="24"/>
        </w:rPr>
        <w:t>Bark butanol extract (BE) showed the presence of main chemical components 9-nonanal (38.33%) and (E)-2-nonenal, (18.91%) and octanal (13.56%). The main chemical components in bark acetone extract (</w:t>
      </w:r>
      <w:proofErr w:type="spellStart"/>
      <w:r>
        <w:rPr>
          <w:rFonts w:ascii="Times New Roman" w:hAnsi="Times New Roman" w:cs="Times New Roman"/>
          <w:sz w:val="24"/>
          <w:szCs w:val="24"/>
        </w:rPr>
        <w:t>AcE</w:t>
      </w:r>
      <w:proofErr w:type="spellEnd"/>
      <w:r>
        <w:rPr>
          <w:rFonts w:ascii="Times New Roman" w:hAnsi="Times New Roman" w:cs="Times New Roman"/>
          <w:sz w:val="24"/>
          <w:szCs w:val="24"/>
        </w:rPr>
        <w:t xml:space="preserve">) were (E)-2-decenal (31.23%), 2-undecenal (18.37%) and nonanal (15.15%) and (Z)-9-octadecenoic acid (10.23%). The main chemical components in wood EO were </w:t>
      </w:r>
      <w:r>
        <w:rPr>
          <w:rFonts w:ascii="Times New Roman" w:hAnsi="Times New Roman" w:cs="Times New Roman"/>
          <w:i/>
          <w:iCs/>
          <w:sz w:val="24"/>
          <w:szCs w:val="24"/>
        </w:rPr>
        <w:t>cis</w:t>
      </w:r>
      <w:r>
        <w:rPr>
          <w:rFonts w:ascii="Times New Roman" w:hAnsi="Times New Roman" w:cs="Times New Roman"/>
          <w:sz w:val="24"/>
          <w:szCs w:val="24"/>
        </w:rPr>
        <w:t xml:space="preserve">-1,3-dimethylcyclohexane (43.69%), 1,3,5-cycloheptatriene (24.62%), and 2-ethyl-1-hexanol (10.69%) followed by 3-methyl-heptane (8.16%) and methyl-cyclohexane (7.26%). At 4000 µg/mL, the maximum activity against the growth of the chosen bacterial strains was reported in bark ME, BE, </w:t>
      </w:r>
      <w:proofErr w:type="spellStart"/>
      <w:r>
        <w:rPr>
          <w:rFonts w:ascii="Times New Roman" w:hAnsi="Times New Roman" w:cs="Times New Roman"/>
          <w:sz w:val="24"/>
          <w:szCs w:val="24"/>
        </w:rPr>
        <w:t>AcE</w:t>
      </w:r>
      <w:proofErr w:type="spellEnd"/>
      <w:r>
        <w:rPr>
          <w:rFonts w:ascii="Times New Roman" w:hAnsi="Times New Roman" w:cs="Times New Roman"/>
          <w:sz w:val="24"/>
          <w:szCs w:val="24"/>
        </w:rPr>
        <w:t xml:space="preserve">, and wood EO, while it was 2000 µg/mL against the growth of fungal strains. The main ingredients in the two samples under investigation were split into two groups for this study. Group I consisted of compounds with long-chain hydrocarbons that had an oxygen atom in a single or double bond in their structures, such as methyl ester, nonanal, 2-decenal, and 2-undecenal. The second group (II) of cyclic compounds, which include 1,3,5-cycloheptatriene and </w:t>
      </w:r>
      <w:r>
        <w:rPr>
          <w:rFonts w:ascii="Times New Roman" w:hAnsi="Times New Roman" w:cs="Times New Roman"/>
          <w:sz w:val="24"/>
          <w:szCs w:val="24"/>
        </w:rPr>
        <w:lastRenderedPageBreak/>
        <w:t>cis-1,3-dimethylcyclohexane, have 6 or 7 bonds in their structures.</w:t>
      </w:r>
      <w:r>
        <w:t xml:space="preserve"> </w:t>
      </w:r>
      <w:r>
        <w:rPr>
          <w:rFonts w:ascii="Times New Roman" w:hAnsi="Times New Roman" w:cs="Times New Roman"/>
          <w:sz w:val="24"/>
          <w:szCs w:val="24"/>
        </w:rPr>
        <w:t>Based on the semi-empirical calculation of MNDO thermodynamic data, the most stable molecules are those with negative values.</w:t>
      </w:r>
    </w:p>
    <w:p w14:paraId="181DF9C7" w14:textId="77777777" w:rsidR="00364DED" w:rsidRDefault="00A70A1E">
      <w:pPr>
        <w:spacing w:line="360" w:lineRule="auto"/>
        <w:jc w:val="both"/>
        <w:rPr>
          <w:rFonts w:ascii="Times New Roman" w:hAnsi="Times New Roman" w:cs="Times New Roman"/>
          <w:sz w:val="24"/>
        </w:rPr>
      </w:pPr>
      <w:r>
        <w:rPr>
          <w:rFonts w:ascii="Times New Roman" w:hAnsi="Times New Roman" w:cs="Times New Roman"/>
          <w:b/>
          <w:bCs/>
          <w:sz w:val="24"/>
          <w:szCs w:val="24"/>
        </w:rPr>
        <w:t xml:space="preserve">Keywords: </w:t>
      </w:r>
      <w:r>
        <w:rPr>
          <w:rFonts w:ascii="Times New Roman" w:hAnsi="Times New Roman" w:cs="Times New Roman"/>
          <w:i/>
          <w:iCs/>
          <w:sz w:val="24"/>
          <w:szCs w:val="24"/>
        </w:rPr>
        <w:t>Bougainvillea spectabilis</w:t>
      </w:r>
      <w:r>
        <w:rPr>
          <w:rFonts w:ascii="Times New Roman" w:hAnsi="Times New Roman" w:cs="Times New Roman"/>
          <w:sz w:val="24"/>
          <w:szCs w:val="24"/>
        </w:rPr>
        <w:t>; MNDO method; Bark extract; Essential oil; Plant pathogens</w:t>
      </w:r>
    </w:p>
    <w:p w14:paraId="51041452" w14:textId="77777777" w:rsidR="00364DED" w:rsidRDefault="00A70A1E">
      <w:pPr>
        <w:rPr>
          <w:rFonts w:ascii="Times New Roman" w:hAnsi="Times New Roman" w:cs="Times New Roman"/>
          <w:b/>
          <w:bCs/>
          <w:sz w:val="24"/>
        </w:rPr>
      </w:pPr>
      <w:r>
        <w:rPr>
          <w:rFonts w:ascii="Times New Roman" w:hAnsi="Times New Roman" w:cs="Times New Roman"/>
          <w:b/>
          <w:bCs/>
          <w:sz w:val="24"/>
        </w:rPr>
        <w:t xml:space="preserve">Introduction </w:t>
      </w:r>
    </w:p>
    <w:p w14:paraId="248C5D24" w14:textId="77777777" w:rsidR="00364DED" w:rsidRDefault="00A70A1E">
      <w:pPr>
        <w:spacing w:line="360" w:lineRule="auto"/>
        <w:ind w:firstLine="567"/>
        <w:jc w:val="both"/>
        <w:rPr>
          <w:color w:val="FF0000"/>
        </w:rPr>
      </w:pPr>
      <w:r>
        <w:rPr>
          <w:rFonts w:ascii="Times New Roman" w:hAnsi="Times New Roman" w:cs="Times New Roman"/>
          <w:sz w:val="24"/>
          <w:szCs w:val="24"/>
        </w:rPr>
        <w:t xml:space="preserve">To analyze the molecular structures of organic molecules, theoretical chemistry—which includes quantum chemical calculations like Modified Neglect of Diatomic Overlap, or MNDO—has proven to be an extremely effective approach. Because semi-empirical quantities such as dipole moments, total energies, electron energy, and formation heats have been discovered to have significant correlations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 w:tooltip="Abd El-Kareem, 2020 #103" w:history="1">
        <w:r w:rsidR="00364DED">
          <w:rPr>
            <w:rStyle w:val="Hyperlink"/>
          </w:rPr>
          <w:t>Abd El-Kareem et al., 2020</w:t>
        </w:r>
      </w:hyperlink>
      <w:r>
        <w:rPr>
          <w:rFonts w:ascii="Times New Roman" w:hAnsi="Times New Roman" w:cs="Times New Roman"/>
          <w:noProof/>
          <w:sz w:val="24"/>
          <w:szCs w:val="24"/>
        </w:rPr>
        <w:t xml:space="preserve">; </w:t>
      </w:r>
      <w:hyperlink w:anchor="_ENREF_54" w:tooltip="Musa, 2012 #101" w:history="1">
        <w:r w:rsidR="00364DED">
          <w:rPr>
            <w:rStyle w:val="Hyperlink"/>
          </w:rPr>
          <w:t>Musa et al., 2012</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Simplified variants of Hartree-Fock theory, known as semiempirical methods, include empirical corrections—modifications generated from experimental data—to enhance performance. Typically, acronyms that represent some of the underlying theoretical presumptions are used to refer to these techniques. While previous approaches use simpler integral schemes like CNDO and INDO, the most often used methods (MNDO, AM1, and PM3) are all based on the Neglect of Differential Diatomic Overlap (NDDO) integral approximation. The three techniques are all part of the Zero Differential Overlap (ZDO) method class, which ignores any two-electron integrals involving charge distributions at two centers. To compensate for the approximate quantum mechanical model, several parametric corrections are applied along with several additional approximations to expedite computations. The specific semiempirical approach is characterized by the way the parameterization is carried out. The parameterization process for MNDO, AM1, and PM3 is carried out so that the computed energy is expressed as heat of formations rather than total ene</w:t>
      </w:r>
      <w:r>
        <w:rPr>
          <w:rFonts w:ascii="Times New Roman" w:hAnsi="Times New Roman" w:cs="Times New Roman"/>
        </w:rPr>
        <w:t>rgies</w:t>
      </w:r>
      <w:r>
        <w:rPr>
          <w:rFonts w:ascii="Georgia" w:hAnsi="Georgia"/>
          <w:color w:val="1F497D"/>
        </w:rPr>
        <w:t xml:space="preserve"> </w:t>
      </w:r>
      <w:r>
        <w:rPr>
          <w:color w:val="1F497D"/>
        </w:rPr>
        <w:fldChar w:fldCharType="begin"/>
      </w:r>
      <w:r>
        <w:rPr>
          <w:color w:val="1F497D"/>
        </w:rPr>
        <w:instrText xml:space="preserve"> ADDIN EN.CITE &lt;EndNote&gt;&lt;Cite&gt;&lt;Author&gt;Thiel&lt;/Author&gt;&lt;Year&gt;2014&lt;/Year&gt;&lt;RecNum&gt;102&lt;/RecNum&gt;&lt;DisplayText&gt;(Thiel, 2014)&lt;/DisplayText&gt;&lt;record&gt;&lt;rec-number&gt;102&lt;/rec-number&gt;&lt;foreign-keys&gt;&lt;key app="EN" db-id="ra9v9ftd2frrvye2et45af2dwpvf99aw5evt" timestamp="1725651922"&gt;102&lt;/key&gt;&lt;/foreign-keys&gt;&lt;ref-type name="Journal Article"&gt;17&lt;/ref-type&gt;&lt;contributors&gt;&lt;authors&gt;&lt;author&gt;Thiel, Walter&lt;/author&gt;&lt;/authors&gt;&lt;/contributors&gt;&lt;titles&gt;&lt;title&gt;Semiempirical quantum–chemical methods&lt;/title&gt;&lt;secondary-title&gt;WIREs Computational Molecular Science&lt;/secondary-title&gt;&lt;/titles&gt;&lt;periodical&gt;&lt;full-title&gt;WIREs Computational Molecular Science&lt;/full-title&gt;&lt;/periodical&gt;&lt;pages&gt;145-157&lt;/pages&gt;&lt;volume&gt;4&lt;/volume&gt;&lt;number&gt;2&lt;/number&gt;&lt;dates&gt;&lt;year&gt;2014&lt;/year&gt;&lt;pub-dates&gt;&lt;date&gt;2014/03/01&lt;/date&gt;&lt;/pub-dates&gt;&lt;/dates&gt;&lt;publisher&gt;John Wiley &amp;amp; Sons, Ltd&lt;/publisher&gt;&lt;isbn&gt;1759-0876&lt;/isbn&gt;&lt;urls&gt;&lt;related-urls&gt;&lt;url&gt;https://doi.org/10.1002/wcms.1161&lt;/url&gt;&lt;/related-urls&gt;&lt;/urls&gt;&lt;electronic-resource-num&gt;https://doi.org/10.1002/wcms.1161&lt;/electronic-resource-num&gt;&lt;access-date&gt;2024/09/06&lt;/access-date&gt;&lt;/record&gt;&lt;/Cite&gt;&lt;/EndNote&gt;</w:instrText>
      </w:r>
      <w:r>
        <w:rPr>
          <w:color w:val="1F497D"/>
        </w:rPr>
        <w:fldChar w:fldCharType="separate"/>
      </w:r>
      <w:r>
        <w:rPr>
          <w:noProof/>
          <w:color w:val="1F497D"/>
        </w:rPr>
        <w:t>(</w:t>
      </w:r>
      <w:hyperlink w:anchor="_ENREF_83" w:tooltip="Thiel, 2014 #102" w:history="1">
        <w:r w:rsidR="00364DED">
          <w:rPr>
            <w:rStyle w:val="Hyperlink"/>
          </w:rPr>
          <w:t>Thiel, 2014</w:t>
        </w:r>
      </w:hyperlink>
      <w:r>
        <w:rPr>
          <w:noProof/>
          <w:color w:val="1F497D"/>
        </w:rPr>
        <w:t>)</w:t>
      </w:r>
      <w:r>
        <w:rPr>
          <w:color w:val="1F497D"/>
        </w:rPr>
        <w:fldChar w:fldCharType="end"/>
      </w:r>
      <w:r>
        <w:rPr>
          <w:rFonts w:ascii="Georgia" w:hAnsi="Georgia"/>
          <w:color w:val="1F497D"/>
        </w:rPr>
        <w:t>.</w:t>
      </w:r>
      <w:r>
        <w:rPr>
          <w:color w:val="FF0000"/>
        </w:rPr>
        <w:t xml:space="preserve"> </w:t>
      </w:r>
      <w:r>
        <w:rPr>
          <w:rFonts w:ascii="Times New Roman" w:hAnsi="Times New Roman" w:cs="Times New Roman"/>
          <w:sz w:val="24"/>
          <w:szCs w:val="24"/>
        </w:rPr>
        <w:t xml:space="preserve">Additionally, the most effective way to compute the structure of matter and support experimental research is semi-empirical (MNDO), a quantum mechanical method for determining the thermochemical properties of molecules used in chemistry and physics to determine the electronic structure of molecules </w:t>
      </w:r>
      <w:r>
        <w:fldChar w:fldCharType="begin"/>
      </w:r>
      <w:r>
        <w:instrText xml:space="preserve"> ADDIN EN.CITE &lt;EndNote&gt;&lt;Cite&gt;&lt;Author&gt;Abd El-Kareem&lt;/Author&gt;&lt;Year&gt;2020&lt;/Year&gt;&lt;RecNum&gt;103&lt;/RecNum&gt;&lt;DisplayText&gt;(Abd El-Kareem et al., 2020)&lt;/DisplayText&gt;&lt;record&gt;&lt;rec-number&gt;103&lt;/rec-number&gt;&lt;foreign-keys&gt;&lt;key app="EN" db-id="ra9v9ftd2frrvye2et45af2dwpvf99aw5evt" timestamp="1725652086"&gt;103&lt;/key&gt;&lt;/foreign-keys&gt;&lt;ref-type name="Journal Article"&gt;17&lt;/ref-type&gt;&lt;contributors&gt;&lt;authors&gt;&lt;author&gt;Abd El-Kareem, Mamoun SM&lt;/author&gt;&lt;author&gt;A. Rabbih, Mohamed&lt;/author&gt;&lt;author&gt;Elansary, Hosam O&lt;/author&gt;&lt;author&gt;A. Al-Mana, Fahed&lt;/author&gt;&lt;/authors&gt;&lt;/contributors&gt;&lt;titles&gt;&lt;title&gt;&lt;style face="normal" font="default" size="100%"&gt;Mass spectral fragmentation of &lt;/style&gt;&lt;style face="italic" font="default" size="100%"&gt;Pelargonium graveolens&lt;/style&gt;&lt;style face="normal" font="default" size="100%"&gt; essential oil using GC–MS semi-empirical calculations and biological potential&lt;/style&gt;&lt;/title&gt;&lt;secondary-title&gt;Processes&lt;/secondary-title&gt;&lt;/titles&gt;&lt;periodical&gt;&lt;full-title&gt;Processes&lt;/full-title&gt;&lt;/periodical&gt;&lt;pages&gt;128&lt;/pages&gt;&lt;volume&gt;8&lt;/volume&gt;&lt;number&gt;2&lt;/number&gt;&lt;dates&gt;&lt;year&gt;2020&lt;/year&gt;&lt;/dates&gt;&lt;isbn&gt;2227-9717&lt;/isbn&gt;&lt;urls&gt;&lt;/urls&gt;&lt;electronic-resource-num&gt;https://doi.org/10.3390/pr8020128&lt;/electronic-resource-num&gt;&lt;/record&gt;&lt;/Cite&gt;&lt;/EndNote&gt;</w:instrText>
      </w:r>
      <w:r>
        <w:fldChar w:fldCharType="separate"/>
      </w:r>
      <w:r>
        <w:rPr>
          <w:noProof/>
        </w:rPr>
        <w:t>(</w:t>
      </w:r>
      <w:hyperlink w:anchor="_ENREF_3" w:tooltip="Abd El-Kareem, 2020 #103" w:history="1">
        <w:r w:rsidR="00364DED">
          <w:rPr>
            <w:rStyle w:val="Hyperlink"/>
          </w:rPr>
          <w:t>Abd El-Kareem et al., 2020</w:t>
        </w:r>
      </w:hyperlink>
      <w:r>
        <w:rPr>
          <w:noProof/>
        </w:rPr>
        <w:t>)</w:t>
      </w:r>
      <w:r>
        <w:fldChar w:fldCharType="end"/>
      </w:r>
      <w:r>
        <w:rPr>
          <w:rFonts w:ascii="Times New Roman" w:hAnsi="Times New Roman" w:cs="Times New Roman"/>
          <w:sz w:val="24"/>
          <w:szCs w:val="24"/>
        </w:rPr>
        <w:t>.</w:t>
      </w:r>
    </w:p>
    <w:p w14:paraId="37DDEF44" w14:textId="77777777" w:rsidR="00364DED" w:rsidRDefault="00A70A1E">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Plant extractives have useful uses as biological agents against a wide-range of pathogens including plant-infections bacteria, viruses, or fungi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w:t>
      </w:r>
      <w:hyperlink w:anchor="_ENREF_51" w:tooltip="Mohamed, 2019 #12" w:history="1">
        <w:r w:rsidR="00364DED">
          <w:rPr>
            <w:rStyle w:val="Hyperlink"/>
          </w:rPr>
          <w:t>Mohamed et al., 2019</w:t>
        </w:r>
      </w:hyperlink>
      <w:r>
        <w:rPr>
          <w:noProof/>
        </w:rPr>
        <w:t xml:space="preserve">; </w:t>
      </w:r>
      <w:hyperlink w:anchor="_ENREF_66" w:tooltip="Salem, 2021 #5" w:history="1">
        <w:r w:rsidR="00364DED">
          <w:rPr>
            <w:rStyle w:val="Hyperlink"/>
          </w:rPr>
          <w:t>Salem et al., 2021a</w:t>
        </w:r>
      </w:hyperlink>
      <w:r>
        <w:rPr>
          <w:noProof/>
        </w:rPr>
        <w:t xml:space="preserve">; </w:t>
      </w:r>
      <w:hyperlink w:anchor="_ENREF_68" w:tooltip="Salem, 2021 #2" w:history="1">
        <w:r w:rsidR="00364DED">
          <w:rPr>
            <w:rStyle w:val="Hyperlink"/>
          </w:rPr>
          <w:t>Salem et al., 2021b</w:t>
        </w:r>
      </w:hyperlink>
      <w:r>
        <w:rPr>
          <w:noProof/>
        </w:rPr>
        <w:t xml:space="preserve">; </w:t>
      </w:r>
      <w:hyperlink w:anchor="_ENREF_70" w:tooltip="Salem, 2021 #3" w:history="1">
        <w:r w:rsidR="00364DED">
          <w:rPr>
            <w:rStyle w:val="Hyperlink"/>
          </w:rPr>
          <w:t>Salem et al., 2021c</w:t>
        </w:r>
      </w:hyperlink>
      <w:r>
        <w:rPr>
          <w:noProof/>
        </w:rPr>
        <w:t xml:space="preserve">; </w:t>
      </w:r>
      <w:hyperlink w:anchor="_ENREF_71" w:tooltip="Salem, 2016 #13" w:history="1">
        <w:r w:rsidR="00364DED">
          <w:rPr>
            <w:rStyle w:val="Hyperlink"/>
          </w:rPr>
          <w:t>Salem et al., 2016a</w:t>
        </w:r>
      </w:hyperlink>
      <w:r>
        <w:rPr>
          <w:noProof/>
        </w:rPr>
        <w:t>)</w:t>
      </w:r>
      <w:r>
        <w:fldChar w:fldCharType="end"/>
      </w:r>
      <w:r>
        <w:rPr>
          <w:rFonts w:ascii="Times New Roman" w:hAnsi="Times New Roman" w:cs="Times New Roman"/>
          <w:sz w:val="24"/>
          <w:szCs w:val="24"/>
        </w:rPr>
        <w:t xml:space="preserve">, or against fungi colonizing wood and wood products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w:t>
      </w:r>
      <w:hyperlink w:anchor="_ENREF_36" w:tooltip="Hosseinihashemi, 2016 #15" w:history="1">
        <w:r w:rsidR="00364DED">
          <w:rPr>
            <w:rStyle w:val="Hyperlink"/>
          </w:rPr>
          <w:t>Hosseinihashemi et al., 2016a</w:t>
        </w:r>
      </w:hyperlink>
      <w:r>
        <w:rPr>
          <w:noProof/>
        </w:rPr>
        <w:t xml:space="preserve">; </w:t>
      </w:r>
      <w:hyperlink w:anchor="_ENREF_37" w:tooltip="Hosseinihashemi, 2016 #14" w:history="1">
        <w:r w:rsidR="00364DED">
          <w:rPr>
            <w:rStyle w:val="Hyperlink"/>
          </w:rPr>
          <w:t>Hosseinihashemi et al., 2016b</w:t>
        </w:r>
      </w:hyperlink>
      <w:r>
        <w:rPr>
          <w:noProof/>
        </w:rPr>
        <w:t xml:space="preserve">; </w:t>
      </w:r>
      <w:hyperlink w:anchor="_ENREF_46" w:tooltip="Mansour, 2015 #17" w:history="1">
        <w:r w:rsidR="00364DED">
          <w:rPr>
            <w:rStyle w:val="Hyperlink"/>
          </w:rPr>
          <w:t>Mansour et al., 2015</w:t>
        </w:r>
      </w:hyperlink>
      <w:r>
        <w:rPr>
          <w:noProof/>
        </w:rPr>
        <w:t xml:space="preserve">; </w:t>
      </w:r>
      <w:hyperlink w:anchor="_ENREF_47" w:tooltip="Mansour, 2015 #18" w:history="1">
        <w:r w:rsidR="00364DED">
          <w:rPr>
            <w:rStyle w:val="Hyperlink"/>
          </w:rPr>
          <w:t>Mansour and Salem, 2015</w:t>
        </w:r>
      </w:hyperlink>
      <w:r>
        <w:rPr>
          <w:noProof/>
        </w:rPr>
        <w:t xml:space="preserve">; </w:t>
      </w:r>
      <w:hyperlink w:anchor="_ENREF_72" w:tooltip="Salem, 2016 #16" w:history="1">
        <w:r w:rsidR="00364DED">
          <w:rPr>
            <w:rStyle w:val="Hyperlink"/>
          </w:rPr>
          <w:t>Salem et al., 2016b</w:t>
        </w:r>
      </w:hyperlink>
      <w:r>
        <w:rPr>
          <w:noProof/>
        </w:rPr>
        <w:t>)</w:t>
      </w:r>
      <w:r>
        <w:fldChar w:fldCharType="end"/>
      </w:r>
      <w:r>
        <w:rPr>
          <w:rFonts w:ascii="Times New Roman" w:hAnsi="Times New Roman" w:cs="Times New Roman"/>
          <w:sz w:val="24"/>
          <w:szCs w:val="24"/>
        </w:rPr>
        <w:t xml:space="preserve">. These bioactivities have been proven by the presence of several bioactive compounds or chemical groups like saponins, phenolic compounds, flavonoid compounds, essential oils, alkaloids, lignans,  quinones, saponins, tannins, and terpenoids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w:t>
      </w:r>
      <w:hyperlink w:anchor="_ENREF_7" w:tooltip="Abdelkhalek, 2020 #7" w:history="1">
        <w:r w:rsidR="00364DED">
          <w:rPr>
            <w:rStyle w:val="Hyperlink"/>
          </w:rPr>
          <w:t>Abdelkhalek et al., 2020</w:t>
        </w:r>
      </w:hyperlink>
      <w:r>
        <w:rPr>
          <w:noProof/>
        </w:rPr>
        <w:t xml:space="preserve">; </w:t>
      </w:r>
      <w:hyperlink w:anchor="_ENREF_17" w:tooltip="Ashmawy, 2020 #68" w:history="1">
        <w:r w:rsidR="00364DED">
          <w:rPr>
            <w:rStyle w:val="Hyperlink"/>
          </w:rPr>
          <w:t>Ashmawy et al., 2020b</w:t>
        </w:r>
      </w:hyperlink>
      <w:r>
        <w:rPr>
          <w:noProof/>
        </w:rPr>
        <w:t xml:space="preserve">; </w:t>
      </w:r>
      <w:hyperlink w:anchor="_ENREF_34" w:tooltip="Ghogar, 2016 #37" w:history="1">
        <w:r w:rsidR="00364DED">
          <w:rPr>
            <w:rStyle w:val="Hyperlink"/>
          </w:rPr>
          <w:t>Ghogar et al., 2016</w:t>
        </w:r>
      </w:hyperlink>
      <w:r>
        <w:rPr>
          <w:noProof/>
        </w:rPr>
        <w:t xml:space="preserve">; </w:t>
      </w:r>
      <w:hyperlink w:anchor="_ENREF_69" w:tooltip="Salem, 2019 #11" w:history="1">
        <w:r w:rsidR="00364DED">
          <w:rPr>
            <w:rStyle w:val="Hyperlink"/>
          </w:rPr>
          <w:t>Salem et al., 2019</w:t>
        </w:r>
      </w:hyperlink>
      <w:r>
        <w:rPr>
          <w:noProof/>
        </w:rPr>
        <w:t>)</w:t>
      </w:r>
      <w:r>
        <w:fldChar w:fldCharType="end"/>
      </w:r>
      <w:r>
        <w:rPr>
          <w:rFonts w:ascii="Times New Roman" w:hAnsi="Times New Roman" w:cs="Times New Roman"/>
          <w:sz w:val="24"/>
          <w:szCs w:val="24"/>
        </w:rPr>
        <w:t>.</w:t>
      </w:r>
    </w:p>
    <w:p w14:paraId="5830DE97" w14:textId="77777777" w:rsidR="00364DED" w:rsidRDefault="00A70A1E">
      <w:pPr>
        <w:spacing w:line="360" w:lineRule="auto"/>
        <w:ind w:firstLine="567"/>
        <w:jc w:val="both"/>
        <w:rPr>
          <w:rFonts w:ascii="Times New Roman" w:hAnsi="Times New Roman" w:cs="Times New Roman"/>
          <w:sz w:val="24"/>
          <w:szCs w:val="24"/>
        </w:rPr>
      </w:pPr>
      <w:r>
        <w:rPr>
          <w:rFonts w:ascii="Times New Roman" w:hAnsi="Times New Roman" w:cs="Times New Roman"/>
          <w:i/>
          <w:iCs/>
          <w:sz w:val="24"/>
          <w:szCs w:val="24"/>
        </w:rPr>
        <w:t>Bougainvillea</w:t>
      </w:r>
      <w:r>
        <w:rPr>
          <w:rFonts w:ascii="Times New Roman" w:hAnsi="Times New Roman" w:cs="Times New Roman"/>
          <w:sz w:val="24"/>
          <w:szCs w:val="24"/>
        </w:rPr>
        <w:t xml:space="preserve"> </w:t>
      </w:r>
      <w:r>
        <w:rPr>
          <w:rFonts w:ascii="Times New Roman" w:hAnsi="Times New Roman" w:cs="Times New Roman"/>
          <w:i/>
          <w:iCs/>
          <w:sz w:val="24"/>
          <w:szCs w:val="24"/>
        </w:rPr>
        <w:t>spectabilis</w:t>
      </w:r>
      <w:r>
        <w:rPr>
          <w:rFonts w:ascii="Times New Roman" w:hAnsi="Times New Roman" w:cs="Times New Roman"/>
          <w:sz w:val="24"/>
          <w:szCs w:val="24"/>
        </w:rPr>
        <w:t xml:space="preserve"> Willd.,</w:t>
      </w:r>
      <w:r>
        <w:t xml:space="preserve"> </w:t>
      </w:r>
      <w:r>
        <w:rPr>
          <w:rFonts w:ascii="Times New Roman" w:hAnsi="Times New Roman" w:cs="Times New Roman"/>
          <w:sz w:val="24"/>
          <w:szCs w:val="24"/>
        </w:rPr>
        <w:t xml:space="preserve">(Family </w:t>
      </w:r>
      <w:proofErr w:type="spellStart"/>
      <w:r>
        <w:rPr>
          <w:rFonts w:ascii="Times New Roman" w:hAnsi="Times New Roman" w:cs="Times New Roman"/>
          <w:sz w:val="24"/>
          <w:szCs w:val="24"/>
        </w:rPr>
        <w:t>Nyctaginaceae</w:t>
      </w:r>
      <w:proofErr w:type="spellEnd"/>
      <w:r>
        <w:rPr>
          <w:rFonts w:ascii="Times New Roman" w:hAnsi="Times New Roman" w:cs="Times New Roman"/>
          <w:sz w:val="24"/>
          <w:szCs w:val="24"/>
        </w:rPr>
        <w:t>), a woody shrub, tropical and sub-tropical plants, have been shown to own several bioactive chemical groups like flavonoids,</w:t>
      </w:r>
      <w:r>
        <w:t xml:space="preserve"> </w:t>
      </w:r>
      <w:r>
        <w:rPr>
          <w:rFonts w:ascii="Times New Roman" w:hAnsi="Times New Roman" w:cs="Times New Roman"/>
          <w:sz w:val="24"/>
          <w:szCs w:val="24"/>
        </w:rPr>
        <w:t xml:space="preserve">aldehydes, saponins, triterpenoids, phenols, sterols, quinones, glycosides, tannins, and </w:t>
      </w:r>
      <w:proofErr w:type="spellStart"/>
      <w:r>
        <w:rPr>
          <w:rFonts w:ascii="Times New Roman" w:hAnsi="Times New Roman" w:cs="Times New Roman"/>
          <w:sz w:val="24"/>
          <w:szCs w:val="24"/>
        </w:rPr>
        <w:t>furanoids</w:t>
      </w:r>
      <w:proofErr w:type="spellEnd"/>
      <w:r>
        <w:rPr>
          <w:rFonts w:ascii="Times New Roman" w:hAnsi="Times New Roman" w:cs="Times New Roman"/>
          <w:sz w:val="24"/>
          <w:szCs w:val="24"/>
        </w:rPr>
        <w:t xml:space="preserve">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w:t>
      </w:r>
      <w:hyperlink w:anchor="_ENREF_2" w:tooltip="Abarca-Vargas, 2018 #25" w:history="1">
        <w:r w:rsidR="00364DED">
          <w:rPr>
            <w:rStyle w:val="Hyperlink"/>
          </w:rPr>
          <w:t>Abarca-Vargas and Petricevich, 2018</w:t>
        </w:r>
      </w:hyperlink>
      <w:r>
        <w:rPr>
          <w:noProof/>
        </w:rPr>
        <w:t xml:space="preserve">; </w:t>
      </w:r>
      <w:hyperlink w:anchor="_ENREF_17" w:tooltip="Ashmawy, 2020 #68" w:history="1">
        <w:r w:rsidR="00364DED">
          <w:rPr>
            <w:rStyle w:val="Hyperlink"/>
          </w:rPr>
          <w:t>Ashmawy et al., 2020b</w:t>
        </w:r>
      </w:hyperlink>
      <w:r>
        <w:rPr>
          <w:noProof/>
        </w:rPr>
        <w:t xml:space="preserve">; </w:t>
      </w:r>
      <w:hyperlink w:anchor="_ENREF_29" w:tooltip="Do, 2016 #88" w:history="1">
        <w:r w:rsidR="00364DED">
          <w:rPr>
            <w:rStyle w:val="Hyperlink"/>
          </w:rPr>
          <w:t>Do et al., 2016</w:t>
        </w:r>
      </w:hyperlink>
      <w:r>
        <w:rPr>
          <w:noProof/>
        </w:rPr>
        <w:t xml:space="preserve">; </w:t>
      </w:r>
      <w:hyperlink w:anchor="_ENREF_30" w:tooltip="Do, 2018 #23" w:history="1">
        <w:r w:rsidR="00364DED">
          <w:rPr>
            <w:rStyle w:val="Hyperlink"/>
          </w:rPr>
          <w:t>Do et al., 2018</w:t>
        </w:r>
      </w:hyperlink>
      <w:r>
        <w:rPr>
          <w:noProof/>
        </w:rPr>
        <w:t xml:space="preserve">; </w:t>
      </w:r>
      <w:hyperlink w:anchor="_ENREF_39" w:tooltip="Jawla, 2013 #24" w:history="1">
        <w:r w:rsidR="00364DED">
          <w:rPr>
            <w:rStyle w:val="Hyperlink"/>
          </w:rPr>
          <w:t>Jawla et al., 2013</w:t>
        </w:r>
      </w:hyperlink>
      <w:r>
        <w:rPr>
          <w:noProof/>
        </w:rPr>
        <w:t xml:space="preserve">; </w:t>
      </w:r>
      <w:hyperlink w:anchor="_ENREF_58" w:tooltip="Orozco-Villafuerte, 2019 #83" w:history="1">
        <w:r w:rsidR="00364DED">
          <w:rPr>
            <w:rStyle w:val="Hyperlink"/>
          </w:rPr>
          <w:t>Orozco-Villafuerte et al., 2019</w:t>
        </w:r>
      </w:hyperlink>
      <w:r>
        <w:rPr>
          <w:noProof/>
        </w:rPr>
        <w:t>)</w:t>
      </w:r>
      <w:r>
        <w:fldChar w:fldCharType="end"/>
      </w:r>
      <w:r>
        <w:rPr>
          <w:rFonts w:ascii="Times New Roman" w:hAnsi="Times New Roman" w:cs="Times New Roman"/>
          <w:sz w:val="24"/>
          <w:szCs w:val="24"/>
        </w:rPr>
        <w:t xml:space="preserve">. The alcoholic extracts from leaves were observed some antibacterial activities </w:t>
      </w:r>
      <w:r>
        <w:fldChar w:fldCharType="begin"/>
      </w:r>
      <w:r>
        <w:instrText xml:space="preserve"> ADDIN EN.CITE &lt;EndNote&gt;&lt;Cite&gt;&lt;Author&gt;Fawad&lt;/Author&gt;&lt;Year&gt;2012&lt;/Year&gt;&lt;RecNum&gt;26&lt;/RecNum&gt;&lt;DisplayText&gt;(Fawad et al., 2012)&lt;/DisplayText&gt;&lt;record&gt;&lt;rec-number&gt;26&lt;/rec-number&gt;&lt;foreign-keys&gt;&lt;key app="EN" db-id="ra9v9ftd2frrvye2et45af2dwpvf99aw5evt" timestamp="1644708094"&gt;26&lt;/key&gt;&lt;/foreign-keys&gt;&lt;ref-type name="Journal Article"&gt;17&lt;/ref-type&gt;&lt;contributors&gt;&lt;authors&gt;&lt;author&gt;Fawad, Sardar Atiq&lt;/author&gt;&lt;author&gt;Khalid, Nauman&lt;/author&gt;&lt;author&gt;Asghar, Waqas&lt;/author&gt;&lt;author&gt;Suleria, Hafiz Ansar Rasul&lt;/author&gt;&lt;/authors&gt;&lt;/contributors&gt;&lt;titles&gt;&lt;title&gt;&lt;style face="normal" font="default" size="100%"&gt;In vitro comparative study of B&lt;/style&gt;&lt;style face="italic" font="default" size="100%"&gt;ougainvillea spectabilis &lt;/style&gt;&lt;style face="normal" font="default" size="100%"&gt;“stand” leaves and &lt;/style&gt;&lt;style face="italic" font="default" size="100%"&gt;Bougainvillea variegata&lt;/style&gt;&lt;style face="normal" font="default" size="100%"&gt; leaves in terms of phytochemicals and antimicrobial activity&lt;/style&gt;&lt;/title&gt;&lt;secondary-title&gt;Chinese Journal of Natural Medicines&lt;/secondary-title&gt;&lt;/titles&gt;&lt;periodical&gt;&lt;full-title&gt;Chinese Journal of Natural Medicines&lt;/full-title&gt;&lt;/periodical&gt;&lt;pages&gt;441-447&lt;/pages&gt;&lt;volume&gt;10&lt;/volume&gt;&lt;number&gt;6&lt;/number&gt;&lt;keywords&gt;&lt;keyword&gt;“stand” leaves&lt;/keyword&gt;&lt;keyword&gt;leaves&lt;/keyword&gt;&lt;keyword&gt;Phytochemicals&lt;/keyword&gt;&lt;keyword&gt;Antimicrobial activity&lt;/keyword&gt;&lt;keyword&gt;Antibiotics&lt;/keyword&gt;&lt;/keywords&gt;&lt;dates&gt;&lt;year&gt;2012&lt;/year&gt;&lt;pub-dates&gt;&lt;date&gt;2012/11/01/&lt;/date&gt;&lt;/pub-dates&gt;&lt;/dates&gt;&lt;isbn&gt;1875-5364&lt;/isbn&gt;&lt;urls&gt;&lt;related-urls&gt;&lt;url&gt;https://www.sciencedirect.com/science/article/pii/S1875536412600855&lt;/url&gt;&lt;/related-urls&gt;&lt;/urls&gt;&lt;electronic-resource-num&gt;https://doi.org/10.1016/S1875-5364(12)60085-5&lt;/electronic-resource-num&gt;&lt;/record&gt;&lt;/Cite&gt;&lt;/EndNote&gt;</w:instrText>
      </w:r>
      <w:r>
        <w:fldChar w:fldCharType="separate"/>
      </w:r>
      <w:r>
        <w:rPr>
          <w:noProof/>
        </w:rPr>
        <w:t>(</w:t>
      </w:r>
      <w:hyperlink w:anchor="_ENREF_32" w:tooltip="Fawad, 2012 #26" w:history="1">
        <w:r w:rsidR="00364DED">
          <w:rPr>
            <w:rStyle w:val="Hyperlink"/>
          </w:rPr>
          <w:t>Fawad et al., 2012</w:t>
        </w:r>
      </w:hyperlink>
      <w:r>
        <w:rPr>
          <w:noProof/>
        </w:rPr>
        <w:t>)</w:t>
      </w:r>
      <w:r>
        <w:fldChar w:fldCharType="end"/>
      </w:r>
      <w:r>
        <w:rPr>
          <w:rFonts w:ascii="Times New Roman" w:hAnsi="Times New Roman" w:cs="Times New Roman"/>
          <w:sz w:val="24"/>
          <w:szCs w:val="24"/>
        </w:rPr>
        <w:t xml:space="preserve">. </w:t>
      </w:r>
      <w:r>
        <w:rPr>
          <w:rFonts w:ascii="Times New Roman" w:hAnsi="Times New Roman" w:cs="Times New Roman"/>
          <w:i/>
          <w:iCs/>
          <w:sz w:val="24"/>
          <w:szCs w:val="24"/>
        </w:rPr>
        <w:t>B. spectabilis</w:t>
      </w:r>
      <w:r>
        <w:rPr>
          <w:rFonts w:ascii="Times New Roman" w:hAnsi="Times New Roman" w:cs="Times New Roman"/>
          <w:sz w:val="24"/>
          <w:szCs w:val="24"/>
        </w:rPr>
        <w:t xml:space="preserve"> leaf extracts have reportedly been shown to provide therapeutic benefits, including larvicidal, antiviral, anti-inflammatory, antibacterial, anti-diabetic, and anti-fertility potential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 w:tooltip="Abarca-Vargas, 2018 #25" w:history="1">
        <w:r w:rsidR="00364DED">
          <w:rPr>
            <w:rStyle w:val="Hyperlink"/>
          </w:rPr>
          <w:t>Abarca-Vargas and Petricevich, 2018</w:t>
        </w:r>
      </w:hyperlink>
      <w:r>
        <w:rPr>
          <w:rFonts w:ascii="Times New Roman" w:hAnsi="Times New Roman" w:cs="Times New Roman"/>
          <w:noProof/>
          <w:sz w:val="24"/>
          <w:szCs w:val="24"/>
        </w:rPr>
        <w:t xml:space="preserve">; </w:t>
      </w:r>
      <w:hyperlink w:anchor="_ENREF_40" w:tooltip="Joshi, 1984 #76" w:history="1">
        <w:r w:rsidR="00364DED">
          <w:rPr>
            <w:rStyle w:val="Hyperlink"/>
          </w:rPr>
          <w:t>Joshi et al., 1984</w:t>
        </w:r>
      </w:hyperlink>
      <w:r>
        <w:rPr>
          <w:rFonts w:ascii="Times New Roman" w:hAnsi="Times New Roman" w:cs="Times New Roman"/>
          <w:noProof/>
          <w:sz w:val="24"/>
          <w:szCs w:val="24"/>
        </w:rPr>
        <w:t xml:space="preserve">; </w:t>
      </w:r>
      <w:hyperlink w:anchor="_ENREF_55" w:tooltip="Narayanan, 1987 #40" w:history="1">
        <w:r w:rsidR="00364DED">
          <w:rPr>
            <w:rStyle w:val="Hyperlink"/>
          </w:rPr>
          <w:t>Narayanan et al., 1987</w:t>
        </w:r>
      </w:hyperlink>
      <w:r>
        <w:rPr>
          <w:rFonts w:ascii="Times New Roman" w:hAnsi="Times New Roman" w:cs="Times New Roman"/>
          <w:noProof/>
          <w:sz w:val="24"/>
          <w:szCs w:val="24"/>
        </w:rPr>
        <w:t xml:space="preserve">; </w:t>
      </w:r>
      <w:hyperlink w:anchor="_ENREF_65" w:tooltip="Saikia, 2009 #74" w:history="1">
        <w:r w:rsidR="00364DED">
          <w:rPr>
            <w:rStyle w:val="Hyperlink"/>
          </w:rPr>
          <w:t>Saikia and Das, 2009</w:t>
        </w:r>
      </w:hyperlink>
      <w:r>
        <w:rPr>
          <w:rFonts w:ascii="Times New Roman" w:hAnsi="Times New Roman" w:cs="Times New Roman"/>
          <w:noProof/>
          <w:sz w:val="24"/>
          <w:szCs w:val="24"/>
        </w:rPr>
        <w:t xml:space="preserve">; </w:t>
      </w:r>
      <w:hyperlink w:anchor="_ENREF_74" w:tooltip="Shaiq Ali, 2005 #75" w:history="1">
        <w:r w:rsidR="00364DED">
          <w:rPr>
            <w:rStyle w:val="Hyperlink"/>
          </w:rPr>
          <w:t>Shaiq Ali et al., 2005</w:t>
        </w:r>
      </w:hyperlink>
      <w:r>
        <w:rPr>
          <w:rFonts w:ascii="Times New Roman" w:hAnsi="Times New Roman" w:cs="Times New Roman"/>
          <w:noProof/>
          <w:sz w:val="24"/>
          <w:szCs w:val="24"/>
        </w:rPr>
        <w:t xml:space="preserve">; </w:t>
      </w:r>
      <w:hyperlink w:anchor="_ENREF_84" w:tooltip="Umamaheswari, 2008 #71" w:history="1">
        <w:r w:rsidR="00364DED">
          <w:rPr>
            <w:rStyle w:val="Hyperlink"/>
          </w:rPr>
          <w:t>Umamaheswari et al., 2008</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Extracts from </w:t>
      </w:r>
      <w:r>
        <w:rPr>
          <w:rFonts w:ascii="Times New Roman" w:hAnsi="Times New Roman" w:cs="Times New Roman"/>
          <w:i/>
          <w:iCs/>
          <w:sz w:val="24"/>
          <w:szCs w:val="24"/>
        </w:rPr>
        <w:t xml:space="preserve">B. spectabilis </w:t>
      </w:r>
      <w:r>
        <w:rPr>
          <w:rFonts w:ascii="Times New Roman" w:hAnsi="Times New Roman" w:cs="Times New Roman"/>
          <w:sz w:val="24"/>
          <w:szCs w:val="24"/>
        </w:rPr>
        <w:t xml:space="preserve">showed different biological activities such as anti-inflammatory activity in experimental animal models </w:t>
      </w:r>
      <w:r>
        <w:fldChar w:fldCharType="begin"/>
      </w:r>
      <w:r>
        <w:instrText xml:space="preserve"> ADDIN EN.CITE &lt;EndNote&gt;&lt;Cite&gt;&lt;Author&gt;Mandal&lt;/Author&gt;&lt;Year&gt;2015&lt;/Year&gt;&lt;RecNum&gt;27&lt;/RecNum&gt;&lt;DisplayText&gt;(Mandal et al., 2015)&lt;/DisplayText&gt;&lt;record&gt;&lt;rec-number&gt;27&lt;/rec-number&gt;&lt;foreign-keys&gt;&lt;key app="EN" db-id="ra9v9ftd2frrvye2et45af2dwpvf99aw5evt" timestamp="1644790041"&gt;27&lt;/key&gt;&lt;/foreign-keys&gt;&lt;ref-type name="Journal Article"&gt;17&lt;/ref-type&gt;&lt;contributors&gt;&lt;authors&gt;&lt;author&gt;Mandal, Gautam&lt;/author&gt;&lt;author&gt;Chatterjee, Chandan&lt;/author&gt;&lt;author&gt;Chatterjee, Mitali&lt;/author&gt;&lt;/authors&gt;&lt;/contributors&gt;&lt;titles&gt;&lt;title&gt;&lt;style face="normal" font="default" size="100%"&gt;Evaluation of anti-inflammatory activity of methanolic extract of leaves of &lt;/style&gt;&lt;style face="italic" font="default" size="100%"&gt;Bougainvillea spectabilis &lt;/style&gt;&lt;style face="normal" font="default" size="100%"&gt;in experimental animal models&lt;/style&gt;&lt;/title&gt;&lt;secondary-title&gt;Pharmacognosy research&lt;/secondary-title&gt;&lt;alt-title&gt;Pharmacognosy Res&lt;/alt-title&gt;&lt;/titles&gt;&lt;periodical&gt;&lt;full-title&gt;Pharmacognosy research&lt;/full-title&gt;&lt;abbr-1&gt;Pharmacognosy Res&lt;/abbr-1&gt;&lt;/periodical&gt;&lt;alt-periodical&gt;&lt;full-title&gt;Pharmacognosy research&lt;/full-title&gt;&lt;abbr-1&gt;Pharmacognosy Res&lt;/abbr-1&gt;&lt;/alt-periodical&gt;&lt;pages&gt;18-22&lt;/pages&gt;&lt;volume&gt;7&lt;/volume&gt;&lt;number&gt;1&lt;/number&gt;&lt;keywords&gt;&lt;keyword&gt;Anti-inflammatory&lt;/keyword&gt;&lt;keyword&gt;Bougainvillea spectabilis&lt;/keyword&gt;&lt;keyword&gt;immunoregulatory&lt;/keyword&gt;&lt;/keywords&gt;&lt;dates&gt;&lt;year&gt;2015&lt;/year&gt;&lt;pub-dates&gt;&lt;date&gt;Jan-Mar&lt;/date&gt;&lt;/pub-dates&gt;&lt;/dates&gt;&lt;publisher&gt;Medknow Publications &amp;amp; Media Pvt Ltd&lt;/publisher&gt;&lt;isbn&gt;0976-4836&amp;#xD;0974-8490&lt;/isbn&gt;&lt;accession-num&gt;25598630&lt;/accession-num&gt;&lt;urls&gt;&lt;related-urls&gt;&lt;url&gt;https://pubmed.ncbi.nlm.nih.gov/25598630&lt;/url&gt;&lt;url&gt;https://www.ncbi.nlm.nih.gov/pmc/articles/PMC4285644/&lt;/url&gt;&lt;/related-urls&gt;&lt;/urls&gt;&lt;electronic-resource-num&gt;10.4103/0974-8490.147194&lt;/electronic-resource-num&gt;&lt;remote-database-name&gt;PubMed&lt;/remote-database-name&gt;&lt;language&gt;eng&lt;/language&gt;&lt;/record&gt;&lt;/Cite&gt;&lt;/EndNote&gt;</w:instrText>
      </w:r>
      <w:r>
        <w:fldChar w:fldCharType="separate"/>
      </w:r>
      <w:r>
        <w:rPr>
          <w:noProof/>
        </w:rPr>
        <w:t>(</w:t>
      </w:r>
      <w:hyperlink w:anchor="_ENREF_45" w:tooltip="Mandal, 2015 #27" w:history="1">
        <w:r w:rsidR="00364DED">
          <w:rPr>
            <w:rStyle w:val="Hyperlink"/>
          </w:rPr>
          <w:t>Mandal et al., 2015</w:t>
        </w:r>
      </w:hyperlink>
      <w:r>
        <w:rPr>
          <w:noProof/>
        </w:rPr>
        <w:t>)</w:t>
      </w:r>
      <w:r>
        <w:fldChar w:fldCharType="end"/>
      </w:r>
      <w:r>
        <w:rPr>
          <w:rFonts w:ascii="Times New Roman" w:hAnsi="Times New Roman" w:cs="Times New Roman"/>
          <w:sz w:val="24"/>
          <w:szCs w:val="24"/>
        </w:rPr>
        <w:t xml:space="preserve">. The leaves ethanolic extract observed antihyperglycemic activity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4" w:tooltip="Malviya, 2010 #28" w:history="1">
        <w:r w:rsidR="00364DED">
          <w:rPr>
            <w:rStyle w:val="Hyperlink"/>
          </w:rPr>
          <w:t>Malviya et al., 2010</w:t>
        </w:r>
      </w:hyperlink>
      <w:r>
        <w:rPr>
          <w:rFonts w:ascii="Times New Roman" w:hAnsi="Times New Roman" w:cs="Times New Roman"/>
          <w:noProof/>
          <w:sz w:val="24"/>
          <w:szCs w:val="24"/>
        </w:rPr>
        <w:t xml:space="preserve">; </w:t>
      </w:r>
      <w:hyperlink w:anchor="_ENREF_63" w:tooltip="Purohit, 2006 #29" w:history="1">
        <w:r w:rsidR="00364DED">
          <w:rPr>
            <w:rStyle w:val="Hyperlink"/>
          </w:rPr>
          <w:t>Purohit and Sharma, 2006</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and antioxidant activity </w:t>
      </w:r>
      <w:r>
        <w:fldChar w:fldCharType="begin"/>
      </w:r>
      <w:r>
        <w:instrText xml:space="preserve"> ADDIN EN.CITE &lt;EndNote&gt;&lt;Cite&gt;&lt;Author&gt;Venkatachalam&lt;/Author&gt;&lt;Year&gt;2012&lt;/Year&gt;&lt;RecNum&gt;34&lt;/RecNum&gt;&lt;DisplayText&gt;(Venkatachalam et al., 2012)&lt;/DisplayText&gt;&lt;record&gt;&lt;rec-number&gt;34&lt;/rec-number&gt;&lt;foreign-keys&gt;&lt;key app="EN" db-id="ra9v9ftd2frrvye2et45af2dwpvf99aw5evt" timestamp="1646941174"&gt;34&lt;/key&gt;&lt;/foreign-keys&gt;&lt;ref-type name="Journal Article"&gt;17&lt;/ref-type&gt;&lt;contributors&gt;&lt;authors&gt;&lt;author&gt;Venkatachalam, Ravi Narayan&lt;/author&gt;&lt;author&gt;Singh, K&lt;/author&gt;&lt;author&gt;Marar, T&lt;/author&gt;&lt;/authors&gt;&lt;/contributors&gt;&lt;titles&gt;&lt;title&gt;&lt;style face="italic" font="default" size="100%"&gt;Bougainvillea spectabilis&lt;/style&gt;&lt;style face="normal" font="default" size="100%"&gt;, a good source of antioxidant phytochemicals&lt;/style&gt;&lt;/title&gt;&lt;secondary-title&gt;Research Journal of Pharmaceutical, Biological and Chemical Sciences&lt;/secondary-title&gt;&lt;/titles&gt;&lt;periodical&gt;&lt;full-title&gt;Research Journal of Pharmaceutical, Biological and Chemical Sciences&lt;/full-title&gt;&lt;/periodical&gt;&lt;pages&gt;605-613&lt;/pages&gt;&lt;volume&gt;3&lt;/volume&gt;&lt;number&gt;3&lt;/number&gt;&lt;dates&gt;&lt;year&gt;2012&lt;/year&gt;&lt;/dates&gt;&lt;urls&gt;&lt;/urls&gt;&lt;/record&gt;&lt;/Cite&gt;&lt;/EndNote&gt;</w:instrText>
      </w:r>
      <w:r>
        <w:fldChar w:fldCharType="separate"/>
      </w:r>
      <w:r>
        <w:rPr>
          <w:noProof/>
        </w:rPr>
        <w:t>(</w:t>
      </w:r>
      <w:hyperlink w:anchor="_ENREF_87" w:tooltip="Venkatachalam, 2012 #34" w:history="1">
        <w:r w:rsidR="00364DED">
          <w:rPr>
            <w:rStyle w:val="Hyperlink"/>
          </w:rPr>
          <w:t>Venkatachalam et al., 2012</w:t>
        </w:r>
      </w:hyperlink>
      <w:r>
        <w:rPr>
          <w:noProof/>
        </w:rPr>
        <w:t>)</w:t>
      </w:r>
      <w:r>
        <w:fldChar w:fldCharType="end"/>
      </w:r>
      <w:r>
        <w:rPr>
          <w:rFonts w:ascii="Times New Roman" w:hAnsi="Times New Roman" w:cs="Times New Roman"/>
          <w:sz w:val="24"/>
          <w:szCs w:val="24"/>
        </w:rPr>
        <w:t xml:space="preserve">, and the aqueous root bark extract has </w:t>
      </w:r>
      <w:proofErr w:type="spellStart"/>
      <w:r>
        <w:rPr>
          <w:rFonts w:ascii="Times New Roman" w:hAnsi="Times New Roman" w:cs="Times New Roman"/>
          <w:sz w:val="24"/>
          <w:szCs w:val="24"/>
        </w:rPr>
        <w:t>hypoglycaemic</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hyoplipidaemic</w:t>
      </w:r>
      <w:proofErr w:type="spellEnd"/>
      <w:r>
        <w:rPr>
          <w:rFonts w:ascii="Times New Roman" w:hAnsi="Times New Roman" w:cs="Times New Roman"/>
          <w:sz w:val="24"/>
          <w:szCs w:val="24"/>
        </w:rPr>
        <w:t xml:space="preserve"> activity in diabetic rats </w:t>
      </w:r>
      <w:r>
        <w:fldChar w:fldCharType="begin"/>
      </w:r>
      <w:r>
        <w:instrText xml:space="preserve"> ADDIN EN.CITE &lt;EndNote&gt;&lt;Cite&gt;&lt;Author&gt;Jawla&lt;/Author&gt;&lt;Year&gt;2012&lt;/Year&gt;&lt;RecNum&gt;32&lt;/RecNum&gt;&lt;DisplayText&gt;(Jawla et al., 2012)&lt;/DisplayText&gt;&lt;record&gt;&lt;rec-number&gt;32&lt;/rec-number&gt;&lt;foreign-keys&gt;&lt;key app="EN" db-id="ra9v9ftd2frrvye2et45af2dwpvf99aw5evt" timestamp="1644791843"&gt;32&lt;/key&gt;&lt;/foreign-keys&gt;&lt;ref-type name="Journal Article"&gt;17&lt;/ref-type&gt;&lt;contributors&gt;&lt;authors&gt;&lt;author&gt;Jawla, Sunil&lt;/author&gt;&lt;author&gt;Kumar, Y.&lt;/author&gt;&lt;author&gt;Khan, M. S. Y.&lt;/author&gt;&lt;/authors&gt;&lt;/contributors&gt;&lt;titles&gt;&lt;title&gt;&lt;style face="normal" font="default" size="100%"&gt;Hypoglycemic activity of &lt;/style&gt;&lt;style face="italic" font="default" size="100%"&gt;Bougainvillea spectabilis&lt;/style&gt;&lt;style face="normal" font="default" size="100%"&gt; stem bark in normal and alloxan-induced diabetic rats&lt;/style&gt;&lt;/title&gt;&lt;secondary-title&gt;Asian Pacific Journal of Tropical Biomedicine&lt;/secondary-title&gt;&lt;/titles&gt;&lt;periodical&gt;&lt;full-title&gt;Asian Pacific Journal of Tropical Biomedicine&lt;/full-title&gt;&lt;/periodical&gt;&lt;pages&gt;S919-S923&lt;/pages&gt;&lt;volume&gt;2&lt;/volume&gt;&lt;number&gt;2, Supplement&lt;/number&gt;&lt;keywords&gt;&lt;keyword&gt;Stem bark&lt;/keyword&gt;&lt;keyword&gt;Hypoglycemic activity&lt;/keyword&gt;&lt;keyword&gt;Blood glucose level&lt;/keyword&gt;&lt;keyword&gt;Glibenclamide&lt;/keyword&gt;&lt;keyword&gt;Alloxan&lt;/keyword&gt;&lt;/keywords&gt;&lt;dates&gt;&lt;year&gt;2012&lt;/year&gt;&lt;pub-dates&gt;&lt;date&gt;2012/02/01/&lt;/date&gt;&lt;/pub-dates&gt;&lt;/dates&gt;&lt;isbn&gt;2221-1691&lt;/isbn&gt;&lt;urls&gt;&lt;related-urls&gt;&lt;url&gt;https://www.sciencedirect.com/science/article/pii/S2221169112603372&lt;/url&gt;&lt;/related-urls&gt;&lt;/urls&gt;&lt;electronic-resource-num&gt;https://doi.org/10.1016/S2221-1691(12)60337-2&lt;/electronic-resource-num&gt;&lt;/record&gt;&lt;/Cite&gt;&lt;/EndNote&gt;</w:instrText>
      </w:r>
      <w:r>
        <w:fldChar w:fldCharType="separate"/>
      </w:r>
      <w:r>
        <w:rPr>
          <w:noProof/>
        </w:rPr>
        <w:t>(</w:t>
      </w:r>
      <w:hyperlink w:anchor="_ENREF_38" w:tooltip="Jawla, 2012 #32" w:history="1">
        <w:r w:rsidR="00364DED">
          <w:rPr>
            <w:rStyle w:val="Hyperlink"/>
          </w:rPr>
          <w:t>Jawla et al., 2012</w:t>
        </w:r>
      </w:hyperlink>
      <w:r>
        <w:rPr>
          <w:noProof/>
        </w:rPr>
        <w:t>)</w:t>
      </w:r>
      <w: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Bougainvinone</w:t>
      </w:r>
      <w:proofErr w:type="spellEnd"/>
      <w:r>
        <w:rPr>
          <w:rFonts w:ascii="Times New Roman" w:hAnsi="Times New Roman" w:cs="Times New Roman"/>
          <w:sz w:val="24"/>
          <w:szCs w:val="24"/>
        </w:rPr>
        <w:t xml:space="preserve"> G was isolated and identified from the stem bark of </w:t>
      </w:r>
      <w:r>
        <w:rPr>
          <w:rFonts w:ascii="Times New Roman" w:hAnsi="Times New Roman" w:cs="Times New Roman"/>
          <w:i/>
          <w:iCs/>
          <w:sz w:val="24"/>
          <w:szCs w:val="24"/>
        </w:rPr>
        <w:t xml:space="preserve">B. spectabilis </w:t>
      </w:r>
      <w:r>
        <w:rPr>
          <w:rFonts w:ascii="Times New Roman" w:hAnsi="Times New Roman" w:cs="Times New Roman"/>
          <w:sz w:val="24"/>
          <w:szCs w:val="24"/>
        </w:rPr>
        <w:t xml:space="preserve">and showed cytotoxicity against five cancer cell lines </w:t>
      </w:r>
      <w:r>
        <w:fldChar w:fldCharType="begin"/>
      </w:r>
      <w:r>
        <w:instrText xml:space="preserve"> ADDIN EN.CITE &lt;EndNote&gt;&lt;Cite&gt;&lt;Author&gt;Do&lt;/Author&gt;&lt;Year&gt;2016&lt;/Year&gt;&lt;RecNum&gt;88&lt;/RecNum&gt;&lt;DisplayText&gt;(Do et al., 2016)&lt;/DisplayText&gt;&lt;record&gt;&lt;rec-number&gt;88&lt;/rec-number&gt;&lt;foreign-keys&gt;&lt;key app="EN" db-id="ra9v9ftd2frrvye2et45af2dwpvf99aw5evt" timestamp="1706307290"&gt;88&lt;/key&gt;&lt;/foreign-keys&gt;&lt;ref-type name="Journal Article"&gt;17&lt;/ref-type&gt;&lt;contributors&gt;&lt;authors&gt;&lt;author&gt;Do, Lien T. M.&lt;/author&gt;&lt;author&gt;Aree, Thammarat&lt;/author&gt;&lt;author&gt;Siripong, Pongpun&lt;/author&gt;&lt;author&gt;Pham, Tuyen N. K.&lt;/author&gt;&lt;author&gt;Nguyen, Phung K. P.&lt;/author&gt;&lt;author&gt;Tip-pyang, Santi&lt;/author&gt;&lt;/authors&gt;&lt;/contributors&gt;&lt;titles&gt;&lt;title&gt;&lt;style face="normal" font="default" size="100%"&gt;Bougainvinones A–H, Peltogynoids from the Stem Bark of Purple &lt;/style&gt;&lt;style face="italic" font="default" size="100%"&gt;Bougainvillea spectabilis &lt;/style&gt;&lt;style face="normal" font="default" size="100%"&gt;and Their Cytotoxic Activity&lt;/style&gt;&lt;/title&gt;&lt;secondary-title&gt;Journal of Natural Products&lt;/secondary-title&gt;&lt;/titles&gt;&lt;periodical&gt;&lt;full-title&gt;Journal of Natural Products&lt;/full-title&gt;&lt;/periodical&gt;&lt;pages&gt;939-945&lt;/pages&gt;&lt;volume&gt;79&lt;/volume&gt;&lt;number&gt;4&lt;/number&gt;&lt;dates&gt;&lt;year&gt;2016&lt;/year&gt;&lt;pub-dates&gt;&lt;date&gt;2016/04/22&lt;/date&gt;&lt;/pub-dates&gt;&lt;/dates&gt;&lt;publisher&gt;American Chemical Society&lt;/publisher&gt;&lt;isbn&gt;0163-3864&lt;/isbn&gt;&lt;urls&gt;&lt;related-urls&gt;&lt;url&gt;https://doi.org/10.1021/acs.jnatprod.5b00996&lt;/url&gt;&lt;/related-urls&gt;&lt;/urls&gt;&lt;electronic-resource-num&gt;10.1021/acs.jnatprod.5b00996&lt;/electronic-resource-num&gt;&lt;/record&gt;&lt;/Cite&gt;&lt;/EndNote&gt;</w:instrText>
      </w:r>
      <w:r>
        <w:fldChar w:fldCharType="separate"/>
      </w:r>
      <w:r>
        <w:rPr>
          <w:noProof/>
        </w:rPr>
        <w:t>(</w:t>
      </w:r>
      <w:hyperlink w:anchor="_ENREF_29" w:tooltip="Do, 2016 #88" w:history="1">
        <w:r w:rsidR="00364DED">
          <w:rPr>
            <w:rStyle w:val="Hyperlink"/>
          </w:rPr>
          <w:t>Do et al., 2016</w:t>
        </w:r>
      </w:hyperlink>
      <w:r>
        <w:rPr>
          <w:noProof/>
        </w:rPr>
        <w:t>)</w:t>
      </w:r>
      <w: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Spinasterol</w:t>
      </w:r>
      <w:proofErr w:type="spellEnd"/>
      <w:r>
        <w:rPr>
          <w:rFonts w:ascii="Times New Roman" w:hAnsi="Times New Roman" w:cs="Times New Roman"/>
          <w:sz w:val="24"/>
          <w:szCs w:val="24"/>
        </w:rPr>
        <w:t xml:space="preserve">, and quercetin were also isolated from leaf extract </w:t>
      </w:r>
      <w:r>
        <w:fldChar w:fldCharType="begin"/>
      </w:r>
      <w:r>
        <w:instrText xml:space="preserve"> ADDIN EN.CITE &lt;EndNote&gt;&lt;Cite&gt;&lt;Author&gt;Chang&lt;/Author&gt;&lt;Year&gt;1993&lt;/Year&gt;&lt;RecNum&gt;41&lt;/RecNum&gt;&lt;DisplayText&gt;(Chang et al., 1993)&lt;/DisplayText&gt;&lt;record&gt;&lt;rec-number&gt;41&lt;/rec-number&gt;&lt;foreign-keys&gt;&lt;key app="EN" db-id="ra9v9ftd2frrvye2et45af2dwpvf99aw5evt" timestamp="1647200781"&gt;41&lt;/key&gt;&lt;/foreign-keys&gt;&lt;ref-type name="Journal Article"&gt;17&lt;/ref-type&gt;&lt;contributors&gt;&lt;authors&gt;&lt;author&gt;Chang, W. S.&lt;/author&gt;&lt;author&gt;Lee, Y. J.&lt;/author&gt;&lt;author&gt;Lu, F. J.&lt;/author&gt;&lt;author&gt;Chiang, H. C.&lt;/author&gt;&lt;/authors&gt;&lt;/contributors&gt;&lt;auth-address&gt;School of Pharmacy, College of Medicine, National Taiwan University, Taipei, R.O.C.&lt;/auth-address&gt;&lt;titles&gt;&lt;title&gt;Inhibitory effects of flavonoids on xanthine oxidase&lt;/title&gt;&lt;secondary-title&gt;Anticancer research&lt;/secondary-title&gt;&lt;alt-title&gt;Anticancer Res&lt;/alt-title&gt;&lt;/titles&gt;&lt;periodical&gt;&lt;full-title&gt;Anticancer research&lt;/full-title&gt;&lt;abbr-1&gt;Anticancer Res&lt;/abbr-1&gt;&lt;/periodical&gt;&lt;alt-periodical&gt;&lt;full-title&gt;Anticancer research&lt;/full-title&gt;&lt;abbr-1&gt;Anticancer Res&lt;/abbr-1&gt;&lt;/alt-periodical&gt;&lt;pages&gt;2165-2170&lt;/pages&gt;&lt;volume&gt;13&lt;/volume&gt;&lt;number&gt;6A&lt;/number&gt;&lt;keywords&gt;&lt;keyword&gt;Flavanones&lt;/keyword&gt;&lt;/keywords&gt;&lt;dates&gt;&lt;year&gt;1993&lt;/year&gt;&lt;pub-dates&gt;&lt;date&gt;1993 Nov-Dec&lt;/date&gt;&lt;/pub-dates&gt;&lt;/dates&gt;&lt;isbn&gt;0250-7005&lt;/isbn&gt;&lt;accession-num&gt;8297130&lt;/accession-num&gt;&lt;urls&gt;&lt;related-urls&gt;&lt;url&gt;http://europepmc.org/abstract/MED/8297130&lt;/url&gt;&lt;/related-urls&gt;&lt;/urls&gt;&lt;remote-database-name&gt;PubMed&lt;/remote-database-name&gt;&lt;language&gt;eng&lt;/language&gt;&lt;/record&gt;&lt;/Cite&gt;&lt;/EndNote&gt;</w:instrText>
      </w:r>
      <w:r>
        <w:fldChar w:fldCharType="separate"/>
      </w:r>
      <w:r>
        <w:rPr>
          <w:noProof/>
        </w:rPr>
        <w:t>(</w:t>
      </w:r>
      <w:hyperlink w:anchor="_ENREF_26" w:tooltip="Chang, 1993 #41" w:history="1">
        <w:r w:rsidR="00364DED">
          <w:rPr>
            <w:rStyle w:val="Hyperlink"/>
          </w:rPr>
          <w:t>Chang et al., 1993</w:t>
        </w:r>
      </w:hyperlink>
      <w:r>
        <w:rPr>
          <w:noProof/>
        </w:rPr>
        <w:t>)</w:t>
      </w:r>
      <w:r>
        <w:fldChar w:fldCharType="end"/>
      </w:r>
      <w:r>
        <w:rPr>
          <w:rFonts w:ascii="Times New Roman" w:hAnsi="Times New Roman" w:cs="Times New Roman"/>
          <w:sz w:val="24"/>
          <w:szCs w:val="24"/>
        </w:rPr>
        <w:t xml:space="preserve">. Root and branch extracts showed the presence of fatty acids and fatty alcohols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80" w:tooltip="Sumitra, 2009 #43" w:history="1">
        <w:r w:rsidR="00364DED">
          <w:rPr>
            <w:rStyle w:val="Hyperlink"/>
          </w:rPr>
          <w:t>Sumitra et al., 2009</w:t>
        </w:r>
      </w:hyperlink>
      <w:r>
        <w:rPr>
          <w:rFonts w:ascii="Times New Roman" w:hAnsi="Times New Roman" w:cs="Times New Roman"/>
          <w:noProof/>
          <w:sz w:val="24"/>
          <w:szCs w:val="24"/>
        </w:rPr>
        <w:t xml:space="preserve">; </w:t>
      </w:r>
      <w:hyperlink w:anchor="_ENREF_88" w:tooltip="Vukovic, 2013 #42" w:history="1">
        <w:r w:rsidR="00364DED">
          <w:rPr>
            <w:rStyle w:val="Hyperlink"/>
          </w:rPr>
          <w:t>Vukovic et al., 2013</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14:paraId="65D82D5B" w14:textId="77777777" w:rsidR="00364DED" w:rsidRDefault="00A70A1E">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Eight </w:t>
      </w:r>
      <w:proofErr w:type="spellStart"/>
      <w:r>
        <w:rPr>
          <w:rFonts w:ascii="Times New Roman" w:hAnsi="Times New Roman" w:cs="Times New Roman"/>
          <w:sz w:val="24"/>
          <w:szCs w:val="24"/>
        </w:rPr>
        <w:t>peltogynoids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vogainvinone</w:t>
      </w:r>
      <w:proofErr w:type="spellEnd"/>
      <w:r>
        <w:rPr>
          <w:rFonts w:ascii="Times New Roman" w:hAnsi="Times New Roman" w:cs="Times New Roman"/>
          <w:sz w:val="24"/>
          <w:szCs w:val="24"/>
        </w:rPr>
        <w:t xml:space="preserve"> from A to M, flavonoid compounds, have been isolated from stem-bark </w:t>
      </w:r>
      <w:r>
        <w:fldChar w:fldCharType="begin"/>
      </w:r>
      <w:r>
        <w:instrText xml:space="preserve"> ADDIN EN.CITE &lt;EndNote&gt;&lt;Cite&gt;&lt;Author&gt;Do&lt;/Author&gt;&lt;Year&gt;2016&lt;/Year&gt;&lt;RecNum&gt;22&lt;/RecNum&gt;&lt;DisplayText&gt;(Do et al., 2016)&lt;/DisplayText&gt;&lt;record&gt;&lt;rec-number&gt;22&lt;/rec-number&gt;&lt;foreign-keys&gt;&lt;key app="EN" db-id="ra9v9ftd2frrvye2et45af2dwpvf99aw5evt" timestamp="1644707638"&gt;22&lt;/key&gt;&lt;/foreign-keys&gt;&lt;ref-type name="Journal Article"&gt;17&lt;/ref-type&gt;&lt;contributors&gt;&lt;authors&gt;&lt;author&gt;Do, Lien T. M.&lt;/author&gt;&lt;author&gt;Aree, Thammarat&lt;/author&gt;&lt;author&gt;Siripong, Pongpun&lt;/author&gt;&lt;author&gt;Pham, Tuyen N. K.&lt;/author&gt;&lt;author&gt;Nguyen, Phung K. P.&lt;/author&gt;&lt;author&gt;Tip-pyang, Santi&lt;/author&gt;&lt;/authors&gt;&lt;/contributors&gt;&lt;titles&gt;&lt;title&gt;&lt;style face="normal" font="default" size="100%"&gt;Bougainvinones A–H, Peltogynoids from the Stem Bark of Purple &lt;/style&gt;&lt;style face="italic" font="default" size="100%"&gt;Bougainvillea spectabilis &lt;/style&gt;&lt;style face="normal" font="default" size="100%"&gt;and Their Cytotoxic Activity&lt;/style&gt;&lt;/title&gt;&lt;secondary-title&gt;Journal of Natural Products&lt;/secondary-title&gt;&lt;/titles&gt;&lt;periodical&gt;&lt;full-title&gt;Journal of Natural Products&lt;/full-title&gt;&lt;/periodical&gt;&lt;pages&gt;939-945&lt;/pages&gt;&lt;volume&gt;79&lt;/volume&gt;&lt;number&gt;4&lt;/number&gt;&lt;dates&gt;&lt;year&gt;2016&lt;/year&gt;&lt;pub-dates&gt;&lt;date&gt;2016/04/22&lt;/date&gt;&lt;/pub-dates&gt;&lt;/dates&gt;&lt;publisher&gt;American Chemical Society&lt;/publisher&gt;&lt;isbn&gt;0163-3864&lt;/isbn&gt;&lt;urls&gt;&lt;related-urls&gt;&lt;url&gt;https://doi.org/10.1021/acs.jnatprod.5b00996&lt;/url&gt;&lt;/related-urls&gt;&lt;/urls&gt;&lt;electronic-resource-num&gt;10.1021/acs.jnatprod.5b00996&lt;/electronic-resource-num&gt;&lt;/record&gt;&lt;/Cite&gt;&lt;/EndNote&gt;</w:instrText>
      </w:r>
      <w:r>
        <w:fldChar w:fldCharType="separate"/>
      </w:r>
      <w:r>
        <w:rPr>
          <w:noProof/>
        </w:rPr>
        <w:t>(</w:t>
      </w:r>
      <w:hyperlink w:anchor="_ENREF_29" w:tooltip="Do, 2016 #88" w:history="1">
        <w:r w:rsidR="00364DED">
          <w:rPr>
            <w:rStyle w:val="Hyperlink"/>
          </w:rPr>
          <w:t>Do et al., 2016</w:t>
        </w:r>
      </w:hyperlink>
      <w:r>
        <w:rPr>
          <w:noProof/>
        </w:rPr>
        <w:t>)</w:t>
      </w:r>
      <w:r>
        <w:fldChar w:fldCharType="end"/>
      </w:r>
      <w:r>
        <w:rPr>
          <w:rFonts w:ascii="Times New Roman" w:hAnsi="Times New Roman" w:cs="Times New Roman"/>
          <w:sz w:val="24"/>
          <w:szCs w:val="24"/>
        </w:rPr>
        <w:t xml:space="preserve">. Volatile compounds mainly methyl salicylate terpinolene, 2-furfural cadina-1, 4-diene, and linalool </w:t>
      </w:r>
      <w:r>
        <w:fldChar w:fldCharType="begin"/>
      </w:r>
      <w:r>
        <w:instrText xml:space="preserve"> ADDIN EN.CITE &lt;EndNote&gt;&lt;Cite&gt;&lt;Author&gt;Sumitra&lt;/Author&gt;&lt;Year&gt;2009&lt;/Year&gt;&lt;RecNum&gt;43&lt;/RecNum&gt;&lt;DisplayText&gt;(Sumitra et al., 2009)&lt;/DisplayText&gt;&lt;record&gt;&lt;rec-number&gt;43&lt;/rec-number&gt;&lt;foreign-keys&gt;&lt;key app="EN" db-id="ra9v9ftd2frrvye2et45af2dwpvf99aw5evt" timestamp="1647201711"&gt;43&lt;/key&gt;&lt;/foreign-keys&gt;&lt;ref-type name="Journal Article"&gt;17&lt;/ref-type&gt;&lt;contributors&gt;&lt;authors&gt;&lt;author&gt;Sumitra, Singh&lt;/author&gt;&lt;author&gt;Reddu, Sanjay K&lt;/author&gt;&lt;author&gt;Sharma, Surendra K&lt;/author&gt;&lt;author&gt;Mohammad, Ali&lt;/author&gt;&lt;/authors&gt;&lt;/contributors&gt;&lt;titles&gt;&lt;title&gt;&lt;style face="normal" font="default" size="100%"&gt;New unsaturated fatty acid from roots of &lt;/style&gt;&lt;style face="italic" font="default" size="100%"&gt;Bougainvillea spectabilis&lt;/style&gt;&lt;style face="normal" font="default" size="100%"&gt; Willd&lt;/style&gt;&lt;/title&gt;&lt;secondary-title&gt;Asian Journal of Chemistry&lt;/secondary-title&gt;&lt;/titles&gt;&lt;periodical&gt;&lt;full-title&gt;Asian Journal of Chemistry&lt;/full-title&gt;&lt;/periodical&gt;&lt;pages&gt;4744-4748&lt;/pages&gt;&lt;volume&gt;21&lt;/volume&gt;&lt;number&gt;6&lt;/number&gt;&lt;dates&gt;&lt;year&gt;2009&lt;/year&gt;&lt;/dates&gt;&lt;isbn&gt;0970-7077&lt;/isbn&gt;&lt;urls&gt;&lt;/urls&gt;&lt;/record&gt;&lt;/Cite&gt;&lt;/EndNote&gt;</w:instrText>
      </w:r>
      <w:r>
        <w:fldChar w:fldCharType="separate"/>
      </w:r>
      <w:r>
        <w:rPr>
          <w:noProof/>
        </w:rPr>
        <w:t>(</w:t>
      </w:r>
      <w:hyperlink w:anchor="_ENREF_80" w:tooltip="Sumitra, 2009 #43" w:history="1">
        <w:r w:rsidR="00364DED">
          <w:rPr>
            <w:rStyle w:val="Hyperlink"/>
          </w:rPr>
          <w:t>Sumitra et al., 2009</w:t>
        </w:r>
      </w:hyperlink>
      <w:r>
        <w:rPr>
          <w:noProof/>
        </w:rPr>
        <w:t>)</w:t>
      </w:r>
      <w:r>
        <w:fldChar w:fldCharType="end"/>
      </w:r>
      <w:r>
        <w:rPr>
          <w:rFonts w:ascii="Times New Roman" w:hAnsi="Times New Roman" w:cs="Times New Roman"/>
          <w:sz w:val="24"/>
          <w:szCs w:val="24"/>
        </w:rPr>
        <w:t xml:space="preserve"> have been reported in leaves and branches. In lab testing, an extract from the leaves of </w:t>
      </w:r>
      <w:r>
        <w:rPr>
          <w:rFonts w:ascii="Times New Roman" w:hAnsi="Times New Roman" w:cs="Times New Roman"/>
          <w:i/>
          <w:iCs/>
          <w:sz w:val="24"/>
          <w:szCs w:val="24"/>
        </w:rPr>
        <w:t xml:space="preserve">B. </w:t>
      </w:r>
      <w:proofErr w:type="spellStart"/>
      <w:r>
        <w:rPr>
          <w:rFonts w:ascii="Times New Roman" w:hAnsi="Times New Roman" w:cs="Times New Roman"/>
          <w:i/>
          <w:iCs/>
          <w:sz w:val="24"/>
          <w:szCs w:val="24"/>
        </w:rPr>
        <w:t>spectabilis</w:t>
      </w:r>
      <w:proofErr w:type="spellEnd"/>
      <w:r>
        <w:rPr>
          <w:rFonts w:ascii="Times New Roman" w:hAnsi="Times New Roman" w:cs="Times New Roman"/>
          <w:sz w:val="24"/>
          <w:szCs w:val="24"/>
        </w:rPr>
        <w:t xml:space="preserve"> suppressed the </w:t>
      </w:r>
      <w:proofErr w:type="spellStart"/>
      <w:r>
        <w:rPr>
          <w:rFonts w:ascii="Times New Roman" w:hAnsi="Times New Roman" w:cs="Times New Roman"/>
          <w:sz w:val="24"/>
          <w:szCs w:val="24"/>
        </w:rPr>
        <w:lastRenderedPageBreak/>
        <w:t>tospovirus</w:t>
      </w:r>
      <w:proofErr w:type="spellEnd"/>
      <w:r>
        <w:rPr>
          <w:rFonts w:ascii="Times New Roman" w:hAnsi="Times New Roman" w:cs="Times New Roman"/>
          <w:sz w:val="24"/>
          <w:szCs w:val="24"/>
        </w:rPr>
        <w:t xml:space="preserve"> responsible for tomato spotted wilt on </w:t>
      </w:r>
      <w:r>
        <w:rPr>
          <w:rFonts w:ascii="Times New Roman" w:hAnsi="Times New Roman" w:cs="Times New Roman"/>
          <w:i/>
          <w:iCs/>
          <w:sz w:val="24"/>
          <w:szCs w:val="24"/>
        </w:rPr>
        <w:t>Capsicum annum</w:t>
      </w:r>
      <w:r>
        <w:rPr>
          <w:rFonts w:ascii="Times New Roman" w:hAnsi="Times New Roman" w:cs="Times New Roman"/>
          <w:sz w:val="24"/>
          <w:szCs w:val="24"/>
        </w:rPr>
        <w:t xml:space="preserve"> and groundwater </w:t>
      </w:r>
      <w:r>
        <w:fldChar w:fldCharType="begin"/>
      </w:r>
      <w:r>
        <w:instrText xml:space="preserve"> ADDIN EN.CITE &lt;EndNote&gt;&lt;Cite&gt;&lt;Author&gt;Balasaraswathi&lt;/Author&gt;&lt;Year&gt;1998&lt;/Year&gt;&lt;RecNum&gt;72&lt;/RecNum&gt;&lt;DisplayText&gt;(Balasaraswathi et al., 1998)&lt;/DisplayText&gt;&lt;record&gt;&lt;rec-number&gt;72&lt;/rec-number&gt;&lt;foreign-keys&gt;&lt;key app="EN" db-id="ra9v9ftd2frrvye2et45af2dwpvf99aw5evt" timestamp="1706046155"&gt;72&lt;/key&gt;&lt;/foreign-keys&gt;&lt;ref-type name="Journal Article"&gt;17&lt;/ref-type&gt;&lt;contributors&gt;&lt;authors&gt;&lt;author&gt;Balasaraswathi, R.&lt;/author&gt;&lt;author&gt;Sadasivam, S.&lt;/author&gt;&lt;author&gt;Ward, M.&lt;/author&gt;&lt;author&gt;Walker, J. M.&lt;/author&gt;&lt;/authors&gt;&lt;/contributors&gt;&lt;titles&gt;&lt;title&gt;&lt;style face="normal" font="default" size="100%"&gt;An antiviral protein from &lt;/style&gt;&lt;style face="italic" font="default" size="100%"&gt;Bougainvillea spectabilis&lt;/style&gt;&lt;style face="normal" font="default" size="100%"&gt; roots; purification and characterisation&lt;/style&gt;&lt;/title&gt;&lt;secondary-title&gt;Phytochemistry&lt;/secondary-title&gt;&lt;/titles&gt;&lt;periodical&gt;&lt;full-title&gt;Phytochemistry&lt;/full-title&gt;&lt;abbr-1&gt;Phytochemistry&lt;/abbr-1&gt;&lt;/periodical&gt;&lt;pages&gt;1561-1565&lt;/pages&gt;&lt;volume&gt;47&lt;/volume&gt;&lt;number&gt;8&lt;/number&gt;&lt;dates&gt;&lt;year&gt;1998&lt;/year&gt;&lt;pub-dates&gt;&lt;date&gt;1998/04/01/&lt;/date&gt;&lt;/pub-dates&gt;&lt;/dates&gt;&lt;isbn&gt;0031-9422&lt;/isbn&gt;&lt;urls&gt;&lt;related-urls&gt;&lt;url&gt;https://www.sciencedirect.com/science/article/pii/S0031942297007887&lt;/url&gt;&lt;/related-urls&gt;&lt;/urls&gt;&lt;electronic-resource-num&gt;https://doi.org/10.1016/S0031-9422(97)00788-7&lt;/electronic-resource-num&gt;&lt;/record&gt;&lt;/Cite&gt;&lt;/EndNote&gt;</w:instrText>
      </w:r>
      <w:r>
        <w:fldChar w:fldCharType="separate"/>
      </w:r>
      <w:r>
        <w:rPr>
          <w:noProof/>
        </w:rPr>
        <w:t>(</w:t>
      </w:r>
      <w:hyperlink w:anchor="_ENREF_20" w:tooltip="Balasaraswathi, 1998 #72" w:history="1">
        <w:r w:rsidR="00364DED">
          <w:rPr>
            <w:rStyle w:val="Hyperlink"/>
          </w:rPr>
          <w:t>Balasaraswathi et al., 1998</w:t>
        </w:r>
      </w:hyperlink>
      <w:r>
        <w:rPr>
          <w:noProof/>
        </w:rPr>
        <w:t>)</w:t>
      </w:r>
      <w:r>
        <w:fldChar w:fldCharType="end"/>
      </w:r>
      <w:r>
        <w:rPr>
          <w:rFonts w:ascii="Times New Roman" w:hAnsi="Times New Roman" w:cs="Times New Roman"/>
          <w:sz w:val="24"/>
          <w:szCs w:val="24"/>
        </w:rPr>
        <w:t xml:space="preserve">. The okra yellow vein mosaic virus infection was significantly reduced by using </w:t>
      </w:r>
      <w:r>
        <w:rPr>
          <w:rFonts w:ascii="Times New Roman" w:hAnsi="Times New Roman" w:cs="Times New Roman"/>
          <w:i/>
          <w:iCs/>
          <w:sz w:val="24"/>
          <w:szCs w:val="24"/>
        </w:rPr>
        <w:t>B. spectabilis</w:t>
      </w:r>
      <w:r>
        <w:rPr>
          <w:rFonts w:ascii="Times New Roman" w:hAnsi="Times New Roman" w:cs="Times New Roman"/>
          <w:sz w:val="24"/>
          <w:szCs w:val="24"/>
        </w:rPr>
        <w:t xml:space="preserve"> </w:t>
      </w:r>
      <w:r>
        <w:fldChar w:fldCharType="begin"/>
      </w:r>
      <w:r>
        <w:instrText xml:space="preserve"> ADDIN EN.CITE &lt;EndNote&gt;&lt;Cite&gt;&lt;Author&gt;Pun&lt;/Author&gt;&lt;Year&gt;1999&lt;/Year&gt;&lt;RecNum&gt;73&lt;/RecNum&gt;&lt;DisplayText&gt;(Pun et al., 1999)&lt;/DisplayText&gt;&lt;record&gt;&lt;rec-number&gt;73&lt;/rec-number&gt;&lt;foreign-keys&gt;&lt;key app="EN" db-id="ra9v9ftd2frrvye2et45af2dwpvf99aw5evt" timestamp="1706046512"&gt;73&lt;/key&gt;&lt;/foreign-keys&gt;&lt;ref-type name="Journal Article"&gt;17&lt;/ref-type&gt;&lt;contributors&gt;&lt;authors&gt;&lt;author&gt;Pun, KB&lt;/author&gt;&lt;author&gt;Doraiswamy, S&lt;/author&gt;&lt;author&gt;Jeyarajan, R&lt;/author&gt;&lt;/authors&gt;&lt;/contributors&gt;&lt;titles&gt;&lt;title&gt;Screening of plant species for the presence of antiviral principles against okra yellow vein mosaic virus&lt;/title&gt;&lt;secondary-title&gt;Indian Phytopathology&lt;/secondary-title&gt;&lt;/titles&gt;&lt;periodical&gt;&lt;full-title&gt;Indian Phytopathology&lt;/full-title&gt;&lt;/periodical&gt;&lt;pages&gt;221-223&lt;/pages&gt;&lt;volume&gt;52&lt;/volume&gt;&lt;number&gt;3&lt;/number&gt;&lt;dates&gt;&lt;year&gt;1999&lt;/year&gt;&lt;/dates&gt;&lt;isbn&gt;0367-973X&lt;/isbn&gt;&lt;urls&gt;&lt;/urls&gt;&lt;/record&gt;&lt;/Cite&gt;&lt;/EndNote&gt;</w:instrText>
      </w:r>
      <w:r>
        <w:fldChar w:fldCharType="separate"/>
      </w:r>
      <w:r>
        <w:rPr>
          <w:noProof/>
        </w:rPr>
        <w:t>(</w:t>
      </w:r>
      <w:hyperlink w:anchor="_ENREF_62" w:tooltip="Pun, 1999 #73" w:history="1">
        <w:r w:rsidR="00364DED">
          <w:rPr>
            <w:rStyle w:val="Hyperlink"/>
          </w:rPr>
          <w:t>Pun et al., 1999</w:t>
        </w:r>
      </w:hyperlink>
      <w:r>
        <w:rPr>
          <w:noProof/>
        </w:rPr>
        <w:t>)</w:t>
      </w:r>
      <w:r>
        <w:fldChar w:fldCharType="end"/>
      </w:r>
      <w:r>
        <w:rPr>
          <w:rFonts w:ascii="Times New Roman" w:hAnsi="Times New Roman" w:cs="Times New Roman"/>
          <w:sz w:val="24"/>
          <w:szCs w:val="24"/>
        </w:rPr>
        <w:t xml:space="preserve">. Some chemical compounds were isolated from leaves like pinitol with hypoglycemic effects </w:t>
      </w:r>
      <w:r>
        <w:fldChar w:fldCharType="begin"/>
      </w:r>
      <w:r>
        <w:instrText xml:space="preserve"> ADDIN EN.CITE &lt;EndNote&gt;&lt;Cite&gt;&lt;Author&gt;Adebayo&lt;/Author&gt;&lt;Year&gt;2005&lt;/Year&gt;&lt;RecNum&gt;35&lt;/RecNum&gt;&lt;DisplayText&gt;(Adebayo et al., 2005)&lt;/DisplayText&gt;&lt;record&gt;&lt;rec-number&gt;35&lt;/rec-number&gt;&lt;foreign-keys&gt;&lt;key app="EN" db-id="ra9v9ftd2frrvye2et45af2dwpvf99aw5evt" timestamp="1646942184"&gt;35&lt;/key&gt;&lt;/foreign-keys&gt;&lt;ref-type name="Journal Article"&gt;17&lt;/ref-type&gt;&lt;contributors&gt;&lt;authors&gt;&lt;author&gt;Adebayo, Joseph O&lt;/author&gt;&lt;author&gt;Adesokan, Ayoade A&lt;/author&gt;&lt;author&gt;Olatunji, Lawrence A&lt;/author&gt;&lt;author&gt;Buoro, Daniel O&lt;/author&gt;&lt;author&gt;Soladoye, Ayodele O&lt;/author&gt;&lt;/authors&gt;&lt;/contributors&gt;&lt;titles&gt;&lt;title&gt;&lt;style face="normal" font="default" size="100%"&gt;Effect Of Ethanolic Extract Of &lt;/style&gt;&lt;style face="italic" font="default" size="100%"&gt;Bougainvillea spectabilis&lt;/style&gt;&lt;style face="normal" font="default" size="100%"&gt; Leaves On Haematological And Serum Lipid Variables In Rats&lt;/style&gt;&lt;/title&gt;&lt;secondary-title&gt;Biokemistri&lt;/secondary-title&gt;&lt;/titles&gt;&lt;periodical&gt;&lt;full-title&gt;Biokemistri&lt;/full-title&gt;&lt;/periodical&gt;&lt;pages&gt;45-50&lt;/pages&gt;&lt;volume&gt;17&lt;/volume&gt;&lt;number&gt;1&lt;/number&gt;&lt;dates&gt;&lt;year&gt;2005&lt;/year&gt;&lt;/dates&gt;&lt;isbn&gt;0795-8080&lt;/isbn&gt;&lt;urls&gt;&lt;/urls&gt;&lt;/record&gt;&lt;/Cite&gt;&lt;/EndNote&gt;</w:instrText>
      </w:r>
      <w:r>
        <w:fldChar w:fldCharType="separate"/>
      </w:r>
      <w:r>
        <w:rPr>
          <w:noProof/>
        </w:rPr>
        <w:t>(</w:t>
      </w:r>
      <w:hyperlink w:anchor="_ENREF_9" w:tooltip="Adebayo, 2005 #35" w:history="1">
        <w:r w:rsidR="00364DED">
          <w:rPr>
            <w:rStyle w:val="Hyperlink"/>
          </w:rPr>
          <w:t>Adebayo et al., 2005</w:t>
        </w:r>
      </w:hyperlink>
      <w:r>
        <w:rPr>
          <w:noProof/>
        </w:rPr>
        <w:t>)</w:t>
      </w:r>
      <w:r>
        <w:fldChar w:fldCharType="end"/>
      </w:r>
      <w:r>
        <w:rPr>
          <w:rFonts w:ascii="Times New Roman" w:hAnsi="Times New Roman" w:cs="Times New Roman"/>
          <w:sz w:val="24"/>
          <w:szCs w:val="24"/>
        </w:rPr>
        <w:t xml:space="preserve"> and antidiabetic compounds </w:t>
      </w:r>
      <w:r>
        <w:fldChar w:fldCharType="begin"/>
      </w:r>
      <w:r>
        <w:instrText xml:space="preserve"> ADDIN EN.CITE &lt;EndNote&gt;&lt;Cite&gt;&lt;Author&gt;Narayanan&lt;/Author&gt;&lt;Year&gt;1987&lt;/Year&gt;&lt;RecNum&gt;40&lt;/RecNum&gt;&lt;DisplayText&gt;(Narayanan et al., 1987)&lt;/DisplayText&gt;&lt;record&gt;&lt;rec-number&gt;40&lt;/rec-number&gt;&lt;foreign-keys&gt;&lt;key app="EN" db-id="ra9v9ftd2frrvye2et45af2dwpvf99aw5evt" timestamp="1647200561"&gt;40&lt;/key&gt;&lt;/foreign-keys&gt;&lt;ref-type name="Journal Article"&gt;17&lt;/ref-type&gt;&lt;contributors&gt;&lt;authors&gt;&lt;author&gt;Narayanan, C. R.&lt;/author&gt;&lt;author&gt;Joshi, D. D.&lt;/author&gt;&lt;author&gt;Mujumdar, A. M.&lt;/author&gt;&lt;author&gt;Dhekne, V. V.&lt;/author&gt;&lt;/authors&gt;&lt;/contributors&gt;&lt;titles&gt;&lt;title&gt;&lt;style face="normal" font="default" size="100%"&gt;Pinitol—A new anti-diabetic compound from the leaves of &lt;/style&gt;&lt;style face="italic" font="default" size="100%"&gt;Bougainvillea spectabilis&lt;/style&gt;&lt;/title&gt;&lt;secondary-title&gt;Current Science&lt;/secondary-title&gt;&lt;/titles&gt;&lt;periodical&gt;&lt;full-title&gt;Current Science&lt;/full-title&gt;&lt;/periodical&gt;&lt;pages&gt;139-141&lt;/pages&gt;&lt;volume&gt;56&lt;/volume&gt;&lt;number&gt;3&lt;/number&gt;&lt;dates&gt;&lt;year&gt;1987&lt;/year&gt;&lt;/dates&gt;&lt;publisher&gt;Current Science Association&lt;/publisher&gt;&lt;isbn&gt;00113891&lt;/isbn&gt;&lt;urls&gt;&lt;related-urls&gt;&lt;url&gt;http://www.jstor.org/stable/24091051&lt;/url&gt;&lt;/related-urls&gt;&lt;/urls&gt;&lt;custom1&gt;Full publication date: February 5, 1987&lt;/custom1&gt;&lt;remote-database-name&gt;JSTOR&lt;/remote-database-name&gt;&lt;access-date&gt;2022/03/13/&lt;/access-date&gt;&lt;/record&gt;&lt;/Cite&gt;&lt;/EndNote&gt;</w:instrText>
      </w:r>
      <w:r>
        <w:fldChar w:fldCharType="separate"/>
      </w:r>
      <w:r>
        <w:rPr>
          <w:noProof/>
        </w:rPr>
        <w:t>(</w:t>
      </w:r>
      <w:hyperlink w:anchor="_ENREF_55" w:tooltip="Narayanan, 1987 #40" w:history="1">
        <w:r w:rsidR="00364DED">
          <w:rPr>
            <w:rStyle w:val="Hyperlink"/>
          </w:rPr>
          <w:t>Narayanan et al., 1987</w:t>
        </w:r>
      </w:hyperlink>
      <w:r>
        <w:rPr>
          <w:noProof/>
        </w:rPr>
        <w:t>)</w:t>
      </w:r>
      <w:r>
        <w:fldChar w:fldCharType="end"/>
      </w:r>
      <w:r>
        <w:rPr>
          <w:rFonts w:ascii="Times New Roman" w:hAnsi="Times New Roman" w:cs="Times New Roman"/>
          <w:sz w:val="24"/>
          <w:szCs w:val="24"/>
        </w:rPr>
        <w:t xml:space="preserve">. Different solvent extracts from flowers showed the presence of alkaloids, </w:t>
      </w:r>
      <w:proofErr w:type="spellStart"/>
      <w:r>
        <w:rPr>
          <w:rFonts w:ascii="Times New Roman" w:hAnsi="Times New Roman" w:cs="Times New Roman"/>
          <w:sz w:val="24"/>
          <w:szCs w:val="24"/>
        </w:rPr>
        <w:t>phlobatannins</w:t>
      </w:r>
      <w:proofErr w:type="spellEnd"/>
      <w:r>
        <w:rPr>
          <w:rFonts w:ascii="Times New Roman" w:hAnsi="Times New Roman" w:cs="Times New Roman"/>
          <w:sz w:val="24"/>
          <w:szCs w:val="24"/>
        </w:rPr>
        <w:t xml:space="preserve"> and terpenoids, phenol, flavonoids, steroids, tannins, </w:t>
      </w:r>
      <w:proofErr w:type="spellStart"/>
      <w:r>
        <w:rPr>
          <w:rFonts w:ascii="Times New Roman" w:hAnsi="Times New Roman" w:cs="Times New Roman"/>
          <w:sz w:val="24"/>
          <w:szCs w:val="24"/>
        </w:rPr>
        <w:t>cardinolides</w:t>
      </w:r>
      <w:proofErr w:type="spellEnd"/>
      <w:r>
        <w:rPr>
          <w:rFonts w:ascii="Times New Roman" w:hAnsi="Times New Roman" w:cs="Times New Roman"/>
          <w:sz w:val="24"/>
          <w:szCs w:val="24"/>
        </w:rPr>
        <w:t xml:space="preserve">, and essential oils with several bioactivities against fungi </w:t>
      </w:r>
      <w:r>
        <w:fldChar w:fldCharType="begin"/>
      </w:r>
      <w:r>
        <w:instrText xml:space="preserve"> ADDIN EN.CITE &lt;EndNote&gt;&lt;Cite&gt;&lt;Author&gt;Sudipta&lt;/Author&gt;&lt;Year&gt;2012&lt;/Year&gt;&lt;RecNum&gt;39&lt;/RecNum&gt;&lt;DisplayText&gt;(Sudipta et al., 2012)&lt;/DisplayText&gt;&lt;record&gt;&lt;rec-number&gt;39&lt;/rec-number&gt;&lt;foreign-keys&gt;&lt;key app="EN" db-id="ra9v9ftd2frrvye2et45af2dwpvf99aw5evt" timestamp="1647198559"&gt;39&lt;/key&gt;&lt;/foreign-keys&gt;&lt;ref-type name="Journal Article"&gt;17&lt;/ref-type&gt;&lt;contributors&gt;&lt;authors&gt;&lt;author&gt;Sudipta, KM&lt;/author&gt;&lt;author&gt;Lokesh, P&lt;/author&gt;&lt;author&gt;Rashmi, W&lt;/author&gt;&lt;author&gt;Vijay, R&lt;/author&gt;&lt;author&gt;Ssn, Kashyap&lt;/author&gt;&lt;/authors&gt;&lt;/contributors&gt;&lt;titles&gt;&lt;title&gt;&lt;style face="normal" font="default" size="100%"&gt;Phytochemical screening and in vitro antimicrobial activity of &lt;/style&gt;&lt;style face="italic" font="default" size="100%"&gt;Bougainvillea spectabilis &lt;/style&gt;&lt;style face="normal" font="default" size="100%"&gt;flower extracts&lt;/style&gt;&lt;/title&gt;&lt;secondary-title&gt;International Journal of Phytomedicine&lt;/secondary-title&gt;&lt;/titles&gt;&lt;periodical&gt;&lt;full-title&gt;International Journal of Phytomedicine&lt;/full-title&gt;&lt;/periodical&gt;&lt;pages&gt;375-379&lt;/pages&gt;&lt;volume&gt;4&lt;/volume&gt;&lt;number&gt;3&lt;/number&gt;&lt;dates&gt;&lt;year&gt;2012&lt;/year&gt;&lt;/dates&gt;&lt;urls&gt;&lt;/urls&gt;&lt;/record&gt;&lt;/Cite&gt;&lt;/EndNote&gt;</w:instrText>
      </w:r>
      <w:r>
        <w:fldChar w:fldCharType="separate"/>
      </w:r>
      <w:r>
        <w:rPr>
          <w:noProof/>
        </w:rPr>
        <w:t>(</w:t>
      </w:r>
      <w:hyperlink w:anchor="_ENREF_79" w:tooltip="Sudipta, 2012 #39" w:history="1">
        <w:r w:rsidR="00364DED">
          <w:rPr>
            <w:rStyle w:val="Hyperlink"/>
          </w:rPr>
          <w:t>Sudipta et al., 2012</w:t>
        </w:r>
      </w:hyperlink>
      <w:r>
        <w:rPr>
          <w:noProof/>
        </w:rPr>
        <w:t>)</w:t>
      </w:r>
      <w: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Secologanin</w:t>
      </w:r>
      <w:proofErr w:type="spellEnd"/>
      <w:r>
        <w:rPr>
          <w:rFonts w:ascii="Times New Roman" w:hAnsi="Times New Roman" w:cs="Times New Roman"/>
          <w:sz w:val="24"/>
          <w:szCs w:val="24"/>
        </w:rPr>
        <w:t xml:space="preserve"> dimethyl acetal, α- and β-amyrin, α- and β-amyrin acetate, kaempferol, and kaempferol-3-O-rhamnoside have isolated from the methanolic extract of leaves </w:t>
      </w:r>
      <w:r>
        <w:fldChar w:fldCharType="begin"/>
      </w:r>
      <w:r>
        <w:instrText xml:space="preserve"> ADDIN EN.CITE &lt;EndNote&gt;&lt;Cite&gt;&lt;Author&gt;Ahmed&lt;/Author&gt;&lt;Year&gt;2021&lt;/Year&gt;&lt;RecNum&gt;45&lt;/RecNum&gt;&lt;DisplayText&gt;(Ahmed and Abd Elkarim, 2021)&lt;/DisplayText&gt;&lt;record&gt;&lt;rec-number&gt;45&lt;/rec-number&gt;&lt;foreign-keys&gt;&lt;key app="EN" db-id="ra9v9ftd2frrvye2et45af2dwpvf99aw5evt" timestamp="1647205016"&gt;45&lt;/key&gt;&lt;/foreign-keys&gt;&lt;ref-type name="Journal Article"&gt;17&lt;/ref-type&gt;&lt;contributors&gt;&lt;authors&gt;&lt;author&gt;Ahmed, Amal H.&lt;/author&gt;&lt;author&gt;Abd Elkarim, Asmaa S.&lt;/author&gt;&lt;/authors&gt;&lt;/contributors&gt;&lt;titles&gt;&lt;title&gt;&lt;style face="normal" font="default" size="100%"&gt;Bioactive Compounds with Significant Anti- Rheumatoid Arthritis Effect Isolated for the First time from Leaves of &lt;/style&gt;&lt;style face="italic" font="default" size="100%"&gt;Bougainvillea spectabilis&lt;/style&gt;&lt;/title&gt;&lt;secondary-title&gt;Current Pharmaceutical Biotechnology&lt;/secondary-title&gt;&lt;/titles&gt;&lt;periodical&gt;&lt;full-title&gt;Current Pharmaceutical Biotechnology&lt;/full-title&gt;&lt;/periodical&gt;&lt;pages&gt;2048-2053&lt;/pages&gt;&lt;volume&gt;22&lt;/volume&gt;&lt;number&gt;15&lt;/number&gt;&lt;keywords&gt;&lt;keyword&gt;&amp;amp;#946&lt;/keyword&gt;&lt;keyword&gt;-amyrin&lt;/keyword&gt;&lt;keyword&gt;acetate&lt;/keyword&gt;&lt;keyword&gt;&amp;amp;#945&lt;/keyword&gt;&lt;keyword&gt;- amyrin&lt;/keyword&gt;&lt;keyword&gt;kaempferol and kaempferol-3-O-rhamnoside&lt;/keyword&gt;&lt;keyword&gt;rheumatoid arthritis&lt;/keyword&gt;&lt;keyword&gt;secologanin dimethyl acetal&lt;/keyword&gt;&lt;keyword&gt;-amyrin acetate&lt;/keyword&gt;&lt;keyword&gt;B. spectabilis&lt;/keyword&gt;&lt;/keywords&gt;&lt;dates&gt;&lt;year&gt;2021&lt;/year&gt;&lt;pub-dates&gt;&lt;date&gt;//&lt;/date&gt;&lt;/pub-dates&gt;&lt;/dates&gt;&lt;urls&gt;&lt;related-urls&gt;&lt;url&gt;https://www.ingentaconnect.com/content/ben/cpb/2021/00000022/00000015/art00013&lt;/url&gt;&lt;url&gt;https://doi.org/10.2174/1389201021666201229111825&lt;/url&gt;&lt;/related-urls&gt;&lt;/urls&gt;&lt;electronic-resource-num&gt;10.2174/1389201021666201229111825&lt;/electronic-resource-num&gt;&lt;/record&gt;&lt;/Cite&gt;&lt;/EndNote&gt;</w:instrText>
      </w:r>
      <w:r>
        <w:fldChar w:fldCharType="separate"/>
      </w:r>
      <w:r>
        <w:rPr>
          <w:noProof/>
        </w:rPr>
        <w:t>(</w:t>
      </w:r>
      <w:hyperlink w:anchor="_ENREF_11" w:tooltip="Ahmed, 2021 #45" w:history="1">
        <w:r w:rsidR="00364DED">
          <w:rPr>
            <w:rStyle w:val="Hyperlink"/>
          </w:rPr>
          <w:t>Ahmed and Abd Elkarim, 2021</w:t>
        </w:r>
      </w:hyperlink>
      <w:r>
        <w:rPr>
          <w:noProof/>
        </w:rPr>
        <w:t>)</w:t>
      </w:r>
      <w:r>
        <w:fldChar w:fldCharType="end"/>
      </w:r>
    </w:p>
    <w:p w14:paraId="3150E87B" w14:textId="77777777" w:rsidR="00364DED" w:rsidRDefault="00A70A1E">
      <w:pPr>
        <w:pStyle w:val="BioresourcesBody"/>
        <w:spacing w:line="360" w:lineRule="auto"/>
        <w:ind w:firstLine="720"/>
        <w:rPr>
          <w:lang w:bidi="en-US"/>
        </w:rPr>
      </w:pPr>
      <w:r>
        <w:rPr>
          <w:lang w:bidi="en-US"/>
        </w:rPr>
        <w:t xml:space="preserve">Potato bacterial pathogens pose a significant threat to potato plants and tubers, causing extensive damage. Two common bacterial species known to infect potatoes are </w:t>
      </w:r>
      <w:proofErr w:type="spellStart"/>
      <w:r>
        <w:rPr>
          <w:i/>
          <w:iCs/>
          <w:lang w:bidi="en-US"/>
        </w:rPr>
        <w:t>Dickeya</w:t>
      </w:r>
      <w:proofErr w:type="spellEnd"/>
      <w:r>
        <w:rPr>
          <w:lang w:bidi="en-US"/>
        </w:rPr>
        <w:t xml:space="preserve"> and </w:t>
      </w:r>
      <w:proofErr w:type="spellStart"/>
      <w:r>
        <w:rPr>
          <w:i/>
          <w:iCs/>
          <w:lang w:bidi="en-US"/>
        </w:rPr>
        <w:t>Pectobacterium</w:t>
      </w:r>
      <w:proofErr w:type="spellEnd"/>
      <w:r>
        <w:rPr>
          <w:lang w:bidi="en-US"/>
        </w:rPr>
        <w:t xml:space="preserve">. These pathogens can cause soft rot in tubers, blackleg, and wet rot diseases in stems. The spread of </w:t>
      </w:r>
      <w:proofErr w:type="spellStart"/>
      <w:r>
        <w:rPr>
          <w:i/>
          <w:iCs/>
          <w:lang w:bidi="en-US"/>
        </w:rPr>
        <w:t>Pectobacterium</w:t>
      </w:r>
      <w:proofErr w:type="spellEnd"/>
      <w:r>
        <w:rPr>
          <w:i/>
          <w:iCs/>
          <w:lang w:bidi="en-US"/>
        </w:rPr>
        <w:t xml:space="preserve"> </w:t>
      </w:r>
      <w:proofErr w:type="spellStart"/>
      <w:r>
        <w:rPr>
          <w:i/>
          <w:iCs/>
          <w:lang w:bidi="en-US"/>
        </w:rPr>
        <w:t>atrosepticum</w:t>
      </w:r>
      <w:proofErr w:type="spellEnd"/>
      <w:r>
        <w:rPr>
          <w:lang w:bidi="en-US"/>
        </w:rPr>
        <w:t xml:space="preserve"> and </w:t>
      </w:r>
      <w:proofErr w:type="spellStart"/>
      <w:r>
        <w:rPr>
          <w:i/>
          <w:iCs/>
          <w:lang w:bidi="en-US"/>
        </w:rPr>
        <w:t>Dickeya</w:t>
      </w:r>
      <w:proofErr w:type="spellEnd"/>
      <w:r>
        <w:rPr>
          <w:lang w:bidi="en-US"/>
        </w:rPr>
        <w:t xml:space="preserve"> blackleg symptoms typically occurs in humid conditions, where slim wet, and rotted-black lesions develop from the parent tuber to the stems. Additionally, </w:t>
      </w:r>
      <w:proofErr w:type="spellStart"/>
      <w:r>
        <w:rPr>
          <w:i/>
          <w:iCs/>
          <w:lang w:bidi="en-US"/>
        </w:rPr>
        <w:t>Ralstonia</w:t>
      </w:r>
      <w:proofErr w:type="spellEnd"/>
      <w:r>
        <w:rPr>
          <w:i/>
          <w:iCs/>
          <w:lang w:bidi="en-US"/>
        </w:rPr>
        <w:t xml:space="preserve"> solanacearum</w:t>
      </w:r>
      <w:r>
        <w:rPr>
          <w:lang w:bidi="en-US"/>
        </w:rPr>
        <w:t xml:space="preserve"> is one of the most severe bacterial plant diseases in Egypt, causing bacterial wilt and potato brown disease </w:t>
      </w:r>
      <w:r>
        <w:fldChar w:fldCharType="begin"/>
      </w:r>
      <w:r>
        <w:instrText xml:space="preserve"> ADDIN EN.CITE &lt;EndNote&gt;&lt;Cite&gt;&lt;Author&gt;Afifi&lt;/Author&gt;&lt;Year&gt;2001&lt;/Year&gt;&lt;RecNum&gt;80&lt;/RecNum&gt;&lt;DisplayText&gt;(Afifi et al., 2001)&lt;/DisplayText&gt;&lt;record&gt;&lt;rec-number&gt;80&lt;/rec-number&gt;&lt;foreign-keys&gt;&lt;key app="EN" db-id="ra9v9ftd2frrvye2et45af2dwpvf99aw5evt" timestamp="1706185446"&gt;80&lt;/key&gt;&lt;/foreign-keys&gt;&lt;ref-type name="Journal Article"&gt;17&lt;/ref-type&gt;&lt;contributors&gt;&lt;authors&gt;&lt;author&gt;Afifi, MA&lt;/author&gt;&lt;author&gt;Zayan, SA&lt;/author&gt;&lt;author&gt;Khatab, MA&lt;/author&gt;&lt;author&gt;Elmayargi, HA&lt;/author&gt;&lt;/authors&gt;&lt;/contributors&gt;&lt;titles&gt;&lt;title&gt;The first application of disease forecast and early warning system in Egypt for Potato late blight&lt;/title&gt;&lt;secondary-title&gt;The Plant Pathology Journal&lt;/secondary-title&gt;&lt;/titles&gt;&lt;periodical&gt;&lt;full-title&gt;The Plant Pathology Journal&lt;/full-title&gt;&lt;/periodical&gt;&lt;pages&gt;373.4-373&lt;/pages&gt;&lt;volume&gt;17&lt;/volume&gt;&lt;number&gt;6&lt;/number&gt;&lt;dates&gt;&lt;year&gt;2001&lt;/year&gt;&lt;/dates&gt;&lt;isbn&gt;2093-9280&lt;/isbn&gt;&lt;urls&gt;&lt;/urls&gt;&lt;/record&gt;&lt;/Cite&gt;&lt;/EndNote&gt;</w:instrText>
      </w:r>
      <w:r>
        <w:fldChar w:fldCharType="separate"/>
      </w:r>
      <w:r>
        <w:rPr>
          <w:noProof/>
        </w:rPr>
        <w:t>(</w:t>
      </w:r>
      <w:hyperlink w:anchor="_ENREF_10" w:tooltip="Afifi, 2001 #80" w:history="1">
        <w:r w:rsidR="00364DED">
          <w:rPr>
            <w:rStyle w:val="Hyperlink"/>
          </w:rPr>
          <w:t>Afifi et al., 2001</w:t>
        </w:r>
      </w:hyperlink>
      <w:r>
        <w:rPr>
          <w:noProof/>
        </w:rPr>
        <w:t>)</w:t>
      </w:r>
      <w:r>
        <w:fldChar w:fldCharType="end"/>
      </w:r>
      <w:r>
        <w:rPr>
          <w:lang w:bidi="en-US"/>
        </w:rPr>
        <w:t xml:space="preserve">. </w:t>
      </w:r>
      <w:r>
        <w:rPr>
          <w:i/>
          <w:iCs/>
          <w:lang w:bidi="en-US"/>
        </w:rPr>
        <w:t xml:space="preserve">Erwinia </w:t>
      </w:r>
      <w:proofErr w:type="spellStart"/>
      <w:r>
        <w:rPr>
          <w:i/>
          <w:iCs/>
          <w:lang w:bidi="en-US"/>
        </w:rPr>
        <w:t>amylovora</w:t>
      </w:r>
      <w:proofErr w:type="spellEnd"/>
      <w:r>
        <w:rPr>
          <w:lang w:bidi="en-US"/>
        </w:rPr>
        <w:t xml:space="preserve"> is another highly destructive bacterium, responsible for fire blight disease, which can attack apple and pear fruit trees and has been reported to affect pear plantations in Egypt </w:t>
      </w:r>
      <w:r>
        <w:fldChar w:fldCharType="begin"/>
      </w:r>
      <w:r>
        <w:instrText xml:space="preserve"> ADDIN EN.CITE &lt;EndNote&gt;&lt;Cite&gt;&lt;Author&gt;Borkar&lt;/Author&gt;&lt;Year&gt;2016&lt;/Year&gt;&lt;RecNum&gt;79&lt;/RecNum&gt;&lt;DisplayText&gt;(Borkar and Yumlembam, 2016)&lt;/DisplayText&gt;&lt;record&gt;&lt;rec-number&gt;79&lt;/rec-number&gt;&lt;foreign-keys&gt;&lt;key app="EN" db-id="ra9v9ftd2frrvye2et45af2dwpvf99aw5evt" timestamp="1706185280"&gt;79&lt;/key&gt;&lt;/foreign-keys&gt;&lt;ref-type name="Book"&gt;6&lt;/ref-type&gt;&lt;contributors&gt;&lt;authors&gt;&lt;author&gt;Borkar, Suresh G&lt;/author&gt;&lt;author&gt;Yumlembam, Rupert Anand&lt;/author&gt;&lt;/authors&gt;&lt;/contributors&gt;&lt;titles&gt;&lt;title&gt;Bacterial diseases of crop plants&lt;/title&gt;&lt;/titles&gt;&lt;dates&gt;&lt;year&gt;2016&lt;/year&gt;&lt;/dates&gt;&lt;publisher&gt;CRC Press&lt;/publisher&gt;&lt;isbn&gt;1315350947&lt;/isbn&gt;&lt;urls&gt;&lt;/urls&gt;&lt;/record&gt;&lt;/Cite&gt;&lt;/EndNote&gt;</w:instrText>
      </w:r>
      <w:r>
        <w:fldChar w:fldCharType="separate"/>
      </w:r>
      <w:r>
        <w:rPr>
          <w:noProof/>
        </w:rPr>
        <w:t>(</w:t>
      </w:r>
      <w:hyperlink w:anchor="_ENREF_23" w:tooltip="Borkar, 2016 #79" w:history="1">
        <w:r w:rsidR="00364DED">
          <w:rPr>
            <w:rStyle w:val="Hyperlink"/>
          </w:rPr>
          <w:t>Borkar and Yumlembam, 2016</w:t>
        </w:r>
      </w:hyperlink>
      <w:r>
        <w:rPr>
          <w:noProof/>
        </w:rPr>
        <w:t>)</w:t>
      </w:r>
      <w:r>
        <w:fldChar w:fldCharType="end"/>
      </w:r>
      <w:r>
        <w:rPr>
          <w:lang w:bidi="en-US"/>
        </w:rPr>
        <w:t xml:space="preserve">. </w:t>
      </w:r>
      <w:r>
        <w:rPr>
          <w:i/>
          <w:iCs/>
          <w:lang w:bidi="en-US"/>
        </w:rPr>
        <w:t>Agrobacterium tumefaciens</w:t>
      </w:r>
      <w:r>
        <w:rPr>
          <w:lang w:bidi="en-US"/>
        </w:rPr>
        <w:t xml:space="preserve">, on the other hand, causes crown gall disease in over 140 dicot plant species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w:t>
      </w:r>
      <w:hyperlink w:anchor="_ENREF_16" w:tooltip="Ashmawy, 2020 #50" w:history="1">
        <w:r w:rsidR="00364DED">
          <w:rPr>
            <w:rStyle w:val="Hyperlink"/>
          </w:rPr>
          <w:t>Ashmawy et al., 2020a</w:t>
        </w:r>
      </w:hyperlink>
      <w:r>
        <w:rPr>
          <w:noProof/>
        </w:rPr>
        <w:t xml:space="preserve">; </w:t>
      </w:r>
      <w:hyperlink w:anchor="_ENREF_18" w:tooltip="Ashmawy, 2020 #49" w:history="1">
        <w:r w:rsidR="00364DED">
          <w:rPr>
            <w:rStyle w:val="Hyperlink"/>
          </w:rPr>
          <w:t>Ashmawy et al., 2020c</w:t>
        </w:r>
      </w:hyperlink>
      <w:r>
        <w:rPr>
          <w:noProof/>
        </w:rPr>
        <w:t xml:space="preserve">; </w:t>
      </w:r>
      <w:hyperlink w:anchor="_ENREF_52" w:tooltip="Mohammed, 2019 #48" w:history="1">
        <w:r w:rsidR="00364DED">
          <w:rPr>
            <w:rStyle w:val="Hyperlink"/>
          </w:rPr>
          <w:t>Mohammed et al., 2019</w:t>
        </w:r>
      </w:hyperlink>
      <w:r>
        <w:rPr>
          <w:noProof/>
        </w:rPr>
        <w:t xml:space="preserve">; </w:t>
      </w:r>
      <w:hyperlink w:anchor="_ENREF_67" w:tooltip="Salem, 2015 #51" w:history="1">
        <w:r w:rsidR="00364DED">
          <w:rPr>
            <w:rStyle w:val="Hyperlink"/>
          </w:rPr>
          <w:t>Salem et al., 2015</w:t>
        </w:r>
      </w:hyperlink>
      <w:r>
        <w:rPr>
          <w:noProof/>
        </w:rPr>
        <w:t xml:space="preserve">; </w:t>
      </w:r>
      <w:hyperlink w:anchor="_ENREF_85" w:tooltip="van der Wolf, 2015 #46" w:history="1">
        <w:r w:rsidR="00364DED">
          <w:rPr>
            <w:rStyle w:val="Hyperlink"/>
          </w:rPr>
          <w:t>van der Wolf and De Boer, 2015</w:t>
        </w:r>
      </w:hyperlink>
      <w:r>
        <w:rPr>
          <w:noProof/>
        </w:rPr>
        <w:t xml:space="preserve">; </w:t>
      </w:r>
      <w:hyperlink w:anchor="_ENREF_86" w:tooltip="van der Wolf, 2012 #47" w:history="1">
        <w:r w:rsidR="00364DED">
          <w:rPr>
            <w:rStyle w:val="Hyperlink"/>
          </w:rPr>
          <w:t>van der Wolf et al., 2012</w:t>
        </w:r>
      </w:hyperlink>
      <w:r>
        <w:rPr>
          <w:noProof/>
        </w:rPr>
        <w:t>)</w:t>
      </w:r>
      <w:r>
        <w:fldChar w:fldCharType="end"/>
      </w:r>
      <w:r>
        <w:rPr>
          <w:lang w:bidi="en-US"/>
        </w:rPr>
        <w:t xml:space="preserve">. Crop growth can be significantly disrupted by phytopathogenic fungi, leading to severe economic losses in agriculture worldwide. Among these fungi, </w:t>
      </w:r>
      <w:r>
        <w:rPr>
          <w:i/>
          <w:iCs/>
          <w:lang w:bidi="en-US"/>
        </w:rPr>
        <w:t xml:space="preserve">Fusarium </w:t>
      </w:r>
      <w:proofErr w:type="spellStart"/>
      <w:r>
        <w:rPr>
          <w:i/>
          <w:iCs/>
          <w:lang w:bidi="en-US"/>
        </w:rPr>
        <w:t>oxysporum</w:t>
      </w:r>
      <w:proofErr w:type="spellEnd"/>
      <w:r>
        <w:rPr>
          <w:lang w:bidi="en-US"/>
        </w:rPr>
        <w:t xml:space="preserve"> is known to cause vascular disease, commonly referred to as "Fusarium Wilt," resulting in significant losses </w:t>
      </w:r>
      <w:r>
        <w:fldChar w:fldCharType="begin"/>
      </w:r>
      <w:r>
        <w:instrText xml:space="preserve"> ADDIN EN.CITE &lt;EndNote&gt;&lt;Cite&gt;&lt;Author&gt;Cárdenas-Laverde&lt;/Author&gt;&lt;Year&gt;2021&lt;/Year&gt;&lt;RecNum&gt;52&lt;/RecNum&gt;&lt;DisplayText&gt;(Cárdenas-Laverde et al., 2021)&lt;/DisplayText&gt;&lt;record&gt;&lt;rec-number&gt;52&lt;/rec-number&gt;&lt;foreign-keys&gt;&lt;key app="EN" db-id="ra9v9ftd2frrvye2et45af2dwpvf99aw5evt" timestamp="1705603677"&gt;52&lt;/key&gt;&lt;/foreign-keys&gt;&lt;ref-type name="Journal Article"&gt;17&lt;/ref-type&gt;&lt;contributors&gt;&lt;authors&gt;&lt;author&gt;Cárdenas-Laverde, Diego&lt;/author&gt;&lt;author&gt;Barbosa-Cornelio, Ricardo&lt;/author&gt;&lt;author&gt;Coy-Barrera, Ericsson&lt;/author&gt;&lt;/authors&gt;&lt;/contributors&gt;&lt;titles&gt;&lt;title&gt;&lt;style face="normal" font="default" size="100%"&gt;Antifungal activity against &lt;/style&gt;&lt;style face="italic" font="default" size="100%"&gt;Fusarium oxysporum&lt;/style&gt;&lt;style face="normal" font="default" size="100%"&gt; of botanical end-products: an integration of chemical composition and antifungal activity datasets to identify antifungal bioactives&lt;/style&gt;&lt;/title&gt;&lt;secondary-title&gt;Plants&lt;/secondary-title&gt;&lt;/titles&gt;&lt;periodical&gt;&lt;full-title&gt;Plants&lt;/full-title&gt;&lt;/periodical&gt;&lt;pages&gt;2563&lt;/pages&gt;&lt;volume&gt;10&lt;/volume&gt;&lt;number&gt;12&lt;/number&gt;&lt;dates&gt;&lt;year&gt;2021&lt;/year&gt;&lt;/dates&gt;&lt;isbn&gt;2223-7747&lt;/isbn&gt;&lt;urls&gt;&lt;/urls&gt;&lt;electronic-resource-num&gt;https://doi.org/10.3390/plants10122563&lt;/electronic-resource-num&gt;&lt;/record&gt;&lt;/Cite&gt;&lt;/EndNote&gt;</w:instrText>
      </w:r>
      <w:r>
        <w:fldChar w:fldCharType="separate"/>
      </w:r>
      <w:r>
        <w:rPr>
          <w:noProof/>
        </w:rPr>
        <w:t>(</w:t>
      </w:r>
      <w:hyperlink w:anchor="_ENREF_25" w:tooltip="Cárdenas-Laverde, 2021 #52" w:history="1">
        <w:r w:rsidR="00364DED">
          <w:rPr>
            <w:rStyle w:val="Hyperlink"/>
          </w:rPr>
          <w:t>Cárdenas-Laverde et al., 2021</w:t>
        </w:r>
      </w:hyperlink>
      <w:r>
        <w:rPr>
          <w:noProof/>
        </w:rPr>
        <w:t>)</w:t>
      </w:r>
      <w:r>
        <w:fldChar w:fldCharType="end"/>
      </w:r>
      <w:r>
        <w:rPr>
          <w:lang w:bidi="en-US"/>
        </w:rPr>
        <w:t xml:space="preserve">. </w:t>
      </w:r>
      <w:proofErr w:type="spellStart"/>
      <w:r>
        <w:rPr>
          <w:i/>
          <w:iCs/>
          <w:lang w:bidi="en-US"/>
        </w:rPr>
        <w:t>Rhizoctonia</w:t>
      </w:r>
      <w:proofErr w:type="spellEnd"/>
      <w:r>
        <w:rPr>
          <w:lang w:bidi="en-US"/>
        </w:rPr>
        <w:t xml:space="preserve"> </w:t>
      </w:r>
      <w:proofErr w:type="spellStart"/>
      <w:r>
        <w:rPr>
          <w:i/>
          <w:iCs/>
          <w:lang w:bidi="en-US"/>
        </w:rPr>
        <w:t>solani</w:t>
      </w:r>
      <w:proofErr w:type="spellEnd"/>
      <w:r>
        <w:rPr>
          <w:lang w:bidi="en-US"/>
        </w:rPr>
        <w:t xml:space="preserve"> is a soil-borne fungus with a broad range of hosts and is responsible for various plant diseases such as collar </w:t>
      </w:r>
      <w:proofErr w:type="spellStart"/>
      <w:r>
        <w:rPr>
          <w:lang w:bidi="en-US"/>
        </w:rPr>
        <w:t>rot</w:t>
      </w:r>
      <w:proofErr w:type="spellEnd"/>
      <w:r>
        <w:rPr>
          <w:lang w:bidi="en-US"/>
        </w:rPr>
        <w:t xml:space="preserve">, root rot, damping off, and wire stem </w:t>
      </w:r>
      <w:r>
        <w:fldChar w:fldCharType="begin"/>
      </w:r>
      <w:r>
        <w:instrText xml:space="preserve"> ADDIN EN.CITE &lt;EndNote&gt;&lt;Cite&gt;&lt;Author&gt;Akber&lt;/Author&gt;&lt;Year&gt;2023&lt;/Year&gt;&lt;RecNum&gt;53&lt;/RecNum&gt;&lt;DisplayText&gt;(Akber et al., 2023)&lt;/DisplayText&gt;&lt;record&gt;&lt;rec-number&gt;53&lt;/rec-number&gt;&lt;foreign-keys&gt;&lt;key app="EN" db-id="ra9v9ftd2frrvye2et45af2dwpvf99aw5evt" timestamp="1705604106"&gt;53&lt;/key&gt;&lt;/foreign-keys&gt;&lt;ref-type name="Journal Article"&gt;17&lt;/ref-type&gt;&lt;contributors&gt;&lt;authors&gt;&lt;author&gt;Akber, Muhammad Abdullah&lt;/author&gt;&lt;author&gt;Mubeen, Mustansar&lt;/author&gt;&lt;author&gt;Sohail, Muhammad Aamir&lt;/author&gt;&lt;author&gt;Khan, Sher Wali&lt;/author&gt;&lt;author&gt;Solanki, Manoj Kumar&lt;/author&gt;&lt;author&gt;Khalid, Rida&lt;/author&gt;&lt;author&gt;Abbas, Aqleem&lt;/author&gt;&lt;author&gt;Divvela, Praveen Kumar&lt;/author&gt;&lt;author&gt;Zhou, Lei&lt;/author&gt;&lt;/authors&gt;&lt;/contributors&gt;&lt;titles&gt;&lt;title&gt;&lt;style face="normal" font="default" size="100%"&gt;Global distribution, traditional and modern detection, diagnostic, and management approaches of &lt;/style&gt;&lt;style face="italic" font="default" size="100%"&gt;Rhizoctonia solani &lt;/style&gt;&lt;style face="normal" font="default" size="100%"&gt;associated with legume crops&lt;/style&gt;&lt;/title&gt;&lt;secondary-title&gt;Frontiers in Microbiology&lt;/secondary-title&gt;&lt;/titles&gt;&lt;periodical&gt;&lt;full-title&gt;Frontiers in Microbiology&lt;/full-title&gt;&lt;/periodical&gt;&lt;pages&gt;1091288&lt;/pages&gt;&lt;volume&gt;13&lt;/volume&gt;&lt;dates&gt;&lt;year&gt;2023&lt;/year&gt;&lt;/dates&gt;&lt;isbn&gt;1664-302X&lt;/isbn&gt;&lt;work-type&gt;Review&lt;/work-type&gt;&lt;urls&gt;&lt;related-urls&gt;&lt;url&gt;https://www.frontiersin.org/articles/10.3389/fmicb.2022.1091288&lt;/url&gt;&lt;/related-urls&gt;&lt;/urls&gt;&lt;electronic-resource-num&gt;https://doi.org/10.3389/fmicb.2022.1091288&lt;/electronic-resource-num&gt;&lt;/record&gt;&lt;/Cite&gt;&lt;/EndNote&gt;</w:instrText>
      </w:r>
      <w:r>
        <w:fldChar w:fldCharType="separate"/>
      </w:r>
      <w:r>
        <w:rPr>
          <w:noProof/>
        </w:rPr>
        <w:t>(</w:t>
      </w:r>
      <w:hyperlink w:anchor="_ENREF_12" w:tooltip="Akber, 2023 #53" w:history="1">
        <w:r w:rsidR="00364DED">
          <w:rPr>
            <w:rStyle w:val="Hyperlink"/>
          </w:rPr>
          <w:t>Akber et al., 2023</w:t>
        </w:r>
      </w:hyperlink>
      <w:r>
        <w:rPr>
          <w:noProof/>
        </w:rPr>
        <w:t>)</w:t>
      </w:r>
      <w:r>
        <w:fldChar w:fldCharType="end"/>
      </w:r>
      <w:r>
        <w:rPr>
          <w:lang w:bidi="en-US"/>
        </w:rPr>
        <w:t xml:space="preserve">. Black root rot is a severe disease caused by one or more fungal genera, including </w:t>
      </w:r>
      <w:r>
        <w:rPr>
          <w:i/>
          <w:iCs/>
          <w:lang w:bidi="en-US"/>
        </w:rPr>
        <w:t xml:space="preserve">F. </w:t>
      </w:r>
      <w:proofErr w:type="spellStart"/>
      <w:r>
        <w:rPr>
          <w:i/>
          <w:iCs/>
          <w:lang w:bidi="en-US"/>
        </w:rPr>
        <w:t>oxysporum</w:t>
      </w:r>
      <w:proofErr w:type="spellEnd"/>
      <w:r>
        <w:rPr>
          <w:lang w:bidi="en-US"/>
        </w:rPr>
        <w:t xml:space="preserve">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w:t>
      </w:r>
      <w:hyperlink w:anchor="_ENREF_31" w:tooltip="Edel-Hermann, 2018 #54" w:history="1">
        <w:r w:rsidR="00364DED">
          <w:rPr>
            <w:rStyle w:val="Hyperlink"/>
          </w:rPr>
          <w:t>Edel-Hermann and Lecomte, 2018</w:t>
        </w:r>
      </w:hyperlink>
      <w:r>
        <w:rPr>
          <w:noProof/>
        </w:rPr>
        <w:t xml:space="preserve">; </w:t>
      </w:r>
      <w:hyperlink w:anchor="_ENREF_41" w:tooltip="Juber, 2014 #55" w:history="1">
        <w:r w:rsidR="00364DED">
          <w:rPr>
            <w:rStyle w:val="Hyperlink"/>
          </w:rPr>
          <w:t>Juber et al., 2014</w:t>
        </w:r>
      </w:hyperlink>
      <w:r>
        <w:rPr>
          <w:noProof/>
        </w:rPr>
        <w:t xml:space="preserve">; </w:t>
      </w:r>
      <w:hyperlink w:anchor="_ENREF_57" w:tooltip="Oldenburg, 2017 #56" w:history="1">
        <w:r w:rsidR="00364DED">
          <w:rPr>
            <w:rStyle w:val="Hyperlink"/>
          </w:rPr>
          <w:t>Oldenburg et al., 2017</w:t>
        </w:r>
      </w:hyperlink>
      <w:r>
        <w:rPr>
          <w:noProof/>
        </w:rPr>
        <w:t>)</w:t>
      </w:r>
      <w:r>
        <w:fldChar w:fldCharType="end"/>
      </w:r>
      <w:r>
        <w:rPr>
          <w:lang w:bidi="en-US"/>
        </w:rPr>
        <w:t xml:space="preserve"> and </w:t>
      </w:r>
      <w:r>
        <w:rPr>
          <w:i/>
          <w:iCs/>
          <w:lang w:bidi="en-US"/>
        </w:rPr>
        <w:t>Rhizoctonia</w:t>
      </w:r>
      <w:r>
        <w:rPr>
          <w:lang w:bidi="en-US"/>
        </w:rPr>
        <w:t xml:space="preserve"> spp. </w:t>
      </w:r>
      <w:r>
        <w:rPr>
          <w:lang w:bidi="en-US"/>
        </w:rPr>
        <w:fldChar w:fldCharType="begin"/>
      </w:r>
      <w:r>
        <w:rPr>
          <w:lang w:bidi="en-US"/>
        </w:rPr>
        <w:instrText xml:space="preserve"> ADDIN EN.CITE </w:instrText>
      </w:r>
      <w:r>
        <w:rPr>
          <w:lang w:bidi="en-US"/>
        </w:rPr>
        <w:fldChar w:fldCharType="begin"/>
      </w:r>
      <w:r>
        <w:rPr>
          <w:lang w:bidi="en-US"/>
        </w:rPr>
        <w:instrText xml:space="preserve"> ADDIN EN.CITE.DATA </w:instrText>
      </w:r>
      <w:r>
        <w:rPr>
          <w:lang w:bidi="en-US"/>
        </w:rPr>
        <w:fldChar w:fldCharType="end"/>
      </w:r>
      <w:r>
        <w:rPr>
          <w:lang w:bidi="en-US"/>
        </w:rPr>
        <w:fldChar w:fldCharType="separate"/>
      </w:r>
      <w:r>
        <w:rPr>
          <w:noProof/>
          <w:lang w:bidi="en-US"/>
        </w:rPr>
        <w:t>(</w:t>
      </w:r>
      <w:hyperlink w:anchor="_ENREF_15" w:tooltip="Asad-Uz-Zaman, 2015 #57" w:history="1">
        <w:r w:rsidR="00364DED">
          <w:rPr>
            <w:rStyle w:val="Hyperlink"/>
          </w:rPr>
          <w:t>Asad-Uz-Zaman et al., 2015</w:t>
        </w:r>
      </w:hyperlink>
      <w:r>
        <w:rPr>
          <w:noProof/>
          <w:lang w:bidi="en-US"/>
        </w:rPr>
        <w:t xml:space="preserve">; </w:t>
      </w:r>
      <w:hyperlink w:anchor="_ENREF_49" w:tooltip="Matsumoto, 2006 #58" w:history="1">
        <w:r w:rsidR="00364DED">
          <w:rPr>
            <w:rStyle w:val="Hyperlink"/>
          </w:rPr>
          <w:t>Matsumoto and Yoshida, 2006</w:t>
        </w:r>
      </w:hyperlink>
      <w:r>
        <w:rPr>
          <w:noProof/>
          <w:lang w:bidi="en-US"/>
        </w:rPr>
        <w:t>)</w:t>
      </w:r>
      <w:r>
        <w:rPr>
          <w:lang w:bidi="en-US"/>
        </w:rPr>
        <w:fldChar w:fldCharType="end"/>
      </w:r>
      <w:r>
        <w:rPr>
          <w:lang w:bidi="en-US"/>
        </w:rPr>
        <w:t>, also poses a significant threat to crops.</w:t>
      </w:r>
    </w:p>
    <w:p w14:paraId="07F38A28" w14:textId="77777777" w:rsidR="00364DED" w:rsidRDefault="00A70A1E">
      <w:pPr>
        <w:pStyle w:val="BioresourcesBody"/>
        <w:spacing w:line="360" w:lineRule="auto"/>
        <w:ind w:firstLine="720"/>
        <w:rPr>
          <w:color w:val="FF0000"/>
          <w:sz w:val="22"/>
          <w:szCs w:val="22"/>
        </w:rPr>
      </w:pPr>
      <w:r>
        <w:lastRenderedPageBreak/>
        <w:t xml:space="preserve">These led us to look for additional bioactive metabolites from this plant with comparable chemical structures and their ability to combat plant diseases. Therefore, there is available information regarding its pharmacological, phytochemistry, and toxicological activities especially the extracts from leaves and flowers. No reports about the extracts from bark and wood as bioactivity against plant pathogens. As part of a continuing search for plant-derived antimicrobial agents, this study aimed to explore the application of several extracts from </w:t>
      </w:r>
      <w:r>
        <w:rPr>
          <w:i/>
          <w:iCs/>
        </w:rPr>
        <w:t>B. spectabilis</w:t>
      </w:r>
      <w:r>
        <w:t xml:space="preserve"> wood and bark as potential plant-antibacterial and antifungal agents. </w:t>
      </w:r>
    </w:p>
    <w:p w14:paraId="2507E159" w14:textId="77777777" w:rsidR="00364DED" w:rsidRDefault="00A70A1E">
      <w:pPr>
        <w:spacing w:line="360" w:lineRule="auto"/>
        <w:rPr>
          <w:rFonts w:ascii="Times New Roman" w:hAnsi="Times New Roman" w:cs="Times New Roman"/>
          <w:b/>
          <w:bCs/>
          <w:sz w:val="24"/>
        </w:rPr>
      </w:pPr>
      <w:r>
        <w:rPr>
          <w:rFonts w:ascii="Times New Roman" w:hAnsi="Times New Roman" w:cs="Times New Roman"/>
          <w:b/>
          <w:bCs/>
          <w:sz w:val="24"/>
        </w:rPr>
        <w:t>Materials and methods</w:t>
      </w:r>
    </w:p>
    <w:p w14:paraId="3A5CCB61" w14:textId="77777777" w:rsidR="00364DED" w:rsidRDefault="00A70A1E">
      <w:pPr>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2.1. Extraction Method of Plant Parts and GC/MS analysis</w:t>
      </w:r>
    </w:p>
    <w:p w14:paraId="14F31CFC" w14:textId="77777777" w:rsidR="00364DED" w:rsidRDefault="00A70A1E">
      <w:pPr>
        <w:tabs>
          <w:tab w:val="left" w:pos="567"/>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Wood and bark samples of </w:t>
      </w:r>
      <w:r>
        <w:rPr>
          <w:rFonts w:ascii="Times New Roman" w:hAnsi="Times New Roman" w:cs="Times New Roman"/>
          <w:i/>
          <w:iCs/>
          <w:sz w:val="24"/>
          <w:szCs w:val="24"/>
        </w:rPr>
        <w:t>Bougainvillea spectabilis</w:t>
      </w:r>
      <w:r>
        <w:rPr>
          <w:rFonts w:ascii="Times New Roman" w:hAnsi="Times New Roman" w:cs="Times New Roman"/>
          <w:sz w:val="24"/>
          <w:szCs w:val="24"/>
        </w:rPr>
        <w:t xml:space="preserve"> Willd. were collected from Alexandria, Egypt (Figure 1). Wood and bark materials were air-dried at room temperature and then grown to powder. Methanol, acetone, and butanol solvents were used for the bark extraction, where about 150 g of powdered bark was divided into three quantities (each of 50 g), and each amount was soaked in each solvent for three days. After this period, the extracted materials were filtered with a cotton plug and Whatman filter paper to afford the bark methanol, butanol, and acetone extracts. The extracts were concentrated in a vacuum using a rotary evaporator. The concentrated extracts were poured into Petri dishes and air-dried before further analysis. The essential oil from wood was achieved using the </w:t>
      </w:r>
      <w:proofErr w:type="spellStart"/>
      <w:r>
        <w:rPr>
          <w:rFonts w:ascii="Times New Roman" w:hAnsi="Times New Roman" w:cs="Times New Roman"/>
          <w:sz w:val="24"/>
          <w:szCs w:val="24"/>
        </w:rPr>
        <w:t>hydrodistillation</w:t>
      </w:r>
      <w:proofErr w:type="spellEnd"/>
      <w:r>
        <w:rPr>
          <w:rFonts w:ascii="Times New Roman" w:hAnsi="Times New Roman" w:cs="Times New Roman"/>
          <w:sz w:val="24"/>
          <w:szCs w:val="24"/>
        </w:rPr>
        <w:t xml:space="preserve"> method in a Cleavinger-type apparatus for 3 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53" w:tooltip="Mohareb, 2023 #59" w:history="1">
        <w:r w:rsidR="00364DED">
          <w:rPr>
            <w:rStyle w:val="Hyperlink"/>
          </w:rPr>
          <w:t>Mohareb et al., 2023</w:t>
        </w:r>
      </w:hyperlink>
      <w:r>
        <w:rPr>
          <w:rFonts w:ascii="Times New Roman" w:hAnsi="Times New Roman" w:cs="Times New Roman"/>
          <w:noProof/>
          <w:sz w:val="24"/>
          <w:szCs w:val="24"/>
        </w:rPr>
        <w:t xml:space="preserve">; </w:t>
      </w:r>
      <w:hyperlink w:anchor="_ENREF_81" w:tooltip="Taha, 2023 #3" w:history="1">
        <w:r w:rsidR="00364DED">
          <w:rPr>
            <w:rStyle w:val="Hyperlink"/>
          </w:rPr>
          <w:t>Taha et al., 2023</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14:paraId="4DABB3BB" w14:textId="77777777" w:rsidR="00364DED" w:rsidRDefault="00A70A1E">
      <w:pPr>
        <w:tabs>
          <w:tab w:val="left" w:pos="567"/>
        </w:tabs>
        <w:spacing w:after="0" w:line="360" w:lineRule="auto"/>
        <w:ind w:firstLine="567"/>
        <w:jc w:val="both"/>
        <w:rPr>
          <w:rFonts w:ascii="Times New Roman" w:hAnsi="Times New Roman" w:cs="Times New Roman"/>
          <w:sz w:val="24"/>
          <w:szCs w:val="24"/>
        </w:rPr>
      </w:pPr>
      <w:r>
        <w:rPr>
          <w:noProof/>
        </w:rPr>
        <w:drawing>
          <wp:inline distT="0" distB="0" distL="0" distR="0" wp14:anchorId="28A0A310" wp14:editId="359C5C94">
            <wp:extent cx="2949691" cy="2142699"/>
            <wp:effectExtent l="0" t="0" r="3175" b="0"/>
            <wp:docPr id="102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0" cstate="print"/>
                    <a:srcRect/>
                    <a:stretch/>
                  </pic:blipFill>
                  <pic:spPr>
                    <a:xfrm>
                      <a:off x="0" y="0"/>
                      <a:ext cx="2949691" cy="2142699"/>
                    </a:xfrm>
                    <a:prstGeom prst="rect">
                      <a:avLst/>
                    </a:prstGeom>
                    <a:ln>
                      <a:noFill/>
                    </a:ln>
                  </pic:spPr>
                </pic:pic>
              </a:graphicData>
            </a:graphic>
          </wp:inline>
        </w:drawing>
      </w:r>
    </w:p>
    <w:p w14:paraId="4F1AF203" w14:textId="77777777" w:rsidR="00364DED" w:rsidRDefault="00A70A1E">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1. </w:t>
      </w:r>
      <w:r>
        <w:rPr>
          <w:rFonts w:ascii="Times New Roman" w:hAnsi="Times New Roman" w:cs="Times New Roman"/>
          <w:i/>
          <w:iCs/>
          <w:sz w:val="24"/>
          <w:szCs w:val="24"/>
        </w:rPr>
        <w:t>Bougainvillea spectabilis</w:t>
      </w:r>
      <w:r>
        <w:rPr>
          <w:rFonts w:ascii="Times New Roman" w:hAnsi="Times New Roman" w:cs="Times New Roman"/>
          <w:sz w:val="24"/>
          <w:szCs w:val="24"/>
        </w:rPr>
        <w:t xml:space="preserve"> wood and bark samples and the produced extracts </w:t>
      </w:r>
    </w:p>
    <w:p w14:paraId="57C33834" w14:textId="77777777" w:rsidR="00364DED" w:rsidRDefault="00A70A1E">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GC–MS analysis of the extracts</w:t>
      </w:r>
    </w:p>
    <w:p w14:paraId="774FF7EE" w14:textId="77777777" w:rsidR="00364DED" w:rsidRDefault="00A70A1E">
      <w:pPr>
        <w:spacing w:line="360" w:lineRule="auto"/>
        <w:ind w:firstLine="567"/>
        <w:jc w:val="both"/>
        <w:rPr>
          <w:rFonts w:ascii="Times New Roman" w:hAnsi="Times New Roman" w:cs="Times New Roman"/>
          <w:sz w:val="24"/>
        </w:rPr>
      </w:pPr>
      <w:r>
        <w:rPr>
          <w:rFonts w:ascii="Times New Roman" w:hAnsi="Times New Roman" w:cs="Times New Roman"/>
          <w:sz w:val="24"/>
          <w:szCs w:val="24"/>
        </w:rPr>
        <w:lastRenderedPageBreak/>
        <w:t xml:space="preserve">The chemical composition of the extracts was analyzed using a Focus GC-DSQ Mass Spectrometer (Thermo Scientific, Austin, TX, USA), equipped with a direct capillary column TR–5MS (30 m x 0.25 µm x 0.25 µm film thickness) at the Atomic and Molecular Physics Unit, Experimental Nuclear Physics Department, Nuclear Research Centre, Egyptian Atomic Energy Authority, </w:t>
      </w:r>
      <w:proofErr w:type="spellStart"/>
      <w:r>
        <w:rPr>
          <w:rFonts w:ascii="Times New Roman" w:hAnsi="Times New Roman" w:cs="Times New Roman"/>
          <w:sz w:val="24"/>
          <w:szCs w:val="24"/>
        </w:rPr>
        <w:t>Inshas</w:t>
      </w:r>
      <w:proofErr w:type="spellEnd"/>
      <w:r>
        <w:rPr>
          <w:rFonts w:ascii="Times New Roman" w:hAnsi="Times New Roman" w:cs="Times New Roman"/>
          <w:sz w:val="24"/>
          <w:szCs w:val="24"/>
        </w:rPr>
        <w:t>, Cairo, Egypt. The column oven temperature was initially held at 60 °C and then increased by 5 °C/min until it reached 200 °C, with a holding time of 2 min, and then increased to 300 °C (10 °C/min). The injector temperature was kept at 270 °C, while helium was used as the carrier gas with a constant flow rate of 1 mL/min. The samples, diluted to 1 µL, were automatically injected using the Auto-sampler AS3000 in split mode with a solvent delay of 2 min. Full-scan mode EI mass spectra were collected at 70 eV ionization voltages over the range of m/z 50–550. The ion source and transfer line temperatures were set at 200 and 250 °C, respectively. The identification of components was carried out by comparing their retention times and mass spectra with those in the WILEY 09 and NIST 11 mass spectral database</w:t>
      </w:r>
      <w:r>
        <w:rPr>
          <w:rFonts w:ascii="Times New Roman" w:hAnsi="Times New Roman" w:cs="Times New Roman"/>
          <w:sz w:val="24"/>
        </w:rPr>
        <w:t xml:space="preserve"> and confirmed with the values of the standard reverse standard index (RSI) </w:t>
      </w:r>
      <w:r>
        <w:fldChar w:fldCharType="begin"/>
      </w:r>
      <w:r>
        <w:instrText xml:space="preserve"> ADDIN EN.CITE &lt;EndNote&gt;&lt;Cite&gt;&lt;Author&gt;Abdelsalam&lt;/Author&gt;&lt;Year&gt;2019&lt;/Year&gt;&lt;RecNum&gt;21&lt;/RecNum&gt;&lt;DisplayText&gt;(Abdelsalam et al., 2019)&lt;/DisplayText&gt;&lt;record&gt;&lt;rec-number&gt;21&lt;/rec-number&gt;&lt;foreign-keys&gt;&lt;key app="EN" db-id="ra9v9ftd2frrvye2et45af2dwpvf99aw5evt" timestamp="1644693063"&gt;21&lt;/key&gt;&lt;/foreign-keys&gt;&lt;ref-type name="Journal Article"&gt;17&lt;/ref-type&gt;&lt;contributors&gt;&lt;authors&gt;&lt;author&gt;Abdelsalam, Nader R.&lt;/author&gt;&lt;author&gt;Salem, Mohamed Z. M.&lt;/author&gt;&lt;author&gt;Ali, Hayssam M.&lt;/author&gt;&lt;author&gt;Mackled, Marwa I.&lt;/author&gt;&lt;author&gt;El-Hefny, Mervat&lt;/author&gt;&lt;author&gt;Elshikh, Mohamed S.&lt;/author&gt;&lt;author&gt;Hatamleh, Ashraf A.&lt;/author&gt;&lt;/authors&gt;&lt;/contributors&gt;&lt;titles&gt;&lt;title&gt;&lt;style face="normal" font="default" size="100%"&gt;Morphological, biochemical, molecular, and oil toxicity properties of &lt;/style&gt;&lt;style face="italic" font="default" size="100%"&gt;Taxodium&lt;/style&gt;&lt;style face="normal" font="default" size="100%"&gt; trees from different locations&lt;/style&gt;&lt;/title&gt;&lt;secondary-title&gt;Industrial Crops and Products&lt;/secondary-title&gt;&lt;/titles&gt;&lt;periodical&gt;&lt;full-title&gt;Industrial Crops and Products&lt;/full-title&gt;&lt;/periodical&gt;&lt;pages&gt;111515&lt;/pages&gt;&lt;volume&gt;139&lt;/volume&gt;&lt;keywords&gt;&lt;keyword&gt;Biochemical&lt;/keyword&gt;&lt;keyword&gt;RAPD&lt;/keyword&gt;&lt;keyword&gt;SSR&lt;/keyword&gt;&lt;keyword&gt;oil&lt;/keyword&gt;&lt;keyword&gt;Insecticidal activity&lt;/keyword&gt;&lt;/keywords&gt;&lt;dates&gt;&lt;year&gt;2019&lt;/year&gt;&lt;pub-dates&gt;&lt;date&gt;2019/11/01/&lt;/date&gt;&lt;/pub-dates&gt;&lt;/dates&gt;&lt;isbn&gt;0926-6690&lt;/isbn&gt;&lt;urls&gt;&lt;related-urls&gt;&lt;url&gt;https://www.sciencedirect.com/science/article/pii/S0926669019305278&lt;/url&gt;&lt;/related-urls&gt;&lt;/urls&gt;&lt;electronic-resource-num&gt;https://doi.org/10.1016/j.indcrop.2019.111515&lt;/electronic-resource-num&gt;&lt;/record&gt;&lt;/Cite&gt;&lt;/EndNote&gt;</w:instrText>
      </w:r>
      <w:r>
        <w:fldChar w:fldCharType="separate"/>
      </w:r>
      <w:r>
        <w:rPr>
          <w:noProof/>
        </w:rPr>
        <w:t>(</w:t>
      </w:r>
      <w:hyperlink w:anchor="_ENREF_8" w:tooltip="Abdelsalam, 2019 #21" w:history="1">
        <w:r w:rsidR="00364DED">
          <w:rPr>
            <w:rStyle w:val="Hyperlink"/>
          </w:rPr>
          <w:t>Abdelsalam et al., 2019</w:t>
        </w:r>
      </w:hyperlink>
      <w:r>
        <w:rPr>
          <w:noProof/>
        </w:rPr>
        <w:t>)</w:t>
      </w:r>
      <w:r>
        <w:fldChar w:fldCharType="end"/>
      </w:r>
      <w:r>
        <w:rPr>
          <w:rFonts w:ascii="Times New Roman" w:hAnsi="Times New Roman" w:cs="Times New Roman"/>
          <w:sz w:val="24"/>
        </w:rPr>
        <w:t>.</w:t>
      </w:r>
    </w:p>
    <w:p w14:paraId="51E76BE2" w14:textId="77777777" w:rsidR="00364DED" w:rsidRDefault="00A70A1E">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The most common method used for terpene qualitative and quantitative measurement is Gas Chromatography-Mass Spectrometry (GC-MS)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6" w:tooltip="Abd El-Kareem, 2024 #4" w:history="1">
        <w:r w:rsidR="00364DED">
          <w:rPr>
            <w:rStyle w:val="Hyperlink"/>
          </w:rPr>
          <w:t>Abd El-Kareem et al., 2024</w:t>
        </w:r>
      </w:hyperlink>
      <w:r>
        <w:rPr>
          <w:rFonts w:ascii="Times New Roman" w:hAnsi="Times New Roman" w:cs="Times New Roman"/>
          <w:noProof/>
          <w:sz w:val="24"/>
          <w:szCs w:val="24"/>
        </w:rPr>
        <w:t xml:space="preserve">; </w:t>
      </w:r>
      <w:hyperlink w:anchor="_ENREF_21" w:tooltip="Behiry, 2020 #8" w:history="1">
        <w:r w:rsidR="00364DED">
          <w:rPr>
            <w:rStyle w:val="Hyperlink"/>
          </w:rPr>
          <w:t>Behiry et al., 2020a</w:t>
        </w:r>
      </w:hyperlink>
      <w:r>
        <w:rPr>
          <w:rFonts w:ascii="Times New Roman" w:hAnsi="Times New Roman" w:cs="Times New Roman"/>
          <w:noProof/>
          <w:sz w:val="24"/>
          <w:szCs w:val="24"/>
        </w:rPr>
        <w:t xml:space="preserve">; </w:t>
      </w:r>
      <w:hyperlink w:anchor="_ENREF_81" w:tooltip="Taha, 2023 #3" w:history="1">
        <w:r w:rsidR="00364DED">
          <w:rPr>
            <w:rStyle w:val="Hyperlink"/>
          </w:rPr>
          <w:t>Taha et al., 2023</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To ensure that there is no contamination in the GC or MS before beginning analysis, the GC-MS was tuned and calibrated using </w:t>
      </w:r>
      <w:proofErr w:type="spellStart"/>
      <w:r>
        <w:rPr>
          <w:rFonts w:ascii="Times New Roman" w:hAnsi="Times New Roman" w:cs="Times New Roman"/>
          <w:sz w:val="24"/>
          <w:szCs w:val="24"/>
        </w:rPr>
        <w:t>Xcalibur</w:t>
      </w:r>
      <w:proofErr w:type="spellEnd"/>
      <w:r>
        <w:rPr>
          <w:rFonts w:ascii="Times New Roman" w:hAnsi="Times New Roman" w:cs="Times New Roman"/>
          <w:sz w:val="24"/>
          <w:szCs w:val="24"/>
        </w:rPr>
        <w:t xml:space="preserve"> software 2.2 SP1.48. All mass spectra of the separated peaks were compared with multiple libraries attached to the software (NIST014 and </w:t>
      </w:r>
      <w:proofErr w:type="spellStart"/>
      <w:r>
        <w:rPr>
          <w:rFonts w:ascii="Times New Roman" w:hAnsi="Times New Roman" w:cs="Times New Roman"/>
          <w:sz w:val="24"/>
          <w:szCs w:val="24"/>
        </w:rPr>
        <w:t>Wiely</w:t>
      </w:r>
      <w:proofErr w:type="spellEnd"/>
      <w:r>
        <w:rPr>
          <w:rFonts w:ascii="Times New Roman" w:hAnsi="Times New Roman" w:cs="Times New Roman"/>
          <w:sz w:val="24"/>
          <w:szCs w:val="24"/>
        </w:rPr>
        <w:t xml:space="preserve"> 09). The Adam technique is only compatible with the older </w:t>
      </w:r>
      <w:proofErr w:type="spellStart"/>
      <w:r>
        <w:rPr>
          <w:rFonts w:ascii="Times New Roman" w:hAnsi="Times New Roman" w:cs="Times New Roman"/>
          <w:sz w:val="24"/>
          <w:szCs w:val="24"/>
        </w:rPr>
        <w:t>Xcalibur</w:t>
      </w:r>
      <w:proofErr w:type="spellEnd"/>
      <w:r>
        <w:rPr>
          <w:rFonts w:ascii="Times New Roman" w:hAnsi="Times New Roman" w:cs="Times New Roman"/>
          <w:sz w:val="24"/>
          <w:szCs w:val="24"/>
        </w:rPr>
        <w:t xml:space="preserve"> software version (1.4), not the more recent one. However, the hold time in the utilized GC-MS oven program at the ultimate temperature (300 °C) is crucial to prevent any residual from the injected sample that could alter the chromatogram of the subsequent sample. This hold time can vary from 1 to 10 min </w:t>
      </w:r>
      <w:r>
        <w:fldChar w:fldCharType="begin"/>
      </w:r>
      <w:r>
        <w:instrText xml:space="preserve"> ADDIN EN.CITE &lt;EndNote&gt;&lt;Cite&gt;&lt;Author&gt;Pizzo&lt;/Author&gt;&lt;Year&gt;2024&lt;/Year&gt;&lt;RecNum&gt;105&lt;/RecNum&gt;&lt;DisplayText&gt;(Pizzo et al., 2024)&lt;/DisplayText&gt;&lt;record&gt;&lt;rec-number&gt;105&lt;/rec-number&gt;&lt;foreign-keys&gt;&lt;key app="EN" db-id="ra9v9ftd2frrvye2et45af2dwpvf99aw5evt" timestamp="1725659846"&gt;105&lt;/key&gt;&lt;/foreign-keys&gt;&lt;ref-type name="Journal Article"&gt;17&lt;/ref-type&gt;&lt;contributors&gt;&lt;authors&gt;&lt;author&gt;Pizzo, Jessica S.&lt;/author&gt;&lt;author&gt;Rutz, Thiago&lt;/author&gt;&lt;author&gt;Ojeda, Ann S.&lt;/author&gt;&lt;author&gt;Kartowikromo, Kimberly Y.&lt;/author&gt;&lt;author&gt;Hamid, Ahmed M.&lt;/author&gt;&lt;author&gt;Simmons, Alvin&lt;/author&gt;&lt;author&gt;da Silva, Andre L. B. R.&lt;/author&gt;&lt;author&gt;Rodrigues, Camila&lt;/author&gt;&lt;/authors&gt;&lt;/contributors&gt;&lt;titles&gt;&lt;title&gt;Quantifying terpenes in tomato leaf extracts from different species using gas chromatography-mass spectrometry (GC-MS)&lt;/title&gt;&lt;secondary-title&gt;Analytical Biochemistry&lt;/secondary-title&gt;&lt;/titles&gt;&lt;periodical&gt;&lt;full-title&gt;Analytical Biochemistry&lt;/full-title&gt;&lt;/periodical&gt;&lt;pages&gt;115503&lt;/pages&gt;&lt;volume&gt;689&lt;/volume&gt;&lt;keywords&gt;&lt;keyword&gt;Volatile compounds&lt;/keyword&gt;&lt;keyword&gt;Chemical diversity&lt;/keyword&gt;&lt;keyword&gt;Plant metabolites&lt;/keyword&gt;&lt;keyword&gt;Terpene profiling&lt;/keyword&gt;&lt;keyword&gt;Trichomes&lt;/keyword&gt;&lt;keyword&gt;Whitefly&lt;/keyword&gt;&lt;/keywords&gt;&lt;dates&gt;&lt;year&gt;2024&lt;/year&gt;&lt;pub-dates&gt;&lt;date&gt;2024/06/01/&lt;/date&gt;&lt;/pub-dates&gt;&lt;/dates&gt;&lt;isbn&gt;0003-2697&lt;/isbn&gt;&lt;urls&gt;&lt;related-urls&gt;&lt;url&gt;https://www.sciencedirect.com/science/article/pii/S0003269724000472&lt;/url&gt;&lt;/related-urls&gt;&lt;/urls&gt;&lt;electronic-resource-num&gt;https://doi.org/10.1016/j.ab.2024.115503&lt;/electronic-resource-num&gt;&lt;/record&gt;&lt;/Cite&gt;&lt;/EndNote&gt;</w:instrText>
      </w:r>
      <w:r>
        <w:fldChar w:fldCharType="separate"/>
      </w:r>
      <w:r>
        <w:rPr>
          <w:noProof/>
        </w:rPr>
        <w:t>(</w:t>
      </w:r>
      <w:hyperlink w:anchor="_ENREF_61" w:tooltip="Pizzo, 2024 #105" w:history="1">
        <w:r w:rsidR="00364DED">
          <w:rPr>
            <w:rStyle w:val="Hyperlink"/>
          </w:rPr>
          <w:t>Pizzo et al., 2024</w:t>
        </w:r>
      </w:hyperlink>
      <w:r>
        <w:rPr>
          <w:noProof/>
        </w:rPr>
        <w:t>)</w:t>
      </w:r>
      <w:r>
        <w:fldChar w:fldCharType="end"/>
      </w:r>
      <w:r>
        <w:rPr>
          <w:rFonts w:ascii="Times New Roman" w:hAnsi="Times New Roman" w:cs="Times New Roman"/>
          <w:sz w:val="24"/>
          <w:szCs w:val="24"/>
        </w:rPr>
        <w:t>.</w:t>
      </w:r>
    </w:p>
    <w:p w14:paraId="362291D9" w14:textId="77777777" w:rsidR="00364DED" w:rsidRDefault="00A70A1E">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The combination of chromatography with mass spectrometry, specifically gas chromatography-mass spectrometry (GC-MS), is a highly effective method for analyzing volatile or derivatized nonvolatile molecules present at low concentrations. This technique provides extensive information, as well as increased sensitivity, selectivity, and greater capabilities for structural determination, in comparison to other methods used for structural characterization such as IR and Raman spectroscopy </w:t>
      </w:r>
      <w:r>
        <w:fldChar w:fldCharType="begin"/>
      </w:r>
      <w:r>
        <w:instrText xml:space="preserve"> ADDIN EN.CITE &lt;EndNote&gt;&lt;Cite&gt;&lt;Author&gt;Gemperline&lt;/Author&gt;&lt;Year&gt;2016&lt;/Year&gt;&lt;RecNum&gt;1&lt;/RecNum&gt;&lt;DisplayText&gt;(Gemperline et al., 2016)&lt;/DisplayText&gt;&lt;record&gt;&lt;rec-number&gt;1&lt;/rec-number&gt;&lt;foreign-keys&gt;&lt;key app="EN" db-id="ra9v9ftd2frrvye2et45af2dwpvf99aw5evt" timestamp="1632865571"&gt;1&lt;/key&gt;&lt;/foreign-keys&gt;&lt;ref-type name="Journal Article"&gt;17&lt;/ref-type&gt;&lt;contributors&gt;&lt;authors&gt;&lt;author&gt;Gemperline, Erin&lt;/author&gt;&lt;author&gt;Keller, Caitlin&lt;/author&gt;&lt;author&gt;Li, Lingjun&lt;/author&gt;&lt;/authors&gt;&lt;/contributors&gt;&lt;titles&gt;&lt;title&gt;Mass Spectrometry in Plant-omics&lt;/title&gt;&lt;secondary-title&gt;Analytical Chemistry&lt;/secondary-title&gt;&lt;/titles&gt;&lt;periodical&gt;&lt;full-title&gt;Analytical Chemistry&lt;/full-title&gt;&lt;/periodical&gt;&lt;pages&gt;3422-3434&lt;/pages&gt;&lt;volume&gt;88&lt;/volume&gt;&lt;number&gt;7&lt;/number&gt;&lt;dates&gt;&lt;year&gt;2016&lt;/year&gt;&lt;pub-dates&gt;&lt;date&gt;2016/04/05&lt;/date&gt;&lt;/pub-dates&gt;&lt;/dates&gt;&lt;publisher&gt;American Chemical Society&lt;/publisher&gt;&lt;isbn&gt;0003-2700&lt;/isbn&gt;&lt;urls&gt;&lt;related-urls&gt;&lt;url&gt;https://doi.org/10.1021/acs.analchem.5b02938&lt;/url&gt;&lt;/related-urls&gt;&lt;/urls&gt;&lt;electronic-resource-num&gt;10.1021/acs.analchem.5b02938&lt;/electronic-resource-num&gt;&lt;/record&gt;&lt;/Cite&gt;&lt;/EndNote&gt;</w:instrText>
      </w:r>
      <w:r>
        <w:fldChar w:fldCharType="separate"/>
      </w:r>
      <w:r>
        <w:rPr>
          <w:noProof/>
        </w:rPr>
        <w:t>(</w:t>
      </w:r>
      <w:hyperlink w:anchor="_ENREF_33" w:tooltip="Gemperline, 2016 #1" w:history="1">
        <w:r w:rsidR="00364DED">
          <w:rPr>
            <w:rStyle w:val="Hyperlink"/>
          </w:rPr>
          <w:t>Gemperline et al., 2016</w:t>
        </w:r>
      </w:hyperlink>
      <w:r>
        <w:rPr>
          <w:noProof/>
        </w:rPr>
        <w:t>)</w:t>
      </w:r>
      <w:r>
        <w:fldChar w:fldCharType="end"/>
      </w:r>
      <w:r>
        <w:rPr>
          <w:rFonts w:ascii="Times New Roman" w:hAnsi="Times New Roman" w:cs="Times New Roman"/>
          <w:sz w:val="24"/>
          <w:szCs w:val="24"/>
        </w:rPr>
        <w:t>.</w:t>
      </w:r>
    </w:p>
    <w:p w14:paraId="6741F604" w14:textId="77777777" w:rsidR="00364DED" w:rsidRDefault="00A70A1E">
      <w:pPr>
        <w:rPr>
          <w:rFonts w:ascii="Times New Roman" w:hAnsi="Times New Roman" w:cs="Times New Roman"/>
          <w:b/>
          <w:bCs/>
          <w:sz w:val="24"/>
        </w:rPr>
      </w:pPr>
      <w:r>
        <w:rPr>
          <w:rFonts w:ascii="Times New Roman" w:hAnsi="Times New Roman" w:cs="Times New Roman"/>
          <w:b/>
          <w:bCs/>
          <w:sz w:val="24"/>
        </w:rPr>
        <w:lastRenderedPageBreak/>
        <w:t>Computation Method</w:t>
      </w:r>
    </w:p>
    <w:p w14:paraId="6887DC87" w14:textId="77777777" w:rsidR="00364DED" w:rsidRDefault="00A70A1E">
      <w:pPr>
        <w:spacing w:line="360" w:lineRule="auto"/>
        <w:ind w:firstLine="567"/>
        <w:jc w:val="both"/>
        <w:rPr>
          <w:rFonts w:ascii="Times New Roman" w:hAnsi="Times New Roman" w:cs="Times New Roman"/>
          <w:sz w:val="24"/>
        </w:rPr>
      </w:pPr>
      <w:r>
        <w:rPr>
          <w:rFonts w:ascii="Times New Roman" w:hAnsi="Times New Roman" w:cs="Times New Roman"/>
          <w:sz w:val="24"/>
        </w:rPr>
        <w:t>To optimize the geometry of the molecules under investigation, semi-empirical calculations were performed using the molecular modeling software Hyperchem7.5 (</w:t>
      </w:r>
      <w:proofErr w:type="spellStart"/>
      <w:r>
        <w:rPr>
          <w:rFonts w:ascii="Times New Roman" w:hAnsi="Times New Roman" w:cs="Times New Roman"/>
          <w:sz w:val="24"/>
        </w:rPr>
        <w:t>W.Thiel</w:t>
      </w:r>
      <w:proofErr w:type="spellEnd"/>
      <w:r>
        <w:rPr>
          <w:rFonts w:ascii="Times New Roman" w:hAnsi="Times New Roman" w:cs="Times New Roman"/>
          <w:sz w:val="24"/>
        </w:rPr>
        <w:t xml:space="preserve"> 2003, </w:t>
      </w:r>
      <w:proofErr w:type="spellStart"/>
      <w:r>
        <w:rPr>
          <w:rFonts w:ascii="Times New Roman" w:hAnsi="Times New Roman" w:cs="Times New Roman"/>
          <w:sz w:val="24"/>
        </w:rPr>
        <w:t>HyperChemTM</w:t>
      </w:r>
      <w:proofErr w:type="spellEnd"/>
      <w:r>
        <w:rPr>
          <w:rFonts w:ascii="Times New Roman" w:hAnsi="Times New Roman" w:cs="Times New Roman"/>
          <w:sz w:val="24"/>
        </w:rPr>
        <w:t xml:space="preserve">, Release 7.5 Pro 2002) </w:t>
      </w:r>
      <w:r>
        <w:rPr>
          <w:rFonts w:ascii="Times New Roman" w:hAnsi="Times New Roman" w:cs="Times New Roman"/>
          <w:sz w:val="24"/>
        </w:rPr>
        <w:fldChar w:fldCharType="begin"/>
      </w:r>
      <w:r>
        <w:rPr>
          <w:rFonts w:ascii="Times New Roman" w:hAnsi="Times New Roman" w:cs="Times New Roman"/>
          <w:sz w:val="24"/>
        </w:rPr>
        <w:instrText xml:space="preserve"> ADDIN EN.CITE </w:instrText>
      </w:r>
      <w:r>
        <w:rPr>
          <w:rFonts w:ascii="Times New Roman" w:hAnsi="Times New Roman" w:cs="Times New Roman"/>
          <w:sz w:val="24"/>
        </w:rPr>
        <w:fldChar w:fldCharType="begin"/>
      </w:r>
      <w:r>
        <w:rPr>
          <w:rFonts w:ascii="Times New Roman" w:hAnsi="Times New Roman" w:cs="Times New Roman"/>
          <w:sz w:val="24"/>
        </w:rPr>
        <w:instrText xml:space="preserve"> ADDIN EN.CITE.DATA </w:instrText>
      </w:r>
      <w:r>
        <w:rPr>
          <w:rFonts w:ascii="Times New Roman" w:hAnsi="Times New Roman" w:cs="Times New Roman"/>
          <w:sz w:val="24"/>
        </w:rPr>
        <w:fldChar w:fldCharType="end"/>
      </w:r>
      <w:r>
        <w:rPr>
          <w:rFonts w:ascii="Times New Roman" w:hAnsi="Times New Roman" w:cs="Times New Roman"/>
          <w:sz w:val="24"/>
        </w:rPr>
        <w:fldChar w:fldCharType="separate"/>
      </w:r>
      <w:r>
        <w:rPr>
          <w:rFonts w:ascii="Times New Roman" w:hAnsi="Times New Roman" w:cs="Times New Roman"/>
          <w:noProof/>
          <w:sz w:val="24"/>
        </w:rPr>
        <w:t>(</w:t>
      </w:r>
      <w:hyperlink w:anchor="_ENREF_13" w:tooltip="Ali, 2021 #20" w:history="1">
        <w:r w:rsidR="00364DED">
          <w:rPr>
            <w:rStyle w:val="Hyperlink"/>
          </w:rPr>
          <w:t>Ali et al., 2021</w:t>
        </w:r>
      </w:hyperlink>
      <w:r>
        <w:rPr>
          <w:rFonts w:ascii="Times New Roman" w:hAnsi="Times New Roman" w:cs="Times New Roman"/>
          <w:noProof/>
          <w:sz w:val="24"/>
        </w:rPr>
        <w:t xml:space="preserve">; </w:t>
      </w:r>
      <w:hyperlink w:anchor="_ENREF_22" w:tooltip="Behiry, 2020 #63" w:history="1">
        <w:r w:rsidR="00364DED">
          <w:rPr>
            <w:rStyle w:val="Hyperlink"/>
          </w:rPr>
          <w:t>Behiry et al., 2020b</w:t>
        </w:r>
      </w:hyperlink>
      <w:r>
        <w:rPr>
          <w:rFonts w:ascii="Times New Roman" w:hAnsi="Times New Roman" w:cs="Times New Roman"/>
          <w:noProof/>
          <w:sz w:val="24"/>
        </w:rPr>
        <w:t xml:space="preserve">; </w:t>
      </w:r>
      <w:hyperlink w:anchor="_ENREF_81" w:tooltip="Taha, 2023 #3" w:history="1">
        <w:r w:rsidR="00364DED">
          <w:rPr>
            <w:rStyle w:val="Hyperlink"/>
          </w:rPr>
          <w:t>Taha et al., 2023</w:t>
        </w:r>
      </w:hyperlink>
      <w:r>
        <w:rPr>
          <w:rFonts w:ascii="Times New Roman" w:hAnsi="Times New Roman" w:cs="Times New Roman"/>
          <w:noProof/>
          <w:sz w:val="24"/>
        </w:rPr>
        <w:t>)</w:t>
      </w:r>
      <w:r>
        <w:rPr>
          <w:rFonts w:ascii="Times New Roman" w:hAnsi="Times New Roman" w:cs="Times New Roman"/>
          <w:sz w:val="24"/>
        </w:rPr>
        <w:fldChar w:fldCharType="end"/>
      </w:r>
      <w:r>
        <w:rPr>
          <w:rFonts w:ascii="Times New Roman" w:hAnsi="Times New Roman" w:cs="Times New Roman"/>
          <w:sz w:val="24"/>
        </w:rPr>
        <w:t xml:space="preserve">. The calculations were carried out using the MNDO routine and the </w:t>
      </w:r>
      <w:proofErr w:type="spellStart"/>
      <w:r>
        <w:rPr>
          <w:rFonts w:ascii="Times New Roman" w:hAnsi="Times New Roman" w:cs="Times New Roman"/>
          <w:sz w:val="24"/>
        </w:rPr>
        <w:t>Polak-Ribiere</w:t>
      </w:r>
      <w:proofErr w:type="spellEnd"/>
      <w:r>
        <w:rPr>
          <w:rFonts w:ascii="Times New Roman" w:hAnsi="Times New Roman" w:cs="Times New Roman"/>
          <w:sz w:val="24"/>
        </w:rPr>
        <w:t xml:space="preserve"> conjugated gradient algorithm </w:t>
      </w:r>
      <w:r>
        <w:rPr>
          <w:rFonts w:ascii="Times New Roman" w:hAnsi="Times New Roman" w:cs="Times New Roman"/>
          <w:sz w:val="24"/>
        </w:rPr>
        <w:fldChar w:fldCharType="begin"/>
      </w:r>
      <w:r>
        <w:rPr>
          <w:rFonts w:ascii="Times New Roman" w:hAnsi="Times New Roman" w:cs="Times New Roman"/>
          <w:sz w:val="24"/>
        </w:rPr>
        <w:instrText xml:space="preserve"> ADDIN EN.CITE </w:instrText>
      </w:r>
      <w:r>
        <w:rPr>
          <w:rFonts w:ascii="Times New Roman" w:hAnsi="Times New Roman" w:cs="Times New Roman"/>
          <w:sz w:val="24"/>
        </w:rPr>
        <w:fldChar w:fldCharType="begin"/>
      </w:r>
      <w:r>
        <w:rPr>
          <w:rFonts w:ascii="Times New Roman" w:hAnsi="Times New Roman" w:cs="Times New Roman"/>
          <w:sz w:val="24"/>
        </w:rPr>
        <w:instrText xml:space="preserve"> ADDIN EN.CITE.DATA </w:instrText>
      </w:r>
      <w:r>
        <w:rPr>
          <w:rFonts w:ascii="Times New Roman" w:hAnsi="Times New Roman" w:cs="Times New Roman"/>
          <w:sz w:val="24"/>
        </w:rPr>
        <w:fldChar w:fldCharType="end"/>
      </w:r>
      <w:r>
        <w:rPr>
          <w:rFonts w:ascii="Times New Roman" w:hAnsi="Times New Roman" w:cs="Times New Roman"/>
          <w:sz w:val="24"/>
        </w:rPr>
        <w:fldChar w:fldCharType="separate"/>
      </w:r>
      <w:r>
        <w:rPr>
          <w:rFonts w:ascii="Times New Roman" w:hAnsi="Times New Roman" w:cs="Times New Roman"/>
          <w:noProof/>
          <w:sz w:val="24"/>
        </w:rPr>
        <w:t>(</w:t>
      </w:r>
      <w:hyperlink w:anchor="_ENREF_4" w:tooltip="Abd El-Kareem, 2018 #9" w:history="1">
        <w:r w:rsidR="00364DED">
          <w:rPr>
            <w:rStyle w:val="Hyperlink"/>
          </w:rPr>
          <w:t>Abd El-Kareem et al., 2018a</w:t>
        </w:r>
      </w:hyperlink>
      <w:r>
        <w:rPr>
          <w:rFonts w:ascii="Times New Roman" w:hAnsi="Times New Roman" w:cs="Times New Roman"/>
          <w:noProof/>
          <w:sz w:val="24"/>
        </w:rPr>
        <w:t xml:space="preserve">; </w:t>
      </w:r>
      <w:hyperlink w:anchor="_ENREF_81" w:tooltip="Taha, 2023 #3" w:history="1">
        <w:r w:rsidR="00364DED">
          <w:rPr>
            <w:rStyle w:val="Hyperlink"/>
          </w:rPr>
          <w:t>Taha et al., 2023</w:t>
        </w:r>
      </w:hyperlink>
      <w:r>
        <w:rPr>
          <w:rFonts w:ascii="Times New Roman" w:hAnsi="Times New Roman" w:cs="Times New Roman"/>
          <w:noProof/>
          <w:sz w:val="24"/>
        </w:rPr>
        <w:t>)</w:t>
      </w:r>
      <w:r>
        <w:rPr>
          <w:rFonts w:ascii="Times New Roman" w:hAnsi="Times New Roman" w:cs="Times New Roman"/>
          <w:sz w:val="24"/>
        </w:rPr>
        <w:fldChar w:fldCharType="end"/>
      </w:r>
      <w:r>
        <w:rPr>
          <w:rFonts w:ascii="Times New Roman" w:hAnsi="Times New Roman" w:cs="Times New Roman"/>
          <w:sz w:val="24"/>
        </w:rPr>
        <w:t xml:space="preserve">. To obtain molecular properties such as heat of formation, total energy, ionization energy, electron affinity, and dipole moment for both the neutral and cation states, a geometry optimization mode was conducted after the optimization of the molecular geometry </w:t>
      </w:r>
      <w:r>
        <w:fldChar w:fldCharType="begin"/>
      </w:r>
      <w:r>
        <w:instrText xml:space="preserve"> ADDIN EN.CITE &lt;EndNote&gt;&lt;Cite&gt;&lt;Author&gt;Abd El-Kareem&lt;/Author&gt;&lt;Year&gt;2018&lt;/Year&gt;&lt;RecNum&gt;9&lt;/RecNum&gt;&lt;DisplayText&gt;(Abd El-Kareem et al., 2018a)&lt;/DisplayText&gt;&lt;record&gt;&lt;rec-number&gt;9&lt;/rec-number&gt;&lt;foreign-keys&gt;&lt;key app="EN" db-id="ra9v9ftd2frrvye2et45af2dwpvf99aw5evt" timestamp="1632869255"&gt;9&lt;/key&gt;&lt;/foreign-keys&gt;&lt;ref-type name="Journal Article"&gt;17&lt;/ref-type&gt;&lt;contributors&gt;&lt;authors&gt;&lt;author&gt;Abd El-Kareem, Mamoun SM&lt;/author&gt;&lt;author&gt;El-desawy, M&lt;/author&gt;&lt;author&gt;Hawash, MF&lt;/author&gt;&lt;author&gt;Fahmey, MA&lt;/author&gt;&lt;/authors&gt;&lt;/contributors&gt;&lt;titles&gt;&lt;title&gt;Structural investigation of sparfloxacin drug using mass spectrometry and MNDO semi-empirical molecular orbital calculations&lt;/title&gt;&lt;secondary-title&gt;Int. J. Adv. Chem&lt;/secondary-title&gt;&lt;/titles&gt;&lt;periodical&gt;&lt;full-title&gt;Int. J. Adv. Chem&lt;/full-title&gt;&lt;/periodical&gt;&lt;pages&gt;74-78&lt;/pages&gt;&lt;volume&gt;6&lt;/volume&gt;&lt;dates&gt;&lt;year&gt;2018&lt;/year&gt;&lt;/dates&gt;&lt;urls&gt;&lt;/urls&gt;&lt;/record&gt;&lt;/Cite&gt;&lt;/EndNote&gt;</w:instrText>
      </w:r>
      <w:r>
        <w:fldChar w:fldCharType="separate"/>
      </w:r>
      <w:r>
        <w:rPr>
          <w:noProof/>
        </w:rPr>
        <w:t>(</w:t>
      </w:r>
      <w:hyperlink w:anchor="_ENREF_4" w:tooltip="Abd El-Kareem, 2018 #9" w:history="1">
        <w:r w:rsidR="00364DED">
          <w:rPr>
            <w:rStyle w:val="Hyperlink"/>
          </w:rPr>
          <w:t>Abd El-Kareem et al., 2018a</w:t>
        </w:r>
      </w:hyperlink>
      <w:r>
        <w:rPr>
          <w:noProof/>
        </w:rPr>
        <w:t>)</w:t>
      </w:r>
      <w:r>
        <w:fldChar w:fldCharType="end"/>
      </w:r>
      <w:r>
        <w:rPr>
          <w:rFonts w:ascii="Times New Roman" w:hAnsi="Times New Roman" w:cs="Times New Roman"/>
          <w:sz w:val="24"/>
        </w:rPr>
        <w:t>.</w:t>
      </w:r>
    </w:p>
    <w:p w14:paraId="3F242885" w14:textId="77777777" w:rsidR="00364DED" w:rsidRDefault="00A70A1E">
      <w:pPr>
        <w:rPr>
          <w:rFonts w:ascii="Times New Roman" w:hAnsi="Times New Roman" w:cs="Times New Roman"/>
          <w:b/>
          <w:bCs/>
          <w:sz w:val="24"/>
        </w:rPr>
      </w:pPr>
      <w:r>
        <w:rPr>
          <w:rFonts w:ascii="Times New Roman" w:hAnsi="Times New Roman" w:cs="Times New Roman"/>
          <w:b/>
          <w:bCs/>
          <w:sz w:val="24"/>
        </w:rPr>
        <w:t xml:space="preserve">Antibacterial activity of bark and wood extracts of </w:t>
      </w:r>
      <w:r>
        <w:rPr>
          <w:rFonts w:ascii="Times New Roman" w:hAnsi="Times New Roman" w:cs="Times New Roman"/>
          <w:b/>
          <w:bCs/>
          <w:i/>
          <w:iCs/>
          <w:sz w:val="24"/>
        </w:rPr>
        <w:t>Bougainvillea spectabilis</w:t>
      </w:r>
    </w:p>
    <w:p w14:paraId="69334B5C" w14:textId="77777777" w:rsidR="00364DED" w:rsidRDefault="00A70A1E">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Bark methanol, acetone and butanol extracts, and wood essential oil of </w:t>
      </w:r>
      <w:r>
        <w:rPr>
          <w:rFonts w:ascii="Times New Roman" w:hAnsi="Times New Roman" w:cs="Times New Roman"/>
          <w:i/>
          <w:iCs/>
          <w:sz w:val="24"/>
        </w:rPr>
        <w:t>B. spectabilis</w:t>
      </w:r>
      <w:r>
        <w:rPr>
          <w:rFonts w:ascii="Times New Roman" w:hAnsi="Times New Roman" w:cs="Times New Roman"/>
          <w:sz w:val="24"/>
        </w:rPr>
        <w:t xml:space="preserve"> were prepared at concentrations of 125, 250, 500, 2000, and 4000 µg/</w:t>
      </w:r>
      <w:proofErr w:type="spellStart"/>
      <w:r>
        <w:rPr>
          <w:rFonts w:ascii="Times New Roman" w:hAnsi="Times New Roman" w:cs="Times New Roman"/>
          <w:sz w:val="24"/>
        </w:rPr>
        <w:t>mL.</w:t>
      </w:r>
      <w:proofErr w:type="spellEnd"/>
      <w:r>
        <w:rPr>
          <w:rFonts w:ascii="Times New Roman" w:hAnsi="Times New Roman" w:cs="Times New Roman"/>
          <w:sz w:val="24"/>
        </w:rPr>
        <w:t xml:space="preserve"> These extracts were then tested against the growth of the following bacterial strains: </w:t>
      </w:r>
      <w:r>
        <w:rPr>
          <w:rFonts w:ascii="Times New Roman" w:hAnsi="Times New Roman" w:cs="Times New Roman"/>
          <w:i/>
          <w:iCs/>
          <w:sz w:val="24"/>
        </w:rPr>
        <w:t>Agrobacterium tumefaciens</w:t>
      </w:r>
      <w:r>
        <w:rPr>
          <w:rFonts w:ascii="Times New Roman" w:hAnsi="Times New Roman" w:cs="Times New Roman"/>
          <w:sz w:val="24"/>
        </w:rPr>
        <w:t xml:space="preserve"> (MG706145), </w:t>
      </w:r>
      <w:proofErr w:type="spellStart"/>
      <w:r>
        <w:rPr>
          <w:rFonts w:ascii="Times New Roman" w:hAnsi="Times New Roman" w:cs="Times New Roman"/>
          <w:i/>
          <w:iCs/>
          <w:sz w:val="24"/>
        </w:rPr>
        <w:t>Ralstonia</w:t>
      </w:r>
      <w:proofErr w:type="spellEnd"/>
      <w:r>
        <w:rPr>
          <w:rFonts w:ascii="Times New Roman" w:hAnsi="Times New Roman" w:cs="Times New Roman"/>
          <w:i/>
          <w:iCs/>
          <w:sz w:val="24"/>
        </w:rPr>
        <w:t xml:space="preserve"> solanacearum</w:t>
      </w:r>
      <w:r>
        <w:rPr>
          <w:rFonts w:ascii="Times New Roman" w:hAnsi="Times New Roman" w:cs="Times New Roman"/>
          <w:sz w:val="24"/>
        </w:rPr>
        <w:t xml:space="preserve"> (GH425351), </w:t>
      </w:r>
      <w:r>
        <w:rPr>
          <w:rFonts w:ascii="Times New Roman" w:hAnsi="Times New Roman" w:cs="Times New Roman"/>
          <w:i/>
          <w:iCs/>
          <w:sz w:val="24"/>
        </w:rPr>
        <w:t xml:space="preserve">Erwinia </w:t>
      </w:r>
      <w:proofErr w:type="spellStart"/>
      <w:r>
        <w:rPr>
          <w:rFonts w:ascii="Times New Roman" w:hAnsi="Times New Roman" w:cs="Times New Roman"/>
          <w:i/>
          <w:iCs/>
          <w:sz w:val="24"/>
        </w:rPr>
        <w:t>amylovora</w:t>
      </w:r>
      <w:proofErr w:type="spellEnd"/>
      <w:r>
        <w:rPr>
          <w:rFonts w:ascii="Times New Roman" w:hAnsi="Times New Roman" w:cs="Times New Roman"/>
          <w:sz w:val="24"/>
        </w:rPr>
        <w:t xml:space="preserve"> (HG423347), </w:t>
      </w:r>
      <w:proofErr w:type="spellStart"/>
      <w:r>
        <w:rPr>
          <w:rFonts w:ascii="Times New Roman" w:hAnsi="Times New Roman" w:cs="Times New Roman"/>
          <w:i/>
          <w:iCs/>
          <w:sz w:val="24"/>
        </w:rPr>
        <w:t>Pectobacterium</w:t>
      </w:r>
      <w:proofErr w:type="spellEnd"/>
      <w:r>
        <w:rPr>
          <w:rFonts w:ascii="Times New Roman" w:hAnsi="Times New Roman" w:cs="Times New Roman"/>
          <w:i/>
          <w:iCs/>
          <w:sz w:val="24"/>
        </w:rPr>
        <w:t xml:space="preserve"> </w:t>
      </w:r>
      <w:proofErr w:type="spellStart"/>
      <w:r>
        <w:rPr>
          <w:rFonts w:ascii="Times New Roman" w:hAnsi="Times New Roman" w:cs="Times New Roman"/>
          <w:i/>
          <w:iCs/>
          <w:sz w:val="24"/>
        </w:rPr>
        <w:t>carotovorum</w:t>
      </w:r>
      <w:proofErr w:type="spellEnd"/>
      <w:r>
        <w:rPr>
          <w:rFonts w:ascii="Times New Roman" w:hAnsi="Times New Roman" w:cs="Times New Roman"/>
          <w:sz w:val="24"/>
        </w:rPr>
        <w:t xml:space="preserve"> (HF674984), </w:t>
      </w:r>
      <w:r>
        <w:rPr>
          <w:rFonts w:ascii="Times New Roman" w:hAnsi="Times New Roman" w:cs="Times New Roman"/>
          <w:i/>
          <w:iCs/>
          <w:sz w:val="24"/>
        </w:rPr>
        <w:t xml:space="preserve">P. </w:t>
      </w:r>
      <w:proofErr w:type="spellStart"/>
      <w:r>
        <w:rPr>
          <w:rFonts w:ascii="Times New Roman" w:hAnsi="Times New Roman" w:cs="Times New Roman"/>
          <w:i/>
          <w:iCs/>
          <w:sz w:val="24"/>
        </w:rPr>
        <w:t>atrosepticum</w:t>
      </w:r>
      <w:proofErr w:type="spellEnd"/>
      <w:r>
        <w:rPr>
          <w:rFonts w:ascii="Times New Roman" w:hAnsi="Times New Roman" w:cs="Times New Roman"/>
          <w:i/>
          <w:iCs/>
          <w:sz w:val="24"/>
        </w:rPr>
        <w:t xml:space="preserve"> </w:t>
      </w:r>
      <w:r>
        <w:rPr>
          <w:rFonts w:ascii="Times New Roman" w:hAnsi="Times New Roman" w:cs="Times New Roman"/>
          <w:sz w:val="24"/>
        </w:rPr>
        <w:t xml:space="preserve">(MG706146), and </w:t>
      </w:r>
      <w:proofErr w:type="spellStart"/>
      <w:r>
        <w:rPr>
          <w:rFonts w:ascii="Times New Roman" w:hAnsi="Times New Roman" w:cs="Times New Roman"/>
          <w:i/>
          <w:iCs/>
          <w:sz w:val="24"/>
        </w:rPr>
        <w:t>Dickeya</w:t>
      </w:r>
      <w:proofErr w:type="spellEnd"/>
      <w:r>
        <w:rPr>
          <w:rFonts w:ascii="Times New Roman" w:hAnsi="Times New Roman" w:cs="Times New Roman"/>
          <w:i/>
          <w:iCs/>
          <w:sz w:val="24"/>
        </w:rPr>
        <w:t xml:space="preserve"> </w:t>
      </w:r>
      <w:proofErr w:type="spellStart"/>
      <w:r>
        <w:rPr>
          <w:rFonts w:ascii="Times New Roman" w:hAnsi="Times New Roman" w:cs="Times New Roman"/>
          <w:i/>
          <w:iCs/>
          <w:sz w:val="24"/>
        </w:rPr>
        <w:t>solani</w:t>
      </w:r>
      <w:proofErr w:type="spellEnd"/>
      <w:r>
        <w:rPr>
          <w:rFonts w:ascii="Times New Roman" w:hAnsi="Times New Roman" w:cs="Times New Roman"/>
          <w:sz w:val="24"/>
        </w:rPr>
        <w:t xml:space="preserve"> (HF569035) using the agar-well diffusion method in a nutrient agar (NA) medium </w:t>
      </w:r>
      <w:r>
        <w:fldChar w:fldCharType="begin"/>
      </w:r>
      <w:r>
        <w:instrText xml:space="preserve"> ADDIN EN.CITE &lt;EndNote&gt;&lt;Cite&gt;&lt;Author&gt;Ashmawy&lt;/Author&gt;&lt;Year&gt;2020&lt;/Year&gt;&lt;RecNum&gt;49&lt;/RecNum&gt;&lt;DisplayText&gt;(Ashmawy et al., 2020c)&lt;/DisplayText&gt;&lt;record&gt;&lt;rec-number&gt;49&lt;/rec-number&gt;&lt;foreign-keys&gt;&lt;key app="EN" db-id="ra9v9ftd2frrvye2et45af2dwpvf99aw5evt" timestamp="1705597975"&gt;49&lt;/key&gt;&lt;/foreign-keys&gt;&lt;ref-type name="Journal Article"&gt;17&lt;/ref-type&gt;&lt;contributors&gt;&lt;authors&gt;&lt;author&gt;Ashmawy, Nader A&lt;/author&gt;&lt;author&gt;Salem, Mohamed ZM&lt;/author&gt;&lt;author&gt;El Shanhorey, Nader&lt;/author&gt;&lt;author&gt;Al-Huqail, Asma&lt;/author&gt;&lt;author&gt;Ali, Hayssam M&lt;/author&gt;&lt;author&gt;Behiry, Said I&lt;/author&gt;&lt;/authors&gt;&lt;/contributors&gt;&lt;titles&gt;&lt;title&gt;&lt;style face="normal" font="default" size="100%"&gt;Eco-friendly wood-biofungicidal and antibacterial activities of various &lt;/style&gt;&lt;style face="italic" font="default" size="100%"&gt;Coccoloba uvifera &lt;/style&gt;&lt;style face="normal" font="default" size="100%"&gt;L. leaf extracts: HPLC analysis of phenolic and flavonoid compounds&lt;/style&gt;&lt;/title&gt;&lt;secondary-title&gt;BioResources&lt;/secondary-title&gt;&lt;/titles&gt;&lt;periodical&gt;&lt;full-title&gt;BioResources&lt;/full-title&gt;&lt;/periodical&gt;&lt;pages&gt;4165-4187&lt;/pages&gt;&lt;volume&gt;15&lt;/volume&gt;&lt;number&gt;2&lt;/number&gt;&lt;dates&gt;&lt;year&gt;2020&lt;/year&gt;&lt;/dates&gt;&lt;isbn&gt;1930-2126&lt;/isbn&gt;&lt;urls&gt;&lt;/urls&gt;&lt;/record&gt;&lt;/Cite&gt;&lt;/EndNote&gt;</w:instrText>
      </w:r>
      <w:r>
        <w:fldChar w:fldCharType="separate"/>
      </w:r>
      <w:r>
        <w:rPr>
          <w:noProof/>
        </w:rPr>
        <w:t>(</w:t>
      </w:r>
      <w:hyperlink w:anchor="_ENREF_18" w:tooltip="Ashmawy, 2020 #49" w:history="1">
        <w:r w:rsidR="00364DED">
          <w:rPr>
            <w:rStyle w:val="Hyperlink"/>
          </w:rPr>
          <w:t>Ashmawy et al., 2020c</w:t>
        </w:r>
      </w:hyperlink>
      <w:r>
        <w:rPr>
          <w:noProof/>
        </w:rPr>
        <w:t>)</w:t>
      </w:r>
      <w:r>
        <w:fldChar w:fldCharType="end"/>
      </w:r>
      <w:r>
        <w:rPr>
          <w:rFonts w:ascii="Times New Roman" w:hAnsi="Times New Roman" w:cs="Times New Roman"/>
          <w:sz w:val="24"/>
        </w:rPr>
        <w:t xml:space="preserve">. The inhibition zone diameter (mm) was measured after 48 h of incubation, and each treatment was replicated three times </w:t>
      </w:r>
      <w:r>
        <w:fldChar w:fldCharType="begin"/>
      </w:r>
      <w:r>
        <w:instrText xml:space="preserve"> ADDIN EN.CITE &lt;EndNote&gt;&lt;Cite&gt;&lt;Author&gt;Sambrook&lt;/Author&gt;&lt;Year&gt;1989&lt;/Year&gt;&lt;RecNum&gt;19&lt;/RecNum&gt;&lt;DisplayText&gt;(Sambrook et al., 1989)&lt;/DisplayText&gt;&lt;record&gt;&lt;rec-number&gt;19&lt;/rec-number&gt;&lt;foreign-keys&gt;&lt;key app="EN" db-id="ra9v9ftd2frrvye2et45af2dwpvf99aw5evt" timestamp="1644691320"&gt;19&lt;/key&gt;&lt;/foreign-keys&gt;&lt;ref-type name="Journal Article"&gt;17&lt;/ref-type&gt;&lt;contributors&gt;&lt;authors&gt;&lt;author&gt;Sambrook, J&lt;/author&gt;&lt;author&gt;Fritsch, EF&lt;/author&gt;&lt;author&gt;Maniatis, T&lt;/author&gt;&lt;/authors&gt;&lt;/contributors&gt;&lt;titles&gt;&lt;title&gt;Molecular Cloning: A Laboratory Manual 2nd ed. 1989 Cold Spring HarborCold Spring Harbor&lt;/title&gt;&lt;secondary-title&gt;New York&lt;/secondary-title&gt;&lt;/titles&gt;&lt;periodical&gt;&lt;full-title&gt;New York&lt;/full-title&gt;&lt;/periodical&gt;&lt;dates&gt;&lt;year&gt;1989&lt;/year&gt;&lt;/dates&gt;&lt;urls&gt;&lt;/urls&gt;&lt;/record&gt;&lt;/Cite&gt;&lt;/EndNote&gt;</w:instrText>
      </w:r>
      <w:r>
        <w:fldChar w:fldCharType="separate"/>
      </w:r>
      <w:r>
        <w:rPr>
          <w:noProof/>
        </w:rPr>
        <w:t>(</w:t>
      </w:r>
      <w:hyperlink w:anchor="_ENREF_73" w:tooltip="Sambrook, 1989 #19" w:history="1">
        <w:r w:rsidR="00364DED">
          <w:rPr>
            <w:rStyle w:val="Hyperlink"/>
          </w:rPr>
          <w:t>Sambrook et al., 1989</w:t>
        </w:r>
      </w:hyperlink>
      <w:r>
        <w:rPr>
          <w:noProof/>
        </w:rPr>
        <w:t>)</w:t>
      </w:r>
      <w:r>
        <w:fldChar w:fldCharType="end"/>
      </w:r>
      <w:r>
        <w:rPr>
          <w:rFonts w:ascii="Times New Roman" w:hAnsi="Times New Roman" w:cs="Times New Roman"/>
          <w:sz w:val="24"/>
        </w:rPr>
        <w:t xml:space="preserve">. </w:t>
      </w:r>
    </w:p>
    <w:p w14:paraId="6FDEE87A" w14:textId="77777777" w:rsidR="00364DED" w:rsidRDefault="00A70A1E">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bidi="en-US"/>
        </w:rPr>
        <w:t>Isolation of the fungal pathogens</w:t>
      </w:r>
    </w:p>
    <w:p w14:paraId="55898B47" w14:textId="77777777" w:rsidR="00364DED" w:rsidRDefault="00A70A1E">
      <w:pPr>
        <w:spacing w:after="0" w:line="360" w:lineRule="auto"/>
        <w:ind w:firstLine="567"/>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The fungal pathogens were obtained from tomato plant root and fruit samples infected in the </w:t>
      </w:r>
      <w:proofErr w:type="spellStart"/>
      <w:r>
        <w:rPr>
          <w:rFonts w:ascii="Times New Roman" w:eastAsia="Times New Roman" w:hAnsi="Times New Roman" w:cs="Times New Roman"/>
          <w:sz w:val="24"/>
          <w:szCs w:val="24"/>
          <w:lang w:bidi="en-US"/>
        </w:rPr>
        <w:t>Nubaria</w:t>
      </w:r>
      <w:proofErr w:type="spellEnd"/>
      <w:r>
        <w:rPr>
          <w:rFonts w:ascii="Times New Roman" w:eastAsia="Times New Roman" w:hAnsi="Times New Roman" w:cs="Times New Roman"/>
          <w:sz w:val="24"/>
          <w:szCs w:val="24"/>
          <w:lang w:bidi="en-US"/>
        </w:rPr>
        <w:t xml:space="preserve"> district of </w:t>
      </w:r>
      <w:proofErr w:type="spellStart"/>
      <w:r>
        <w:rPr>
          <w:rFonts w:ascii="Times New Roman" w:eastAsia="Times New Roman" w:hAnsi="Times New Roman" w:cs="Times New Roman"/>
          <w:sz w:val="24"/>
          <w:szCs w:val="24"/>
          <w:lang w:bidi="en-US"/>
        </w:rPr>
        <w:t>Behira</w:t>
      </w:r>
      <w:proofErr w:type="spellEnd"/>
      <w:r>
        <w:rPr>
          <w:rFonts w:ascii="Times New Roman" w:eastAsia="Times New Roman" w:hAnsi="Times New Roman" w:cs="Times New Roman"/>
          <w:sz w:val="24"/>
          <w:szCs w:val="24"/>
          <w:lang w:bidi="en-US"/>
        </w:rPr>
        <w:t xml:space="preserve"> Governorate in Egypt. To initiate the isolation process, plant tissue samples showing symptoms of infection were surface-sterilized with a 70% ethanol solution, followed by washing with sterile distilled water to remove any external contaminants.</w:t>
      </w:r>
    </w:p>
    <w:p w14:paraId="18B0FF7B" w14:textId="77777777" w:rsidR="00364DED" w:rsidRDefault="00A70A1E">
      <w:pPr>
        <w:spacing w:after="0" w:line="360" w:lineRule="auto"/>
        <w:ind w:firstLine="567"/>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The cleaned samples were then aseptically transferred to the Potato Dextrose Agar (PDA) medium. The samples were incubated at 25°C </w:t>
      </w:r>
      <w:proofErr w:type="gramStart"/>
      <w:r>
        <w:rPr>
          <w:rFonts w:ascii="Times New Roman" w:eastAsia="Times New Roman" w:hAnsi="Times New Roman" w:cs="Times New Roman"/>
          <w:sz w:val="24"/>
          <w:szCs w:val="24"/>
          <w:lang w:bidi="en-US"/>
        </w:rPr>
        <w:t>for  7</w:t>
      </w:r>
      <w:proofErr w:type="gramEnd"/>
      <w:r>
        <w:rPr>
          <w:rFonts w:ascii="Times New Roman" w:eastAsia="Times New Roman" w:hAnsi="Times New Roman" w:cs="Times New Roman"/>
          <w:sz w:val="24"/>
          <w:szCs w:val="24"/>
          <w:lang w:bidi="en-US"/>
        </w:rPr>
        <w:t xml:space="preserve"> days to allow fungal colonies to develop. Once fungal growth was observed, individual colonies were isolated using a sterile loop and streaked onto fresh PDA plates to obtain pure cultures.</w:t>
      </w:r>
    </w:p>
    <w:p w14:paraId="5945DF9C" w14:textId="77777777" w:rsidR="00364DED" w:rsidRDefault="00A70A1E">
      <w:pPr>
        <w:spacing w:after="0" w:line="360" w:lineRule="auto"/>
        <w:ind w:firstLine="567"/>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The purified fungal cultures were then examined microscopically and macroscopically to assess their morphological characteristics, including colony color, texture, and structure </w:t>
      </w:r>
      <w:r>
        <w:fldChar w:fldCharType="begin"/>
      </w:r>
      <w:r>
        <w:instrText xml:space="preserve"> ADDIN EN.CITE &lt;EndNote&gt;&lt;Cite&gt;&lt;Author&gt;Pitt&lt;/Author&gt;&lt;Year&gt;2009&lt;/Year&gt;&lt;RecNum&gt;106&lt;/RecNum&gt;&lt;DisplayText&gt;(Nelson et al., 1983; Pitt and Hocking, 2009; Sneh et al., 1991)&lt;/DisplayText&gt;&lt;record&gt;&lt;rec-number&gt;106&lt;/rec-number&gt;&lt;foreign-keys&gt;&lt;key app="EN" db-id="ra9v9ftd2frrvye2et45af2dwpvf99aw5evt" timestamp="1725660580"&gt;106&lt;/key&gt;&lt;/foreign-keys&gt;&lt;ref-type name="Book"&gt;6&lt;/ref-type&gt;&lt;contributors&gt;&lt;authors&gt;&lt;author&gt;Pitt, John I&lt;/author&gt;&lt;author&gt;Hocking, Ailsa Diane&lt;/author&gt;&lt;/authors&gt;&lt;/contributors&gt;&lt;titles&gt;&lt;title&gt;Fungi and food spoilage&lt;/title&gt;&lt;/titles&gt;&lt;volume&gt;519&lt;/volume&gt;&lt;dates&gt;&lt;year&gt;2009&lt;/year&gt;&lt;/dates&gt;&lt;publisher&gt;Springer&lt;/publisher&gt;&lt;urls&gt;&lt;/urls&gt;&lt;/record&gt;&lt;/Cite&gt;&lt;Cite&gt;&lt;Author&gt;Nelson&lt;/Author&gt;&lt;Year&gt;1983&lt;/Year&gt;&lt;RecNum&gt;107&lt;/RecNum&gt;&lt;record&gt;&lt;rec-number&gt;107&lt;/rec-number&gt;&lt;foreign-keys&gt;&lt;key app="EN" db-id="ra9v9ftd2frrvye2et45af2dwpvf99aw5evt" timestamp="1725660619"&gt;107&lt;/key&gt;&lt;/foreign-keys&gt;&lt;ref-type name="Journal Article"&gt;17&lt;/ref-type&gt;&lt;contributors&gt;&lt;authors&gt;&lt;author&gt;Nelson, PE&lt;/author&gt;&lt;author&gt;Toussoun, TA&lt;/author&gt;&lt;author&gt;Marasas, WFO&lt;/author&gt;&lt;/authors&gt;&lt;/contributors&gt;&lt;titles&gt;&lt;title&gt;Fusarium species: an illustrated manual for identification. p 193 In The Pennsylvania State University Press&lt;/title&gt;&lt;secondary-title&gt;University Park, USA&lt;/secondary-title&gt;&lt;/titles&gt;&lt;periodical&gt;&lt;full-title&gt;University Park, USA&lt;/full-title&gt;&lt;/periodical&gt;&lt;dates&gt;&lt;year&gt;1983&lt;/year&gt;&lt;/dates&gt;&lt;urls&gt;&lt;/urls&gt;&lt;/record&gt;&lt;/Cite&gt;&lt;Cite&gt;&lt;Author&gt;Sneh&lt;/Author&gt;&lt;Year&gt;1991&lt;/Year&gt;&lt;RecNum&gt;108&lt;/RecNum&gt;&lt;record&gt;&lt;rec-number&gt;108&lt;/rec-number&gt;&lt;foreign-keys&gt;&lt;key app="EN" db-id="ra9v9ftd2frrvye2et45af2dwpvf99aw5evt" timestamp="1725660658"&gt;108&lt;/key&gt;&lt;/foreign-keys&gt;&lt;ref-type name="Book"&gt;6&lt;/ref-type&gt;&lt;contributors&gt;&lt;authors&gt;&lt;author&gt;Sneh, Baruch&lt;/author&gt;&lt;author&gt;Burpee, Lee&lt;/author&gt;&lt;author&gt;Ogoshi, Akira&lt;/author&gt;&lt;/authors&gt;&lt;/contributors&gt;&lt;titles&gt;&lt;title&gt;Identification of Rhizoctonia Species. APS Press, St. Paul, Minnesota. 135 pp.&lt;/title&gt;&lt;/titles&gt;&lt;dates&gt;&lt;year&gt;1991&lt;/year&gt;&lt;/dates&gt;&lt;isbn&gt;089054123X&lt;/isbn&gt;&lt;urls&gt;&lt;/urls&gt;&lt;/record&gt;&lt;/Cite&gt;&lt;/EndNote&gt;</w:instrText>
      </w:r>
      <w:r>
        <w:fldChar w:fldCharType="separate"/>
      </w:r>
      <w:r>
        <w:rPr>
          <w:noProof/>
        </w:rPr>
        <w:t>(</w:t>
      </w:r>
      <w:hyperlink w:anchor="_ENREF_56" w:tooltip="Nelson, 1983 #107" w:history="1">
        <w:r w:rsidR="00364DED">
          <w:rPr>
            <w:rStyle w:val="Hyperlink"/>
          </w:rPr>
          <w:t>Nelson et al., 1983</w:t>
        </w:r>
      </w:hyperlink>
      <w:r>
        <w:rPr>
          <w:noProof/>
        </w:rPr>
        <w:t xml:space="preserve">; </w:t>
      </w:r>
      <w:hyperlink w:anchor="_ENREF_60" w:tooltip="Pitt, 2009 #106" w:history="1">
        <w:r w:rsidR="00364DED">
          <w:rPr>
            <w:rStyle w:val="Hyperlink"/>
          </w:rPr>
          <w:t>Pitt and Hocking, 2009</w:t>
        </w:r>
      </w:hyperlink>
      <w:r>
        <w:rPr>
          <w:noProof/>
        </w:rPr>
        <w:t xml:space="preserve">; </w:t>
      </w:r>
      <w:hyperlink w:anchor="_ENREF_77" w:tooltip="Sneh, 1991 #108" w:history="1">
        <w:r w:rsidR="00364DED">
          <w:rPr>
            <w:rStyle w:val="Hyperlink"/>
          </w:rPr>
          <w:t>Sneh et al., 1991</w:t>
        </w:r>
      </w:hyperlink>
      <w:r>
        <w:rPr>
          <w:noProof/>
        </w:rPr>
        <w:t>)</w:t>
      </w:r>
      <w:r>
        <w:fldChar w:fldCharType="end"/>
      </w:r>
      <w:r>
        <w:rPr>
          <w:rFonts w:ascii="Times New Roman" w:eastAsia="Times New Roman" w:hAnsi="Times New Roman" w:cs="Times New Roman"/>
          <w:sz w:val="24"/>
          <w:szCs w:val="24"/>
          <w:lang w:bidi="en-US"/>
        </w:rPr>
        <w:t xml:space="preserve">. These morphological traits were used for </w:t>
      </w:r>
      <w:r>
        <w:rPr>
          <w:rFonts w:ascii="Times New Roman" w:eastAsia="Times New Roman" w:hAnsi="Times New Roman" w:cs="Times New Roman"/>
          <w:sz w:val="24"/>
          <w:szCs w:val="24"/>
          <w:lang w:bidi="en-US"/>
        </w:rPr>
        <w:lastRenderedPageBreak/>
        <w:t>preliminary identification of the fungal pathogens. Furthermore, all the isolated fungi were subjected to molecular identification.</w:t>
      </w:r>
    </w:p>
    <w:p w14:paraId="68A039EA" w14:textId="77777777" w:rsidR="00364DED" w:rsidRDefault="00A70A1E">
      <w:pPr>
        <w:spacing w:after="0" w:line="36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b/>
          <w:bCs/>
          <w:sz w:val="24"/>
          <w:szCs w:val="24"/>
          <w:lang w:bidi="en-US"/>
        </w:rPr>
        <w:t>ITS identification of tested fungi and phylogenetic construction</w:t>
      </w:r>
      <w:r>
        <w:rPr>
          <w:rFonts w:ascii="Times New Roman" w:eastAsia="Times New Roman" w:hAnsi="Times New Roman" w:cs="Times New Roman"/>
          <w:sz w:val="24"/>
          <w:szCs w:val="24"/>
          <w:lang w:bidi="en-US"/>
        </w:rPr>
        <w:t xml:space="preserve"> </w:t>
      </w:r>
    </w:p>
    <w:p w14:paraId="65DAA278" w14:textId="77777777" w:rsidR="00364DED" w:rsidRDefault="00A70A1E">
      <w:pPr>
        <w:spacing w:after="0" w:line="360" w:lineRule="auto"/>
        <w:ind w:firstLine="720"/>
        <w:jc w:val="both"/>
        <w:rPr>
          <w:rFonts w:ascii="Times New Roman" w:eastAsia="Times New Roman" w:hAnsi="Times New Roman" w:cs="Times New Roman"/>
          <w:b/>
          <w:bCs/>
          <w:color w:val="FF0000"/>
          <w:sz w:val="24"/>
          <w:szCs w:val="24"/>
          <w:lang w:bidi="en-US"/>
        </w:rPr>
      </w:pPr>
      <w:r>
        <w:rPr>
          <w:rFonts w:ascii="Times New Roman" w:eastAsia="Times New Roman" w:hAnsi="Times New Roman" w:cs="Times New Roman"/>
          <w:sz w:val="24"/>
          <w:szCs w:val="24"/>
          <w:lang w:bidi="en-US"/>
        </w:rPr>
        <w:t xml:space="preserve">The isolates were cultivated on a PDA medium for one week at 25 °C. Fresh mycelia were used to extract total DNA using the </w:t>
      </w:r>
      <w:proofErr w:type="spellStart"/>
      <w:r>
        <w:rPr>
          <w:rFonts w:ascii="Times New Roman" w:eastAsia="Times New Roman" w:hAnsi="Times New Roman" w:cs="Times New Roman"/>
          <w:sz w:val="24"/>
          <w:szCs w:val="24"/>
          <w:lang w:bidi="en-US"/>
        </w:rPr>
        <w:t>QIAquick</w:t>
      </w:r>
      <w:proofErr w:type="spellEnd"/>
      <w:r>
        <w:rPr>
          <w:rFonts w:ascii="Times New Roman" w:eastAsia="Times New Roman" w:hAnsi="Times New Roman" w:cs="Times New Roman"/>
          <w:sz w:val="24"/>
          <w:szCs w:val="24"/>
          <w:lang w:bidi="en-US"/>
        </w:rPr>
        <w:t xml:space="preserve"> PCR purification Kit (QIAGEN, Manchester, England). The internal transcribed spacer region of the rDNA (ITS genes) was amplified using ITS1/ITS4 primers </w:t>
      </w:r>
      <w:r>
        <w:fldChar w:fldCharType="begin"/>
      </w:r>
      <w:r>
        <w:instrText xml:space="preserve"> ADDIN EN.CITE &lt;EndNote&gt;&lt;Cite&gt;&lt;Author&gt;White&lt;/Author&gt;&lt;Year&gt;1990&lt;/Year&gt;&lt;RecNum&gt;109&lt;/RecNum&gt;&lt;DisplayText&gt;(White, 1990)&lt;/DisplayText&gt;&lt;record&gt;&lt;rec-number&gt;109&lt;/rec-number&gt;&lt;foreign-keys&gt;&lt;key app="EN" db-id="ra9v9ftd2frrvye2et45af2dwpvf99aw5evt" timestamp="1725660718"&gt;109&lt;/key&gt;&lt;/foreign-keys&gt;&lt;ref-type name="Journal Article"&gt;17&lt;/ref-type&gt;&lt;contributors&gt;&lt;authors&gt;&lt;author&gt;White, TJ&lt;/author&gt;&lt;/authors&gt;&lt;/contributors&gt;&lt;titles&gt;&lt;title&gt;Amplification and direct sequencing of fungal ribosomal RNA genes for phylogenetics. In PCR Protocols: A Guide to Methods and Applications (pp. 315-322). Academic Press. doi:10.1016/B978-0-12-372180-8.50042-1&lt;/title&gt;&lt;/titles&gt;&lt;dates&gt;&lt;year&gt;1990&lt;/year&gt;&lt;/dates&gt;&lt;urls&gt;&lt;/urls&gt;&lt;/record&gt;&lt;/Cite&gt;&lt;/EndNote&gt;</w:instrText>
      </w:r>
      <w:r>
        <w:fldChar w:fldCharType="separate"/>
      </w:r>
      <w:r>
        <w:rPr>
          <w:noProof/>
        </w:rPr>
        <w:t>(</w:t>
      </w:r>
      <w:hyperlink w:anchor="_ENREF_90" w:tooltip="White, 1990 #109" w:history="1">
        <w:r w:rsidR="00364DED">
          <w:rPr>
            <w:rStyle w:val="Hyperlink"/>
          </w:rPr>
          <w:t>White, 1990</w:t>
        </w:r>
      </w:hyperlink>
      <w:r>
        <w:rPr>
          <w:noProof/>
        </w:rPr>
        <w:t>)</w:t>
      </w:r>
      <w:r>
        <w:fldChar w:fldCharType="end"/>
      </w:r>
      <w:r>
        <w:rPr>
          <w:rFonts w:ascii="Times New Roman" w:eastAsia="Times New Roman" w:hAnsi="Times New Roman" w:cs="Times New Roman"/>
          <w:sz w:val="24"/>
          <w:szCs w:val="24"/>
          <w:lang w:bidi="en-US"/>
        </w:rPr>
        <w:t xml:space="preserve">, and the resulting amplicons were sequenced. Forward sequences were assembled by </w:t>
      </w:r>
      <w:proofErr w:type="spellStart"/>
      <w:r>
        <w:rPr>
          <w:rFonts w:ascii="Times New Roman" w:eastAsia="Times New Roman" w:hAnsi="Times New Roman" w:cs="Times New Roman"/>
          <w:sz w:val="24"/>
          <w:szCs w:val="24"/>
          <w:lang w:bidi="en-US"/>
        </w:rPr>
        <w:t>Macrogen</w:t>
      </w:r>
      <w:proofErr w:type="spellEnd"/>
      <w:r>
        <w:rPr>
          <w:rFonts w:ascii="Times New Roman" w:eastAsia="Times New Roman" w:hAnsi="Times New Roman" w:cs="Times New Roman"/>
          <w:sz w:val="24"/>
          <w:szCs w:val="24"/>
          <w:lang w:bidi="en-US"/>
        </w:rPr>
        <w:t xml:space="preserve"> Co., Seoul, Korea, and then submitted to GenBank for accession and deposition. The phylogenetic tree was constructed using the maximum likelihood method with bootstrapping among the identified isolates and retrieved GenBank isolates using MEGA 11 software </w:t>
      </w:r>
      <w:r>
        <w:fldChar w:fldCharType="begin"/>
      </w:r>
      <w:r>
        <w:instrText xml:space="preserve"> ADDIN EN.CITE &lt;EndNote&gt;&lt;Cite&gt;&lt;Author&gt;Tamura&lt;/Author&gt;&lt;Year&gt;2021&lt;/Year&gt;&lt;RecNum&gt;110&lt;/RecNum&gt;&lt;DisplayText&gt;(Tamura et al., 2021)&lt;/DisplayText&gt;&lt;record&gt;&lt;rec-number&gt;110&lt;/rec-number&gt;&lt;foreign-keys&gt;&lt;key app="EN" db-id="ra9v9ftd2frrvye2et45af2dwpvf99aw5evt" timestamp="1725660825"&gt;110&lt;/key&gt;&lt;/foreign-keys&gt;&lt;ref-type name="Journal Article"&gt;17&lt;/ref-type&gt;&lt;contributors&gt;&lt;authors&gt;&lt;author&gt;Tamura, Koichiro&lt;/author&gt;&lt;author&gt;Stecher, Glen&lt;/author&gt;&lt;author&gt;Kumar, Sudhir&lt;/author&gt;&lt;/authors&gt;&lt;/contributors&gt;&lt;titles&gt;&lt;title&gt;MEGA11: Molecular Evolutionary Genetics Analysis Version 11&lt;/title&gt;&lt;secondary-title&gt;Molecular Biology and Evolution&lt;/secondary-title&gt;&lt;/titles&gt;&lt;periodical&gt;&lt;full-title&gt;Molecular Biology and Evolution&lt;/full-title&gt;&lt;/periodical&gt;&lt;pages&gt;3022-3027&lt;/pages&gt;&lt;volume&gt;38&lt;/volume&gt;&lt;number&gt;7&lt;/number&gt;&lt;dates&gt;&lt;year&gt;2021&lt;/year&gt;&lt;/dates&gt;&lt;isbn&gt;1537-1719&lt;/isbn&gt;&lt;urls&gt;&lt;related-urls&gt;&lt;url&gt;https://doi.org/10.1093/molbev/msab120&lt;/url&gt;&lt;/related-urls&gt;&lt;/urls&gt;&lt;electronic-resource-num&gt;10.1093/molbev/msab120&lt;/electronic-resource-num&gt;&lt;access-date&gt;9/6/2024&lt;/access-date&gt;&lt;/record&gt;&lt;/Cite&gt;&lt;/EndNote&gt;</w:instrText>
      </w:r>
      <w:r>
        <w:fldChar w:fldCharType="separate"/>
      </w:r>
      <w:r>
        <w:rPr>
          <w:noProof/>
        </w:rPr>
        <w:t>(</w:t>
      </w:r>
      <w:hyperlink w:anchor="_ENREF_82" w:tooltip="Tamura, 2021 #110" w:history="1">
        <w:r w:rsidR="00364DED">
          <w:rPr>
            <w:rStyle w:val="Hyperlink"/>
          </w:rPr>
          <w:t>Tamura et al., 2021</w:t>
        </w:r>
      </w:hyperlink>
      <w:r>
        <w:rPr>
          <w:noProof/>
        </w:rPr>
        <w:t>)</w:t>
      </w:r>
      <w:r>
        <w:fldChar w:fldCharType="end"/>
      </w:r>
      <w:r>
        <w:rPr>
          <w:rFonts w:ascii="Times New Roman" w:eastAsia="Times New Roman" w:hAnsi="Times New Roman" w:cs="Times New Roman"/>
          <w:sz w:val="24"/>
          <w:szCs w:val="24"/>
          <w:lang w:bidi="en-US"/>
        </w:rPr>
        <w:t>.</w:t>
      </w:r>
    </w:p>
    <w:p w14:paraId="0F97B4FB" w14:textId="77777777" w:rsidR="00364DED" w:rsidRDefault="00A70A1E">
      <w:pPr>
        <w:spacing w:line="360" w:lineRule="auto"/>
        <w:jc w:val="both"/>
        <w:rPr>
          <w:rFonts w:ascii="Times New Roman" w:hAnsi="Times New Roman" w:cs="Times New Roman"/>
          <w:b/>
          <w:bCs/>
          <w:sz w:val="24"/>
        </w:rPr>
      </w:pPr>
      <w:r>
        <w:rPr>
          <w:rFonts w:ascii="Times New Roman" w:hAnsi="Times New Roman" w:cs="Times New Roman"/>
          <w:b/>
          <w:bCs/>
          <w:sz w:val="24"/>
        </w:rPr>
        <w:t>Antifungal activity of extracts</w:t>
      </w:r>
    </w:p>
    <w:p w14:paraId="4A06BD6D" w14:textId="77777777" w:rsidR="00364DED" w:rsidRDefault="00A70A1E">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One-week-old cultures grown on potato dextrose agar (PDA) medium were harvested to yield pure cultures of the identified fungal strains. By incorporating the various necessary concentrations of the extracts into the agar medium, the agar dilution process was completed. From actively growing cultures, a single 5-mm culture disk of each fungal strain was removed and placed in the center of the Petri dishes </w:t>
      </w:r>
      <w:r>
        <w:fldChar w:fldCharType="begin"/>
      </w:r>
      <w:r>
        <w:instrText xml:space="preserve"> ADDIN EN.CITE &lt;EndNote&gt;&lt;Cite&gt;&lt;Author&gt;Hassan&lt;/Author&gt;&lt;Year&gt;2021&lt;/Year&gt;&lt;RecNum&gt;62&lt;/RecNum&gt;&lt;DisplayText&gt;(Hassan et al., 2021)&lt;/DisplayText&gt;&lt;record&gt;&lt;rec-number&gt;62&lt;/rec-number&gt;&lt;foreign-keys&gt;&lt;key app="EN" db-id="fra9pw2ahaf5a0exfw5xtsxhtfaets2pxd9w" timestamp="1707846461"&gt;62&lt;/key&gt;&lt;/foreign-keys&gt;&lt;ref-type name="Journal Article"&gt;17&lt;/ref-type&gt;&lt;contributors&gt;&lt;authors&gt;&lt;author&gt;Hassan, Hanaa S&lt;/author&gt;&lt;author&gt;Mohamed, Abeer A&lt;/author&gt;&lt;author&gt;Feleafel, Mostafa N&lt;/author&gt;&lt;author&gt;Salem, Mohamed ZM&lt;/author&gt;&lt;author&gt;Ali, Hayssam M&lt;/author&gt;&lt;author&gt;Akrami, Mohammad&lt;/author&gt;&lt;author&gt;Abd-Elkader, Doaa Y&lt;/author&gt;&lt;/authors&gt;&lt;/contributors&gt;&lt;titles&gt;&lt;title&gt;&lt;style face="normal" font="default" size="100%"&gt;Natural plant extracts and microbial antagonists to control fungal pathogens and improve the productivity of Zucchini (&lt;/style&gt;&lt;style face="italic" font="default" size="100%"&gt;Cucurbita pepo&lt;/style&gt;&lt;style face="normal" font="default" size="100%"&gt; L.) in vitro and in greenhouse&lt;/style&gt;&lt;/title&gt;&lt;secondary-title&gt;Horticulturae&lt;/secondary-title&gt;&lt;/titles&gt;&lt;periodical&gt;&lt;full-title&gt;Horticulturae&lt;/full-title&gt;&lt;/periodical&gt;&lt;pages&gt;470&lt;/pages&gt;&lt;volume&gt;7&lt;/volume&gt;&lt;number&gt;11&lt;/number&gt;&lt;dates&gt;&lt;year&gt;2021&lt;/year&gt;&lt;/dates&gt;&lt;isbn&gt;2311-7524&lt;/isbn&gt;&lt;urls&gt;&lt;/urls&gt;&lt;electronic-resource-num&gt;https://doi.org/10.3390/horticulturae7110470&lt;/electronic-resource-num&gt;&lt;/record&gt;&lt;/Cite&gt;&lt;/EndNote&gt;</w:instrText>
      </w:r>
      <w:r>
        <w:fldChar w:fldCharType="separate"/>
      </w:r>
      <w:r>
        <w:rPr>
          <w:noProof/>
        </w:rPr>
        <w:t>(</w:t>
      </w:r>
      <w:hyperlink w:anchor="_ENREF_35" w:tooltip="Hassan, 2021 #62" w:history="1">
        <w:r w:rsidR="00364DED">
          <w:rPr>
            <w:rStyle w:val="Hyperlink"/>
          </w:rPr>
          <w:t>Hassan et al., 2021</w:t>
        </w:r>
      </w:hyperlink>
      <w:r>
        <w:rPr>
          <w:noProof/>
        </w:rPr>
        <w:t>)</w:t>
      </w:r>
      <w:r>
        <w:fldChar w:fldCharType="end"/>
      </w:r>
      <w:r>
        <w:rPr>
          <w:rFonts w:ascii="Times New Roman" w:hAnsi="Times New Roman" w:cs="Times New Roman"/>
          <w:sz w:val="24"/>
          <w:szCs w:val="24"/>
        </w:rPr>
        <w:t xml:space="preserve">. In brief, the extracts were diluted in 10% dimethyl sulfoxide (DMSO) and the essential oil was mixed with a few drops of Tween-80 (0.01%) </w:t>
      </w:r>
      <w:r>
        <w:fldChar w:fldCharType="begin"/>
      </w:r>
      <w:r>
        <w:instrText xml:space="preserve"> ADDIN EN.CITE &lt;EndNote&gt;&lt;Cite&gt;&lt;Author&gt;Mohamed&lt;/Author&gt;&lt;Year&gt;2020&lt;/Year&gt;&lt;RecNum&gt;66&lt;/RecNum&gt;&lt;DisplayText&gt;(Mohamed et al., 2020)&lt;/DisplayText&gt;&lt;record&gt;&lt;rec-number&gt;66&lt;/rec-number&gt;&lt;foreign-keys&gt;&lt;key app="EN" db-id="ra9v9ftd2frrvye2et45af2dwpvf99aw5evt" timestamp="1705617508"&gt;66&lt;/key&gt;&lt;/foreign-keys&gt;&lt;ref-type name="Journal Article"&gt;17&lt;/ref-type&gt;&lt;contributors&gt;&lt;authors&gt;&lt;author&gt;Mohamed, Abeer A&lt;/author&gt;&lt;author&gt;Behiry, Said I&lt;/author&gt;&lt;author&gt;Ali, Hayssam M&lt;/author&gt;&lt;author&gt;EL-Hefny, Mervat&lt;/author&gt;&lt;author&gt;Salem, Mohamed ZM&lt;/author&gt;&lt;author&gt;Ashmawy, Nader A&lt;/author&gt;&lt;/authors&gt;&lt;/contributors&gt;&lt;titles&gt;&lt;title&gt;&lt;style face="normal" font="default" size="100%"&gt;Phytochemical compounds of branches from &lt;/style&gt;&lt;style face="italic" font="default" size="100%"&gt;P. halepensis&lt;/style&gt;&lt;style face="normal" font="default" size="100%"&gt; oily liquid extract and &lt;/style&gt;&lt;style face="italic" font="default" size="100%"&gt;S. terebinthifolius&lt;/style&gt;&lt;style face="normal" font="default" size="100%"&gt; essential oil and their potential antifungal activity&lt;/style&gt;&lt;/title&gt;&lt;secondary-title&gt;Processes&lt;/secondary-title&gt;&lt;/titles&gt;&lt;periodical&gt;&lt;full-title&gt;Processes&lt;/full-title&gt;&lt;/periodical&gt;&lt;pages&gt;330&lt;/pages&gt;&lt;volume&gt;8&lt;/volume&gt;&lt;number&gt;3&lt;/number&gt;&lt;dates&gt;&lt;year&gt;2020&lt;/year&gt;&lt;/dates&gt;&lt;isbn&gt;2227-9717&lt;/isbn&gt;&lt;urls&gt;&lt;/urls&gt;&lt;electronic-resource-num&gt;https://doi.org/10.3390/pr8030330&lt;/electronic-resource-num&gt;&lt;/record&gt;&lt;/Cite&gt;&lt;/EndNote&gt;</w:instrText>
      </w:r>
      <w:r>
        <w:fldChar w:fldCharType="separate"/>
      </w:r>
      <w:r>
        <w:rPr>
          <w:noProof/>
        </w:rPr>
        <w:t>(</w:t>
      </w:r>
      <w:hyperlink w:anchor="_ENREF_50" w:tooltip="Mohamed, 2020 #66" w:history="1">
        <w:r w:rsidR="00364DED">
          <w:rPr>
            <w:rStyle w:val="Hyperlink"/>
          </w:rPr>
          <w:t>Mohamed et al., 2020</w:t>
        </w:r>
      </w:hyperlink>
      <w:r>
        <w:rPr>
          <w:noProof/>
        </w:rPr>
        <w:t>)</w:t>
      </w:r>
      <w:r>
        <w:fldChar w:fldCharType="end"/>
      </w:r>
      <w:r>
        <w:rPr>
          <w:rFonts w:ascii="Times New Roman" w:hAnsi="Times New Roman" w:cs="Times New Roman"/>
          <w:sz w:val="24"/>
          <w:szCs w:val="24"/>
        </w:rPr>
        <w:t xml:space="preserve">, then, a series of two-fold dilutions of the extracts 500, 1000, and 2000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/mL were prepared and compared with referenced fungicide, viz., 25 µg/mL, Azoxystrobin 25% SC. The Petri dishes were incubated at 30 °C for 7 days. The controls contained only PDA medium and fungal discs in the middle. Inhibition percentage of fungal growth (IPFG) of the tested fungi was calculated with the following formula: Inhibition percentage of fungal growth (IPFG) = [(Control growth - Growth in treatment)/Growth in control] × 100</w:t>
      </w:r>
      <w:r>
        <w:rPr>
          <w:rFonts w:ascii="Times New Roman" w:hAnsi="Times New Roman" w:cs="Times New Roman"/>
          <w:sz w:val="24"/>
        </w:rPr>
        <w:t>. The experiment was conducted in triplicate for each treatment, as well as for the positive control (25 µg/mL,</w:t>
      </w:r>
      <w:r>
        <w:rPr>
          <w:rFonts w:ascii="Segoe UI" w:hAnsi="Segoe UI" w:cs="Segoe UI"/>
        </w:rPr>
        <w:t xml:space="preserve"> </w:t>
      </w:r>
      <w:r>
        <w:rPr>
          <w:rFonts w:ascii="Times New Roman" w:hAnsi="Times New Roman" w:cs="Times New Roman"/>
          <w:sz w:val="24"/>
        </w:rPr>
        <w:t xml:space="preserve">Azoxystrobin 25% SC) and negative control (10% DMSO) </w:t>
      </w:r>
      <w:r>
        <w:fldChar w:fldCharType="begin"/>
      </w:r>
      <w:r>
        <w:instrText xml:space="preserve"> ADDIN EN.CITE &lt;EndNote&gt;&lt;Cite&gt;&lt;Author&gt;Shakam&lt;/Author&gt;&lt;Year&gt;2022&lt;/Year&gt;&lt;RecNum&gt;67&lt;/RecNum&gt;&lt;DisplayText&gt;(Shakam et al., 2022)&lt;/DisplayText&gt;&lt;record&gt;&lt;rec-number&gt;67&lt;/rec-number&gt;&lt;foreign-keys&gt;&lt;key app="EN" db-id="ra9v9ftd2frrvye2et45af2dwpvf99aw5evt" timestamp="1705617632"&gt;67&lt;/key&gt;&lt;/foreign-keys&gt;&lt;ref-type name="Journal Article"&gt;17&lt;/ref-type&gt;&lt;contributors&gt;&lt;authors&gt;&lt;author&gt;Shakam, Huda M.&lt;/author&gt;&lt;author&gt;Mohamed, Abeer A.&lt;/author&gt;&lt;author&gt;Salem, Mohamed Z. M.&lt;/author&gt;&lt;/authors&gt;&lt;/contributors&gt;&lt;titles&gt;&lt;title&gt;&lt;style face="normal" font="default" size="100%"&gt;Down-regulatory effect of essential oils on fungal growth and Tri4 gene expression for some &lt;/style&gt;&lt;style face="italic" font="default" size="100%"&gt;Fusarium oxysporum&lt;/style&gt;&lt;style face="normal" font="default" size="100%"&gt; strains: GC-MS analysis of essential oils&lt;/style&gt;&lt;/title&gt;&lt;secondary-title&gt;Archives of Phytopathology and Plant Protection&lt;/secondary-title&gt;&lt;/titles&gt;&lt;periodical&gt;&lt;full-title&gt;Archives of Phytopathology and Plant Protection&lt;/full-title&gt;&lt;/periodical&gt;&lt;pages&gt;951-972&lt;/pages&gt;&lt;volume&gt;55&lt;/volume&gt;&lt;number&gt;8&lt;/number&gt;&lt;dates&gt;&lt;year&gt;2022&lt;/year&gt;&lt;pub-dates&gt;&lt;date&gt;2022/06/10&lt;/date&gt;&lt;/pub-dates&gt;&lt;/dates&gt;&lt;publisher&gt;Taylor &amp;amp; Francis&lt;/publisher&gt;&lt;isbn&gt;0323-5408&lt;/isbn&gt;&lt;urls&gt;&lt;related-urls&gt;&lt;url&gt;https://doi.org/10.1080/03235408.2022.2064081&lt;/url&gt;&lt;/related-urls&gt;&lt;/urls&gt;&lt;electronic-resource-num&gt;10.1080/03235408.2022.2064081&lt;/electronic-resource-num&gt;&lt;/record&gt;&lt;/Cite&gt;&lt;/EndNote&gt;</w:instrText>
      </w:r>
      <w:r>
        <w:fldChar w:fldCharType="separate"/>
      </w:r>
      <w:r>
        <w:rPr>
          <w:noProof/>
        </w:rPr>
        <w:t>(</w:t>
      </w:r>
      <w:hyperlink w:anchor="_ENREF_75" w:tooltip="Shakam, 2022 #67" w:history="1">
        <w:r w:rsidR="00364DED">
          <w:rPr>
            <w:rStyle w:val="Hyperlink"/>
          </w:rPr>
          <w:t>Shakam et al., 2022</w:t>
        </w:r>
      </w:hyperlink>
      <w:r>
        <w:rPr>
          <w:noProof/>
        </w:rPr>
        <w:t>)</w:t>
      </w:r>
      <w:r>
        <w:fldChar w:fldCharType="end"/>
      </w:r>
      <w:r>
        <w:rPr>
          <w:rFonts w:ascii="Times New Roman" w:hAnsi="Times New Roman" w:cs="Times New Roman"/>
          <w:sz w:val="24"/>
        </w:rPr>
        <w:t>.</w:t>
      </w:r>
    </w:p>
    <w:p w14:paraId="7F9DD9EF" w14:textId="77777777" w:rsidR="00364DED" w:rsidRDefault="00A70A1E">
      <w:pPr>
        <w:rPr>
          <w:rFonts w:ascii="Times New Roman" w:hAnsi="Times New Roman" w:cs="Times New Roman"/>
          <w:b/>
          <w:bCs/>
          <w:sz w:val="24"/>
        </w:rPr>
      </w:pPr>
      <w:r>
        <w:rPr>
          <w:rFonts w:ascii="Times New Roman" w:hAnsi="Times New Roman" w:cs="Times New Roman"/>
          <w:b/>
          <w:bCs/>
          <w:sz w:val="24"/>
        </w:rPr>
        <w:t>Statistical Analysis</w:t>
      </w:r>
    </w:p>
    <w:p w14:paraId="65BE8FC5" w14:textId="77777777" w:rsidR="00364DED" w:rsidRDefault="00A70A1E">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The two-way ANOVA is a statistical technique used to analyze data with two independent variables, such as extracts and their concentrations. The SAS software was used to perform this </w:t>
      </w:r>
      <w:r>
        <w:rPr>
          <w:rFonts w:ascii="Times New Roman" w:hAnsi="Times New Roman" w:cs="Times New Roman"/>
          <w:sz w:val="24"/>
        </w:rPr>
        <w:lastRenderedPageBreak/>
        <w:t>analysis, and the means of the treatments were compared to the control treatment using Duncan's Multiple Range Test with a significance level of 0.05.</w:t>
      </w:r>
    </w:p>
    <w:p w14:paraId="5A9E72C6" w14:textId="77777777" w:rsidR="00364DED" w:rsidRDefault="00A70A1E">
      <w:pPr>
        <w:spacing w:line="360" w:lineRule="auto"/>
        <w:rPr>
          <w:rFonts w:ascii="Times New Roman" w:hAnsi="Times New Roman" w:cs="Times New Roman"/>
          <w:b/>
          <w:bCs/>
          <w:sz w:val="24"/>
        </w:rPr>
      </w:pPr>
      <w:r>
        <w:rPr>
          <w:rFonts w:ascii="Times New Roman" w:hAnsi="Times New Roman" w:cs="Times New Roman"/>
          <w:b/>
          <w:bCs/>
          <w:sz w:val="24"/>
        </w:rPr>
        <w:t>Results</w:t>
      </w:r>
    </w:p>
    <w:p w14:paraId="0BA5F996" w14:textId="77777777" w:rsidR="00364DED" w:rsidRDefault="00A70A1E">
      <w:pPr>
        <w:rPr>
          <w:rFonts w:ascii="Times New Roman" w:hAnsi="Times New Roman" w:cs="Times New Roman"/>
          <w:b/>
          <w:bCs/>
          <w:sz w:val="24"/>
        </w:rPr>
      </w:pPr>
      <w:r>
        <w:rPr>
          <w:rFonts w:ascii="Times New Roman" w:hAnsi="Times New Roman" w:cs="Times New Roman"/>
          <w:b/>
          <w:bCs/>
          <w:sz w:val="24"/>
        </w:rPr>
        <w:t xml:space="preserve">Antibacterial activity </w:t>
      </w:r>
    </w:p>
    <w:p w14:paraId="7964B94B" w14:textId="77777777" w:rsidR="00364DED" w:rsidRDefault="00A70A1E">
      <w:pPr>
        <w:spacing w:line="360" w:lineRule="auto"/>
        <w:ind w:firstLine="567"/>
        <w:jc w:val="both"/>
        <w:rPr>
          <w:rFonts w:ascii="Times New Roman" w:hAnsi="Times New Roman" w:cs="Times New Roman"/>
          <w:sz w:val="24"/>
          <w:szCs w:val="24"/>
        </w:rPr>
      </w:pPr>
      <w:r>
        <w:rPr>
          <w:rFonts w:ascii="Times New Roman" w:hAnsi="Times New Roman" w:cs="Times New Roman"/>
          <w:sz w:val="24"/>
        </w:rPr>
        <w:t xml:space="preserve">The bioactivity of extracts from </w:t>
      </w:r>
      <w:r>
        <w:rPr>
          <w:rFonts w:ascii="Times New Roman" w:hAnsi="Times New Roman" w:cs="Times New Roman"/>
          <w:i/>
          <w:iCs/>
          <w:sz w:val="24"/>
        </w:rPr>
        <w:t>Bougainvillea spectabilis</w:t>
      </w:r>
      <w:r>
        <w:rPr>
          <w:rFonts w:ascii="Times New Roman" w:hAnsi="Times New Roman" w:cs="Times New Roman"/>
          <w:sz w:val="24"/>
        </w:rPr>
        <w:t xml:space="preserve"> is shown in Table 1. </w:t>
      </w:r>
      <w:r>
        <w:rPr>
          <w:rFonts w:ascii="Times New Roman" w:hAnsi="Times New Roman" w:cs="Times New Roman"/>
          <w:sz w:val="24"/>
          <w:szCs w:val="24"/>
        </w:rPr>
        <w:t>The bark methanol extract (ME) at 1000, 2000, and 4000 µg/mL and bark acetone extract (</w:t>
      </w:r>
      <w:proofErr w:type="spellStart"/>
      <w:r>
        <w:rPr>
          <w:rFonts w:ascii="Times New Roman" w:hAnsi="Times New Roman" w:cs="Times New Roman"/>
          <w:sz w:val="24"/>
          <w:szCs w:val="24"/>
        </w:rPr>
        <w:t>AcE</w:t>
      </w:r>
      <w:proofErr w:type="spellEnd"/>
      <w:r>
        <w:rPr>
          <w:rFonts w:ascii="Times New Roman" w:hAnsi="Times New Roman" w:cs="Times New Roman"/>
          <w:sz w:val="24"/>
          <w:szCs w:val="24"/>
        </w:rPr>
        <w:t xml:space="preserve">) at 4000 µg/mL showed the highest activity against </w:t>
      </w:r>
      <w:r>
        <w:rPr>
          <w:rFonts w:ascii="Times New Roman" w:hAnsi="Times New Roman" w:cs="Times New Roman"/>
          <w:i/>
          <w:iCs/>
          <w:sz w:val="24"/>
          <w:szCs w:val="24"/>
        </w:rPr>
        <w:t>Agrobacterium tumefaciens</w:t>
      </w:r>
      <w:r>
        <w:rPr>
          <w:rFonts w:ascii="Times New Roman" w:hAnsi="Times New Roman" w:cs="Times New Roman"/>
          <w:sz w:val="24"/>
          <w:szCs w:val="24"/>
        </w:rPr>
        <w:t xml:space="preserve"> with inhibition zone (IZ) value of 10 mm. At the concentration of 4000 µg/mL, bark </w:t>
      </w:r>
      <w:proofErr w:type="spellStart"/>
      <w:r>
        <w:rPr>
          <w:rFonts w:ascii="Times New Roman" w:hAnsi="Times New Roman" w:cs="Times New Roman"/>
          <w:sz w:val="24"/>
          <w:szCs w:val="24"/>
        </w:rPr>
        <w:t>AcE</w:t>
      </w:r>
      <w:proofErr w:type="spellEnd"/>
      <w:r>
        <w:rPr>
          <w:rFonts w:ascii="Times New Roman" w:hAnsi="Times New Roman" w:cs="Times New Roman"/>
          <w:sz w:val="24"/>
          <w:szCs w:val="24"/>
        </w:rPr>
        <w:t xml:space="preserve"> showed the highest activity against </w:t>
      </w:r>
      <w:proofErr w:type="spellStart"/>
      <w:r>
        <w:rPr>
          <w:rFonts w:ascii="Times New Roman" w:hAnsi="Times New Roman" w:cs="Times New Roman"/>
          <w:i/>
          <w:iCs/>
          <w:sz w:val="24"/>
          <w:szCs w:val="24"/>
        </w:rPr>
        <w:t>Ralstonia</w:t>
      </w:r>
      <w:proofErr w:type="spellEnd"/>
      <w:r>
        <w:rPr>
          <w:rFonts w:ascii="Times New Roman" w:hAnsi="Times New Roman" w:cs="Times New Roman"/>
          <w:i/>
          <w:iCs/>
          <w:sz w:val="24"/>
          <w:szCs w:val="24"/>
        </w:rPr>
        <w:t xml:space="preserve"> solanacearum</w:t>
      </w:r>
      <w:r>
        <w:rPr>
          <w:rFonts w:ascii="Times New Roman" w:hAnsi="Times New Roman" w:cs="Times New Roman"/>
          <w:sz w:val="24"/>
          <w:szCs w:val="24"/>
        </w:rPr>
        <w:t xml:space="preserve"> with an IZ value of 9 mm, and the butanol extract (BE) against </w:t>
      </w:r>
      <w:r>
        <w:rPr>
          <w:rFonts w:ascii="Times New Roman" w:hAnsi="Times New Roman" w:cs="Times New Roman"/>
          <w:i/>
          <w:iCs/>
          <w:sz w:val="24"/>
          <w:szCs w:val="24"/>
        </w:rPr>
        <w:t xml:space="preserve">Erwinia </w:t>
      </w:r>
      <w:proofErr w:type="spellStart"/>
      <w:r>
        <w:rPr>
          <w:rFonts w:ascii="Times New Roman" w:hAnsi="Times New Roman" w:cs="Times New Roman"/>
          <w:i/>
          <w:iCs/>
          <w:sz w:val="24"/>
          <w:szCs w:val="24"/>
        </w:rPr>
        <w:t>amylovora</w:t>
      </w:r>
      <w:proofErr w:type="spellEnd"/>
      <w:r>
        <w:rPr>
          <w:rFonts w:ascii="Times New Roman" w:hAnsi="Times New Roman" w:cs="Times New Roman"/>
          <w:sz w:val="24"/>
          <w:szCs w:val="24"/>
        </w:rPr>
        <w:t xml:space="preserve"> with an IZ value of 11 mm. Bark BE observed abundant activity against </w:t>
      </w:r>
      <w:proofErr w:type="spellStart"/>
      <w:r>
        <w:rPr>
          <w:rFonts w:ascii="Times New Roman" w:hAnsi="Times New Roman" w:cs="Times New Roman"/>
          <w:i/>
          <w:iCs/>
          <w:sz w:val="24"/>
          <w:szCs w:val="24"/>
        </w:rPr>
        <w:t>Pectobacterium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carotovorum</w:t>
      </w:r>
      <w:proofErr w:type="spellEnd"/>
      <w:r>
        <w:rPr>
          <w:rFonts w:ascii="Times New Roman" w:hAnsi="Times New Roman" w:cs="Times New Roman"/>
          <w:sz w:val="24"/>
          <w:szCs w:val="24"/>
        </w:rPr>
        <w:t xml:space="preserve"> at 2000 and 4000 µg/mL with IZ values of 11 mm and 11.66 mm, respectively. The highest activity against </w:t>
      </w:r>
      <w:r>
        <w:rPr>
          <w:rFonts w:ascii="Times New Roman" w:hAnsi="Times New Roman" w:cs="Times New Roman"/>
          <w:i/>
          <w:iCs/>
          <w:sz w:val="24"/>
          <w:szCs w:val="24"/>
        </w:rPr>
        <w:t xml:space="preserve">P. </w:t>
      </w:r>
      <w:proofErr w:type="spellStart"/>
      <w:r>
        <w:rPr>
          <w:rFonts w:ascii="Times New Roman" w:hAnsi="Times New Roman" w:cs="Times New Roman"/>
          <w:i/>
          <w:iCs/>
          <w:sz w:val="24"/>
          <w:szCs w:val="24"/>
        </w:rPr>
        <w:t>atrosepticum</w:t>
      </w:r>
      <w:proofErr w:type="spellEnd"/>
      <w:r>
        <w:rPr>
          <w:rFonts w:ascii="Times New Roman" w:hAnsi="Times New Roman" w:cs="Times New Roman"/>
          <w:sz w:val="24"/>
          <w:szCs w:val="24"/>
        </w:rPr>
        <w:t xml:space="preserve"> was observed using the </w:t>
      </w:r>
      <w:r>
        <w:rPr>
          <w:rFonts w:ascii="Times New Roman" w:hAnsi="Times New Roman" w:cs="Times New Roman"/>
          <w:sz w:val="24"/>
        </w:rPr>
        <w:t>bark BE</w:t>
      </w:r>
      <w:r>
        <w:rPr>
          <w:rFonts w:ascii="Times New Roman" w:hAnsi="Times New Roman" w:cs="Times New Roman"/>
          <w:sz w:val="24"/>
          <w:szCs w:val="24"/>
        </w:rPr>
        <w:t xml:space="preserve"> at 1000, 2000, and 4000 µg/mL concentrations with an IZ value of 9 mm. Bark BE and </w:t>
      </w:r>
      <w:proofErr w:type="spellStart"/>
      <w:r>
        <w:rPr>
          <w:rFonts w:ascii="Times New Roman" w:hAnsi="Times New Roman" w:cs="Times New Roman"/>
          <w:sz w:val="24"/>
          <w:szCs w:val="24"/>
        </w:rPr>
        <w:t>AcE</w:t>
      </w:r>
      <w:proofErr w:type="spellEnd"/>
      <w:r>
        <w:rPr>
          <w:rFonts w:ascii="Times New Roman" w:hAnsi="Times New Roman" w:cs="Times New Roman"/>
          <w:sz w:val="24"/>
          <w:szCs w:val="24"/>
        </w:rPr>
        <w:t xml:space="preserve"> at 4000 µg/mL showed the highest activity against </w:t>
      </w:r>
      <w:proofErr w:type="spellStart"/>
      <w:r>
        <w:rPr>
          <w:rFonts w:ascii="Times New Roman" w:hAnsi="Times New Roman" w:cs="Times New Roman"/>
          <w:i/>
          <w:iCs/>
          <w:sz w:val="24"/>
          <w:szCs w:val="24"/>
        </w:rPr>
        <w:t>Dickeya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solani</w:t>
      </w:r>
      <w:proofErr w:type="spellEnd"/>
      <w:r>
        <w:rPr>
          <w:rFonts w:ascii="Times New Roman" w:hAnsi="Times New Roman" w:cs="Times New Roman"/>
          <w:sz w:val="24"/>
          <w:szCs w:val="24"/>
        </w:rPr>
        <w:t xml:space="preserve"> with an IZ value of 10 mm.</w:t>
      </w:r>
    </w:p>
    <w:p w14:paraId="28256F3A" w14:textId="77777777" w:rsidR="00364DED" w:rsidRDefault="00A70A1E">
      <w:pPr>
        <w:rPr>
          <w:rFonts w:ascii="Times New Roman" w:hAnsi="Times New Roman" w:cs="Times New Roman"/>
          <w:b/>
          <w:bCs/>
          <w:sz w:val="24"/>
        </w:rPr>
      </w:pPr>
      <w:r>
        <w:rPr>
          <w:rFonts w:ascii="Times New Roman" w:hAnsi="Times New Roman" w:cs="Times New Roman"/>
          <w:b/>
          <w:bCs/>
          <w:sz w:val="24"/>
        </w:rPr>
        <w:t xml:space="preserve">Table 1. </w:t>
      </w:r>
      <w:r>
        <w:rPr>
          <w:rFonts w:ascii="Times New Roman" w:hAnsi="Times New Roman" w:cs="Times New Roman"/>
          <w:sz w:val="24"/>
        </w:rPr>
        <w:t>Antibacterial activity of extracts against plant pathogenic bacteria</w:t>
      </w:r>
      <w:r>
        <w:rPr>
          <w:rFonts w:ascii="Times New Roman" w:hAnsi="Times New Roman" w:cs="Times New Roman"/>
          <w:b/>
          <w:bCs/>
          <w:sz w:val="24"/>
        </w:rPr>
        <w:t xml:space="preserve"> </w:t>
      </w:r>
    </w:p>
    <w:tbl>
      <w:tblPr>
        <w:tblStyle w:val="TableGrid"/>
        <w:tblW w:w="10632" w:type="dxa"/>
        <w:tblInd w:w="-74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7"/>
        <w:gridCol w:w="851"/>
        <w:gridCol w:w="1427"/>
        <w:gridCol w:w="1411"/>
        <w:gridCol w:w="1116"/>
        <w:gridCol w:w="1565"/>
        <w:gridCol w:w="1531"/>
        <w:gridCol w:w="1404"/>
      </w:tblGrid>
      <w:tr w:rsidR="00364DED" w14:paraId="6190DBA1" w14:textId="77777777">
        <w:tc>
          <w:tcPr>
            <w:tcW w:w="1275" w:type="dxa"/>
            <w:tcBorders>
              <w:top w:val="single" w:sz="4" w:space="0" w:color="auto"/>
              <w:bottom w:val="single" w:sz="4" w:space="0" w:color="auto"/>
            </w:tcBorders>
          </w:tcPr>
          <w:p w14:paraId="3F28DD03"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Extract </w:t>
            </w:r>
          </w:p>
        </w:tc>
        <w:tc>
          <w:tcPr>
            <w:tcW w:w="854" w:type="dxa"/>
            <w:tcBorders>
              <w:top w:val="single" w:sz="4" w:space="0" w:color="auto"/>
              <w:bottom w:val="single" w:sz="4" w:space="0" w:color="auto"/>
            </w:tcBorders>
          </w:tcPr>
          <w:p w14:paraId="1DB386D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Con.</w:t>
            </w:r>
          </w:p>
          <w:p w14:paraId="0B49D721" w14:textId="77777777" w:rsidR="00364DED" w:rsidRDefault="00A70A1E">
            <w:pPr>
              <w:pStyle w:val="NoSpacing"/>
              <w:rPr>
                <w:rFonts w:ascii="Times New Roman" w:hAnsi="Times New Roman" w:cs="Times New Roman"/>
                <w:sz w:val="20"/>
                <w:szCs w:val="20"/>
                <w:rtl/>
                <w:lang w:bidi="ar-EG"/>
              </w:rPr>
            </w:pPr>
            <w:r>
              <w:rPr>
                <w:rFonts w:ascii="Times New Roman" w:hAnsi="Times New Roman" w:cs="Times New Roman"/>
                <w:sz w:val="20"/>
                <w:szCs w:val="20"/>
              </w:rPr>
              <w:t>µg/mL</w:t>
            </w:r>
          </w:p>
        </w:tc>
        <w:tc>
          <w:tcPr>
            <w:tcW w:w="1427" w:type="dxa"/>
            <w:tcBorders>
              <w:top w:val="single" w:sz="4" w:space="0" w:color="auto"/>
              <w:bottom w:val="single" w:sz="4" w:space="0" w:color="auto"/>
            </w:tcBorders>
          </w:tcPr>
          <w:p w14:paraId="2ACED6B8" w14:textId="77777777" w:rsidR="00364DED" w:rsidRDefault="00A70A1E">
            <w:pPr>
              <w:pStyle w:val="NoSpacing"/>
              <w:rPr>
                <w:rFonts w:ascii="Times New Roman" w:hAnsi="Times New Roman" w:cs="Times New Roman"/>
                <w:i/>
                <w:iCs/>
                <w:sz w:val="20"/>
                <w:szCs w:val="20"/>
              </w:rPr>
            </w:pPr>
            <w:r>
              <w:rPr>
                <w:rFonts w:ascii="Times New Roman" w:hAnsi="Times New Roman" w:cs="Times New Roman"/>
                <w:i/>
                <w:iCs/>
                <w:sz w:val="20"/>
                <w:szCs w:val="20"/>
              </w:rPr>
              <w:t>Agrobacterium tumefaciens</w:t>
            </w:r>
          </w:p>
        </w:tc>
        <w:tc>
          <w:tcPr>
            <w:tcW w:w="1416" w:type="dxa"/>
            <w:tcBorders>
              <w:top w:val="single" w:sz="4" w:space="0" w:color="auto"/>
              <w:bottom w:val="single" w:sz="4" w:space="0" w:color="auto"/>
            </w:tcBorders>
          </w:tcPr>
          <w:p w14:paraId="5C10207E" w14:textId="77777777" w:rsidR="00364DED" w:rsidRDefault="00A70A1E">
            <w:pPr>
              <w:pStyle w:val="NoSpacing"/>
              <w:rPr>
                <w:rFonts w:ascii="Times New Roman" w:hAnsi="Times New Roman" w:cs="Times New Roman"/>
                <w:i/>
                <w:iCs/>
                <w:sz w:val="20"/>
                <w:szCs w:val="20"/>
              </w:rPr>
            </w:pPr>
            <w:proofErr w:type="spellStart"/>
            <w:r>
              <w:rPr>
                <w:rFonts w:ascii="Times New Roman" w:hAnsi="Times New Roman" w:cs="Times New Roman"/>
                <w:i/>
                <w:iCs/>
                <w:sz w:val="20"/>
                <w:szCs w:val="20"/>
              </w:rPr>
              <w:t>Ralstonia</w:t>
            </w:r>
            <w:proofErr w:type="spellEnd"/>
            <w:r>
              <w:rPr>
                <w:rFonts w:ascii="Times New Roman" w:hAnsi="Times New Roman" w:cs="Times New Roman"/>
                <w:i/>
                <w:iCs/>
                <w:sz w:val="20"/>
                <w:szCs w:val="20"/>
              </w:rPr>
              <w:t xml:space="preserve"> solanacearum</w:t>
            </w:r>
          </w:p>
        </w:tc>
        <w:tc>
          <w:tcPr>
            <w:tcW w:w="1119" w:type="dxa"/>
            <w:tcBorders>
              <w:top w:val="single" w:sz="4" w:space="0" w:color="auto"/>
              <w:bottom w:val="single" w:sz="4" w:space="0" w:color="auto"/>
            </w:tcBorders>
          </w:tcPr>
          <w:p w14:paraId="71BB5ED5" w14:textId="77777777" w:rsidR="00364DED" w:rsidRDefault="00A70A1E">
            <w:pPr>
              <w:pStyle w:val="NoSpacing"/>
              <w:rPr>
                <w:rFonts w:ascii="Times New Roman" w:hAnsi="Times New Roman" w:cs="Times New Roman"/>
                <w:i/>
                <w:iCs/>
                <w:sz w:val="20"/>
                <w:szCs w:val="20"/>
              </w:rPr>
            </w:pPr>
            <w:r>
              <w:rPr>
                <w:rFonts w:ascii="Times New Roman" w:hAnsi="Times New Roman" w:cs="Times New Roman"/>
                <w:i/>
                <w:iCs/>
                <w:sz w:val="20"/>
                <w:szCs w:val="20"/>
              </w:rPr>
              <w:t xml:space="preserve">Erwinia </w:t>
            </w:r>
            <w:proofErr w:type="spellStart"/>
            <w:r>
              <w:rPr>
                <w:rFonts w:ascii="Times New Roman" w:hAnsi="Times New Roman" w:cs="Times New Roman"/>
                <w:i/>
                <w:iCs/>
                <w:sz w:val="20"/>
                <w:szCs w:val="20"/>
              </w:rPr>
              <w:t>amylovora</w:t>
            </w:r>
            <w:proofErr w:type="spellEnd"/>
          </w:p>
        </w:tc>
        <w:tc>
          <w:tcPr>
            <w:tcW w:w="1572" w:type="dxa"/>
            <w:tcBorders>
              <w:top w:val="single" w:sz="4" w:space="0" w:color="auto"/>
              <w:bottom w:val="single" w:sz="4" w:space="0" w:color="auto"/>
            </w:tcBorders>
          </w:tcPr>
          <w:p w14:paraId="3C320226" w14:textId="77777777" w:rsidR="00364DED" w:rsidRDefault="00A70A1E">
            <w:pPr>
              <w:pStyle w:val="NoSpacing"/>
              <w:rPr>
                <w:rFonts w:ascii="Times New Roman" w:hAnsi="Times New Roman" w:cs="Times New Roman"/>
                <w:i/>
                <w:iCs/>
                <w:sz w:val="20"/>
                <w:szCs w:val="20"/>
              </w:rPr>
            </w:pPr>
            <w:proofErr w:type="spellStart"/>
            <w:r>
              <w:rPr>
                <w:rFonts w:ascii="Times New Roman" w:hAnsi="Times New Roman" w:cs="Times New Roman"/>
                <w:i/>
                <w:iCs/>
                <w:sz w:val="20"/>
                <w:szCs w:val="20"/>
              </w:rPr>
              <w:t>Pectobacterium</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carotovorum</w:t>
            </w:r>
            <w:proofErr w:type="spellEnd"/>
          </w:p>
        </w:tc>
        <w:tc>
          <w:tcPr>
            <w:tcW w:w="1535" w:type="dxa"/>
            <w:tcBorders>
              <w:top w:val="single" w:sz="4" w:space="0" w:color="auto"/>
              <w:bottom w:val="single" w:sz="4" w:space="0" w:color="auto"/>
            </w:tcBorders>
          </w:tcPr>
          <w:p w14:paraId="65892D84" w14:textId="77777777" w:rsidR="00364DED" w:rsidRDefault="00A70A1E">
            <w:pPr>
              <w:pStyle w:val="NoSpacing"/>
              <w:rPr>
                <w:rFonts w:ascii="Times New Roman" w:hAnsi="Times New Roman" w:cs="Times New Roman"/>
                <w:i/>
                <w:iCs/>
                <w:sz w:val="20"/>
                <w:szCs w:val="20"/>
              </w:rPr>
            </w:pPr>
            <w:proofErr w:type="spellStart"/>
            <w:r>
              <w:rPr>
                <w:rFonts w:ascii="Times New Roman" w:hAnsi="Times New Roman" w:cs="Times New Roman"/>
                <w:i/>
                <w:iCs/>
                <w:sz w:val="20"/>
                <w:szCs w:val="20"/>
              </w:rPr>
              <w:t>Pectobacterium</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atrosepticum</w:t>
            </w:r>
            <w:proofErr w:type="spellEnd"/>
          </w:p>
        </w:tc>
        <w:tc>
          <w:tcPr>
            <w:tcW w:w="1434" w:type="dxa"/>
            <w:tcBorders>
              <w:top w:val="single" w:sz="4" w:space="0" w:color="auto"/>
              <w:bottom w:val="single" w:sz="4" w:space="0" w:color="auto"/>
            </w:tcBorders>
          </w:tcPr>
          <w:p w14:paraId="5AA40641" w14:textId="77777777" w:rsidR="00364DED" w:rsidRDefault="00A70A1E">
            <w:pPr>
              <w:pStyle w:val="NoSpacing"/>
              <w:rPr>
                <w:rFonts w:ascii="Times New Roman" w:hAnsi="Times New Roman" w:cs="Times New Roman"/>
                <w:i/>
                <w:iCs/>
                <w:sz w:val="20"/>
                <w:szCs w:val="20"/>
              </w:rPr>
            </w:pPr>
            <w:proofErr w:type="spellStart"/>
            <w:r>
              <w:rPr>
                <w:rFonts w:ascii="Times New Roman" w:hAnsi="Times New Roman" w:cs="Times New Roman"/>
                <w:i/>
                <w:iCs/>
                <w:sz w:val="20"/>
                <w:szCs w:val="20"/>
              </w:rPr>
              <w:t>Dickeya</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solani</w:t>
            </w:r>
            <w:proofErr w:type="spellEnd"/>
          </w:p>
        </w:tc>
      </w:tr>
      <w:tr w:rsidR="00364DED" w14:paraId="2AC4AB72" w14:textId="77777777">
        <w:tc>
          <w:tcPr>
            <w:tcW w:w="1275" w:type="dxa"/>
            <w:vMerge w:val="restart"/>
            <w:tcBorders>
              <w:top w:val="single" w:sz="4" w:space="0" w:color="auto"/>
            </w:tcBorders>
          </w:tcPr>
          <w:p w14:paraId="0D469E89"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Wood Essential oil</w:t>
            </w:r>
          </w:p>
        </w:tc>
        <w:tc>
          <w:tcPr>
            <w:tcW w:w="854" w:type="dxa"/>
            <w:tcBorders>
              <w:top w:val="single" w:sz="4" w:space="0" w:color="auto"/>
            </w:tcBorders>
          </w:tcPr>
          <w:p w14:paraId="693CA89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125</w:t>
            </w:r>
          </w:p>
        </w:tc>
        <w:tc>
          <w:tcPr>
            <w:tcW w:w="1427" w:type="dxa"/>
            <w:tcBorders>
              <w:top w:val="single" w:sz="4" w:space="0" w:color="auto"/>
            </w:tcBorders>
          </w:tcPr>
          <w:p w14:paraId="571C72E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7±0.00 </w:t>
            </w:r>
          </w:p>
        </w:tc>
        <w:tc>
          <w:tcPr>
            <w:tcW w:w="1416" w:type="dxa"/>
            <w:tcBorders>
              <w:top w:val="single" w:sz="4" w:space="0" w:color="auto"/>
            </w:tcBorders>
          </w:tcPr>
          <w:p w14:paraId="7970339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0.00</w:t>
            </w:r>
          </w:p>
        </w:tc>
        <w:tc>
          <w:tcPr>
            <w:tcW w:w="1119" w:type="dxa"/>
            <w:tcBorders>
              <w:top w:val="single" w:sz="4" w:space="0" w:color="auto"/>
            </w:tcBorders>
          </w:tcPr>
          <w:p w14:paraId="60794DB3"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c>
          <w:tcPr>
            <w:tcW w:w="1572" w:type="dxa"/>
            <w:tcBorders>
              <w:top w:val="single" w:sz="4" w:space="0" w:color="auto"/>
            </w:tcBorders>
          </w:tcPr>
          <w:p w14:paraId="28A6BE7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8±0.00 </w:t>
            </w:r>
          </w:p>
        </w:tc>
        <w:tc>
          <w:tcPr>
            <w:tcW w:w="1535" w:type="dxa"/>
            <w:tcBorders>
              <w:top w:val="single" w:sz="4" w:space="0" w:color="auto"/>
            </w:tcBorders>
          </w:tcPr>
          <w:p w14:paraId="1FE4DCE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c>
          <w:tcPr>
            <w:tcW w:w="1434" w:type="dxa"/>
            <w:tcBorders>
              <w:top w:val="single" w:sz="4" w:space="0" w:color="auto"/>
            </w:tcBorders>
          </w:tcPr>
          <w:p w14:paraId="29FB5A5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0.00</w:t>
            </w:r>
          </w:p>
        </w:tc>
      </w:tr>
      <w:tr w:rsidR="00364DED" w14:paraId="525A8CA2" w14:textId="77777777">
        <w:tc>
          <w:tcPr>
            <w:tcW w:w="1275" w:type="dxa"/>
            <w:vMerge/>
          </w:tcPr>
          <w:p w14:paraId="55F1FBF8" w14:textId="77777777" w:rsidR="00364DED" w:rsidRDefault="00364DED">
            <w:pPr>
              <w:pStyle w:val="NoSpacing"/>
              <w:rPr>
                <w:rFonts w:ascii="Times New Roman" w:hAnsi="Times New Roman" w:cs="Times New Roman"/>
                <w:sz w:val="20"/>
                <w:szCs w:val="20"/>
              </w:rPr>
            </w:pPr>
          </w:p>
        </w:tc>
        <w:tc>
          <w:tcPr>
            <w:tcW w:w="854" w:type="dxa"/>
          </w:tcPr>
          <w:p w14:paraId="3F5C44D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250</w:t>
            </w:r>
          </w:p>
        </w:tc>
        <w:tc>
          <w:tcPr>
            <w:tcW w:w="1427" w:type="dxa"/>
          </w:tcPr>
          <w:p w14:paraId="51C9CD96" w14:textId="77777777" w:rsidR="00364DED" w:rsidRDefault="00A70A1E">
            <w:pPr>
              <w:pStyle w:val="NoSpacing"/>
              <w:rPr>
                <w:rFonts w:ascii="Times New Roman" w:hAnsi="Times New Roman" w:cs="Times New Roman"/>
                <w:sz w:val="20"/>
                <w:szCs w:val="20"/>
                <w:rtl/>
                <w:lang w:bidi="ar-EG"/>
              </w:rPr>
            </w:pPr>
            <w:r>
              <w:rPr>
                <w:rFonts w:ascii="Times New Roman" w:hAnsi="Times New Roman" w:cs="Times New Roman"/>
                <w:sz w:val="20"/>
                <w:szCs w:val="20"/>
              </w:rPr>
              <w:t>7±0.00</w:t>
            </w:r>
          </w:p>
        </w:tc>
        <w:tc>
          <w:tcPr>
            <w:tcW w:w="1416" w:type="dxa"/>
          </w:tcPr>
          <w:p w14:paraId="45E0D965"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c>
          <w:tcPr>
            <w:tcW w:w="1119" w:type="dxa"/>
          </w:tcPr>
          <w:p w14:paraId="5E00D2B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c>
          <w:tcPr>
            <w:tcW w:w="1572" w:type="dxa"/>
          </w:tcPr>
          <w:p w14:paraId="60A11E0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535" w:type="dxa"/>
          </w:tcPr>
          <w:p w14:paraId="200916E8"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434" w:type="dxa"/>
          </w:tcPr>
          <w:p w14:paraId="17C0968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r>
      <w:tr w:rsidR="00364DED" w14:paraId="11ACB028" w14:textId="77777777">
        <w:tc>
          <w:tcPr>
            <w:tcW w:w="1275" w:type="dxa"/>
            <w:vMerge/>
          </w:tcPr>
          <w:p w14:paraId="76D1FE69" w14:textId="77777777" w:rsidR="00364DED" w:rsidRDefault="00364DED">
            <w:pPr>
              <w:pStyle w:val="NoSpacing"/>
              <w:rPr>
                <w:rFonts w:ascii="Times New Roman" w:hAnsi="Times New Roman" w:cs="Times New Roman"/>
                <w:sz w:val="20"/>
                <w:szCs w:val="20"/>
              </w:rPr>
            </w:pPr>
          </w:p>
        </w:tc>
        <w:tc>
          <w:tcPr>
            <w:tcW w:w="854" w:type="dxa"/>
          </w:tcPr>
          <w:p w14:paraId="711A00F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500</w:t>
            </w:r>
          </w:p>
        </w:tc>
        <w:tc>
          <w:tcPr>
            <w:tcW w:w="1427" w:type="dxa"/>
          </w:tcPr>
          <w:p w14:paraId="0DA52469"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416" w:type="dxa"/>
          </w:tcPr>
          <w:p w14:paraId="137287A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c>
          <w:tcPr>
            <w:tcW w:w="1119" w:type="dxa"/>
          </w:tcPr>
          <w:p w14:paraId="2BCB7574"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572" w:type="dxa"/>
          </w:tcPr>
          <w:p w14:paraId="37659DC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535" w:type="dxa"/>
          </w:tcPr>
          <w:p w14:paraId="5063F0A8"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434" w:type="dxa"/>
          </w:tcPr>
          <w:p w14:paraId="25142A6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r>
      <w:tr w:rsidR="00364DED" w14:paraId="7358407F" w14:textId="77777777">
        <w:tc>
          <w:tcPr>
            <w:tcW w:w="1275" w:type="dxa"/>
            <w:vMerge/>
          </w:tcPr>
          <w:p w14:paraId="28EE9B1E" w14:textId="77777777" w:rsidR="00364DED" w:rsidRDefault="00364DED">
            <w:pPr>
              <w:pStyle w:val="NoSpacing"/>
              <w:rPr>
                <w:rFonts w:ascii="Times New Roman" w:hAnsi="Times New Roman" w:cs="Times New Roman"/>
                <w:sz w:val="20"/>
                <w:szCs w:val="20"/>
              </w:rPr>
            </w:pPr>
          </w:p>
        </w:tc>
        <w:tc>
          <w:tcPr>
            <w:tcW w:w="854" w:type="dxa"/>
          </w:tcPr>
          <w:p w14:paraId="64C1844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1000</w:t>
            </w:r>
          </w:p>
        </w:tc>
        <w:tc>
          <w:tcPr>
            <w:tcW w:w="1427" w:type="dxa"/>
          </w:tcPr>
          <w:p w14:paraId="6EFD2C8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16" w:type="dxa"/>
          </w:tcPr>
          <w:p w14:paraId="01A122FD"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119" w:type="dxa"/>
          </w:tcPr>
          <w:p w14:paraId="1DC7FA63"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572" w:type="dxa"/>
          </w:tcPr>
          <w:p w14:paraId="1BDD5D78"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535" w:type="dxa"/>
          </w:tcPr>
          <w:p w14:paraId="165777BC"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434" w:type="dxa"/>
          </w:tcPr>
          <w:p w14:paraId="34992CC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r>
      <w:tr w:rsidR="00364DED" w14:paraId="6CAE2C7C" w14:textId="77777777">
        <w:tc>
          <w:tcPr>
            <w:tcW w:w="1275" w:type="dxa"/>
            <w:vMerge/>
          </w:tcPr>
          <w:p w14:paraId="1BAF3B0B" w14:textId="77777777" w:rsidR="00364DED" w:rsidRDefault="00364DED">
            <w:pPr>
              <w:pStyle w:val="NoSpacing"/>
              <w:rPr>
                <w:rFonts w:ascii="Times New Roman" w:hAnsi="Times New Roman" w:cs="Times New Roman"/>
                <w:sz w:val="20"/>
                <w:szCs w:val="20"/>
              </w:rPr>
            </w:pPr>
          </w:p>
        </w:tc>
        <w:tc>
          <w:tcPr>
            <w:tcW w:w="854" w:type="dxa"/>
          </w:tcPr>
          <w:p w14:paraId="2C78CA4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2000</w:t>
            </w:r>
          </w:p>
        </w:tc>
        <w:tc>
          <w:tcPr>
            <w:tcW w:w="1427" w:type="dxa"/>
          </w:tcPr>
          <w:p w14:paraId="30F4988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16" w:type="dxa"/>
          </w:tcPr>
          <w:p w14:paraId="328C364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119" w:type="dxa"/>
          </w:tcPr>
          <w:p w14:paraId="480A32D4"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572" w:type="dxa"/>
          </w:tcPr>
          <w:p w14:paraId="4A4CD95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535" w:type="dxa"/>
          </w:tcPr>
          <w:p w14:paraId="013AAEC8"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434" w:type="dxa"/>
          </w:tcPr>
          <w:p w14:paraId="434FEFC5"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r>
      <w:tr w:rsidR="00364DED" w14:paraId="4758AF1F" w14:textId="77777777">
        <w:tc>
          <w:tcPr>
            <w:tcW w:w="1275" w:type="dxa"/>
            <w:vMerge/>
          </w:tcPr>
          <w:p w14:paraId="70ED8722" w14:textId="77777777" w:rsidR="00364DED" w:rsidRDefault="00364DED">
            <w:pPr>
              <w:pStyle w:val="NoSpacing"/>
              <w:rPr>
                <w:rFonts w:ascii="Times New Roman" w:hAnsi="Times New Roman" w:cs="Times New Roman"/>
                <w:sz w:val="20"/>
                <w:szCs w:val="20"/>
              </w:rPr>
            </w:pPr>
          </w:p>
        </w:tc>
        <w:tc>
          <w:tcPr>
            <w:tcW w:w="854" w:type="dxa"/>
          </w:tcPr>
          <w:p w14:paraId="6366076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4000</w:t>
            </w:r>
          </w:p>
        </w:tc>
        <w:tc>
          <w:tcPr>
            <w:tcW w:w="1427" w:type="dxa"/>
          </w:tcPr>
          <w:p w14:paraId="5C3600F5"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16" w:type="dxa"/>
          </w:tcPr>
          <w:p w14:paraId="1ECFA65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119" w:type="dxa"/>
          </w:tcPr>
          <w:p w14:paraId="1F2D7B0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572" w:type="dxa"/>
          </w:tcPr>
          <w:p w14:paraId="2ED5751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9±0.00</w:t>
            </w:r>
          </w:p>
        </w:tc>
        <w:tc>
          <w:tcPr>
            <w:tcW w:w="1535" w:type="dxa"/>
          </w:tcPr>
          <w:p w14:paraId="4DF9BA03"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434" w:type="dxa"/>
          </w:tcPr>
          <w:p w14:paraId="0061E9F3"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r>
      <w:tr w:rsidR="00364DED" w14:paraId="38F17198" w14:textId="77777777">
        <w:tc>
          <w:tcPr>
            <w:tcW w:w="1275" w:type="dxa"/>
            <w:vMerge w:val="restart"/>
          </w:tcPr>
          <w:p w14:paraId="304319AC"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Bark butanol extract</w:t>
            </w:r>
          </w:p>
        </w:tc>
        <w:tc>
          <w:tcPr>
            <w:tcW w:w="854" w:type="dxa"/>
          </w:tcPr>
          <w:p w14:paraId="193CA27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125</w:t>
            </w:r>
          </w:p>
        </w:tc>
        <w:tc>
          <w:tcPr>
            <w:tcW w:w="1427" w:type="dxa"/>
          </w:tcPr>
          <w:p w14:paraId="4630A36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416" w:type="dxa"/>
          </w:tcPr>
          <w:p w14:paraId="52F9F598"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c>
          <w:tcPr>
            <w:tcW w:w="1119" w:type="dxa"/>
          </w:tcPr>
          <w:p w14:paraId="5A4FAB1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572" w:type="dxa"/>
          </w:tcPr>
          <w:p w14:paraId="3D64BB79"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6.33±0.57  </w:t>
            </w:r>
          </w:p>
        </w:tc>
        <w:tc>
          <w:tcPr>
            <w:tcW w:w="1535" w:type="dxa"/>
          </w:tcPr>
          <w:p w14:paraId="5C78EA6C"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34" w:type="dxa"/>
          </w:tcPr>
          <w:p w14:paraId="25C6066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5.66±0.57</w:t>
            </w:r>
          </w:p>
        </w:tc>
      </w:tr>
      <w:tr w:rsidR="00364DED" w14:paraId="013C3020" w14:textId="77777777">
        <w:tc>
          <w:tcPr>
            <w:tcW w:w="1275" w:type="dxa"/>
            <w:vMerge/>
          </w:tcPr>
          <w:p w14:paraId="219FA093" w14:textId="77777777" w:rsidR="00364DED" w:rsidRDefault="00364DED">
            <w:pPr>
              <w:pStyle w:val="NoSpacing"/>
              <w:rPr>
                <w:rFonts w:ascii="Times New Roman" w:hAnsi="Times New Roman" w:cs="Times New Roman"/>
                <w:sz w:val="20"/>
                <w:szCs w:val="20"/>
              </w:rPr>
            </w:pPr>
          </w:p>
        </w:tc>
        <w:tc>
          <w:tcPr>
            <w:tcW w:w="854" w:type="dxa"/>
          </w:tcPr>
          <w:p w14:paraId="03DFDE6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250</w:t>
            </w:r>
          </w:p>
        </w:tc>
        <w:tc>
          <w:tcPr>
            <w:tcW w:w="1427" w:type="dxa"/>
          </w:tcPr>
          <w:p w14:paraId="3E63D555"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416" w:type="dxa"/>
          </w:tcPr>
          <w:p w14:paraId="16FBF56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6±0.00 </w:t>
            </w:r>
          </w:p>
        </w:tc>
        <w:tc>
          <w:tcPr>
            <w:tcW w:w="1119" w:type="dxa"/>
          </w:tcPr>
          <w:p w14:paraId="5B02038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572" w:type="dxa"/>
          </w:tcPr>
          <w:p w14:paraId="774E11B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7.66±0.57 </w:t>
            </w:r>
          </w:p>
        </w:tc>
        <w:tc>
          <w:tcPr>
            <w:tcW w:w="1535" w:type="dxa"/>
          </w:tcPr>
          <w:p w14:paraId="090B1BE9"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34" w:type="dxa"/>
          </w:tcPr>
          <w:p w14:paraId="0A3A7F8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6.66±0.57</w:t>
            </w:r>
          </w:p>
        </w:tc>
      </w:tr>
      <w:tr w:rsidR="00364DED" w14:paraId="3AAB4796" w14:textId="77777777">
        <w:tc>
          <w:tcPr>
            <w:tcW w:w="1275" w:type="dxa"/>
            <w:vMerge/>
          </w:tcPr>
          <w:p w14:paraId="7D0EDE50" w14:textId="77777777" w:rsidR="00364DED" w:rsidRDefault="00364DED">
            <w:pPr>
              <w:pStyle w:val="NoSpacing"/>
              <w:rPr>
                <w:rFonts w:ascii="Times New Roman" w:hAnsi="Times New Roman" w:cs="Times New Roman"/>
                <w:sz w:val="20"/>
                <w:szCs w:val="20"/>
              </w:rPr>
            </w:pPr>
          </w:p>
        </w:tc>
        <w:tc>
          <w:tcPr>
            <w:tcW w:w="854" w:type="dxa"/>
          </w:tcPr>
          <w:p w14:paraId="3E73A71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500</w:t>
            </w:r>
          </w:p>
        </w:tc>
        <w:tc>
          <w:tcPr>
            <w:tcW w:w="1427" w:type="dxa"/>
          </w:tcPr>
          <w:p w14:paraId="75DDDE5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416" w:type="dxa"/>
          </w:tcPr>
          <w:p w14:paraId="5BA6B5C5"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119" w:type="dxa"/>
          </w:tcPr>
          <w:p w14:paraId="25983995"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572" w:type="dxa"/>
          </w:tcPr>
          <w:p w14:paraId="5BE5DC0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7.33±0.57  </w:t>
            </w:r>
          </w:p>
        </w:tc>
        <w:tc>
          <w:tcPr>
            <w:tcW w:w="1535" w:type="dxa"/>
          </w:tcPr>
          <w:p w14:paraId="1C35C1CC"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34" w:type="dxa"/>
          </w:tcPr>
          <w:p w14:paraId="555861C3"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7.33±0.57</w:t>
            </w:r>
          </w:p>
        </w:tc>
      </w:tr>
      <w:tr w:rsidR="00364DED" w14:paraId="5753494B" w14:textId="77777777">
        <w:tc>
          <w:tcPr>
            <w:tcW w:w="1275" w:type="dxa"/>
            <w:vMerge/>
          </w:tcPr>
          <w:p w14:paraId="57E625D9" w14:textId="77777777" w:rsidR="00364DED" w:rsidRDefault="00364DED">
            <w:pPr>
              <w:pStyle w:val="NoSpacing"/>
              <w:rPr>
                <w:rFonts w:ascii="Times New Roman" w:hAnsi="Times New Roman" w:cs="Times New Roman"/>
                <w:sz w:val="20"/>
                <w:szCs w:val="20"/>
              </w:rPr>
            </w:pPr>
          </w:p>
        </w:tc>
        <w:tc>
          <w:tcPr>
            <w:tcW w:w="854" w:type="dxa"/>
          </w:tcPr>
          <w:p w14:paraId="3346E64D"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1000</w:t>
            </w:r>
          </w:p>
        </w:tc>
        <w:tc>
          <w:tcPr>
            <w:tcW w:w="1427" w:type="dxa"/>
          </w:tcPr>
          <w:p w14:paraId="41FDE41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16" w:type="dxa"/>
          </w:tcPr>
          <w:p w14:paraId="442481E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119" w:type="dxa"/>
          </w:tcPr>
          <w:p w14:paraId="4798473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572" w:type="dxa"/>
          </w:tcPr>
          <w:p w14:paraId="37F01F8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9.33±0.57 </w:t>
            </w:r>
          </w:p>
        </w:tc>
        <w:tc>
          <w:tcPr>
            <w:tcW w:w="1535" w:type="dxa"/>
          </w:tcPr>
          <w:p w14:paraId="11F774FD"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9±0.00</w:t>
            </w:r>
          </w:p>
        </w:tc>
        <w:tc>
          <w:tcPr>
            <w:tcW w:w="1434" w:type="dxa"/>
          </w:tcPr>
          <w:p w14:paraId="5D4FBEB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8.66±1.15</w:t>
            </w:r>
          </w:p>
        </w:tc>
      </w:tr>
      <w:tr w:rsidR="00364DED" w14:paraId="6B7A1138" w14:textId="77777777">
        <w:tc>
          <w:tcPr>
            <w:tcW w:w="1275" w:type="dxa"/>
            <w:vMerge/>
          </w:tcPr>
          <w:p w14:paraId="312F968B" w14:textId="77777777" w:rsidR="00364DED" w:rsidRDefault="00364DED">
            <w:pPr>
              <w:pStyle w:val="NoSpacing"/>
              <w:rPr>
                <w:rFonts w:ascii="Times New Roman" w:hAnsi="Times New Roman" w:cs="Times New Roman"/>
                <w:sz w:val="20"/>
                <w:szCs w:val="20"/>
              </w:rPr>
            </w:pPr>
          </w:p>
        </w:tc>
        <w:tc>
          <w:tcPr>
            <w:tcW w:w="854" w:type="dxa"/>
          </w:tcPr>
          <w:p w14:paraId="09AF133D"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2000</w:t>
            </w:r>
          </w:p>
        </w:tc>
        <w:tc>
          <w:tcPr>
            <w:tcW w:w="1427" w:type="dxa"/>
          </w:tcPr>
          <w:p w14:paraId="1C81BC3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16" w:type="dxa"/>
          </w:tcPr>
          <w:p w14:paraId="381F490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119" w:type="dxa"/>
          </w:tcPr>
          <w:p w14:paraId="2341555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9±0.00</w:t>
            </w:r>
          </w:p>
        </w:tc>
        <w:tc>
          <w:tcPr>
            <w:tcW w:w="1572" w:type="dxa"/>
          </w:tcPr>
          <w:p w14:paraId="1C74464C"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11±1  </w:t>
            </w:r>
          </w:p>
        </w:tc>
        <w:tc>
          <w:tcPr>
            <w:tcW w:w="1535" w:type="dxa"/>
          </w:tcPr>
          <w:p w14:paraId="33B99AF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9±0.00</w:t>
            </w:r>
          </w:p>
        </w:tc>
        <w:tc>
          <w:tcPr>
            <w:tcW w:w="1434" w:type="dxa"/>
          </w:tcPr>
          <w:p w14:paraId="727AC8E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8.66±1.15</w:t>
            </w:r>
          </w:p>
        </w:tc>
      </w:tr>
      <w:tr w:rsidR="00364DED" w14:paraId="49E5454D" w14:textId="77777777">
        <w:tc>
          <w:tcPr>
            <w:tcW w:w="1275" w:type="dxa"/>
            <w:vMerge/>
          </w:tcPr>
          <w:p w14:paraId="44F38050" w14:textId="77777777" w:rsidR="00364DED" w:rsidRDefault="00364DED">
            <w:pPr>
              <w:pStyle w:val="NoSpacing"/>
              <w:rPr>
                <w:rFonts w:ascii="Times New Roman" w:hAnsi="Times New Roman" w:cs="Times New Roman"/>
                <w:sz w:val="20"/>
                <w:szCs w:val="20"/>
              </w:rPr>
            </w:pPr>
          </w:p>
        </w:tc>
        <w:tc>
          <w:tcPr>
            <w:tcW w:w="854" w:type="dxa"/>
          </w:tcPr>
          <w:p w14:paraId="4C8E575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4000</w:t>
            </w:r>
          </w:p>
        </w:tc>
        <w:tc>
          <w:tcPr>
            <w:tcW w:w="1427" w:type="dxa"/>
          </w:tcPr>
          <w:p w14:paraId="0BB9ECD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16" w:type="dxa"/>
          </w:tcPr>
          <w:p w14:paraId="76BECE9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119" w:type="dxa"/>
          </w:tcPr>
          <w:p w14:paraId="11084755"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11±0.00</w:t>
            </w:r>
          </w:p>
        </w:tc>
        <w:tc>
          <w:tcPr>
            <w:tcW w:w="1572" w:type="dxa"/>
          </w:tcPr>
          <w:p w14:paraId="05A53EA8"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11.66±1.15</w:t>
            </w:r>
          </w:p>
        </w:tc>
        <w:tc>
          <w:tcPr>
            <w:tcW w:w="1535" w:type="dxa"/>
          </w:tcPr>
          <w:p w14:paraId="2F615E0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9±0.00</w:t>
            </w:r>
          </w:p>
        </w:tc>
        <w:tc>
          <w:tcPr>
            <w:tcW w:w="1434" w:type="dxa"/>
          </w:tcPr>
          <w:p w14:paraId="45618983"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10±1.00</w:t>
            </w:r>
          </w:p>
        </w:tc>
      </w:tr>
      <w:tr w:rsidR="00364DED" w14:paraId="1810849E" w14:textId="77777777">
        <w:tc>
          <w:tcPr>
            <w:tcW w:w="1275" w:type="dxa"/>
            <w:vMerge w:val="restart"/>
          </w:tcPr>
          <w:p w14:paraId="7BA06539"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Bark acetone extract</w:t>
            </w:r>
          </w:p>
        </w:tc>
        <w:tc>
          <w:tcPr>
            <w:tcW w:w="854" w:type="dxa"/>
          </w:tcPr>
          <w:p w14:paraId="53583C2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125</w:t>
            </w:r>
          </w:p>
        </w:tc>
        <w:tc>
          <w:tcPr>
            <w:tcW w:w="1427" w:type="dxa"/>
          </w:tcPr>
          <w:p w14:paraId="7B07CB13"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0.00</w:t>
            </w:r>
          </w:p>
        </w:tc>
        <w:tc>
          <w:tcPr>
            <w:tcW w:w="1416" w:type="dxa"/>
          </w:tcPr>
          <w:p w14:paraId="7506993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c>
          <w:tcPr>
            <w:tcW w:w="1119" w:type="dxa"/>
          </w:tcPr>
          <w:p w14:paraId="193133B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0.00 </w:t>
            </w:r>
          </w:p>
        </w:tc>
        <w:tc>
          <w:tcPr>
            <w:tcW w:w="1572" w:type="dxa"/>
          </w:tcPr>
          <w:p w14:paraId="0F98DD4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8±0.00 </w:t>
            </w:r>
          </w:p>
        </w:tc>
        <w:tc>
          <w:tcPr>
            <w:tcW w:w="1535" w:type="dxa"/>
          </w:tcPr>
          <w:p w14:paraId="766CB2D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6±0.00 </w:t>
            </w:r>
          </w:p>
        </w:tc>
        <w:tc>
          <w:tcPr>
            <w:tcW w:w="1434" w:type="dxa"/>
          </w:tcPr>
          <w:p w14:paraId="4315029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r>
      <w:tr w:rsidR="00364DED" w14:paraId="7CAAE0AA" w14:textId="77777777">
        <w:tc>
          <w:tcPr>
            <w:tcW w:w="1275" w:type="dxa"/>
            <w:vMerge/>
          </w:tcPr>
          <w:p w14:paraId="4CBC5240" w14:textId="77777777" w:rsidR="00364DED" w:rsidRDefault="00364DED">
            <w:pPr>
              <w:pStyle w:val="NoSpacing"/>
              <w:rPr>
                <w:rFonts w:ascii="Times New Roman" w:hAnsi="Times New Roman" w:cs="Times New Roman"/>
                <w:sz w:val="20"/>
                <w:szCs w:val="20"/>
              </w:rPr>
            </w:pPr>
          </w:p>
        </w:tc>
        <w:tc>
          <w:tcPr>
            <w:tcW w:w="854" w:type="dxa"/>
          </w:tcPr>
          <w:p w14:paraId="6FAC4B9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250</w:t>
            </w:r>
          </w:p>
        </w:tc>
        <w:tc>
          <w:tcPr>
            <w:tcW w:w="1427" w:type="dxa"/>
          </w:tcPr>
          <w:p w14:paraId="3FDC1693"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0.00  </w:t>
            </w:r>
          </w:p>
        </w:tc>
        <w:tc>
          <w:tcPr>
            <w:tcW w:w="1416" w:type="dxa"/>
          </w:tcPr>
          <w:p w14:paraId="795AED0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7±0.00 </w:t>
            </w:r>
          </w:p>
        </w:tc>
        <w:tc>
          <w:tcPr>
            <w:tcW w:w="1119" w:type="dxa"/>
          </w:tcPr>
          <w:p w14:paraId="3044076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6±0.00 </w:t>
            </w:r>
          </w:p>
        </w:tc>
        <w:tc>
          <w:tcPr>
            <w:tcW w:w="1572" w:type="dxa"/>
          </w:tcPr>
          <w:p w14:paraId="3CDCB69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535" w:type="dxa"/>
          </w:tcPr>
          <w:p w14:paraId="7A556CDC"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434" w:type="dxa"/>
          </w:tcPr>
          <w:p w14:paraId="3A3E21F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r>
      <w:tr w:rsidR="00364DED" w14:paraId="33F2B4F4" w14:textId="77777777">
        <w:tc>
          <w:tcPr>
            <w:tcW w:w="1275" w:type="dxa"/>
            <w:vMerge/>
          </w:tcPr>
          <w:p w14:paraId="4279E054" w14:textId="77777777" w:rsidR="00364DED" w:rsidRDefault="00364DED">
            <w:pPr>
              <w:pStyle w:val="NoSpacing"/>
              <w:rPr>
                <w:rFonts w:ascii="Times New Roman" w:hAnsi="Times New Roman" w:cs="Times New Roman"/>
                <w:sz w:val="20"/>
                <w:szCs w:val="20"/>
              </w:rPr>
            </w:pPr>
          </w:p>
        </w:tc>
        <w:tc>
          <w:tcPr>
            <w:tcW w:w="854" w:type="dxa"/>
          </w:tcPr>
          <w:p w14:paraId="589FD90C"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500</w:t>
            </w:r>
          </w:p>
        </w:tc>
        <w:tc>
          <w:tcPr>
            <w:tcW w:w="1427" w:type="dxa"/>
          </w:tcPr>
          <w:p w14:paraId="075675B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c>
          <w:tcPr>
            <w:tcW w:w="1416" w:type="dxa"/>
          </w:tcPr>
          <w:p w14:paraId="1AEF4EA4"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8±0.00 </w:t>
            </w:r>
          </w:p>
        </w:tc>
        <w:tc>
          <w:tcPr>
            <w:tcW w:w="1119" w:type="dxa"/>
          </w:tcPr>
          <w:p w14:paraId="69A8BCE5"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7±0.00 </w:t>
            </w:r>
          </w:p>
        </w:tc>
        <w:tc>
          <w:tcPr>
            <w:tcW w:w="1572" w:type="dxa"/>
          </w:tcPr>
          <w:p w14:paraId="09639CCC"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9±0.00 </w:t>
            </w:r>
          </w:p>
        </w:tc>
        <w:tc>
          <w:tcPr>
            <w:tcW w:w="1535" w:type="dxa"/>
          </w:tcPr>
          <w:p w14:paraId="4D82FE6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7±0.00 </w:t>
            </w:r>
          </w:p>
        </w:tc>
        <w:tc>
          <w:tcPr>
            <w:tcW w:w="1434" w:type="dxa"/>
          </w:tcPr>
          <w:p w14:paraId="3566630D"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r>
      <w:tr w:rsidR="00364DED" w14:paraId="6F2A1B1B" w14:textId="77777777">
        <w:tc>
          <w:tcPr>
            <w:tcW w:w="1275" w:type="dxa"/>
            <w:vMerge/>
          </w:tcPr>
          <w:p w14:paraId="0114B635" w14:textId="77777777" w:rsidR="00364DED" w:rsidRDefault="00364DED">
            <w:pPr>
              <w:pStyle w:val="NoSpacing"/>
              <w:rPr>
                <w:rFonts w:ascii="Times New Roman" w:hAnsi="Times New Roman" w:cs="Times New Roman"/>
                <w:sz w:val="20"/>
                <w:szCs w:val="20"/>
              </w:rPr>
            </w:pPr>
          </w:p>
        </w:tc>
        <w:tc>
          <w:tcPr>
            <w:tcW w:w="854" w:type="dxa"/>
          </w:tcPr>
          <w:p w14:paraId="129EC043"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1000</w:t>
            </w:r>
          </w:p>
        </w:tc>
        <w:tc>
          <w:tcPr>
            <w:tcW w:w="1427" w:type="dxa"/>
          </w:tcPr>
          <w:p w14:paraId="6F4275D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8±0.00  </w:t>
            </w:r>
          </w:p>
        </w:tc>
        <w:tc>
          <w:tcPr>
            <w:tcW w:w="1416" w:type="dxa"/>
          </w:tcPr>
          <w:p w14:paraId="63B0E5C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8±0.00 </w:t>
            </w:r>
          </w:p>
        </w:tc>
        <w:tc>
          <w:tcPr>
            <w:tcW w:w="1119" w:type="dxa"/>
          </w:tcPr>
          <w:p w14:paraId="146D06C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8±0.00 </w:t>
            </w:r>
          </w:p>
        </w:tc>
        <w:tc>
          <w:tcPr>
            <w:tcW w:w="1572" w:type="dxa"/>
          </w:tcPr>
          <w:p w14:paraId="35A8B158"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9±0.00 </w:t>
            </w:r>
          </w:p>
        </w:tc>
        <w:tc>
          <w:tcPr>
            <w:tcW w:w="1535" w:type="dxa"/>
          </w:tcPr>
          <w:p w14:paraId="23A83C49"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34" w:type="dxa"/>
          </w:tcPr>
          <w:p w14:paraId="081D82A8"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r>
      <w:tr w:rsidR="00364DED" w14:paraId="3C5E0948" w14:textId="77777777">
        <w:tc>
          <w:tcPr>
            <w:tcW w:w="1275" w:type="dxa"/>
            <w:vMerge/>
          </w:tcPr>
          <w:p w14:paraId="3D5EBDDD" w14:textId="77777777" w:rsidR="00364DED" w:rsidRDefault="00364DED">
            <w:pPr>
              <w:pStyle w:val="NoSpacing"/>
              <w:rPr>
                <w:rFonts w:ascii="Times New Roman" w:hAnsi="Times New Roman" w:cs="Times New Roman"/>
                <w:sz w:val="20"/>
                <w:szCs w:val="20"/>
              </w:rPr>
            </w:pPr>
          </w:p>
        </w:tc>
        <w:tc>
          <w:tcPr>
            <w:tcW w:w="854" w:type="dxa"/>
          </w:tcPr>
          <w:p w14:paraId="76A6A63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2000</w:t>
            </w:r>
          </w:p>
        </w:tc>
        <w:tc>
          <w:tcPr>
            <w:tcW w:w="1427" w:type="dxa"/>
          </w:tcPr>
          <w:p w14:paraId="7243918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16" w:type="dxa"/>
          </w:tcPr>
          <w:p w14:paraId="2531CFB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119" w:type="dxa"/>
          </w:tcPr>
          <w:p w14:paraId="02FA6ED5"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9±0.00</w:t>
            </w:r>
          </w:p>
        </w:tc>
        <w:tc>
          <w:tcPr>
            <w:tcW w:w="1572" w:type="dxa"/>
          </w:tcPr>
          <w:p w14:paraId="5C7AA29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9±0.00 </w:t>
            </w:r>
          </w:p>
        </w:tc>
        <w:tc>
          <w:tcPr>
            <w:tcW w:w="1535" w:type="dxa"/>
          </w:tcPr>
          <w:p w14:paraId="67BB6F9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34" w:type="dxa"/>
          </w:tcPr>
          <w:p w14:paraId="1CB3E4D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r>
      <w:tr w:rsidR="00364DED" w14:paraId="7EBD4AA9" w14:textId="77777777">
        <w:tc>
          <w:tcPr>
            <w:tcW w:w="1275" w:type="dxa"/>
            <w:vMerge/>
          </w:tcPr>
          <w:p w14:paraId="7E96E372" w14:textId="77777777" w:rsidR="00364DED" w:rsidRDefault="00364DED">
            <w:pPr>
              <w:pStyle w:val="NoSpacing"/>
              <w:rPr>
                <w:rFonts w:ascii="Times New Roman" w:hAnsi="Times New Roman" w:cs="Times New Roman"/>
                <w:sz w:val="20"/>
                <w:szCs w:val="20"/>
              </w:rPr>
            </w:pPr>
          </w:p>
        </w:tc>
        <w:tc>
          <w:tcPr>
            <w:tcW w:w="854" w:type="dxa"/>
          </w:tcPr>
          <w:p w14:paraId="7DA099E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4000</w:t>
            </w:r>
          </w:p>
        </w:tc>
        <w:tc>
          <w:tcPr>
            <w:tcW w:w="1427" w:type="dxa"/>
          </w:tcPr>
          <w:p w14:paraId="153C242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10±0.00 </w:t>
            </w:r>
          </w:p>
        </w:tc>
        <w:tc>
          <w:tcPr>
            <w:tcW w:w="1416" w:type="dxa"/>
          </w:tcPr>
          <w:p w14:paraId="3F44D1A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9±0.00</w:t>
            </w:r>
          </w:p>
        </w:tc>
        <w:tc>
          <w:tcPr>
            <w:tcW w:w="1119" w:type="dxa"/>
          </w:tcPr>
          <w:p w14:paraId="4E2BBE7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9±0.00</w:t>
            </w:r>
          </w:p>
        </w:tc>
        <w:tc>
          <w:tcPr>
            <w:tcW w:w="1572" w:type="dxa"/>
          </w:tcPr>
          <w:p w14:paraId="7F35FFE4"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9±0.00 </w:t>
            </w:r>
          </w:p>
        </w:tc>
        <w:tc>
          <w:tcPr>
            <w:tcW w:w="1535" w:type="dxa"/>
          </w:tcPr>
          <w:p w14:paraId="55A6BDE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34" w:type="dxa"/>
          </w:tcPr>
          <w:p w14:paraId="78D0D66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10±0.00</w:t>
            </w:r>
          </w:p>
        </w:tc>
      </w:tr>
      <w:tr w:rsidR="00364DED" w14:paraId="44451FD0" w14:textId="77777777">
        <w:tc>
          <w:tcPr>
            <w:tcW w:w="1275" w:type="dxa"/>
            <w:vMerge w:val="restart"/>
          </w:tcPr>
          <w:p w14:paraId="3EE62650" w14:textId="77777777" w:rsidR="00364DED" w:rsidRDefault="00A70A1E">
            <w:pPr>
              <w:pStyle w:val="NoSpacing"/>
              <w:rPr>
                <w:rFonts w:ascii="Times New Roman" w:hAnsi="Times New Roman" w:cs="Times New Roman"/>
                <w:sz w:val="20"/>
                <w:szCs w:val="20"/>
                <w:rtl/>
                <w:lang w:bidi="ar-EG"/>
              </w:rPr>
            </w:pPr>
            <w:r>
              <w:rPr>
                <w:rFonts w:ascii="Times New Roman" w:hAnsi="Times New Roman" w:cs="Times New Roman"/>
                <w:sz w:val="20"/>
                <w:szCs w:val="20"/>
              </w:rPr>
              <w:t>Bark methanol extract</w:t>
            </w:r>
          </w:p>
        </w:tc>
        <w:tc>
          <w:tcPr>
            <w:tcW w:w="854" w:type="dxa"/>
          </w:tcPr>
          <w:p w14:paraId="1E589AB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125</w:t>
            </w:r>
          </w:p>
        </w:tc>
        <w:tc>
          <w:tcPr>
            <w:tcW w:w="1427" w:type="dxa"/>
          </w:tcPr>
          <w:p w14:paraId="4834152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416" w:type="dxa"/>
          </w:tcPr>
          <w:p w14:paraId="111D501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c>
          <w:tcPr>
            <w:tcW w:w="1119" w:type="dxa"/>
          </w:tcPr>
          <w:p w14:paraId="2C97508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c>
          <w:tcPr>
            <w:tcW w:w="1572" w:type="dxa"/>
          </w:tcPr>
          <w:p w14:paraId="43F9761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535" w:type="dxa"/>
          </w:tcPr>
          <w:p w14:paraId="5434B795"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434" w:type="dxa"/>
          </w:tcPr>
          <w:p w14:paraId="0573BDCD"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r>
      <w:tr w:rsidR="00364DED" w14:paraId="0F79A844" w14:textId="77777777">
        <w:tc>
          <w:tcPr>
            <w:tcW w:w="1275" w:type="dxa"/>
            <w:vMerge/>
          </w:tcPr>
          <w:p w14:paraId="2AE24D33" w14:textId="77777777" w:rsidR="00364DED" w:rsidRDefault="00364DED">
            <w:pPr>
              <w:pStyle w:val="NoSpacing"/>
              <w:rPr>
                <w:rFonts w:ascii="Times New Roman" w:hAnsi="Times New Roman" w:cs="Times New Roman"/>
                <w:sz w:val="20"/>
                <w:szCs w:val="20"/>
              </w:rPr>
            </w:pPr>
          </w:p>
        </w:tc>
        <w:tc>
          <w:tcPr>
            <w:tcW w:w="854" w:type="dxa"/>
          </w:tcPr>
          <w:p w14:paraId="46B860D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250</w:t>
            </w:r>
          </w:p>
        </w:tc>
        <w:tc>
          <w:tcPr>
            <w:tcW w:w="1427" w:type="dxa"/>
          </w:tcPr>
          <w:p w14:paraId="2A66E9C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16" w:type="dxa"/>
          </w:tcPr>
          <w:p w14:paraId="49222A9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c>
          <w:tcPr>
            <w:tcW w:w="1119" w:type="dxa"/>
          </w:tcPr>
          <w:p w14:paraId="3EC8B36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572" w:type="dxa"/>
          </w:tcPr>
          <w:p w14:paraId="34975A6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535" w:type="dxa"/>
          </w:tcPr>
          <w:p w14:paraId="2D72D43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434" w:type="dxa"/>
          </w:tcPr>
          <w:p w14:paraId="294321E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r>
      <w:tr w:rsidR="00364DED" w14:paraId="47EF1195" w14:textId="77777777">
        <w:tc>
          <w:tcPr>
            <w:tcW w:w="1275" w:type="dxa"/>
            <w:vMerge/>
          </w:tcPr>
          <w:p w14:paraId="4938F565" w14:textId="77777777" w:rsidR="00364DED" w:rsidRDefault="00364DED">
            <w:pPr>
              <w:pStyle w:val="NoSpacing"/>
              <w:rPr>
                <w:rFonts w:ascii="Times New Roman" w:hAnsi="Times New Roman" w:cs="Times New Roman"/>
                <w:sz w:val="20"/>
                <w:szCs w:val="20"/>
              </w:rPr>
            </w:pPr>
          </w:p>
        </w:tc>
        <w:tc>
          <w:tcPr>
            <w:tcW w:w="854" w:type="dxa"/>
          </w:tcPr>
          <w:p w14:paraId="292B027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500</w:t>
            </w:r>
          </w:p>
        </w:tc>
        <w:tc>
          <w:tcPr>
            <w:tcW w:w="1427" w:type="dxa"/>
          </w:tcPr>
          <w:p w14:paraId="720AD38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16" w:type="dxa"/>
          </w:tcPr>
          <w:p w14:paraId="2462517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119" w:type="dxa"/>
          </w:tcPr>
          <w:p w14:paraId="6ADB1CB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572" w:type="dxa"/>
          </w:tcPr>
          <w:p w14:paraId="72E968F3"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535" w:type="dxa"/>
          </w:tcPr>
          <w:p w14:paraId="7F6C35C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434" w:type="dxa"/>
          </w:tcPr>
          <w:p w14:paraId="7557E4BD"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r>
      <w:tr w:rsidR="00364DED" w14:paraId="23BC955F" w14:textId="77777777">
        <w:tc>
          <w:tcPr>
            <w:tcW w:w="1275" w:type="dxa"/>
            <w:vMerge/>
          </w:tcPr>
          <w:p w14:paraId="398262C3" w14:textId="77777777" w:rsidR="00364DED" w:rsidRDefault="00364DED">
            <w:pPr>
              <w:pStyle w:val="NoSpacing"/>
              <w:rPr>
                <w:rFonts w:ascii="Times New Roman" w:hAnsi="Times New Roman" w:cs="Times New Roman"/>
                <w:sz w:val="20"/>
                <w:szCs w:val="20"/>
              </w:rPr>
            </w:pPr>
          </w:p>
        </w:tc>
        <w:tc>
          <w:tcPr>
            <w:tcW w:w="854" w:type="dxa"/>
          </w:tcPr>
          <w:p w14:paraId="5A13A05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1000</w:t>
            </w:r>
          </w:p>
        </w:tc>
        <w:tc>
          <w:tcPr>
            <w:tcW w:w="1427" w:type="dxa"/>
          </w:tcPr>
          <w:p w14:paraId="3DFA1639"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10±0.00</w:t>
            </w:r>
          </w:p>
        </w:tc>
        <w:tc>
          <w:tcPr>
            <w:tcW w:w="1416" w:type="dxa"/>
          </w:tcPr>
          <w:p w14:paraId="3E335788"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119" w:type="dxa"/>
          </w:tcPr>
          <w:p w14:paraId="52B1D98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572" w:type="dxa"/>
          </w:tcPr>
          <w:p w14:paraId="0BF37AD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535" w:type="dxa"/>
          </w:tcPr>
          <w:p w14:paraId="16BD7A88"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34" w:type="dxa"/>
          </w:tcPr>
          <w:p w14:paraId="7E126BC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r>
      <w:tr w:rsidR="00364DED" w14:paraId="3A6E82BB" w14:textId="77777777">
        <w:tc>
          <w:tcPr>
            <w:tcW w:w="1275" w:type="dxa"/>
            <w:vMerge/>
          </w:tcPr>
          <w:p w14:paraId="14BB114A" w14:textId="77777777" w:rsidR="00364DED" w:rsidRDefault="00364DED">
            <w:pPr>
              <w:pStyle w:val="NoSpacing"/>
              <w:rPr>
                <w:rFonts w:ascii="Times New Roman" w:hAnsi="Times New Roman" w:cs="Times New Roman"/>
                <w:sz w:val="20"/>
                <w:szCs w:val="20"/>
              </w:rPr>
            </w:pPr>
          </w:p>
        </w:tc>
        <w:tc>
          <w:tcPr>
            <w:tcW w:w="854" w:type="dxa"/>
          </w:tcPr>
          <w:p w14:paraId="67930B1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2000</w:t>
            </w:r>
          </w:p>
        </w:tc>
        <w:tc>
          <w:tcPr>
            <w:tcW w:w="1427" w:type="dxa"/>
          </w:tcPr>
          <w:p w14:paraId="0F1C541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10±0.00</w:t>
            </w:r>
          </w:p>
        </w:tc>
        <w:tc>
          <w:tcPr>
            <w:tcW w:w="1416" w:type="dxa"/>
          </w:tcPr>
          <w:p w14:paraId="4CD2795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119" w:type="dxa"/>
          </w:tcPr>
          <w:p w14:paraId="418655B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572" w:type="dxa"/>
          </w:tcPr>
          <w:p w14:paraId="599386D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535" w:type="dxa"/>
          </w:tcPr>
          <w:p w14:paraId="0BA94193"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34" w:type="dxa"/>
          </w:tcPr>
          <w:p w14:paraId="774558D9"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r>
      <w:tr w:rsidR="00364DED" w14:paraId="7D7596FA" w14:textId="77777777">
        <w:tc>
          <w:tcPr>
            <w:tcW w:w="1275" w:type="dxa"/>
            <w:vMerge/>
          </w:tcPr>
          <w:p w14:paraId="3C9A0A30" w14:textId="77777777" w:rsidR="00364DED" w:rsidRDefault="00364DED">
            <w:pPr>
              <w:pStyle w:val="NoSpacing"/>
              <w:rPr>
                <w:rFonts w:ascii="Times New Roman" w:hAnsi="Times New Roman" w:cs="Times New Roman"/>
                <w:sz w:val="20"/>
                <w:szCs w:val="20"/>
              </w:rPr>
            </w:pPr>
          </w:p>
        </w:tc>
        <w:tc>
          <w:tcPr>
            <w:tcW w:w="854" w:type="dxa"/>
          </w:tcPr>
          <w:p w14:paraId="7C85AD7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4000</w:t>
            </w:r>
          </w:p>
        </w:tc>
        <w:tc>
          <w:tcPr>
            <w:tcW w:w="1427" w:type="dxa"/>
          </w:tcPr>
          <w:p w14:paraId="2F5DEE14"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10±0.00</w:t>
            </w:r>
          </w:p>
        </w:tc>
        <w:tc>
          <w:tcPr>
            <w:tcW w:w="1416" w:type="dxa"/>
          </w:tcPr>
          <w:p w14:paraId="4183425E" w14:textId="77777777" w:rsidR="00364DED" w:rsidRDefault="00A70A1E">
            <w:pPr>
              <w:pStyle w:val="NoSpacing"/>
              <w:rPr>
                <w:rFonts w:ascii="Times New Roman" w:hAnsi="Times New Roman" w:cs="Times New Roman"/>
                <w:b/>
                <w:bCs/>
                <w:sz w:val="20"/>
                <w:szCs w:val="20"/>
              </w:rPr>
            </w:pPr>
            <w:r>
              <w:rPr>
                <w:rFonts w:ascii="Times New Roman" w:hAnsi="Times New Roman" w:cs="Times New Roman"/>
                <w:sz w:val="20"/>
                <w:szCs w:val="20"/>
              </w:rPr>
              <w:t>8±0.00</w:t>
            </w:r>
          </w:p>
        </w:tc>
        <w:tc>
          <w:tcPr>
            <w:tcW w:w="1119" w:type="dxa"/>
          </w:tcPr>
          <w:p w14:paraId="6395E67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572" w:type="dxa"/>
          </w:tcPr>
          <w:p w14:paraId="08B746A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535" w:type="dxa"/>
          </w:tcPr>
          <w:p w14:paraId="7A1E9CA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34" w:type="dxa"/>
          </w:tcPr>
          <w:p w14:paraId="036CBC04"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r>
      <w:tr w:rsidR="00364DED" w14:paraId="61BE8C86" w14:textId="77777777">
        <w:tc>
          <w:tcPr>
            <w:tcW w:w="1275" w:type="dxa"/>
            <w:tcBorders>
              <w:bottom w:val="nil"/>
            </w:tcBorders>
          </w:tcPr>
          <w:p w14:paraId="232DF77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Negative Control </w:t>
            </w:r>
          </w:p>
        </w:tc>
        <w:tc>
          <w:tcPr>
            <w:tcW w:w="854" w:type="dxa"/>
            <w:tcBorders>
              <w:bottom w:val="nil"/>
            </w:tcBorders>
          </w:tcPr>
          <w:p w14:paraId="357C949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0.00</w:t>
            </w:r>
          </w:p>
        </w:tc>
        <w:tc>
          <w:tcPr>
            <w:tcW w:w="1427" w:type="dxa"/>
            <w:tcBorders>
              <w:bottom w:val="nil"/>
            </w:tcBorders>
          </w:tcPr>
          <w:p w14:paraId="075D02F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0.00</w:t>
            </w:r>
          </w:p>
        </w:tc>
        <w:tc>
          <w:tcPr>
            <w:tcW w:w="1416" w:type="dxa"/>
            <w:tcBorders>
              <w:bottom w:val="nil"/>
            </w:tcBorders>
          </w:tcPr>
          <w:p w14:paraId="16480B69"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0.00</w:t>
            </w:r>
          </w:p>
        </w:tc>
        <w:tc>
          <w:tcPr>
            <w:tcW w:w="1119" w:type="dxa"/>
            <w:tcBorders>
              <w:bottom w:val="nil"/>
            </w:tcBorders>
          </w:tcPr>
          <w:p w14:paraId="64EA85C5"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0.00</w:t>
            </w:r>
          </w:p>
        </w:tc>
        <w:tc>
          <w:tcPr>
            <w:tcW w:w="1572" w:type="dxa"/>
            <w:tcBorders>
              <w:bottom w:val="nil"/>
            </w:tcBorders>
          </w:tcPr>
          <w:p w14:paraId="141AD37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0.00</w:t>
            </w:r>
          </w:p>
        </w:tc>
        <w:tc>
          <w:tcPr>
            <w:tcW w:w="1535" w:type="dxa"/>
            <w:tcBorders>
              <w:bottom w:val="nil"/>
            </w:tcBorders>
          </w:tcPr>
          <w:p w14:paraId="642F9AED"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0.00</w:t>
            </w:r>
          </w:p>
        </w:tc>
        <w:tc>
          <w:tcPr>
            <w:tcW w:w="1434" w:type="dxa"/>
            <w:tcBorders>
              <w:bottom w:val="nil"/>
            </w:tcBorders>
          </w:tcPr>
          <w:p w14:paraId="11576B5D"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0.00</w:t>
            </w:r>
          </w:p>
        </w:tc>
      </w:tr>
      <w:tr w:rsidR="00364DED" w14:paraId="6C400464" w14:textId="77777777">
        <w:tc>
          <w:tcPr>
            <w:tcW w:w="1275" w:type="dxa"/>
            <w:tcBorders>
              <w:top w:val="nil"/>
              <w:bottom w:val="single" w:sz="4" w:space="0" w:color="auto"/>
            </w:tcBorders>
          </w:tcPr>
          <w:p w14:paraId="6621E44B" w14:textId="77777777" w:rsidR="00364DED" w:rsidRDefault="00A70A1E">
            <w:pPr>
              <w:pStyle w:val="NoSpacing"/>
              <w:rPr>
                <w:rFonts w:ascii="Times New Roman" w:hAnsi="Times New Roman" w:cs="Times New Roman"/>
                <w:sz w:val="20"/>
                <w:szCs w:val="20"/>
              </w:rPr>
            </w:pPr>
            <w:r>
              <w:rPr>
                <w:rFonts w:ascii="Times New Roman" w:hAnsi="Times New Roman" w:cs="Times New Roman"/>
                <w:snapToGrid w:val="0"/>
                <w:sz w:val="20"/>
                <w:szCs w:val="20"/>
                <w:lang w:eastAsia="en-GB" w:bidi="en-US"/>
              </w:rPr>
              <w:t>Ciprofloxacin</w:t>
            </w:r>
          </w:p>
        </w:tc>
        <w:tc>
          <w:tcPr>
            <w:tcW w:w="854" w:type="dxa"/>
            <w:tcBorders>
              <w:top w:val="nil"/>
              <w:bottom w:val="single" w:sz="4" w:space="0" w:color="auto"/>
            </w:tcBorders>
          </w:tcPr>
          <w:p w14:paraId="3D3FF580" w14:textId="77777777" w:rsidR="00364DED" w:rsidRDefault="00A70A1E">
            <w:pPr>
              <w:pStyle w:val="NoSpacing"/>
              <w:rPr>
                <w:rFonts w:ascii="Times New Roman" w:hAnsi="Times New Roman" w:cs="Times New Roman"/>
                <w:sz w:val="20"/>
                <w:szCs w:val="20"/>
              </w:rPr>
            </w:pPr>
            <w:r>
              <w:rPr>
                <w:rFonts w:ascii="Times New Roman" w:hAnsi="Times New Roman" w:cs="Times New Roman"/>
                <w:snapToGrid w:val="0"/>
                <w:sz w:val="20"/>
                <w:szCs w:val="20"/>
                <w:lang w:bidi="en-US"/>
              </w:rPr>
              <w:t>25 µg/disc</w:t>
            </w:r>
          </w:p>
        </w:tc>
        <w:tc>
          <w:tcPr>
            <w:tcW w:w="1427" w:type="dxa"/>
            <w:tcBorders>
              <w:top w:val="nil"/>
              <w:bottom w:val="single" w:sz="4" w:space="0" w:color="auto"/>
            </w:tcBorders>
          </w:tcPr>
          <w:p w14:paraId="59BA0AB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6.10±0.17</w:t>
            </w:r>
          </w:p>
        </w:tc>
        <w:tc>
          <w:tcPr>
            <w:tcW w:w="1416" w:type="dxa"/>
            <w:tcBorders>
              <w:top w:val="nil"/>
              <w:bottom w:val="single" w:sz="4" w:space="0" w:color="auto"/>
            </w:tcBorders>
          </w:tcPr>
          <w:p w14:paraId="5138DDF3"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7.00±0.00</w:t>
            </w:r>
          </w:p>
        </w:tc>
        <w:tc>
          <w:tcPr>
            <w:tcW w:w="1119" w:type="dxa"/>
            <w:tcBorders>
              <w:top w:val="nil"/>
              <w:bottom w:val="single" w:sz="4" w:space="0" w:color="auto"/>
            </w:tcBorders>
          </w:tcPr>
          <w:p w14:paraId="0DA78F38"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8.07±0.12</w:t>
            </w:r>
          </w:p>
        </w:tc>
        <w:tc>
          <w:tcPr>
            <w:tcW w:w="1572" w:type="dxa"/>
            <w:tcBorders>
              <w:top w:val="nil"/>
              <w:bottom w:val="single" w:sz="4" w:space="0" w:color="auto"/>
            </w:tcBorders>
          </w:tcPr>
          <w:p w14:paraId="702E05F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16.30±0.26</w:t>
            </w:r>
          </w:p>
        </w:tc>
        <w:tc>
          <w:tcPr>
            <w:tcW w:w="1535" w:type="dxa"/>
            <w:tcBorders>
              <w:top w:val="nil"/>
              <w:bottom w:val="single" w:sz="4" w:space="0" w:color="auto"/>
            </w:tcBorders>
          </w:tcPr>
          <w:p w14:paraId="30A7145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8.17±0.29</w:t>
            </w:r>
          </w:p>
        </w:tc>
        <w:tc>
          <w:tcPr>
            <w:tcW w:w="1434" w:type="dxa"/>
            <w:tcBorders>
              <w:top w:val="nil"/>
              <w:bottom w:val="single" w:sz="4" w:space="0" w:color="auto"/>
            </w:tcBorders>
          </w:tcPr>
          <w:p w14:paraId="14C532F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6.27±0.25</w:t>
            </w:r>
          </w:p>
        </w:tc>
      </w:tr>
      <w:tr w:rsidR="00364DED" w14:paraId="6FB8A3CC" w14:textId="77777777">
        <w:tc>
          <w:tcPr>
            <w:tcW w:w="1275" w:type="dxa"/>
            <w:tcBorders>
              <w:top w:val="single" w:sz="4" w:space="0" w:color="auto"/>
            </w:tcBorders>
          </w:tcPr>
          <w:p w14:paraId="6EF55D0C"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P-value</w:t>
            </w:r>
          </w:p>
        </w:tc>
        <w:tc>
          <w:tcPr>
            <w:tcW w:w="854" w:type="dxa"/>
            <w:tcBorders>
              <w:top w:val="single" w:sz="4" w:space="0" w:color="auto"/>
            </w:tcBorders>
          </w:tcPr>
          <w:p w14:paraId="55FF84C7" w14:textId="77777777" w:rsidR="00364DED" w:rsidRDefault="00364DED">
            <w:pPr>
              <w:pStyle w:val="NoSpacing"/>
              <w:rPr>
                <w:rFonts w:ascii="Times New Roman" w:hAnsi="Times New Roman" w:cs="Times New Roman"/>
                <w:sz w:val="20"/>
                <w:szCs w:val="20"/>
              </w:rPr>
            </w:pPr>
          </w:p>
        </w:tc>
        <w:tc>
          <w:tcPr>
            <w:tcW w:w="1427" w:type="dxa"/>
            <w:tcBorders>
              <w:top w:val="single" w:sz="4" w:space="0" w:color="auto"/>
            </w:tcBorders>
          </w:tcPr>
          <w:p w14:paraId="4695A40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&lt;0.0001</w:t>
            </w:r>
          </w:p>
        </w:tc>
        <w:tc>
          <w:tcPr>
            <w:tcW w:w="1416" w:type="dxa"/>
            <w:tcBorders>
              <w:top w:val="single" w:sz="4" w:space="0" w:color="auto"/>
            </w:tcBorders>
          </w:tcPr>
          <w:p w14:paraId="75C2834C"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&lt;0.0001</w:t>
            </w:r>
          </w:p>
        </w:tc>
        <w:tc>
          <w:tcPr>
            <w:tcW w:w="1119" w:type="dxa"/>
            <w:tcBorders>
              <w:top w:val="single" w:sz="4" w:space="0" w:color="auto"/>
            </w:tcBorders>
          </w:tcPr>
          <w:p w14:paraId="4233E3E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&lt;0.0001</w:t>
            </w:r>
          </w:p>
        </w:tc>
        <w:tc>
          <w:tcPr>
            <w:tcW w:w="1572" w:type="dxa"/>
            <w:tcBorders>
              <w:top w:val="single" w:sz="4" w:space="0" w:color="auto"/>
            </w:tcBorders>
          </w:tcPr>
          <w:p w14:paraId="5BBA36E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&lt;0.0001</w:t>
            </w:r>
          </w:p>
        </w:tc>
        <w:tc>
          <w:tcPr>
            <w:tcW w:w="1535" w:type="dxa"/>
            <w:tcBorders>
              <w:top w:val="single" w:sz="4" w:space="0" w:color="auto"/>
            </w:tcBorders>
          </w:tcPr>
          <w:p w14:paraId="11D85784"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&lt;0.0001</w:t>
            </w:r>
          </w:p>
        </w:tc>
        <w:tc>
          <w:tcPr>
            <w:tcW w:w="1434" w:type="dxa"/>
            <w:tcBorders>
              <w:top w:val="single" w:sz="4" w:space="0" w:color="auto"/>
            </w:tcBorders>
          </w:tcPr>
          <w:p w14:paraId="33A22D8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&lt;0.0001</w:t>
            </w:r>
          </w:p>
        </w:tc>
      </w:tr>
    </w:tbl>
    <w:p w14:paraId="1970C591" w14:textId="77777777" w:rsidR="00364DED" w:rsidRDefault="00A70A1E">
      <w:pPr>
        <w:rPr>
          <w:rFonts w:ascii="Times New Roman" w:hAnsi="Times New Roman" w:cs="Times New Roman"/>
          <w:sz w:val="24"/>
        </w:rPr>
      </w:pPr>
      <w:r>
        <w:rPr>
          <w:rFonts w:ascii="Times New Roman" w:hAnsi="Times New Roman" w:cs="Times New Roman"/>
          <w:sz w:val="24"/>
          <w:lang w:bidi="en-US"/>
        </w:rPr>
        <w:t xml:space="preserve">*SD, standard deviation; </w:t>
      </w:r>
      <w:r>
        <w:rPr>
          <w:rFonts w:ascii="Times New Roman" w:hAnsi="Times New Roman" w:cs="Times New Roman"/>
          <w:sz w:val="24"/>
        </w:rPr>
        <w:t>** Highly significant at 0.01 level of probability</w:t>
      </w:r>
    </w:p>
    <w:p w14:paraId="16581A47" w14:textId="77777777" w:rsidR="00364DED" w:rsidRDefault="00A70A1E">
      <w:pPr>
        <w:spacing w:after="0" w:line="360" w:lineRule="auto"/>
        <w:rPr>
          <w:rFonts w:ascii="Times New Roman" w:eastAsia="Times New Roman" w:hAnsi="Times New Roman" w:cs="Times New Roman"/>
          <w:b/>
          <w:i/>
          <w:iCs/>
          <w:sz w:val="24"/>
          <w:szCs w:val="24"/>
          <w:rtl/>
          <w:lang w:bidi="en-US"/>
        </w:rPr>
      </w:pPr>
      <w:r>
        <w:rPr>
          <w:rFonts w:ascii="Times New Roman" w:eastAsia="Times New Roman" w:hAnsi="Times New Roman" w:cs="Times New Roman"/>
          <w:b/>
          <w:iCs/>
          <w:sz w:val="24"/>
          <w:szCs w:val="24"/>
          <w:lang w:bidi="en-US"/>
        </w:rPr>
        <w:t>Fungal identification</w:t>
      </w:r>
    </w:p>
    <w:p w14:paraId="4CF4DE06" w14:textId="77777777" w:rsidR="00364DED" w:rsidRDefault="00A70A1E">
      <w:pPr>
        <w:spacing w:after="0" w:line="360" w:lineRule="auto"/>
        <w:rPr>
          <w:rFonts w:ascii="Times New Roman" w:eastAsia="Times New Roman" w:hAnsi="Times New Roman" w:cs="Times New Roman"/>
          <w:b/>
          <w:i/>
          <w:sz w:val="24"/>
          <w:szCs w:val="24"/>
          <w:lang w:bidi="en-US"/>
        </w:rPr>
      </w:pPr>
      <w:r>
        <w:rPr>
          <w:rFonts w:ascii="Times New Roman" w:eastAsia="Times New Roman" w:hAnsi="Times New Roman" w:cs="Times New Roman"/>
          <w:b/>
          <w:i/>
          <w:sz w:val="24"/>
          <w:szCs w:val="24"/>
          <w:lang w:bidi="en-US"/>
        </w:rPr>
        <w:t>Isolation and fungal morphology</w:t>
      </w:r>
    </w:p>
    <w:p w14:paraId="68F669EA" w14:textId="77777777" w:rsidR="00364DED" w:rsidRDefault="00A70A1E">
      <w:pPr>
        <w:spacing w:after="0" w:line="360" w:lineRule="auto"/>
        <w:ind w:firstLine="567"/>
        <w:jc w:val="both"/>
        <w:rPr>
          <w:rFonts w:ascii="Times New Roman" w:eastAsia="Times New Roman" w:hAnsi="Times New Roman" w:cs="Times New Roman"/>
          <w:sz w:val="24"/>
          <w:szCs w:val="24"/>
          <w:rtl/>
          <w:lang w:bidi="en-US"/>
        </w:rPr>
      </w:pPr>
      <w:r>
        <w:rPr>
          <w:rFonts w:ascii="Times New Roman" w:eastAsia="Times New Roman" w:hAnsi="Times New Roman" w:cs="Times New Roman"/>
          <w:sz w:val="24"/>
          <w:szCs w:val="24"/>
          <w:lang w:bidi="en-US"/>
        </w:rPr>
        <w:t>Three fungal isolates were recovered from infected tomato plants using the methodology outlined in the ‘Materials’ and ‘Methods’ section. Cultures that possessed typical morphological characteristics of </w:t>
      </w:r>
      <w:proofErr w:type="spellStart"/>
      <w:r>
        <w:rPr>
          <w:rFonts w:ascii="Times New Roman" w:eastAsia="Times New Roman" w:hAnsi="Times New Roman" w:cs="Times New Roman"/>
          <w:i/>
          <w:iCs/>
          <w:sz w:val="24"/>
          <w:szCs w:val="24"/>
          <w:lang w:bidi="en-US"/>
        </w:rPr>
        <w:t>Rhizoctonia</w:t>
      </w:r>
      <w:proofErr w:type="spellEnd"/>
      <w:r>
        <w:rPr>
          <w:rFonts w:ascii="Times New Roman" w:eastAsia="Times New Roman" w:hAnsi="Times New Roman" w:cs="Times New Roman"/>
          <w:i/>
          <w:iCs/>
          <w:sz w:val="24"/>
          <w:szCs w:val="24"/>
          <w:lang w:bidi="en-US"/>
        </w:rPr>
        <w:t xml:space="preserve"> </w:t>
      </w:r>
      <w:proofErr w:type="spellStart"/>
      <w:r>
        <w:rPr>
          <w:rFonts w:ascii="Times New Roman" w:eastAsia="Times New Roman" w:hAnsi="Times New Roman" w:cs="Times New Roman"/>
          <w:i/>
          <w:iCs/>
          <w:sz w:val="24"/>
          <w:szCs w:val="24"/>
          <w:lang w:bidi="en-US"/>
        </w:rPr>
        <w:t>solani</w:t>
      </w:r>
      <w:proofErr w:type="spellEnd"/>
      <w:r>
        <w:rPr>
          <w:rFonts w:ascii="Times New Roman" w:eastAsia="Times New Roman" w:hAnsi="Times New Roman" w:cs="Times New Roman"/>
          <w:sz w:val="24"/>
          <w:szCs w:val="24"/>
          <w:lang w:bidi="en-US"/>
        </w:rPr>
        <w:t>,</w:t>
      </w:r>
      <w:r>
        <w:rPr>
          <w:rFonts w:ascii="Times New Roman" w:eastAsia="Times New Roman" w:hAnsi="Times New Roman" w:cs="Times New Roman"/>
          <w:i/>
          <w:iCs/>
          <w:sz w:val="24"/>
          <w:szCs w:val="24"/>
          <w:lang w:bidi="en-US"/>
        </w:rPr>
        <w:t xml:space="preserve"> Fusarium </w:t>
      </w:r>
      <w:proofErr w:type="spellStart"/>
      <w:r>
        <w:rPr>
          <w:rFonts w:ascii="Times New Roman" w:eastAsia="Times New Roman" w:hAnsi="Times New Roman" w:cs="Times New Roman"/>
          <w:i/>
          <w:iCs/>
          <w:sz w:val="24"/>
          <w:szCs w:val="24"/>
          <w:lang w:bidi="en-US"/>
        </w:rPr>
        <w:t>oxysporum</w:t>
      </w:r>
      <w:proofErr w:type="spellEnd"/>
      <w:r>
        <w:rPr>
          <w:rFonts w:ascii="Times New Roman" w:eastAsia="Times New Roman" w:hAnsi="Times New Roman" w:cs="Times New Roman"/>
          <w:i/>
          <w:iCs/>
          <w:sz w:val="24"/>
          <w:szCs w:val="24"/>
          <w:lang w:bidi="en-US"/>
        </w:rPr>
        <w:t xml:space="preserve"> </w:t>
      </w:r>
      <w:r>
        <w:rPr>
          <w:rFonts w:ascii="Times New Roman" w:eastAsia="Times New Roman" w:hAnsi="Times New Roman" w:cs="Times New Roman"/>
          <w:sz w:val="24"/>
          <w:szCs w:val="24"/>
          <w:lang w:bidi="en-US"/>
        </w:rPr>
        <w:t>and</w:t>
      </w:r>
      <w:r>
        <w:rPr>
          <w:rFonts w:ascii="Times New Roman" w:eastAsia="Times New Roman" w:hAnsi="Times New Roman" w:cs="Times New Roman"/>
          <w:i/>
          <w:iCs/>
          <w:sz w:val="24"/>
          <w:szCs w:val="24"/>
          <w:lang w:bidi="en-US"/>
        </w:rPr>
        <w:t xml:space="preserve"> Penicillium </w:t>
      </w:r>
      <w:proofErr w:type="spellStart"/>
      <w:r>
        <w:rPr>
          <w:rFonts w:ascii="Times New Roman" w:eastAsia="Times New Roman" w:hAnsi="Times New Roman" w:cs="Times New Roman"/>
          <w:i/>
          <w:iCs/>
          <w:sz w:val="24"/>
          <w:szCs w:val="24"/>
          <w:lang w:bidi="en-US"/>
        </w:rPr>
        <w:t>digitatum</w:t>
      </w:r>
      <w:proofErr w:type="spellEnd"/>
      <w:r>
        <w:rPr>
          <w:rFonts w:ascii="Times New Roman" w:eastAsia="Times New Roman" w:hAnsi="Times New Roman" w:cs="Times New Roman"/>
          <w:i/>
          <w:iCs/>
          <w:sz w:val="24"/>
          <w:szCs w:val="24"/>
          <w:lang w:bidi="en-US"/>
        </w:rPr>
        <w:t xml:space="preserve"> </w:t>
      </w:r>
      <w:r>
        <w:rPr>
          <w:rFonts w:ascii="Times New Roman" w:eastAsia="Times New Roman" w:hAnsi="Times New Roman" w:cs="Times New Roman"/>
          <w:sz w:val="24"/>
          <w:szCs w:val="24"/>
          <w:lang w:bidi="en-US"/>
        </w:rPr>
        <w:t xml:space="preserve">were purified. </w:t>
      </w:r>
    </w:p>
    <w:p w14:paraId="504A18C3" w14:textId="77777777" w:rsidR="00364DED" w:rsidRDefault="00A70A1E">
      <w:pPr>
        <w:spacing w:after="0" w:line="360" w:lineRule="auto"/>
        <w:rPr>
          <w:rFonts w:ascii="Times New Roman" w:eastAsia="Times New Roman" w:hAnsi="Times New Roman" w:cs="Times New Roman"/>
          <w:b/>
          <w:bCs/>
          <w:i/>
          <w:iCs/>
          <w:sz w:val="24"/>
          <w:szCs w:val="24"/>
          <w:lang w:bidi="en-US"/>
        </w:rPr>
      </w:pPr>
      <w:r>
        <w:rPr>
          <w:rFonts w:ascii="Times New Roman" w:eastAsia="Times New Roman" w:hAnsi="Times New Roman" w:cs="Times New Roman"/>
          <w:b/>
          <w:bCs/>
          <w:i/>
          <w:iCs/>
          <w:sz w:val="24"/>
          <w:szCs w:val="24"/>
          <w:lang w:bidi="en-US"/>
        </w:rPr>
        <w:t>ITS analysis and phylogenetic tree</w:t>
      </w:r>
    </w:p>
    <w:p w14:paraId="45A4DA1D" w14:textId="77777777" w:rsidR="00364DED" w:rsidRDefault="00A70A1E">
      <w:pPr>
        <w:spacing w:after="0" w:line="360" w:lineRule="auto"/>
        <w:ind w:firstLine="567"/>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The rDNA regions of the ITS were amplified and sequenced for all fungal isolates. The nucleotide sequences blasted in NCBI confirmed that the three isolates were identical to the initial identifications of </w:t>
      </w:r>
      <w:r>
        <w:rPr>
          <w:rFonts w:ascii="Times New Roman" w:eastAsia="Times New Roman" w:hAnsi="Times New Roman" w:cs="Times New Roman"/>
          <w:i/>
          <w:iCs/>
          <w:sz w:val="24"/>
          <w:szCs w:val="24"/>
          <w:lang w:bidi="en-US"/>
        </w:rPr>
        <w:t xml:space="preserve">R. </w:t>
      </w:r>
      <w:proofErr w:type="spellStart"/>
      <w:r>
        <w:rPr>
          <w:rFonts w:ascii="Times New Roman" w:eastAsia="Times New Roman" w:hAnsi="Times New Roman" w:cs="Times New Roman"/>
          <w:i/>
          <w:iCs/>
          <w:sz w:val="24"/>
          <w:szCs w:val="24"/>
          <w:lang w:bidi="en-US"/>
        </w:rPr>
        <w:t>solani</w:t>
      </w:r>
      <w:proofErr w:type="spellEnd"/>
      <w:r>
        <w:rPr>
          <w:rFonts w:ascii="Times New Roman" w:eastAsia="Times New Roman" w:hAnsi="Times New Roman" w:cs="Times New Roman"/>
          <w:i/>
          <w:iCs/>
          <w:sz w:val="24"/>
          <w:szCs w:val="24"/>
          <w:lang w:bidi="en-US"/>
        </w:rPr>
        <w:t xml:space="preserve">, F. </w:t>
      </w:r>
      <w:proofErr w:type="spellStart"/>
      <w:r>
        <w:rPr>
          <w:rFonts w:ascii="Times New Roman" w:eastAsia="Times New Roman" w:hAnsi="Times New Roman" w:cs="Times New Roman"/>
          <w:i/>
          <w:iCs/>
          <w:sz w:val="24"/>
          <w:szCs w:val="24"/>
          <w:lang w:bidi="en-US"/>
        </w:rPr>
        <w:t>oxysporum</w:t>
      </w:r>
      <w:proofErr w:type="spellEnd"/>
      <w:r>
        <w:rPr>
          <w:rFonts w:ascii="Times New Roman" w:eastAsia="Times New Roman" w:hAnsi="Times New Roman" w:cs="Times New Roman"/>
          <w:i/>
          <w:iCs/>
          <w:sz w:val="24"/>
          <w:szCs w:val="24"/>
          <w:lang w:bidi="en-US"/>
        </w:rPr>
        <w:t xml:space="preserve">, </w:t>
      </w:r>
      <w:r>
        <w:rPr>
          <w:rFonts w:ascii="Times New Roman" w:eastAsia="Times New Roman" w:hAnsi="Times New Roman" w:cs="Times New Roman"/>
          <w:sz w:val="24"/>
          <w:szCs w:val="24"/>
          <w:lang w:bidi="en-US"/>
        </w:rPr>
        <w:t>and</w:t>
      </w:r>
      <w:r>
        <w:rPr>
          <w:rFonts w:ascii="Times New Roman" w:eastAsia="Times New Roman" w:hAnsi="Times New Roman" w:cs="Times New Roman"/>
          <w:i/>
          <w:iCs/>
          <w:sz w:val="24"/>
          <w:szCs w:val="24"/>
          <w:lang w:bidi="en-US"/>
        </w:rPr>
        <w:t xml:space="preserve"> P. </w:t>
      </w:r>
      <w:proofErr w:type="spellStart"/>
      <w:r>
        <w:rPr>
          <w:rFonts w:ascii="Times New Roman" w:eastAsia="Times New Roman" w:hAnsi="Times New Roman" w:cs="Times New Roman"/>
          <w:i/>
          <w:iCs/>
          <w:sz w:val="24"/>
          <w:szCs w:val="24"/>
          <w:lang w:bidi="en-US"/>
        </w:rPr>
        <w:t>digitatum</w:t>
      </w:r>
      <w:proofErr w:type="spellEnd"/>
      <w:r>
        <w:rPr>
          <w:rFonts w:ascii="Times New Roman" w:eastAsia="Times New Roman" w:hAnsi="Times New Roman" w:cs="Times New Roman"/>
          <w:sz w:val="24"/>
          <w:szCs w:val="24"/>
          <w:lang w:bidi="en-US"/>
        </w:rPr>
        <w:t>.</w:t>
      </w:r>
      <w:r>
        <w:rPr>
          <w:rFonts w:ascii="Times New Roman" w:eastAsia="Times New Roman" w:hAnsi="Times New Roman" w:cs="Times New Roman"/>
          <w:i/>
          <w:iCs/>
          <w:sz w:val="24"/>
          <w:szCs w:val="24"/>
          <w:lang w:bidi="en-US"/>
        </w:rPr>
        <w:t xml:space="preserve"> </w:t>
      </w:r>
      <w:r>
        <w:rPr>
          <w:rFonts w:ascii="Times New Roman" w:eastAsia="Times New Roman" w:hAnsi="Times New Roman" w:cs="Times New Roman"/>
          <w:sz w:val="24"/>
          <w:szCs w:val="24"/>
          <w:lang w:bidi="en-US"/>
        </w:rPr>
        <w:t xml:space="preserve">The sequences were deposited in GenBank under accession numbers ON808453, ON808454, and ON808455, respectively. The phylogenetic tree provided illustrates the genetic relationships among various isolates of </w:t>
      </w:r>
      <w:proofErr w:type="spellStart"/>
      <w:r>
        <w:rPr>
          <w:rFonts w:ascii="Times New Roman" w:eastAsia="Times New Roman" w:hAnsi="Times New Roman" w:cs="Times New Roman"/>
          <w:i/>
          <w:iCs/>
          <w:sz w:val="24"/>
          <w:szCs w:val="24"/>
          <w:lang w:bidi="en-US"/>
        </w:rPr>
        <w:t>Rhizoctonia</w:t>
      </w:r>
      <w:proofErr w:type="spellEnd"/>
      <w:r>
        <w:rPr>
          <w:rFonts w:ascii="Times New Roman" w:eastAsia="Times New Roman" w:hAnsi="Times New Roman" w:cs="Times New Roman"/>
          <w:i/>
          <w:iCs/>
          <w:sz w:val="24"/>
          <w:szCs w:val="24"/>
          <w:lang w:bidi="en-US"/>
        </w:rPr>
        <w:t xml:space="preserve"> </w:t>
      </w:r>
      <w:proofErr w:type="spellStart"/>
      <w:r>
        <w:rPr>
          <w:rFonts w:ascii="Times New Roman" w:eastAsia="Times New Roman" w:hAnsi="Times New Roman" w:cs="Times New Roman"/>
          <w:i/>
          <w:iCs/>
          <w:sz w:val="24"/>
          <w:szCs w:val="24"/>
          <w:lang w:bidi="en-US"/>
        </w:rPr>
        <w:t>solani</w:t>
      </w:r>
      <w:proofErr w:type="spellEnd"/>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i/>
          <w:iCs/>
          <w:sz w:val="24"/>
          <w:szCs w:val="24"/>
          <w:lang w:bidi="en-US"/>
        </w:rPr>
        <w:t xml:space="preserve">Penicillium </w:t>
      </w:r>
      <w:proofErr w:type="spellStart"/>
      <w:r>
        <w:rPr>
          <w:rFonts w:ascii="Times New Roman" w:eastAsia="Times New Roman" w:hAnsi="Times New Roman" w:cs="Times New Roman"/>
          <w:i/>
          <w:iCs/>
          <w:sz w:val="24"/>
          <w:szCs w:val="24"/>
          <w:lang w:bidi="en-US"/>
        </w:rPr>
        <w:t>digitatum</w:t>
      </w:r>
      <w:proofErr w:type="spellEnd"/>
      <w:r>
        <w:rPr>
          <w:rFonts w:ascii="Times New Roman" w:eastAsia="Times New Roman" w:hAnsi="Times New Roman" w:cs="Times New Roman"/>
          <w:sz w:val="24"/>
          <w:szCs w:val="24"/>
          <w:lang w:bidi="en-US"/>
        </w:rPr>
        <w:t xml:space="preserve">, and </w:t>
      </w:r>
      <w:r>
        <w:rPr>
          <w:rFonts w:ascii="Times New Roman" w:eastAsia="Times New Roman" w:hAnsi="Times New Roman" w:cs="Times New Roman"/>
          <w:i/>
          <w:iCs/>
          <w:sz w:val="24"/>
          <w:szCs w:val="24"/>
          <w:lang w:bidi="en-US"/>
        </w:rPr>
        <w:t xml:space="preserve">Fusarium </w:t>
      </w:r>
      <w:proofErr w:type="spellStart"/>
      <w:r>
        <w:rPr>
          <w:rFonts w:ascii="Times New Roman" w:eastAsia="Times New Roman" w:hAnsi="Times New Roman" w:cs="Times New Roman"/>
          <w:i/>
          <w:iCs/>
          <w:sz w:val="24"/>
          <w:szCs w:val="24"/>
          <w:lang w:bidi="en-US"/>
        </w:rPr>
        <w:t>oxysporum</w:t>
      </w:r>
      <w:proofErr w:type="spellEnd"/>
      <w:r>
        <w:rPr>
          <w:rFonts w:ascii="Times New Roman" w:eastAsia="Times New Roman" w:hAnsi="Times New Roman" w:cs="Times New Roman"/>
          <w:sz w:val="24"/>
          <w:szCs w:val="24"/>
          <w:lang w:bidi="en-US"/>
        </w:rPr>
        <w:t>. The tree reveals distinct clusters corresponding to these three fungal species, with each cluster containing multiple isolates. The numbers on the branches represent bootstrap values, which indicate the confidence level of the branching patterns. Higher values, especially those close to 100%, suggest strong support for the associated clades, while lower values indicate less certainty in the relationships depicted (Fig. 2).</w:t>
      </w:r>
    </w:p>
    <w:p w14:paraId="60506C3D" w14:textId="77777777" w:rsidR="00364DED" w:rsidRDefault="00A70A1E">
      <w:pPr>
        <w:spacing w:after="0" w:line="360" w:lineRule="auto"/>
        <w:ind w:firstLine="567"/>
        <w:jc w:val="both"/>
        <w:rPr>
          <w:rFonts w:ascii="Times New Roman" w:eastAsia="Times New Roman" w:hAnsi="Times New Roman" w:cs="Times New Roman"/>
          <w:sz w:val="24"/>
          <w:szCs w:val="24"/>
          <w:rtl/>
          <w:lang w:bidi="en-US"/>
        </w:rPr>
      </w:pPr>
      <w:r>
        <w:rPr>
          <w:noProof/>
        </w:rPr>
        <w:lastRenderedPageBreak/>
        <w:drawing>
          <wp:inline distT="0" distB="0" distL="0" distR="0" wp14:anchorId="4A986358" wp14:editId="53280F0B">
            <wp:extent cx="2981718" cy="4271749"/>
            <wp:effectExtent l="0" t="0" r="9525" b="0"/>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srcRect l="5197" t="1701" r="18740" b="19999"/>
                    <a:stretch/>
                  </pic:blipFill>
                  <pic:spPr>
                    <a:xfrm>
                      <a:off x="0" y="0"/>
                      <a:ext cx="2981718" cy="4271749"/>
                    </a:xfrm>
                    <a:prstGeom prst="rect">
                      <a:avLst/>
                    </a:prstGeom>
                    <a:ln>
                      <a:noFill/>
                    </a:ln>
                  </pic:spPr>
                </pic:pic>
              </a:graphicData>
            </a:graphic>
          </wp:inline>
        </w:drawing>
      </w:r>
    </w:p>
    <w:p w14:paraId="08555AF9" w14:textId="77777777" w:rsidR="00364DED" w:rsidRDefault="00A70A1E">
      <w:pPr>
        <w:spacing w:line="240" w:lineRule="auto"/>
        <w:jc w:val="lowKashida"/>
        <w:rPr>
          <w:rFonts w:ascii="Times New Roman" w:hAnsi="Times New Roman" w:cs="Times New Roman"/>
          <w:sz w:val="24"/>
        </w:rPr>
      </w:pPr>
      <w:r>
        <w:rPr>
          <w:rFonts w:ascii="Times New Roman" w:hAnsi="Times New Roman" w:cs="Times New Roman"/>
          <w:sz w:val="24"/>
        </w:rPr>
        <w:t xml:space="preserve">Figure 2. Phylogenetic tree constructed using the maximum likelihood method with bootstrapping to illustrate the evolutionary relationships among the identified isolates </w:t>
      </w:r>
      <w:proofErr w:type="spellStart"/>
      <w:r>
        <w:rPr>
          <w:rFonts w:ascii="Times New Roman" w:hAnsi="Times New Roman" w:cs="Times New Roman"/>
          <w:i/>
          <w:iCs/>
          <w:sz w:val="24"/>
        </w:rPr>
        <w:t>Rhizoctonia</w:t>
      </w:r>
      <w:proofErr w:type="spellEnd"/>
      <w:r>
        <w:rPr>
          <w:rFonts w:ascii="Times New Roman" w:hAnsi="Times New Roman" w:cs="Times New Roman"/>
          <w:i/>
          <w:iCs/>
          <w:sz w:val="24"/>
        </w:rPr>
        <w:t xml:space="preserve"> </w:t>
      </w:r>
      <w:proofErr w:type="spellStart"/>
      <w:r>
        <w:rPr>
          <w:rFonts w:ascii="Times New Roman" w:hAnsi="Times New Roman" w:cs="Times New Roman"/>
          <w:i/>
          <w:iCs/>
          <w:sz w:val="24"/>
        </w:rPr>
        <w:t>solani</w:t>
      </w:r>
      <w:proofErr w:type="spellEnd"/>
      <w:r>
        <w:rPr>
          <w:rFonts w:ascii="Times New Roman" w:hAnsi="Times New Roman" w:cs="Times New Roman"/>
          <w:sz w:val="24"/>
        </w:rPr>
        <w:t xml:space="preserve"> (accession number ON808453), </w:t>
      </w:r>
      <w:r>
        <w:rPr>
          <w:rFonts w:ascii="Times New Roman" w:hAnsi="Times New Roman" w:cs="Times New Roman"/>
          <w:i/>
          <w:iCs/>
          <w:sz w:val="24"/>
        </w:rPr>
        <w:t xml:space="preserve">Fusarium </w:t>
      </w:r>
      <w:proofErr w:type="spellStart"/>
      <w:r>
        <w:rPr>
          <w:rFonts w:ascii="Times New Roman" w:hAnsi="Times New Roman" w:cs="Times New Roman"/>
          <w:i/>
          <w:iCs/>
          <w:sz w:val="24"/>
        </w:rPr>
        <w:t>oxysporum</w:t>
      </w:r>
      <w:proofErr w:type="spellEnd"/>
      <w:r>
        <w:rPr>
          <w:rFonts w:ascii="Times New Roman" w:hAnsi="Times New Roman" w:cs="Times New Roman"/>
          <w:sz w:val="24"/>
        </w:rPr>
        <w:t xml:space="preserve"> (accession number ON808454), and </w:t>
      </w:r>
      <w:r>
        <w:rPr>
          <w:rFonts w:ascii="Times New Roman" w:hAnsi="Times New Roman" w:cs="Times New Roman"/>
          <w:i/>
          <w:iCs/>
          <w:sz w:val="24"/>
        </w:rPr>
        <w:t xml:space="preserve">Penicillium </w:t>
      </w:r>
      <w:proofErr w:type="spellStart"/>
      <w:r>
        <w:rPr>
          <w:rFonts w:ascii="Times New Roman" w:hAnsi="Times New Roman" w:cs="Times New Roman"/>
          <w:i/>
          <w:iCs/>
          <w:sz w:val="24"/>
        </w:rPr>
        <w:t>digitatum</w:t>
      </w:r>
      <w:proofErr w:type="spellEnd"/>
      <w:r>
        <w:rPr>
          <w:rFonts w:ascii="Times New Roman" w:hAnsi="Times New Roman" w:cs="Times New Roman"/>
          <w:sz w:val="24"/>
        </w:rPr>
        <w:t xml:space="preserve"> (accession number ON808455), along with retrieved isolates from GenBank.</w:t>
      </w:r>
    </w:p>
    <w:p w14:paraId="4D8FAAC5" w14:textId="77777777" w:rsidR="00364DED" w:rsidRDefault="00A70A1E">
      <w:pPr>
        <w:spacing w:after="0" w:line="360" w:lineRule="auto"/>
        <w:ind w:firstLine="567"/>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The </w:t>
      </w:r>
      <w:proofErr w:type="spellStart"/>
      <w:r>
        <w:rPr>
          <w:rFonts w:ascii="Times New Roman" w:eastAsia="Times New Roman" w:hAnsi="Times New Roman" w:cs="Times New Roman"/>
          <w:i/>
          <w:iCs/>
          <w:sz w:val="24"/>
          <w:szCs w:val="24"/>
          <w:lang w:bidi="en-US"/>
        </w:rPr>
        <w:t>Rhizoctonia</w:t>
      </w:r>
      <w:proofErr w:type="spellEnd"/>
      <w:r>
        <w:rPr>
          <w:rFonts w:ascii="Times New Roman" w:eastAsia="Times New Roman" w:hAnsi="Times New Roman" w:cs="Times New Roman"/>
          <w:i/>
          <w:iCs/>
          <w:sz w:val="24"/>
          <w:szCs w:val="24"/>
          <w:lang w:bidi="en-US"/>
        </w:rPr>
        <w:t xml:space="preserve"> </w:t>
      </w:r>
      <w:proofErr w:type="spellStart"/>
      <w:r>
        <w:rPr>
          <w:rFonts w:ascii="Times New Roman" w:eastAsia="Times New Roman" w:hAnsi="Times New Roman" w:cs="Times New Roman"/>
          <w:i/>
          <w:iCs/>
          <w:sz w:val="24"/>
          <w:szCs w:val="24"/>
          <w:lang w:bidi="en-US"/>
        </w:rPr>
        <w:t>solani</w:t>
      </w:r>
      <w:proofErr w:type="spellEnd"/>
      <w:r>
        <w:rPr>
          <w:rFonts w:ascii="Times New Roman" w:eastAsia="Times New Roman" w:hAnsi="Times New Roman" w:cs="Times New Roman"/>
          <w:sz w:val="24"/>
          <w:szCs w:val="24"/>
          <w:lang w:bidi="en-US"/>
        </w:rPr>
        <w:t xml:space="preserve"> cluster demonstrates a close genetic relationship among its isolates. Your isolate, identified as ON808453, is closely grouped with other isolates such as PP599188, HG934419, and KJ866422. The high bootstrap values supporting this cluster reinforce the strong genetic similarity among these strains. This clustering suggests that the genetic makeup of your </w:t>
      </w:r>
      <w:r>
        <w:rPr>
          <w:rFonts w:ascii="Times New Roman" w:eastAsia="Times New Roman" w:hAnsi="Times New Roman" w:cs="Times New Roman"/>
          <w:i/>
          <w:iCs/>
          <w:sz w:val="24"/>
          <w:szCs w:val="24"/>
          <w:lang w:bidi="en-US"/>
        </w:rPr>
        <w:t xml:space="preserve">R. </w:t>
      </w:r>
      <w:proofErr w:type="spellStart"/>
      <w:r>
        <w:rPr>
          <w:rFonts w:ascii="Times New Roman" w:eastAsia="Times New Roman" w:hAnsi="Times New Roman" w:cs="Times New Roman"/>
          <w:i/>
          <w:iCs/>
          <w:sz w:val="24"/>
          <w:szCs w:val="24"/>
          <w:lang w:bidi="en-US"/>
        </w:rPr>
        <w:t>solani</w:t>
      </w:r>
      <w:proofErr w:type="spellEnd"/>
      <w:r>
        <w:rPr>
          <w:rFonts w:ascii="Times New Roman" w:eastAsia="Times New Roman" w:hAnsi="Times New Roman" w:cs="Times New Roman"/>
          <w:sz w:val="24"/>
          <w:szCs w:val="24"/>
          <w:lang w:bidi="en-US"/>
        </w:rPr>
        <w:t xml:space="preserve"> isolate shares a significant portion of its sequence with these other isolates, indicating a closely related lineage (Fig. 2).</w:t>
      </w:r>
    </w:p>
    <w:p w14:paraId="1B9716C5" w14:textId="77777777" w:rsidR="00364DED" w:rsidRDefault="00A70A1E">
      <w:pPr>
        <w:spacing w:after="0" w:line="360" w:lineRule="auto"/>
        <w:ind w:firstLine="567"/>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Similarly, the </w:t>
      </w:r>
      <w:r>
        <w:rPr>
          <w:rFonts w:ascii="Times New Roman" w:eastAsia="Times New Roman" w:hAnsi="Times New Roman" w:cs="Times New Roman"/>
          <w:i/>
          <w:iCs/>
          <w:sz w:val="24"/>
          <w:szCs w:val="24"/>
          <w:lang w:bidi="en-US"/>
        </w:rPr>
        <w:t xml:space="preserve">Penicillium </w:t>
      </w:r>
      <w:proofErr w:type="spellStart"/>
      <w:r>
        <w:rPr>
          <w:rFonts w:ascii="Times New Roman" w:eastAsia="Times New Roman" w:hAnsi="Times New Roman" w:cs="Times New Roman"/>
          <w:i/>
          <w:iCs/>
          <w:sz w:val="24"/>
          <w:szCs w:val="24"/>
          <w:lang w:bidi="en-US"/>
        </w:rPr>
        <w:t>digitatum</w:t>
      </w:r>
      <w:proofErr w:type="spellEnd"/>
      <w:r>
        <w:rPr>
          <w:rFonts w:ascii="Times New Roman" w:eastAsia="Times New Roman" w:hAnsi="Times New Roman" w:cs="Times New Roman"/>
          <w:sz w:val="24"/>
          <w:szCs w:val="24"/>
          <w:lang w:bidi="en-US"/>
        </w:rPr>
        <w:t xml:space="preserve"> isolates form a distinct cluster in the tree. In the ON808455 isolate you provided groups with strains like MK878440, MK450692, and MN880263, highlighting their genetic similarity. However, some internal branches within this group exhibit lower bootstrap values, indicating a degree of variability within the </w:t>
      </w:r>
      <w:r>
        <w:rPr>
          <w:rFonts w:ascii="Times New Roman" w:eastAsia="Times New Roman" w:hAnsi="Times New Roman" w:cs="Times New Roman"/>
          <w:i/>
          <w:iCs/>
          <w:sz w:val="24"/>
          <w:szCs w:val="24"/>
          <w:lang w:bidi="en-US"/>
        </w:rPr>
        <w:t xml:space="preserve">P. </w:t>
      </w:r>
      <w:proofErr w:type="spellStart"/>
      <w:r>
        <w:rPr>
          <w:rFonts w:ascii="Times New Roman" w:eastAsia="Times New Roman" w:hAnsi="Times New Roman" w:cs="Times New Roman"/>
          <w:i/>
          <w:iCs/>
          <w:sz w:val="24"/>
          <w:szCs w:val="24"/>
          <w:lang w:bidi="en-US"/>
        </w:rPr>
        <w:t>digitatum</w:t>
      </w:r>
      <w:proofErr w:type="spellEnd"/>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bidi="en-US"/>
        </w:rPr>
        <w:lastRenderedPageBreak/>
        <w:t>isolates. Despite this, the overall clustering remains well-supported, suggesting that these strains, while genetically diverse, still belong to the same species and share a common ancestry (Fig. 2).</w:t>
      </w:r>
    </w:p>
    <w:p w14:paraId="0E5136D2" w14:textId="77777777" w:rsidR="00364DED" w:rsidRDefault="00A70A1E">
      <w:pPr>
        <w:spacing w:after="0" w:line="360" w:lineRule="auto"/>
        <w:ind w:firstLine="567"/>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The </w:t>
      </w:r>
      <w:r>
        <w:rPr>
          <w:rFonts w:ascii="Times New Roman" w:eastAsia="Times New Roman" w:hAnsi="Times New Roman" w:cs="Times New Roman"/>
          <w:i/>
          <w:iCs/>
          <w:sz w:val="24"/>
          <w:szCs w:val="24"/>
          <w:lang w:bidi="en-US"/>
        </w:rPr>
        <w:t xml:space="preserve">Fusarium </w:t>
      </w:r>
      <w:proofErr w:type="spellStart"/>
      <w:r>
        <w:rPr>
          <w:rFonts w:ascii="Times New Roman" w:eastAsia="Times New Roman" w:hAnsi="Times New Roman" w:cs="Times New Roman"/>
          <w:i/>
          <w:iCs/>
          <w:sz w:val="24"/>
          <w:szCs w:val="24"/>
          <w:lang w:bidi="en-US"/>
        </w:rPr>
        <w:t>oxysporum</w:t>
      </w:r>
      <w:proofErr w:type="spellEnd"/>
      <w:r>
        <w:rPr>
          <w:rFonts w:ascii="Times New Roman" w:eastAsia="Times New Roman" w:hAnsi="Times New Roman" w:cs="Times New Roman"/>
          <w:sz w:val="24"/>
          <w:szCs w:val="24"/>
          <w:lang w:bidi="en-US"/>
        </w:rPr>
        <w:t xml:space="preserve"> isolates form their own separate cluster, distinct from the other two species. Your isolate, ON808454, clusters with other strains such as MT529524, MN216217, and MT560380, indicating a strong genetic relationship within this group. The high bootstrap values observed in this cluster suggest a reliable and well-supported grouping, reinforcing the close genetic connections among these </w:t>
      </w:r>
      <w:r>
        <w:rPr>
          <w:rFonts w:ascii="Times New Roman" w:eastAsia="Times New Roman" w:hAnsi="Times New Roman" w:cs="Times New Roman"/>
          <w:i/>
          <w:iCs/>
          <w:sz w:val="24"/>
          <w:szCs w:val="24"/>
          <w:lang w:bidi="en-US"/>
        </w:rPr>
        <w:t xml:space="preserve">F. </w:t>
      </w:r>
      <w:proofErr w:type="spellStart"/>
      <w:r>
        <w:rPr>
          <w:rFonts w:ascii="Times New Roman" w:eastAsia="Times New Roman" w:hAnsi="Times New Roman" w:cs="Times New Roman"/>
          <w:i/>
          <w:iCs/>
          <w:sz w:val="24"/>
          <w:szCs w:val="24"/>
          <w:lang w:bidi="en-US"/>
        </w:rPr>
        <w:t>oxysporum</w:t>
      </w:r>
      <w:proofErr w:type="spellEnd"/>
      <w:r>
        <w:rPr>
          <w:rFonts w:ascii="Times New Roman" w:eastAsia="Times New Roman" w:hAnsi="Times New Roman" w:cs="Times New Roman"/>
          <w:sz w:val="24"/>
          <w:szCs w:val="24"/>
          <w:lang w:bidi="en-US"/>
        </w:rPr>
        <w:t xml:space="preserve"> isolates (Figure 2).</w:t>
      </w:r>
    </w:p>
    <w:p w14:paraId="5CB0D30E" w14:textId="77777777" w:rsidR="00364DED" w:rsidRDefault="00A70A1E">
      <w:pPr>
        <w:spacing w:after="0" w:line="360" w:lineRule="auto"/>
        <w:ind w:firstLine="567"/>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In summary, the phylogenetic tree effectively demonstrates species-specific clustering, with each species forming a distinct and well-supported group. The isolates you sequenced are correctly identified as </w:t>
      </w:r>
      <w:proofErr w:type="spellStart"/>
      <w:r>
        <w:rPr>
          <w:rFonts w:ascii="Times New Roman" w:eastAsia="Times New Roman" w:hAnsi="Times New Roman" w:cs="Times New Roman"/>
          <w:i/>
          <w:iCs/>
          <w:sz w:val="24"/>
          <w:szCs w:val="24"/>
          <w:lang w:bidi="en-US"/>
        </w:rPr>
        <w:t>Rhizoctonia</w:t>
      </w:r>
      <w:proofErr w:type="spellEnd"/>
      <w:r>
        <w:rPr>
          <w:rFonts w:ascii="Times New Roman" w:eastAsia="Times New Roman" w:hAnsi="Times New Roman" w:cs="Times New Roman"/>
          <w:i/>
          <w:iCs/>
          <w:sz w:val="24"/>
          <w:szCs w:val="24"/>
          <w:lang w:bidi="en-US"/>
        </w:rPr>
        <w:t xml:space="preserve"> </w:t>
      </w:r>
      <w:proofErr w:type="spellStart"/>
      <w:r>
        <w:rPr>
          <w:rFonts w:ascii="Times New Roman" w:eastAsia="Times New Roman" w:hAnsi="Times New Roman" w:cs="Times New Roman"/>
          <w:i/>
          <w:iCs/>
          <w:sz w:val="24"/>
          <w:szCs w:val="24"/>
          <w:lang w:bidi="en-US"/>
        </w:rPr>
        <w:t>solani</w:t>
      </w:r>
      <w:proofErr w:type="spellEnd"/>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i/>
          <w:iCs/>
          <w:sz w:val="24"/>
          <w:szCs w:val="24"/>
          <w:lang w:bidi="en-US"/>
        </w:rPr>
        <w:t xml:space="preserve">Penicillium </w:t>
      </w:r>
      <w:proofErr w:type="spellStart"/>
      <w:r>
        <w:rPr>
          <w:rFonts w:ascii="Times New Roman" w:eastAsia="Times New Roman" w:hAnsi="Times New Roman" w:cs="Times New Roman"/>
          <w:i/>
          <w:iCs/>
          <w:sz w:val="24"/>
          <w:szCs w:val="24"/>
          <w:lang w:bidi="en-US"/>
        </w:rPr>
        <w:t>digitatum</w:t>
      </w:r>
      <w:proofErr w:type="spellEnd"/>
      <w:r>
        <w:rPr>
          <w:rFonts w:ascii="Times New Roman" w:eastAsia="Times New Roman" w:hAnsi="Times New Roman" w:cs="Times New Roman"/>
          <w:sz w:val="24"/>
          <w:szCs w:val="24"/>
          <w:lang w:bidi="en-US"/>
        </w:rPr>
        <w:t xml:space="preserve">, and </w:t>
      </w:r>
      <w:r>
        <w:rPr>
          <w:rFonts w:ascii="Times New Roman" w:eastAsia="Times New Roman" w:hAnsi="Times New Roman" w:cs="Times New Roman"/>
          <w:i/>
          <w:iCs/>
          <w:sz w:val="24"/>
          <w:szCs w:val="24"/>
          <w:lang w:bidi="en-US"/>
        </w:rPr>
        <w:t xml:space="preserve">Fusarium </w:t>
      </w:r>
      <w:proofErr w:type="spellStart"/>
      <w:r>
        <w:rPr>
          <w:rFonts w:ascii="Times New Roman" w:eastAsia="Times New Roman" w:hAnsi="Times New Roman" w:cs="Times New Roman"/>
          <w:i/>
          <w:iCs/>
          <w:sz w:val="24"/>
          <w:szCs w:val="24"/>
          <w:lang w:bidi="en-US"/>
        </w:rPr>
        <w:t>oxysporum</w:t>
      </w:r>
      <w:proofErr w:type="spellEnd"/>
      <w:r>
        <w:rPr>
          <w:rFonts w:ascii="Times New Roman" w:eastAsia="Times New Roman" w:hAnsi="Times New Roman" w:cs="Times New Roman"/>
          <w:sz w:val="24"/>
          <w:szCs w:val="24"/>
          <w:lang w:bidi="en-US"/>
        </w:rPr>
        <w:t xml:space="preserve">, and the tree highlights the genetic relationships among these isolates. The observed genetic diversity within each species, particularly in the </w:t>
      </w:r>
      <w:r>
        <w:rPr>
          <w:rFonts w:ascii="Times New Roman" w:eastAsia="Times New Roman" w:hAnsi="Times New Roman" w:cs="Times New Roman"/>
          <w:i/>
          <w:iCs/>
          <w:sz w:val="24"/>
          <w:szCs w:val="24"/>
          <w:lang w:bidi="en-US"/>
        </w:rPr>
        <w:t xml:space="preserve">P. </w:t>
      </w:r>
      <w:proofErr w:type="spellStart"/>
      <w:r>
        <w:rPr>
          <w:rFonts w:ascii="Times New Roman" w:eastAsia="Times New Roman" w:hAnsi="Times New Roman" w:cs="Times New Roman"/>
          <w:i/>
          <w:iCs/>
          <w:sz w:val="24"/>
          <w:szCs w:val="24"/>
          <w:lang w:bidi="en-US"/>
        </w:rPr>
        <w:t>digitatum</w:t>
      </w:r>
      <w:proofErr w:type="spellEnd"/>
      <w:r>
        <w:rPr>
          <w:rFonts w:ascii="Times New Roman" w:eastAsia="Times New Roman" w:hAnsi="Times New Roman" w:cs="Times New Roman"/>
          <w:sz w:val="24"/>
          <w:szCs w:val="24"/>
          <w:lang w:bidi="en-US"/>
        </w:rPr>
        <w:t xml:space="preserve"> group, suggests variability that may be relevant for understanding their pathogenic potential. </w:t>
      </w:r>
    </w:p>
    <w:p w14:paraId="069DA5D8" w14:textId="77777777" w:rsidR="00364DED" w:rsidRDefault="00A70A1E">
      <w:pPr>
        <w:spacing w:line="360" w:lineRule="auto"/>
        <w:rPr>
          <w:rFonts w:ascii="Times New Roman" w:hAnsi="Times New Roman" w:cs="Times New Roman"/>
          <w:b/>
          <w:bCs/>
          <w:sz w:val="24"/>
        </w:rPr>
      </w:pPr>
      <w:r>
        <w:rPr>
          <w:rFonts w:ascii="Times New Roman" w:hAnsi="Times New Roman" w:cs="Times New Roman"/>
          <w:b/>
          <w:bCs/>
          <w:sz w:val="24"/>
        </w:rPr>
        <w:t xml:space="preserve">Antifungal activity of extracts </w:t>
      </w:r>
    </w:p>
    <w:p w14:paraId="68EFF634" w14:textId="77777777" w:rsidR="00364DED" w:rsidRDefault="00A70A1E">
      <w:pPr>
        <w:spacing w:line="360" w:lineRule="auto"/>
        <w:ind w:firstLine="567"/>
        <w:jc w:val="both"/>
        <w:rPr>
          <w:rFonts w:ascii="Times New Roman" w:hAnsi="Times New Roman" w:cs="Times New Roman"/>
          <w:sz w:val="24"/>
        </w:rPr>
      </w:pPr>
      <w:r>
        <w:rPr>
          <w:rFonts w:ascii="Times New Roman" w:hAnsi="Times New Roman" w:cs="Times New Roman"/>
          <w:sz w:val="24"/>
          <w:lang w:bidi="ar-EG"/>
        </w:rPr>
        <w:t xml:space="preserve">Table 2 presents the antifungal activity of extracts from </w:t>
      </w:r>
      <w:r>
        <w:rPr>
          <w:rFonts w:ascii="Times New Roman" w:hAnsi="Times New Roman" w:cs="Times New Roman"/>
          <w:i/>
          <w:iCs/>
          <w:sz w:val="24"/>
          <w:lang w:bidi="ar-EG"/>
        </w:rPr>
        <w:t>B. spectabilis</w:t>
      </w:r>
      <w:r>
        <w:rPr>
          <w:rFonts w:ascii="Times New Roman" w:hAnsi="Times New Roman" w:cs="Times New Roman"/>
          <w:sz w:val="24"/>
          <w:lang w:bidi="ar-EG"/>
        </w:rPr>
        <w:t xml:space="preserve"> against </w:t>
      </w:r>
      <w:r>
        <w:rPr>
          <w:rFonts w:ascii="Times New Roman" w:hAnsi="Times New Roman" w:cs="Times New Roman"/>
          <w:i/>
          <w:iCs/>
          <w:sz w:val="24"/>
          <w:lang w:bidi="ar-EG"/>
        </w:rPr>
        <w:t xml:space="preserve">R.  </w:t>
      </w:r>
      <w:proofErr w:type="spellStart"/>
      <w:r>
        <w:rPr>
          <w:rFonts w:ascii="Times New Roman" w:hAnsi="Times New Roman" w:cs="Times New Roman"/>
          <w:i/>
          <w:iCs/>
          <w:sz w:val="24"/>
          <w:lang w:bidi="ar-EG"/>
        </w:rPr>
        <w:t>solani</w:t>
      </w:r>
      <w:proofErr w:type="spellEnd"/>
      <w:r>
        <w:rPr>
          <w:rFonts w:ascii="Times New Roman" w:hAnsi="Times New Roman" w:cs="Times New Roman"/>
          <w:sz w:val="24"/>
          <w:lang w:bidi="ar-EG"/>
        </w:rPr>
        <w:t xml:space="preserve">, </w:t>
      </w:r>
      <w:r>
        <w:rPr>
          <w:rFonts w:ascii="Times New Roman" w:hAnsi="Times New Roman" w:cs="Times New Roman"/>
          <w:i/>
          <w:iCs/>
          <w:sz w:val="24"/>
          <w:lang w:bidi="ar-EG"/>
        </w:rPr>
        <w:t xml:space="preserve">F. </w:t>
      </w:r>
      <w:proofErr w:type="spellStart"/>
      <w:r>
        <w:rPr>
          <w:rFonts w:ascii="Times New Roman" w:hAnsi="Times New Roman" w:cs="Times New Roman"/>
          <w:i/>
          <w:iCs/>
          <w:sz w:val="24"/>
          <w:lang w:bidi="ar-EG"/>
        </w:rPr>
        <w:t>oxysporum</w:t>
      </w:r>
      <w:proofErr w:type="spellEnd"/>
      <w:r>
        <w:rPr>
          <w:rFonts w:ascii="Times New Roman" w:hAnsi="Times New Roman" w:cs="Times New Roman"/>
          <w:i/>
          <w:iCs/>
          <w:sz w:val="24"/>
          <w:lang w:bidi="ar-EG"/>
        </w:rPr>
        <w:t>,</w:t>
      </w:r>
      <w:r>
        <w:rPr>
          <w:rFonts w:ascii="Times New Roman" w:hAnsi="Times New Roman" w:cs="Times New Roman"/>
          <w:sz w:val="24"/>
          <w:lang w:bidi="ar-EG"/>
        </w:rPr>
        <w:t xml:space="preserve"> and </w:t>
      </w:r>
      <w:r>
        <w:rPr>
          <w:rFonts w:ascii="Times New Roman" w:hAnsi="Times New Roman" w:cs="Times New Roman"/>
          <w:i/>
          <w:iCs/>
          <w:sz w:val="24"/>
          <w:lang w:bidi="ar-EG"/>
        </w:rPr>
        <w:t xml:space="preserve">P. </w:t>
      </w:r>
      <w:proofErr w:type="spellStart"/>
      <w:r>
        <w:rPr>
          <w:rFonts w:ascii="Times New Roman" w:hAnsi="Times New Roman" w:cs="Times New Roman"/>
          <w:i/>
          <w:iCs/>
          <w:sz w:val="24"/>
          <w:lang w:bidi="ar-EG"/>
        </w:rPr>
        <w:t>digitatum</w:t>
      </w:r>
      <w:proofErr w:type="spellEnd"/>
      <w:r>
        <w:rPr>
          <w:rFonts w:ascii="Times New Roman" w:hAnsi="Times New Roman" w:cs="Times New Roman"/>
          <w:sz w:val="24"/>
          <w:lang w:bidi="ar-EG"/>
        </w:rPr>
        <w:t>. At the level of concentration 2000</w:t>
      </w:r>
      <w:r>
        <w:rPr>
          <w:rFonts w:ascii="Times New Roman" w:hAnsi="Times New Roman" w:cs="Times New Roman"/>
          <w:sz w:val="24"/>
        </w:rPr>
        <w:t xml:space="preserve"> µg/mL</w:t>
      </w:r>
      <w:r>
        <w:rPr>
          <w:rFonts w:ascii="Times New Roman" w:hAnsi="Times New Roman" w:cs="Times New Roman"/>
          <w:sz w:val="24"/>
          <w:lang w:bidi="ar-EG"/>
        </w:rPr>
        <w:t xml:space="preserve">, bark </w:t>
      </w:r>
      <w:proofErr w:type="spellStart"/>
      <w:r>
        <w:rPr>
          <w:rFonts w:ascii="Times New Roman" w:hAnsi="Times New Roman" w:cs="Times New Roman"/>
          <w:sz w:val="24"/>
          <w:lang w:bidi="ar-EG"/>
        </w:rPr>
        <w:t>AcE</w:t>
      </w:r>
      <w:proofErr w:type="spellEnd"/>
      <w:r>
        <w:rPr>
          <w:rFonts w:ascii="Times New Roman" w:hAnsi="Times New Roman" w:cs="Times New Roman"/>
          <w:sz w:val="24"/>
          <w:lang w:bidi="ar-EG"/>
        </w:rPr>
        <w:t>, and wood EO</w:t>
      </w:r>
      <w:r>
        <w:rPr>
          <w:rFonts w:ascii="Times New Roman" w:hAnsi="Times New Roman" w:cs="Times New Roman"/>
          <w:i/>
          <w:iCs/>
          <w:sz w:val="24"/>
          <w:lang w:bidi="ar-EG"/>
        </w:rPr>
        <w:t xml:space="preserve"> </w:t>
      </w:r>
      <w:r>
        <w:rPr>
          <w:rFonts w:ascii="Times New Roman" w:hAnsi="Times New Roman" w:cs="Times New Roman"/>
          <w:sz w:val="24"/>
          <w:lang w:bidi="ar-EG"/>
        </w:rPr>
        <w:t xml:space="preserve">showed the highest reduction rate percentage of fungal growth (RPFG) percentage of 28.51 % and 27.77 %, respectively, against </w:t>
      </w:r>
      <w:r>
        <w:rPr>
          <w:rFonts w:ascii="Times New Roman" w:hAnsi="Times New Roman" w:cs="Times New Roman"/>
          <w:i/>
          <w:iCs/>
          <w:sz w:val="24"/>
          <w:lang w:bidi="ar-EG"/>
        </w:rPr>
        <w:t xml:space="preserve">R. </w:t>
      </w:r>
      <w:proofErr w:type="spellStart"/>
      <w:r>
        <w:rPr>
          <w:rFonts w:ascii="Times New Roman" w:hAnsi="Times New Roman" w:cs="Times New Roman"/>
          <w:i/>
          <w:iCs/>
          <w:sz w:val="24"/>
          <w:lang w:bidi="ar-EG"/>
        </w:rPr>
        <w:t>solani</w:t>
      </w:r>
      <w:proofErr w:type="spellEnd"/>
      <w:r>
        <w:rPr>
          <w:rFonts w:ascii="Times New Roman" w:hAnsi="Times New Roman" w:cs="Times New Roman"/>
          <w:sz w:val="24"/>
          <w:lang w:bidi="ar-EG"/>
        </w:rPr>
        <w:t xml:space="preserve"> growth. The highest RPFG percentages against the growth of </w:t>
      </w:r>
      <w:r>
        <w:rPr>
          <w:rFonts w:ascii="Times New Roman" w:hAnsi="Times New Roman" w:cs="Times New Roman"/>
          <w:i/>
          <w:iCs/>
          <w:sz w:val="24"/>
        </w:rPr>
        <w:t>F.</w:t>
      </w:r>
      <w:r>
        <w:t xml:space="preserve"> </w:t>
      </w:r>
      <w:proofErr w:type="spellStart"/>
      <w:r>
        <w:rPr>
          <w:rFonts w:ascii="Times New Roman" w:hAnsi="Times New Roman" w:cs="Times New Roman"/>
          <w:i/>
          <w:iCs/>
          <w:sz w:val="24"/>
        </w:rPr>
        <w:t>oxysporum</w:t>
      </w:r>
      <w:proofErr w:type="spellEnd"/>
      <w:r>
        <w:rPr>
          <w:rFonts w:ascii="Times New Roman" w:hAnsi="Times New Roman" w:cs="Times New Roman"/>
          <w:sz w:val="24"/>
          <w:lang w:bidi="ar-EG"/>
        </w:rPr>
        <w:t xml:space="preserve"> were observed at 2000</w:t>
      </w:r>
      <w:r>
        <w:rPr>
          <w:rFonts w:ascii="Times New Roman" w:hAnsi="Times New Roman" w:cs="Times New Roman"/>
          <w:sz w:val="24"/>
        </w:rPr>
        <w:t xml:space="preserve"> µg/mL</w:t>
      </w:r>
      <w:r>
        <w:rPr>
          <w:rFonts w:ascii="Times New Roman" w:hAnsi="Times New Roman" w:cs="Times New Roman"/>
          <w:sz w:val="24"/>
          <w:lang w:bidi="ar-EG"/>
        </w:rPr>
        <w:t xml:space="preserve"> by bark ME and BE with values of 55.55% and 51.11%, respectively, also bark ME at 1000</w:t>
      </w:r>
      <w:r>
        <w:rPr>
          <w:rFonts w:ascii="Times New Roman" w:hAnsi="Times New Roman" w:cs="Times New Roman"/>
          <w:sz w:val="24"/>
        </w:rPr>
        <w:t xml:space="preserve"> µg/mL</w:t>
      </w:r>
      <w:r>
        <w:rPr>
          <w:rFonts w:ascii="Times New Roman" w:hAnsi="Times New Roman" w:cs="Times New Roman"/>
          <w:sz w:val="24"/>
          <w:lang w:bidi="ar-EG"/>
        </w:rPr>
        <w:t xml:space="preserve"> showed RPFG value of 50.74 %. </w:t>
      </w:r>
      <w:r>
        <w:rPr>
          <w:rFonts w:ascii="Times New Roman" w:hAnsi="Times New Roman" w:cs="Times New Roman"/>
          <w:sz w:val="24"/>
        </w:rPr>
        <w:t xml:space="preserve">Wood EO at 1000 µg/mL and 2000 µg/mL showed the highest activity against the growth of </w:t>
      </w:r>
      <w:r>
        <w:rPr>
          <w:rFonts w:ascii="Times New Roman" w:hAnsi="Times New Roman" w:cs="Times New Roman"/>
          <w:i/>
          <w:iCs/>
          <w:sz w:val="24"/>
        </w:rPr>
        <w:t>P.</w:t>
      </w:r>
      <w:r>
        <w:t xml:space="preserve"> </w:t>
      </w:r>
      <w:proofErr w:type="spellStart"/>
      <w:r>
        <w:rPr>
          <w:rFonts w:ascii="Times New Roman" w:hAnsi="Times New Roman" w:cs="Times New Roman"/>
          <w:i/>
          <w:iCs/>
          <w:sz w:val="24"/>
        </w:rPr>
        <w:t>digitatum</w:t>
      </w:r>
      <w:proofErr w:type="spellEnd"/>
      <w:r>
        <w:rPr>
          <w:rFonts w:ascii="Times New Roman" w:hAnsi="Times New Roman" w:cs="Times New Roman"/>
          <w:i/>
          <w:iCs/>
          <w:sz w:val="24"/>
        </w:rPr>
        <w:t xml:space="preserve"> </w:t>
      </w:r>
      <w:r>
        <w:rPr>
          <w:rFonts w:ascii="Times New Roman" w:hAnsi="Times New Roman" w:cs="Times New Roman"/>
          <w:sz w:val="24"/>
        </w:rPr>
        <w:t xml:space="preserve">with </w:t>
      </w:r>
      <w:r>
        <w:rPr>
          <w:rFonts w:ascii="Times New Roman" w:hAnsi="Times New Roman" w:cs="Times New Roman"/>
          <w:sz w:val="24"/>
          <w:lang w:bidi="ar-EG"/>
        </w:rPr>
        <w:t xml:space="preserve">RPFG values of 51.48 %, and 51.85 %, respectively, followed by bark BE and </w:t>
      </w:r>
      <w:proofErr w:type="spellStart"/>
      <w:r>
        <w:rPr>
          <w:rFonts w:ascii="Times New Roman" w:hAnsi="Times New Roman" w:cs="Times New Roman"/>
          <w:sz w:val="24"/>
          <w:lang w:bidi="ar-EG"/>
        </w:rPr>
        <w:t>AcE</w:t>
      </w:r>
      <w:proofErr w:type="spellEnd"/>
      <w:r>
        <w:rPr>
          <w:rFonts w:ascii="Times New Roman" w:hAnsi="Times New Roman" w:cs="Times New Roman"/>
          <w:sz w:val="24"/>
          <w:lang w:bidi="ar-EG"/>
        </w:rPr>
        <w:t xml:space="preserve"> with RPFG values of 48.14 %. </w:t>
      </w:r>
      <w:r>
        <w:rPr>
          <w:rFonts w:ascii="Times New Roman" w:hAnsi="Times New Roman" w:cs="Times New Roman"/>
          <w:i/>
          <w:iCs/>
          <w:sz w:val="24"/>
          <w:lang w:bidi="ar-EG"/>
        </w:rPr>
        <w:t xml:space="preserve">F. </w:t>
      </w:r>
      <w:proofErr w:type="spellStart"/>
      <w:r>
        <w:rPr>
          <w:rFonts w:ascii="Times New Roman" w:hAnsi="Times New Roman" w:cs="Times New Roman"/>
          <w:i/>
          <w:iCs/>
          <w:sz w:val="24"/>
          <w:lang w:bidi="ar-EG"/>
        </w:rPr>
        <w:t>oxysporum</w:t>
      </w:r>
      <w:proofErr w:type="spellEnd"/>
      <w:r>
        <w:rPr>
          <w:rFonts w:ascii="Times New Roman" w:hAnsi="Times New Roman" w:cs="Times New Roman"/>
          <w:sz w:val="24"/>
          <w:lang w:bidi="ar-EG"/>
        </w:rPr>
        <w:t xml:space="preserve"> and </w:t>
      </w:r>
      <w:r>
        <w:rPr>
          <w:rFonts w:ascii="Times New Roman" w:hAnsi="Times New Roman" w:cs="Times New Roman"/>
          <w:i/>
          <w:iCs/>
          <w:sz w:val="24"/>
          <w:lang w:bidi="ar-EG"/>
        </w:rPr>
        <w:t xml:space="preserve">P. </w:t>
      </w:r>
      <w:proofErr w:type="spellStart"/>
      <w:r>
        <w:rPr>
          <w:rFonts w:ascii="Times New Roman" w:hAnsi="Times New Roman" w:cs="Times New Roman"/>
          <w:i/>
          <w:iCs/>
          <w:sz w:val="24"/>
          <w:lang w:bidi="ar-EG"/>
        </w:rPr>
        <w:t>digitatum</w:t>
      </w:r>
      <w:proofErr w:type="spellEnd"/>
      <w:r>
        <w:rPr>
          <w:rFonts w:ascii="Times New Roman" w:hAnsi="Times New Roman" w:cs="Times New Roman"/>
          <w:sz w:val="24"/>
          <w:lang w:bidi="ar-EG"/>
        </w:rPr>
        <w:t xml:space="preserve"> were more susceptible to the extracts than </w:t>
      </w:r>
      <w:r>
        <w:rPr>
          <w:rFonts w:ascii="Times New Roman" w:hAnsi="Times New Roman" w:cs="Times New Roman"/>
          <w:i/>
          <w:iCs/>
          <w:sz w:val="24"/>
        </w:rPr>
        <w:t xml:space="preserve">R. </w:t>
      </w:r>
      <w:proofErr w:type="spellStart"/>
      <w:r>
        <w:rPr>
          <w:rFonts w:ascii="Times New Roman" w:hAnsi="Times New Roman" w:cs="Times New Roman"/>
          <w:i/>
          <w:iCs/>
          <w:sz w:val="24"/>
        </w:rPr>
        <w:t>solani</w:t>
      </w:r>
      <w:proofErr w:type="spellEnd"/>
      <w:r>
        <w:rPr>
          <w:rFonts w:ascii="Times New Roman" w:hAnsi="Times New Roman" w:cs="Times New Roman"/>
          <w:sz w:val="24"/>
        </w:rPr>
        <w:t>.</w:t>
      </w:r>
    </w:p>
    <w:p w14:paraId="58C52592" w14:textId="77777777" w:rsidR="00364DED" w:rsidRDefault="00A70A1E">
      <w:pPr>
        <w:jc w:val="both"/>
        <w:rPr>
          <w:rFonts w:ascii="Times New Roman" w:hAnsi="Times New Roman" w:cs="Times New Roman"/>
          <w:sz w:val="24"/>
          <w:lang w:bidi="ar-EG"/>
        </w:rPr>
      </w:pPr>
      <w:proofErr w:type="spellStart"/>
      <w:r>
        <w:rPr>
          <w:rFonts w:ascii="Times New Roman" w:hAnsi="Times New Roman" w:cs="Times New Roman"/>
          <w:i/>
          <w:iCs/>
          <w:sz w:val="24"/>
        </w:rPr>
        <w:t>digitatum</w:t>
      </w:r>
      <w:proofErr w:type="spellEnd"/>
      <w:r>
        <w:rPr>
          <w:rFonts w:ascii="Times New Roman" w:hAnsi="Times New Roman" w:cs="Times New Roman"/>
          <w:sz w:val="24"/>
          <w:lang w:bidi="ar-EG"/>
        </w:rPr>
        <w:t xml:space="preserve"> as affected by extracts from </w:t>
      </w:r>
      <w:r>
        <w:rPr>
          <w:rFonts w:ascii="Times New Roman" w:hAnsi="Times New Roman" w:cs="Times New Roman"/>
          <w:i/>
          <w:iCs/>
          <w:sz w:val="24"/>
          <w:lang w:bidi="ar-EG"/>
        </w:rPr>
        <w:t xml:space="preserve">Bougainvillea spectabilis </w:t>
      </w:r>
      <w:r>
        <w:rPr>
          <w:rFonts w:ascii="Times New Roman" w:hAnsi="Times New Roman" w:cs="Times New Roman"/>
          <w:sz w:val="24"/>
          <w:lang w:bidi="ar-EG"/>
        </w:rPr>
        <w:t>wood and bark.</w:t>
      </w:r>
    </w:p>
    <w:p w14:paraId="1E3F3579" w14:textId="77777777" w:rsidR="00364DED" w:rsidRDefault="00A70A1E">
      <w:pPr>
        <w:jc w:val="both"/>
        <w:rPr>
          <w:rFonts w:ascii="Times New Roman" w:hAnsi="Times New Roman" w:cs="Times New Roman"/>
          <w:sz w:val="24"/>
          <w:lang w:bidi="ar-EG"/>
        </w:rPr>
      </w:pPr>
      <w:r>
        <w:rPr>
          <w:rFonts w:ascii="Times New Roman" w:hAnsi="Times New Roman" w:cs="Times New Roman"/>
          <w:b/>
          <w:bCs/>
          <w:sz w:val="24"/>
        </w:rPr>
        <w:t>Table 2.</w:t>
      </w:r>
      <w:r>
        <w:rPr>
          <w:rFonts w:ascii="Times New Roman" w:hAnsi="Times New Roman" w:cs="Times New Roman"/>
          <w:sz w:val="24"/>
        </w:rPr>
        <w:t xml:space="preserve"> Antifungal activity of extracts against plant pathogenic fungi</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418"/>
        <w:gridCol w:w="2126"/>
        <w:gridCol w:w="1767"/>
        <w:gridCol w:w="2387"/>
      </w:tblGrid>
      <w:tr w:rsidR="00364DED" w14:paraId="077CEF16" w14:textId="77777777">
        <w:tc>
          <w:tcPr>
            <w:tcW w:w="1696" w:type="dxa"/>
            <w:tcBorders>
              <w:top w:val="single" w:sz="4" w:space="0" w:color="auto"/>
              <w:bottom w:val="single" w:sz="4" w:space="0" w:color="auto"/>
            </w:tcBorders>
          </w:tcPr>
          <w:p w14:paraId="79F317DA" w14:textId="77777777" w:rsidR="00364DED" w:rsidRDefault="00A70A1E">
            <w:pPr>
              <w:pStyle w:val="NoSpacing"/>
              <w:rPr>
                <w:rFonts w:ascii="Times New Roman" w:hAnsi="Times New Roman" w:cs="Times New Roman"/>
              </w:rPr>
            </w:pPr>
            <w:r>
              <w:rPr>
                <w:rFonts w:ascii="Times New Roman" w:hAnsi="Times New Roman" w:cs="Times New Roman"/>
              </w:rPr>
              <w:t xml:space="preserve">Extract </w:t>
            </w:r>
          </w:p>
        </w:tc>
        <w:tc>
          <w:tcPr>
            <w:tcW w:w="1418" w:type="dxa"/>
            <w:tcBorders>
              <w:top w:val="single" w:sz="4" w:space="0" w:color="auto"/>
              <w:bottom w:val="single" w:sz="4" w:space="0" w:color="auto"/>
            </w:tcBorders>
          </w:tcPr>
          <w:p w14:paraId="7DE70F89" w14:textId="77777777" w:rsidR="00364DED" w:rsidRDefault="00A70A1E">
            <w:pPr>
              <w:pStyle w:val="NoSpacing"/>
              <w:rPr>
                <w:rFonts w:ascii="Times New Roman" w:hAnsi="Times New Roman" w:cs="Times New Roman"/>
              </w:rPr>
            </w:pPr>
            <w:r>
              <w:rPr>
                <w:rFonts w:ascii="Times New Roman" w:hAnsi="Times New Roman" w:cs="Times New Roman"/>
              </w:rPr>
              <w:t>Con. µg/mL</w:t>
            </w:r>
          </w:p>
        </w:tc>
        <w:tc>
          <w:tcPr>
            <w:tcW w:w="2126" w:type="dxa"/>
            <w:tcBorders>
              <w:top w:val="single" w:sz="4" w:space="0" w:color="auto"/>
              <w:bottom w:val="single" w:sz="4" w:space="0" w:color="auto"/>
            </w:tcBorders>
          </w:tcPr>
          <w:p w14:paraId="244BF907" w14:textId="77777777" w:rsidR="00364DED" w:rsidRDefault="00A70A1E">
            <w:pPr>
              <w:pStyle w:val="NoSpacing"/>
              <w:rPr>
                <w:rFonts w:ascii="Times New Roman" w:hAnsi="Times New Roman" w:cs="Times New Roman"/>
                <w:i/>
                <w:iCs/>
                <w:rtl/>
                <w:lang w:bidi="ar-EG"/>
              </w:rPr>
            </w:pPr>
            <w:proofErr w:type="spellStart"/>
            <w:r>
              <w:rPr>
                <w:rFonts w:ascii="Times New Roman" w:hAnsi="Times New Roman" w:cs="Times New Roman"/>
                <w:i/>
                <w:iCs/>
              </w:rPr>
              <w:t>Rhizoctonia</w:t>
            </w:r>
            <w:proofErr w:type="spellEnd"/>
            <w:r>
              <w:rPr>
                <w:rFonts w:ascii="Times New Roman" w:hAnsi="Times New Roman" w:cs="Times New Roman"/>
                <w:i/>
                <w:iCs/>
              </w:rPr>
              <w:t xml:space="preserve"> </w:t>
            </w:r>
            <w:proofErr w:type="spellStart"/>
            <w:r>
              <w:rPr>
                <w:rFonts w:ascii="Times New Roman" w:hAnsi="Times New Roman" w:cs="Times New Roman"/>
                <w:i/>
                <w:iCs/>
              </w:rPr>
              <w:t>solani</w:t>
            </w:r>
            <w:proofErr w:type="spellEnd"/>
          </w:p>
        </w:tc>
        <w:tc>
          <w:tcPr>
            <w:tcW w:w="1767" w:type="dxa"/>
            <w:tcBorders>
              <w:top w:val="single" w:sz="4" w:space="0" w:color="auto"/>
              <w:bottom w:val="single" w:sz="4" w:space="0" w:color="auto"/>
            </w:tcBorders>
          </w:tcPr>
          <w:p w14:paraId="119D3792" w14:textId="77777777" w:rsidR="00364DED" w:rsidRDefault="00A70A1E">
            <w:pPr>
              <w:pStyle w:val="NoSpacing"/>
              <w:rPr>
                <w:rFonts w:ascii="Times New Roman" w:hAnsi="Times New Roman" w:cs="Times New Roman"/>
                <w:i/>
                <w:iCs/>
                <w:rtl/>
                <w:lang w:bidi="ar-EG"/>
              </w:rPr>
            </w:pPr>
            <w:r>
              <w:rPr>
                <w:rFonts w:ascii="Times New Roman" w:hAnsi="Times New Roman" w:cs="Times New Roman"/>
                <w:i/>
                <w:iCs/>
              </w:rPr>
              <w:t>Fusarium</w:t>
            </w:r>
            <w:r>
              <w:rPr>
                <w:rFonts w:ascii="Times New Roman" w:hAnsi="Times New Roman" w:cs="Times New Roman"/>
              </w:rPr>
              <w:t xml:space="preserve"> </w:t>
            </w:r>
            <w:proofErr w:type="spellStart"/>
            <w:r>
              <w:rPr>
                <w:rFonts w:ascii="Times New Roman" w:hAnsi="Times New Roman" w:cs="Times New Roman"/>
                <w:i/>
                <w:iCs/>
              </w:rPr>
              <w:t>oxysporum</w:t>
            </w:r>
            <w:proofErr w:type="spellEnd"/>
          </w:p>
        </w:tc>
        <w:tc>
          <w:tcPr>
            <w:tcW w:w="2387" w:type="dxa"/>
            <w:tcBorders>
              <w:top w:val="single" w:sz="4" w:space="0" w:color="auto"/>
              <w:bottom w:val="single" w:sz="4" w:space="0" w:color="auto"/>
            </w:tcBorders>
          </w:tcPr>
          <w:p w14:paraId="57698E17" w14:textId="77777777" w:rsidR="00364DED" w:rsidRDefault="00A70A1E">
            <w:pPr>
              <w:pStyle w:val="NoSpacing"/>
              <w:rPr>
                <w:rFonts w:ascii="Times New Roman" w:hAnsi="Times New Roman" w:cs="Times New Roman"/>
                <w:i/>
                <w:iCs/>
              </w:rPr>
            </w:pPr>
            <w:r>
              <w:rPr>
                <w:rFonts w:ascii="Times New Roman" w:hAnsi="Times New Roman" w:cs="Times New Roman"/>
                <w:i/>
                <w:iCs/>
              </w:rPr>
              <w:t>Penicillium</w:t>
            </w:r>
            <w:r>
              <w:rPr>
                <w:rFonts w:ascii="Times New Roman" w:hAnsi="Times New Roman" w:cs="Times New Roman"/>
              </w:rPr>
              <w:t xml:space="preserve"> </w:t>
            </w:r>
            <w:proofErr w:type="spellStart"/>
            <w:r>
              <w:rPr>
                <w:rFonts w:ascii="Times New Roman" w:hAnsi="Times New Roman" w:cs="Times New Roman"/>
                <w:i/>
                <w:iCs/>
              </w:rPr>
              <w:t>digitatum</w:t>
            </w:r>
            <w:proofErr w:type="spellEnd"/>
          </w:p>
        </w:tc>
      </w:tr>
      <w:tr w:rsidR="00364DED" w14:paraId="6CB8D9D8" w14:textId="77777777">
        <w:tc>
          <w:tcPr>
            <w:tcW w:w="1696" w:type="dxa"/>
            <w:tcBorders>
              <w:top w:val="single" w:sz="4" w:space="0" w:color="auto"/>
            </w:tcBorders>
          </w:tcPr>
          <w:p w14:paraId="5EECD397" w14:textId="77777777" w:rsidR="00364DED" w:rsidRDefault="00A70A1E">
            <w:pPr>
              <w:pStyle w:val="NoSpacing"/>
              <w:rPr>
                <w:rFonts w:ascii="Times New Roman" w:hAnsi="Times New Roman" w:cs="Times New Roman"/>
              </w:rPr>
            </w:pPr>
            <w:r>
              <w:rPr>
                <w:rFonts w:ascii="Times New Roman" w:hAnsi="Times New Roman" w:cs="Times New Roman"/>
              </w:rPr>
              <w:t>Control</w:t>
            </w:r>
          </w:p>
        </w:tc>
        <w:tc>
          <w:tcPr>
            <w:tcW w:w="1418" w:type="dxa"/>
            <w:tcBorders>
              <w:top w:val="single" w:sz="4" w:space="0" w:color="auto"/>
            </w:tcBorders>
          </w:tcPr>
          <w:p w14:paraId="3E7E3553" w14:textId="77777777" w:rsidR="00364DED" w:rsidRDefault="00A70A1E">
            <w:pPr>
              <w:pStyle w:val="NoSpacing"/>
              <w:rPr>
                <w:rFonts w:ascii="Times New Roman" w:hAnsi="Times New Roman" w:cs="Times New Roman"/>
              </w:rPr>
            </w:pPr>
            <w:r>
              <w:rPr>
                <w:rFonts w:ascii="Times New Roman" w:hAnsi="Times New Roman" w:cs="Times New Roman"/>
              </w:rPr>
              <w:t>0</w:t>
            </w:r>
          </w:p>
        </w:tc>
        <w:tc>
          <w:tcPr>
            <w:tcW w:w="2126" w:type="dxa"/>
            <w:tcBorders>
              <w:top w:val="single" w:sz="4" w:space="0" w:color="auto"/>
            </w:tcBorders>
          </w:tcPr>
          <w:p w14:paraId="0AD09975" w14:textId="77777777" w:rsidR="00364DED" w:rsidRDefault="00A70A1E">
            <w:pPr>
              <w:pStyle w:val="NoSpacing"/>
              <w:rPr>
                <w:rFonts w:ascii="Times New Roman" w:hAnsi="Times New Roman" w:cs="Times New Roman"/>
              </w:rPr>
            </w:pPr>
            <w:r>
              <w:rPr>
                <w:rFonts w:ascii="Times New Roman" w:hAnsi="Times New Roman" w:cs="Times New Roman"/>
              </w:rPr>
              <w:t>0.00</w:t>
            </w:r>
          </w:p>
        </w:tc>
        <w:tc>
          <w:tcPr>
            <w:tcW w:w="1767" w:type="dxa"/>
            <w:tcBorders>
              <w:top w:val="single" w:sz="4" w:space="0" w:color="auto"/>
            </w:tcBorders>
          </w:tcPr>
          <w:p w14:paraId="7F9BCAFB" w14:textId="77777777" w:rsidR="00364DED" w:rsidRDefault="00A70A1E">
            <w:pPr>
              <w:pStyle w:val="NoSpacing"/>
              <w:rPr>
                <w:rFonts w:ascii="Times New Roman" w:hAnsi="Times New Roman" w:cs="Times New Roman"/>
              </w:rPr>
            </w:pPr>
            <w:r>
              <w:rPr>
                <w:rFonts w:ascii="Times New Roman" w:hAnsi="Times New Roman" w:cs="Times New Roman"/>
              </w:rPr>
              <w:t>0.00</w:t>
            </w:r>
          </w:p>
        </w:tc>
        <w:tc>
          <w:tcPr>
            <w:tcW w:w="2387" w:type="dxa"/>
            <w:tcBorders>
              <w:top w:val="single" w:sz="4" w:space="0" w:color="auto"/>
            </w:tcBorders>
          </w:tcPr>
          <w:p w14:paraId="16C70934" w14:textId="77777777" w:rsidR="00364DED" w:rsidRDefault="00A70A1E">
            <w:pPr>
              <w:pStyle w:val="NoSpacing"/>
              <w:rPr>
                <w:rFonts w:ascii="Times New Roman" w:hAnsi="Times New Roman" w:cs="Times New Roman"/>
              </w:rPr>
            </w:pPr>
            <w:r>
              <w:rPr>
                <w:rFonts w:ascii="Times New Roman" w:hAnsi="Times New Roman" w:cs="Times New Roman"/>
              </w:rPr>
              <w:t>0.00</w:t>
            </w:r>
          </w:p>
        </w:tc>
      </w:tr>
      <w:tr w:rsidR="00364DED" w14:paraId="76902D47" w14:textId="77777777">
        <w:trPr>
          <w:trHeight w:val="219"/>
        </w:trPr>
        <w:tc>
          <w:tcPr>
            <w:tcW w:w="1696" w:type="dxa"/>
            <w:vMerge w:val="restart"/>
          </w:tcPr>
          <w:p w14:paraId="0A8A1807" w14:textId="77777777" w:rsidR="00364DED" w:rsidRDefault="00A70A1E">
            <w:pPr>
              <w:pStyle w:val="NoSpacing"/>
              <w:rPr>
                <w:rFonts w:ascii="Times New Roman" w:hAnsi="Times New Roman" w:cs="Times New Roman"/>
              </w:rPr>
            </w:pPr>
            <w:r>
              <w:rPr>
                <w:rFonts w:ascii="Times New Roman" w:hAnsi="Times New Roman" w:cs="Times New Roman"/>
              </w:rPr>
              <w:t>Wood Essential oil</w:t>
            </w:r>
          </w:p>
        </w:tc>
        <w:tc>
          <w:tcPr>
            <w:tcW w:w="1418" w:type="dxa"/>
          </w:tcPr>
          <w:p w14:paraId="6EC86F06" w14:textId="77777777" w:rsidR="00364DED" w:rsidRDefault="00A70A1E">
            <w:pPr>
              <w:pStyle w:val="NoSpacing"/>
              <w:rPr>
                <w:rFonts w:ascii="Times New Roman" w:hAnsi="Times New Roman" w:cs="Times New Roman"/>
              </w:rPr>
            </w:pPr>
            <w:r>
              <w:rPr>
                <w:rFonts w:ascii="Times New Roman" w:hAnsi="Times New Roman" w:cs="Times New Roman"/>
              </w:rPr>
              <w:t>500</w:t>
            </w:r>
          </w:p>
        </w:tc>
        <w:tc>
          <w:tcPr>
            <w:tcW w:w="2126" w:type="dxa"/>
          </w:tcPr>
          <w:p w14:paraId="1A583903" w14:textId="77777777" w:rsidR="00364DED" w:rsidRDefault="00A70A1E">
            <w:pPr>
              <w:pStyle w:val="NoSpacing"/>
              <w:rPr>
                <w:rFonts w:ascii="Times New Roman" w:hAnsi="Times New Roman" w:cs="Times New Roman"/>
              </w:rPr>
            </w:pPr>
            <w:r>
              <w:rPr>
                <w:rFonts w:ascii="Times New Roman" w:hAnsi="Times New Roman" w:cs="Times New Roman"/>
              </w:rPr>
              <w:t xml:space="preserve">21.48±0.64 </w:t>
            </w:r>
          </w:p>
        </w:tc>
        <w:tc>
          <w:tcPr>
            <w:tcW w:w="1767" w:type="dxa"/>
          </w:tcPr>
          <w:p w14:paraId="458FD712" w14:textId="77777777" w:rsidR="00364DED" w:rsidRDefault="00A70A1E">
            <w:pPr>
              <w:pStyle w:val="NoSpacing"/>
              <w:rPr>
                <w:rFonts w:ascii="Times New Roman" w:hAnsi="Times New Roman" w:cs="Times New Roman"/>
              </w:rPr>
            </w:pPr>
            <w:r>
              <w:rPr>
                <w:rFonts w:ascii="Times New Roman" w:hAnsi="Times New Roman" w:cs="Times New Roman"/>
              </w:rPr>
              <w:t>25.18±1.69</w:t>
            </w:r>
          </w:p>
        </w:tc>
        <w:tc>
          <w:tcPr>
            <w:tcW w:w="2387" w:type="dxa"/>
          </w:tcPr>
          <w:p w14:paraId="3A3AA31C" w14:textId="77777777" w:rsidR="00364DED" w:rsidRDefault="00A70A1E">
            <w:pPr>
              <w:pStyle w:val="NoSpacing"/>
              <w:rPr>
                <w:rFonts w:ascii="Times New Roman" w:hAnsi="Times New Roman" w:cs="Times New Roman"/>
              </w:rPr>
            </w:pPr>
            <w:r>
              <w:rPr>
                <w:rFonts w:ascii="Times New Roman" w:hAnsi="Times New Roman" w:cs="Times New Roman"/>
              </w:rPr>
              <w:t>45.55±0.00</w:t>
            </w:r>
          </w:p>
        </w:tc>
      </w:tr>
      <w:tr w:rsidR="00364DED" w14:paraId="3D6C369E" w14:textId="77777777">
        <w:tc>
          <w:tcPr>
            <w:tcW w:w="1696" w:type="dxa"/>
            <w:vMerge/>
          </w:tcPr>
          <w:p w14:paraId="14260145" w14:textId="77777777" w:rsidR="00364DED" w:rsidRDefault="00364DED">
            <w:pPr>
              <w:pStyle w:val="NoSpacing"/>
              <w:rPr>
                <w:rFonts w:ascii="Times New Roman" w:hAnsi="Times New Roman" w:cs="Times New Roman"/>
              </w:rPr>
            </w:pPr>
          </w:p>
        </w:tc>
        <w:tc>
          <w:tcPr>
            <w:tcW w:w="1418" w:type="dxa"/>
          </w:tcPr>
          <w:p w14:paraId="110B6CF1" w14:textId="77777777" w:rsidR="00364DED" w:rsidRDefault="00A70A1E">
            <w:pPr>
              <w:pStyle w:val="NoSpacing"/>
              <w:rPr>
                <w:rFonts w:ascii="Times New Roman" w:hAnsi="Times New Roman" w:cs="Times New Roman"/>
              </w:rPr>
            </w:pPr>
            <w:r>
              <w:rPr>
                <w:rFonts w:ascii="Times New Roman" w:hAnsi="Times New Roman" w:cs="Times New Roman"/>
              </w:rPr>
              <w:t>1000</w:t>
            </w:r>
          </w:p>
        </w:tc>
        <w:tc>
          <w:tcPr>
            <w:tcW w:w="2126" w:type="dxa"/>
          </w:tcPr>
          <w:p w14:paraId="7E5F07DA" w14:textId="77777777" w:rsidR="00364DED" w:rsidRDefault="00A70A1E">
            <w:pPr>
              <w:pStyle w:val="NoSpacing"/>
              <w:rPr>
                <w:rFonts w:ascii="Times New Roman" w:hAnsi="Times New Roman" w:cs="Times New Roman"/>
              </w:rPr>
            </w:pPr>
            <w:r>
              <w:rPr>
                <w:rFonts w:ascii="Times New Roman" w:hAnsi="Times New Roman" w:cs="Times New Roman"/>
              </w:rPr>
              <w:t xml:space="preserve">22.22±1.11 </w:t>
            </w:r>
          </w:p>
        </w:tc>
        <w:tc>
          <w:tcPr>
            <w:tcW w:w="1767" w:type="dxa"/>
          </w:tcPr>
          <w:p w14:paraId="1EBD4024" w14:textId="77777777" w:rsidR="00364DED" w:rsidRDefault="00A70A1E">
            <w:pPr>
              <w:pStyle w:val="NoSpacing"/>
              <w:rPr>
                <w:rFonts w:ascii="Times New Roman" w:hAnsi="Times New Roman" w:cs="Times New Roman"/>
              </w:rPr>
            </w:pPr>
            <w:r>
              <w:rPr>
                <w:rFonts w:ascii="Times New Roman" w:hAnsi="Times New Roman" w:cs="Times New Roman"/>
              </w:rPr>
              <w:t>27.41±1.69</w:t>
            </w:r>
          </w:p>
        </w:tc>
        <w:tc>
          <w:tcPr>
            <w:tcW w:w="2387" w:type="dxa"/>
          </w:tcPr>
          <w:p w14:paraId="5D5267FD" w14:textId="77777777" w:rsidR="00364DED" w:rsidRDefault="00A70A1E">
            <w:pPr>
              <w:pStyle w:val="NoSpacing"/>
              <w:rPr>
                <w:rFonts w:ascii="Times New Roman" w:hAnsi="Times New Roman" w:cs="Times New Roman"/>
              </w:rPr>
            </w:pPr>
            <w:r>
              <w:rPr>
                <w:rFonts w:ascii="Times New Roman" w:hAnsi="Times New Roman" w:cs="Times New Roman"/>
              </w:rPr>
              <w:t>51.48±0.64</w:t>
            </w:r>
          </w:p>
        </w:tc>
      </w:tr>
      <w:tr w:rsidR="00364DED" w14:paraId="5D40C95C" w14:textId="77777777">
        <w:tc>
          <w:tcPr>
            <w:tcW w:w="1696" w:type="dxa"/>
            <w:vMerge/>
          </w:tcPr>
          <w:p w14:paraId="7B781FD7" w14:textId="77777777" w:rsidR="00364DED" w:rsidRDefault="00364DED">
            <w:pPr>
              <w:pStyle w:val="NoSpacing"/>
              <w:rPr>
                <w:rFonts w:ascii="Times New Roman" w:hAnsi="Times New Roman" w:cs="Times New Roman"/>
              </w:rPr>
            </w:pPr>
          </w:p>
        </w:tc>
        <w:tc>
          <w:tcPr>
            <w:tcW w:w="1418" w:type="dxa"/>
          </w:tcPr>
          <w:p w14:paraId="4A6A7025" w14:textId="77777777" w:rsidR="00364DED" w:rsidRDefault="00A70A1E">
            <w:pPr>
              <w:pStyle w:val="NoSpacing"/>
              <w:rPr>
                <w:rFonts w:ascii="Times New Roman" w:hAnsi="Times New Roman" w:cs="Times New Roman"/>
              </w:rPr>
            </w:pPr>
            <w:r>
              <w:rPr>
                <w:rFonts w:ascii="Times New Roman" w:hAnsi="Times New Roman" w:cs="Times New Roman"/>
              </w:rPr>
              <w:t>2000</w:t>
            </w:r>
          </w:p>
        </w:tc>
        <w:tc>
          <w:tcPr>
            <w:tcW w:w="2126" w:type="dxa"/>
          </w:tcPr>
          <w:p w14:paraId="705D0ACA" w14:textId="77777777" w:rsidR="00364DED" w:rsidRDefault="00A70A1E">
            <w:pPr>
              <w:pStyle w:val="NoSpacing"/>
              <w:rPr>
                <w:rFonts w:ascii="Times New Roman" w:hAnsi="Times New Roman" w:cs="Times New Roman"/>
              </w:rPr>
            </w:pPr>
            <w:r>
              <w:rPr>
                <w:rFonts w:ascii="Times New Roman" w:hAnsi="Times New Roman" w:cs="Times New Roman"/>
              </w:rPr>
              <w:t xml:space="preserve">27.77±1.11 </w:t>
            </w:r>
          </w:p>
        </w:tc>
        <w:tc>
          <w:tcPr>
            <w:tcW w:w="1767" w:type="dxa"/>
          </w:tcPr>
          <w:p w14:paraId="3C73CEEF" w14:textId="77777777" w:rsidR="00364DED" w:rsidRDefault="00A70A1E">
            <w:pPr>
              <w:pStyle w:val="NoSpacing"/>
              <w:rPr>
                <w:rFonts w:ascii="Times New Roman" w:hAnsi="Times New Roman" w:cs="Times New Roman"/>
              </w:rPr>
            </w:pPr>
            <w:r>
              <w:rPr>
                <w:rFonts w:ascii="Times New Roman" w:hAnsi="Times New Roman" w:cs="Times New Roman"/>
              </w:rPr>
              <w:t>48.51±0.64</w:t>
            </w:r>
          </w:p>
        </w:tc>
        <w:tc>
          <w:tcPr>
            <w:tcW w:w="2387" w:type="dxa"/>
          </w:tcPr>
          <w:p w14:paraId="41D681DD" w14:textId="77777777" w:rsidR="00364DED" w:rsidRDefault="00A70A1E">
            <w:pPr>
              <w:pStyle w:val="NoSpacing"/>
              <w:rPr>
                <w:rFonts w:ascii="Times New Roman" w:hAnsi="Times New Roman" w:cs="Times New Roman"/>
              </w:rPr>
            </w:pPr>
            <w:r>
              <w:rPr>
                <w:rFonts w:ascii="Times New Roman" w:hAnsi="Times New Roman" w:cs="Times New Roman"/>
              </w:rPr>
              <w:t>51.85±0.64</w:t>
            </w:r>
          </w:p>
        </w:tc>
      </w:tr>
      <w:tr w:rsidR="00364DED" w14:paraId="208149F6" w14:textId="77777777">
        <w:trPr>
          <w:trHeight w:val="204"/>
        </w:trPr>
        <w:tc>
          <w:tcPr>
            <w:tcW w:w="1696" w:type="dxa"/>
            <w:vMerge w:val="restart"/>
          </w:tcPr>
          <w:p w14:paraId="1979B29B" w14:textId="77777777" w:rsidR="00364DED" w:rsidRDefault="00A70A1E">
            <w:pPr>
              <w:pStyle w:val="NoSpacing"/>
              <w:rPr>
                <w:rFonts w:ascii="Times New Roman" w:hAnsi="Times New Roman" w:cs="Times New Roman"/>
              </w:rPr>
            </w:pPr>
            <w:r>
              <w:rPr>
                <w:rFonts w:ascii="Times New Roman" w:hAnsi="Times New Roman" w:cs="Times New Roman"/>
              </w:rPr>
              <w:lastRenderedPageBreak/>
              <w:t xml:space="preserve">Bark butanol </w:t>
            </w:r>
          </w:p>
        </w:tc>
        <w:tc>
          <w:tcPr>
            <w:tcW w:w="1418" w:type="dxa"/>
          </w:tcPr>
          <w:p w14:paraId="6CC5922A" w14:textId="77777777" w:rsidR="00364DED" w:rsidRDefault="00A70A1E">
            <w:pPr>
              <w:pStyle w:val="NoSpacing"/>
              <w:rPr>
                <w:rFonts w:ascii="Times New Roman" w:hAnsi="Times New Roman" w:cs="Times New Roman"/>
              </w:rPr>
            </w:pPr>
            <w:r>
              <w:rPr>
                <w:rFonts w:ascii="Times New Roman" w:hAnsi="Times New Roman" w:cs="Times New Roman"/>
              </w:rPr>
              <w:t>500</w:t>
            </w:r>
          </w:p>
        </w:tc>
        <w:tc>
          <w:tcPr>
            <w:tcW w:w="2126" w:type="dxa"/>
          </w:tcPr>
          <w:p w14:paraId="72853563" w14:textId="77777777" w:rsidR="00364DED" w:rsidRDefault="00A70A1E">
            <w:pPr>
              <w:pStyle w:val="NoSpacing"/>
              <w:rPr>
                <w:rFonts w:ascii="Times New Roman" w:hAnsi="Times New Roman" w:cs="Times New Roman"/>
              </w:rPr>
            </w:pPr>
            <w:r>
              <w:rPr>
                <w:rFonts w:ascii="Times New Roman" w:hAnsi="Times New Roman" w:cs="Times New Roman"/>
              </w:rPr>
              <w:t>0.00</w:t>
            </w:r>
          </w:p>
        </w:tc>
        <w:tc>
          <w:tcPr>
            <w:tcW w:w="1767" w:type="dxa"/>
          </w:tcPr>
          <w:p w14:paraId="7B5E18F6" w14:textId="77777777" w:rsidR="00364DED" w:rsidRDefault="00A70A1E">
            <w:pPr>
              <w:pStyle w:val="NoSpacing"/>
              <w:rPr>
                <w:rFonts w:ascii="Times New Roman" w:hAnsi="Times New Roman" w:cs="Times New Roman"/>
              </w:rPr>
            </w:pPr>
            <w:r>
              <w:rPr>
                <w:rFonts w:ascii="Times New Roman" w:hAnsi="Times New Roman" w:cs="Times New Roman"/>
              </w:rPr>
              <w:t>0.00</w:t>
            </w:r>
          </w:p>
        </w:tc>
        <w:tc>
          <w:tcPr>
            <w:tcW w:w="2387" w:type="dxa"/>
          </w:tcPr>
          <w:p w14:paraId="63F09B43" w14:textId="77777777" w:rsidR="00364DED" w:rsidRDefault="00A70A1E">
            <w:pPr>
              <w:pStyle w:val="NoSpacing"/>
              <w:rPr>
                <w:rFonts w:ascii="Times New Roman" w:hAnsi="Times New Roman" w:cs="Times New Roman"/>
              </w:rPr>
            </w:pPr>
            <w:r>
              <w:rPr>
                <w:rFonts w:ascii="Times New Roman" w:hAnsi="Times New Roman" w:cs="Times New Roman"/>
              </w:rPr>
              <w:t>0.00</w:t>
            </w:r>
          </w:p>
        </w:tc>
      </w:tr>
      <w:tr w:rsidR="00364DED" w14:paraId="399096B2" w14:textId="77777777">
        <w:tc>
          <w:tcPr>
            <w:tcW w:w="1696" w:type="dxa"/>
            <w:vMerge/>
          </w:tcPr>
          <w:p w14:paraId="1AFF1612" w14:textId="77777777" w:rsidR="00364DED" w:rsidRDefault="00364DED">
            <w:pPr>
              <w:pStyle w:val="NoSpacing"/>
              <w:rPr>
                <w:rFonts w:ascii="Times New Roman" w:hAnsi="Times New Roman" w:cs="Times New Roman"/>
              </w:rPr>
            </w:pPr>
          </w:p>
        </w:tc>
        <w:tc>
          <w:tcPr>
            <w:tcW w:w="1418" w:type="dxa"/>
          </w:tcPr>
          <w:p w14:paraId="46FE70C1" w14:textId="77777777" w:rsidR="00364DED" w:rsidRDefault="00A70A1E">
            <w:pPr>
              <w:pStyle w:val="NoSpacing"/>
              <w:rPr>
                <w:rFonts w:ascii="Times New Roman" w:hAnsi="Times New Roman" w:cs="Times New Roman"/>
              </w:rPr>
            </w:pPr>
            <w:r>
              <w:rPr>
                <w:rFonts w:ascii="Times New Roman" w:hAnsi="Times New Roman" w:cs="Times New Roman"/>
              </w:rPr>
              <w:t>1000</w:t>
            </w:r>
          </w:p>
        </w:tc>
        <w:tc>
          <w:tcPr>
            <w:tcW w:w="2126" w:type="dxa"/>
          </w:tcPr>
          <w:p w14:paraId="2A386924" w14:textId="77777777" w:rsidR="00364DED" w:rsidRDefault="00A70A1E">
            <w:pPr>
              <w:pStyle w:val="NoSpacing"/>
              <w:rPr>
                <w:rFonts w:ascii="Times New Roman" w:hAnsi="Times New Roman" w:cs="Times New Roman"/>
              </w:rPr>
            </w:pPr>
            <w:r>
              <w:rPr>
                <w:rFonts w:ascii="Times New Roman" w:hAnsi="Times New Roman" w:cs="Times New Roman"/>
              </w:rPr>
              <w:t xml:space="preserve">14.07±0.64 </w:t>
            </w:r>
          </w:p>
        </w:tc>
        <w:tc>
          <w:tcPr>
            <w:tcW w:w="1767" w:type="dxa"/>
          </w:tcPr>
          <w:p w14:paraId="5126596D" w14:textId="77777777" w:rsidR="00364DED" w:rsidRDefault="00A70A1E">
            <w:pPr>
              <w:pStyle w:val="NoSpacing"/>
              <w:rPr>
                <w:rFonts w:ascii="Times New Roman" w:hAnsi="Times New Roman" w:cs="Times New Roman"/>
              </w:rPr>
            </w:pPr>
            <w:r>
              <w:rPr>
                <w:rFonts w:ascii="Times New Roman" w:hAnsi="Times New Roman" w:cs="Times New Roman"/>
              </w:rPr>
              <w:t>48.88±1.11</w:t>
            </w:r>
          </w:p>
        </w:tc>
        <w:tc>
          <w:tcPr>
            <w:tcW w:w="2387" w:type="dxa"/>
          </w:tcPr>
          <w:p w14:paraId="47419226" w14:textId="77777777" w:rsidR="00364DED" w:rsidRDefault="00A70A1E">
            <w:pPr>
              <w:pStyle w:val="NoSpacing"/>
              <w:rPr>
                <w:rFonts w:ascii="Times New Roman" w:hAnsi="Times New Roman" w:cs="Times New Roman"/>
              </w:rPr>
            </w:pPr>
            <w:r>
              <w:rPr>
                <w:rFonts w:ascii="Times New Roman" w:hAnsi="Times New Roman" w:cs="Times New Roman"/>
              </w:rPr>
              <w:t>47.03±0.64</w:t>
            </w:r>
          </w:p>
        </w:tc>
      </w:tr>
      <w:tr w:rsidR="00364DED" w14:paraId="3DAF87B9" w14:textId="77777777">
        <w:tc>
          <w:tcPr>
            <w:tcW w:w="1696" w:type="dxa"/>
            <w:vMerge/>
          </w:tcPr>
          <w:p w14:paraId="7AF1EACD" w14:textId="77777777" w:rsidR="00364DED" w:rsidRDefault="00364DED">
            <w:pPr>
              <w:pStyle w:val="NoSpacing"/>
              <w:rPr>
                <w:rFonts w:ascii="Times New Roman" w:hAnsi="Times New Roman" w:cs="Times New Roman"/>
              </w:rPr>
            </w:pPr>
          </w:p>
        </w:tc>
        <w:tc>
          <w:tcPr>
            <w:tcW w:w="1418" w:type="dxa"/>
          </w:tcPr>
          <w:p w14:paraId="2DC9A6E5" w14:textId="77777777" w:rsidR="00364DED" w:rsidRDefault="00A70A1E">
            <w:pPr>
              <w:pStyle w:val="NoSpacing"/>
              <w:rPr>
                <w:rFonts w:ascii="Times New Roman" w:hAnsi="Times New Roman" w:cs="Times New Roman"/>
              </w:rPr>
            </w:pPr>
            <w:r>
              <w:rPr>
                <w:rFonts w:ascii="Times New Roman" w:hAnsi="Times New Roman" w:cs="Times New Roman"/>
              </w:rPr>
              <w:t>2000</w:t>
            </w:r>
          </w:p>
        </w:tc>
        <w:tc>
          <w:tcPr>
            <w:tcW w:w="2126" w:type="dxa"/>
          </w:tcPr>
          <w:p w14:paraId="2C1472BD" w14:textId="77777777" w:rsidR="00364DED" w:rsidRDefault="00A70A1E">
            <w:pPr>
              <w:pStyle w:val="NoSpacing"/>
              <w:rPr>
                <w:rFonts w:ascii="Times New Roman" w:hAnsi="Times New Roman" w:cs="Times New Roman"/>
              </w:rPr>
            </w:pPr>
            <w:r>
              <w:rPr>
                <w:rFonts w:ascii="Times New Roman" w:hAnsi="Times New Roman" w:cs="Times New Roman"/>
              </w:rPr>
              <w:t>17.03±0.64</w:t>
            </w:r>
          </w:p>
        </w:tc>
        <w:tc>
          <w:tcPr>
            <w:tcW w:w="1767" w:type="dxa"/>
          </w:tcPr>
          <w:p w14:paraId="27828471" w14:textId="77777777" w:rsidR="00364DED" w:rsidRDefault="00A70A1E">
            <w:pPr>
              <w:pStyle w:val="NoSpacing"/>
              <w:rPr>
                <w:rFonts w:ascii="Times New Roman" w:hAnsi="Times New Roman" w:cs="Times New Roman"/>
              </w:rPr>
            </w:pPr>
            <w:r>
              <w:rPr>
                <w:rFonts w:ascii="Times New Roman" w:hAnsi="Times New Roman" w:cs="Times New Roman"/>
              </w:rPr>
              <w:t>51.11±2.22</w:t>
            </w:r>
          </w:p>
        </w:tc>
        <w:tc>
          <w:tcPr>
            <w:tcW w:w="2387" w:type="dxa"/>
          </w:tcPr>
          <w:p w14:paraId="551FBD57" w14:textId="77777777" w:rsidR="00364DED" w:rsidRDefault="00A70A1E">
            <w:pPr>
              <w:pStyle w:val="NoSpacing"/>
              <w:rPr>
                <w:rFonts w:ascii="Times New Roman" w:hAnsi="Times New Roman" w:cs="Times New Roman"/>
                <w:rtl/>
                <w:lang w:bidi="ar-EG"/>
              </w:rPr>
            </w:pPr>
            <w:r>
              <w:rPr>
                <w:rFonts w:ascii="Times New Roman" w:hAnsi="Times New Roman" w:cs="Times New Roman"/>
              </w:rPr>
              <w:t>48.14±0.64</w:t>
            </w:r>
          </w:p>
        </w:tc>
      </w:tr>
      <w:tr w:rsidR="00364DED" w14:paraId="593315B9" w14:textId="77777777">
        <w:trPr>
          <w:trHeight w:val="201"/>
        </w:trPr>
        <w:tc>
          <w:tcPr>
            <w:tcW w:w="1696" w:type="dxa"/>
            <w:vMerge w:val="restart"/>
          </w:tcPr>
          <w:p w14:paraId="11F6AB3D" w14:textId="77777777" w:rsidR="00364DED" w:rsidRDefault="00A70A1E">
            <w:pPr>
              <w:pStyle w:val="NoSpacing"/>
              <w:rPr>
                <w:rFonts w:ascii="Times New Roman" w:hAnsi="Times New Roman" w:cs="Times New Roman"/>
              </w:rPr>
            </w:pPr>
            <w:r>
              <w:rPr>
                <w:rFonts w:ascii="Times New Roman" w:hAnsi="Times New Roman" w:cs="Times New Roman"/>
              </w:rPr>
              <w:t>Bark acetone</w:t>
            </w:r>
          </w:p>
        </w:tc>
        <w:tc>
          <w:tcPr>
            <w:tcW w:w="1418" w:type="dxa"/>
          </w:tcPr>
          <w:p w14:paraId="3F13ED45" w14:textId="77777777" w:rsidR="00364DED" w:rsidRDefault="00A70A1E">
            <w:pPr>
              <w:pStyle w:val="NoSpacing"/>
              <w:rPr>
                <w:rFonts w:ascii="Times New Roman" w:hAnsi="Times New Roman" w:cs="Times New Roman"/>
              </w:rPr>
            </w:pPr>
            <w:r>
              <w:rPr>
                <w:rFonts w:ascii="Times New Roman" w:hAnsi="Times New Roman" w:cs="Times New Roman"/>
              </w:rPr>
              <w:t>500</w:t>
            </w:r>
          </w:p>
        </w:tc>
        <w:tc>
          <w:tcPr>
            <w:tcW w:w="2126" w:type="dxa"/>
          </w:tcPr>
          <w:p w14:paraId="7A824D0D" w14:textId="77777777" w:rsidR="00364DED" w:rsidRDefault="00A70A1E">
            <w:pPr>
              <w:pStyle w:val="NoSpacing"/>
              <w:rPr>
                <w:rFonts w:ascii="Times New Roman" w:hAnsi="Times New Roman" w:cs="Times New Roman"/>
              </w:rPr>
            </w:pPr>
            <w:r>
              <w:rPr>
                <w:rFonts w:ascii="Times New Roman" w:hAnsi="Times New Roman" w:cs="Times New Roman"/>
              </w:rPr>
              <w:t>22.96±0.64</w:t>
            </w:r>
          </w:p>
        </w:tc>
        <w:tc>
          <w:tcPr>
            <w:tcW w:w="1767" w:type="dxa"/>
          </w:tcPr>
          <w:p w14:paraId="73D2D585" w14:textId="77777777" w:rsidR="00364DED" w:rsidRDefault="00A70A1E">
            <w:pPr>
              <w:pStyle w:val="NoSpacing"/>
              <w:rPr>
                <w:rFonts w:ascii="Times New Roman" w:hAnsi="Times New Roman" w:cs="Times New Roman"/>
              </w:rPr>
            </w:pPr>
            <w:r>
              <w:rPr>
                <w:rFonts w:ascii="Times New Roman" w:hAnsi="Times New Roman" w:cs="Times New Roman"/>
              </w:rPr>
              <w:t>43.70±2.31</w:t>
            </w:r>
          </w:p>
        </w:tc>
        <w:tc>
          <w:tcPr>
            <w:tcW w:w="2387" w:type="dxa"/>
          </w:tcPr>
          <w:p w14:paraId="7A563B6F" w14:textId="77777777" w:rsidR="00364DED" w:rsidRDefault="00A70A1E">
            <w:pPr>
              <w:pStyle w:val="NoSpacing"/>
              <w:rPr>
                <w:rFonts w:ascii="Times New Roman" w:hAnsi="Times New Roman" w:cs="Times New Roman"/>
              </w:rPr>
            </w:pPr>
            <w:r>
              <w:rPr>
                <w:rFonts w:ascii="Times New Roman" w:hAnsi="Times New Roman" w:cs="Times New Roman"/>
              </w:rPr>
              <w:t>43.33±1.11</w:t>
            </w:r>
          </w:p>
        </w:tc>
      </w:tr>
      <w:tr w:rsidR="00364DED" w14:paraId="4420B9FC" w14:textId="77777777">
        <w:tc>
          <w:tcPr>
            <w:tcW w:w="1696" w:type="dxa"/>
            <w:vMerge/>
          </w:tcPr>
          <w:p w14:paraId="17D5328D" w14:textId="77777777" w:rsidR="00364DED" w:rsidRDefault="00364DED">
            <w:pPr>
              <w:pStyle w:val="NoSpacing"/>
              <w:rPr>
                <w:rFonts w:ascii="Times New Roman" w:hAnsi="Times New Roman" w:cs="Times New Roman"/>
              </w:rPr>
            </w:pPr>
          </w:p>
        </w:tc>
        <w:tc>
          <w:tcPr>
            <w:tcW w:w="1418" w:type="dxa"/>
          </w:tcPr>
          <w:p w14:paraId="6901049E" w14:textId="77777777" w:rsidR="00364DED" w:rsidRDefault="00A70A1E">
            <w:pPr>
              <w:pStyle w:val="NoSpacing"/>
              <w:rPr>
                <w:rFonts w:ascii="Times New Roman" w:hAnsi="Times New Roman" w:cs="Times New Roman"/>
              </w:rPr>
            </w:pPr>
            <w:r>
              <w:rPr>
                <w:rFonts w:ascii="Times New Roman" w:hAnsi="Times New Roman" w:cs="Times New Roman"/>
              </w:rPr>
              <w:t>1000</w:t>
            </w:r>
          </w:p>
        </w:tc>
        <w:tc>
          <w:tcPr>
            <w:tcW w:w="2126" w:type="dxa"/>
          </w:tcPr>
          <w:p w14:paraId="671B007B" w14:textId="77777777" w:rsidR="00364DED" w:rsidRDefault="00A70A1E">
            <w:pPr>
              <w:pStyle w:val="NoSpacing"/>
              <w:rPr>
                <w:rFonts w:ascii="Times New Roman" w:hAnsi="Times New Roman" w:cs="Times New Roman"/>
              </w:rPr>
            </w:pPr>
            <w:r>
              <w:rPr>
                <w:rFonts w:ascii="Times New Roman" w:hAnsi="Times New Roman" w:cs="Times New Roman"/>
              </w:rPr>
              <w:t>22.96±1.28</w:t>
            </w:r>
          </w:p>
        </w:tc>
        <w:tc>
          <w:tcPr>
            <w:tcW w:w="1767" w:type="dxa"/>
          </w:tcPr>
          <w:p w14:paraId="11EE5BC8" w14:textId="77777777" w:rsidR="00364DED" w:rsidRDefault="00A70A1E">
            <w:pPr>
              <w:pStyle w:val="NoSpacing"/>
              <w:rPr>
                <w:rFonts w:ascii="Times New Roman" w:hAnsi="Times New Roman" w:cs="Times New Roman"/>
              </w:rPr>
            </w:pPr>
            <w:r>
              <w:rPr>
                <w:rFonts w:ascii="Times New Roman" w:hAnsi="Times New Roman" w:cs="Times New Roman"/>
              </w:rPr>
              <w:t>45.55±1.11</w:t>
            </w:r>
          </w:p>
        </w:tc>
        <w:tc>
          <w:tcPr>
            <w:tcW w:w="2387" w:type="dxa"/>
          </w:tcPr>
          <w:p w14:paraId="0043CD1E" w14:textId="77777777" w:rsidR="00364DED" w:rsidRDefault="00A70A1E">
            <w:pPr>
              <w:pStyle w:val="NoSpacing"/>
              <w:rPr>
                <w:rFonts w:ascii="Times New Roman" w:hAnsi="Times New Roman" w:cs="Times New Roman"/>
              </w:rPr>
            </w:pPr>
            <w:r>
              <w:rPr>
                <w:rFonts w:ascii="Times New Roman" w:hAnsi="Times New Roman" w:cs="Times New Roman"/>
              </w:rPr>
              <w:t>44.44±0.00</w:t>
            </w:r>
          </w:p>
        </w:tc>
      </w:tr>
      <w:tr w:rsidR="00364DED" w14:paraId="20976955" w14:textId="77777777">
        <w:tc>
          <w:tcPr>
            <w:tcW w:w="1696" w:type="dxa"/>
            <w:vMerge/>
          </w:tcPr>
          <w:p w14:paraId="368BDA55" w14:textId="77777777" w:rsidR="00364DED" w:rsidRDefault="00364DED">
            <w:pPr>
              <w:pStyle w:val="NoSpacing"/>
              <w:rPr>
                <w:rFonts w:ascii="Times New Roman" w:hAnsi="Times New Roman" w:cs="Times New Roman"/>
              </w:rPr>
            </w:pPr>
          </w:p>
        </w:tc>
        <w:tc>
          <w:tcPr>
            <w:tcW w:w="1418" w:type="dxa"/>
          </w:tcPr>
          <w:p w14:paraId="2E43B251" w14:textId="77777777" w:rsidR="00364DED" w:rsidRDefault="00A70A1E">
            <w:pPr>
              <w:pStyle w:val="NoSpacing"/>
              <w:rPr>
                <w:rFonts w:ascii="Times New Roman" w:hAnsi="Times New Roman" w:cs="Times New Roman"/>
              </w:rPr>
            </w:pPr>
            <w:r>
              <w:rPr>
                <w:rFonts w:ascii="Times New Roman" w:hAnsi="Times New Roman" w:cs="Times New Roman"/>
              </w:rPr>
              <w:t>2000</w:t>
            </w:r>
          </w:p>
        </w:tc>
        <w:tc>
          <w:tcPr>
            <w:tcW w:w="2126" w:type="dxa"/>
          </w:tcPr>
          <w:p w14:paraId="761C932E" w14:textId="77777777" w:rsidR="00364DED" w:rsidRDefault="00A70A1E">
            <w:pPr>
              <w:pStyle w:val="NoSpacing"/>
              <w:rPr>
                <w:rFonts w:ascii="Times New Roman" w:hAnsi="Times New Roman" w:cs="Times New Roman"/>
              </w:rPr>
            </w:pPr>
            <w:r>
              <w:rPr>
                <w:rFonts w:ascii="Times New Roman" w:hAnsi="Times New Roman" w:cs="Times New Roman"/>
              </w:rPr>
              <w:t xml:space="preserve">28.51±0.64 </w:t>
            </w:r>
          </w:p>
        </w:tc>
        <w:tc>
          <w:tcPr>
            <w:tcW w:w="1767" w:type="dxa"/>
          </w:tcPr>
          <w:p w14:paraId="41475009" w14:textId="77777777" w:rsidR="00364DED" w:rsidRDefault="00A70A1E">
            <w:pPr>
              <w:pStyle w:val="NoSpacing"/>
              <w:rPr>
                <w:rFonts w:ascii="Times New Roman" w:hAnsi="Times New Roman" w:cs="Times New Roman"/>
              </w:rPr>
            </w:pPr>
            <w:r>
              <w:rPr>
                <w:rFonts w:ascii="Times New Roman" w:hAnsi="Times New Roman" w:cs="Times New Roman"/>
              </w:rPr>
              <w:t>45.92±1.69</w:t>
            </w:r>
          </w:p>
        </w:tc>
        <w:tc>
          <w:tcPr>
            <w:tcW w:w="2387" w:type="dxa"/>
          </w:tcPr>
          <w:p w14:paraId="67D63AB7" w14:textId="77777777" w:rsidR="00364DED" w:rsidRDefault="00A70A1E">
            <w:pPr>
              <w:pStyle w:val="NoSpacing"/>
              <w:rPr>
                <w:rFonts w:ascii="Times New Roman" w:hAnsi="Times New Roman" w:cs="Times New Roman"/>
              </w:rPr>
            </w:pPr>
            <w:r>
              <w:rPr>
                <w:rFonts w:ascii="Times New Roman" w:hAnsi="Times New Roman" w:cs="Times New Roman"/>
              </w:rPr>
              <w:t>48.14±0.64</w:t>
            </w:r>
          </w:p>
        </w:tc>
      </w:tr>
      <w:tr w:rsidR="00364DED" w14:paraId="1EA41535" w14:textId="77777777">
        <w:trPr>
          <w:trHeight w:val="186"/>
        </w:trPr>
        <w:tc>
          <w:tcPr>
            <w:tcW w:w="1696" w:type="dxa"/>
            <w:vMerge w:val="restart"/>
          </w:tcPr>
          <w:p w14:paraId="6BB0961A" w14:textId="77777777" w:rsidR="00364DED" w:rsidRDefault="00A70A1E">
            <w:pPr>
              <w:pStyle w:val="NoSpacing"/>
              <w:rPr>
                <w:rFonts w:ascii="Times New Roman" w:hAnsi="Times New Roman" w:cs="Times New Roman"/>
                <w:rtl/>
                <w:lang w:bidi="ar-EG"/>
              </w:rPr>
            </w:pPr>
            <w:r>
              <w:rPr>
                <w:rFonts w:ascii="Times New Roman" w:hAnsi="Times New Roman" w:cs="Times New Roman"/>
              </w:rPr>
              <w:t>Bark methanol</w:t>
            </w:r>
          </w:p>
        </w:tc>
        <w:tc>
          <w:tcPr>
            <w:tcW w:w="1418" w:type="dxa"/>
          </w:tcPr>
          <w:p w14:paraId="707B546F" w14:textId="77777777" w:rsidR="00364DED" w:rsidRDefault="00A70A1E">
            <w:pPr>
              <w:pStyle w:val="NoSpacing"/>
              <w:rPr>
                <w:rFonts w:ascii="Times New Roman" w:hAnsi="Times New Roman" w:cs="Times New Roman"/>
              </w:rPr>
            </w:pPr>
            <w:r>
              <w:rPr>
                <w:rFonts w:ascii="Times New Roman" w:hAnsi="Times New Roman" w:cs="Times New Roman"/>
              </w:rPr>
              <w:t>500</w:t>
            </w:r>
          </w:p>
        </w:tc>
        <w:tc>
          <w:tcPr>
            <w:tcW w:w="2126" w:type="dxa"/>
          </w:tcPr>
          <w:p w14:paraId="4663233B" w14:textId="77777777" w:rsidR="00364DED" w:rsidRDefault="00A70A1E">
            <w:pPr>
              <w:pStyle w:val="NoSpacing"/>
              <w:rPr>
                <w:rFonts w:ascii="Times New Roman" w:hAnsi="Times New Roman" w:cs="Times New Roman"/>
              </w:rPr>
            </w:pPr>
            <w:r>
              <w:rPr>
                <w:rFonts w:ascii="Times New Roman" w:hAnsi="Times New Roman" w:cs="Times New Roman"/>
              </w:rPr>
              <w:t>12.96±0.64</w:t>
            </w:r>
          </w:p>
        </w:tc>
        <w:tc>
          <w:tcPr>
            <w:tcW w:w="1767" w:type="dxa"/>
          </w:tcPr>
          <w:p w14:paraId="644B607A" w14:textId="77777777" w:rsidR="00364DED" w:rsidRDefault="00A70A1E">
            <w:pPr>
              <w:pStyle w:val="NoSpacing"/>
              <w:rPr>
                <w:rFonts w:ascii="Times New Roman" w:hAnsi="Times New Roman" w:cs="Times New Roman"/>
              </w:rPr>
            </w:pPr>
            <w:r>
              <w:rPr>
                <w:rFonts w:ascii="Times New Roman" w:hAnsi="Times New Roman" w:cs="Times New Roman"/>
              </w:rPr>
              <w:t>43.33±0.00</w:t>
            </w:r>
          </w:p>
        </w:tc>
        <w:tc>
          <w:tcPr>
            <w:tcW w:w="2387" w:type="dxa"/>
          </w:tcPr>
          <w:p w14:paraId="3AC1248D" w14:textId="77777777" w:rsidR="00364DED" w:rsidRDefault="00A70A1E">
            <w:pPr>
              <w:pStyle w:val="NoSpacing"/>
              <w:rPr>
                <w:rFonts w:ascii="Times New Roman" w:hAnsi="Times New Roman" w:cs="Times New Roman"/>
              </w:rPr>
            </w:pPr>
            <w:r>
              <w:rPr>
                <w:rFonts w:ascii="Times New Roman" w:hAnsi="Times New Roman" w:cs="Times New Roman"/>
              </w:rPr>
              <w:t>0.00</w:t>
            </w:r>
          </w:p>
        </w:tc>
      </w:tr>
      <w:tr w:rsidR="00364DED" w14:paraId="760B0D78" w14:textId="77777777">
        <w:tc>
          <w:tcPr>
            <w:tcW w:w="1696" w:type="dxa"/>
            <w:vMerge/>
          </w:tcPr>
          <w:p w14:paraId="17CE5FE2" w14:textId="77777777" w:rsidR="00364DED" w:rsidRDefault="00364DED">
            <w:pPr>
              <w:pStyle w:val="NoSpacing"/>
              <w:rPr>
                <w:rFonts w:ascii="Times New Roman" w:hAnsi="Times New Roman" w:cs="Times New Roman"/>
              </w:rPr>
            </w:pPr>
          </w:p>
        </w:tc>
        <w:tc>
          <w:tcPr>
            <w:tcW w:w="1418" w:type="dxa"/>
          </w:tcPr>
          <w:p w14:paraId="63411B78" w14:textId="77777777" w:rsidR="00364DED" w:rsidRDefault="00A70A1E">
            <w:pPr>
              <w:pStyle w:val="NoSpacing"/>
              <w:rPr>
                <w:rFonts w:ascii="Times New Roman" w:hAnsi="Times New Roman" w:cs="Times New Roman"/>
              </w:rPr>
            </w:pPr>
            <w:r>
              <w:rPr>
                <w:rFonts w:ascii="Times New Roman" w:hAnsi="Times New Roman" w:cs="Times New Roman"/>
              </w:rPr>
              <w:t>1000</w:t>
            </w:r>
          </w:p>
        </w:tc>
        <w:tc>
          <w:tcPr>
            <w:tcW w:w="2126" w:type="dxa"/>
          </w:tcPr>
          <w:p w14:paraId="53C7B78A" w14:textId="77777777" w:rsidR="00364DED" w:rsidRDefault="00A70A1E">
            <w:pPr>
              <w:pStyle w:val="NoSpacing"/>
              <w:rPr>
                <w:rFonts w:ascii="Times New Roman" w:hAnsi="Times New Roman" w:cs="Times New Roman"/>
              </w:rPr>
            </w:pPr>
            <w:r>
              <w:rPr>
                <w:rFonts w:ascii="Times New Roman" w:hAnsi="Times New Roman" w:cs="Times New Roman"/>
              </w:rPr>
              <w:t>18.14±0.64</w:t>
            </w:r>
          </w:p>
        </w:tc>
        <w:tc>
          <w:tcPr>
            <w:tcW w:w="1767" w:type="dxa"/>
          </w:tcPr>
          <w:p w14:paraId="2FD90705" w14:textId="77777777" w:rsidR="00364DED" w:rsidRDefault="00A70A1E">
            <w:pPr>
              <w:pStyle w:val="NoSpacing"/>
              <w:rPr>
                <w:rFonts w:ascii="Times New Roman" w:hAnsi="Times New Roman" w:cs="Times New Roman"/>
              </w:rPr>
            </w:pPr>
            <w:r>
              <w:rPr>
                <w:rFonts w:ascii="Times New Roman" w:hAnsi="Times New Roman" w:cs="Times New Roman"/>
              </w:rPr>
              <w:t>50.74±0.64</w:t>
            </w:r>
          </w:p>
        </w:tc>
        <w:tc>
          <w:tcPr>
            <w:tcW w:w="2387" w:type="dxa"/>
          </w:tcPr>
          <w:p w14:paraId="33EF1525" w14:textId="77777777" w:rsidR="00364DED" w:rsidRDefault="00A70A1E">
            <w:pPr>
              <w:pStyle w:val="NoSpacing"/>
              <w:rPr>
                <w:rFonts w:ascii="Times New Roman" w:hAnsi="Times New Roman" w:cs="Times New Roman"/>
              </w:rPr>
            </w:pPr>
            <w:r>
              <w:rPr>
                <w:rFonts w:ascii="Times New Roman" w:hAnsi="Times New Roman" w:cs="Times New Roman"/>
              </w:rPr>
              <w:t>0.00</w:t>
            </w:r>
          </w:p>
        </w:tc>
      </w:tr>
      <w:tr w:rsidR="00364DED" w14:paraId="0072E2D9" w14:textId="77777777">
        <w:tc>
          <w:tcPr>
            <w:tcW w:w="1696" w:type="dxa"/>
            <w:vMerge/>
            <w:tcBorders>
              <w:bottom w:val="nil"/>
            </w:tcBorders>
          </w:tcPr>
          <w:p w14:paraId="2110BD6A" w14:textId="77777777" w:rsidR="00364DED" w:rsidRDefault="00364DED">
            <w:pPr>
              <w:pStyle w:val="NoSpacing"/>
              <w:rPr>
                <w:rFonts w:ascii="Times New Roman" w:hAnsi="Times New Roman" w:cs="Times New Roman"/>
              </w:rPr>
            </w:pPr>
          </w:p>
        </w:tc>
        <w:tc>
          <w:tcPr>
            <w:tcW w:w="1418" w:type="dxa"/>
            <w:tcBorders>
              <w:bottom w:val="nil"/>
            </w:tcBorders>
          </w:tcPr>
          <w:p w14:paraId="1A3F5910" w14:textId="77777777" w:rsidR="00364DED" w:rsidRDefault="00A70A1E">
            <w:pPr>
              <w:pStyle w:val="NoSpacing"/>
              <w:rPr>
                <w:rFonts w:ascii="Times New Roman" w:hAnsi="Times New Roman" w:cs="Times New Roman"/>
              </w:rPr>
            </w:pPr>
            <w:r>
              <w:rPr>
                <w:rFonts w:ascii="Times New Roman" w:hAnsi="Times New Roman" w:cs="Times New Roman"/>
              </w:rPr>
              <w:t>2000</w:t>
            </w:r>
          </w:p>
        </w:tc>
        <w:tc>
          <w:tcPr>
            <w:tcW w:w="2126" w:type="dxa"/>
            <w:tcBorders>
              <w:bottom w:val="nil"/>
            </w:tcBorders>
          </w:tcPr>
          <w:p w14:paraId="0B486E38" w14:textId="77777777" w:rsidR="00364DED" w:rsidRDefault="00A70A1E">
            <w:pPr>
              <w:pStyle w:val="NoSpacing"/>
              <w:rPr>
                <w:rFonts w:ascii="Times New Roman" w:hAnsi="Times New Roman" w:cs="Times New Roman"/>
              </w:rPr>
            </w:pPr>
            <w:r>
              <w:rPr>
                <w:rFonts w:ascii="Times New Roman" w:hAnsi="Times New Roman" w:cs="Times New Roman"/>
              </w:rPr>
              <w:t>20.74±0.64</w:t>
            </w:r>
          </w:p>
        </w:tc>
        <w:tc>
          <w:tcPr>
            <w:tcW w:w="1767" w:type="dxa"/>
            <w:tcBorders>
              <w:bottom w:val="nil"/>
            </w:tcBorders>
          </w:tcPr>
          <w:p w14:paraId="74B8FEAE" w14:textId="77777777" w:rsidR="00364DED" w:rsidRDefault="00A70A1E">
            <w:pPr>
              <w:pStyle w:val="NoSpacing"/>
              <w:rPr>
                <w:rFonts w:ascii="Times New Roman" w:hAnsi="Times New Roman" w:cs="Times New Roman"/>
              </w:rPr>
            </w:pPr>
            <w:r>
              <w:rPr>
                <w:rFonts w:ascii="Times New Roman" w:hAnsi="Times New Roman" w:cs="Times New Roman"/>
              </w:rPr>
              <w:t>55.55±0.00</w:t>
            </w:r>
          </w:p>
        </w:tc>
        <w:tc>
          <w:tcPr>
            <w:tcW w:w="2387" w:type="dxa"/>
            <w:tcBorders>
              <w:bottom w:val="nil"/>
            </w:tcBorders>
          </w:tcPr>
          <w:p w14:paraId="780F5D15" w14:textId="77777777" w:rsidR="00364DED" w:rsidRDefault="00A70A1E">
            <w:pPr>
              <w:pStyle w:val="NoSpacing"/>
              <w:rPr>
                <w:rFonts w:ascii="Times New Roman" w:hAnsi="Times New Roman" w:cs="Times New Roman"/>
              </w:rPr>
            </w:pPr>
            <w:r>
              <w:rPr>
                <w:rFonts w:ascii="Times New Roman" w:hAnsi="Times New Roman" w:cs="Times New Roman"/>
              </w:rPr>
              <w:t>0.00</w:t>
            </w:r>
          </w:p>
        </w:tc>
      </w:tr>
      <w:tr w:rsidR="00364DED" w14:paraId="1A59580C" w14:textId="77777777">
        <w:tc>
          <w:tcPr>
            <w:tcW w:w="1696" w:type="dxa"/>
            <w:tcBorders>
              <w:top w:val="nil"/>
              <w:bottom w:val="single" w:sz="4" w:space="0" w:color="auto"/>
            </w:tcBorders>
          </w:tcPr>
          <w:p w14:paraId="527547D1" w14:textId="77777777" w:rsidR="00364DED" w:rsidRDefault="00A70A1E">
            <w:pPr>
              <w:pStyle w:val="NoSpacing"/>
              <w:rPr>
                <w:rFonts w:ascii="Times New Roman" w:hAnsi="Times New Roman" w:cs="Times New Roman"/>
              </w:rPr>
            </w:pPr>
            <w:r>
              <w:rPr>
                <w:rFonts w:ascii="Times New Roman" w:hAnsi="Times New Roman" w:cs="Times New Roman"/>
              </w:rPr>
              <w:t>Azoxystrobin 25% SC</w:t>
            </w:r>
          </w:p>
        </w:tc>
        <w:tc>
          <w:tcPr>
            <w:tcW w:w="1418" w:type="dxa"/>
            <w:tcBorders>
              <w:top w:val="nil"/>
              <w:bottom w:val="single" w:sz="4" w:space="0" w:color="auto"/>
            </w:tcBorders>
          </w:tcPr>
          <w:p w14:paraId="7851047A" w14:textId="77777777" w:rsidR="00364DED" w:rsidRDefault="00A70A1E">
            <w:pPr>
              <w:pStyle w:val="NoSpacing"/>
              <w:rPr>
                <w:rFonts w:ascii="Times New Roman" w:hAnsi="Times New Roman" w:cs="Times New Roman"/>
              </w:rPr>
            </w:pPr>
            <w:r>
              <w:rPr>
                <w:rFonts w:ascii="Times New Roman" w:hAnsi="Times New Roman" w:cs="Times New Roman"/>
              </w:rPr>
              <w:t>25 µg/mL</w:t>
            </w:r>
          </w:p>
        </w:tc>
        <w:tc>
          <w:tcPr>
            <w:tcW w:w="2126" w:type="dxa"/>
            <w:tcBorders>
              <w:top w:val="nil"/>
              <w:bottom w:val="single" w:sz="4" w:space="0" w:color="auto"/>
            </w:tcBorders>
          </w:tcPr>
          <w:p w14:paraId="5725A2AC" w14:textId="77777777" w:rsidR="00364DED" w:rsidRDefault="00A70A1E">
            <w:pPr>
              <w:pStyle w:val="NoSpacing"/>
              <w:rPr>
                <w:rFonts w:ascii="Times New Roman" w:hAnsi="Times New Roman" w:cs="Times New Roman"/>
              </w:rPr>
            </w:pPr>
            <w:r>
              <w:rPr>
                <w:rFonts w:ascii="Times New Roman" w:hAnsi="Times New Roman" w:cs="Times New Roman"/>
              </w:rPr>
              <w:t>43.43±0.92</w:t>
            </w:r>
          </w:p>
        </w:tc>
        <w:tc>
          <w:tcPr>
            <w:tcW w:w="1767" w:type="dxa"/>
            <w:tcBorders>
              <w:top w:val="nil"/>
              <w:bottom w:val="single" w:sz="4" w:space="0" w:color="auto"/>
            </w:tcBorders>
          </w:tcPr>
          <w:p w14:paraId="59DE7F1E" w14:textId="77777777" w:rsidR="00364DED" w:rsidRDefault="00A70A1E">
            <w:pPr>
              <w:pStyle w:val="NoSpacing"/>
              <w:rPr>
                <w:rFonts w:ascii="Times New Roman" w:hAnsi="Times New Roman" w:cs="Times New Roman"/>
              </w:rPr>
            </w:pPr>
            <w:r>
              <w:rPr>
                <w:rFonts w:ascii="Times New Roman" w:hAnsi="Times New Roman" w:cs="Times New Roman"/>
              </w:rPr>
              <w:t>60.70±0.20</w:t>
            </w:r>
          </w:p>
        </w:tc>
        <w:tc>
          <w:tcPr>
            <w:tcW w:w="2387" w:type="dxa"/>
            <w:tcBorders>
              <w:top w:val="nil"/>
              <w:bottom w:val="single" w:sz="4" w:space="0" w:color="auto"/>
            </w:tcBorders>
          </w:tcPr>
          <w:p w14:paraId="47BF8B8C" w14:textId="77777777" w:rsidR="00364DED" w:rsidRDefault="00A70A1E">
            <w:pPr>
              <w:pStyle w:val="NoSpacing"/>
              <w:rPr>
                <w:rFonts w:ascii="Times New Roman" w:hAnsi="Times New Roman" w:cs="Times New Roman"/>
              </w:rPr>
            </w:pPr>
            <w:r>
              <w:rPr>
                <w:rFonts w:ascii="Times New Roman" w:hAnsi="Times New Roman" w:cs="Times New Roman"/>
              </w:rPr>
              <w:t>54.07±0.67</w:t>
            </w:r>
          </w:p>
        </w:tc>
      </w:tr>
      <w:tr w:rsidR="00364DED" w14:paraId="588C7DE3" w14:textId="77777777">
        <w:tc>
          <w:tcPr>
            <w:tcW w:w="1696" w:type="dxa"/>
            <w:tcBorders>
              <w:top w:val="single" w:sz="4" w:space="0" w:color="auto"/>
            </w:tcBorders>
          </w:tcPr>
          <w:p w14:paraId="70938432" w14:textId="77777777" w:rsidR="00364DED" w:rsidRDefault="00A70A1E">
            <w:pPr>
              <w:pStyle w:val="NoSpacing"/>
              <w:rPr>
                <w:rFonts w:ascii="Times New Roman" w:hAnsi="Times New Roman" w:cs="Times New Roman"/>
              </w:rPr>
            </w:pPr>
            <w:r>
              <w:rPr>
                <w:rFonts w:ascii="Times New Roman" w:hAnsi="Times New Roman" w:cs="Times New Roman"/>
              </w:rPr>
              <w:t>P-value</w:t>
            </w:r>
          </w:p>
        </w:tc>
        <w:tc>
          <w:tcPr>
            <w:tcW w:w="1418" w:type="dxa"/>
            <w:tcBorders>
              <w:top w:val="single" w:sz="4" w:space="0" w:color="auto"/>
            </w:tcBorders>
          </w:tcPr>
          <w:p w14:paraId="66436913" w14:textId="77777777" w:rsidR="00364DED" w:rsidRDefault="00364DED">
            <w:pPr>
              <w:pStyle w:val="NoSpacing"/>
              <w:rPr>
                <w:rFonts w:ascii="Times New Roman" w:hAnsi="Times New Roman" w:cs="Times New Roman"/>
              </w:rPr>
            </w:pPr>
          </w:p>
        </w:tc>
        <w:tc>
          <w:tcPr>
            <w:tcW w:w="2126" w:type="dxa"/>
            <w:tcBorders>
              <w:top w:val="single" w:sz="4" w:space="0" w:color="auto"/>
            </w:tcBorders>
          </w:tcPr>
          <w:p w14:paraId="4322E1EF" w14:textId="77777777" w:rsidR="00364DED" w:rsidRDefault="00A70A1E">
            <w:pPr>
              <w:pStyle w:val="NoSpacing"/>
              <w:rPr>
                <w:rFonts w:ascii="Times New Roman" w:hAnsi="Times New Roman" w:cs="Times New Roman"/>
              </w:rPr>
            </w:pPr>
            <w:r>
              <w:rPr>
                <w:rFonts w:ascii="Times New Roman" w:hAnsi="Times New Roman" w:cs="Times New Roman"/>
              </w:rPr>
              <w:t>&lt;0.0001</w:t>
            </w:r>
          </w:p>
        </w:tc>
        <w:tc>
          <w:tcPr>
            <w:tcW w:w="1767" w:type="dxa"/>
            <w:tcBorders>
              <w:top w:val="single" w:sz="4" w:space="0" w:color="auto"/>
            </w:tcBorders>
          </w:tcPr>
          <w:p w14:paraId="2C42541C" w14:textId="77777777" w:rsidR="00364DED" w:rsidRDefault="00A70A1E">
            <w:pPr>
              <w:pStyle w:val="NoSpacing"/>
              <w:rPr>
                <w:rFonts w:ascii="Times New Roman" w:hAnsi="Times New Roman" w:cs="Times New Roman"/>
              </w:rPr>
            </w:pPr>
            <w:r>
              <w:rPr>
                <w:rFonts w:ascii="Times New Roman" w:hAnsi="Times New Roman" w:cs="Times New Roman"/>
              </w:rPr>
              <w:t>&lt;0.0001</w:t>
            </w:r>
          </w:p>
        </w:tc>
        <w:tc>
          <w:tcPr>
            <w:tcW w:w="2387" w:type="dxa"/>
            <w:tcBorders>
              <w:top w:val="single" w:sz="4" w:space="0" w:color="auto"/>
            </w:tcBorders>
          </w:tcPr>
          <w:p w14:paraId="07A17830" w14:textId="77777777" w:rsidR="00364DED" w:rsidRDefault="00A70A1E">
            <w:pPr>
              <w:pStyle w:val="NoSpacing"/>
              <w:rPr>
                <w:rFonts w:ascii="Times New Roman" w:hAnsi="Times New Roman" w:cs="Times New Roman"/>
              </w:rPr>
            </w:pPr>
            <w:r>
              <w:rPr>
                <w:rFonts w:ascii="Times New Roman" w:hAnsi="Times New Roman" w:cs="Times New Roman"/>
              </w:rPr>
              <w:t>&lt;0.0001</w:t>
            </w:r>
          </w:p>
        </w:tc>
      </w:tr>
    </w:tbl>
    <w:p w14:paraId="20C64D00" w14:textId="77777777" w:rsidR="00364DED" w:rsidRDefault="00364DED">
      <w:pPr>
        <w:rPr>
          <w:rFonts w:ascii="Times New Roman" w:hAnsi="Times New Roman" w:cs="Times New Roman"/>
          <w:sz w:val="6"/>
          <w:szCs w:val="4"/>
          <w:lang w:bidi="ar-EG"/>
        </w:rPr>
      </w:pPr>
    </w:p>
    <w:p w14:paraId="7284C32D" w14:textId="77777777" w:rsidR="00364DED" w:rsidRDefault="00A70A1E">
      <w:pPr>
        <w:rPr>
          <w:rFonts w:ascii="Times New Roman" w:hAnsi="Times New Roman" w:cs="Times New Roman"/>
          <w:b/>
          <w:bCs/>
          <w:sz w:val="24"/>
        </w:rPr>
      </w:pPr>
      <w:r>
        <w:rPr>
          <w:rFonts w:ascii="Times New Roman" w:hAnsi="Times New Roman" w:cs="Times New Roman"/>
          <w:b/>
          <w:bCs/>
          <w:sz w:val="24"/>
        </w:rPr>
        <w:t xml:space="preserve">Chemical compounds of </w:t>
      </w:r>
      <w:r>
        <w:rPr>
          <w:rFonts w:ascii="Times New Roman" w:hAnsi="Times New Roman" w:cs="Times New Roman"/>
          <w:b/>
          <w:bCs/>
          <w:i/>
          <w:iCs/>
          <w:sz w:val="24"/>
        </w:rPr>
        <w:t>Bougainvillea spectabilis</w:t>
      </w:r>
      <w:r>
        <w:rPr>
          <w:rFonts w:ascii="Times New Roman" w:hAnsi="Times New Roman" w:cs="Times New Roman"/>
          <w:b/>
          <w:bCs/>
          <w:sz w:val="24"/>
        </w:rPr>
        <w:t xml:space="preserve"> extracts</w:t>
      </w:r>
    </w:p>
    <w:p w14:paraId="6A408ECE" w14:textId="77777777" w:rsidR="00364DED" w:rsidRDefault="00A70A1E">
      <w:pPr>
        <w:autoSpaceDE w:val="0"/>
        <w:autoSpaceDN w:val="0"/>
        <w:adjustRightInd w:val="0"/>
        <w:spacing w:after="0" w:line="360" w:lineRule="auto"/>
        <w:ind w:firstLine="567"/>
        <w:jc w:val="both"/>
        <w:rPr>
          <w:rFonts w:ascii="Times New Roman" w:hAnsi="Times New Roman" w:cs="Times New Roman"/>
          <w:sz w:val="24"/>
        </w:rPr>
      </w:pPr>
      <w:r>
        <w:rPr>
          <w:rFonts w:ascii="Times New Roman" w:hAnsi="Times New Roman" w:cs="Times New Roman"/>
          <w:sz w:val="24"/>
          <w:szCs w:val="24"/>
        </w:rPr>
        <w:t xml:space="preserve">The identified chemical composition of </w:t>
      </w:r>
      <w:r>
        <w:rPr>
          <w:rFonts w:ascii="Times New Roman" w:hAnsi="Times New Roman" w:cs="Times New Roman"/>
          <w:i/>
          <w:iCs/>
          <w:sz w:val="24"/>
          <w:szCs w:val="24"/>
        </w:rPr>
        <w:t xml:space="preserve">B. spectabilis </w:t>
      </w:r>
      <w:r>
        <w:rPr>
          <w:rFonts w:ascii="Times New Roman" w:hAnsi="Times New Roman" w:cs="Times New Roman"/>
          <w:sz w:val="24"/>
          <w:szCs w:val="24"/>
        </w:rPr>
        <w:t xml:space="preserve">bark ME is shown in Table 3 and represents 15 compounds. The main chemical components were (Z)-9-octadecenoic acid or Δ9-cis-oleic acid (24.16 %), oleic acid (23.84 %) and retinal (12.07 %), followed by </w:t>
      </w:r>
      <w:r>
        <w:rPr>
          <w:rFonts w:ascii="Times New Roman" w:hAnsi="Times New Roman" w:cs="Times New Roman"/>
          <w:i/>
          <w:iCs/>
          <w:sz w:val="24"/>
        </w:rPr>
        <w:t>trans</w:t>
      </w:r>
      <w:r>
        <w:rPr>
          <w:rFonts w:ascii="Times New Roman" w:hAnsi="Times New Roman" w:cs="Times New Roman"/>
          <w:sz w:val="24"/>
        </w:rPr>
        <w:t xml:space="preserve">-13-octadecenoic acid (9.41 %), </w:t>
      </w:r>
      <w:r>
        <w:rPr>
          <w:rFonts w:ascii="Times New Roman" w:hAnsi="Times New Roman" w:cs="Times New Roman"/>
          <w:i/>
          <w:iCs/>
          <w:sz w:val="24"/>
        </w:rPr>
        <w:t>cis</w:t>
      </w:r>
      <w:r>
        <w:rPr>
          <w:rFonts w:ascii="Times New Roman" w:hAnsi="Times New Roman" w:cs="Times New Roman"/>
          <w:sz w:val="24"/>
        </w:rPr>
        <w:t xml:space="preserve">-13-eicosenoic acid (8.30%), </w:t>
      </w:r>
      <w:r>
        <w:rPr>
          <w:rFonts w:ascii="Times New Roman" w:hAnsi="Times New Roman" w:cs="Times New Roman"/>
          <w:sz w:val="24"/>
          <w:szCs w:val="24"/>
        </w:rPr>
        <w:t>Z-(13,14-</w:t>
      </w:r>
      <w:proofErr w:type="gramStart"/>
      <w:r>
        <w:rPr>
          <w:rFonts w:ascii="Times New Roman" w:hAnsi="Times New Roman" w:cs="Times New Roman"/>
          <w:sz w:val="24"/>
          <w:szCs w:val="24"/>
        </w:rPr>
        <w:t>epoxy)tetradec</w:t>
      </w:r>
      <w:proofErr w:type="gramEnd"/>
      <w:r>
        <w:rPr>
          <w:rFonts w:ascii="Times New Roman" w:hAnsi="Times New Roman" w:cs="Times New Roman"/>
          <w:sz w:val="24"/>
          <w:szCs w:val="24"/>
        </w:rPr>
        <w:t xml:space="preserve">-11-en-1-ol acetate (4.56%), methyl-cyclohexane (3.57 %) and </w:t>
      </w:r>
      <w:r>
        <w:rPr>
          <w:rFonts w:ascii="Times New Roman" w:hAnsi="Times New Roman" w:cs="Times New Roman"/>
          <w:sz w:val="24"/>
        </w:rPr>
        <w:t>5-phenyl-decane (3.23 %).</w:t>
      </w:r>
    </w:p>
    <w:p w14:paraId="49B35F9C" w14:textId="77777777" w:rsidR="00364DED" w:rsidRDefault="00A70A1E">
      <w:pPr>
        <w:autoSpaceDE w:val="0"/>
        <w:autoSpaceDN w:val="0"/>
        <w:adjustRightInd w:val="0"/>
        <w:spacing w:after="0" w:line="360" w:lineRule="auto"/>
        <w:ind w:firstLine="567"/>
        <w:jc w:val="both"/>
        <w:rPr>
          <w:rFonts w:ascii="Times New Roman" w:hAnsi="Times New Roman" w:cs="Times New Roman"/>
          <w:sz w:val="24"/>
        </w:rPr>
      </w:pPr>
      <w:r>
        <w:rPr>
          <w:rFonts w:ascii="Times New Roman" w:hAnsi="Times New Roman" w:cs="Times New Roman"/>
          <w:sz w:val="24"/>
          <w:szCs w:val="24"/>
        </w:rPr>
        <w:t xml:space="preserve">The identified chemical composition of </w:t>
      </w:r>
      <w:r>
        <w:rPr>
          <w:rFonts w:ascii="Times New Roman" w:hAnsi="Times New Roman" w:cs="Times New Roman"/>
          <w:i/>
          <w:iCs/>
          <w:sz w:val="24"/>
          <w:szCs w:val="24"/>
        </w:rPr>
        <w:t xml:space="preserve">B. spectabilis </w:t>
      </w:r>
      <w:r>
        <w:rPr>
          <w:rFonts w:ascii="Times New Roman" w:hAnsi="Times New Roman" w:cs="Times New Roman"/>
          <w:sz w:val="24"/>
          <w:szCs w:val="24"/>
        </w:rPr>
        <w:t xml:space="preserve">bark BE is shown in Table 4 and represents 21 compounds. The main chemical components were 9-nonanal (38.33%), (E)-2-nonenal, (18.91%), and octanal (13.56%), followed by heptanal (5.03%), (E)-2-decen-1-ol (4.12 %), </w:t>
      </w:r>
      <w:r>
        <w:rPr>
          <w:rFonts w:ascii="Times New Roman" w:hAnsi="Times New Roman" w:cs="Times New Roman"/>
          <w:sz w:val="24"/>
          <w:szCs w:val="24"/>
          <w:lang w:bidi="ar-EG"/>
        </w:rPr>
        <w:t>(E)-2-decenal (3.50 %)</w:t>
      </w:r>
      <w:r>
        <w:rPr>
          <w:rFonts w:ascii="Times New Roman" w:hAnsi="Times New Roman" w:cs="Times New Roman"/>
          <w:sz w:val="24"/>
          <w:szCs w:val="24"/>
        </w:rPr>
        <w:t xml:space="preserve"> and </w:t>
      </w:r>
      <w:r>
        <w:rPr>
          <w:rFonts w:ascii="Times New Roman" w:hAnsi="Times New Roman" w:cs="Times New Roman"/>
          <w:sz w:val="24"/>
        </w:rPr>
        <w:t>(E)-2-octenal (3.25 %).</w:t>
      </w:r>
    </w:p>
    <w:p w14:paraId="0167B74C" w14:textId="77777777" w:rsidR="00364DED" w:rsidRDefault="00A70A1E">
      <w:pPr>
        <w:rPr>
          <w:rFonts w:ascii="Times New Roman" w:hAnsi="Times New Roman" w:cs="Times New Roman"/>
          <w:sz w:val="24"/>
        </w:rPr>
      </w:pPr>
      <w:r>
        <w:rPr>
          <w:rFonts w:ascii="Times New Roman" w:hAnsi="Times New Roman" w:cs="Times New Roman"/>
          <w:b/>
          <w:bCs/>
          <w:sz w:val="24"/>
        </w:rPr>
        <w:t>Table 3</w:t>
      </w:r>
      <w:r>
        <w:rPr>
          <w:rFonts w:ascii="Times New Roman" w:hAnsi="Times New Roman" w:cs="Times New Roman"/>
          <w:sz w:val="24"/>
        </w:rPr>
        <w:t xml:space="preserve">. </w:t>
      </w:r>
      <w:r>
        <w:rPr>
          <w:rFonts w:ascii="Times New Roman" w:hAnsi="Times New Roman" w:cs="Times New Roman"/>
          <w:sz w:val="24"/>
          <w:szCs w:val="24"/>
        </w:rPr>
        <w:t xml:space="preserve">The chemical composition of </w:t>
      </w:r>
      <w:r>
        <w:rPr>
          <w:rFonts w:ascii="Times New Roman" w:hAnsi="Times New Roman" w:cs="Times New Roman"/>
          <w:i/>
          <w:iCs/>
          <w:sz w:val="24"/>
          <w:szCs w:val="24"/>
        </w:rPr>
        <w:t xml:space="preserve">Bougainvillea spectabilis </w:t>
      </w:r>
      <w:r>
        <w:rPr>
          <w:rFonts w:ascii="Times New Roman" w:hAnsi="Times New Roman" w:cs="Times New Roman"/>
          <w:sz w:val="24"/>
          <w:szCs w:val="24"/>
        </w:rPr>
        <w:t xml:space="preserve">bark methanol extract using GC-MS analysis </w:t>
      </w:r>
    </w:p>
    <w:tbl>
      <w:tblPr>
        <w:tblW w:w="9072" w:type="dxa"/>
        <w:tblInd w:w="108" w:type="dxa"/>
        <w:tblBorders>
          <w:top w:val="single" w:sz="4" w:space="0" w:color="auto"/>
          <w:bottom w:val="single" w:sz="4" w:space="0" w:color="auto"/>
        </w:tblBorders>
        <w:tblLayout w:type="fixed"/>
        <w:tblLook w:val="04A0" w:firstRow="1" w:lastRow="0" w:firstColumn="1" w:lastColumn="0" w:noHBand="0" w:noVBand="1"/>
      </w:tblPr>
      <w:tblGrid>
        <w:gridCol w:w="709"/>
        <w:gridCol w:w="851"/>
        <w:gridCol w:w="3402"/>
        <w:gridCol w:w="992"/>
        <w:gridCol w:w="1134"/>
        <w:gridCol w:w="1276"/>
        <w:gridCol w:w="708"/>
      </w:tblGrid>
      <w:tr w:rsidR="00364DED" w14:paraId="666B7711" w14:textId="77777777">
        <w:tc>
          <w:tcPr>
            <w:tcW w:w="709" w:type="dxa"/>
            <w:tcBorders>
              <w:top w:val="single" w:sz="4" w:space="0" w:color="auto"/>
              <w:bottom w:val="single" w:sz="4" w:space="0" w:color="auto"/>
            </w:tcBorders>
          </w:tcPr>
          <w:p w14:paraId="02EF8700" w14:textId="77777777" w:rsidR="00364DED" w:rsidRDefault="00A70A1E">
            <w:pPr>
              <w:pStyle w:val="NoSpacing"/>
              <w:rPr>
                <w:rFonts w:ascii="Times New Roman" w:hAnsi="Times New Roman" w:cs="Times New Roman"/>
              </w:rPr>
            </w:pPr>
            <w:r>
              <w:rPr>
                <w:rFonts w:ascii="Times New Roman" w:hAnsi="Times New Roman" w:cs="Times New Roman"/>
              </w:rPr>
              <w:t>Peak</w:t>
            </w:r>
          </w:p>
        </w:tc>
        <w:tc>
          <w:tcPr>
            <w:tcW w:w="851" w:type="dxa"/>
            <w:tcBorders>
              <w:top w:val="single" w:sz="4" w:space="0" w:color="auto"/>
              <w:bottom w:val="single" w:sz="4" w:space="0" w:color="auto"/>
            </w:tcBorders>
          </w:tcPr>
          <w:p w14:paraId="3A1ABACE" w14:textId="77777777" w:rsidR="00364DED" w:rsidRDefault="00A70A1E">
            <w:pPr>
              <w:pStyle w:val="NoSpacing"/>
              <w:rPr>
                <w:rFonts w:ascii="Times New Roman" w:hAnsi="Times New Roman" w:cs="Times New Roman"/>
              </w:rPr>
            </w:pPr>
            <w:r>
              <w:rPr>
                <w:rFonts w:ascii="Times New Roman" w:hAnsi="Times New Roman" w:cs="Times New Roman"/>
              </w:rPr>
              <w:t>RT*</w:t>
            </w:r>
          </w:p>
          <w:p w14:paraId="2E7D51D4" w14:textId="77777777" w:rsidR="00364DED" w:rsidRDefault="00364DED">
            <w:pPr>
              <w:pStyle w:val="NoSpacing"/>
              <w:rPr>
                <w:rFonts w:ascii="Times New Roman" w:hAnsi="Times New Roman" w:cs="Times New Roman"/>
              </w:rPr>
            </w:pPr>
          </w:p>
        </w:tc>
        <w:tc>
          <w:tcPr>
            <w:tcW w:w="3402" w:type="dxa"/>
            <w:tcBorders>
              <w:top w:val="single" w:sz="4" w:space="0" w:color="auto"/>
              <w:bottom w:val="single" w:sz="4" w:space="0" w:color="auto"/>
            </w:tcBorders>
          </w:tcPr>
          <w:p w14:paraId="18B90D35" w14:textId="77777777" w:rsidR="00364DED" w:rsidRDefault="00A70A1E">
            <w:pPr>
              <w:pStyle w:val="NoSpacing"/>
              <w:rPr>
                <w:rFonts w:ascii="Times New Roman" w:hAnsi="Times New Roman" w:cs="Times New Roman"/>
              </w:rPr>
            </w:pPr>
            <w:r>
              <w:rPr>
                <w:rFonts w:ascii="Times New Roman" w:hAnsi="Times New Roman" w:cs="Times New Roman"/>
              </w:rPr>
              <w:t>Name</w:t>
            </w:r>
          </w:p>
        </w:tc>
        <w:tc>
          <w:tcPr>
            <w:tcW w:w="992" w:type="dxa"/>
            <w:tcBorders>
              <w:top w:val="single" w:sz="4" w:space="0" w:color="auto"/>
              <w:bottom w:val="single" w:sz="4" w:space="0" w:color="auto"/>
            </w:tcBorders>
          </w:tcPr>
          <w:p w14:paraId="0E3C5FE8" w14:textId="77777777" w:rsidR="00364DED" w:rsidRDefault="00A70A1E">
            <w:pPr>
              <w:pStyle w:val="NoSpacing"/>
              <w:rPr>
                <w:rFonts w:ascii="Times New Roman" w:hAnsi="Times New Roman" w:cs="Times New Roman"/>
              </w:rPr>
            </w:pPr>
            <w:r>
              <w:rPr>
                <w:rFonts w:ascii="Times New Roman" w:hAnsi="Times New Roman" w:cs="Times New Roman"/>
              </w:rPr>
              <w:t>Area %</w:t>
            </w:r>
          </w:p>
        </w:tc>
        <w:tc>
          <w:tcPr>
            <w:tcW w:w="1134" w:type="dxa"/>
            <w:tcBorders>
              <w:top w:val="single" w:sz="4" w:space="0" w:color="auto"/>
              <w:bottom w:val="single" w:sz="4" w:space="0" w:color="auto"/>
            </w:tcBorders>
          </w:tcPr>
          <w:p w14:paraId="3D37FCDB" w14:textId="77777777" w:rsidR="00364DED" w:rsidRDefault="00A70A1E">
            <w:pPr>
              <w:pStyle w:val="NoSpacing"/>
              <w:rPr>
                <w:rFonts w:ascii="Times New Roman" w:hAnsi="Times New Roman" w:cs="Times New Roman"/>
              </w:rPr>
            </w:pPr>
            <w:r>
              <w:rPr>
                <w:rFonts w:ascii="Times New Roman" w:hAnsi="Times New Roman" w:cs="Times New Roman"/>
              </w:rPr>
              <w:t>Molecular Weight</w:t>
            </w:r>
          </w:p>
        </w:tc>
        <w:tc>
          <w:tcPr>
            <w:tcW w:w="1276" w:type="dxa"/>
            <w:tcBorders>
              <w:top w:val="single" w:sz="4" w:space="0" w:color="auto"/>
              <w:bottom w:val="single" w:sz="4" w:space="0" w:color="auto"/>
            </w:tcBorders>
          </w:tcPr>
          <w:p w14:paraId="27EC3287" w14:textId="77777777" w:rsidR="00364DED" w:rsidRDefault="00A70A1E">
            <w:pPr>
              <w:pStyle w:val="NoSpacing"/>
              <w:rPr>
                <w:rFonts w:ascii="Times New Roman" w:hAnsi="Times New Roman" w:cs="Times New Roman"/>
              </w:rPr>
            </w:pPr>
            <w:r>
              <w:rPr>
                <w:rFonts w:ascii="Times New Roman" w:hAnsi="Times New Roman" w:cs="Times New Roman"/>
              </w:rPr>
              <w:t>Molecular formula</w:t>
            </w:r>
          </w:p>
        </w:tc>
        <w:tc>
          <w:tcPr>
            <w:tcW w:w="708" w:type="dxa"/>
            <w:tcBorders>
              <w:top w:val="single" w:sz="4" w:space="0" w:color="auto"/>
              <w:bottom w:val="single" w:sz="4" w:space="0" w:color="auto"/>
            </w:tcBorders>
          </w:tcPr>
          <w:p w14:paraId="2B5B3E22" w14:textId="77777777" w:rsidR="00364DED" w:rsidRDefault="00A70A1E">
            <w:pPr>
              <w:pStyle w:val="NoSpacing"/>
              <w:rPr>
                <w:rFonts w:ascii="Times New Roman" w:hAnsi="Times New Roman" w:cs="Times New Roman"/>
              </w:rPr>
            </w:pPr>
            <w:r>
              <w:rPr>
                <w:rFonts w:ascii="Times New Roman" w:hAnsi="Times New Roman" w:cs="Times New Roman"/>
              </w:rPr>
              <w:t>RSI</w:t>
            </w:r>
          </w:p>
        </w:tc>
      </w:tr>
      <w:tr w:rsidR="00364DED" w14:paraId="4FA7FC04" w14:textId="77777777">
        <w:tc>
          <w:tcPr>
            <w:tcW w:w="709" w:type="dxa"/>
            <w:tcBorders>
              <w:top w:val="single" w:sz="4" w:space="0" w:color="auto"/>
            </w:tcBorders>
          </w:tcPr>
          <w:p w14:paraId="43C3A36A" w14:textId="77777777" w:rsidR="00364DED" w:rsidRDefault="00A70A1E">
            <w:pPr>
              <w:pStyle w:val="NoSpacing"/>
              <w:rPr>
                <w:rFonts w:ascii="Times New Roman" w:hAnsi="Times New Roman" w:cs="Times New Roman"/>
              </w:rPr>
            </w:pPr>
            <w:r>
              <w:rPr>
                <w:rFonts w:ascii="Times New Roman" w:hAnsi="Times New Roman" w:cs="Times New Roman"/>
              </w:rPr>
              <w:t>1</w:t>
            </w:r>
          </w:p>
        </w:tc>
        <w:tc>
          <w:tcPr>
            <w:tcW w:w="851" w:type="dxa"/>
            <w:tcBorders>
              <w:top w:val="single" w:sz="4" w:space="0" w:color="auto"/>
            </w:tcBorders>
          </w:tcPr>
          <w:p w14:paraId="4360E3FD" w14:textId="77777777" w:rsidR="00364DED" w:rsidRDefault="00A70A1E">
            <w:pPr>
              <w:pStyle w:val="NoSpacing"/>
              <w:rPr>
                <w:rFonts w:ascii="Times New Roman" w:hAnsi="Times New Roman" w:cs="Times New Roman"/>
              </w:rPr>
            </w:pPr>
            <w:r>
              <w:rPr>
                <w:rFonts w:ascii="Times New Roman" w:hAnsi="Times New Roman" w:cs="Times New Roman"/>
              </w:rPr>
              <w:t>3.23</w:t>
            </w:r>
          </w:p>
        </w:tc>
        <w:tc>
          <w:tcPr>
            <w:tcW w:w="3402" w:type="dxa"/>
            <w:tcBorders>
              <w:top w:val="single" w:sz="4" w:space="0" w:color="auto"/>
            </w:tcBorders>
          </w:tcPr>
          <w:p w14:paraId="77172983" w14:textId="77777777" w:rsidR="00364DED" w:rsidRDefault="00A70A1E">
            <w:pPr>
              <w:pStyle w:val="NoSpacing"/>
              <w:rPr>
                <w:rFonts w:ascii="Times New Roman" w:hAnsi="Times New Roman" w:cs="Times New Roman"/>
              </w:rPr>
            </w:pPr>
            <w:r>
              <w:rPr>
                <w:rFonts w:ascii="Times New Roman" w:hAnsi="Times New Roman" w:cs="Times New Roman"/>
              </w:rPr>
              <w:t xml:space="preserve">Methyl-cyclohexane </w:t>
            </w:r>
          </w:p>
        </w:tc>
        <w:tc>
          <w:tcPr>
            <w:tcW w:w="992" w:type="dxa"/>
            <w:tcBorders>
              <w:top w:val="single" w:sz="4" w:space="0" w:color="auto"/>
            </w:tcBorders>
          </w:tcPr>
          <w:p w14:paraId="4EA0872B" w14:textId="77777777" w:rsidR="00364DED" w:rsidRDefault="00A70A1E">
            <w:pPr>
              <w:pStyle w:val="NoSpacing"/>
              <w:rPr>
                <w:rFonts w:ascii="Times New Roman" w:hAnsi="Times New Roman" w:cs="Times New Roman"/>
              </w:rPr>
            </w:pPr>
            <w:r>
              <w:rPr>
                <w:rFonts w:ascii="Times New Roman" w:hAnsi="Times New Roman" w:cs="Times New Roman"/>
              </w:rPr>
              <w:t>3.57</w:t>
            </w:r>
          </w:p>
        </w:tc>
        <w:tc>
          <w:tcPr>
            <w:tcW w:w="1134" w:type="dxa"/>
            <w:tcBorders>
              <w:top w:val="single" w:sz="4" w:space="0" w:color="auto"/>
            </w:tcBorders>
          </w:tcPr>
          <w:p w14:paraId="7F6E4AC5" w14:textId="77777777" w:rsidR="00364DED" w:rsidRDefault="00A70A1E">
            <w:pPr>
              <w:pStyle w:val="NoSpacing"/>
              <w:rPr>
                <w:rFonts w:ascii="Times New Roman" w:hAnsi="Times New Roman" w:cs="Times New Roman"/>
              </w:rPr>
            </w:pPr>
            <w:r>
              <w:rPr>
                <w:rFonts w:ascii="Times New Roman" w:hAnsi="Times New Roman" w:cs="Times New Roman"/>
              </w:rPr>
              <w:t>98</w:t>
            </w:r>
          </w:p>
        </w:tc>
        <w:tc>
          <w:tcPr>
            <w:tcW w:w="1276" w:type="dxa"/>
            <w:tcBorders>
              <w:top w:val="single" w:sz="4" w:space="0" w:color="auto"/>
            </w:tcBorders>
          </w:tcPr>
          <w:p w14:paraId="453752B7"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7</w:t>
            </w:r>
            <w:r>
              <w:rPr>
                <w:rFonts w:ascii="Times New Roman" w:hAnsi="Times New Roman" w:cs="Times New Roman"/>
              </w:rPr>
              <w:t>H</w:t>
            </w:r>
            <w:r>
              <w:rPr>
                <w:rFonts w:ascii="Times New Roman" w:hAnsi="Times New Roman" w:cs="Times New Roman"/>
                <w:vertAlign w:val="subscript"/>
              </w:rPr>
              <w:t>14</w:t>
            </w:r>
          </w:p>
        </w:tc>
        <w:tc>
          <w:tcPr>
            <w:tcW w:w="708" w:type="dxa"/>
            <w:tcBorders>
              <w:top w:val="single" w:sz="4" w:space="0" w:color="auto"/>
            </w:tcBorders>
          </w:tcPr>
          <w:p w14:paraId="766D06BA" w14:textId="77777777" w:rsidR="00364DED" w:rsidRDefault="00A70A1E">
            <w:pPr>
              <w:pStyle w:val="NoSpacing"/>
              <w:rPr>
                <w:rFonts w:ascii="Times New Roman" w:hAnsi="Times New Roman" w:cs="Times New Roman"/>
              </w:rPr>
            </w:pPr>
            <w:r>
              <w:rPr>
                <w:rFonts w:ascii="Times New Roman" w:hAnsi="Times New Roman" w:cs="Times New Roman"/>
              </w:rPr>
              <w:t>916</w:t>
            </w:r>
          </w:p>
        </w:tc>
      </w:tr>
      <w:tr w:rsidR="00364DED" w14:paraId="2080EB98" w14:textId="77777777">
        <w:tc>
          <w:tcPr>
            <w:tcW w:w="709" w:type="dxa"/>
          </w:tcPr>
          <w:p w14:paraId="7A7BF566" w14:textId="77777777" w:rsidR="00364DED" w:rsidRDefault="00A70A1E">
            <w:pPr>
              <w:pStyle w:val="NoSpacing"/>
              <w:rPr>
                <w:rFonts w:ascii="Times New Roman" w:hAnsi="Times New Roman" w:cs="Times New Roman"/>
              </w:rPr>
            </w:pPr>
            <w:r>
              <w:rPr>
                <w:rFonts w:ascii="Times New Roman" w:hAnsi="Times New Roman" w:cs="Times New Roman"/>
              </w:rPr>
              <w:t>2</w:t>
            </w:r>
          </w:p>
        </w:tc>
        <w:tc>
          <w:tcPr>
            <w:tcW w:w="851" w:type="dxa"/>
          </w:tcPr>
          <w:p w14:paraId="008242FE" w14:textId="77777777" w:rsidR="00364DED" w:rsidRDefault="00A70A1E">
            <w:pPr>
              <w:pStyle w:val="NoSpacing"/>
              <w:rPr>
                <w:rFonts w:ascii="Times New Roman" w:hAnsi="Times New Roman" w:cs="Times New Roman"/>
              </w:rPr>
            </w:pPr>
            <w:r>
              <w:rPr>
                <w:rFonts w:ascii="Times New Roman" w:hAnsi="Times New Roman" w:cs="Times New Roman"/>
              </w:rPr>
              <w:t>3.32</w:t>
            </w:r>
          </w:p>
        </w:tc>
        <w:tc>
          <w:tcPr>
            <w:tcW w:w="3402" w:type="dxa"/>
          </w:tcPr>
          <w:p w14:paraId="2050C458" w14:textId="77777777" w:rsidR="00364DED" w:rsidRDefault="00A70A1E">
            <w:pPr>
              <w:pStyle w:val="NoSpacing"/>
              <w:rPr>
                <w:rFonts w:ascii="Times New Roman" w:hAnsi="Times New Roman" w:cs="Times New Roman"/>
              </w:rPr>
            </w:pPr>
            <w:r>
              <w:rPr>
                <w:rFonts w:ascii="Times New Roman" w:hAnsi="Times New Roman" w:cs="Times New Roman"/>
              </w:rPr>
              <w:t>1-Nonanol</w:t>
            </w:r>
          </w:p>
        </w:tc>
        <w:tc>
          <w:tcPr>
            <w:tcW w:w="992" w:type="dxa"/>
          </w:tcPr>
          <w:p w14:paraId="5589350B" w14:textId="77777777" w:rsidR="00364DED" w:rsidRDefault="00A70A1E">
            <w:pPr>
              <w:pStyle w:val="NoSpacing"/>
              <w:rPr>
                <w:rFonts w:ascii="Times New Roman" w:hAnsi="Times New Roman" w:cs="Times New Roman"/>
              </w:rPr>
            </w:pPr>
            <w:r>
              <w:rPr>
                <w:rFonts w:ascii="Times New Roman" w:hAnsi="Times New Roman" w:cs="Times New Roman"/>
              </w:rPr>
              <w:t>1.34</w:t>
            </w:r>
          </w:p>
        </w:tc>
        <w:tc>
          <w:tcPr>
            <w:tcW w:w="1134" w:type="dxa"/>
          </w:tcPr>
          <w:p w14:paraId="0BC4BA82" w14:textId="77777777" w:rsidR="00364DED" w:rsidRDefault="00A70A1E">
            <w:pPr>
              <w:pStyle w:val="NoSpacing"/>
              <w:rPr>
                <w:rFonts w:ascii="Times New Roman" w:hAnsi="Times New Roman" w:cs="Times New Roman"/>
              </w:rPr>
            </w:pPr>
            <w:r>
              <w:rPr>
                <w:rFonts w:ascii="Times New Roman" w:hAnsi="Times New Roman" w:cs="Times New Roman"/>
              </w:rPr>
              <w:t>144</w:t>
            </w:r>
          </w:p>
        </w:tc>
        <w:tc>
          <w:tcPr>
            <w:tcW w:w="1276" w:type="dxa"/>
          </w:tcPr>
          <w:p w14:paraId="1533BE62"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9</w:t>
            </w:r>
            <w:r>
              <w:rPr>
                <w:rFonts w:ascii="Times New Roman" w:hAnsi="Times New Roman" w:cs="Times New Roman"/>
              </w:rPr>
              <w:t>H</w:t>
            </w:r>
            <w:r>
              <w:rPr>
                <w:rFonts w:ascii="Times New Roman" w:hAnsi="Times New Roman" w:cs="Times New Roman"/>
                <w:vertAlign w:val="subscript"/>
              </w:rPr>
              <w:t>20</w:t>
            </w:r>
            <w:r>
              <w:rPr>
                <w:rFonts w:ascii="Times New Roman" w:hAnsi="Times New Roman" w:cs="Times New Roman"/>
              </w:rPr>
              <w:t>O</w:t>
            </w:r>
          </w:p>
        </w:tc>
        <w:tc>
          <w:tcPr>
            <w:tcW w:w="708" w:type="dxa"/>
          </w:tcPr>
          <w:p w14:paraId="7D1B6F11" w14:textId="77777777" w:rsidR="00364DED" w:rsidRDefault="00A70A1E">
            <w:pPr>
              <w:pStyle w:val="NoSpacing"/>
              <w:rPr>
                <w:rFonts w:ascii="Times New Roman" w:hAnsi="Times New Roman" w:cs="Times New Roman"/>
              </w:rPr>
            </w:pPr>
            <w:r>
              <w:rPr>
                <w:rFonts w:ascii="Times New Roman" w:hAnsi="Times New Roman" w:cs="Times New Roman"/>
              </w:rPr>
              <w:t>767</w:t>
            </w:r>
          </w:p>
        </w:tc>
      </w:tr>
      <w:tr w:rsidR="00364DED" w14:paraId="0AD62D37" w14:textId="77777777">
        <w:tc>
          <w:tcPr>
            <w:tcW w:w="709" w:type="dxa"/>
          </w:tcPr>
          <w:p w14:paraId="0CDAE8FC" w14:textId="77777777" w:rsidR="00364DED" w:rsidRDefault="00A70A1E">
            <w:pPr>
              <w:pStyle w:val="NoSpacing"/>
              <w:rPr>
                <w:rFonts w:ascii="Times New Roman" w:hAnsi="Times New Roman" w:cs="Times New Roman"/>
              </w:rPr>
            </w:pPr>
            <w:r>
              <w:rPr>
                <w:rFonts w:ascii="Times New Roman" w:hAnsi="Times New Roman" w:cs="Times New Roman"/>
              </w:rPr>
              <w:t>3</w:t>
            </w:r>
          </w:p>
        </w:tc>
        <w:tc>
          <w:tcPr>
            <w:tcW w:w="851" w:type="dxa"/>
          </w:tcPr>
          <w:p w14:paraId="4528B8F4" w14:textId="77777777" w:rsidR="00364DED" w:rsidRDefault="00A70A1E">
            <w:pPr>
              <w:pStyle w:val="NoSpacing"/>
              <w:rPr>
                <w:rFonts w:ascii="Times New Roman" w:hAnsi="Times New Roman" w:cs="Times New Roman"/>
              </w:rPr>
            </w:pPr>
            <w:r>
              <w:rPr>
                <w:rFonts w:ascii="Times New Roman" w:hAnsi="Times New Roman" w:cs="Times New Roman"/>
              </w:rPr>
              <w:t>3.86</w:t>
            </w:r>
          </w:p>
        </w:tc>
        <w:tc>
          <w:tcPr>
            <w:tcW w:w="3402" w:type="dxa"/>
          </w:tcPr>
          <w:p w14:paraId="464C4554" w14:textId="77777777" w:rsidR="00364DED" w:rsidRDefault="00A70A1E">
            <w:pPr>
              <w:pStyle w:val="NoSpacing"/>
              <w:rPr>
                <w:rFonts w:ascii="Times New Roman" w:hAnsi="Times New Roman" w:cs="Times New Roman"/>
              </w:rPr>
            </w:pPr>
            <w:r>
              <w:rPr>
                <w:rFonts w:ascii="Times New Roman" w:hAnsi="Times New Roman" w:cs="Times New Roman"/>
              </w:rPr>
              <w:t>6-Methyl-2-heptanol</w:t>
            </w:r>
          </w:p>
        </w:tc>
        <w:tc>
          <w:tcPr>
            <w:tcW w:w="992" w:type="dxa"/>
          </w:tcPr>
          <w:p w14:paraId="770C7570" w14:textId="77777777" w:rsidR="00364DED" w:rsidRDefault="00A70A1E">
            <w:pPr>
              <w:pStyle w:val="NoSpacing"/>
              <w:rPr>
                <w:rFonts w:ascii="Times New Roman" w:hAnsi="Times New Roman" w:cs="Times New Roman"/>
              </w:rPr>
            </w:pPr>
            <w:r>
              <w:rPr>
                <w:rFonts w:ascii="Times New Roman" w:hAnsi="Times New Roman" w:cs="Times New Roman"/>
              </w:rPr>
              <w:t>1.85</w:t>
            </w:r>
          </w:p>
        </w:tc>
        <w:tc>
          <w:tcPr>
            <w:tcW w:w="1134" w:type="dxa"/>
          </w:tcPr>
          <w:p w14:paraId="3402464B" w14:textId="77777777" w:rsidR="00364DED" w:rsidRDefault="00A70A1E">
            <w:pPr>
              <w:pStyle w:val="NoSpacing"/>
              <w:rPr>
                <w:rFonts w:ascii="Times New Roman" w:hAnsi="Times New Roman" w:cs="Times New Roman"/>
              </w:rPr>
            </w:pPr>
            <w:r>
              <w:rPr>
                <w:rFonts w:ascii="Times New Roman" w:hAnsi="Times New Roman" w:cs="Times New Roman"/>
              </w:rPr>
              <w:t>130</w:t>
            </w:r>
          </w:p>
        </w:tc>
        <w:tc>
          <w:tcPr>
            <w:tcW w:w="1276" w:type="dxa"/>
          </w:tcPr>
          <w:p w14:paraId="564F87C8"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8</w:t>
            </w:r>
            <w:r>
              <w:rPr>
                <w:rFonts w:ascii="Times New Roman" w:hAnsi="Times New Roman" w:cs="Times New Roman"/>
              </w:rPr>
              <w:t>H</w:t>
            </w:r>
            <w:r>
              <w:rPr>
                <w:rFonts w:ascii="Times New Roman" w:hAnsi="Times New Roman" w:cs="Times New Roman"/>
                <w:vertAlign w:val="subscript"/>
              </w:rPr>
              <w:t>18</w:t>
            </w:r>
            <w:r>
              <w:rPr>
                <w:rFonts w:ascii="Times New Roman" w:hAnsi="Times New Roman" w:cs="Times New Roman"/>
              </w:rPr>
              <w:t>O</w:t>
            </w:r>
          </w:p>
        </w:tc>
        <w:tc>
          <w:tcPr>
            <w:tcW w:w="708" w:type="dxa"/>
          </w:tcPr>
          <w:p w14:paraId="4418EA02" w14:textId="77777777" w:rsidR="00364DED" w:rsidRDefault="00A70A1E">
            <w:pPr>
              <w:pStyle w:val="NoSpacing"/>
              <w:rPr>
                <w:rFonts w:ascii="Times New Roman" w:hAnsi="Times New Roman" w:cs="Times New Roman"/>
              </w:rPr>
            </w:pPr>
            <w:r>
              <w:rPr>
                <w:rFonts w:ascii="Times New Roman" w:hAnsi="Times New Roman" w:cs="Times New Roman"/>
              </w:rPr>
              <w:t>790</w:t>
            </w:r>
          </w:p>
        </w:tc>
      </w:tr>
      <w:tr w:rsidR="00364DED" w14:paraId="00DD4716" w14:textId="77777777">
        <w:tc>
          <w:tcPr>
            <w:tcW w:w="709" w:type="dxa"/>
          </w:tcPr>
          <w:p w14:paraId="55914C54" w14:textId="77777777" w:rsidR="00364DED" w:rsidRDefault="00A70A1E">
            <w:pPr>
              <w:pStyle w:val="NoSpacing"/>
              <w:rPr>
                <w:rFonts w:ascii="Times New Roman" w:hAnsi="Times New Roman" w:cs="Times New Roman"/>
              </w:rPr>
            </w:pPr>
            <w:r>
              <w:rPr>
                <w:rFonts w:ascii="Times New Roman" w:hAnsi="Times New Roman" w:cs="Times New Roman"/>
              </w:rPr>
              <w:t>4</w:t>
            </w:r>
          </w:p>
        </w:tc>
        <w:tc>
          <w:tcPr>
            <w:tcW w:w="851" w:type="dxa"/>
          </w:tcPr>
          <w:p w14:paraId="422A18F1" w14:textId="77777777" w:rsidR="00364DED" w:rsidRDefault="00A70A1E">
            <w:pPr>
              <w:pStyle w:val="NoSpacing"/>
              <w:rPr>
                <w:rFonts w:ascii="Times New Roman" w:hAnsi="Times New Roman" w:cs="Times New Roman"/>
              </w:rPr>
            </w:pPr>
            <w:r>
              <w:rPr>
                <w:rFonts w:ascii="Times New Roman" w:hAnsi="Times New Roman" w:cs="Times New Roman"/>
              </w:rPr>
              <w:t>4.49</w:t>
            </w:r>
          </w:p>
        </w:tc>
        <w:tc>
          <w:tcPr>
            <w:tcW w:w="3402" w:type="dxa"/>
          </w:tcPr>
          <w:p w14:paraId="640BBB00" w14:textId="77777777" w:rsidR="00364DED" w:rsidRDefault="00A70A1E">
            <w:pPr>
              <w:pStyle w:val="NoSpacing"/>
              <w:rPr>
                <w:rFonts w:ascii="Times New Roman" w:hAnsi="Times New Roman" w:cs="Times New Roman"/>
              </w:rPr>
            </w:pPr>
            <w:r>
              <w:rPr>
                <w:rFonts w:ascii="Times New Roman" w:hAnsi="Times New Roman" w:cs="Times New Roman"/>
              </w:rPr>
              <w:t>2-Ethenylcyclopent-2-enol</w:t>
            </w:r>
          </w:p>
        </w:tc>
        <w:tc>
          <w:tcPr>
            <w:tcW w:w="992" w:type="dxa"/>
          </w:tcPr>
          <w:p w14:paraId="3111ECF5" w14:textId="77777777" w:rsidR="00364DED" w:rsidRDefault="00A70A1E">
            <w:pPr>
              <w:pStyle w:val="NoSpacing"/>
              <w:rPr>
                <w:rFonts w:ascii="Times New Roman" w:hAnsi="Times New Roman" w:cs="Times New Roman"/>
              </w:rPr>
            </w:pPr>
            <w:r>
              <w:rPr>
                <w:rFonts w:ascii="Times New Roman" w:hAnsi="Times New Roman" w:cs="Times New Roman"/>
              </w:rPr>
              <w:t>2.18</w:t>
            </w:r>
          </w:p>
        </w:tc>
        <w:tc>
          <w:tcPr>
            <w:tcW w:w="1134" w:type="dxa"/>
          </w:tcPr>
          <w:p w14:paraId="17BC3372" w14:textId="77777777" w:rsidR="00364DED" w:rsidRDefault="00A70A1E">
            <w:pPr>
              <w:pStyle w:val="NoSpacing"/>
              <w:rPr>
                <w:rFonts w:ascii="Times New Roman" w:hAnsi="Times New Roman" w:cs="Times New Roman"/>
              </w:rPr>
            </w:pPr>
            <w:r>
              <w:rPr>
                <w:rFonts w:ascii="Times New Roman" w:hAnsi="Times New Roman" w:cs="Times New Roman"/>
              </w:rPr>
              <w:t>110</w:t>
            </w:r>
          </w:p>
        </w:tc>
        <w:tc>
          <w:tcPr>
            <w:tcW w:w="1276" w:type="dxa"/>
          </w:tcPr>
          <w:p w14:paraId="2A0E57FC"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7</w:t>
            </w:r>
            <w:r>
              <w:rPr>
                <w:rFonts w:ascii="Times New Roman" w:hAnsi="Times New Roman" w:cs="Times New Roman"/>
              </w:rPr>
              <w:t>H</w:t>
            </w:r>
            <w:r>
              <w:rPr>
                <w:rFonts w:ascii="Times New Roman" w:hAnsi="Times New Roman" w:cs="Times New Roman"/>
                <w:vertAlign w:val="subscript"/>
              </w:rPr>
              <w:t>10</w:t>
            </w:r>
            <w:r>
              <w:rPr>
                <w:rFonts w:ascii="Times New Roman" w:hAnsi="Times New Roman" w:cs="Times New Roman"/>
              </w:rPr>
              <w:t>O</w:t>
            </w:r>
          </w:p>
        </w:tc>
        <w:tc>
          <w:tcPr>
            <w:tcW w:w="708" w:type="dxa"/>
          </w:tcPr>
          <w:p w14:paraId="03522189" w14:textId="77777777" w:rsidR="00364DED" w:rsidRDefault="00A70A1E">
            <w:pPr>
              <w:pStyle w:val="NoSpacing"/>
              <w:rPr>
                <w:rFonts w:ascii="Times New Roman" w:hAnsi="Times New Roman" w:cs="Times New Roman"/>
              </w:rPr>
            </w:pPr>
            <w:r>
              <w:rPr>
                <w:rFonts w:ascii="Times New Roman" w:hAnsi="Times New Roman" w:cs="Times New Roman"/>
              </w:rPr>
              <w:t>974</w:t>
            </w:r>
          </w:p>
        </w:tc>
      </w:tr>
      <w:tr w:rsidR="00364DED" w14:paraId="56E10231" w14:textId="77777777">
        <w:tc>
          <w:tcPr>
            <w:tcW w:w="709" w:type="dxa"/>
          </w:tcPr>
          <w:p w14:paraId="43FCC0F4" w14:textId="77777777" w:rsidR="00364DED" w:rsidRDefault="00A70A1E">
            <w:pPr>
              <w:pStyle w:val="NoSpacing"/>
              <w:rPr>
                <w:rFonts w:ascii="Times New Roman" w:hAnsi="Times New Roman" w:cs="Times New Roman"/>
              </w:rPr>
            </w:pPr>
            <w:r>
              <w:rPr>
                <w:rFonts w:ascii="Times New Roman" w:hAnsi="Times New Roman" w:cs="Times New Roman"/>
              </w:rPr>
              <w:t>5</w:t>
            </w:r>
          </w:p>
        </w:tc>
        <w:tc>
          <w:tcPr>
            <w:tcW w:w="851" w:type="dxa"/>
          </w:tcPr>
          <w:p w14:paraId="528336B0" w14:textId="77777777" w:rsidR="00364DED" w:rsidRDefault="00A70A1E">
            <w:pPr>
              <w:pStyle w:val="NoSpacing"/>
              <w:rPr>
                <w:rFonts w:ascii="Times New Roman" w:hAnsi="Times New Roman" w:cs="Times New Roman"/>
              </w:rPr>
            </w:pPr>
            <w:r>
              <w:rPr>
                <w:rFonts w:ascii="Times New Roman" w:hAnsi="Times New Roman" w:cs="Times New Roman"/>
              </w:rPr>
              <w:t>4.63</w:t>
            </w:r>
          </w:p>
        </w:tc>
        <w:tc>
          <w:tcPr>
            <w:tcW w:w="3402" w:type="dxa"/>
          </w:tcPr>
          <w:p w14:paraId="0ED5D3CF" w14:textId="77777777" w:rsidR="00364DED" w:rsidRDefault="00A70A1E">
            <w:pPr>
              <w:pStyle w:val="NoSpacing"/>
              <w:rPr>
                <w:rFonts w:ascii="Times New Roman" w:hAnsi="Times New Roman" w:cs="Times New Roman"/>
              </w:rPr>
            </w:pPr>
            <w:r>
              <w:rPr>
                <w:rFonts w:ascii="Times New Roman" w:hAnsi="Times New Roman" w:cs="Times New Roman"/>
              </w:rPr>
              <w:t>2,2,4,5-Tetramethyl-1,3-dioxolane</w:t>
            </w:r>
          </w:p>
        </w:tc>
        <w:tc>
          <w:tcPr>
            <w:tcW w:w="992" w:type="dxa"/>
          </w:tcPr>
          <w:p w14:paraId="3C2B65D2" w14:textId="77777777" w:rsidR="00364DED" w:rsidRDefault="00A70A1E">
            <w:pPr>
              <w:pStyle w:val="NoSpacing"/>
              <w:rPr>
                <w:rFonts w:ascii="Times New Roman" w:hAnsi="Times New Roman" w:cs="Times New Roman"/>
              </w:rPr>
            </w:pPr>
            <w:r>
              <w:rPr>
                <w:rFonts w:ascii="Times New Roman" w:hAnsi="Times New Roman" w:cs="Times New Roman"/>
              </w:rPr>
              <w:t>0.68</w:t>
            </w:r>
          </w:p>
        </w:tc>
        <w:tc>
          <w:tcPr>
            <w:tcW w:w="1134" w:type="dxa"/>
          </w:tcPr>
          <w:p w14:paraId="67EDF6EA" w14:textId="77777777" w:rsidR="00364DED" w:rsidRDefault="00A70A1E">
            <w:pPr>
              <w:pStyle w:val="NoSpacing"/>
              <w:rPr>
                <w:rFonts w:ascii="Times New Roman" w:hAnsi="Times New Roman" w:cs="Times New Roman"/>
              </w:rPr>
            </w:pPr>
            <w:r>
              <w:rPr>
                <w:rFonts w:ascii="Times New Roman" w:hAnsi="Times New Roman" w:cs="Times New Roman"/>
              </w:rPr>
              <w:t>130</w:t>
            </w:r>
          </w:p>
        </w:tc>
        <w:tc>
          <w:tcPr>
            <w:tcW w:w="1276" w:type="dxa"/>
          </w:tcPr>
          <w:p w14:paraId="2F264FBE"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7</w:t>
            </w:r>
            <w:r>
              <w:rPr>
                <w:rFonts w:ascii="Times New Roman" w:hAnsi="Times New Roman" w:cs="Times New Roman"/>
              </w:rPr>
              <w:t>H</w:t>
            </w:r>
            <w:r>
              <w:rPr>
                <w:rFonts w:ascii="Times New Roman" w:hAnsi="Times New Roman" w:cs="Times New Roman"/>
                <w:vertAlign w:val="subscript"/>
              </w:rPr>
              <w:t>14</w:t>
            </w:r>
            <w:r>
              <w:rPr>
                <w:rFonts w:ascii="Times New Roman" w:hAnsi="Times New Roman" w:cs="Times New Roman"/>
              </w:rPr>
              <w:t>O</w:t>
            </w:r>
            <w:r>
              <w:rPr>
                <w:rFonts w:ascii="Times New Roman" w:hAnsi="Times New Roman" w:cs="Times New Roman"/>
                <w:vertAlign w:val="subscript"/>
              </w:rPr>
              <w:t>2</w:t>
            </w:r>
          </w:p>
        </w:tc>
        <w:tc>
          <w:tcPr>
            <w:tcW w:w="708" w:type="dxa"/>
          </w:tcPr>
          <w:p w14:paraId="6BCDF29B" w14:textId="77777777" w:rsidR="00364DED" w:rsidRDefault="00A70A1E">
            <w:pPr>
              <w:pStyle w:val="NoSpacing"/>
              <w:rPr>
                <w:rFonts w:ascii="Times New Roman" w:hAnsi="Times New Roman" w:cs="Times New Roman"/>
              </w:rPr>
            </w:pPr>
            <w:r>
              <w:rPr>
                <w:rFonts w:ascii="Times New Roman" w:hAnsi="Times New Roman" w:cs="Times New Roman"/>
              </w:rPr>
              <w:t>706</w:t>
            </w:r>
          </w:p>
        </w:tc>
      </w:tr>
      <w:tr w:rsidR="00364DED" w14:paraId="4BD8D054" w14:textId="77777777">
        <w:tc>
          <w:tcPr>
            <w:tcW w:w="709" w:type="dxa"/>
          </w:tcPr>
          <w:p w14:paraId="111E0292" w14:textId="77777777" w:rsidR="00364DED" w:rsidRDefault="00A70A1E">
            <w:pPr>
              <w:pStyle w:val="NoSpacing"/>
              <w:rPr>
                <w:rFonts w:ascii="Times New Roman" w:hAnsi="Times New Roman" w:cs="Times New Roman"/>
              </w:rPr>
            </w:pPr>
            <w:r>
              <w:rPr>
                <w:rFonts w:ascii="Times New Roman" w:hAnsi="Times New Roman" w:cs="Times New Roman"/>
              </w:rPr>
              <w:t>6</w:t>
            </w:r>
          </w:p>
        </w:tc>
        <w:tc>
          <w:tcPr>
            <w:tcW w:w="851" w:type="dxa"/>
          </w:tcPr>
          <w:p w14:paraId="47555CAD" w14:textId="77777777" w:rsidR="00364DED" w:rsidRDefault="00A70A1E">
            <w:pPr>
              <w:pStyle w:val="NoSpacing"/>
              <w:rPr>
                <w:rFonts w:ascii="Times New Roman" w:hAnsi="Times New Roman" w:cs="Times New Roman"/>
              </w:rPr>
            </w:pPr>
            <w:r>
              <w:rPr>
                <w:rFonts w:ascii="Times New Roman" w:hAnsi="Times New Roman" w:cs="Times New Roman"/>
              </w:rPr>
              <w:t>6.95</w:t>
            </w:r>
          </w:p>
        </w:tc>
        <w:tc>
          <w:tcPr>
            <w:tcW w:w="3402" w:type="dxa"/>
          </w:tcPr>
          <w:p w14:paraId="30D1372F" w14:textId="77777777" w:rsidR="00364DED" w:rsidRDefault="00A70A1E">
            <w:pPr>
              <w:pStyle w:val="NoSpacing"/>
              <w:rPr>
                <w:rFonts w:ascii="Times New Roman" w:hAnsi="Times New Roman" w:cs="Times New Roman"/>
              </w:rPr>
            </w:pPr>
            <w:r>
              <w:rPr>
                <w:rFonts w:ascii="Times New Roman" w:hAnsi="Times New Roman" w:cs="Times New Roman"/>
              </w:rPr>
              <w:t>3-Octanol</w:t>
            </w:r>
          </w:p>
        </w:tc>
        <w:tc>
          <w:tcPr>
            <w:tcW w:w="992" w:type="dxa"/>
          </w:tcPr>
          <w:p w14:paraId="653ED3D9" w14:textId="77777777" w:rsidR="00364DED" w:rsidRDefault="00A70A1E">
            <w:pPr>
              <w:pStyle w:val="NoSpacing"/>
              <w:rPr>
                <w:rFonts w:ascii="Times New Roman" w:hAnsi="Times New Roman" w:cs="Times New Roman"/>
              </w:rPr>
            </w:pPr>
            <w:r>
              <w:rPr>
                <w:rFonts w:ascii="Times New Roman" w:hAnsi="Times New Roman" w:cs="Times New Roman"/>
              </w:rPr>
              <w:t>0.90</w:t>
            </w:r>
          </w:p>
        </w:tc>
        <w:tc>
          <w:tcPr>
            <w:tcW w:w="1134" w:type="dxa"/>
          </w:tcPr>
          <w:p w14:paraId="36521A81" w14:textId="77777777" w:rsidR="00364DED" w:rsidRDefault="00A70A1E">
            <w:pPr>
              <w:pStyle w:val="NoSpacing"/>
              <w:rPr>
                <w:rFonts w:ascii="Times New Roman" w:hAnsi="Times New Roman" w:cs="Times New Roman"/>
              </w:rPr>
            </w:pPr>
            <w:r>
              <w:rPr>
                <w:rFonts w:ascii="Times New Roman" w:hAnsi="Times New Roman" w:cs="Times New Roman"/>
              </w:rPr>
              <w:t>130</w:t>
            </w:r>
          </w:p>
        </w:tc>
        <w:tc>
          <w:tcPr>
            <w:tcW w:w="1276" w:type="dxa"/>
          </w:tcPr>
          <w:p w14:paraId="06CF8535"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8</w:t>
            </w:r>
            <w:r>
              <w:rPr>
                <w:rFonts w:ascii="Times New Roman" w:hAnsi="Times New Roman" w:cs="Times New Roman"/>
              </w:rPr>
              <w:t>H</w:t>
            </w:r>
            <w:r>
              <w:rPr>
                <w:rFonts w:ascii="Times New Roman" w:hAnsi="Times New Roman" w:cs="Times New Roman"/>
                <w:vertAlign w:val="subscript"/>
              </w:rPr>
              <w:t>18</w:t>
            </w:r>
            <w:r>
              <w:rPr>
                <w:rFonts w:ascii="Times New Roman" w:hAnsi="Times New Roman" w:cs="Times New Roman"/>
              </w:rPr>
              <w:t>O</w:t>
            </w:r>
          </w:p>
        </w:tc>
        <w:tc>
          <w:tcPr>
            <w:tcW w:w="708" w:type="dxa"/>
          </w:tcPr>
          <w:p w14:paraId="6235FA86" w14:textId="77777777" w:rsidR="00364DED" w:rsidRDefault="00A70A1E">
            <w:pPr>
              <w:pStyle w:val="NoSpacing"/>
              <w:rPr>
                <w:rFonts w:ascii="Times New Roman" w:hAnsi="Times New Roman" w:cs="Times New Roman"/>
              </w:rPr>
            </w:pPr>
            <w:r>
              <w:rPr>
                <w:rFonts w:ascii="Times New Roman" w:hAnsi="Times New Roman" w:cs="Times New Roman"/>
              </w:rPr>
              <w:t>707</w:t>
            </w:r>
          </w:p>
        </w:tc>
      </w:tr>
      <w:tr w:rsidR="00364DED" w14:paraId="219A776A" w14:textId="77777777">
        <w:tc>
          <w:tcPr>
            <w:tcW w:w="709" w:type="dxa"/>
          </w:tcPr>
          <w:p w14:paraId="57BD04B3" w14:textId="77777777" w:rsidR="00364DED" w:rsidRDefault="00A70A1E">
            <w:pPr>
              <w:pStyle w:val="NoSpacing"/>
              <w:rPr>
                <w:rFonts w:ascii="Times New Roman" w:hAnsi="Times New Roman" w:cs="Times New Roman"/>
              </w:rPr>
            </w:pPr>
            <w:r>
              <w:rPr>
                <w:rFonts w:ascii="Times New Roman" w:hAnsi="Times New Roman" w:cs="Times New Roman"/>
              </w:rPr>
              <w:t>8</w:t>
            </w:r>
          </w:p>
        </w:tc>
        <w:tc>
          <w:tcPr>
            <w:tcW w:w="851" w:type="dxa"/>
          </w:tcPr>
          <w:p w14:paraId="096A2D3C" w14:textId="77777777" w:rsidR="00364DED" w:rsidRDefault="00A70A1E">
            <w:pPr>
              <w:pStyle w:val="NoSpacing"/>
              <w:rPr>
                <w:rFonts w:ascii="Times New Roman" w:hAnsi="Times New Roman" w:cs="Times New Roman"/>
              </w:rPr>
            </w:pPr>
            <w:r>
              <w:rPr>
                <w:rFonts w:ascii="Times New Roman" w:hAnsi="Times New Roman" w:cs="Times New Roman"/>
              </w:rPr>
              <w:t>19.48</w:t>
            </w:r>
          </w:p>
        </w:tc>
        <w:tc>
          <w:tcPr>
            <w:tcW w:w="3402" w:type="dxa"/>
          </w:tcPr>
          <w:p w14:paraId="495600FB" w14:textId="77777777" w:rsidR="00364DED" w:rsidRDefault="00A70A1E">
            <w:pPr>
              <w:pStyle w:val="NoSpacing"/>
              <w:rPr>
                <w:rFonts w:ascii="Times New Roman" w:hAnsi="Times New Roman" w:cs="Times New Roman"/>
              </w:rPr>
            </w:pPr>
            <w:r>
              <w:rPr>
                <w:rFonts w:ascii="Times New Roman" w:hAnsi="Times New Roman" w:cs="Times New Roman"/>
              </w:rPr>
              <w:t>5-Phenyl-decane</w:t>
            </w:r>
          </w:p>
        </w:tc>
        <w:tc>
          <w:tcPr>
            <w:tcW w:w="992" w:type="dxa"/>
          </w:tcPr>
          <w:p w14:paraId="03708124" w14:textId="77777777" w:rsidR="00364DED" w:rsidRDefault="00A70A1E">
            <w:pPr>
              <w:pStyle w:val="NoSpacing"/>
              <w:rPr>
                <w:rFonts w:ascii="Times New Roman" w:hAnsi="Times New Roman" w:cs="Times New Roman"/>
              </w:rPr>
            </w:pPr>
            <w:r>
              <w:rPr>
                <w:rFonts w:ascii="Times New Roman" w:hAnsi="Times New Roman" w:cs="Times New Roman"/>
              </w:rPr>
              <w:t>3.23</w:t>
            </w:r>
          </w:p>
        </w:tc>
        <w:tc>
          <w:tcPr>
            <w:tcW w:w="1134" w:type="dxa"/>
          </w:tcPr>
          <w:p w14:paraId="0E170165" w14:textId="77777777" w:rsidR="00364DED" w:rsidRDefault="00A70A1E">
            <w:pPr>
              <w:pStyle w:val="NoSpacing"/>
              <w:rPr>
                <w:rFonts w:ascii="Times New Roman" w:hAnsi="Times New Roman" w:cs="Times New Roman"/>
              </w:rPr>
            </w:pPr>
            <w:r>
              <w:rPr>
                <w:rFonts w:ascii="Times New Roman" w:hAnsi="Times New Roman" w:cs="Times New Roman"/>
              </w:rPr>
              <w:t>218</w:t>
            </w:r>
          </w:p>
        </w:tc>
        <w:tc>
          <w:tcPr>
            <w:tcW w:w="1276" w:type="dxa"/>
          </w:tcPr>
          <w:p w14:paraId="239D45D4"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16</w:t>
            </w:r>
            <w:r>
              <w:rPr>
                <w:rFonts w:ascii="Times New Roman" w:hAnsi="Times New Roman" w:cs="Times New Roman"/>
              </w:rPr>
              <w:t>H</w:t>
            </w:r>
            <w:r>
              <w:rPr>
                <w:rFonts w:ascii="Times New Roman" w:hAnsi="Times New Roman" w:cs="Times New Roman"/>
                <w:vertAlign w:val="subscript"/>
              </w:rPr>
              <w:t>26</w:t>
            </w:r>
          </w:p>
        </w:tc>
        <w:tc>
          <w:tcPr>
            <w:tcW w:w="708" w:type="dxa"/>
          </w:tcPr>
          <w:p w14:paraId="638C8A17" w14:textId="77777777" w:rsidR="00364DED" w:rsidRDefault="00364DED">
            <w:pPr>
              <w:pStyle w:val="NoSpacing"/>
              <w:rPr>
                <w:rFonts w:ascii="Times New Roman" w:hAnsi="Times New Roman" w:cs="Times New Roman"/>
              </w:rPr>
            </w:pPr>
          </w:p>
        </w:tc>
      </w:tr>
      <w:tr w:rsidR="00364DED" w14:paraId="5D6F14E4" w14:textId="77777777">
        <w:tc>
          <w:tcPr>
            <w:tcW w:w="709" w:type="dxa"/>
          </w:tcPr>
          <w:p w14:paraId="3DE3D5EE" w14:textId="77777777" w:rsidR="00364DED" w:rsidRDefault="00A70A1E">
            <w:pPr>
              <w:pStyle w:val="NoSpacing"/>
              <w:rPr>
                <w:rFonts w:ascii="Times New Roman" w:hAnsi="Times New Roman" w:cs="Times New Roman"/>
              </w:rPr>
            </w:pPr>
            <w:r>
              <w:rPr>
                <w:rFonts w:ascii="Times New Roman" w:hAnsi="Times New Roman" w:cs="Times New Roman"/>
              </w:rPr>
              <w:t>9</w:t>
            </w:r>
          </w:p>
        </w:tc>
        <w:tc>
          <w:tcPr>
            <w:tcW w:w="851" w:type="dxa"/>
          </w:tcPr>
          <w:p w14:paraId="6892DCAE" w14:textId="77777777" w:rsidR="00364DED" w:rsidRDefault="00A70A1E">
            <w:pPr>
              <w:pStyle w:val="NoSpacing"/>
              <w:rPr>
                <w:rFonts w:ascii="Times New Roman" w:hAnsi="Times New Roman" w:cs="Times New Roman"/>
              </w:rPr>
            </w:pPr>
            <w:r>
              <w:rPr>
                <w:rFonts w:ascii="Times New Roman" w:hAnsi="Times New Roman" w:cs="Times New Roman"/>
              </w:rPr>
              <w:t>19.57</w:t>
            </w:r>
          </w:p>
        </w:tc>
        <w:tc>
          <w:tcPr>
            <w:tcW w:w="3402" w:type="dxa"/>
          </w:tcPr>
          <w:p w14:paraId="6528FB84" w14:textId="77777777" w:rsidR="00364DED" w:rsidRDefault="00A70A1E">
            <w:pPr>
              <w:pStyle w:val="NoSpacing"/>
              <w:rPr>
                <w:rFonts w:ascii="Times New Roman" w:hAnsi="Times New Roman" w:cs="Times New Roman"/>
              </w:rPr>
            </w:pPr>
            <w:r>
              <w:rPr>
                <w:rFonts w:ascii="Times New Roman" w:hAnsi="Times New Roman" w:cs="Times New Roman"/>
              </w:rPr>
              <w:t>Oleic acid methyl ester</w:t>
            </w:r>
          </w:p>
        </w:tc>
        <w:tc>
          <w:tcPr>
            <w:tcW w:w="992" w:type="dxa"/>
          </w:tcPr>
          <w:p w14:paraId="7045DDE7" w14:textId="77777777" w:rsidR="00364DED" w:rsidRDefault="00A70A1E">
            <w:pPr>
              <w:pStyle w:val="NoSpacing"/>
              <w:rPr>
                <w:rFonts w:ascii="Times New Roman" w:hAnsi="Times New Roman" w:cs="Times New Roman"/>
              </w:rPr>
            </w:pPr>
            <w:r>
              <w:rPr>
                <w:rFonts w:ascii="Times New Roman" w:hAnsi="Times New Roman" w:cs="Times New Roman"/>
              </w:rPr>
              <w:t>23.84</w:t>
            </w:r>
          </w:p>
        </w:tc>
        <w:tc>
          <w:tcPr>
            <w:tcW w:w="1134" w:type="dxa"/>
          </w:tcPr>
          <w:p w14:paraId="435ED6C9" w14:textId="77777777" w:rsidR="00364DED" w:rsidRDefault="00A70A1E">
            <w:pPr>
              <w:pStyle w:val="NoSpacing"/>
              <w:rPr>
                <w:rFonts w:ascii="Times New Roman" w:hAnsi="Times New Roman" w:cs="Times New Roman"/>
              </w:rPr>
            </w:pPr>
            <w:r>
              <w:rPr>
                <w:rFonts w:ascii="Times New Roman" w:hAnsi="Times New Roman" w:cs="Times New Roman"/>
              </w:rPr>
              <w:t>296</w:t>
            </w:r>
          </w:p>
        </w:tc>
        <w:tc>
          <w:tcPr>
            <w:tcW w:w="1276" w:type="dxa"/>
          </w:tcPr>
          <w:p w14:paraId="2862BE34"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19</w:t>
            </w:r>
            <w:r>
              <w:rPr>
                <w:rFonts w:ascii="Times New Roman" w:hAnsi="Times New Roman" w:cs="Times New Roman"/>
              </w:rPr>
              <w:t>H</w:t>
            </w:r>
            <w:r>
              <w:rPr>
                <w:rFonts w:ascii="Times New Roman" w:hAnsi="Times New Roman" w:cs="Times New Roman"/>
                <w:vertAlign w:val="subscript"/>
              </w:rPr>
              <w:t>36</w:t>
            </w:r>
            <w:r>
              <w:rPr>
                <w:rFonts w:ascii="Times New Roman" w:hAnsi="Times New Roman" w:cs="Times New Roman"/>
              </w:rPr>
              <w:t>O</w:t>
            </w:r>
            <w:r>
              <w:rPr>
                <w:rFonts w:ascii="Times New Roman" w:hAnsi="Times New Roman" w:cs="Times New Roman"/>
                <w:vertAlign w:val="subscript"/>
              </w:rPr>
              <w:t>2</w:t>
            </w:r>
          </w:p>
        </w:tc>
        <w:tc>
          <w:tcPr>
            <w:tcW w:w="708" w:type="dxa"/>
          </w:tcPr>
          <w:p w14:paraId="6F279AEB" w14:textId="77777777" w:rsidR="00364DED" w:rsidRDefault="00A70A1E">
            <w:pPr>
              <w:pStyle w:val="NoSpacing"/>
              <w:rPr>
                <w:rFonts w:ascii="Times New Roman" w:hAnsi="Times New Roman" w:cs="Times New Roman"/>
              </w:rPr>
            </w:pPr>
            <w:r>
              <w:rPr>
                <w:rFonts w:ascii="Times New Roman" w:hAnsi="Times New Roman" w:cs="Times New Roman"/>
              </w:rPr>
              <w:t>830</w:t>
            </w:r>
          </w:p>
        </w:tc>
      </w:tr>
      <w:tr w:rsidR="00364DED" w14:paraId="440ADEAC" w14:textId="77777777">
        <w:tc>
          <w:tcPr>
            <w:tcW w:w="709" w:type="dxa"/>
          </w:tcPr>
          <w:p w14:paraId="098161D9" w14:textId="77777777" w:rsidR="00364DED" w:rsidRDefault="00A70A1E">
            <w:pPr>
              <w:pStyle w:val="NoSpacing"/>
              <w:rPr>
                <w:rFonts w:ascii="Times New Roman" w:hAnsi="Times New Roman" w:cs="Times New Roman"/>
              </w:rPr>
            </w:pPr>
            <w:r>
              <w:rPr>
                <w:rFonts w:ascii="Times New Roman" w:hAnsi="Times New Roman" w:cs="Times New Roman"/>
              </w:rPr>
              <w:t>10</w:t>
            </w:r>
          </w:p>
        </w:tc>
        <w:tc>
          <w:tcPr>
            <w:tcW w:w="851" w:type="dxa"/>
          </w:tcPr>
          <w:p w14:paraId="43936E57" w14:textId="77777777" w:rsidR="00364DED" w:rsidRDefault="00A70A1E">
            <w:pPr>
              <w:pStyle w:val="NoSpacing"/>
              <w:rPr>
                <w:rFonts w:ascii="Times New Roman" w:hAnsi="Times New Roman" w:cs="Times New Roman"/>
              </w:rPr>
            </w:pPr>
            <w:r>
              <w:rPr>
                <w:rFonts w:ascii="Times New Roman" w:hAnsi="Times New Roman" w:cs="Times New Roman"/>
              </w:rPr>
              <w:t>20.15</w:t>
            </w:r>
          </w:p>
        </w:tc>
        <w:tc>
          <w:tcPr>
            <w:tcW w:w="3402" w:type="dxa"/>
          </w:tcPr>
          <w:p w14:paraId="09FCD567" w14:textId="77777777" w:rsidR="00364DED" w:rsidRDefault="00A70A1E">
            <w:pPr>
              <w:pStyle w:val="NoSpacing"/>
              <w:rPr>
                <w:rFonts w:ascii="Times New Roman" w:hAnsi="Times New Roman" w:cs="Times New Roman"/>
              </w:rPr>
            </w:pPr>
            <w:proofErr w:type="spellStart"/>
            <w:r>
              <w:rPr>
                <w:rFonts w:ascii="Times New Roman" w:hAnsi="Times New Roman" w:cs="Times New Roman"/>
              </w:rPr>
              <w:t>Panaxydol</w:t>
            </w:r>
            <w:proofErr w:type="spellEnd"/>
          </w:p>
        </w:tc>
        <w:tc>
          <w:tcPr>
            <w:tcW w:w="992" w:type="dxa"/>
          </w:tcPr>
          <w:p w14:paraId="43938312" w14:textId="77777777" w:rsidR="00364DED" w:rsidRDefault="00A70A1E">
            <w:pPr>
              <w:pStyle w:val="NoSpacing"/>
              <w:rPr>
                <w:rFonts w:ascii="Times New Roman" w:hAnsi="Times New Roman" w:cs="Times New Roman"/>
              </w:rPr>
            </w:pPr>
            <w:r>
              <w:rPr>
                <w:rFonts w:ascii="Times New Roman" w:hAnsi="Times New Roman" w:cs="Times New Roman"/>
              </w:rPr>
              <w:t>2.18</w:t>
            </w:r>
          </w:p>
        </w:tc>
        <w:tc>
          <w:tcPr>
            <w:tcW w:w="1134" w:type="dxa"/>
          </w:tcPr>
          <w:p w14:paraId="0D181B4A" w14:textId="77777777" w:rsidR="00364DED" w:rsidRDefault="00A70A1E">
            <w:pPr>
              <w:pStyle w:val="NoSpacing"/>
              <w:rPr>
                <w:rFonts w:ascii="Times New Roman" w:hAnsi="Times New Roman" w:cs="Times New Roman"/>
              </w:rPr>
            </w:pPr>
            <w:r>
              <w:rPr>
                <w:rFonts w:ascii="Times New Roman" w:hAnsi="Times New Roman" w:cs="Times New Roman"/>
              </w:rPr>
              <w:t>260</w:t>
            </w:r>
          </w:p>
        </w:tc>
        <w:tc>
          <w:tcPr>
            <w:tcW w:w="1276" w:type="dxa"/>
          </w:tcPr>
          <w:p w14:paraId="70DB9FE0"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17</w:t>
            </w:r>
            <w:r>
              <w:rPr>
                <w:rFonts w:ascii="Times New Roman" w:hAnsi="Times New Roman" w:cs="Times New Roman"/>
              </w:rPr>
              <w:t>H</w:t>
            </w:r>
            <w:r>
              <w:rPr>
                <w:rFonts w:ascii="Times New Roman" w:hAnsi="Times New Roman" w:cs="Times New Roman"/>
                <w:vertAlign w:val="subscript"/>
              </w:rPr>
              <w:t>24</w:t>
            </w:r>
            <w:r>
              <w:rPr>
                <w:rFonts w:ascii="Times New Roman" w:hAnsi="Times New Roman" w:cs="Times New Roman"/>
              </w:rPr>
              <w:t>O</w:t>
            </w:r>
            <w:r>
              <w:rPr>
                <w:rFonts w:ascii="Times New Roman" w:hAnsi="Times New Roman" w:cs="Times New Roman"/>
                <w:vertAlign w:val="subscript"/>
              </w:rPr>
              <w:t>2</w:t>
            </w:r>
          </w:p>
        </w:tc>
        <w:tc>
          <w:tcPr>
            <w:tcW w:w="708" w:type="dxa"/>
          </w:tcPr>
          <w:p w14:paraId="349144D8" w14:textId="77777777" w:rsidR="00364DED" w:rsidRDefault="00A70A1E">
            <w:pPr>
              <w:pStyle w:val="NoSpacing"/>
              <w:rPr>
                <w:rFonts w:ascii="Times New Roman" w:hAnsi="Times New Roman" w:cs="Times New Roman"/>
              </w:rPr>
            </w:pPr>
            <w:r>
              <w:rPr>
                <w:rFonts w:ascii="Times New Roman" w:hAnsi="Times New Roman" w:cs="Times New Roman"/>
              </w:rPr>
              <w:t>832</w:t>
            </w:r>
          </w:p>
        </w:tc>
      </w:tr>
      <w:tr w:rsidR="00364DED" w14:paraId="0D646EC8" w14:textId="77777777">
        <w:tc>
          <w:tcPr>
            <w:tcW w:w="709" w:type="dxa"/>
          </w:tcPr>
          <w:p w14:paraId="700D3BE8" w14:textId="77777777" w:rsidR="00364DED" w:rsidRDefault="00A70A1E">
            <w:pPr>
              <w:pStyle w:val="NoSpacing"/>
              <w:rPr>
                <w:rFonts w:ascii="Times New Roman" w:hAnsi="Times New Roman" w:cs="Times New Roman"/>
              </w:rPr>
            </w:pPr>
            <w:r>
              <w:rPr>
                <w:rFonts w:ascii="Times New Roman" w:hAnsi="Times New Roman" w:cs="Times New Roman"/>
              </w:rPr>
              <w:t>11</w:t>
            </w:r>
          </w:p>
        </w:tc>
        <w:tc>
          <w:tcPr>
            <w:tcW w:w="851" w:type="dxa"/>
          </w:tcPr>
          <w:p w14:paraId="46C021CD" w14:textId="77777777" w:rsidR="00364DED" w:rsidRDefault="00A70A1E">
            <w:pPr>
              <w:pStyle w:val="NoSpacing"/>
              <w:rPr>
                <w:rFonts w:ascii="Times New Roman" w:hAnsi="Times New Roman" w:cs="Times New Roman"/>
              </w:rPr>
            </w:pPr>
            <w:r>
              <w:rPr>
                <w:rFonts w:ascii="Times New Roman" w:hAnsi="Times New Roman" w:cs="Times New Roman"/>
              </w:rPr>
              <w:t>21.77</w:t>
            </w:r>
          </w:p>
        </w:tc>
        <w:tc>
          <w:tcPr>
            <w:tcW w:w="3402" w:type="dxa"/>
          </w:tcPr>
          <w:p w14:paraId="53DD8C50" w14:textId="77777777" w:rsidR="00364DED" w:rsidRDefault="00A70A1E">
            <w:pPr>
              <w:pStyle w:val="NoSpacing"/>
              <w:rPr>
                <w:rFonts w:ascii="Times New Roman" w:hAnsi="Times New Roman" w:cs="Times New Roman"/>
              </w:rPr>
            </w:pPr>
            <w:r>
              <w:rPr>
                <w:rFonts w:ascii="Times New Roman" w:hAnsi="Times New Roman" w:cs="Times New Roman"/>
              </w:rPr>
              <w:t>Z-(13,14-</w:t>
            </w:r>
            <w:proofErr w:type="gramStart"/>
            <w:r>
              <w:rPr>
                <w:rFonts w:ascii="Times New Roman" w:hAnsi="Times New Roman" w:cs="Times New Roman"/>
              </w:rPr>
              <w:t>Epoxy)tetradec</w:t>
            </w:r>
            <w:proofErr w:type="gramEnd"/>
            <w:r>
              <w:rPr>
                <w:rFonts w:ascii="Times New Roman" w:hAnsi="Times New Roman" w:cs="Times New Roman"/>
              </w:rPr>
              <w:t>-11-en-1-ol acetate</w:t>
            </w:r>
          </w:p>
        </w:tc>
        <w:tc>
          <w:tcPr>
            <w:tcW w:w="992" w:type="dxa"/>
          </w:tcPr>
          <w:p w14:paraId="755CC6E8" w14:textId="77777777" w:rsidR="00364DED" w:rsidRDefault="00A70A1E">
            <w:pPr>
              <w:pStyle w:val="NoSpacing"/>
              <w:rPr>
                <w:rFonts w:ascii="Times New Roman" w:hAnsi="Times New Roman" w:cs="Times New Roman"/>
              </w:rPr>
            </w:pPr>
            <w:r>
              <w:rPr>
                <w:rFonts w:ascii="Times New Roman" w:hAnsi="Times New Roman" w:cs="Times New Roman"/>
              </w:rPr>
              <w:t>4.56</w:t>
            </w:r>
          </w:p>
        </w:tc>
        <w:tc>
          <w:tcPr>
            <w:tcW w:w="1134" w:type="dxa"/>
          </w:tcPr>
          <w:p w14:paraId="03479710" w14:textId="77777777" w:rsidR="00364DED" w:rsidRDefault="00A70A1E">
            <w:pPr>
              <w:pStyle w:val="NoSpacing"/>
              <w:rPr>
                <w:rFonts w:ascii="Times New Roman" w:hAnsi="Times New Roman" w:cs="Times New Roman"/>
              </w:rPr>
            </w:pPr>
            <w:r>
              <w:rPr>
                <w:rFonts w:ascii="Times New Roman" w:hAnsi="Times New Roman" w:cs="Times New Roman"/>
              </w:rPr>
              <w:t>268</w:t>
            </w:r>
          </w:p>
        </w:tc>
        <w:tc>
          <w:tcPr>
            <w:tcW w:w="1276" w:type="dxa"/>
          </w:tcPr>
          <w:p w14:paraId="6C7B0020"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16</w:t>
            </w:r>
            <w:r>
              <w:rPr>
                <w:rFonts w:ascii="Times New Roman" w:hAnsi="Times New Roman" w:cs="Times New Roman"/>
              </w:rPr>
              <w:t>H</w:t>
            </w:r>
            <w:r>
              <w:rPr>
                <w:rFonts w:ascii="Times New Roman" w:hAnsi="Times New Roman" w:cs="Times New Roman"/>
                <w:vertAlign w:val="subscript"/>
              </w:rPr>
              <w:t>28</w:t>
            </w:r>
            <w:r>
              <w:rPr>
                <w:rFonts w:ascii="Times New Roman" w:hAnsi="Times New Roman" w:cs="Times New Roman"/>
              </w:rPr>
              <w:t>O</w:t>
            </w:r>
            <w:r>
              <w:rPr>
                <w:rFonts w:ascii="Times New Roman" w:hAnsi="Times New Roman" w:cs="Times New Roman"/>
                <w:vertAlign w:val="subscript"/>
              </w:rPr>
              <w:t>3</w:t>
            </w:r>
          </w:p>
        </w:tc>
        <w:tc>
          <w:tcPr>
            <w:tcW w:w="708" w:type="dxa"/>
          </w:tcPr>
          <w:p w14:paraId="45C0B820" w14:textId="77777777" w:rsidR="00364DED" w:rsidRDefault="00A70A1E">
            <w:pPr>
              <w:pStyle w:val="NoSpacing"/>
              <w:rPr>
                <w:rFonts w:ascii="Times New Roman" w:hAnsi="Times New Roman" w:cs="Times New Roman"/>
              </w:rPr>
            </w:pPr>
            <w:r>
              <w:rPr>
                <w:rFonts w:ascii="Times New Roman" w:hAnsi="Times New Roman" w:cs="Times New Roman"/>
              </w:rPr>
              <w:t>832</w:t>
            </w:r>
          </w:p>
        </w:tc>
      </w:tr>
      <w:tr w:rsidR="00364DED" w14:paraId="60E5F7AB" w14:textId="77777777">
        <w:tc>
          <w:tcPr>
            <w:tcW w:w="709" w:type="dxa"/>
          </w:tcPr>
          <w:p w14:paraId="60FAA940" w14:textId="77777777" w:rsidR="00364DED" w:rsidRDefault="00A70A1E">
            <w:pPr>
              <w:pStyle w:val="NoSpacing"/>
              <w:rPr>
                <w:rFonts w:ascii="Times New Roman" w:hAnsi="Times New Roman" w:cs="Times New Roman"/>
              </w:rPr>
            </w:pPr>
            <w:r>
              <w:rPr>
                <w:rFonts w:ascii="Times New Roman" w:hAnsi="Times New Roman" w:cs="Times New Roman"/>
              </w:rPr>
              <w:t>12</w:t>
            </w:r>
          </w:p>
        </w:tc>
        <w:tc>
          <w:tcPr>
            <w:tcW w:w="851" w:type="dxa"/>
          </w:tcPr>
          <w:p w14:paraId="0B3BD7BE" w14:textId="77777777" w:rsidR="00364DED" w:rsidRDefault="00A70A1E">
            <w:pPr>
              <w:pStyle w:val="NoSpacing"/>
              <w:rPr>
                <w:rFonts w:ascii="Times New Roman" w:hAnsi="Times New Roman" w:cs="Times New Roman"/>
              </w:rPr>
            </w:pPr>
            <w:r>
              <w:rPr>
                <w:rFonts w:ascii="Times New Roman" w:hAnsi="Times New Roman" w:cs="Times New Roman"/>
              </w:rPr>
              <w:t>22.25</w:t>
            </w:r>
          </w:p>
        </w:tc>
        <w:tc>
          <w:tcPr>
            <w:tcW w:w="3402" w:type="dxa"/>
          </w:tcPr>
          <w:p w14:paraId="11D03F2F" w14:textId="77777777" w:rsidR="00364DED" w:rsidRDefault="00A70A1E">
            <w:pPr>
              <w:pStyle w:val="NoSpacing"/>
              <w:rPr>
                <w:rFonts w:ascii="Times New Roman" w:hAnsi="Times New Roman" w:cs="Times New Roman"/>
              </w:rPr>
            </w:pPr>
            <w:r>
              <w:rPr>
                <w:rFonts w:ascii="Times New Roman" w:hAnsi="Times New Roman" w:cs="Times New Roman"/>
              </w:rPr>
              <w:t xml:space="preserve">(Z)-9-Octadecenoic acid </w:t>
            </w:r>
          </w:p>
        </w:tc>
        <w:tc>
          <w:tcPr>
            <w:tcW w:w="992" w:type="dxa"/>
          </w:tcPr>
          <w:p w14:paraId="7D14B986" w14:textId="77777777" w:rsidR="00364DED" w:rsidRDefault="00A70A1E">
            <w:pPr>
              <w:pStyle w:val="NoSpacing"/>
              <w:rPr>
                <w:rFonts w:ascii="Times New Roman" w:hAnsi="Times New Roman" w:cs="Times New Roman"/>
              </w:rPr>
            </w:pPr>
            <w:r>
              <w:rPr>
                <w:rFonts w:ascii="Times New Roman" w:hAnsi="Times New Roman" w:cs="Times New Roman"/>
              </w:rPr>
              <w:t>24.16</w:t>
            </w:r>
          </w:p>
        </w:tc>
        <w:tc>
          <w:tcPr>
            <w:tcW w:w="1134" w:type="dxa"/>
          </w:tcPr>
          <w:p w14:paraId="1F1E4683" w14:textId="77777777" w:rsidR="00364DED" w:rsidRDefault="00A70A1E">
            <w:pPr>
              <w:pStyle w:val="NoSpacing"/>
              <w:rPr>
                <w:rFonts w:ascii="Times New Roman" w:hAnsi="Times New Roman" w:cs="Times New Roman"/>
              </w:rPr>
            </w:pPr>
            <w:r>
              <w:rPr>
                <w:rFonts w:ascii="Times New Roman" w:hAnsi="Times New Roman" w:cs="Times New Roman"/>
              </w:rPr>
              <w:t>282</w:t>
            </w:r>
          </w:p>
        </w:tc>
        <w:tc>
          <w:tcPr>
            <w:tcW w:w="1276" w:type="dxa"/>
          </w:tcPr>
          <w:p w14:paraId="6783DABE"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18</w:t>
            </w:r>
            <w:r>
              <w:rPr>
                <w:rFonts w:ascii="Times New Roman" w:hAnsi="Times New Roman" w:cs="Times New Roman"/>
              </w:rPr>
              <w:t>H</w:t>
            </w:r>
            <w:r>
              <w:rPr>
                <w:rFonts w:ascii="Times New Roman" w:hAnsi="Times New Roman" w:cs="Times New Roman"/>
                <w:vertAlign w:val="subscript"/>
              </w:rPr>
              <w:t>34</w:t>
            </w:r>
            <w:r>
              <w:rPr>
                <w:rFonts w:ascii="Times New Roman" w:hAnsi="Times New Roman" w:cs="Times New Roman"/>
              </w:rPr>
              <w:t>O</w:t>
            </w:r>
            <w:r>
              <w:rPr>
                <w:rFonts w:ascii="Times New Roman" w:hAnsi="Times New Roman" w:cs="Times New Roman"/>
                <w:vertAlign w:val="subscript"/>
              </w:rPr>
              <w:t>2</w:t>
            </w:r>
          </w:p>
        </w:tc>
        <w:tc>
          <w:tcPr>
            <w:tcW w:w="708" w:type="dxa"/>
          </w:tcPr>
          <w:p w14:paraId="486B8BFB" w14:textId="77777777" w:rsidR="00364DED" w:rsidRDefault="00A70A1E">
            <w:pPr>
              <w:pStyle w:val="NoSpacing"/>
              <w:rPr>
                <w:rFonts w:ascii="Times New Roman" w:hAnsi="Times New Roman" w:cs="Times New Roman"/>
              </w:rPr>
            </w:pPr>
            <w:r>
              <w:rPr>
                <w:rFonts w:ascii="Times New Roman" w:hAnsi="Times New Roman" w:cs="Times New Roman"/>
              </w:rPr>
              <w:t>822</w:t>
            </w:r>
          </w:p>
        </w:tc>
      </w:tr>
      <w:tr w:rsidR="00364DED" w14:paraId="08B790A9" w14:textId="77777777">
        <w:tc>
          <w:tcPr>
            <w:tcW w:w="709" w:type="dxa"/>
          </w:tcPr>
          <w:p w14:paraId="715B5301" w14:textId="77777777" w:rsidR="00364DED" w:rsidRDefault="00A70A1E">
            <w:pPr>
              <w:pStyle w:val="NoSpacing"/>
              <w:rPr>
                <w:rFonts w:ascii="Times New Roman" w:hAnsi="Times New Roman" w:cs="Times New Roman"/>
              </w:rPr>
            </w:pPr>
            <w:r>
              <w:rPr>
                <w:rFonts w:ascii="Times New Roman" w:hAnsi="Times New Roman" w:cs="Times New Roman"/>
              </w:rPr>
              <w:t>13</w:t>
            </w:r>
          </w:p>
        </w:tc>
        <w:tc>
          <w:tcPr>
            <w:tcW w:w="851" w:type="dxa"/>
          </w:tcPr>
          <w:p w14:paraId="578C3F2E" w14:textId="77777777" w:rsidR="00364DED" w:rsidRDefault="00A70A1E">
            <w:pPr>
              <w:pStyle w:val="NoSpacing"/>
              <w:rPr>
                <w:rFonts w:ascii="Times New Roman" w:hAnsi="Times New Roman" w:cs="Times New Roman"/>
              </w:rPr>
            </w:pPr>
            <w:r>
              <w:rPr>
                <w:rFonts w:ascii="Times New Roman" w:hAnsi="Times New Roman" w:cs="Times New Roman"/>
              </w:rPr>
              <w:t>24.78</w:t>
            </w:r>
          </w:p>
        </w:tc>
        <w:tc>
          <w:tcPr>
            <w:tcW w:w="3402" w:type="dxa"/>
          </w:tcPr>
          <w:p w14:paraId="3A609E41" w14:textId="77777777" w:rsidR="00364DED" w:rsidRDefault="00A70A1E">
            <w:pPr>
              <w:pStyle w:val="NoSpacing"/>
              <w:rPr>
                <w:rFonts w:ascii="Times New Roman" w:hAnsi="Times New Roman" w:cs="Times New Roman"/>
              </w:rPr>
            </w:pPr>
            <w:r>
              <w:rPr>
                <w:rFonts w:ascii="Times New Roman" w:hAnsi="Times New Roman" w:cs="Times New Roman"/>
              </w:rPr>
              <w:t xml:space="preserve">Retinal </w:t>
            </w:r>
          </w:p>
        </w:tc>
        <w:tc>
          <w:tcPr>
            <w:tcW w:w="992" w:type="dxa"/>
          </w:tcPr>
          <w:p w14:paraId="27A3F596" w14:textId="77777777" w:rsidR="00364DED" w:rsidRDefault="00A70A1E">
            <w:pPr>
              <w:pStyle w:val="NoSpacing"/>
              <w:rPr>
                <w:rFonts w:ascii="Times New Roman" w:hAnsi="Times New Roman" w:cs="Times New Roman"/>
              </w:rPr>
            </w:pPr>
            <w:r>
              <w:rPr>
                <w:rFonts w:ascii="Times New Roman" w:hAnsi="Times New Roman" w:cs="Times New Roman"/>
              </w:rPr>
              <w:t>12.07</w:t>
            </w:r>
          </w:p>
        </w:tc>
        <w:tc>
          <w:tcPr>
            <w:tcW w:w="1134" w:type="dxa"/>
          </w:tcPr>
          <w:p w14:paraId="58114A64" w14:textId="77777777" w:rsidR="00364DED" w:rsidRDefault="00A70A1E">
            <w:pPr>
              <w:pStyle w:val="NoSpacing"/>
              <w:rPr>
                <w:rFonts w:ascii="Times New Roman" w:hAnsi="Times New Roman" w:cs="Times New Roman"/>
              </w:rPr>
            </w:pPr>
            <w:r>
              <w:rPr>
                <w:rFonts w:ascii="Times New Roman" w:hAnsi="Times New Roman" w:cs="Times New Roman"/>
              </w:rPr>
              <w:t>284</w:t>
            </w:r>
          </w:p>
        </w:tc>
        <w:tc>
          <w:tcPr>
            <w:tcW w:w="1276" w:type="dxa"/>
          </w:tcPr>
          <w:p w14:paraId="2A5FC26F"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20</w:t>
            </w:r>
            <w:r>
              <w:rPr>
                <w:rFonts w:ascii="Times New Roman" w:hAnsi="Times New Roman" w:cs="Times New Roman"/>
              </w:rPr>
              <w:t>H</w:t>
            </w:r>
            <w:r>
              <w:rPr>
                <w:rFonts w:ascii="Times New Roman" w:hAnsi="Times New Roman" w:cs="Times New Roman"/>
                <w:vertAlign w:val="subscript"/>
              </w:rPr>
              <w:t>28</w:t>
            </w:r>
            <w:r>
              <w:rPr>
                <w:rFonts w:ascii="Times New Roman" w:hAnsi="Times New Roman" w:cs="Times New Roman"/>
              </w:rPr>
              <w:t>O</w:t>
            </w:r>
          </w:p>
        </w:tc>
        <w:tc>
          <w:tcPr>
            <w:tcW w:w="708" w:type="dxa"/>
          </w:tcPr>
          <w:p w14:paraId="36B2E994" w14:textId="77777777" w:rsidR="00364DED" w:rsidRDefault="00A70A1E">
            <w:pPr>
              <w:pStyle w:val="NoSpacing"/>
              <w:rPr>
                <w:rFonts w:ascii="Times New Roman" w:hAnsi="Times New Roman" w:cs="Times New Roman"/>
              </w:rPr>
            </w:pPr>
            <w:r>
              <w:rPr>
                <w:rFonts w:ascii="Times New Roman" w:hAnsi="Times New Roman" w:cs="Times New Roman"/>
              </w:rPr>
              <w:t>801</w:t>
            </w:r>
          </w:p>
        </w:tc>
      </w:tr>
      <w:tr w:rsidR="00364DED" w14:paraId="2AB952D1" w14:textId="77777777">
        <w:tc>
          <w:tcPr>
            <w:tcW w:w="709" w:type="dxa"/>
          </w:tcPr>
          <w:p w14:paraId="05355839" w14:textId="77777777" w:rsidR="00364DED" w:rsidRDefault="00A70A1E">
            <w:pPr>
              <w:pStyle w:val="NoSpacing"/>
              <w:rPr>
                <w:rFonts w:ascii="Times New Roman" w:hAnsi="Times New Roman" w:cs="Times New Roman"/>
              </w:rPr>
            </w:pPr>
            <w:r>
              <w:rPr>
                <w:rFonts w:ascii="Times New Roman" w:hAnsi="Times New Roman" w:cs="Times New Roman"/>
              </w:rPr>
              <w:t>14</w:t>
            </w:r>
          </w:p>
        </w:tc>
        <w:tc>
          <w:tcPr>
            <w:tcW w:w="851" w:type="dxa"/>
          </w:tcPr>
          <w:p w14:paraId="6A86385A" w14:textId="77777777" w:rsidR="00364DED" w:rsidRDefault="00A70A1E">
            <w:pPr>
              <w:pStyle w:val="NoSpacing"/>
              <w:rPr>
                <w:rFonts w:ascii="Times New Roman" w:hAnsi="Times New Roman" w:cs="Times New Roman"/>
              </w:rPr>
            </w:pPr>
            <w:r>
              <w:rPr>
                <w:rFonts w:ascii="Times New Roman" w:hAnsi="Times New Roman" w:cs="Times New Roman"/>
              </w:rPr>
              <w:t>25.33</w:t>
            </w:r>
          </w:p>
        </w:tc>
        <w:tc>
          <w:tcPr>
            <w:tcW w:w="3402" w:type="dxa"/>
          </w:tcPr>
          <w:p w14:paraId="3A2CD6FF" w14:textId="77777777" w:rsidR="00364DED" w:rsidRDefault="00A70A1E">
            <w:pPr>
              <w:pStyle w:val="NoSpacing"/>
              <w:rPr>
                <w:rFonts w:ascii="Times New Roman" w:hAnsi="Times New Roman" w:cs="Times New Roman"/>
              </w:rPr>
            </w:pPr>
            <w:r>
              <w:rPr>
                <w:rFonts w:ascii="Times New Roman" w:hAnsi="Times New Roman" w:cs="Times New Roman"/>
              </w:rPr>
              <w:t>trans-13-Octadecenoic acid</w:t>
            </w:r>
          </w:p>
        </w:tc>
        <w:tc>
          <w:tcPr>
            <w:tcW w:w="992" w:type="dxa"/>
          </w:tcPr>
          <w:p w14:paraId="6540C99A" w14:textId="77777777" w:rsidR="00364DED" w:rsidRDefault="00A70A1E">
            <w:pPr>
              <w:pStyle w:val="NoSpacing"/>
              <w:rPr>
                <w:rFonts w:ascii="Times New Roman" w:hAnsi="Times New Roman" w:cs="Times New Roman"/>
              </w:rPr>
            </w:pPr>
            <w:r>
              <w:rPr>
                <w:rFonts w:ascii="Times New Roman" w:hAnsi="Times New Roman" w:cs="Times New Roman"/>
              </w:rPr>
              <w:t>9.41</w:t>
            </w:r>
          </w:p>
        </w:tc>
        <w:tc>
          <w:tcPr>
            <w:tcW w:w="1134" w:type="dxa"/>
          </w:tcPr>
          <w:p w14:paraId="01831867" w14:textId="77777777" w:rsidR="00364DED" w:rsidRDefault="00A70A1E">
            <w:pPr>
              <w:pStyle w:val="NoSpacing"/>
              <w:rPr>
                <w:rFonts w:ascii="Times New Roman" w:hAnsi="Times New Roman" w:cs="Times New Roman"/>
              </w:rPr>
            </w:pPr>
            <w:r>
              <w:rPr>
                <w:rFonts w:ascii="Times New Roman" w:hAnsi="Times New Roman" w:cs="Times New Roman"/>
              </w:rPr>
              <w:t>282</w:t>
            </w:r>
          </w:p>
        </w:tc>
        <w:tc>
          <w:tcPr>
            <w:tcW w:w="1276" w:type="dxa"/>
          </w:tcPr>
          <w:p w14:paraId="1D4BD9C6"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18</w:t>
            </w:r>
            <w:r>
              <w:rPr>
                <w:rFonts w:ascii="Times New Roman" w:hAnsi="Times New Roman" w:cs="Times New Roman"/>
              </w:rPr>
              <w:t>H</w:t>
            </w:r>
            <w:r>
              <w:rPr>
                <w:rFonts w:ascii="Times New Roman" w:hAnsi="Times New Roman" w:cs="Times New Roman"/>
                <w:vertAlign w:val="subscript"/>
              </w:rPr>
              <w:t>34</w:t>
            </w:r>
            <w:r>
              <w:rPr>
                <w:rFonts w:ascii="Times New Roman" w:hAnsi="Times New Roman" w:cs="Times New Roman"/>
              </w:rPr>
              <w:t>O</w:t>
            </w:r>
            <w:r>
              <w:rPr>
                <w:rFonts w:ascii="Times New Roman" w:hAnsi="Times New Roman" w:cs="Times New Roman"/>
                <w:vertAlign w:val="subscript"/>
              </w:rPr>
              <w:t>2</w:t>
            </w:r>
          </w:p>
        </w:tc>
        <w:tc>
          <w:tcPr>
            <w:tcW w:w="708" w:type="dxa"/>
          </w:tcPr>
          <w:p w14:paraId="01EE36CF" w14:textId="77777777" w:rsidR="00364DED" w:rsidRDefault="00A70A1E">
            <w:pPr>
              <w:pStyle w:val="NoSpacing"/>
              <w:rPr>
                <w:rFonts w:ascii="Times New Roman" w:hAnsi="Times New Roman" w:cs="Times New Roman"/>
              </w:rPr>
            </w:pPr>
            <w:r>
              <w:rPr>
                <w:rFonts w:ascii="Times New Roman" w:hAnsi="Times New Roman" w:cs="Times New Roman"/>
              </w:rPr>
              <w:t>839</w:t>
            </w:r>
          </w:p>
        </w:tc>
      </w:tr>
      <w:tr w:rsidR="00364DED" w14:paraId="3EF03F1D" w14:textId="77777777">
        <w:tc>
          <w:tcPr>
            <w:tcW w:w="709" w:type="dxa"/>
          </w:tcPr>
          <w:p w14:paraId="22AAF32F" w14:textId="77777777" w:rsidR="00364DED" w:rsidRDefault="00A70A1E">
            <w:pPr>
              <w:pStyle w:val="NoSpacing"/>
              <w:rPr>
                <w:rFonts w:ascii="Times New Roman" w:hAnsi="Times New Roman" w:cs="Times New Roman"/>
              </w:rPr>
            </w:pPr>
            <w:r>
              <w:rPr>
                <w:rFonts w:ascii="Times New Roman" w:hAnsi="Times New Roman" w:cs="Times New Roman"/>
              </w:rPr>
              <w:t>15</w:t>
            </w:r>
          </w:p>
        </w:tc>
        <w:tc>
          <w:tcPr>
            <w:tcW w:w="851" w:type="dxa"/>
          </w:tcPr>
          <w:p w14:paraId="13401D58" w14:textId="77777777" w:rsidR="00364DED" w:rsidRDefault="00A70A1E">
            <w:pPr>
              <w:pStyle w:val="NoSpacing"/>
              <w:rPr>
                <w:rFonts w:ascii="Times New Roman" w:hAnsi="Times New Roman" w:cs="Times New Roman"/>
              </w:rPr>
            </w:pPr>
            <w:r>
              <w:rPr>
                <w:rFonts w:ascii="Times New Roman" w:hAnsi="Times New Roman" w:cs="Times New Roman"/>
              </w:rPr>
              <w:t>25.56</w:t>
            </w:r>
          </w:p>
        </w:tc>
        <w:tc>
          <w:tcPr>
            <w:tcW w:w="3402" w:type="dxa"/>
          </w:tcPr>
          <w:p w14:paraId="1DB26AD6" w14:textId="77777777" w:rsidR="00364DED" w:rsidRDefault="00A70A1E">
            <w:pPr>
              <w:pStyle w:val="NoSpacing"/>
              <w:rPr>
                <w:rFonts w:ascii="Times New Roman" w:hAnsi="Times New Roman" w:cs="Times New Roman"/>
              </w:rPr>
            </w:pPr>
            <w:r>
              <w:rPr>
                <w:rFonts w:ascii="Times New Roman" w:hAnsi="Times New Roman" w:cs="Times New Roman"/>
              </w:rPr>
              <w:t>cis-13-Eicosenoic acid</w:t>
            </w:r>
          </w:p>
        </w:tc>
        <w:tc>
          <w:tcPr>
            <w:tcW w:w="992" w:type="dxa"/>
          </w:tcPr>
          <w:p w14:paraId="60B955DD" w14:textId="77777777" w:rsidR="00364DED" w:rsidRDefault="00A70A1E">
            <w:pPr>
              <w:pStyle w:val="NoSpacing"/>
              <w:rPr>
                <w:rFonts w:ascii="Times New Roman" w:hAnsi="Times New Roman" w:cs="Times New Roman"/>
              </w:rPr>
            </w:pPr>
            <w:r>
              <w:rPr>
                <w:rFonts w:ascii="Times New Roman" w:hAnsi="Times New Roman" w:cs="Times New Roman"/>
              </w:rPr>
              <w:t>8.30</w:t>
            </w:r>
          </w:p>
        </w:tc>
        <w:tc>
          <w:tcPr>
            <w:tcW w:w="1134" w:type="dxa"/>
          </w:tcPr>
          <w:p w14:paraId="411FF7BC" w14:textId="77777777" w:rsidR="00364DED" w:rsidRDefault="00A70A1E">
            <w:pPr>
              <w:pStyle w:val="NoSpacing"/>
              <w:rPr>
                <w:rFonts w:ascii="Times New Roman" w:hAnsi="Times New Roman" w:cs="Times New Roman"/>
              </w:rPr>
            </w:pPr>
            <w:r>
              <w:rPr>
                <w:rFonts w:ascii="Times New Roman" w:hAnsi="Times New Roman" w:cs="Times New Roman"/>
              </w:rPr>
              <w:t>310</w:t>
            </w:r>
          </w:p>
        </w:tc>
        <w:tc>
          <w:tcPr>
            <w:tcW w:w="1276" w:type="dxa"/>
          </w:tcPr>
          <w:p w14:paraId="026FAD6F"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20</w:t>
            </w:r>
            <w:r>
              <w:rPr>
                <w:rFonts w:ascii="Times New Roman" w:hAnsi="Times New Roman" w:cs="Times New Roman"/>
              </w:rPr>
              <w:t>H</w:t>
            </w:r>
            <w:r>
              <w:rPr>
                <w:rFonts w:ascii="Times New Roman" w:hAnsi="Times New Roman" w:cs="Times New Roman"/>
                <w:vertAlign w:val="subscript"/>
              </w:rPr>
              <w:t>38</w:t>
            </w:r>
            <w:r>
              <w:rPr>
                <w:rFonts w:ascii="Times New Roman" w:hAnsi="Times New Roman" w:cs="Times New Roman"/>
              </w:rPr>
              <w:t>O</w:t>
            </w:r>
            <w:r>
              <w:rPr>
                <w:rFonts w:ascii="Times New Roman" w:hAnsi="Times New Roman" w:cs="Times New Roman"/>
                <w:vertAlign w:val="subscript"/>
              </w:rPr>
              <w:t>2</w:t>
            </w:r>
          </w:p>
        </w:tc>
        <w:tc>
          <w:tcPr>
            <w:tcW w:w="708" w:type="dxa"/>
          </w:tcPr>
          <w:p w14:paraId="115D2F67" w14:textId="77777777" w:rsidR="00364DED" w:rsidRDefault="00A70A1E">
            <w:pPr>
              <w:pStyle w:val="NoSpacing"/>
              <w:rPr>
                <w:rFonts w:ascii="Times New Roman" w:hAnsi="Times New Roman" w:cs="Times New Roman"/>
              </w:rPr>
            </w:pPr>
            <w:r>
              <w:rPr>
                <w:rFonts w:ascii="Times New Roman" w:hAnsi="Times New Roman" w:cs="Times New Roman"/>
              </w:rPr>
              <w:t>804</w:t>
            </w:r>
          </w:p>
        </w:tc>
      </w:tr>
    </w:tbl>
    <w:p w14:paraId="21B20AF6" w14:textId="77777777" w:rsidR="00364DED" w:rsidRDefault="00A70A1E">
      <w:pPr>
        <w:rPr>
          <w:rFonts w:ascii="Times New Roman" w:hAnsi="Times New Roman" w:cs="Times New Roman"/>
          <w:sz w:val="24"/>
          <w:szCs w:val="24"/>
        </w:rPr>
      </w:pPr>
      <w:r>
        <w:rPr>
          <w:rFonts w:ascii="Times New Roman" w:hAnsi="Times New Roman" w:cs="Times New Roman"/>
          <w:sz w:val="24"/>
          <w:szCs w:val="24"/>
        </w:rPr>
        <w:lastRenderedPageBreak/>
        <w:t>*RT, retention time (min), ** RSI, matching factor between getting mass spectrum and database mass spectra</w:t>
      </w:r>
    </w:p>
    <w:p w14:paraId="465B4786" w14:textId="77777777" w:rsidR="00364DED" w:rsidRDefault="00A70A1E">
      <w:pPr>
        <w:rPr>
          <w:rFonts w:ascii="Times New Roman" w:hAnsi="Times New Roman" w:cs="Times New Roman"/>
          <w:sz w:val="24"/>
        </w:rPr>
      </w:pPr>
      <w:r>
        <w:rPr>
          <w:rFonts w:ascii="Times New Roman" w:hAnsi="Times New Roman" w:cs="Times New Roman"/>
          <w:b/>
          <w:bCs/>
          <w:sz w:val="24"/>
          <w:szCs w:val="24"/>
        </w:rPr>
        <w:t>Table 4</w:t>
      </w:r>
      <w:r>
        <w:rPr>
          <w:rFonts w:ascii="Times New Roman" w:hAnsi="Times New Roman" w:cs="Times New Roman"/>
          <w:sz w:val="24"/>
          <w:szCs w:val="24"/>
        </w:rPr>
        <w:t xml:space="preserve">. The chemical composition of </w:t>
      </w:r>
      <w:r>
        <w:rPr>
          <w:rFonts w:ascii="Times New Roman" w:hAnsi="Times New Roman" w:cs="Times New Roman"/>
          <w:i/>
          <w:iCs/>
          <w:sz w:val="24"/>
          <w:szCs w:val="24"/>
        </w:rPr>
        <w:t xml:space="preserve">Bougainvillea spectabilis </w:t>
      </w:r>
      <w:r>
        <w:rPr>
          <w:rFonts w:ascii="Times New Roman" w:hAnsi="Times New Roman" w:cs="Times New Roman"/>
          <w:sz w:val="24"/>
          <w:szCs w:val="24"/>
        </w:rPr>
        <w:t xml:space="preserve">bark butanol extract reported using GC-MS analysis </w:t>
      </w:r>
    </w:p>
    <w:tbl>
      <w:tblPr>
        <w:tblW w:w="9782" w:type="dxa"/>
        <w:tblInd w:w="-318" w:type="dxa"/>
        <w:tblBorders>
          <w:top w:val="single" w:sz="4" w:space="0" w:color="auto"/>
          <w:bottom w:val="single" w:sz="4" w:space="0" w:color="auto"/>
        </w:tblBorders>
        <w:tblLayout w:type="fixed"/>
        <w:tblLook w:val="04A0" w:firstRow="1" w:lastRow="0" w:firstColumn="1" w:lastColumn="0" w:noHBand="0" w:noVBand="1"/>
      </w:tblPr>
      <w:tblGrid>
        <w:gridCol w:w="993"/>
        <w:gridCol w:w="993"/>
        <w:gridCol w:w="3402"/>
        <w:gridCol w:w="992"/>
        <w:gridCol w:w="1134"/>
        <w:gridCol w:w="1417"/>
        <w:gridCol w:w="851"/>
      </w:tblGrid>
      <w:tr w:rsidR="00364DED" w14:paraId="35F5E5A8" w14:textId="77777777">
        <w:trPr>
          <w:trHeight w:val="331"/>
        </w:trPr>
        <w:tc>
          <w:tcPr>
            <w:tcW w:w="993" w:type="dxa"/>
            <w:tcBorders>
              <w:top w:val="single" w:sz="4" w:space="0" w:color="auto"/>
              <w:bottom w:val="single" w:sz="4" w:space="0" w:color="auto"/>
            </w:tcBorders>
          </w:tcPr>
          <w:p w14:paraId="36D3B673" w14:textId="77777777" w:rsidR="00364DED" w:rsidRDefault="00A70A1E">
            <w:pPr>
              <w:pStyle w:val="NoSpacing"/>
              <w:rPr>
                <w:rFonts w:ascii="Times New Roman" w:hAnsi="Times New Roman" w:cs="Times New Roman"/>
              </w:rPr>
            </w:pPr>
            <w:r>
              <w:rPr>
                <w:rFonts w:ascii="Times New Roman" w:hAnsi="Times New Roman" w:cs="Times New Roman"/>
              </w:rPr>
              <w:t>Peak</w:t>
            </w:r>
          </w:p>
        </w:tc>
        <w:tc>
          <w:tcPr>
            <w:tcW w:w="993" w:type="dxa"/>
            <w:tcBorders>
              <w:top w:val="single" w:sz="4" w:space="0" w:color="auto"/>
              <w:bottom w:val="single" w:sz="4" w:space="0" w:color="auto"/>
            </w:tcBorders>
          </w:tcPr>
          <w:p w14:paraId="730B1A4A" w14:textId="77777777" w:rsidR="00364DED" w:rsidRDefault="00A70A1E">
            <w:pPr>
              <w:pStyle w:val="NoSpacing"/>
              <w:rPr>
                <w:rFonts w:ascii="Times New Roman" w:hAnsi="Times New Roman" w:cs="Times New Roman"/>
              </w:rPr>
            </w:pPr>
            <w:r>
              <w:rPr>
                <w:rFonts w:ascii="Times New Roman" w:hAnsi="Times New Roman" w:cs="Times New Roman"/>
              </w:rPr>
              <w:t>RT*</w:t>
            </w:r>
          </w:p>
          <w:p w14:paraId="0BFC71C9" w14:textId="77777777" w:rsidR="00364DED" w:rsidRDefault="00364DED">
            <w:pPr>
              <w:pStyle w:val="NoSpacing"/>
              <w:rPr>
                <w:rFonts w:ascii="Times New Roman" w:hAnsi="Times New Roman" w:cs="Times New Roman"/>
              </w:rPr>
            </w:pPr>
          </w:p>
        </w:tc>
        <w:tc>
          <w:tcPr>
            <w:tcW w:w="3402" w:type="dxa"/>
            <w:tcBorders>
              <w:top w:val="single" w:sz="4" w:space="0" w:color="auto"/>
              <w:bottom w:val="single" w:sz="4" w:space="0" w:color="auto"/>
            </w:tcBorders>
          </w:tcPr>
          <w:p w14:paraId="6EA5EAE2" w14:textId="77777777" w:rsidR="00364DED" w:rsidRDefault="00A70A1E">
            <w:pPr>
              <w:pStyle w:val="NoSpacing"/>
              <w:rPr>
                <w:rFonts w:ascii="Times New Roman" w:hAnsi="Times New Roman" w:cs="Times New Roman"/>
              </w:rPr>
            </w:pPr>
            <w:r>
              <w:rPr>
                <w:rFonts w:ascii="Times New Roman" w:hAnsi="Times New Roman" w:cs="Times New Roman"/>
              </w:rPr>
              <w:t>Compound</w:t>
            </w:r>
          </w:p>
        </w:tc>
        <w:tc>
          <w:tcPr>
            <w:tcW w:w="992" w:type="dxa"/>
            <w:tcBorders>
              <w:top w:val="single" w:sz="4" w:space="0" w:color="auto"/>
              <w:bottom w:val="single" w:sz="4" w:space="0" w:color="auto"/>
            </w:tcBorders>
          </w:tcPr>
          <w:p w14:paraId="6E30C926" w14:textId="77777777" w:rsidR="00364DED" w:rsidRDefault="00A70A1E">
            <w:pPr>
              <w:pStyle w:val="NoSpacing"/>
              <w:rPr>
                <w:rFonts w:ascii="Times New Roman" w:hAnsi="Times New Roman" w:cs="Times New Roman"/>
              </w:rPr>
            </w:pPr>
            <w:r>
              <w:rPr>
                <w:rFonts w:ascii="Times New Roman" w:hAnsi="Times New Roman" w:cs="Times New Roman"/>
              </w:rPr>
              <w:t>Area %</w:t>
            </w:r>
          </w:p>
        </w:tc>
        <w:tc>
          <w:tcPr>
            <w:tcW w:w="1134" w:type="dxa"/>
            <w:tcBorders>
              <w:top w:val="single" w:sz="4" w:space="0" w:color="auto"/>
              <w:bottom w:val="single" w:sz="4" w:space="0" w:color="auto"/>
            </w:tcBorders>
          </w:tcPr>
          <w:p w14:paraId="60A1AA1E" w14:textId="77777777" w:rsidR="00364DED" w:rsidRDefault="00A70A1E">
            <w:pPr>
              <w:pStyle w:val="NoSpacing"/>
              <w:rPr>
                <w:rFonts w:ascii="Times New Roman" w:hAnsi="Times New Roman" w:cs="Times New Roman"/>
              </w:rPr>
            </w:pPr>
            <w:r>
              <w:rPr>
                <w:rFonts w:ascii="Times New Roman" w:hAnsi="Times New Roman" w:cs="Times New Roman"/>
              </w:rPr>
              <w:t>Molecular Weight</w:t>
            </w:r>
          </w:p>
        </w:tc>
        <w:tc>
          <w:tcPr>
            <w:tcW w:w="1417" w:type="dxa"/>
            <w:tcBorders>
              <w:top w:val="single" w:sz="4" w:space="0" w:color="auto"/>
              <w:bottom w:val="single" w:sz="4" w:space="0" w:color="auto"/>
            </w:tcBorders>
          </w:tcPr>
          <w:p w14:paraId="35082FB8" w14:textId="77777777" w:rsidR="00364DED" w:rsidRDefault="00A70A1E">
            <w:pPr>
              <w:pStyle w:val="NoSpacing"/>
              <w:rPr>
                <w:rFonts w:ascii="Times New Roman" w:hAnsi="Times New Roman" w:cs="Times New Roman"/>
              </w:rPr>
            </w:pPr>
            <w:r>
              <w:rPr>
                <w:rFonts w:ascii="Times New Roman" w:hAnsi="Times New Roman" w:cs="Times New Roman"/>
              </w:rPr>
              <w:t>Molecular formula</w:t>
            </w:r>
          </w:p>
        </w:tc>
        <w:tc>
          <w:tcPr>
            <w:tcW w:w="851" w:type="dxa"/>
            <w:tcBorders>
              <w:top w:val="single" w:sz="4" w:space="0" w:color="auto"/>
              <w:bottom w:val="single" w:sz="4" w:space="0" w:color="auto"/>
            </w:tcBorders>
          </w:tcPr>
          <w:p w14:paraId="161B7220" w14:textId="77777777" w:rsidR="00364DED" w:rsidRDefault="00A70A1E">
            <w:pPr>
              <w:pStyle w:val="NoSpacing"/>
              <w:rPr>
                <w:rFonts w:ascii="Times New Roman" w:hAnsi="Times New Roman" w:cs="Times New Roman"/>
              </w:rPr>
            </w:pPr>
            <w:r>
              <w:rPr>
                <w:rFonts w:ascii="Times New Roman" w:hAnsi="Times New Roman" w:cs="Times New Roman"/>
              </w:rPr>
              <w:t>RSI</w:t>
            </w:r>
          </w:p>
        </w:tc>
      </w:tr>
      <w:tr w:rsidR="00364DED" w14:paraId="29BBE306" w14:textId="77777777">
        <w:tc>
          <w:tcPr>
            <w:tcW w:w="993" w:type="dxa"/>
            <w:tcBorders>
              <w:top w:val="single" w:sz="4" w:space="0" w:color="auto"/>
            </w:tcBorders>
          </w:tcPr>
          <w:p w14:paraId="35782211" w14:textId="77777777" w:rsidR="00364DED" w:rsidRDefault="00A70A1E">
            <w:pPr>
              <w:pStyle w:val="NoSpacing"/>
              <w:rPr>
                <w:rFonts w:ascii="Times New Roman" w:hAnsi="Times New Roman" w:cs="Times New Roman"/>
              </w:rPr>
            </w:pPr>
            <w:r>
              <w:rPr>
                <w:rFonts w:ascii="Times New Roman" w:hAnsi="Times New Roman" w:cs="Times New Roman"/>
              </w:rPr>
              <w:t>1</w:t>
            </w:r>
          </w:p>
        </w:tc>
        <w:tc>
          <w:tcPr>
            <w:tcW w:w="993" w:type="dxa"/>
            <w:tcBorders>
              <w:top w:val="single" w:sz="4" w:space="0" w:color="auto"/>
            </w:tcBorders>
          </w:tcPr>
          <w:p w14:paraId="5CBFBD51" w14:textId="77777777" w:rsidR="00364DED" w:rsidRDefault="00A70A1E">
            <w:pPr>
              <w:pStyle w:val="NoSpacing"/>
              <w:rPr>
                <w:rFonts w:ascii="Times New Roman" w:hAnsi="Times New Roman" w:cs="Times New Roman"/>
              </w:rPr>
            </w:pPr>
            <w:r>
              <w:rPr>
                <w:rFonts w:ascii="Times New Roman" w:hAnsi="Times New Roman" w:cs="Times New Roman"/>
              </w:rPr>
              <w:t>3.14</w:t>
            </w:r>
          </w:p>
        </w:tc>
        <w:tc>
          <w:tcPr>
            <w:tcW w:w="3402" w:type="dxa"/>
            <w:tcBorders>
              <w:top w:val="single" w:sz="4" w:space="0" w:color="auto"/>
            </w:tcBorders>
          </w:tcPr>
          <w:p w14:paraId="42CEAFC8" w14:textId="77777777" w:rsidR="00364DED" w:rsidRDefault="00A70A1E">
            <w:pPr>
              <w:pStyle w:val="NoSpacing"/>
              <w:rPr>
                <w:rFonts w:ascii="Times New Roman" w:hAnsi="Times New Roman" w:cs="Times New Roman"/>
              </w:rPr>
            </w:pPr>
            <w:r>
              <w:rPr>
                <w:rFonts w:ascii="Times New Roman" w:hAnsi="Times New Roman" w:cs="Times New Roman"/>
              </w:rPr>
              <w:t>3,4,5,6-Tetrahydroxy-2-oxo-hexanoicacid</w:t>
            </w:r>
          </w:p>
        </w:tc>
        <w:tc>
          <w:tcPr>
            <w:tcW w:w="992" w:type="dxa"/>
            <w:tcBorders>
              <w:top w:val="single" w:sz="4" w:space="0" w:color="auto"/>
            </w:tcBorders>
          </w:tcPr>
          <w:p w14:paraId="0E3A5FF4" w14:textId="77777777" w:rsidR="00364DED" w:rsidRDefault="00A70A1E">
            <w:pPr>
              <w:pStyle w:val="NoSpacing"/>
              <w:rPr>
                <w:rFonts w:ascii="Times New Roman" w:hAnsi="Times New Roman" w:cs="Times New Roman"/>
              </w:rPr>
            </w:pPr>
            <w:r>
              <w:rPr>
                <w:rFonts w:ascii="Times New Roman" w:hAnsi="Times New Roman" w:cs="Times New Roman"/>
              </w:rPr>
              <w:t>0.49</w:t>
            </w:r>
          </w:p>
        </w:tc>
        <w:tc>
          <w:tcPr>
            <w:tcW w:w="1134" w:type="dxa"/>
            <w:tcBorders>
              <w:top w:val="single" w:sz="4" w:space="0" w:color="auto"/>
            </w:tcBorders>
          </w:tcPr>
          <w:p w14:paraId="707FD460" w14:textId="77777777" w:rsidR="00364DED" w:rsidRDefault="00A70A1E">
            <w:pPr>
              <w:pStyle w:val="NoSpacing"/>
              <w:rPr>
                <w:rFonts w:ascii="Times New Roman" w:hAnsi="Times New Roman" w:cs="Times New Roman"/>
              </w:rPr>
            </w:pPr>
            <w:r>
              <w:rPr>
                <w:rFonts w:ascii="Times New Roman" w:hAnsi="Times New Roman" w:cs="Times New Roman"/>
              </w:rPr>
              <w:t>194</w:t>
            </w:r>
          </w:p>
        </w:tc>
        <w:tc>
          <w:tcPr>
            <w:tcW w:w="1417" w:type="dxa"/>
            <w:tcBorders>
              <w:top w:val="single" w:sz="4" w:space="0" w:color="auto"/>
            </w:tcBorders>
          </w:tcPr>
          <w:p w14:paraId="730364AD"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10</w:t>
            </w:r>
            <w:r>
              <w:rPr>
                <w:rFonts w:ascii="Times New Roman" w:hAnsi="Times New Roman" w:cs="Times New Roman"/>
              </w:rPr>
              <w:t>O</w:t>
            </w:r>
            <w:r>
              <w:rPr>
                <w:rFonts w:ascii="Times New Roman" w:hAnsi="Times New Roman" w:cs="Times New Roman"/>
                <w:vertAlign w:val="subscript"/>
              </w:rPr>
              <w:t>7</w:t>
            </w:r>
          </w:p>
        </w:tc>
        <w:tc>
          <w:tcPr>
            <w:tcW w:w="851" w:type="dxa"/>
            <w:tcBorders>
              <w:top w:val="single" w:sz="4" w:space="0" w:color="auto"/>
            </w:tcBorders>
          </w:tcPr>
          <w:p w14:paraId="643A4026" w14:textId="77777777" w:rsidR="00364DED" w:rsidRDefault="00A70A1E">
            <w:pPr>
              <w:pStyle w:val="NoSpacing"/>
              <w:rPr>
                <w:rFonts w:ascii="Times New Roman" w:hAnsi="Times New Roman" w:cs="Times New Roman"/>
              </w:rPr>
            </w:pPr>
            <w:r>
              <w:rPr>
                <w:rFonts w:ascii="Times New Roman" w:hAnsi="Times New Roman" w:cs="Times New Roman"/>
              </w:rPr>
              <w:t>718</w:t>
            </w:r>
          </w:p>
        </w:tc>
      </w:tr>
      <w:tr w:rsidR="00364DED" w14:paraId="1CE03010" w14:textId="77777777">
        <w:tc>
          <w:tcPr>
            <w:tcW w:w="993" w:type="dxa"/>
          </w:tcPr>
          <w:p w14:paraId="28012244" w14:textId="77777777" w:rsidR="00364DED" w:rsidRDefault="00A70A1E">
            <w:pPr>
              <w:pStyle w:val="NoSpacing"/>
              <w:rPr>
                <w:rFonts w:ascii="Times New Roman" w:hAnsi="Times New Roman" w:cs="Times New Roman"/>
              </w:rPr>
            </w:pPr>
            <w:r>
              <w:rPr>
                <w:rFonts w:ascii="Times New Roman" w:hAnsi="Times New Roman" w:cs="Times New Roman"/>
              </w:rPr>
              <w:t>2</w:t>
            </w:r>
          </w:p>
        </w:tc>
        <w:tc>
          <w:tcPr>
            <w:tcW w:w="993" w:type="dxa"/>
          </w:tcPr>
          <w:p w14:paraId="4E8C5050" w14:textId="77777777" w:rsidR="00364DED" w:rsidRDefault="00A70A1E">
            <w:pPr>
              <w:pStyle w:val="NoSpacing"/>
              <w:rPr>
                <w:rFonts w:ascii="Times New Roman" w:hAnsi="Times New Roman" w:cs="Times New Roman"/>
              </w:rPr>
            </w:pPr>
            <w:r>
              <w:rPr>
                <w:rFonts w:ascii="Times New Roman" w:hAnsi="Times New Roman" w:cs="Times New Roman"/>
              </w:rPr>
              <w:t>3.68</w:t>
            </w:r>
          </w:p>
        </w:tc>
        <w:tc>
          <w:tcPr>
            <w:tcW w:w="3402" w:type="dxa"/>
          </w:tcPr>
          <w:p w14:paraId="77F1DD15" w14:textId="77777777" w:rsidR="00364DED" w:rsidRDefault="00A70A1E">
            <w:pPr>
              <w:pStyle w:val="NoSpacing"/>
              <w:rPr>
                <w:rFonts w:ascii="Times New Roman" w:hAnsi="Times New Roman" w:cs="Times New Roman"/>
              </w:rPr>
            </w:pPr>
            <w:r>
              <w:rPr>
                <w:rFonts w:ascii="Times New Roman" w:hAnsi="Times New Roman" w:cs="Times New Roman"/>
              </w:rPr>
              <w:t xml:space="preserve">1-Chloro hexane </w:t>
            </w:r>
          </w:p>
        </w:tc>
        <w:tc>
          <w:tcPr>
            <w:tcW w:w="992" w:type="dxa"/>
          </w:tcPr>
          <w:p w14:paraId="14BB6E89" w14:textId="77777777" w:rsidR="00364DED" w:rsidRDefault="00A70A1E">
            <w:pPr>
              <w:pStyle w:val="NoSpacing"/>
              <w:rPr>
                <w:rFonts w:ascii="Times New Roman" w:hAnsi="Times New Roman" w:cs="Times New Roman"/>
              </w:rPr>
            </w:pPr>
            <w:r>
              <w:rPr>
                <w:rFonts w:ascii="Times New Roman" w:hAnsi="Times New Roman" w:cs="Times New Roman"/>
              </w:rPr>
              <w:t>1.18</w:t>
            </w:r>
          </w:p>
        </w:tc>
        <w:tc>
          <w:tcPr>
            <w:tcW w:w="1134" w:type="dxa"/>
          </w:tcPr>
          <w:p w14:paraId="758C33A4" w14:textId="77777777" w:rsidR="00364DED" w:rsidRDefault="00A70A1E">
            <w:pPr>
              <w:pStyle w:val="NoSpacing"/>
              <w:rPr>
                <w:rFonts w:ascii="Times New Roman" w:hAnsi="Times New Roman" w:cs="Times New Roman"/>
              </w:rPr>
            </w:pPr>
            <w:r>
              <w:rPr>
                <w:rFonts w:ascii="Times New Roman" w:hAnsi="Times New Roman" w:cs="Times New Roman"/>
              </w:rPr>
              <w:t>120</w:t>
            </w:r>
          </w:p>
        </w:tc>
        <w:tc>
          <w:tcPr>
            <w:tcW w:w="1417" w:type="dxa"/>
          </w:tcPr>
          <w:p w14:paraId="1EA60B6C"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13</w:t>
            </w:r>
            <w:r>
              <w:rPr>
                <w:rFonts w:ascii="Times New Roman" w:hAnsi="Times New Roman" w:cs="Times New Roman"/>
              </w:rPr>
              <w:t>Cl</w:t>
            </w:r>
          </w:p>
        </w:tc>
        <w:tc>
          <w:tcPr>
            <w:tcW w:w="851" w:type="dxa"/>
          </w:tcPr>
          <w:p w14:paraId="6310F6FD" w14:textId="77777777" w:rsidR="00364DED" w:rsidRDefault="00A70A1E">
            <w:pPr>
              <w:pStyle w:val="NoSpacing"/>
              <w:rPr>
                <w:rFonts w:ascii="Times New Roman" w:hAnsi="Times New Roman" w:cs="Times New Roman"/>
              </w:rPr>
            </w:pPr>
            <w:r>
              <w:rPr>
                <w:rFonts w:ascii="Times New Roman" w:hAnsi="Times New Roman" w:cs="Times New Roman"/>
              </w:rPr>
              <w:t>683</w:t>
            </w:r>
          </w:p>
        </w:tc>
      </w:tr>
      <w:tr w:rsidR="00364DED" w14:paraId="4ACFDB73" w14:textId="77777777">
        <w:tc>
          <w:tcPr>
            <w:tcW w:w="993" w:type="dxa"/>
          </w:tcPr>
          <w:p w14:paraId="5FA09BB8" w14:textId="77777777" w:rsidR="00364DED" w:rsidRDefault="00A70A1E">
            <w:pPr>
              <w:pStyle w:val="NoSpacing"/>
              <w:rPr>
                <w:rFonts w:ascii="Times New Roman" w:hAnsi="Times New Roman" w:cs="Times New Roman"/>
              </w:rPr>
            </w:pPr>
            <w:r>
              <w:rPr>
                <w:rFonts w:ascii="Times New Roman" w:hAnsi="Times New Roman" w:cs="Times New Roman"/>
              </w:rPr>
              <w:t>3</w:t>
            </w:r>
          </w:p>
        </w:tc>
        <w:tc>
          <w:tcPr>
            <w:tcW w:w="993" w:type="dxa"/>
          </w:tcPr>
          <w:p w14:paraId="2F82CDBE" w14:textId="77777777" w:rsidR="00364DED" w:rsidRDefault="00A70A1E">
            <w:pPr>
              <w:pStyle w:val="NoSpacing"/>
              <w:rPr>
                <w:rFonts w:ascii="Times New Roman" w:hAnsi="Times New Roman" w:cs="Times New Roman"/>
              </w:rPr>
            </w:pPr>
            <w:r>
              <w:rPr>
                <w:rFonts w:ascii="Times New Roman" w:hAnsi="Times New Roman" w:cs="Times New Roman"/>
              </w:rPr>
              <w:t>5.17</w:t>
            </w:r>
          </w:p>
        </w:tc>
        <w:tc>
          <w:tcPr>
            <w:tcW w:w="3402" w:type="dxa"/>
          </w:tcPr>
          <w:p w14:paraId="481BBB14" w14:textId="77777777" w:rsidR="00364DED" w:rsidRDefault="00A70A1E">
            <w:pPr>
              <w:pStyle w:val="NoSpacing"/>
              <w:rPr>
                <w:rFonts w:ascii="Times New Roman" w:hAnsi="Times New Roman" w:cs="Times New Roman"/>
              </w:rPr>
            </w:pPr>
            <w:r>
              <w:rPr>
                <w:rFonts w:ascii="Times New Roman" w:hAnsi="Times New Roman" w:cs="Times New Roman"/>
              </w:rPr>
              <w:t xml:space="preserve">5-Heptyldihydro-2(3H)-furanone </w:t>
            </w:r>
          </w:p>
        </w:tc>
        <w:tc>
          <w:tcPr>
            <w:tcW w:w="992" w:type="dxa"/>
          </w:tcPr>
          <w:p w14:paraId="6AE4CBEC" w14:textId="77777777" w:rsidR="00364DED" w:rsidRDefault="00A70A1E">
            <w:pPr>
              <w:pStyle w:val="NoSpacing"/>
              <w:rPr>
                <w:rFonts w:ascii="Times New Roman" w:hAnsi="Times New Roman" w:cs="Times New Roman"/>
              </w:rPr>
            </w:pPr>
            <w:r>
              <w:rPr>
                <w:rFonts w:ascii="Times New Roman" w:hAnsi="Times New Roman" w:cs="Times New Roman"/>
              </w:rPr>
              <w:t>0.57</w:t>
            </w:r>
          </w:p>
        </w:tc>
        <w:tc>
          <w:tcPr>
            <w:tcW w:w="1134" w:type="dxa"/>
          </w:tcPr>
          <w:p w14:paraId="66701EE2" w14:textId="77777777" w:rsidR="00364DED" w:rsidRDefault="00A70A1E">
            <w:pPr>
              <w:pStyle w:val="NoSpacing"/>
              <w:rPr>
                <w:rFonts w:ascii="Times New Roman" w:hAnsi="Times New Roman" w:cs="Times New Roman"/>
              </w:rPr>
            </w:pPr>
            <w:r>
              <w:rPr>
                <w:rFonts w:ascii="Times New Roman" w:hAnsi="Times New Roman" w:cs="Times New Roman"/>
              </w:rPr>
              <w:t>184</w:t>
            </w:r>
          </w:p>
        </w:tc>
        <w:tc>
          <w:tcPr>
            <w:tcW w:w="1417" w:type="dxa"/>
          </w:tcPr>
          <w:p w14:paraId="765DB192"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11</w:t>
            </w:r>
            <w:r>
              <w:rPr>
                <w:rFonts w:ascii="Times New Roman" w:hAnsi="Times New Roman" w:cs="Times New Roman"/>
              </w:rPr>
              <w:t>H</w:t>
            </w:r>
            <w:r>
              <w:rPr>
                <w:rFonts w:ascii="Times New Roman" w:hAnsi="Times New Roman" w:cs="Times New Roman"/>
                <w:vertAlign w:val="subscript"/>
              </w:rPr>
              <w:t>20</w:t>
            </w:r>
            <w:r>
              <w:rPr>
                <w:rFonts w:ascii="Times New Roman" w:hAnsi="Times New Roman" w:cs="Times New Roman"/>
              </w:rPr>
              <w:t>O</w:t>
            </w:r>
            <w:r>
              <w:rPr>
                <w:rFonts w:ascii="Times New Roman" w:hAnsi="Times New Roman" w:cs="Times New Roman"/>
                <w:vertAlign w:val="subscript"/>
              </w:rPr>
              <w:t>2</w:t>
            </w:r>
          </w:p>
        </w:tc>
        <w:tc>
          <w:tcPr>
            <w:tcW w:w="851" w:type="dxa"/>
          </w:tcPr>
          <w:p w14:paraId="03721658" w14:textId="77777777" w:rsidR="00364DED" w:rsidRDefault="00A70A1E">
            <w:pPr>
              <w:pStyle w:val="NoSpacing"/>
              <w:rPr>
                <w:rFonts w:ascii="Times New Roman" w:hAnsi="Times New Roman" w:cs="Times New Roman"/>
              </w:rPr>
            </w:pPr>
            <w:r>
              <w:rPr>
                <w:rFonts w:ascii="Times New Roman" w:hAnsi="Times New Roman" w:cs="Times New Roman"/>
              </w:rPr>
              <w:t>725</w:t>
            </w:r>
          </w:p>
        </w:tc>
      </w:tr>
      <w:tr w:rsidR="00364DED" w14:paraId="7299ED4A" w14:textId="77777777">
        <w:tc>
          <w:tcPr>
            <w:tcW w:w="993" w:type="dxa"/>
          </w:tcPr>
          <w:p w14:paraId="2322AE6F" w14:textId="77777777" w:rsidR="00364DED" w:rsidRDefault="00A70A1E">
            <w:pPr>
              <w:pStyle w:val="NoSpacing"/>
              <w:rPr>
                <w:rFonts w:ascii="Times New Roman" w:hAnsi="Times New Roman" w:cs="Times New Roman"/>
              </w:rPr>
            </w:pPr>
            <w:r>
              <w:rPr>
                <w:rFonts w:ascii="Times New Roman" w:hAnsi="Times New Roman" w:cs="Times New Roman"/>
              </w:rPr>
              <w:t>4</w:t>
            </w:r>
          </w:p>
        </w:tc>
        <w:tc>
          <w:tcPr>
            <w:tcW w:w="993" w:type="dxa"/>
          </w:tcPr>
          <w:p w14:paraId="048AA222" w14:textId="77777777" w:rsidR="00364DED" w:rsidRDefault="00A70A1E">
            <w:pPr>
              <w:pStyle w:val="NoSpacing"/>
              <w:rPr>
                <w:rFonts w:ascii="Times New Roman" w:hAnsi="Times New Roman" w:cs="Times New Roman"/>
              </w:rPr>
            </w:pPr>
            <w:r>
              <w:rPr>
                <w:rFonts w:ascii="Times New Roman" w:hAnsi="Times New Roman" w:cs="Times New Roman"/>
              </w:rPr>
              <w:t>8.63</w:t>
            </w:r>
          </w:p>
        </w:tc>
        <w:tc>
          <w:tcPr>
            <w:tcW w:w="3402" w:type="dxa"/>
          </w:tcPr>
          <w:p w14:paraId="557AA29B" w14:textId="77777777" w:rsidR="00364DED" w:rsidRDefault="00A70A1E">
            <w:pPr>
              <w:pStyle w:val="NoSpacing"/>
              <w:rPr>
                <w:rFonts w:ascii="Times New Roman" w:hAnsi="Times New Roman" w:cs="Times New Roman"/>
              </w:rPr>
            </w:pPr>
            <w:r>
              <w:rPr>
                <w:rFonts w:ascii="Times New Roman" w:hAnsi="Times New Roman" w:cs="Times New Roman"/>
              </w:rPr>
              <w:t>3-Methyl-hexane</w:t>
            </w:r>
          </w:p>
        </w:tc>
        <w:tc>
          <w:tcPr>
            <w:tcW w:w="992" w:type="dxa"/>
          </w:tcPr>
          <w:p w14:paraId="5CBCED3F" w14:textId="77777777" w:rsidR="00364DED" w:rsidRDefault="00A70A1E">
            <w:pPr>
              <w:pStyle w:val="NoSpacing"/>
              <w:rPr>
                <w:rFonts w:ascii="Times New Roman" w:hAnsi="Times New Roman" w:cs="Times New Roman"/>
              </w:rPr>
            </w:pPr>
            <w:r>
              <w:rPr>
                <w:rFonts w:ascii="Times New Roman" w:hAnsi="Times New Roman" w:cs="Times New Roman"/>
              </w:rPr>
              <w:t>0.53</w:t>
            </w:r>
          </w:p>
        </w:tc>
        <w:tc>
          <w:tcPr>
            <w:tcW w:w="1134" w:type="dxa"/>
          </w:tcPr>
          <w:p w14:paraId="56E67B07" w14:textId="77777777" w:rsidR="00364DED" w:rsidRDefault="00A70A1E">
            <w:pPr>
              <w:pStyle w:val="NoSpacing"/>
              <w:rPr>
                <w:rFonts w:ascii="Times New Roman" w:hAnsi="Times New Roman" w:cs="Times New Roman"/>
              </w:rPr>
            </w:pPr>
            <w:r>
              <w:rPr>
                <w:rFonts w:ascii="Times New Roman" w:hAnsi="Times New Roman" w:cs="Times New Roman"/>
              </w:rPr>
              <w:t>100</w:t>
            </w:r>
          </w:p>
        </w:tc>
        <w:tc>
          <w:tcPr>
            <w:tcW w:w="1417" w:type="dxa"/>
          </w:tcPr>
          <w:p w14:paraId="630AA005" w14:textId="77777777" w:rsidR="00364DED" w:rsidRDefault="00A70A1E">
            <w:pPr>
              <w:pStyle w:val="NoSpacing"/>
              <w:rPr>
                <w:rFonts w:ascii="Times New Roman" w:hAnsi="Times New Roman" w:cs="Times New Roman"/>
              </w:rPr>
            </w:pPr>
            <w:r>
              <w:rPr>
                <w:rFonts w:ascii="Times New Roman" w:hAnsi="Times New Roman" w:cs="Times New Roman"/>
              </w:rPr>
              <w:t>C7H16</w:t>
            </w:r>
          </w:p>
        </w:tc>
        <w:tc>
          <w:tcPr>
            <w:tcW w:w="851" w:type="dxa"/>
          </w:tcPr>
          <w:p w14:paraId="29A9CFE9" w14:textId="77777777" w:rsidR="00364DED" w:rsidRDefault="00A70A1E">
            <w:pPr>
              <w:pStyle w:val="NoSpacing"/>
              <w:rPr>
                <w:rFonts w:ascii="Times New Roman" w:hAnsi="Times New Roman" w:cs="Times New Roman"/>
              </w:rPr>
            </w:pPr>
            <w:r>
              <w:rPr>
                <w:rFonts w:ascii="Times New Roman" w:hAnsi="Times New Roman" w:cs="Times New Roman"/>
              </w:rPr>
              <w:t>873</w:t>
            </w:r>
          </w:p>
        </w:tc>
      </w:tr>
      <w:tr w:rsidR="00364DED" w14:paraId="09DD23F4" w14:textId="77777777">
        <w:tc>
          <w:tcPr>
            <w:tcW w:w="993" w:type="dxa"/>
          </w:tcPr>
          <w:p w14:paraId="1631334F" w14:textId="77777777" w:rsidR="00364DED" w:rsidRDefault="00A70A1E">
            <w:pPr>
              <w:pStyle w:val="NoSpacing"/>
              <w:rPr>
                <w:rFonts w:ascii="Times New Roman" w:hAnsi="Times New Roman" w:cs="Times New Roman"/>
              </w:rPr>
            </w:pPr>
            <w:r>
              <w:rPr>
                <w:rFonts w:ascii="Times New Roman" w:hAnsi="Times New Roman" w:cs="Times New Roman"/>
              </w:rPr>
              <w:t>5</w:t>
            </w:r>
          </w:p>
        </w:tc>
        <w:tc>
          <w:tcPr>
            <w:tcW w:w="993" w:type="dxa"/>
          </w:tcPr>
          <w:p w14:paraId="788A2840" w14:textId="77777777" w:rsidR="00364DED" w:rsidRDefault="00A70A1E">
            <w:pPr>
              <w:pStyle w:val="NoSpacing"/>
              <w:rPr>
                <w:rFonts w:ascii="Times New Roman" w:hAnsi="Times New Roman" w:cs="Times New Roman"/>
              </w:rPr>
            </w:pPr>
            <w:r>
              <w:rPr>
                <w:rFonts w:ascii="Times New Roman" w:hAnsi="Times New Roman" w:cs="Times New Roman"/>
              </w:rPr>
              <w:t>12.19</w:t>
            </w:r>
          </w:p>
        </w:tc>
        <w:tc>
          <w:tcPr>
            <w:tcW w:w="3402" w:type="dxa"/>
          </w:tcPr>
          <w:p w14:paraId="6737152F" w14:textId="77777777" w:rsidR="00364DED" w:rsidRDefault="00A70A1E">
            <w:pPr>
              <w:pStyle w:val="NoSpacing"/>
              <w:rPr>
                <w:rFonts w:ascii="Times New Roman" w:hAnsi="Times New Roman" w:cs="Times New Roman"/>
              </w:rPr>
            </w:pPr>
            <w:r>
              <w:rPr>
                <w:rFonts w:ascii="Times New Roman" w:hAnsi="Times New Roman" w:cs="Times New Roman"/>
              </w:rPr>
              <w:t>Octane</w:t>
            </w:r>
          </w:p>
        </w:tc>
        <w:tc>
          <w:tcPr>
            <w:tcW w:w="992" w:type="dxa"/>
          </w:tcPr>
          <w:p w14:paraId="4734A8AE" w14:textId="77777777" w:rsidR="00364DED" w:rsidRDefault="00A70A1E">
            <w:pPr>
              <w:pStyle w:val="NoSpacing"/>
              <w:rPr>
                <w:rFonts w:ascii="Times New Roman" w:hAnsi="Times New Roman" w:cs="Times New Roman"/>
              </w:rPr>
            </w:pPr>
            <w:r>
              <w:rPr>
                <w:rFonts w:ascii="Times New Roman" w:hAnsi="Times New Roman" w:cs="Times New Roman"/>
              </w:rPr>
              <w:t>0.54</w:t>
            </w:r>
          </w:p>
        </w:tc>
        <w:tc>
          <w:tcPr>
            <w:tcW w:w="1134" w:type="dxa"/>
          </w:tcPr>
          <w:p w14:paraId="4A37F7AC" w14:textId="77777777" w:rsidR="00364DED" w:rsidRDefault="00A70A1E">
            <w:pPr>
              <w:pStyle w:val="NoSpacing"/>
              <w:rPr>
                <w:rFonts w:ascii="Times New Roman" w:hAnsi="Times New Roman" w:cs="Times New Roman"/>
              </w:rPr>
            </w:pPr>
            <w:r>
              <w:rPr>
                <w:rFonts w:ascii="Times New Roman" w:hAnsi="Times New Roman" w:cs="Times New Roman"/>
              </w:rPr>
              <w:t>114</w:t>
            </w:r>
          </w:p>
        </w:tc>
        <w:tc>
          <w:tcPr>
            <w:tcW w:w="1417" w:type="dxa"/>
          </w:tcPr>
          <w:p w14:paraId="602560DE" w14:textId="77777777" w:rsidR="00364DED" w:rsidRDefault="00A70A1E">
            <w:pPr>
              <w:pStyle w:val="NoSpacing"/>
              <w:rPr>
                <w:rFonts w:ascii="Times New Roman" w:hAnsi="Times New Roman" w:cs="Times New Roman"/>
              </w:rPr>
            </w:pPr>
            <w:r>
              <w:rPr>
                <w:rFonts w:ascii="Times New Roman" w:hAnsi="Times New Roman" w:cs="Times New Roman"/>
              </w:rPr>
              <w:t>C8H18</w:t>
            </w:r>
          </w:p>
        </w:tc>
        <w:tc>
          <w:tcPr>
            <w:tcW w:w="851" w:type="dxa"/>
          </w:tcPr>
          <w:p w14:paraId="15020742" w14:textId="77777777" w:rsidR="00364DED" w:rsidRDefault="00A70A1E">
            <w:pPr>
              <w:pStyle w:val="NoSpacing"/>
              <w:rPr>
                <w:rFonts w:ascii="Times New Roman" w:hAnsi="Times New Roman" w:cs="Times New Roman"/>
              </w:rPr>
            </w:pPr>
            <w:r>
              <w:rPr>
                <w:rFonts w:ascii="Times New Roman" w:hAnsi="Times New Roman" w:cs="Times New Roman"/>
              </w:rPr>
              <w:t>877</w:t>
            </w:r>
          </w:p>
        </w:tc>
      </w:tr>
      <w:tr w:rsidR="00364DED" w14:paraId="24C82335" w14:textId="77777777">
        <w:tc>
          <w:tcPr>
            <w:tcW w:w="993" w:type="dxa"/>
          </w:tcPr>
          <w:p w14:paraId="03B90B3B" w14:textId="77777777" w:rsidR="00364DED" w:rsidRDefault="00A70A1E">
            <w:pPr>
              <w:pStyle w:val="NoSpacing"/>
              <w:rPr>
                <w:rFonts w:ascii="Times New Roman" w:hAnsi="Times New Roman" w:cs="Times New Roman"/>
              </w:rPr>
            </w:pPr>
            <w:r>
              <w:rPr>
                <w:rFonts w:ascii="Times New Roman" w:hAnsi="Times New Roman" w:cs="Times New Roman"/>
              </w:rPr>
              <w:t>6</w:t>
            </w:r>
          </w:p>
        </w:tc>
        <w:tc>
          <w:tcPr>
            <w:tcW w:w="993" w:type="dxa"/>
          </w:tcPr>
          <w:p w14:paraId="6CF083C3" w14:textId="77777777" w:rsidR="00364DED" w:rsidRDefault="00A70A1E">
            <w:pPr>
              <w:pStyle w:val="NoSpacing"/>
              <w:rPr>
                <w:rFonts w:ascii="Times New Roman" w:hAnsi="Times New Roman" w:cs="Times New Roman"/>
              </w:rPr>
            </w:pPr>
            <w:r>
              <w:rPr>
                <w:rFonts w:ascii="Times New Roman" w:hAnsi="Times New Roman" w:cs="Times New Roman"/>
              </w:rPr>
              <w:t>15.75</w:t>
            </w:r>
          </w:p>
        </w:tc>
        <w:tc>
          <w:tcPr>
            <w:tcW w:w="3402" w:type="dxa"/>
          </w:tcPr>
          <w:p w14:paraId="61FBCBEB" w14:textId="77777777" w:rsidR="00364DED" w:rsidRDefault="00A70A1E">
            <w:pPr>
              <w:pStyle w:val="NoSpacing"/>
              <w:rPr>
                <w:rFonts w:ascii="Times New Roman" w:hAnsi="Times New Roman" w:cs="Times New Roman"/>
              </w:rPr>
            </w:pPr>
            <w:r>
              <w:rPr>
                <w:rFonts w:ascii="Times New Roman" w:hAnsi="Times New Roman" w:cs="Times New Roman"/>
              </w:rPr>
              <w:t>Hexanal</w:t>
            </w:r>
          </w:p>
        </w:tc>
        <w:tc>
          <w:tcPr>
            <w:tcW w:w="992" w:type="dxa"/>
          </w:tcPr>
          <w:p w14:paraId="13CAEEC9" w14:textId="77777777" w:rsidR="00364DED" w:rsidRDefault="00A70A1E">
            <w:pPr>
              <w:pStyle w:val="NoSpacing"/>
              <w:rPr>
                <w:rFonts w:ascii="Times New Roman" w:hAnsi="Times New Roman" w:cs="Times New Roman"/>
              </w:rPr>
            </w:pPr>
            <w:r>
              <w:rPr>
                <w:rFonts w:ascii="Times New Roman" w:hAnsi="Times New Roman" w:cs="Times New Roman"/>
              </w:rPr>
              <w:t>0.72</w:t>
            </w:r>
          </w:p>
        </w:tc>
        <w:tc>
          <w:tcPr>
            <w:tcW w:w="1134" w:type="dxa"/>
          </w:tcPr>
          <w:p w14:paraId="6B374486" w14:textId="77777777" w:rsidR="00364DED" w:rsidRDefault="00A70A1E">
            <w:pPr>
              <w:pStyle w:val="NoSpacing"/>
              <w:rPr>
                <w:rFonts w:ascii="Times New Roman" w:hAnsi="Times New Roman" w:cs="Times New Roman"/>
              </w:rPr>
            </w:pPr>
            <w:r>
              <w:rPr>
                <w:rFonts w:ascii="Times New Roman" w:hAnsi="Times New Roman" w:cs="Times New Roman"/>
              </w:rPr>
              <w:t>100</w:t>
            </w:r>
          </w:p>
        </w:tc>
        <w:tc>
          <w:tcPr>
            <w:tcW w:w="1417" w:type="dxa"/>
          </w:tcPr>
          <w:p w14:paraId="424CA8AA" w14:textId="77777777" w:rsidR="00364DED" w:rsidRDefault="00A70A1E">
            <w:pPr>
              <w:pStyle w:val="NoSpacing"/>
              <w:rPr>
                <w:rFonts w:ascii="Times New Roman" w:hAnsi="Times New Roman" w:cs="Times New Roman"/>
              </w:rPr>
            </w:pPr>
            <w:r>
              <w:rPr>
                <w:rFonts w:ascii="Times New Roman" w:hAnsi="Times New Roman" w:cs="Times New Roman"/>
              </w:rPr>
              <w:t>C6H12O</w:t>
            </w:r>
          </w:p>
        </w:tc>
        <w:tc>
          <w:tcPr>
            <w:tcW w:w="851" w:type="dxa"/>
          </w:tcPr>
          <w:p w14:paraId="11EF4F76" w14:textId="77777777" w:rsidR="00364DED" w:rsidRDefault="00A70A1E">
            <w:pPr>
              <w:pStyle w:val="NoSpacing"/>
              <w:rPr>
                <w:rFonts w:ascii="Times New Roman" w:hAnsi="Times New Roman" w:cs="Times New Roman"/>
              </w:rPr>
            </w:pPr>
            <w:r>
              <w:rPr>
                <w:rFonts w:ascii="Times New Roman" w:hAnsi="Times New Roman" w:cs="Times New Roman"/>
              </w:rPr>
              <w:t>808</w:t>
            </w:r>
          </w:p>
        </w:tc>
      </w:tr>
      <w:tr w:rsidR="00364DED" w14:paraId="109C8172" w14:textId="77777777">
        <w:tc>
          <w:tcPr>
            <w:tcW w:w="993" w:type="dxa"/>
          </w:tcPr>
          <w:p w14:paraId="2CFB6AB7" w14:textId="77777777" w:rsidR="00364DED" w:rsidRDefault="00A70A1E">
            <w:pPr>
              <w:pStyle w:val="NoSpacing"/>
              <w:rPr>
                <w:rFonts w:ascii="Times New Roman" w:hAnsi="Times New Roman" w:cs="Times New Roman"/>
              </w:rPr>
            </w:pPr>
            <w:r>
              <w:rPr>
                <w:rFonts w:ascii="Times New Roman" w:hAnsi="Times New Roman" w:cs="Times New Roman"/>
              </w:rPr>
              <w:t>8</w:t>
            </w:r>
          </w:p>
        </w:tc>
        <w:tc>
          <w:tcPr>
            <w:tcW w:w="993" w:type="dxa"/>
          </w:tcPr>
          <w:p w14:paraId="4439CCBE" w14:textId="77777777" w:rsidR="00364DED" w:rsidRDefault="00A70A1E">
            <w:pPr>
              <w:pStyle w:val="NoSpacing"/>
              <w:rPr>
                <w:rFonts w:ascii="Times New Roman" w:hAnsi="Times New Roman" w:cs="Times New Roman"/>
              </w:rPr>
            </w:pPr>
            <w:r>
              <w:rPr>
                <w:rFonts w:ascii="Times New Roman" w:hAnsi="Times New Roman" w:cs="Times New Roman"/>
              </w:rPr>
              <w:t>18.46</w:t>
            </w:r>
          </w:p>
        </w:tc>
        <w:tc>
          <w:tcPr>
            <w:tcW w:w="3402" w:type="dxa"/>
          </w:tcPr>
          <w:p w14:paraId="78705BD4" w14:textId="77777777" w:rsidR="00364DED" w:rsidRDefault="00A70A1E">
            <w:pPr>
              <w:pStyle w:val="NoSpacing"/>
              <w:rPr>
                <w:rFonts w:ascii="Times New Roman" w:hAnsi="Times New Roman" w:cs="Times New Roman"/>
              </w:rPr>
            </w:pPr>
            <w:r>
              <w:rPr>
                <w:rFonts w:ascii="Times New Roman" w:hAnsi="Times New Roman" w:cs="Times New Roman"/>
              </w:rPr>
              <w:t>(E)-2-Decen-1-ol</w:t>
            </w:r>
          </w:p>
        </w:tc>
        <w:tc>
          <w:tcPr>
            <w:tcW w:w="992" w:type="dxa"/>
          </w:tcPr>
          <w:p w14:paraId="097FC6CF" w14:textId="77777777" w:rsidR="00364DED" w:rsidRDefault="00A70A1E">
            <w:pPr>
              <w:pStyle w:val="NoSpacing"/>
              <w:rPr>
                <w:rFonts w:ascii="Times New Roman" w:hAnsi="Times New Roman" w:cs="Times New Roman"/>
              </w:rPr>
            </w:pPr>
            <w:r>
              <w:rPr>
                <w:rFonts w:ascii="Times New Roman" w:hAnsi="Times New Roman" w:cs="Times New Roman"/>
              </w:rPr>
              <w:t>2.01</w:t>
            </w:r>
          </w:p>
        </w:tc>
        <w:tc>
          <w:tcPr>
            <w:tcW w:w="1134" w:type="dxa"/>
          </w:tcPr>
          <w:p w14:paraId="05FAB12B" w14:textId="77777777" w:rsidR="00364DED" w:rsidRDefault="00A70A1E">
            <w:pPr>
              <w:pStyle w:val="NoSpacing"/>
              <w:rPr>
                <w:rFonts w:ascii="Times New Roman" w:hAnsi="Times New Roman" w:cs="Times New Roman"/>
              </w:rPr>
            </w:pPr>
            <w:r>
              <w:rPr>
                <w:rFonts w:ascii="Times New Roman" w:hAnsi="Times New Roman" w:cs="Times New Roman"/>
              </w:rPr>
              <w:t>156</w:t>
            </w:r>
          </w:p>
        </w:tc>
        <w:tc>
          <w:tcPr>
            <w:tcW w:w="1417" w:type="dxa"/>
          </w:tcPr>
          <w:p w14:paraId="7D6B7A69" w14:textId="77777777" w:rsidR="00364DED" w:rsidRDefault="00A70A1E">
            <w:pPr>
              <w:pStyle w:val="NoSpacing"/>
              <w:rPr>
                <w:rFonts w:ascii="Times New Roman" w:hAnsi="Times New Roman" w:cs="Times New Roman"/>
              </w:rPr>
            </w:pPr>
            <w:r>
              <w:rPr>
                <w:rFonts w:ascii="Times New Roman" w:hAnsi="Times New Roman" w:cs="Times New Roman"/>
              </w:rPr>
              <w:t>C10H20O</w:t>
            </w:r>
          </w:p>
        </w:tc>
        <w:tc>
          <w:tcPr>
            <w:tcW w:w="851" w:type="dxa"/>
          </w:tcPr>
          <w:p w14:paraId="1F440C67" w14:textId="77777777" w:rsidR="00364DED" w:rsidRDefault="00A70A1E">
            <w:pPr>
              <w:pStyle w:val="NoSpacing"/>
              <w:rPr>
                <w:rFonts w:ascii="Times New Roman" w:hAnsi="Times New Roman" w:cs="Times New Roman"/>
              </w:rPr>
            </w:pPr>
            <w:r>
              <w:rPr>
                <w:rFonts w:ascii="Times New Roman" w:hAnsi="Times New Roman" w:cs="Times New Roman"/>
              </w:rPr>
              <w:t>772</w:t>
            </w:r>
          </w:p>
        </w:tc>
      </w:tr>
      <w:tr w:rsidR="00364DED" w14:paraId="007B4F93" w14:textId="77777777">
        <w:tc>
          <w:tcPr>
            <w:tcW w:w="993" w:type="dxa"/>
          </w:tcPr>
          <w:p w14:paraId="5F1EA477" w14:textId="77777777" w:rsidR="00364DED" w:rsidRDefault="00A70A1E">
            <w:pPr>
              <w:pStyle w:val="NoSpacing"/>
              <w:rPr>
                <w:rFonts w:ascii="Times New Roman" w:hAnsi="Times New Roman" w:cs="Times New Roman"/>
              </w:rPr>
            </w:pPr>
            <w:r>
              <w:rPr>
                <w:rFonts w:ascii="Times New Roman" w:hAnsi="Times New Roman" w:cs="Times New Roman"/>
              </w:rPr>
              <w:t>9</w:t>
            </w:r>
          </w:p>
        </w:tc>
        <w:tc>
          <w:tcPr>
            <w:tcW w:w="993" w:type="dxa"/>
          </w:tcPr>
          <w:p w14:paraId="35984FF5" w14:textId="77777777" w:rsidR="00364DED" w:rsidRDefault="00A70A1E">
            <w:pPr>
              <w:pStyle w:val="NoSpacing"/>
              <w:rPr>
                <w:rFonts w:ascii="Times New Roman" w:hAnsi="Times New Roman" w:cs="Times New Roman"/>
              </w:rPr>
            </w:pPr>
            <w:r>
              <w:rPr>
                <w:rFonts w:ascii="Times New Roman" w:hAnsi="Times New Roman" w:cs="Times New Roman"/>
              </w:rPr>
              <w:t>19.29</w:t>
            </w:r>
          </w:p>
        </w:tc>
        <w:tc>
          <w:tcPr>
            <w:tcW w:w="3402" w:type="dxa"/>
          </w:tcPr>
          <w:p w14:paraId="2F4044F8" w14:textId="77777777" w:rsidR="00364DED" w:rsidRDefault="00A70A1E">
            <w:pPr>
              <w:pStyle w:val="NoSpacing"/>
              <w:rPr>
                <w:rFonts w:ascii="Times New Roman" w:hAnsi="Times New Roman" w:cs="Times New Roman"/>
              </w:rPr>
            </w:pPr>
            <w:r>
              <w:rPr>
                <w:rFonts w:ascii="Times New Roman" w:hAnsi="Times New Roman" w:cs="Times New Roman"/>
              </w:rPr>
              <w:t>2-Undecanol</w:t>
            </w:r>
          </w:p>
        </w:tc>
        <w:tc>
          <w:tcPr>
            <w:tcW w:w="992" w:type="dxa"/>
          </w:tcPr>
          <w:p w14:paraId="4FA2A533" w14:textId="77777777" w:rsidR="00364DED" w:rsidRDefault="00A70A1E">
            <w:pPr>
              <w:pStyle w:val="NoSpacing"/>
              <w:rPr>
                <w:rFonts w:ascii="Times New Roman" w:hAnsi="Times New Roman" w:cs="Times New Roman"/>
              </w:rPr>
            </w:pPr>
            <w:r>
              <w:rPr>
                <w:rFonts w:ascii="Times New Roman" w:hAnsi="Times New Roman" w:cs="Times New Roman"/>
              </w:rPr>
              <w:t>1.50</w:t>
            </w:r>
          </w:p>
        </w:tc>
        <w:tc>
          <w:tcPr>
            <w:tcW w:w="1134" w:type="dxa"/>
          </w:tcPr>
          <w:p w14:paraId="2DA87DD4" w14:textId="77777777" w:rsidR="00364DED" w:rsidRDefault="00A70A1E">
            <w:pPr>
              <w:pStyle w:val="NoSpacing"/>
              <w:rPr>
                <w:rFonts w:ascii="Times New Roman" w:hAnsi="Times New Roman" w:cs="Times New Roman"/>
              </w:rPr>
            </w:pPr>
            <w:r>
              <w:rPr>
                <w:rFonts w:ascii="Times New Roman" w:hAnsi="Times New Roman" w:cs="Times New Roman"/>
              </w:rPr>
              <w:t>172</w:t>
            </w:r>
          </w:p>
        </w:tc>
        <w:tc>
          <w:tcPr>
            <w:tcW w:w="1417" w:type="dxa"/>
          </w:tcPr>
          <w:p w14:paraId="33F001DD" w14:textId="77777777" w:rsidR="00364DED" w:rsidRDefault="00A70A1E">
            <w:pPr>
              <w:pStyle w:val="NoSpacing"/>
              <w:rPr>
                <w:rFonts w:ascii="Times New Roman" w:hAnsi="Times New Roman" w:cs="Times New Roman"/>
              </w:rPr>
            </w:pPr>
            <w:r>
              <w:rPr>
                <w:rFonts w:ascii="Times New Roman" w:hAnsi="Times New Roman" w:cs="Times New Roman"/>
              </w:rPr>
              <w:t>C11H24O</w:t>
            </w:r>
          </w:p>
        </w:tc>
        <w:tc>
          <w:tcPr>
            <w:tcW w:w="851" w:type="dxa"/>
          </w:tcPr>
          <w:p w14:paraId="19843894" w14:textId="77777777" w:rsidR="00364DED" w:rsidRDefault="00A70A1E">
            <w:pPr>
              <w:pStyle w:val="NoSpacing"/>
              <w:rPr>
                <w:rFonts w:ascii="Times New Roman" w:hAnsi="Times New Roman" w:cs="Times New Roman"/>
              </w:rPr>
            </w:pPr>
            <w:r>
              <w:rPr>
                <w:rFonts w:ascii="Times New Roman" w:hAnsi="Times New Roman" w:cs="Times New Roman"/>
              </w:rPr>
              <w:t>838</w:t>
            </w:r>
          </w:p>
        </w:tc>
      </w:tr>
      <w:tr w:rsidR="00364DED" w14:paraId="65291DFE" w14:textId="77777777">
        <w:tc>
          <w:tcPr>
            <w:tcW w:w="993" w:type="dxa"/>
          </w:tcPr>
          <w:p w14:paraId="15A86AA9" w14:textId="77777777" w:rsidR="00364DED" w:rsidRDefault="00A70A1E">
            <w:pPr>
              <w:pStyle w:val="NoSpacing"/>
              <w:rPr>
                <w:rFonts w:ascii="Times New Roman" w:hAnsi="Times New Roman" w:cs="Times New Roman"/>
              </w:rPr>
            </w:pPr>
            <w:r>
              <w:rPr>
                <w:rFonts w:ascii="Times New Roman" w:hAnsi="Times New Roman" w:cs="Times New Roman"/>
              </w:rPr>
              <w:t>10</w:t>
            </w:r>
          </w:p>
        </w:tc>
        <w:tc>
          <w:tcPr>
            <w:tcW w:w="993" w:type="dxa"/>
          </w:tcPr>
          <w:p w14:paraId="791087F8" w14:textId="77777777" w:rsidR="00364DED" w:rsidRDefault="00A70A1E">
            <w:pPr>
              <w:pStyle w:val="NoSpacing"/>
              <w:rPr>
                <w:rFonts w:ascii="Times New Roman" w:hAnsi="Times New Roman" w:cs="Times New Roman"/>
              </w:rPr>
            </w:pPr>
            <w:r>
              <w:rPr>
                <w:rFonts w:ascii="Times New Roman" w:hAnsi="Times New Roman" w:cs="Times New Roman"/>
              </w:rPr>
              <w:t>19.77</w:t>
            </w:r>
          </w:p>
        </w:tc>
        <w:tc>
          <w:tcPr>
            <w:tcW w:w="3402" w:type="dxa"/>
          </w:tcPr>
          <w:p w14:paraId="0A3D31BE" w14:textId="77777777" w:rsidR="00364DED" w:rsidRDefault="00A70A1E">
            <w:pPr>
              <w:pStyle w:val="NoSpacing"/>
              <w:rPr>
                <w:rFonts w:ascii="Times New Roman" w:hAnsi="Times New Roman" w:cs="Times New Roman"/>
              </w:rPr>
            </w:pPr>
            <w:r>
              <w:rPr>
                <w:rFonts w:ascii="Times New Roman" w:hAnsi="Times New Roman" w:cs="Times New Roman"/>
              </w:rPr>
              <w:t>Heptanal</w:t>
            </w:r>
          </w:p>
        </w:tc>
        <w:tc>
          <w:tcPr>
            <w:tcW w:w="992" w:type="dxa"/>
          </w:tcPr>
          <w:p w14:paraId="68A9EC76" w14:textId="77777777" w:rsidR="00364DED" w:rsidRDefault="00A70A1E">
            <w:pPr>
              <w:pStyle w:val="NoSpacing"/>
              <w:rPr>
                <w:rFonts w:ascii="Times New Roman" w:hAnsi="Times New Roman" w:cs="Times New Roman"/>
              </w:rPr>
            </w:pPr>
            <w:r>
              <w:rPr>
                <w:rFonts w:ascii="Times New Roman" w:hAnsi="Times New Roman" w:cs="Times New Roman"/>
              </w:rPr>
              <w:t>5.03</w:t>
            </w:r>
          </w:p>
        </w:tc>
        <w:tc>
          <w:tcPr>
            <w:tcW w:w="1134" w:type="dxa"/>
          </w:tcPr>
          <w:p w14:paraId="59E14BAC" w14:textId="77777777" w:rsidR="00364DED" w:rsidRDefault="00A70A1E">
            <w:pPr>
              <w:pStyle w:val="NoSpacing"/>
              <w:rPr>
                <w:rFonts w:ascii="Times New Roman" w:hAnsi="Times New Roman" w:cs="Times New Roman"/>
              </w:rPr>
            </w:pPr>
            <w:r>
              <w:rPr>
                <w:rFonts w:ascii="Times New Roman" w:hAnsi="Times New Roman" w:cs="Times New Roman"/>
              </w:rPr>
              <w:t>114</w:t>
            </w:r>
          </w:p>
        </w:tc>
        <w:tc>
          <w:tcPr>
            <w:tcW w:w="1417" w:type="dxa"/>
          </w:tcPr>
          <w:p w14:paraId="3320F966" w14:textId="77777777" w:rsidR="00364DED" w:rsidRDefault="00A70A1E">
            <w:pPr>
              <w:pStyle w:val="NoSpacing"/>
              <w:rPr>
                <w:rFonts w:ascii="Times New Roman" w:hAnsi="Times New Roman" w:cs="Times New Roman"/>
              </w:rPr>
            </w:pPr>
            <w:r>
              <w:rPr>
                <w:rFonts w:ascii="Times New Roman" w:hAnsi="Times New Roman" w:cs="Times New Roman"/>
              </w:rPr>
              <w:t>C7H14O</w:t>
            </w:r>
          </w:p>
        </w:tc>
        <w:tc>
          <w:tcPr>
            <w:tcW w:w="851" w:type="dxa"/>
          </w:tcPr>
          <w:p w14:paraId="130C97D2" w14:textId="77777777" w:rsidR="00364DED" w:rsidRDefault="00A70A1E">
            <w:pPr>
              <w:pStyle w:val="NoSpacing"/>
              <w:rPr>
                <w:rFonts w:ascii="Times New Roman" w:hAnsi="Times New Roman" w:cs="Times New Roman"/>
              </w:rPr>
            </w:pPr>
            <w:r>
              <w:rPr>
                <w:rFonts w:ascii="Times New Roman" w:hAnsi="Times New Roman" w:cs="Times New Roman"/>
              </w:rPr>
              <w:t>817</w:t>
            </w:r>
          </w:p>
        </w:tc>
      </w:tr>
      <w:tr w:rsidR="00364DED" w14:paraId="1036C54C" w14:textId="77777777">
        <w:tc>
          <w:tcPr>
            <w:tcW w:w="993" w:type="dxa"/>
          </w:tcPr>
          <w:p w14:paraId="757076C8" w14:textId="77777777" w:rsidR="00364DED" w:rsidRDefault="00A70A1E">
            <w:pPr>
              <w:pStyle w:val="NoSpacing"/>
              <w:rPr>
                <w:rFonts w:ascii="Times New Roman" w:hAnsi="Times New Roman" w:cs="Times New Roman"/>
              </w:rPr>
            </w:pPr>
            <w:r>
              <w:rPr>
                <w:rFonts w:ascii="Times New Roman" w:hAnsi="Times New Roman" w:cs="Times New Roman"/>
              </w:rPr>
              <w:t>11</w:t>
            </w:r>
          </w:p>
        </w:tc>
        <w:tc>
          <w:tcPr>
            <w:tcW w:w="993" w:type="dxa"/>
          </w:tcPr>
          <w:p w14:paraId="7689CADE" w14:textId="77777777" w:rsidR="00364DED" w:rsidRDefault="00A70A1E">
            <w:pPr>
              <w:pStyle w:val="NoSpacing"/>
              <w:rPr>
                <w:rFonts w:ascii="Times New Roman" w:hAnsi="Times New Roman" w:cs="Times New Roman"/>
              </w:rPr>
            </w:pPr>
            <w:r>
              <w:rPr>
                <w:rFonts w:ascii="Times New Roman" w:hAnsi="Times New Roman" w:cs="Times New Roman"/>
              </w:rPr>
              <w:t>22.11</w:t>
            </w:r>
          </w:p>
        </w:tc>
        <w:tc>
          <w:tcPr>
            <w:tcW w:w="3402" w:type="dxa"/>
          </w:tcPr>
          <w:p w14:paraId="1F389C5D" w14:textId="77777777" w:rsidR="00364DED" w:rsidRDefault="00A70A1E">
            <w:pPr>
              <w:pStyle w:val="NoSpacing"/>
              <w:rPr>
                <w:rFonts w:ascii="Times New Roman" w:hAnsi="Times New Roman" w:cs="Times New Roman"/>
              </w:rPr>
            </w:pPr>
            <w:r>
              <w:rPr>
                <w:rFonts w:ascii="Times New Roman" w:hAnsi="Times New Roman" w:cs="Times New Roman"/>
              </w:rPr>
              <w:t xml:space="preserve">(E)-2-Decen-1-ol </w:t>
            </w:r>
          </w:p>
        </w:tc>
        <w:tc>
          <w:tcPr>
            <w:tcW w:w="992" w:type="dxa"/>
          </w:tcPr>
          <w:p w14:paraId="59D35D0C" w14:textId="77777777" w:rsidR="00364DED" w:rsidRDefault="00A70A1E">
            <w:pPr>
              <w:pStyle w:val="NoSpacing"/>
              <w:rPr>
                <w:rFonts w:ascii="Times New Roman" w:hAnsi="Times New Roman" w:cs="Times New Roman"/>
              </w:rPr>
            </w:pPr>
            <w:r>
              <w:rPr>
                <w:rFonts w:ascii="Times New Roman" w:hAnsi="Times New Roman" w:cs="Times New Roman"/>
              </w:rPr>
              <w:t>4.12</w:t>
            </w:r>
          </w:p>
        </w:tc>
        <w:tc>
          <w:tcPr>
            <w:tcW w:w="1134" w:type="dxa"/>
          </w:tcPr>
          <w:p w14:paraId="1CA57738" w14:textId="77777777" w:rsidR="00364DED" w:rsidRDefault="00A70A1E">
            <w:pPr>
              <w:pStyle w:val="NoSpacing"/>
              <w:rPr>
                <w:rFonts w:ascii="Times New Roman" w:hAnsi="Times New Roman" w:cs="Times New Roman"/>
              </w:rPr>
            </w:pPr>
            <w:r>
              <w:rPr>
                <w:rFonts w:ascii="Times New Roman" w:hAnsi="Times New Roman" w:cs="Times New Roman"/>
              </w:rPr>
              <w:t>156</w:t>
            </w:r>
          </w:p>
        </w:tc>
        <w:tc>
          <w:tcPr>
            <w:tcW w:w="1417" w:type="dxa"/>
          </w:tcPr>
          <w:p w14:paraId="12DB5B5D" w14:textId="77777777" w:rsidR="00364DED" w:rsidRDefault="00A70A1E">
            <w:pPr>
              <w:pStyle w:val="NoSpacing"/>
              <w:rPr>
                <w:rFonts w:ascii="Times New Roman" w:hAnsi="Times New Roman" w:cs="Times New Roman"/>
              </w:rPr>
            </w:pPr>
            <w:r>
              <w:rPr>
                <w:rFonts w:ascii="Times New Roman" w:hAnsi="Times New Roman" w:cs="Times New Roman"/>
              </w:rPr>
              <w:t>C10H20O</w:t>
            </w:r>
          </w:p>
        </w:tc>
        <w:tc>
          <w:tcPr>
            <w:tcW w:w="851" w:type="dxa"/>
          </w:tcPr>
          <w:p w14:paraId="044CC539" w14:textId="77777777" w:rsidR="00364DED" w:rsidRDefault="00A70A1E">
            <w:pPr>
              <w:pStyle w:val="NoSpacing"/>
              <w:rPr>
                <w:rFonts w:ascii="Times New Roman" w:hAnsi="Times New Roman" w:cs="Times New Roman"/>
              </w:rPr>
            </w:pPr>
            <w:r>
              <w:rPr>
                <w:rFonts w:ascii="Times New Roman" w:hAnsi="Times New Roman" w:cs="Times New Roman"/>
              </w:rPr>
              <w:t>686</w:t>
            </w:r>
          </w:p>
        </w:tc>
      </w:tr>
      <w:tr w:rsidR="00364DED" w14:paraId="07C33BAC" w14:textId="77777777">
        <w:tc>
          <w:tcPr>
            <w:tcW w:w="993" w:type="dxa"/>
          </w:tcPr>
          <w:p w14:paraId="203BA0D2" w14:textId="77777777" w:rsidR="00364DED" w:rsidRDefault="00A70A1E">
            <w:pPr>
              <w:pStyle w:val="NoSpacing"/>
              <w:rPr>
                <w:rFonts w:ascii="Times New Roman" w:hAnsi="Times New Roman" w:cs="Times New Roman"/>
              </w:rPr>
            </w:pPr>
            <w:r>
              <w:rPr>
                <w:rFonts w:ascii="Times New Roman" w:hAnsi="Times New Roman" w:cs="Times New Roman"/>
              </w:rPr>
              <w:t>12</w:t>
            </w:r>
          </w:p>
        </w:tc>
        <w:tc>
          <w:tcPr>
            <w:tcW w:w="993" w:type="dxa"/>
          </w:tcPr>
          <w:p w14:paraId="2A955236" w14:textId="77777777" w:rsidR="00364DED" w:rsidRDefault="00A70A1E">
            <w:pPr>
              <w:pStyle w:val="NoSpacing"/>
              <w:rPr>
                <w:rFonts w:ascii="Times New Roman" w:hAnsi="Times New Roman" w:cs="Times New Roman"/>
              </w:rPr>
            </w:pPr>
            <w:r>
              <w:rPr>
                <w:rFonts w:ascii="Times New Roman" w:hAnsi="Times New Roman" w:cs="Times New Roman"/>
              </w:rPr>
              <w:t>22.46</w:t>
            </w:r>
          </w:p>
        </w:tc>
        <w:tc>
          <w:tcPr>
            <w:tcW w:w="3402" w:type="dxa"/>
          </w:tcPr>
          <w:p w14:paraId="3D7FA4C1" w14:textId="77777777" w:rsidR="00364DED" w:rsidRDefault="00A70A1E">
            <w:pPr>
              <w:pStyle w:val="NoSpacing"/>
              <w:rPr>
                <w:rFonts w:ascii="Times New Roman" w:hAnsi="Times New Roman" w:cs="Times New Roman"/>
              </w:rPr>
            </w:pPr>
            <w:r>
              <w:rPr>
                <w:rFonts w:ascii="Times New Roman" w:hAnsi="Times New Roman" w:cs="Times New Roman"/>
              </w:rPr>
              <w:t xml:space="preserve">(E)-2-Decenal </w:t>
            </w:r>
          </w:p>
        </w:tc>
        <w:tc>
          <w:tcPr>
            <w:tcW w:w="992" w:type="dxa"/>
          </w:tcPr>
          <w:p w14:paraId="64E0505C" w14:textId="77777777" w:rsidR="00364DED" w:rsidRDefault="00A70A1E">
            <w:pPr>
              <w:pStyle w:val="NoSpacing"/>
              <w:rPr>
                <w:rFonts w:ascii="Times New Roman" w:hAnsi="Times New Roman" w:cs="Times New Roman"/>
              </w:rPr>
            </w:pPr>
            <w:r>
              <w:rPr>
                <w:rFonts w:ascii="Times New Roman" w:hAnsi="Times New Roman" w:cs="Times New Roman"/>
              </w:rPr>
              <w:t>3.50</w:t>
            </w:r>
          </w:p>
        </w:tc>
        <w:tc>
          <w:tcPr>
            <w:tcW w:w="1134" w:type="dxa"/>
          </w:tcPr>
          <w:p w14:paraId="0C77C7DF" w14:textId="77777777" w:rsidR="00364DED" w:rsidRDefault="00A70A1E">
            <w:pPr>
              <w:pStyle w:val="NoSpacing"/>
              <w:rPr>
                <w:rFonts w:ascii="Times New Roman" w:hAnsi="Times New Roman" w:cs="Times New Roman"/>
              </w:rPr>
            </w:pPr>
            <w:r>
              <w:rPr>
                <w:rFonts w:ascii="Times New Roman" w:hAnsi="Times New Roman" w:cs="Times New Roman"/>
              </w:rPr>
              <w:t>154</w:t>
            </w:r>
          </w:p>
        </w:tc>
        <w:tc>
          <w:tcPr>
            <w:tcW w:w="1417" w:type="dxa"/>
          </w:tcPr>
          <w:p w14:paraId="6A3B5F72" w14:textId="77777777" w:rsidR="00364DED" w:rsidRDefault="00A70A1E">
            <w:pPr>
              <w:pStyle w:val="NoSpacing"/>
              <w:rPr>
                <w:rFonts w:ascii="Times New Roman" w:hAnsi="Times New Roman" w:cs="Times New Roman"/>
              </w:rPr>
            </w:pPr>
            <w:r>
              <w:rPr>
                <w:rFonts w:ascii="Times New Roman" w:hAnsi="Times New Roman" w:cs="Times New Roman"/>
              </w:rPr>
              <w:t>C10H18O</w:t>
            </w:r>
          </w:p>
        </w:tc>
        <w:tc>
          <w:tcPr>
            <w:tcW w:w="851" w:type="dxa"/>
          </w:tcPr>
          <w:p w14:paraId="02C9836A" w14:textId="77777777" w:rsidR="00364DED" w:rsidRDefault="00A70A1E">
            <w:pPr>
              <w:pStyle w:val="NoSpacing"/>
              <w:rPr>
                <w:rFonts w:ascii="Times New Roman" w:hAnsi="Times New Roman" w:cs="Times New Roman"/>
              </w:rPr>
            </w:pPr>
            <w:r>
              <w:rPr>
                <w:rFonts w:ascii="Times New Roman" w:hAnsi="Times New Roman" w:cs="Times New Roman"/>
              </w:rPr>
              <w:t>691</w:t>
            </w:r>
          </w:p>
        </w:tc>
      </w:tr>
      <w:tr w:rsidR="00364DED" w14:paraId="7F01C8E4" w14:textId="77777777">
        <w:tc>
          <w:tcPr>
            <w:tcW w:w="993" w:type="dxa"/>
          </w:tcPr>
          <w:p w14:paraId="67D4F7DF" w14:textId="77777777" w:rsidR="00364DED" w:rsidRDefault="00A70A1E">
            <w:pPr>
              <w:pStyle w:val="NoSpacing"/>
              <w:rPr>
                <w:rFonts w:ascii="Times New Roman" w:hAnsi="Times New Roman" w:cs="Times New Roman"/>
              </w:rPr>
            </w:pPr>
            <w:r>
              <w:rPr>
                <w:rFonts w:ascii="Times New Roman" w:hAnsi="Times New Roman" w:cs="Times New Roman"/>
              </w:rPr>
              <w:t>13</w:t>
            </w:r>
          </w:p>
        </w:tc>
        <w:tc>
          <w:tcPr>
            <w:tcW w:w="993" w:type="dxa"/>
          </w:tcPr>
          <w:p w14:paraId="7036144B" w14:textId="77777777" w:rsidR="00364DED" w:rsidRDefault="00A70A1E">
            <w:pPr>
              <w:pStyle w:val="NoSpacing"/>
              <w:rPr>
                <w:rFonts w:ascii="Times New Roman" w:hAnsi="Times New Roman" w:cs="Times New Roman"/>
              </w:rPr>
            </w:pPr>
            <w:r>
              <w:rPr>
                <w:rFonts w:ascii="Times New Roman" w:hAnsi="Times New Roman" w:cs="Times New Roman"/>
              </w:rPr>
              <w:t>22.96</w:t>
            </w:r>
          </w:p>
        </w:tc>
        <w:tc>
          <w:tcPr>
            <w:tcW w:w="3402" w:type="dxa"/>
          </w:tcPr>
          <w:p w14:paraId="65B5808C" w14:textId="77777777" w:rsidR="00364DED" w:rsidRDefault="00A70A1E">
            <w:pPr>
              <w:pStyle w:val="NoSpacing"/>
              <w:rPr>
                <w:rFonts w:ascii="Times New Roman" w:hAnsi="Times New Roman" w:cs="Times New Roman"/>
              </w:rPr>
            </w:pPr>
            <w:proofErr w:type="spellStart"/>
            <w:r>
              <w:rPr>
                <w:rFonts w:ascii="Times New Roman" w:hAnsi="Times New Roman" w:cs="Times New Roman"/>
              </w:rPr>
              <w:t>Isopinocarveol</w:t>
            </w:r>
            <w:proofErr w:type="spellEnd"/>
          </w:p>
        </w:tc>
        <w:tc>
          <w:tcPr>
            <w:tcW w:w="992" w:type="dxa"/>
          </w:tcPr>
          <w:p w14:paraId="7F116C13" w14:textId="77777777" w:rsidR="00364DED" w:rsidRDefault="00A70A1E">
            <w:pPr>
              <w:pStyle w:val="NoSpacing"/>
              <w:rPr>
                <w:rFonts w:ascii="Times New Roman" w:hAnsi="Times New Roman" w:cs="Times New Roman"/>
              </w:rPr>
            </w:pPr>
            <w:r>
              <w:rPr>
                <w:rFonts w:ascii="Times New Roman" w:hAnsi="Times New Roman" w:cs="Times New Roman"/>
              </w:rPr>
              <w:t>0.93</w:t>
            </w:r>
          </w:p>
        </w:tc>
        <w:tc>
          <w:tcPr>
            <w:tcW w:w="1134" w:type="dxa"/>
          </w:tcPr>
          <w:p w14:paraId="5A6C0059" w14:textId="77777777" w:rsidR="00364DED" w:rsidRDefault="00A70A1E">
            <w:pPr>
              <w:pStyle w:val="NoSpacing"/>
              <w:rPr>
                <w:rFonts w:ascii="Times New Roman" w:hAnsi="Times New Roman" w:cs="Times New Roman"/>
              </w:rPr>
            </w:pPr>
            <w:r>
              <w:rPr>
                <w:rFonts w:ascii="Times New Roman" w:hAnsi="Times New Roman" w:cs="Times New Roman"/>
              </w:rPr>
              <w:t>152</w:t>
            </w:r>
          </w:p>
        </w:tc>
        <w:tc>
          <w:tcPr>
            <w:tcW w:w="1417" w:type="dxa"/>
          </w:tcPr>
          <w:p w14:paraId="7C564273" w14:textId="77777777" w:rsidR="00364DED" w:rsidRDefault="00A70A1E">
            <w:pPr>
              <w:pStyle w:val="NoSpacing"/>
              <w:rPr>
                <w:rFonts w:ascii="Times New Roman" w:hAnsi="Times New Roman" w:cs="Times New Roman"/>
              </w:rPr>
            </w:pPr>
            <w:r>
              <w:rPr>
                <w:rFonts w:ascii="Times New Roman" w:hAnsi="Times New Roman" w:cs="Times New Roman"/>
              </w:rPr>
              <w:t>C10H16O</w:t>
            </w:r>
          </w:p>
        </w:tc>
        <w:tc>
          <w:tcPr>
            <w:tcW w:w="851" w:type="dxa"/>
          </w:tcPr>
          <w:p w14:paraId="14403A1B" w14:textId="77777777" w:rsidR="00364DED" w:rsidRDefault="00A70A1E">
            <w:pPr>
              <w:pStyle w:val="NoSpacing"/>
              <w:rPr>
                <w:rFonts w:ascii="Times New Roman" w:hAnsi="Times New Roman" w:cs="Times New Roman"/>
              </w:rPr>
            </w:pPr>
            <w:r>
              <w:rPr>
                <w:rFonts w:ascii="Times New Roman" w:hAnsi="Times New Roman" w:cs="Times New Roman"/>
              </w:rPr>
              <w:t>686</w:t>
            </w:r>
          </w:p>
        </w:tc>
      </w:tr>
      <w:tr w:rsidR="00364DED" w14:paraId="3092F850" w14:textId="77777777">
        <w:tc>
          <w:tcPr>
            <w:tcW w:w="993" w:type="dxa"/>
          </w:tcPr>
          <w:p w14:paraId="0284BDAE" w14:textId="77777777" w:rsidR="00364DED" w:rsidRDefault="00A70A1E">
            <w:pPr>
              <w:pStyle w:val="NoSpacing"/>
              <w:rPr>
                <w:rFonts w:ascii="Times New Roman" w:hAnsi="Times New Roman" w:cs="Times New Roman"/>
              </w:rPr>
            </w:pPr>
            <w:r>
              <w:rPr>
                <w:rFonts w:ascii="Times New Roman" w:hAnsi="Times New Roman" w:cs="Times New Roman"/>
              </w:rPr>
              <w:t>14</w:t>
            </w:r>
          </w:p>
        </w:tc>
        <w:tc>
          <w:tcPr>
            <w:tcW w:w="993" w:type="dxa"/>
          </w:tcPr>
          <w:p w14:paraId="396D7096" w14:textId="77777777" w:rsidR="00364DED" w:rsidRDefault="00A70A1E">
            <w:pPr>
              <w:pStyle w:val="NoSpacing"/>
              <w:rPr>
                <w:rFonts w:ascii="Times New Roman" w:hAnsi="Times New Roman" w:cs="Times New Roman"/>
              </w:rPr>
            </w:pPr>
            <w:r>
              <w:rPr>
                <w:rFonts w:ascii="Times New Roman" w:hAnsi="Times New Roman" w:cs="Times New Roman"/>
              </w:rPr>
              <w:t>23.42</w:t>
            </w:r>
          </w:p>
        </w:tc>
        <w:tc>
          <w:tcPr>
            <w:tcW w:w="3402" w:type="dxa"/>
          </w:tcPr>
          <w:p w14:paraId="36850310" w14:textId="77777777" w:rsidR="00364DED" w:rsidRDefault="00A70A1E">
            <w:pPr>
              <w:pStyle w:val="NoSpacing"/>
              <w:rPr>
                <w:rFonts w:ascii="Times New Roman" w:hAnsi="Times New Roman" w:cs="Times New Roman"/>
              </w:rPr>
            </w:pPr>
            <w:r>
              <w:rPr>
                <w:rFonts w:ascii="Times New Roman" w:hAnsi="Times New Roman" w:cs="Times New Roman"/>
              </w:rPr>
              <w:t>Octanal</w:t>
            </w:r>
          </w:p>
        </w:tc>
        <w:tc>
          <w:tcPr>
            <w:tcW w:w="992" w:type="dxa"/>
          </w:tcPr>
          <w:p w14:paraId="27D33BC1" w14:textId="77777777" w:rsidR="00364DED" w:rsidRDefault="00A70A1E">
            <w:pPr>
              <w:pStyle w:val="NoSpacing"/>
              <w:rPr>
                <w:rFonts w:ascii="Times New Roman" w:hAnsi="Times New Roman" w:cs="Times New Roman"/>
              </w:rPr>
            </w:pPr>
            <w:r>
              <w:rPr>
                <w:rFonts w:ascii="Times New Roman" w:hAnsi="Times New Roman" w:cs="Times New Roman"/>
              </w:rPr>
              <w:t>13.56</w:t>
            </w:r>
          </w:p>
        </w:tc>
        <w:tc>
          <w:tcPr>
            <w:tcW w:w="1134" w:type="dxa"/>
          </w:tcPr>
          <w:p w14:paraId="6DA824C4" w14:textId="77777777" w:rsidR="00364DED" w:rsidRDefault="00A70A1E">
            <w:pPr>
              <w:pStyle w:val="NoSpacing"/>
              <w:rPr>
                <w:rFonts w:ascii="Times New Roman" w:hAnsi="Times New Roman" w:cs="Times New Roman"/>
              </w:rPr>
            </w:pPr>
            <w:r>
              <w:rPr>
                <w:rFonts w:ascii="Times New Roman" w:hAnsi="Times New Roman" w:cs="Times New Roman"/>
              </w:rPr>
              <w:t>128</w:t>
            </w:r>
          </w:p>
        </w:tc>
        <w:tc>
          <w:tcPr>
            <w:tcW w:w="1417" w:type="dxa"/>
          </w:tcPr>
          <w:p w14:paraId="6697623F" w14:textId="77777777" w:rsidR="00364DED" w:rsidRDefault="00A70A1E">
            <w:pPr>
              <w:pStyle w:val="NoSpacing"/>
              <w:rPr>
                <w:rFonts w:ascii="Times New Roman" w:hAnsi="Times New Roman" w:cs="Times New Roman"/>
              </w:rPr>
            </w:pPr>
            <w:r>
              <w:rPr>
                <w:rFonts w:ascii="Times New Roman" w:hAnsi="Times New Roman" w:cs="Times New Roman"/>
              </w:rPr>
              <w:t>C8H16O</w:t>
            </w:r>
          </w:p>
        </w:tc>
        <w:tc>
          <w:tcPr>
            <w:tcW w:w="851" w:type="dxa"/>
          </w:tcPr>
          <w:p w14:paraId="58A0EC38" w14:textId="77777777" w:rsidR="00364DED" w:rsidRDefault="00A70A1E">
            <w:pPr>
              <w:pStyle w:val="NoSpacing"/>
              <w:rPr>
                <w:rFonts w:ascii="Times New Roman" w:hAnsi="Times New Roman" w:cs="Times New Roman"/>
              </w:rPr>
            </w:pPr>
            <w:r>
              <w:rPr>
                <w:rFonts w:ascii="Times New Roman" w:hAnsi="Times New Roman" w:cs="Times New Roman"/>
              </w:rPr>
              <w:t>832</w:t>
            </w:r>
          </w:p>
        </w:tc>
      </w:tr>
      <w:tr w:rsidR="00364DED" w14:paraId="47D65309" w14:textId="77777777">
        <w:tc>
          <w:tcPr>
            <w:tcW w:w="993" w:type="dxa"/>
          </w:tcPr>
          <w:p w14:paraId="114CD1FB" w14:textId="77777777" w:rsidR="00364DED" w:rsidRDefault="00A70A1E">
            <w:pPr>
              <w:pStyle w:val="NoSpacing"/>
              <w:rPr>
                <w:rFonts w:ascii="Times New Roman" w:hAnsi="Times New Roman" w:cs="Times New Roman"/>
              </w:rPr>
            </w:pPr>
            <w:r>
              <w:rPr>
                <w:rFonts w:ascii="Times New Roman" w:hAnsi="Times New Roman" w:cs="Times New Roman"/>
              </w:rPr>
              <w:t>15</w:t>
            </w:r>
          </w:p>
        </w:tc>
        <w:tc>
          <w:tcPr>
            <w:tcW w:w="993" w:type="dxa"/>
          </w:tcPr>
          <w:p w14:paraId="4B205782" w14:textId="77777777" w:rsidR="00364DED" w:rsidRDefault="00A70A1E">
            <w:pPr>
              <w:pStyle w:val="NoSpacing"/>
              <w:rPr>
                <w:rFonts w:ascii="Times New Roman" w:hAnsi="Times New Roman" w:cs="Times New Roman"/>
              </w:rPr>
            </w:pPr>
            <w:r>
              <w:rPr>
                <w:rFonts w:ascii="Times New Roman" w:hAnsi="Times New Roman" w:cs="Times New Roman"/>
              </w:rPr>
              <w:t>24.66</w:t>
            </w:r>
          </w:p>
        </w:tc>
        <w:tc>
          <w:tcPr>
            <w:tcW w:w="3402" w:type="dxa"/>
          </w:tcPr>
          <w:p w14:paraId="32CA0173" w14:textId="77777777" w:rsidR="00364DED" w:rsidRDefault="00A70A1E">
            <w:pPr>
              <w:pStyle w:val="NoSpacing"/>
              <w:rPr>
                <w:rFonts w:ascii="Times New Roman" w:hAnsi="Times New Roman" w:cs="Times New Roman"/>
              </w:rPr>
            </w:pPr>
            <w:r>
              <w:rPr>
                <w:rFonts w:ascii="Times New Roman" w:hAnsi="Times New Roman" w:cs="Times New Roman"/>
              </w:rPr>
              <w:t>(E)-2-Octenal</w:t>
            </w:r>
          </w:p>
        </w:tc>
        <w:tc>
          <w:tcPr>
            <w:tcW w:w="992" w:type="dxa"/>
          </w:tcPr>
          <w:p w14:paraId="0AA66FD9" w14:textId="77777777" w:rsidR="00364DED" w:rsidRDefault="00A70A1E">
            <w:pPr>
              <w:pStyle w:val="NoSpacing"/>
              <w:rPr>
                <w:rFonts w:ascii="Times New Roman" w:hAnsi="Times New Roman" w:cs="Times New Roman"/>
              </w:rPr>
            </w:pPr>
            <w:r>
              <w:rPr>
                <w:rFonts w:ascii="Times New Roman" w:hAnsi="Times New Roman" w:cs="Times New Roman"/>
              </w:rPr>
              <w:t>3.25</w:t>
            </w:r>
          </w:p>
        </w:tc>
        <w:tc>
          <w:tcPr>
            <w:tcW w:w="1134" w:type="dxa"/>
          </w:tcPr>
          <w:p w14:paraId="2E1D8DDB" w14:textId="77777777" w:rsidR="00364DED" w:rsidRDefault="00A70A1E">
            <w:pPr>
              <w:pStyle w:val="NoSpacing"/>
              <w:rPr>
                <w:rFonts w:ascii="Times New Roman" w:hAnsi="Times New Roman" w:cs="Times New Roman"/>
              </w:rPr>
            </w:pPr>
            <w:r>
              <w:rPr>
                <w:rFonts w:ascii="Times New Roman" w:hAnsi="Times New Roman" w:cs="Times New Roman"/>
              </w:rPr>
              <w:t>126</w:t>
            </w:r>
          </w:p>
        </w:tc>
        <w:tc>
          <w:tcPr>
            <w:tcW w:w="1417" w:type="dxa"/>
          </w:tcPr>
          <w:p w14:paraId="3ED7E2F9" w14:textId="77777777" w:rsidR="00364DED" w:rsidRDefault="00A70A1E">
            <w:pPr>
              <w:pStyle w:val="NoSpacing"/>
              <w:rPr>
                <w:rFonts w:ascii="Times New Roman" w:hAnsi="Times New Roman" w:cs="Times New Roman"/>
              </w:rPr>
            </w:pPr>
            <w:r>
              <w:rPr>
                <w:rFonts w:ascii="Times New Roman" w:hAnsi="Times New Roman" w:cs="Times New Roman"/>
              </w:rPr>
              <w:t>C8H14O</w:t>
            </w:r>
          </w:p>
        </w:tc>
        <w:tc>
          <w:tcPr>
            <w:tcW w:w="851" w:type="dxa"/>
          </w:tcPr>
          <w:p w14:paraId="7B2B512E" w14:textId="77777777" w:rsidR="00364DED" w:rsidRDefault="00A70A1E">
            <w:pPr>
              <w:pStyle w:val="NoSpacing"/>
              <w:rPr>
                <w:rFonts w:ascii="Times New Roman" w:hAnsi="Times New Roman" w:cs="Times New Roman"/>
              </w:rPr>
            </w:pPr>
            <w:r>
              <w:rPr>
                <w:rFonts w:ascii="Times New Roman" w:hAnsi="Times New Roman" w:cs="Times New Roman"/>
              </w:rPr>
              <w:t>823</w:t>
            </w:r>
          </w:p>
        </w:tc>
      </w:tr>
      <w:tr w:rsidR="00364DED" w14:paraId="44DC8967" w14:textId="77777777">
        <w:tc>
          <w:tcPr>
            <w:tcW w:w="993" w:type="dxa"/>
          </w:tcPr>
          <w:p w14:paraId="043C6DE5" w14:textId="77777777" w:rsidR="00364DED" w:rsidRDefault="00A70A1E">
            <w:pPr>
              <w:pStyle w:val="NoSpacing"/>
              <w:rPr>
                <w:rFonts w:ascii="Times New Roman" w:hAnsi="Times New Roman" w:cs="Times New Roman"/>
              </w:rPr>
            </w:pPr>
            <w:r>
              <w:rPr>
                <w:rFonts w:ascii="Times New Roman" w:hAnsi="Times New Roman" w:cs="Times New Roman"/>
              </w:rPr>
              <w:t>16</w:t>
            </w:r>
          </w:p>
        </w:tc>
        <w:tc>
          <w:tcPr>
            <w:tcW w:w="993" w:type="dxa"/>
          </w:tcPr>
          <w:p w14:paraId="1D5093B4" w14:textId="77777777" w:rsidR="00364DED" w:rsidRDefault="00A70A1E">
            <w:pPr>
              <w:pStyle w:val="NoSpacing"/>
              <w:rPr>
                <w:rFonts w:ascii="Times New Roman" w:hAnsi="Times New Roman" w:cs="Times New Roman"/>
              </w:rPr>
            </w:pPr>
            <w:r>
              <w:rPr>
                <w:rFonts w:ascii="Times New Roman" w:hAnsi="Times New Roman" w:cs="Times New Roman"/>
              </w:rPr>
              <w:t>24.91</w:t>
            </w:r>
          </w:p>
        </w:tc>
        <w:tc>
          <w:tcPr>
            <w:tcW w:w="3402" w:type="dxa"/>
          </w:tcPr>
          <w:p w14:paraId="373F2BFE" w14:textId="77777777" w:rsidR="00364DED" w:rsidRDefault="00A70A1E">
            <w:pPr>
              <w:pStyle w:val="NoSpacing"/>
              <w:rPr>
                <w:rFonts w:ascii="Times New Roman" w:hAnsi="Times New Roman" w:cs="Times New Roman"/>
              </w:rPr>
            </w:pPr>
            <w:r>
              <w:rPr>
                <w:rFonts w:ascii="Times New Roman" w:hAnsi="Times New Roman" w:cs="Times New Roman"/>
                <w:i/>
                <w:iCs/>
              </w:rPr>
              <w:t>trans</w:t>
            </w:r>
            <w:r>
              <w:rPr>
                <w:rFonts w:ascii="Times New Roman" w:hAnsi="Times New Roman" w:cs="Times New Roman"/>
              </w:rPr>
              <w:t>-</w:t>
            </w:r>
            <w:proofErr w:type="spellStart"/>
            <w:r>
              <w:rPr>
                <w:rFonts w:ascii="Times New Roman" w:hAnsi="Times New Roman" w:cs="Times New Roman"/>
              </w:rPr>
              <w:t>Pinocarveol</w:t>
            </w:r>
            <w:proofErr w:type="spellEnd"/>
          </w:p>
        </w:tc>
        <w:tc>
          <w:tcPr>
            <w:tcW w:w="992" w:type="dxa"/>
          </w:tcPr>
          <w:p w14:paraId="0D8793AE" w14:textId="77777777" w:rsidR="00364DED" w:rsidRDefault="00A70A1E">
            <w:pPr>
              <w:pStyle w:val="NoSpacing"/>
              <w:rPr>
                <w:rFonts w:ascii="Times New Roman" w:hAnsi="Times New Roman" w:cs="Times New Roman"/>
              </w:rPr>
            </w:pPr>
            <w:r>
              <w:rPr>
                <w:rFonts w:ascii="Times New Roman" w:hAnsi="Times New Roman" w:cs="Times New Roman"/>
              </w:rPr>
              <w:t>0.27</w:t>
            </w:r>
          </w:p>
        </w:tc>
        <w:tc>
          <w:tcPr>
            <w:tcW w:w="1134" w:type="dxa"/>
          </w:tcPr>
          <w:p w14:paraId="25393CF9" w14:textId="77777777" w:rsidR="00364DED" w:rsidRDefault="00A70A1E">
            <w:pPr>
              <w:pStyle w:val="NoSpacing"/>
              <w:rPr>
                <w:rFonts w:ascii="Times New Roman" w:hAnsi="Times New Roman" w:cs="Times New Roman"/>
              </w:rPr>
            </w:pPr>
            <w:r>
              <w:rPr>
                <w:rFonts w:ascii="Times New Roman" w:hAnsi="Times New Roman" w:cs="Times New Roman"/>
              </w:rPr>
              <w:t>152</w:t>
            </w:r>
          </w:p>
        </w:tc>
        <w:tc>
          <w:tcPr>
            <w:tcW w:w="1417" w:type="dxa"/>
          </w:tcPr>
          <w:p w14:paraId="1FE4F03B" w14:textId="77777777" w:rsidR="00364DED" w:rsidRDefault="00A70A1E">
            <w:pPr>
              <w:pStyle w:val="NoSpacing"/>
              <w:rPr>
                <w:rFonts w:ascii="Times New Roman" w:hAnsi="Times New Roman" w:cs="Times New Roman"/>
              </w:rPr>
            </w:pPr>
            <w:r>
              <w:rPr>
                <w:rFonts w:ascii="Times New Roman" w:hAnsi="Times New Roman" w:cs="Times New Roman"/>
              </w:rPr>
              <w:t>C10H16O</w:t>
            </w:r>
          </w:p>
        </w:tc>
        <w:tc>
          <w:tcPr>
            <w:tcW w:w="851" w:type="dxa"/>
          </w:tcPr>
          <w:p w14:paraId="2CE0BDC2" w14:textId="77777777" w:rsidR="00364DED" w:rsidRDefault="00A70A1E">
            <w:pPr>
              <w:pStyle w:val="NoSpacing"/>
              <w:rPr>
                <w:rFonts w:ascii="Times New Roman" w:hAnsi="Times New Roman" w:cs="Times New Roman"/>
              </w:rPr>
            </w:pPr>
            <w:r>
              <w:rPr>
                <w:rFonts w:ascii="Times New Roman" w:hAnsi="Times New Roman" w:cs="Times New Roman"/>
              </w:rPr>
              <w:t>758</w:t>
            </w:r>
          </w:p>
        </w:tc>
      </w:tr>
      <w:tr w:rsidR="00364DED" w14:paraId="71374A82" w14:textId="77777777">
        <w:tc>
          <w:tcPr>
            <w:tcW w:w="993" w:type="dxa"/>
          </w:tcPr>
          <w:p w14:paraId="5B900AA9" w14:textId="77777777" w:rsidR="00364DED" w:rsidRDefault="00A70A1E">
            <w:pPr>
              <w:pStyle w:val="NoSpacing"/>
              <w:rPr>
                <w:rFonts w:ascii="Times New Roman" w:hAnsi="Times New Roman" w:cs="Times New Roman"/>
              </w:rPr>
            </w:pPr>
            <w:r>
              <w:rPr>
                <w:rFonts w:ascii="Times New Roman" w:hAnsi="Times New Roman" w:cs="Times New Roman"/>
              </w:rPr>
              <w:t>17</w:t>
            </w:r>
          </w:p>
        </w:tc>
        <w:tc>
          <w:tcPr>
            <w:tcW w:w="993" w:type="dxa"/>
          </w:tcPr>
          <w:p w14:paraId="3FF5D1DB" w14:textId="77777777" w:rsidR="00364DED" w:rsidRDefault="00A70A1E">
            <w:pPr>
              <w:pStyle w:val="NoSpacing"/>
              <w:rPr>
                <w:rFonts w:ascii="Times New Roman" w:hAnsi="Times New Roman" w:cs="Times New Roman"/>
              </w:rPr>
            </w:pPr>
            <w:r>
              <w:rPr>
                <w:rFonts w:ascii="Times New Roman" w:hAnsi="Times New Roman" w:cs="Times New Roman"/>
              </w:rPr>
              <w:t>25.55</w:t>
            </w:r>
          </w:p>
        </w:tc>
        <w:tc>
          <w:tcPr>
            <w:tcW w:w="3402" w:type="dxa"/>
          </w:tcPr>
          <w:p w14:paraId="54809DF1" w14:textId="77777777" w:rsidR="00364DED" w:rsidRDefault="00A70A1E">
            <w:pPr>
              <w:pStyle w:val="NoSpacing"/>
              <w:rPr>
                <w:rFonts w:ascii="Times New Roman" w:hAnsi="Times New Roman" w:cs="Times New Roman"/>
              </w:rPr>
            </w:pPr>
            <w:r>
              <w:rPr>
                <w:rFonts w:ascii="Times New Roman" w:hAnsi="Times New Roman" w:cs="Times New Roman"/>
              </w:rPr>
              <w:t>1-Decene</w:t>
            </w:r>
          </w:p>
        </w:tc>
        <w:tc>
          <w:tcPr>
            <w:tcW w:w="992" w:type="dxa"/>
          </w:tcPr>
          <w:p w14:paraId="65380928" w14:textId="77777777" w:rsidR="00364DED" w:rsidRDefault="00A70A1E">
            <w:pPr>
              <w:pStyle w:val="NoSpacing"/>
              <w:rPr>
                <w:rFonts w:ascii="Times New Roman" w:hAnsi="Times New Roman" w:cs="Times New Roman"/>
              </w:rPr>
            </w:pPr>
            <w:r>
              <w:rPr>
                <w:rFonts w:ascii="Times New Roman" w:hAnsi="Times New Roman" w:cs="Times New Roman"/>
              </w:rPr>
              <w:t>1.92</w:t>
            </w:r>
          </w:p>
        </w:tc>
        <w:tc>
          <w:tcPr>
            <w:tcW w:w="1134" w:type="dxa"/>
          </w:tcPr>
          <w:p w14:paraId="31C41EDF" w14:textId="77777777" w:rsidR="00364DED" w:rsidRDefault="00A70A1E">
            <w:pPr>
              <w:pStyle w:val="NoSpacing"/>
              <w:rPr>
                <w:rFonts w:ascii="Times New Roman" w:hAnsi="Times New Roman" w:cs="Times New Roman"/>
              </w:rPr>
            </w:pPr>
            <w:r>
              <w:rPr>
                <w:rFonts w:ascii="Times New Roman" w:hAnsi="Times New Roman" w:cs="Times New Roman"/>
              </w:rPr>
              <w:t>140</w:t>
            </w:r>
          </w:p>
        </w:tc>
        <w:tc>
          <w:tcPr>
            <w:tcW w:w="1417" w:type="dxa"/>
          </w:tcPr>
          <w:p w14:paraId="4BE11499" w14:textId="77777777" w:rsidR="00364DED" w:rsidRDefault="00A70A1E">
            <w:pPr>
              <w:pStyle w:val="NoSpacing"/>
              <w:rPr>
                <w:rFonts w:ascii="Times New Roman" w:hAnsi="Times New Roman" w:cs="Times New Roman"/>
              </w:rPr>
            </w:pPr>
            <w:r>
              <w:rPr>
                <w:rFonts w:ascii="Times New Roman" w:hAnsi="Times New Roman" w:cs="Times New Roman"/>
              </w:rPr>
              <w:t>C10H20</w:t>
            </w:r>
          </w:p>
        </w:tc>
        <w:tc>
          <w:tcPr>
            <w:tcW w:w="851" w:type="dxa"/>
          </w:tcPr>
          <w:p w14:paraId="14E00548" w14:textId="77777777" w:rsidR="00364DED" w:rsidRDefault="00A70A1E">
            <w:pPr>
              <w:pStyle w:val="NoSpacing"/>
              <w:rPr>
                <w:rFonts w:ascii="Times New Roman" w:hAnsi="Times New Roman" w:cs="Times New Roman"/>
              </w:rPr>
            </w:pPr>
            <w:r>
              <w:rPr>
                <w:rFonts w:ascii="Times New Roman" w:hAnsi="Times New Roman" w:cs="Times New Roman"/>
              </w:rPr>
              <w:t>787</w:t>
            </w:r>
          </w:p>
        </w:tc>
      </w:tr>
      <w:tr w:rsidR="00364DED" w14:paraId="4E9C2CE4" w14:textId="77777777">
        <w:tc>
          <w:tcPr>
            <w:tcW w:w="993" w:type="dxa"/>
          </w:tcPr>
          <w:p w14:paraId="713255A2" w14:textId="77777777" w:rsidR="00364DED" w:rsidRDefault="00A70A1E">
            <w:pPr>
              <w:pStyle w:val="NoSpacing"/>
              <w:rPr>
                <w:rFonts w:ascii="Times New Roman" w:hAnsi="Times New Roman" w:cs="Times New Roman"/>
              </w:rPr>
            </w:pPr>
            <w:r>
              <w:rPr>
                <w:rFonts w:ascii="Times New Roman" w:hAnsi="Times New Roman" w:cs="Times New Roman"/>
              </w:rPr>
              <w:t>18</w:t>
            </w:r>
          </w:p>
        </w:tc>
        <w:tc>
          <w:tcPr>
            <w:tcW w:w="993" w:type="dxa"/>
          </w:tcPr>
          <w:p w14:paraId="330C2429" w14:textId="77777777" w:rsidR="00364DED" w:rsidRDefault="00A70A1E">
            <w:pPr>
              <w:pStyle w:val="NoSpacing"/>
              <w:rPr>
                <w:rFonts w:ascii="Times New Roman" w:hAnsi="Times New Roman" w:cs="Times New Roman"/>
              </w:rPr>
            </w:pPr>
            <w:r>
              <w:rPr>
                <w:rFonts w:ascii="Times New Roman" w:hAnsi="Times New Roman" w:cs="Times New Roman"/>
              </w:rPr>
              <w:t>26.76</w:t>
            </w:r>
          </w:p>
        </w:tc>
        <w:tc>
          <w:tcPr>
            <w:tcW w:w="3402" w:type="dxa"/>
          </w:tcPr>
          <w:p w14:paraId="73D3F98E" w14:textId="77777777" w:rsidR="00364DED" w:rsidRDefault="00A70A1E">
            <w:pPr>
              <w:pStyle w:val="NoSpacing"/>
              <w:rPr>
                <w:rFonts w:ascii="Times New Roman" w:hAnsi="Times New Roman" w:cs="Times New Roman"/>
              </w:rPr>
            </w:pPr>
            <w:r>
              <w:rPr>
                <w:rFonts w:ascii="Times New Roman" w:hAnsi="Times New Roman" w:cs="Times New Roman"/>
              </w:rPr>
              <w:t>Nonanal</w:t>
            </w:r>
          </w:p>
        </w:tc>
        <w:tc>
          <w:tcPr>
            <w:tcW w:w="992" w:type="dxa"/>
          </w:tcPr>
          <w:p w14:paraId="2619B36D" w14:textId="77777777" w:rsidR="00364DED" w:rsidRDefault="00A70A1E">
            <w:pPr>
              <w:pStyle w:val="NoSpacing"/>
              <w:rPr>
                <w:rFonts w:ascii="Times New Roman" w:hAnsi="Times New Roman" w:cs="Times New Roman"/>
              </w:rPr>
            </w:pPr>
            <w:r>
              <w:rPr>
                <w:rFonts w:ascii="Times New Roman" w:hAnsi="Times New Roman" w:cs="Times New Roman"/>
              </w:rPr>
              <w:t>38.33</w:t>
            </w:r>
          </w:p>
        </w:tc>
        <w:tc>
          <w:tcPr>
            <w:tcW w:w="1134" w:type="dxa"/>
          </w:tcPr>
          <w:p w14:paraId="4305135F" w14:textId="77777777" w:rsidR="00364DED" w:rsidRDefault="00A70A1E">
            <w:pPr>
              <w:pStyle w:val="NoSpacing"/>
              <w:rPr>
                <w:rFonts w:ascii="Times New Roman" w:hAnsi="Times New Roman" w:cs="Times New Roman"/>
              </w:rPr>
            </w:pPr>
            <w:r>
              <w:rPr>
                <w:rFonts w:ascii="Times New Roman" w:hAnsi="Times New Roman" w:cs="Times New Roman"/>
              </w:rPr>
              <w:t>142</w:t>
            </w:r>
          </w:p>
        </w:tc>
        <w:tc>
          <w:tcPr>
            <w:tcW w:w="1417" w:type="dxa"/>
          </w:tcPr>
          <w:p w14:paraId="34C4F4E3" w14:textId="77777777" w:rsidR="00364DED" w:rsidRDefault="00A70A1E">
            <w:pPr>
              <w:pStyle w:val="NoSpacing"/>
              <w:rPr>
                <w:rFonts w:ascii="Times New Roman" w:hAnsi="Times New Roman" w:cs="Times New Roman"/>
              </w:rPr>
            </w:pPr>
            <w:r>
              <w:rPr>
                <w:rFonts w:ascii="Times New Roman" w:hAnsi="Times New Roman" w:cs="Times New Roman"/>
              </w:rPr>
              <w:t>C9H18O</w:t>
            </w:r>
          </w:p>
        </w:tc>
        <w:tc>
          <w:tcPr>
            <w:tcW w:w="851" w:type="dxa"/>
          </w:tcPr>
          <w:p w14:paraId="02F365FC" w14:textId="77777777" w:rsidR="00364DED" w:rsidRDefault="00A70A1E">
            <w:pPr>
              <w:pStyle w:val="NoSpacing"/>
              <w:rPr>
                <w:rFonts w:ascii="Times New Roman" w:hAnsi="Times New Roman" w:cs="Times New Roman"/>
              </w:rPr>
            </w:pPr>
            <w:r>
              <w:rPr>
                <w:rFonts w:ascii="Times New Roman" w:hAnsi="Times New Roman" w:cs="Times New Roman"/>
              </w:rPr>
              <w:t>865</w:t>
            </w:r>
          </w:p>
        </w:tc>
      </w:tr>
      <w:tr w:rsidR="00364DED" w14:paraId="10E018C1" w14:textId="77777777">
        <w:tc>
          <w:tcPr>
            <w:tcW w:w="993" w:type="dxa"/>
          </w:tcPr>
          <w:p w14:paraId="58731772" w14:textId="77777777" w:rsidR="00364DED" w:rsidRDefault="00A70A1E">
            <w:pPr>
              <w:pStyle w:val="NoSpacing"/>
              <w:rPr>
                <w:rFonts w:ascii="Times New Roman" w:hAnsi="Times New Roman" w:cs="Times New Roman"/>
              </w:rPr>
            </w:pPr>
            <w:r>
              <w:rPr>
                <w:rFonts w:ascii="Times New Roman" w:hAnsi="Times New Roman" w:cs="Times New Roman"/>
              </w:rPr>
              <w:t>19</w:t>
            </w:r>
          </w:p>
        </w:tc>
        <w:tc>
          <w:tcPr>
            <w:tcW w:w="993" w:type="dxa"/>
          </w:tcPr>
          <w:p w14:paraId="5257617B" w14:textId="77777777" w:rsidR="00364DED" w:rsidRDefault="00A70A1E">
            <w:pPr>
              <w:pStyle w:val="NoSpacing"/>
              <w:rPr>
                <w:rFonts w:ascii="Times New Roman" w:hAnsi="Times New Roman" w:cs="Times New Roman"/>
              </w:rPr>
            </w:pPr>
            <w:r>
              <w:rPr>
                <w:rFonts w:ascii="Times New Roman" w:hAnsi="Times New Roman" w:cs="Times New Roman"/>
              </w:rPr>
              <w:t>27.64</w:t>
            </w:r>
          </w:p>
        </w:tc>
        <w:tc>
          <w:tcPr>
            <w:tcW w:w="3402" w:type="dxa"/>
          </w:tcPr>
          <w:p w14:paraId="7D438931" w14:textId="77777777" w:rsidR="00364DED" w:rsidRDefault="00A70A1E">
            <w:pPr>
              <w:pStyle w:val="NoSpacing"/>
              <w:rPr>
                <w:rFonts w:ascii="Times New Roman" w:hAnsi="Times New Roman" w:cs="Times New Roman"/>
              </w:rPr>
            </w:pPr>
            <w:r>
              <w:rPr>
                <w:rFonts w:ascii="Times New Roman" w:hAnsi="Times New Roman" w:cs="Times New Roman"/>
                <w:i/>
                <w:iCs/>
              </w:rPr>
              <w:t>β</w:t>
            </w:r>
            <w:r>
              <w:rPr>
                <w:rFonts w:ascii="Times New Roman" w:hAnsi="Times New Roman" w:cs="Times New Roman"/>
              </w:rPr>
              <w:t>-Ethyl-</w:t>
            </w:r>
            <w:proofErr w:type="spellStart"/>
            <w:r>
              <w:rPr>
                <w:rFonts w:ascii="Times New Roman" w:hAnsi="Times New Roman" w:cs="Times New Roman"/>
              </w:rPr>
              <w:t>benzeneacetaldehyde</w:t>
            </w:r>
            <w:proofErr w:type="spellEnd"/>
          </w:p>
        </w:tc>
        <w:tc>
          <w:tcPr>
            <w:tcW w:w="992" w:type="dxa"/>
          </w:tcPr>
          <w:p w14:paraId="22F31104" w14:textId="77777777" w:rsidR="00364DED" w:rsidRDefault="00A70A1E">
            <w:pPr>
              <w:pStyle w:val="NoSpacing"/>
              <w:rPr>
                <w:rFonts w:ascii="Times New Roman" w:hAnsi="Times New Roman" w:cs="Times New Roman"/>
              </w:rPr>
            </w:pPr>
            <w:r>
              <w:rPr>
                <w:rFonts w:ascii="Times New Roman" w:hAnsi="Times New Roman" w:cs="Times New Roman"/>
              </w:rPr>
              <w:t>0.94</w:t>
            </w:r>
          </w:p>
        </w:tc>
        <w:tc>
          <w:tcPr>
            <w:tcW w:w="1134" w:type="dxa"/>
          </w:tcPr>
          <w:p w14:paraId="61E095CD" w14:textId="77777777" w:rsidR="00364DED" w:rsidRDefault="00A70A1E">
            <w:pPr>
              <w:pStyle w:val="NoSpacing"/>
              <w:rPr>
                <w:rFonts w:ascii="Times New Roman" w:hAnsi="Times New Roman" w:cs="Times New Roman"/>
              </w:rPr>
            </w:pPr>
            <w:r>
              <w:rPr>
                <w:rFonts w:ascii="Times New Roman" w:hAnsi="Times New Roman" w:cs="Times New Roman"/>
              </w:rPr>
              <w:t>148</w:t>
            </w:r>
          </w:p>
        </w:tc>
        <w:tc>
          <w:tcPr>
            <w:tcW w:w="1417" w:type="dxa"/>
          </w:tcPr>
          <w:p w14:paraId="7FDFC105" w14:textId="77777777" w:rsidR="00364DED" w:rsidRDefault="00A70A1E">
            <w:pPr>
              <w:pStyle w:val="NoSpacing"/>
              <w:rPr>
                <w:rFonts w:ascii="Times New Roman" w:hAnsi="Times New Roman" w:cs="Times New Roman"/>
              </w:rPr>
            </w:pPr>
            <w:r>
              <w:rPr>
                <w:rFonts w:ascii="Times New Roman" w:hAnsi="Times New Roman" w:cs="Times New Roman"/>
              </w:rPr>
              <w:t>C10H12O</w:t>
            </w:r>
          </w:p>
        </w:tc>
        <w:tc>
          <w:tcPr>
            <w:tcW w:w="851" w:type="dxa"/>
          </w:tcPr>
          <w:p w14:paraId="45FCDE11" w14:textId="77777777" w:rsidR="00364DED" w:rsidRDefault="00A70A1E">
            <w:pPr>
              <w:pStyle w:val="NoSpacing"/>
              <w:rPr>
                <w:rFonts w:ascii="Times New Roman" w:hAnsi="Times New Roman" w:cs="Times New Roman"/>
              </w:rPr>
            </w:pPr>
            <w:r>
              <w:rPr>
                <w:rFonts w:ascii="Times New Roman" w:hAnsi="Times New Roman" w:cs="Times New Roman"/>
              </w:rPr>
              <w:t>680</w:t>
            </w:r>
          </w:p>
        </w:tc>
      </w:tr>
      <w:tr w:rsidR="00364DED" w14:paraId="6818239E" w14:textId="77777777">
        <w:tc>
          <w:tcPr>
            <w:tcW w:w="993" w:type="dxa"/>
          </w:tcPr>
          <w:p w14:paraId="00227125" w14:textId="77777777" w:rsidR="00364DED" w:rsidRDefault="00A70A1E">
            <w:pPr>
              <w:pStyle w:val="NoSpacing"/>
              <w:rPr>
                <w:rFonts w:ascii="Times New Roman" w:hAnsi="Times New Roman" w:cs="Times New Roman"/>
              </w:rPr>
            </w:pPr>
            <w:r>
              <w:rPr>
                <w:rFonts w:ascii="Times New Roman" w:hAnsi="Times New Roman" w:cs="Times New Roman"/>
              </w:rPr>
              <w:t>20</w:t>
            </w:r>
          </w:p>
        </w:tc>
        <w:tc>
          <w:tcPr>
            <w:tcW w:w="993" w:type="dxa"/>
          </w:tcPr>
          <w:p w14:paraId="445B416D" w14:textId="77777777" w:rsidR="00364DED" w:rsidRDefault="00A70A1E">
            <w:pPr>
              <w:pStyle w:val="NoSpacing"/>
              <w:rPr>
                <w:rFonts w:ascii="Times New Roman" w:hAnsi="Times New Roman" w:cs="Times New Roman"/>
              </w:rPr>
            </w:pPr>
            <w:r>
              <w:rPr>
                <w:rFonts w:ascii="Times New Roman" w:hAnsi="Times New Roman" w:cs="Times New Roman"/>
              </w:rPr>
              <w:t>28.14</w:t>
            </w:r>
          </w:p>
        </w:tc>
        <w:tc>
          <w:tcPr>
            <w:tcW w:w="3402" w:type="dxa"/>
          </w:tcPr>
          <w:p w14:paraId="7BE9DA26" w14:textId="77777777" w:rsidR="00364DED" w:rsidRDefault="00A70A1E">
            <w:pPr>
              <w:pStyle w:val="NoSpacing"/>
              <w:rPr>
                <w:rFonts w:ascii="Times New Roman" w:hAnsi="Times New Roman" w:cs="Times New Roman"/>
              </w:rPr>
            </w:pPr>
            <w:r>
              <w:rPr>
                <w:rFonts w:ascii="Times New Roman" w:hAnsi="Times New Roman" w:cs="Times New Roman"/>
              </w:rPr>
              <w:t>8,11-Octadecadiynoic acid, methyl ester</w:t>
            </w:r>
          </w:p>
        </w:tc>
        <w:tc>
          <w:tcPr>
            <w:tcW w:w="992" w:type="dxa"/>
          </w:tcPr>
          <w:p w14:paraId="5562CD14" w14:textId="77777777" w:rsidR="00364DED" w:rsidRDefault="00A70A1E">
            <w:pPr>
              <w:pStyle w:val="NoSpacing"/>
              <w:rPr>
                <w:rFonts w:ascii="Times New Roman" w:hAnsi="Times New Roman" w:cs="Times New Roman"/>
              </w:rPr>
            </w:pPr>
            <w:r>
              <w:rPr>
                <w:rFonts w:ascii="Times New Roman" w:hAnsi="Times New Roman" w:cs="Times New Roman"/>
              </w:rPr>
              <w:t>2.08</w:t>
            </w:r>
          </w:p>
        </w:tc>
        <w:tc>
          <w:tcPr>
            <w:tcW w:w="1134" w:type="dxa"/>
          </w:tcPr>
          <w:p w14:paraId="4A625A0C" w14:textId="77777777" w:rsidR="00364DED" w:rsidRDefault="00A70A1E">
            <w:pPr>
              <w:pStyle w:val="NoSpacing"/>
              <w:rPr>
                <w:rFonts w:ascii="Times New Roman" w:hAnsi="Times New Roman" w:cs="Times New Roman"/>
              </w:rPr>
            </w:pPr>
            <w:r>
              <w:rPr>
                <w:rFonts w:ascii="Times New Roman" w:hAnsi="Times New Roman" w:cs="Times New Roman"/>
              </w:rPr>
              <w:t>290</w:t>
            </w:r>
          </w:p>
        </w:tc>
        <w:tc>
          <w:tcPr>
            <w:tcW w:w="1417" w:type="dxa"/>
          </w:tcPr>
          <w:p w14:paraId="3A2559C6" w14:textId="77777777" w:rsidR="00364DED" w:rsidRDefault="00A70A1E">
            <w:pPr>
              <w:pStyle w:val="NoSpacing"/>
              <w:rPr>
                <w:rFonts w:ascii="Times New Roman" w:hAnsi="Times New Roman" w:cs="Times New Roman"/>
              </w:rPr>
            </w:pPr>
            <w:r>
              <w:rPr>
                <w:rFonts w:ascii="Times New Roman" w:hAnsi="Times New Roman" w:cs="Times New Roman"/>
              </w:rPr>
              <w:t>C19H30O2</w:t>
            </w:r>
          </w:p>
        </w:tc>
        <w:tc>
          <w:tcPr>
            <w:tcW w:w="851" w:type="dxa"/>
          </w:tcPr>
          <w:p w14:paraId="45F1CB7C" w14:textId="77777777" w:rsidR="00364DED" w:rsidRDefault="00A70A1E">
            <w:pPr>
              <w:pStyle w:val="NoSpacing"/>
              <w:rPr>
                <w:rFonts w:ascii="Times New Roman" w:hAnsi="Times New Roman" w:cs="Times New Roman"/>
              </w:rPr>
            </w:pPr>
            <w:r>
              <w:rPr>
                <w:rFonts w:ascii="Times New Roman" w:hAnsi="Times New Roman" w:cs="Times New Roman"/>
              </w:rPr>
              <w:t>706</w:t>
            </w:r>
          </w:p>
        </w:tc>
      </w:tr>
      <w:tr w:rsidR="00364DED" w14:paraId="6E427933" w14:textId="77777777">
        <w:tc>
          <w:tcPr>
            <w:tcW w:w="993" w:type="dxa"/>
          </w:tcPr>
          <w:p w14:paraId="011B60DC" w14:textId="77777777" w:rsidR="00364DED" w:rsidRDefault="00A70A1E">
            <w:pPr>
              <w:pStyle w:val="NoSpacing"/>
              <w:rPr>
                <w:rFonts w:ascii="Times New Roman" w:hAnsi="Times New Roman" w:cs="Times New Roman"/>
              </w:rPr>
            </w:pPr>
            <w:r>
              <w:rPr>
                <w:rFonts w:ascii="Times New Roman" w:hAnsi="Times New Roman" w:cs="Times New Roman"/>
              </w:rPr>
              <w:t>21</w:t>
            </w:r>
          </w:p>
        </w:tc>
        <w:tc>
          <w:tcPr>
            <w:tcW w:w="993" w:type="dxa"/>
          </w:tcPr>
          <w:p w14:paraId="125F8016" w14:textId="77777777" w:rsidR="00364DED" w:rsidRDefault="00A70A1E">
            <w:pPr>
              <w:pStyle w:val="NoSpacing"/>
              <w:rPr>
                <w:rFonts w:ascii="Times New Roman" w:hAnsi="Times New Roman" w:cs="Times New Roman"/>
              </w:rPr>
            </w:pPr>
            <w:r>
              <w:rPr>
                <w:rFonts w:ascii="Times New Roman" w:hAnsi="Times New Roman" w:cs="Times New Roman"/>
              </w:rPr>
              <w:t>28.69</w:t>
            </w:r>
          </w:p>
        </w:tc>
        <w:tc>
          <w:tcPr>
            <w:tcW w:w="3402" w:type="dxa"/>
          </w:tcPr>
          <w:p w14:paraId="74C18D41" w14:textId="77777777" w:rsidR="00364DED" w:rsidRDefault="00A70A1E">
            <w:pPr>
              <w:pStyle w:val="NoSpacing"/>
              <w:rPr>
                <w:rFonts w:ascii="Times New Roman" w:hAnsi="Times New Roman" w:cs="Times New Roman"/>
              </w:rPr>
            </w:pPr>
            <w:r>
              <w:rPr>
                <w:rFonts w:ascii="Times New Roman" w:hAnsi="Times New Roman" w:cs="Times New Roman"/>
              </w:rPr>
              <w:t>(E)-2-Nonenal</w:t>
            </w:r>
          </w:p>
        </w:tc>
        <w:tc>
          <w:tcPr>
            <w:tcW w:w="992" w:type="dxa"/>
          </w:tcPr>
          <w:p w14:paraId="4054E3F9" w14:textId="77777777" w:rsidR="00364DED" w:rsidRDefault="00A70A1E">
            <w:pPr>
              <w:pStyle w:val="NoSpacing"/>
              <w:rPr>
                <w:rFonts w:ascii="Times New Roman" w:hAnsi="Times New Roman" w:cs="Times New Roman"/>
              </w:rPr>
            </w:pPr>
            <w:r>
              <w:rPr>
                <w:rFonts w:ascii="Times New Roman" w:hAnsi="Times New Roman" w:cs="Times New Roman"/>
              </w:rPr>
              <w:t>18.91</w:t>
            </w:r>
          </w:p>
        </w:tc>
        <w:tc>
          <w:tcPr>
            <w:tcW w:w="1134" w:type="dxa"/>
          </w:tcPr>
          <w:p w14:paraId="13BA922A" w14:textId="77777777" w:rsidR="00364DED" w:rsidRDefault="00A70A1E">
            <w:pPr>
              <w:pStyle w:val="NoSpacing"/>
              <w:rPr>
                <w:rFonts w:ascii="Times New Roman" w:hAnsi="Times New Roman" w:cs="Times New Roman"/>
              </w:rPr>
            </w:pPr>
            <w:r>
              <w:rPr>
                <w:rFonts w:ascii="Times New Roman" w:hAnsi="Times New Roman" w:cs="Times New Roman"/>
              </w:rPr>
              <w:t>140</w:t>
            </w:r>
          </w:p>
        </w:tc>
        <w:tc>
          <w:tcPr>
            <w:tcW w:w="1417" w:type="dxa"/>
          </w:tcPr>
          <w:p w14:paraId="77860C67" w14:textId="77777777" w:rsidR="00364DED" w:rsidRDefault="00A70A1E">
            <w:pPr>
              <w:pStyle w:val="NoSpacing"/>
              <w:rPr>
                <w:rFonts w:ascii="Times New Roman" w:hAnsi="Times New Roman" w:cs="Times New Roman"/>
              </w:rPr>
            </w:pPr>
            <w:r>
              <w:rPr>
                <w:rFonts w:ascii="Times New Roman" w:hAnsi="Times New Roman" w:cs="Times New Roman"/>
              </w:rPr>
              <w:t>C9H16O</w:t>
            </w:r>
          </w:p>
        </w:tc>
        <w:tc>
          <w:tcPr>
            <w:tcW w:w="851" w:type="dxa"/>
          </w:tcPr>
          <w:p w14:paraId="6C96BFA1" w14:textId="77777777" w:rsidR="00364DED" w:rsidRDefault="00A70A1E">
            <w:pPr>
              <w:pStyle w:val="NoSpacing"/>
              <w:rPr>
                <w:rFonts w:ascii="Times New Roman" w:hAnsi="Times New Roman" w:cs="Times New Roman"/>
              </w:rPr>
            </w:pPr>
            <w:r>
              <w:rPr>
                <w:rFonts w:ascii="Times New Roman" w:hAnsi="Times New Roman" w:cs="Times New Roman"/>
              </w:rPr>
              <w:t>885</w:t>
            </w:r>
          </w:p>
        </w:tc>
      </w:tr>
    </w:tbl>
    <w:p w14:paraId="07308128" w14:textId="77777777" w:rsidR="00364DED" w:rsidRDefault="00A70A1E">
      <w:pPr>
        <w:rPr>
          <w:rFonts w:ascii="Times New Roman" w:hAnsi="Times New Roman" w:cs="Times New Roman"/>
          <w:sz w:val="24"/>
          <w:szCs w:val="24"/>
        </w:rPr>
      </w:pPr>
      <w:r>
        <w:rPr>
          <w:rFonts w:ascii="Times New Roman" w:hAnsi="Times New Roman" w:cs="Times New Roman"/>
          <w:sz w:val="24"/>
          <w:szCs w:val="24"/>
        </w:rPr>
        <w:t>*RT, retention time (min), ** RSI, matching factor between getting mass spectrum and database mass spectra.</w:t>
      </w:r>
    </w:p>
    <w:p w14:paraId="6AD79719" w14:textId="77777777" w:rsidR="00364DED" w:rsidRDefault="00364DED">
      <w:pPr>
        <w:autoSpaceDE w:val="0"/>
        <w:autoSpaceDN w:val="0"/>
        <w:adjustRightInd w:val="0"/>
        <w:spacing w:after="0" w:line="360" w:lineRule="auto"/>
        <w:jc w:val="both"/>
        <w:rPr>
          <w:rFonts w:ascii="Times New Roman" w:hAnsi="Times New Roman" w:cs="Times New Roman"/>
          <w:sz w:val="24"/>
          <w:szCs w:val="24"/>
        </w:rPr>
      </w:pPr>
    </w:p>
    <w:p w14:paraId="6BCC836E" w14:textId="77777777" w:rsidR="00364DED" w:rsidRDefault="00A70A1E">
      <w:pPr>
        <w:autoSpaceDE w:val="0"/>
        <w:autoSpaceDN w:val="0"/>
        <w:adjustRightInd w:val="0"/>
        <w:spacing w:after="0" w:line="360" w:lineRule="auto"/>
        <w:ind w:firstLine="567"/>
        <w:jc w:val="both"/>
        <w:rPr>
          <w:rFonts w:ascii="Times New Roman" w:hAnsi="Times New Roman" w:cs="Times New Roman"/>
          <w:sz w:val="24"/>
        </w:rPr>
      </w:pPr>
      <w:r>
        <w:rPr>
          <w:rFonts w:ascii="Times New Roman" w:hAnsi="Times New Roman" w:cs="Times New Roman"/>
          <w:sz w:val="24"/>
          <w:szCs w:val="24"/>
        </w:rPr>
        <w:t xml:space="preserve">The identified chemical composition of </w:t>
      </w:r>
      <w:r>
        <w:rPr>
          <w:rFonts w:ascii="Times New Roman" w:hAnsi="Times New Roman" w:cs="Times New Roman"/>
          <w:i/>
          <w:iCs/>
          <w:sz w:val="24"/>
          <w:szCs w:val="24"/>
        </w:rPr>
        <w:t xml:space="preserve">B. </w:t>
      </w:r>
      <w:proofErr w:type="spellStart"/>
      <w:r>
        <w:rPr>
          <w:rFonts w:ascii="Times New Roman" w:hAnsi="Times New Roman" w:cs="Times New Roman"/>
          <w:i/>
          <w:iCs/>
          <w:sz w:val="24"/>
          <w:szCs w:val="24"/>
        </w:rPr>
        <w:t>spectabilis</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bark </w:t>
      </w:r>
      <w:proofErr w:type="spellStart"/>
      <w:r>
        <w:rPr>
          <w:rFonts w:ascii="Times New Roman" w:hAnsi="Times New Roman" w:cs="Times New Roman"/>
          <w:sz w:val="24"/>
          <w:szCs w:val="24"/>
        </w:rPr>
        <w:t>AcE</w:t>
      </w:r>
      <w:proofErr w:type="spellEnd"/>
      <w:r>
        <w:rPr>
          <w:rFonts w:ascii="Times New Roman" w:hAnsi="Times New Roman" w:cs="Times New Roman"/>
          <w:sz w:val="24"/>
          <w:szCs w:val="24"/>
        </w:rPr>
        <w:t xml:space="preserve"> is shown in Table 5 and represented 14 compounds. The main chemical components were (E)-2-decenal (31.23%), 2-undecenal (18.37%) and nonanal (15.15%) and </w:t>
      </w:r>
      <w:r>
        <w:rPr>
          <w:rFonts w:ascii="Times New Roman" w:hAnsi="Times New Roman" w:cs="Times New Roman"/>
          <w:b/>
          <w:bCs/>
          <w:sz w:val="24"/>
        </w:rPr>
        <w:t>(</w:t>
      </w:r>
      <w:r>
        <w:rPr>
          <w:rFonts w:ascii="Times New Roman" w:hAnsi="Times New Roman" w:cs="Times New Roman"/>
          <w:sz w:val="24"/>
        </w:rPr>
        <w:t>Z)-9-octadecenoic acid (10.23%), followed by (E)-2-dodecenal (5.12%), octanal (4.66%), 1-dodecene (3.98%), and (E)-2-nonenal (3.12%).</w:t>
      </w:r>
    </w:p>
    <w:p w14:paraId="1FDAFBCA" w14:textId="77777777" w:rsidR="00364DED" w:rsidRDefault="00A70A1E">
      <w:pPr>
        <w:rPr>
          <w:rFonts w:ascii="Times New Roman" w:hAnsi="Times New Roman" w:cs="Times New Roman"/>
          <w:sz w:val="24"/>
        </w:rPr>
      </w:pPr>
      <w:r>
        <w:rPr>
          <w:rFonts w:ascii="Times New Roman" w:hAnsi="Times New Roman" w:cs="Times New Roman"/>
          <w:b/>
          <w:bCs/>
          <w:sz w:val="24"/>
        </w:rPr>
        <w:t>Table 5</w:t>
      </w:r>
      <w:r>
        <w:rPr>
          <w:rFonts w:ascii="Times New Roman" w:hAnsi="Times New Roman" w:cs="Times New Roman"/>
          <w:sz w:val="24"/>
        </w:rPr>
        <w:t xml:space="preserve">. </w:t>
      </w:r>
      <w:r>
        <w:rPr>
          <w:rFonts w:ascii="Times New Roman" w:hAnsi="Times New Roman" w:cs="Times New Roman"/>
          <w:sz w:val="24"/>
          <w:szCs w:val="24"/>
        </w:rPr>
        <w:t xml:space="preserve">The chemical composition of </w:t>
      </w:r>
      <w:r>
        <w:rPr>
          <w:rFonts w:ascii="Times New Roman" w:hAnsi="Times New Roman" w:cs="Times New Roman"/>
          <w:i/>
          <w:iCs/>
          <w:sz w:val="24"/>
          <w:szCs w:val="24"/>
        </w:rPr>
        <w:t xml:space="preserve">Bougainvillea spectabilis </w:t>
      </w:r>
      <w:r>
        <w:rPr>
          <w:rFonts w:ascii="Times New Roman" w:hAnsi="Times New Roman" w:cs="Times New Roman"/>
          <w:sz w:val="24"/>
          <w:szCs w:val="24"/>
        </w:rPr>
        <w:t xml:space="preserve">bark acetone extract reported using GC-MS analysis </w:t>
      </w:r>
    </w:p>
    <w:tbl>
      <w:tblPr>
        <w:tblW w:w="9043" w:type="dxa"/>
        <w:tblInd w:w="137" w:type="dxa"/>
        <w:tblBorders>
          <w:top w:val="single" w:sz="4" w:space="0" w:color="auto"/>
          <w:bottom w:val="single" w:sz="4" w:space="0" w:color="auto"/>
        </w:tblBorders>
        <w:tblLayout w:type="fixed"/>
        <w:tblLook w:val="04A0" w:firstRow="1" w:lastRow="0" w:firstColumn="1" w:lastColumn="0" w:noHBand="0" w:noVBand="1"/>
      </w:tblPr>
      <w:tblGrid>
        <w:gridCol w:w="850"/>
        <w:gridCol w:w="851"/>
        <w:gridCol w:w="2268"/>
        <w:gridCol w:w="850"/>
        <w:gridCol w:w="1276"/>
        <w:gridCol w:w="1814"/>
        <w:gridCol w:w="1134"/>
      </w:tblGrid>
      <w:tr w:rsidR="00364DED" w14:paraId="40443186" w14:textId="77777777">
        <w:tc>
          <w:tcPr>
            <w:tcW w:w="850" w:type="dxa"/>
            <w:tcBorders>
              <w:top w:val="single" w:sz="4" w:space="0" w:color="auto"/>
              <w:bottom w:val="single" w:sz="4" w:space="0" w:color="auto"/>
            </w:tcBorders>
          </w:tcPr>
          <w:p w14:paraId="2EFA2C5B"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Peak</w:t>
            </w:r>
          </w:p>
        </w:tc>
        <w:tc>
          <w:tcPr>
            <w:tcW w:w="851" w:type="dxa"/>
            <w:tcBorders>
              <w:top w:val="single" w:sz="4" w:space="0" w:color="auto"/>
              <w:bottom w:val="single" w:sz="4" w:space="0" w:color="auto"/>
            </w:tcBorders>
          </w:tcPr>
          <w:p w14:paraId="4E846CD5"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RT*</w:t>
            </w:r>
          </w:p>
          <w:p w14:paraId="4950160C" w14:textId="77777777" w:rsidR="00364DED" w:rsidRDefault="00364DED">
            <w:pPr>
              <w:pStyle w:val="NoSpacing"/>
              <w:rPr>
                <w:rFonts w:ascii="Times New Roman" w:hAnsi="Times New Roman" w:cs="Times New Roman"/>
                <w:sz w:val="24"/>
                <w:szCs w:val="24"/>
              </w:rPr>
            </w:pPr>
          </w:p>
        </w:tc>
        <w:tc>
          <w:tcPr>
            <w:tcW w:w="2268" w:type="dxa"/>
            <w:tcBorders>
              <w:top w:val="single" w:sz="4" w:space="0" w:color="auto"/>
              <w:bottom w:val="single" w:sz="4" w:space="0" w:color="auto"/>
            </w:tcBorders>
          </w:tcPr>
          <w:p w14:paraId="206AAF11"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 xml:space="preserve">Name </w:t>
            </w:r>
          </w:p>
        </w:tc>
        <w:tc>
          <w:tcPr>
            <w:tcW w:w="850" w:type="dxa"/>
            <w:tcBorders>
              <w:top w:val="single" w:sz="4" w:space="0" w:color="auto"/>
              <w:bottom w:val="single" w:sz="4" w:space="0" w:color="auto"/>
            </w:tcBorders>
          </w:tcPr>
          <w:p w14:paraId="37CAD773"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Area %</w:t>
            </w:r>
          </w:p>
        </w:tc>
        <w:tc>
          <w:tcPr>
            <w:tcW w:w="1276" w:type="dxa"/>
            <w:tcBorders>
              <w:top w:val="single" w:sz="4" w:space="0" w:color="auto"/>
              <w:bottom w:val="single" w:sz="4" w:space="0" w:color="auto"/>
            </w:tcBorders>
          </w:tcPr>
          <w:p w14:paraId="7BB81A0F"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Molecular Weight</w:t>
            </w:r>
          </w:p>
        </w:tc>
        <w:tc>
          <w:tcPr>
            <w:tcW w:w="1814" w:type="dxa"/>
            <w:tcBorders>
              <w:top w:val="single" w:sz="4" w:space="0" w:color="auto"/>
              <w:bottom w:val="single" w:sz="4" w:space="0" w:color="auto"/>
            </w:tcBorders>
          </w:tcPr>
          <w:p w14:paraId="60CCB5FF"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Molecular formula</w:t>
            </w:r>
          </w:p>
        </w:tc>
        <w:tc>
          <w:tcPr>
            <w:tcW w:w="1134" w:type="dxa"/>
            <w:tcBorders>
              <w:top w:val="single" w:sz="4" w:space="0" w:color="auto"/>
              <w:bottom w:val="single" w:sz="4" w:space="0" w:color="auto"/>
            </w:tcBorders>
          </w:tcPr>
          <w:p w14:paraId="286EDDEA"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RSI</w:t>
            </w:r>
          </w:p>
        </w:tc>
      </w:tr>
      <w:tr w:rsidR="00364DED" w14:paraId="2D260E0E" w14:textId="77777777">
        <w:tc>
          <w:tcPr>
            <w:tcW w:w="850" w:type="dxa"/>
            <w:tcBorders>
              <w:top w:val="single" w:sz="4" w:space="0" w:color="auto"/>
            </w:tcBorders>
          </w:tcPr>
          <w:p w14:paraId="132CC184"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tcBorders>
          </w:tcPr>
          <w:p w14:paraId="3708A4A5"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4.05</w:t>
            </w:r>
          </w:p>
        </w:tc>
        <w:tc>
          <w:tcPr>
            <w:tcW w:w="2268" w:type="dxa"/>
            <w:tcBorders>
              <w:top w:val="single" w:sz="4" w:space="0" w:color="auto"/>
            </w:tcBorders>
          </w:tcPr>
          <w:p w14:paraId="61A1108D"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 xml:space="preserve">1-Tetradecanol </w:t>
            </w:r>
          </w:p>
        </w:tc>
        <w:tc>
          <w:tcPr>
            <w:tcW w:w="850" w:type="dxa"/>
            <w:tcBorders>
              <w:top w:val="single" w:sz="4" w:space="0" w:color="auto"/>
            </w:tcBorders>
          </w:tcPr>
          <w:p w14:paraId="7B04DD6A"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0.51</w:t>
            </w:r>
          </w:p>
        </w:tc>
        <w:tc>
          <w:tcPr>
            <w:tcW w:w="1276" w:type="dxa"/>
            <w:tcBorders>
              <w:top w:val="single" w:sz="4" w:space="0" w:color="auto"/>
            </w:tcBorders>
          </w:tcPr>
          <w:p w14:paraId="04AF36CE"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214</w:t>
            </w:r>
          </w:p>
        </w:tc>
        <w:tc>
          <w:tcPr>
            <w:tcW w:w="1814" w:type="dxa"/>
            <w:tcBorders>
              <w:top w:val="single" w:sz="4" w:space="0" w:color="auto"/>
            </w:tcBorders>
          </w:tcPr>
          <w:p w14:paraId="50D623B9"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14</w:t>
            </w:r>
            <w:r>
              <w:rPr>
                <w:rFonts w:ascii="Times New Roman" w:hAnsi="Times New Roman" w:cs="Times New Roman"/>
                <w:sz w:val="24"/>
                <w:szCs w:val="24"/>
              </w:rPr>
              <w:t>H</w:t>
            </w:r>
            <w:r>
              <w:rPr>
                <w:rFonts w:ascii="Times New Roman" w:hAnsi="Times New Roman" w:cs="Times New Roman"/>
                <w:sz w:val="24"/>
                <w:szCs w:val="24"/>
                <w:vertAlign w:val="subscript"/>
              </w:rPr>
              <w:t>30</w:t>
            </w:r>
            <w:r>
              <w:rPr>
                <w:rFonts w:ascii="Times New Roman" w:hAnsi="Times New Roman" w:cs="Times New Roman"/>
                <w:sz w:val="24"/>
                <w:szCs w:val="24"/>
              </w:rPr>
              <w:t>O</w:t>
            </w:r>
          </w:p>
        </w:tc>
        <w:tc>
          <w:tcPr>
            <w:tcW w:w="1134" w:type="dxa"/>
            <w:tcBorders>
              <w:top w:val="single" w:sz="4" w:space="0" w:color="auto"/>
            </w:tcBorders>
          </w:tcPr>
          <w:p w14:paraId="42255476"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738</w:t>
            </w:r>
          </w:p>
        </w:tc>
      </w:tr>
      <w:tr w:rsidR="00364DED" w14:paraId="7A26A2C4" w14:textId="77777777">
        <w:tc>
          <w:tcPr>
            <w:tcW w:w="850" w:type="dxa"/>
          </w:tcPr>
          <w:p w14:paraId="27F60B1A"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25149A05"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4.29</w:t>
            </w:r>
          </w:p>
        </w:tc>
        <w:tc>
          <w:tcPr>
            <w:tcW w:w="2268" w:type="dxa"/>
          </w:tcPr>
          <w:p w14:paraId="226586CA"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Dodecane</w:t>
            </w:r>
          </w:p>
        </w:tc>
        <w:tc>
          <w:tcPr>
            <w:tcW w:w="850" w:type="dxa"/>
          </w:tcPr>
          <w:p w14:paraId="2BF0A61C"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0.85</w:t>
            </w:r>
          </w:p>
        </w:tc>
        <w:tc>
          <w:tcPr>
            <w:tcW w:w="1276" w:type="dxa"/>
          </w:tcPr>
          <w:p w14:paraId="4A2158E3"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170</w:t>
            </w:r>
          </w:p>
        </w:tc>
        <w:tc>
          <w:tcPr>
            <w:tcW w:w="1814" w:type="dxa"/>
          </w:tcPr>
          <w:p w14:paraId="7C5BD8B3"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12</w:t>
            </w:r>
            <w:r>
              <w:rPr>
                <w:rFonts w:ascii="Times New Roman" w:hAnsi="Times New Roman" w:cs="Times New Roman"/>
                <w:sz w:val="24"/>
                <w:szCs w:val="24"/>
              </w:rPr>
              <w:t>H</w:t>
            </w:r>
            <w:r>
              <w:rPr>
                <w:rFonts w:ascii="Times New Roman" w:hAnsi="Times New Roman" w:cs="Times New Roman"/>
                <w:sz w:val="24"/>
                <w:szCs w:val="24"/>
                <w:vertAlign w:val="subscript"/>
              </w:rPr>
              <w:t>26</w:t>
            </w:r>
          </w:p>
        </w:tc>
        <w:tc>
          <w:tcPr>
            <w:tcW w:w="1134" w:type="dxa"/>
          </w:tcPr>
          <w:p w14:paraId="6A953BDE"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728</w:t>
            </w:r>
          </w:p>
        </w:tc>
      </w:tr>
      <w:tr w:rsidR="00364DED" w14:paraId="1BA50E23" w14:textId="77777777">
        <w:tc>
          <w:tcPr>
            <w:tcW w:w="850" w:type="dxa"/>
          </w:tcPr>
          <w:p w14:paraId="373F215B"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3</w:t>
            </w:r>
          </w:p>
        </w:tc>
        <w:tc>
          <w:tcPr>
            <w:tcW w:w="851" w:type="dxa"/>
          </w:tcPr>
          <w:p w14:paraId="0BEF661F"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7.94</w:t>
            </w:r>
          </w:p>
        </w:tc>
        <w:tc>
          <w:tcPr>
            <w:tcW w:w="2268" w:type="dxa"/>
          </w:tcPr>
          <w:p w14:paraId="7A2D605E"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(E)-2-Decen-1-ol</w:t>
            </w:r>
          </w:p>
        </w:tc>
        <w:tc>
          <w:tcPr>
            <w:tcW w:w="850" w:type="dxa"/>
          </w:tcPr>
          <w:p w14:paraId="39D6DD53"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2.62</w:t>
            </w:r>
          </w:p>
        </w:tc>
        <w:tc>
          <w:tcPr>
            <w:tcW w:w="1276" w:type="dxa"/>
          </w:tcPr>
          <w:p w14:paraId="02F597A4"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156</w:t>
            </w:r>
          </w:p>
        </w:tc>
        <w:tc>
          <w:tcPr>
            <w:tcW w:w="1814" w:type="dxa"/>
          </w:tcPr>
          <w:p w14:paraId="22C723EE"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10</w:t>
            </w:r>
            <w:r>
              <w:rPr>
                <w:rFonts w:ascii="Times New Roman" w:hAnsi="Times New Roman" w:cs="Times New Roman"/>
                <w:sz w:val="24"/>
                <w:szCs w:val="24"/>
              </w:rPr>
              <w:t>H</w:t>
            </w:r>
            <w:r>
              <w:rPr>
                <w:rFonts w:ascii="Times New Roman" w:hAnsi="Times New Roman" w:cs="Times New Roman"/>
                <w:sz w:val="24"/>
                <w:szCs w:val="24"/>
                <w:vertAlign w:val="subscript"/>
              </w:rPr>
              <w:t>20</w:t>
            </w:r>
            <w:r>
              <w:rPr>
                <w:rFonts w:ascii="Times New Roman" w:hAnsi="Times New Roman" w:cs="Times New Roman"/>
                <w:sz w:val="24"/>
                <w:szCs w:val="24"/>
              </w:rPr>
              <w:t>O</w:t>
            </w:r>
          </w:p>
        </w:tc>
        <w:tc>
          <w:tcPr>
            <w:tcW w:w="1134" w:type="dxa"/>
          </w:tcPr>
          <w:p w14:paraId="4CBA2187"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789</w:t>
            </w:r>
          </w:p>
        </w:tc>
      </w:tr>
      <w:tr w:rsidR="00364DED" w14:paraId="6B5ED1AA" w14:textId="77777777">
        <w:tc>
          <w:tcPr>
            <w:tcW w:w="850" w:type="dxa"/>
          </w:tcPr>
          <w:p w14:paraId="261C233E"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lastRenderedPageBreak/>
              <w:t>4</w:t>
            </w:r>
          </w:p>
        </w:tc>
        <w:tc>
          <w:tcPr>
            <w:tcW w:w="851" w:type="dxa"/>
          </w:tcPr>
          <w:p w14:paraId="2080C2CA"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10.23</w:t>
            </w:r>
          </w:p>
        </w:tc>
        <w:tc>
          <w:tcPr>
            <w:tcW w:w="2268" w:type="dxa"/>
          </w:tcPr>
          <w:p w14:paraId="06BD7AE1"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1-Dodecene</w:t>
            </w:r>
          </w:p>
        </w:tc>
        <w:tc>
          <w:tcPr>
            <w:tcW w:w="850" w:type="dxa"/>
          </w:tcPr>
          <w:p w14:paraId="2E1FC5C2"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3.98</w:t>
            </w:r>
          </w:p>
        </w:tc>
        <w:tc>
          <w:tcPr>
            <w:tcW w:w="1276" w:type="dxa"/>
          </w:tcPr>
          <w:p w14:paraId="13F269EA"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168</w:t>
            </w:r>
          </w:p>
        </w:tc>
        <w:tc>
          <w:tcPr>
            <w:tcW w:w="1814" w:type="dxa"/>
          </w:tcPr>
          <w:p w14:paraId="55D5DF98"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12</w:t>
            </w:r>
            <w:r>
              <w:rPr>
                <w:rFonts w:ascii="Times New Roman" w:hAnsi="Times New Roman" w:cs="Times New Roman"/>
                <w:sz w:val="24"/>
                <w:szCs w:val="24"/>
              </w:rPr>
              <w:t>H</w:t>
            </w:r>
            <w:r>
              <w:rPr>
                <w:rFonts w:ascii="Times New Roman" w:hAnsi="Times New Roman" w:cs="Times New Roman"/>
                <w:sz w:val="24"/>
                <w:szCs w:val="24"/>
                <w:vertAlign w:val="subscript"/>
              </w:rPr>
              <w:t>24</w:t>
            </w:r>
          </w:p>
        </w:tc>
        <w:tc>
          <w:tcPr>
            <w:tcW w:w="1134" w:type="dxa"/>
          </w:tcPr>
          <w:p w14:paraId="08EF9CCB"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767</w:t>
            </w:r>
          </w:p>
        </w:tc>
      </w:tr>
      <w:tr w:rsidR="00364DED" w14:paraId="3099562F" w14:textId="77777777">
        <w:tc>
          <w:tcPr>
            <w:tcW w:w="850" w:type="dxa"/>
          </w:tcPr>
          <w:p w14:paraId="2F9E5042"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5</w:t>
            </w:r>
          </w:p>
        </w:tc>
        <w:tc>
          <w:tcPr>
            <w:tcW w:w="851" w:type="dxa"/>
          </w:tcPr>
          <w:p w14:paraId="6779C439"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10.56</w:t>
            </w:r>
          </w:p>
        </w:tc>
        <w:tc>
          <w:tcPr>
            <w:tcW w:w="2268" w:type="dxa"/>
          </w:tcPr>
          <w:p w14:paraId="4569AD27"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2-Undecanol</w:t>
            </w:r>
          </w:p>
        </w:tc>
        <w:tc>
          <w:tcPr>
            <w:tcW w:w="850" w:type="dxa"/>
          </w:tcPr>
          <w:p w14:paraId="022480F8"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0.70</w:t>
            </w:r>
          </w:p>
        </w:tc>
        <w:tc>
          <w:tcPr>
            <w:tcW w:w="1276" w:type="dxa"/>
          </w:tcPr>
          <w:p w14:paraId="4D746EBA"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172</w:t>
            </w:r>
          </w:p>
        </w:tc>
        <w:tc>
          <w:tcPr>
            <w:tcW w:w="1814" w:type="dxa"/>
          </w:tcPr>
          <w:p w14:paraId="06C8BE1A"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11</w:t>
            </w:r>
            <w:r>
              <w:rPr>
                <w:rFonts w:ascii="Times New Roman" w:hAnsi="Times New Roman" w:cs="Times New Roman"/>
                <w:sz w:val="24"/>
                <w:szCs w:val="24"/>
              </w:rPr>
              <w:t>H</w:t>
            </w:r>
            <w:r>
              <w:rPr>
                <w:rFonts w:ascii="Times New Roman" w:hAnsi="Times New Roman" w:cs="Times New Roman"/>
                <w:sz w:val="24"/>
                <w:szCs w:val="24"/>
                <w:vertAlign w:val="subscript"/>
              </w:rPr>
              <w:t>24</w:t>
            </w:r>
            <w:r>
              <w:rPr>
                <w:rFonts w:ascii="Times New Roman" w:hAnsi="Times New Roman" w:cs="Times New Roman"/>
                <w:sz w:val="24"/>
                <w:szCs w:val="24"/>
              </w:rPr>
              <w:t>O</w:t>
            </w:r>
          </w:p>
        </w:tc>
        <w:tc>
          <w:tcPr>
            <w:tcW w:w="1134" w:type="dxa"/>
          </w:tcPr>
          <w:p w14:paraId="5E319E78"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860</w:t>
            </w:r>
          </w:p>
        </w:tc>
      </w:tr>
      <w:tr w:rsidR="00364DED" w14:paraId="5CB802CC" w14:textId="77777777">
        <w:tc>
          <w:tcPr>
            <w:tcW w:w="850" w:type="dxa"/>
          </w:tcPr>
          <w:p w14:paraId="058C14D5"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6</w:t>
            </w:r>
          </w:p>
        </w:tc>
        <w:tc>
          <w:tcPr>
            <w:tcW w:w="851" w:type="dxa"/>
          </w:tcPr>
          <w:p w14:paraId="6A07D4FE"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11.37</w:t>
            </w:r>
          </w:p>
        </w:tc>
        <w:tc>
          <w:tcPr>
            <w:tcW w:w="2268" w:type="dxa"/>
          </w:tcPr>
          <w:p w14:paraId="4982F528"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 xml:space="preserve">Octanal </w:t>
            </w:r>
          </w:p>
        </w:tc>
        <w:tc>
          <w:tcPr>
            <w:tcW w:w="850" w:type="dxa"/>
          </w:tcPr>
          <w:p w14:paraId="4003D40D"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4.66</w:t>
            </w:r>
          </w:p>
        </w:tc>
        <w:tc>
          <w:tcPr>
            <w:tcW w:w="1276" w:type="dxa"/>
          </w:tcPr>
          <w:p w14:paraId="6DEACC5D"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128</w:t>
            </w:r>
          </w:p>
        </w:tc>
        <w:tc>
          <w:tcPr>
            <w:tcW w:w="1814" w:type="dxa"/>
          </w:tcPr>
          <w:p w14:paraId="63AEFD3A"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8</w:t>
            </w:r>
            <w:r>
              <w:rPr>
                <w:rFonts w:ascii="Times New Roman" w:hAnsi="Times New Roman" w:cs="Times New Roman"/>
                <w:sz w:val="24"/>
                <w:szCs w:val="24"/>
              </w:rPr>
              <w:t>H</w:t>
            </w:r>
            <w:r>
              <w:rPr>
                <w:rFonts w:ascii="Times New Roman" w:hAnsi="Times New Roman" w:cs="Times New Roman"/>
                <w:sz w:val="24"/>
                <w:szCs w:val="24"/>
                <w:vertAlign w:val="subscript"/>
              </w:rPr>
              <w:t>16</w:t>
            </w:r>
            <w:r>
              <w:rPr>
                <w:rFonts w:ascii="Times New Roman" w:hAnsi="Times New Roman" w:cs="Times New Roman"/>
                <w:sz w:val="24"/>
                <w:szCs w:val="24"/>
              </w:rPr>
              <w:t>O</w:t>
            </w:r>
          </w:p>
        </w:tc>
        <w:tc>
          <w:tcPr>
            <w:tcW w:w="1134" w:type="dxa"/>
          </w:tcPr>
          <w:p w14:paraId="4B357435"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928</w:t>
            </w:r>
          </w:p>
        </w:tc>
      </w:tr>
      <w:tr w:rsidR="00364DED" w14:paraId="04D517D5" w14:textId="77777777">
        <w:tc>
          <w:tcPr>
            <w:tcW w:w="850" w:type="dxa"/>
          </w:tcPr>
          <w:p w14:paraId="1A503B61"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8</w:t>
            </w:r>
          </w:p>
        </w:tc>
        <w:tc>
          <w:tcPr>
            <w:tcW w:w="851" w:type="dxa"/>
          </w:tcPr>
          <w:p w14:paraId="1302C7F7"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13.73</w:t>
            </w:r>
          </w:p>
        </w:tc>
        <w:tc>
          <w:tcPr>
            <w:tcW w:w="2268" w:type="dxa"/>
          </w:tcPr>
          <w:p w14:paraId="6CBE0C65"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 xml:space="preserve">(E)-2-Dodecenal </w:t>
            </w:r>
          </w:p>
        </w:tc>
        <w:tc>
          <w:tcPr>
            <w:tcW w:w="850" w:type="dxa"/>
          </w:tcPr>
          <w:p w14:paraId="51EE6B56"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5.12</w:t>
            </w:r>
          </w:p>
        </w:tc>
        <w:tc>
          <w:tcPr>
            <w:tcW w:w="1276" w:type="dxa"/>
          </w:tcPr>
          <w:p w14:paraId="4298AAC4"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182</w:t>
            </w:r>
          </w:p>
        </w:tc>
        <w:tc>
          <w:tcPr>
            <w:tcW w:w="1814" w:type="dxa"/>
          </w:tcPr>
          <w:p w14:paraId="75DC09F3"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12</w:t>
            </w:r>
            <w:r>
              <w:rPr>
                <w:rFonts w:ascii="Times New Roman" w:hAnsi="Times New Roman" w:cs="Times New Roman"/>
                <w:sz w:val="24"/>
                <w:szCs w:val="24"/>
              </w:rPr>
              <w:t>H</w:t>
            </w:r>
            <w:r>
              <w:rPr>
                <w:rFonts w:ascii="Times New Roman" w:hAnsi="Times New Roman" w:cs="Times New Roman"/>
                <w:sz w:val="24"/>
                <w:szCs w:val="24"/>
                <w:vertAlign w:val="subscript"/>
              </w:rPr>
              <w:t>22</w:t>
            </w:r>
            <w:r>
              <w:rPr>
                <w:rFonts w:ascii="Times New Roman" w:hAnsi="Times New Roman" w:cs="Times New Roman"/>
                <w:sz w:val="24"/>
                <w:szCs w:val="24"/>
              </w:rPr>
              <w:t>O</w:t>
            </w:r>
          </w:p>
        </w:tc>
        <w:tc>
          <w:tcPr>
            <w:tcW w:w="1134" w:type="dxa"/>
          </w:tcPr>
          <w:p w14:paraId="1576ACEF"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811</w:t>
            </w:r>
          </w:p>
        </w:tc>
      </w:tr>
      <w:tr w:rsidR="00364DED" w14:paraId="485E0C46" w14:textId="77777777">
        <w:tc>
          <w:tcPr>
            <w:tcW w:w="850" w:type="dxa"/>
          </w:tcPr>
          <w:p w14:paraId="7DFFF308"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9</w:t>
            </w:r>
          </w:p>
        </w:tc>
        <w:tc>
          <w:tcPr>
            <w:tcW w:w="851" w:type="dxa"/>
          </w:tcPr>
          <w:p w14:paraId="5F1B83FF"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14.68</w:t>
            </w:r>
          </w:p>
        </w:tc>
        <w:tc>
          <w:tcPr>
            <w:tcW w:w="2268" w:type="dxa"/>
          </w:tcPr>
          <w:p w14:paraId="3DA3C4D9"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 xml:space="preserve">Nonanal </w:t>
            </w:r>
          </w:p>
        </w:tc>
        <w:tc>
          <w:tcPr>
            <w:tcW w:w="850" w:type="dxa"/>
          </w:tcPr>
          <w:p w14:paraId="4EC3924C"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15.15</w:t>
            </w:r>
          </w:p>
        </w:tc>
        <w:tc>
          <w:tcPr>
            <w:tcW w:w="1276" w:type="dxa"/>
          </w:tcPr>
          <w:p w14:paraId="3FD042CE"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142</w:t>
            </w:r>
          </w:p>
        </w:tc>
        <w:tc>
          <w:tcPr>
            <w:tcW w:w="1814" w:type="dxa"/>
          </w:tcPr>
          <w:p w14:paraId="339FA078"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C9H</w:t>
            </w:r>
            <w:r>
              <w:rPr>
                <w:rFonts w:ascii="Times New Roman" w:hAnsi="Times New Roman" w:cs="Times New Roman"/>
                <w:sz w:val="24"/>
                <w:szCs w:val="24"/>
                <w:vertAlign w:val="subscript"/>
              </w:rPr>
              <w:t>18</w:t>
            </w:r>
            <w:r>
              <w:rPr>
                <w:rFonts w:ascii="Times New Roman" w:hAnsi="Times New Roman" w:cs="Times New Roman"/>
                <w:sz w:val="24"/>
                <w:szCs w:val="24"/>
              </w:rPr>
              <w:t>O</w:t>
            </w:r>
          </w:p>
        </w:tc>
        <w:tc>
          <w:tcPr>
            <w:tcW w:w="1134" w:type="dxa"/>
          </w:tcPr>
          <w:p w14:paraId="0DDBE7F3"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919</w:t>
            </w:r>
          </w:p>
        </w:tc>
      </w:tr>
      <w:tr w:rsidR="00364DED" w14:paraId="2BB84E4D" w14:textId="77777777">
        <w:tc>
          <w:tcPr>
            <w:tcW w:w="850" w:type="dxa"/>
          </w:tcPr>
          <w:p w14:paraId="5B09BFB5"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10</w:t>
            </w:r>
          </w:p>
        </w:tc>
        <w:tc>
          <w:tcPr>
            <w:tcW w:w="851" w:type="dxa"/>
          </w:tcPr>
          <w:p w14:paraId="200C5A46"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16.94</w:t>
            </w:r>
          </w:p>
        </w:tc>
        <w:tc>
          <w:tcPr>
            <w:tcW w:w="2268" w:type="dxa"/>
          </w:tcPr>
          <w:p w14:paraId="14EFE8E7"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(E)-2-Nonenal</w:t>
            </w:r>
          </w:p>
        </w:tc>
        <w:tc>
          <w:tcPr>
            <w:tcW w:w="850" w:type="dxa"/>
          </w:tcPr>
          <w:p w14:paraId="52C6A59B"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3.12</w:t>
            </w:r>
          </w:p>
        </w:tc>
        <w:tc>
          <w:tcPr>
            <w:tcW w:w="1276" w:type="dxa"/>
          </w:tcPr>
          <w:p w14:paraId="29CC1449"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140</w:t>
            </w:r>
          </w:p>
        </w:tc>
        <w:tc>
          <w:tcPr>
            <w:tcW w:w="1814" w:type="dxa"/>
          </w:tcPr>
          <w:p w14:paraId="1532FA5B"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9</w:t>
            </w:r>
            <w:r>
              <w:rPr>
                <w:rFonts w:ascii="Times New Roman" w:hAnsi="Times New Roman" w:cs="Times New Roman"/>
                <w:sz w:val="24"/>
                <w:szCs w:val="24"/>
              </w:rPr>
              <w:t>H16O</w:t>
            </w:r>
          </w:p>
        </w:tc>
        <w:tc>
          <w:tcPr>
            <w:tcW w:w="1134" w:type="dxa"/>
          </w:tcPr>
          <w:p w14:paraId="5FBB339F"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901</w:t>
            </w:r>
          </w:p>
        </w:tc>
      </w:tr>
      <w:tr w:rsidR="00364DED" w14:paraId="6D47ADEE" w14:textId="77777777">
        <w:tc>
          <w:tcPr>
            <w:tcW w:w="850" w:type="dxa"/>
          </w:tcPr>
          <w:p w14:paraId="58A0BD42"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11</w:t>
            </w:r>
          </w:p>
        </w:tc>
        <w:tc>
          <w:tcPr>
            <w:tcW w:w="851" w:type="dxa"/>
          </w:tcPr>
          <w:p w14:paraId="29896C49"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17.78</w:t>
            </w:r>
          </w:p>
        </w:tc>
        <w:tc>
          <w:tcPr>
            <w:tcW w:w="2268" w:type="dxa"/>
          </w:tcPr>
          <w:p w14:paraId="180C0829"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 xml:space="preserve">(Z)-9-Octadecenoic acid </w:t>
            </w:r>
          </w:p>
        </w:tc>
        <w:tc>
          <w:tcPr>
            <w:tcW w:w="850" w:type="dxa"/>
          </w:tcPr>
          <w:p w14:paraId="20A1C5FE"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10.23</w:t>
            </w:r>
          </w:p>
        </w:tc>
        <w:tc>
          <w:tcPr>
            <w:tcW w:w="1276" w:type="dxa"/>
          </w:tcPr>
          <w:p w14:paraId="7935647B"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282</w:t>
            </w:r>
          </w:p>
        </w:tc>
        <w:tc>
          <w:tcPr>
            <w:tcW w:w="1814" w:type="dxa"/>
          </w:tcPr>
          <w:p w14:paraId="105CC044"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18</w:t>
            </w:r>
            <w:r>
              <w:rPr>
                <w:rFonts w:ascii="Times New Roman" w:hAnsi="Times New Roman" w:cs="Times New Roman"/>
                <w:sz w:val="24"/>
                <w:szCs w:val="24"/>
              </w:rPr>
              <w:t>H</w:t>
            </w:r>
            <w:r>
              <w:rPr>
                <w:rFonts w:ascii="Times New Roman" w:hAnsi="Times New Roman" w:cs="Times New Roman"/>
                <w:sz w:val="24"/>
                <w:szCs w:val="24"/>
                <w:vertAlign w:val="subscript"/>
              </w:rPr>
              <w:t>34</w:t>
            </w:r>
            <w:r>
              <w:rPr>
                <w:rFonts w:ascii="Times New Roman" w:hAnsi="Times New Roman" w:cs="Times New Roman"/>
                <w:sz w:val="24"/>
                <w:szCs w:val="24"/>
              </w:rPr>
              <w:t>O</w:t>
            </w:r>
            <w:r>
              <w:rPr>
                <w:rFonts w:ascii="Times New Roman" w:hAnsi="Times New Roman" w:cs="Times New Roman"/>
                <w:sz w:val="24"/>
                <w:szCs w:val="24"/>
                <w:vertAlign w:val="subscript"/>
              </w:rPr>
              <w:t>2</w:t>
            </w:r>
          </w:p>
        </w:tc>
        <w:tc>
          <w:tcPr>
            <w:tcW w:w="1134" w:type="dxa"/>
          </w:tcPr>
          <w:p w14:paraId="5148B4AA"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840</w:t>
            </w:r>
          </w:p>
        </w:tc>
      </w:tr>
      <w:tr w:rsidR="00364DED" w14:paraId="098B6229" w14:textId="77777777">
        <w:tc>
          <w:tcPr>
            <w:tcW w:w="850" w:type="dxa"/>
          </w:tcPr>
          <w:p w14:paraId="71E86AEF"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12</w:t>
            </w:r>
          </w:p>
        </w:tc>
        <w:tc>
          <w:tcPr>
            <w:tcW w:w="851" w:type="dxa"/>
          </w:tcPr>
          <w:p w14:paraId="7C5B4D2E"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19.91</w:t>
            </w:r>
          </w:p>
        </w:tc>
        <w:tc>
          <w:tcPr>
            <w:tcW w:w="2268" w:type="dxa"/>
          </w:tcPr>
          <w:p w14:paraId="55ACCF60"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 xml:space="preserve">(E)-2-Decenal </w:t>
            </w:r>
          </w:p>
        </w:tc>
        <w:tc>
          <w:tcPr>
            <w:tcW w:w="850" w:type="dxa"/>
          </w:tcPr>
          <w:p w14:paraId="619C84D8"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31.23</w:t>
            </w:r>
          </w:p>
        </w:tc>
        <w:tc>
          <w:tcPr>
            <w:tcW w:w="1276" w:type="dxa"/>
          </w:tcPr>
          <w:p w14:paraId="4CA12CAF"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154</w:t>
            </w:r>
          </w:p>
        </w:tc>
        <w:tc>
          <w:tcPr>
            <w:tcW w:w="1814" w:type="dxa"/>
          </w:tcPr>
          <w:p w14:paraId="5E3C03B9"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10</w:t>
            </w:r>
            <w:r>
              <w:rPr>
                <w:rFonts w:ascii="Times New Roman" w:hAnsi="Times New Roman" w:cs="Times New Roman"/>
                <w:sz w:val="24"/>
                <w:szCs w:val="24"/>
              </w:rPr>
              <w:t>H</w:t>
            </w:r>
            <w:r>
              <w:rPr>
                <w:rFonts w:ascii="Times New Roman" w:hAnsi="Times New Roman" w:cs="Times New Roman"/>
                <w:sz w:val="24"/>
                <w:szCs w:val="24"/>
                <w:vertAlign w:val="subscript"/>
              </w:rPr>
              <w:t>18</w:t>
            </w:r>
            <w:r>
              <w:rPr>
                <w:rFonts w:ascii="Times New Roman" w:hAnsi="Times New Roman" w:cs="Times New Roman"/>
                <w:sz w:val="24"/>
                <w:szCs w:val="24"/>
              </w:rPr>
              <w:t>O</w:t>
            </w:r>
          </w:p>
        </w:tc>
        <w:tc>
          <w:tcPr>
            <w:tcW w:w="1134" w:type="dxa"/>
          </w:tcPr>
          <w:p w14:paraId="3F67BB5B"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925</w:t>
            </w:r>
          </w:p>
        </w:tc>
      </w:tr>
      <w:tr w:rsidR="00364DED" w14:paraId="12D94E90" w14:textId="77777777">
        <w:tc>
          <w:tcPr>
            <w:tcW w:w="850" w:type="dxa"/>
          </w:tcPr>
          <w:p w14:paraId="4341790A"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13</w:t>
            </w:r>
          </w:p>
        </w:tc>
        <w:tc>
          <w:tcPr>
            <w:tcW w:w="851" w:type="dxa"/>
          </w:tcPr>
          <w:p w14:paraId="41CD4CAC"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23.33</w:t>
            </w:r>
          </w:p>
        </w:tc>
        <w:tc>
          <w:tcPr>
            <w:tcW w:w="2268" w:type="dxa"/>
          </w:tcPr>
          <w:p w14:paraId="7C034CBB"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E,E</w:t>
            </w:r>
            <w:proofErr w:type="gramEnd"/>
            <w:r>
              <w:rPr>
                <w:rFonts w:ascii="Times New Roman" w:hAnsi="Times New Roman" w:cs="Times New Roman"/>
                <w:sz w:val="24"/>
                <w:szCs w:val="24"/>
              </w:rPr>
              <w:t xml:space="preserve">)-2,4-Dodecadienal </w:t>
            </w:r>
          </w:p>
        </w:tc>
        <w:tc>
          <w:tcPr>
            <w:tcW w:w="850" w:type="dxa"/>
          </w:tcPr>
          <w:p w14:paraId="25A39181"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1.87</w:t>
            </w:r>
          </w:p>
        </w:tc>
        <w:tc>
          <w:tcPr>
            <w:tcW w:w="1276" w:type="dxa"/>
          </w:tcPr>
          <w:p w14:paraId="0F11C72D"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180</w:t>
            </w:r>
          </w:p>
        </w:tc>
        <w:tc>
          <w:tcPr>
            <w:tcW w:w="1814" w:type="dxa"/>
          </w:tcPr>
          <w:p w14:paraId="3812BD80"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12</w:t>
            </w:r>
            <w:r>
              <w:rPr>
                <w:rFonts w:ascii="Times New Roman" w:hAnsi="Times New Roman" w:cs="Times New Roman"/>
                <w:sz w:val="24"/>
                <w:szCs w:val="24"/>
              </w:rPr>
              <w:t>H</w:t>
            </w:r>
            <w:r>
              <w:rPr>
                <w:rFonts w:ascii="Times New Roman" w:hAnsi="Times New Roman" w:cs="Times New Roman"/>
                <w:sz w:val="24"/>
                <w:szCs w:val="24"/>
                <w:vertAlign w:val="subscript"/>
              </w:rPr>
              <w:t>20</w:t>
            </w:r>
            <w:r>
              <w:rPr>
                <w:rFonts w:ascii="Times New Roman" w:hAnsi="Times New Roman" w:cs="Times New Roman"/>
                <w:sz w:val="24"/>
                <w:szCs w:val="24"/>
              </w:rPr>
              <w:t>O</w:t>
            </w:r>
          </w:p>
        </w:tc>
        <w:tc>
          <w:tcPr>
            <w:tcW w:w="1134" w:type="dxa"/>
          </w:tcPr>
          <w:p w14:paraId="41FC9B29"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888</w:t>
            </w:r>
          </w:p>
        </w:tc>
      </w:tr>
      <w:tr w:rsidR="00364DED" w14:paraId="70D8B90B" w14:textId="77777777">
        <w:tc>
          <w:tcPr>
            <w:tcW w:w="850" w:type="dxa"/>
          </w:tcPr>
          <w:p w14:paraId="35A7958C"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14</w:t>
            </w:r>
          </w:p>
        </w:tc>
        <w:tc>
          <w:tcPr>
            <w:tcW w:w="851" w:type="dxa"/>
          </w:tcPr>
          <w:p w14:paraId="7920EE47"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25.59</w:t>
            </w:r>
          </w:p>
        </w:tc>
        <w:tc>
          <w:tcPr>
            <w:tcW w:w="2268" w:type="dxa"/>
          </w:tcPr>
          <w:p w14:paraId="7F621280"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 xml:space="preserve"> 2-Undecenal </w:t>
            </w:r>
          </w:p>
        </w:tc>
        <w:tc>
          <w:tcPr>
            <w:tcW w:w="850" w:type="dxa"/>
          </w:tcPr>
          <w:p w14:paraId="706CAA50"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18.37</w:t>
            </w:r>
          </w:p>
        </w:tc>
        <w:tc>
          <w:tcPr>
            <w:tcW w:w="1276" w:type="dxa"/>
          </w:tcPr>
          <w:p w14:paraId="13CEBBF9"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168</w:t>
            </w:r>
          </w:p>
        </w:tc>
        <w:tc>
          <w:tcPr>
            <w:tcW w:w="1814" w:type="dxa"/>
          </w:tcPr>
          <w:p w14:paraId="7D0DEB23"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11</w:t>
            </w:r>
            <w:r>
              <w:rPr>
                <w:rFonts w:ascii="Times New Roman" w:hAnsi="Times New Roman" w:cs="Times New Roman"/>
                <w:sz w:val="24"/>
                <w:szCs w:val="24"/>
              </w:rPr>
              <w:t>H</w:t>
            </w:r>
            <w:r>
              <w:rPr>
                <w:rFonts w:ascii="Times New Roman" w:hAnsi="Times New Roman" w:cs="Times New Roman"/>
                <w:sz w:val="24"/>
                <w:szCs w:val="24"/>
                <w:vertAlign w:val="subscript"/>
              </w:rPr>
              <w:t>20</w:t>
            </w:r>
            <w:r>
              <w:rPr>
                <w:rFonts w:ascii="Times New Roman" w:hAnsi="Times New Roman" w:cs="Times New Roman"/>
                <w:sz w:val="24"/>
                <w:szCs w:val="24"/>
              </w:rPr>
              <w:t>O</w:t>
            </w:r>
          </w:p>
        </w:tc>
        <w:tc>
          <w:tcPr>
            <w:tcW w:w="1134" w:type="dxa"/>
          </w:tcPr>
          <w:p w14:paraId="1A0299F3"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924</w:t>
            </w:r>
          </w:p>
        </w:tc>
      </w:tr>
    </w:tbl>
    <w:p w14:paraId="453FDCEC" w14:textId="77777777" w:rsidR="00364DED" w:rsidRDefault="00A70A1E">
      <w:pPr>
        <w:rPr>
          <w:rFonts w:ascii="Times New Roman" w:hAnsi="Times New Roman" w:cs="Times New Roman"/>
          <w:sz w:val="24"/>
          <w:szCs w:val="24"/>
        </w:rPr>
      </w:pPr>
      <w:r>
        <w:rPr>
          <w:rFonts w:ascii="Times New Roman" w:hAnsi="Times New Roman" w:cs="Times New Roman"/>
          <w:sz w:val="24"/>
          <w:szCs w:val="24"/>
        </w:rPr>
        <w:t>*RT, retention time (min), ** RSI, matching factor between getting mass spectrum and database mass spectra</w:t>
      </w:r>
    </w:p>
    <w:p w14:paraId="3E0B2260" w14:textId="77777777" w:rsidR="00364DED" w:rsidRDefault="00A70A1E">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The identified chemical constituents of </w:t>
      </w:r>
      <w:r>
        <w:rPr>
          <w:rFonts w:ascii="Times New Roman" w:hAnsi="Times New Roman" w:cs="Times New Roman"/>
          <w:i/>
          <w:iCs/>
          <w:sz w:val="24"/>
          <w:szCs w:val="24"/>
        </w:rPr>
        <w:t xml:space="preserve">B. spectabilis </w:t>
      </w:r>
      <w:r>
        <w:rPr>
          <w:rFonts w:ascii="Times New Roman" w:hAnsi="Times New Roman" w:cs="Times New Roman"/>
          <w:sz w:val="24"/>
          <w:szCs w:val="24"/>
        </w:rPr>
        <w:t xml:space="preserve">wood EO are shown in Table 6 and represent 7 compounds. The main chemical components were </w:t>
      </w:r>
      <w:r>
        <w:rPr>
          <w:rFonts w:ascii="Times New Roman" w:hAnsi="Times New Roman" w:cs="Times New Roman"/>
          <w:i/>
          <w:iCs/>
          <w:sz w:val="24"/>
          <w:szCs w:val="24"/>
        </w:rPr>
        <w:t>cis</w:t>
      </w:r>
      <w:r>
        <w:rPr>
          <w:rFonts w:ascii="Times New Roman" w:hAnsi="Times New Roman" w:cs="Times New Roman"/>
          <w:sz w:val="24"/>
          <w:szCs w:val="24"/>
        </w:rPr>
        <w:t>-1,3-dimethylcyclohexane (43.69%), 1,3,5-cycloheptatriene (24.62%), and 2-ethyl-1-hexanol (10.69%) followed by 3-methyl-heptane (8.16%) and methyl-cyclohexane (7.26%).</w:t>
      </w:r>
    </w:p>
    <w:p w14:paraId="4C329225" w14:textId="77777777" w:rsidR="00364DED" w:rsidRDefault="00364DED">
      <w:pPr>
        <w:autoSpaceDE w:val="0"/>
        <w:autoSpaceDN w:val="0"/>
        <w:adjustRightInd w:val="0"/>
        <w:spacing w:after="0" w:line="360" w:lineRule="auto"/>
        <w:ind w:firstLine="567"/>
        <w:jc w:val="both"/>
        <w:rPr>
          <w:rFonts w:ascii="Times New Roman" w:hAnsi="Times New Roman" w:cs="Times New Roman"/>
          <w:sz w:val="24"/>
          <w:szCs w:val="24"/>
        </w:rPr>
      </w:pPr>
    </w:p>
    <w:p w14:paraId="4B1D640A" w14:textId="77777777" w:rsidR="00364DED" w:rsidRDefault="00A70A1E">
      <w:pPr>
        <w:rPr>
          <w:rFonts w:ascii="Times New Roman" w:hAnsi="Times New Roman" w:cs="Times New Roman"/>
          <w:sz w:val="24"/>
        </w:rPr>
      </w:pPr>
      <w:r>
        <w:rPr>
          <w:rFonts w:ascii="Times New Roman" w:hAnsi="Times New Roman" w:cs="Times New Roman"/>
          <w:b/>
          <w:bCs/>
          <w:sz w:val="24"/>
        </w:rPr>
        <w:t>Table 6</w:t>
      </w:r>
      <w:r>
        <w:rPr>
          <w:rFonts w:ascii="Times New Roman" w:hAnsi="Times New Roman" w:cs="Times New Roman"/>
          <w:sz w:val="24"/>
        </w:rPr>
        <w:t xml:space="preserve">. </w:t>
      </w:r>
      <w:r>
        <w:rPr>
          <w:rFonts w:ascii="Times New Roman" w:hAnsi="Times New Roman" w:cs="Times New Roman"/>
          <w:sz w:val="24"/>
          <w:szCs w:val="24"/>
        </w:rPr>
        <w:t xml:space="preserve">The chemical composition of </w:t>
      </w:r>
      <w:r>
        <w:rPr>
          <w:rFonts w:ascii="Times New Roman" w:hAnsi="Times New Roman" w:cs="Times New Roman"/>
          <w:i/>
          <w:iCs/>
          <w:sz w:val="24"/>
          <w:szCs w:val="24"/>
        </w:rPr>
        <w:t xml:space="preserve">Bougainvillea spectabilis </w:t>
      </w:r>
      <w:r>
        <w:rPr>
          <w:rFonts w:ascii="Times New Roman" w:hAnsi="Times New Roman" w:cs="Times New Roman"/>
          <w:sz w:val="24"/>
          <w:szCs w:val="24"/>
        </w:rPr>
        <w:t xml:space="preserve">wood essential oil reported using GC-MS analysis </w:t>
      </w:r>
    </w:p>
    <w:tbl>
      <w:tblPr>
        <w:tblW w:w="9072" w:type="dxa"/>
        <w:tblInd w:w="108" w:type="dxa"/>
        <w:tblBorders>
          <w:top w:val="single" w:sz="4" w:space="0" w:color="auto"/>
          <w:bottom w:val="single" w:sz="4" w:space="0" w:color="auto"/>
        </w:tblBorders>
        <w:tblLayout w:type="fixed"/>
        <w:tblLook w:val="04A0" w:firstRow="1" w:lastRow="0" w:firstColumn="1" w:lastColumn="0" w:noHBand="0" w:noVBand="1"/>
      </w:tblPr>
      <w:tblGrid>
        <w:gridCol w:w="851"/>
        <w:gridCol w:w="850"/>
        <w:gridCol w:w="3148"/>
        <w:gridCol w:w="963"/>
        <w:gridCol w:w="1134"/>
        <w:gridCol w:w="1276"/>
        <w:gridCol w:w="850"/>
      </w:tblGrid>
      <w:tr w:rsidR="00364DED" w14:paraId="1F8252C3" w14:textId="77777777">
        <w:trPr>
          <w:trHeight w:val="194"/>
        </w:trPr>
        <w:tc>
          <w:tcPr>
            <w:tcW w:w="851" w:type="dxa"/>
            <w:tcBorders>
              <w:top w:val="single" w:sz="4" w:space="0" w:color="auto"/>
              <w:bottom w:val="single" w:sz="4" w:space="0" w:color="auto"/>
            </w:tcBorders>
          </w:tcPr>
          <w:p w14:paraId="4193C23A" w14:textId="77777777" w:rsidR="00364DED" w:rsidRDefault="00A70A1E">
            <w:pPr>
              <w:pStyle w:val="NoSpacing"/>
              <w:rPr>
                <w:rFonts w:ascii="Times New Roman" w:hAnsi="Times New Roman" w:cs="Times New Roman"/>
              </w:rPr>
            </w:pPr>
            <w:r>
              <w:rPr>
                <w:rFonts w:ascii="Times New Roman" w:hAnsi="Times New Roman" w:cs="Times New Roman"/>
              </w:rPr>
              <w:t>Peak</w:t>
            </w:r>
          </w:p>
        </w:tc>
        <w:tc>
          <w:tcPr>
            <w:tcW w:w="850" w:type="dxa"/>
            <w:tcBorders>
              <w:top w:val="single" w:sz="4" w:space="0" w:color="auto"/>
              <w:bottom w:val="single" w:sz="4" w:space="0" w:color="auto"/>
            </w:tcBorders>
          </w:tcPr>
          <w:p w14:paraId="5C8F08CE" w14:textId="77777777" w:rsidR="00364DED" w:rsidRDefault="00A70A1E">
            <w:pPr>
              <w:pStyle w:val="NoSpacing"/>
              <w:rPr>
                <w:rFonts w:ascii="Times New Roman" w:hAnsi="Times New Roman" w:cs="Times New Roman"/>
              </w:rPr>
            </w:pPr>
            <w:r>
              <w:rPr>
                <w:rFonts w:ascii="Times New Roman" w:hAnsi="Times New Roman" w:cs="Times New Roman"/>
              </w:rPr>
              <w:t>RT*</w:t>
            </w:r>
          </w:p>
          <w:p w14:paraId="7651A997" w14:textId="77777777" w:rsidR="00364DED" w:rsidRDefault="00364DED">
            <w:pPr>
              <w:pStyle w:val="NoSpacing"/>
              <w:rPr>
                <w:rFonts w:ascii="Times New Roman" w:hAnsi="Times New Roman" w:cs="Times New Roman"/>
              </w:rPr>
            </w:pPr>
          </w:p>
        </w:tc>
        <w:tc>
          <w:tcPr>
            <w:tcW w:w="3148" w:type="dxa"/>
            <w:tcBorders>
              <w:top w:val="single" w:sz="4" w:space="0" w:color="auto"/>
              <w:bottom w:val="single" w:sz="4" w:space="0" w:color="auto"/>
            </w:tcBorders>
          </w:tcPr>
          <w:p w14:paraId="35E3EF21" w14:textId="77777777" w:rsidR="00364DED" w:rsidRDefault="00A70A1E">
            <w:pPr>
              <w:pStyle w:val="NoSpacing"/>
              <w:rPr>
                <w:rFonts w:ascii="Times New Roman" w:hAnsi="Times New Roman" w:cs="Times New Roman"/>
              </w:rPr>
            </w:pPr>
            <w:r>
              <w:rPr>
                <w:rFonts w:ascii="Times New Roman" w:hAnsi="Times New Roman" w:cs="Times New Roman"/>
              </w:rPr>
              <w:t>Compound</w:t>
            </w:r>
          </w:p>
        </w:tc>
        <w:tc>
          <w:tcPr>
            <w:tcW w:w="963" w:type="dxa"/>
            <w:tcBorders>
              <w:top w:val="single" w:sz="4" w:space="0" w:color="auto"/>
              <w:bottom w:val="single" w:sz="4" w:space="0" w:color="auto"/>
            </w:tcBorders>
          </w:tcPr>
          <w:p w14:paraId="0459A6C6" w14:textId="77777777" w:rsidR="00364DED" w:rsidRDefault="00A70A1E">
            <w:pPr>
              <w:pStyle w:val="NoSpacing"/>
              <w:rPr>
                <w:rFonts w:ascii="Times New Roman" w:hAnsi="Times New Roman" w:cs="Times New Roman"/>
              </w:rPr>
            </w:pPr>
            <w:r>
              <w:rPr>
                <w:rFonts w:ascii="Times New Roman" w:hAnsi="Times New Roman" w:cs="Times New Roman"/>
              </w:rPr>
              <w:t>Area %</w:t>
            </w:r>
          </w:p>
        </w:tc>
        <w:tc>
          <w:tcPr>
            <w:tcW w:w="1134" w:type="dxa"/>
            <w:tcBorders>
              <w:top w:val="single" w:sz="4" w:space="0" w:color="auto"/>
              <w:bottom w:val="single" w:sz="4" w:space="0" w:color="auto"/>
            </w:tcBorders>
          </w:tcPr>
          <w:p w14:paraId="7E5FAEFA" w14:textId="77777777" w:rsidR="00364DED" w:rsidRDefault="00A70A1E">
            <w:pPr>
              <w:pStyle w:val="NoSpacing"/>
              <w:rPr>
                <w:rFonts w:ascii="Times New Roman" w:hAnsi="Times New Roman" w:cs="Times New Roman"/>
              </w:rPr>
            </w:pPr>
            <w:r>
              <w:rPr>
                <w:rFonts w:ascii="Times New Roman" w:hAnsi="Times New Roman" w:cs="Times New Roman"/>
              </w:rPr>
              <w:t>Molecular Weight</w:t>
            </w:r>
          </w:p>
        </w:tc>
        <w:tc>
          <w:tcPr>
            <w:tcW w:w="1276" w:type="dxa"/>
            <w:tcBorders>
              <w:top w:val="single" w:sz="4" w:space="0" w:color="auto"/>
              <w:bottom w:val="single" w:sz="4" w:space="0" w:color="auto"/>
            </w:tcBorders>
          </w:tcPr>
          <w:p w14:paraId="37C89DBD" w14:textId="77777777" w:rsidR="00364DED" w:rsidRDefault="00A70A1E">
            <w:pPr>
              <w:pStyle w:val="NoSpacing"/>
              <w:rPr>
                <w:rFonts w:ascii="Times New Roman" w:hAnsi="Times New Roman" w:cs="Times New Roman"/>
              </w:rPr>
            </w:pPr>
            <w:r>
              <w:rPr>
                <w:rFonts w:ascii="Times New Roman" w:hAnsi="Times New Roman" w:cs="Times New Roman"/>
              </w:rPr>
              <w:t>Molecular formula</w:t>
            </w:r>
          </w:p>
        </w:tc>
        <w:tc>
          <w:tcPr>
            <w:tcW w:w="850" w:type="dxa"/>
            <w:tcBorders>
              <w:top w:val="single" w:sz="4" w:space="0" w:color="auto"/>
              <w:bottom w:val="single" w:sz="4" w:space="0" w:color="auto"/>
            </w:tcBorders>
          </w:tcPr>
          <w:p w14:paraId="26582B50" w14:textId="77777777" w:rsidR="00364DED" w:rsidRDefault="00A70A1E">
            <w:pPr>
              <w:pStyle w:val="NoSpacing"/>
              <w:rPr>
                <w:rFonts w:ascii="Times New Roman" w:hAnsi="Times New Roman" w:cs="Times New Roman"/>
              </w:rPr>
            </w:pPr>
            <w:r>
              <w:rPr>
                <w:rFonts w:ascii="Times New Roman" w:hAnsi="Times New Roman" w:cs="Times New Roman"/>
              </w:rPr>
              <w:t>RSI</w:t>
            </w:r>
          </w:p>
        </w:tc>
      </w:tr>
      <w:tr w:rsidR="00364DED" w14:paraId="26AFD386" w14:textId="77777777">
        <w:tc>
          <w:tcPr>
            <w:tcW w:w="851" w:type="dxa"/>
            <w:tcBorders>
              <w:top w:val="single" w:sz="4" w:space="0" w:color="auto"/>
            </w:tcBorders>
          </w:tcPr>
          <w:p w14:paraId="65ADCD3E"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auto"/>
            </w:tcBorders>
          </w:tcPr>
          <w:p w14:paraId="57A7AB86"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3.01</w:t>
            </w:r>
          </w:p>
        </w:tc>
        <w:tc>
          <w:tcPr>
            <w:tcW w:w="3148" w:type="dxa"/>
            <w:tcBorders>
              <w:top w:val="single" w:sz="4" w:space="0" w:color="auto"/>
            </w:tcBorders>
          </w:tcPr>
          <w:p w14:paraId="566C1203"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Methyl-cyclohexane</w:t>
            </w:r>
          </w:p>
        </w:tc>
        <w:tc>
          <w:tcPr>
            <w:tcW w:w="963" w:type="dxa"/>
            <w:tcBorders>
              <w:top w:val="single" w:sz="4" w:space="0" w:color="auto"/>
            </w:tcBorders>
          </w:tcPr>
          <w:p w14:paraId="0AFBF13B"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7.26</w:t>
            </w:r>
          </w:p>
        </w:tc>
        <w:tc>
          <w:tcPr>
            <w:tcW w:w="1134" w:type="dxa"/>
            <w:tcBorders>
              <w:top w:val="single" w:sz="4" w:space="0" w:color="auto"/>
            </w:tcBorders>
          </w:tcPr>
          <w:p w14:paraId="7E622CBC"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98</w:t>
            </w:r>
          </w:p>
        </w:tc>
        <w:tc>
          <w:tcPr>
            <w:tcW w:w="1276" w:type="dxa"/>
            <w:tcBorders>
              <w:top w:val="single" w:sz="4" w:space="0" w:color="auto"/>
            </w:tcBorders>
          </w:tcPr>
          <w:p w14:paraId="175B335E"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7</w:t>
            </w:r>
            <w:r>
              <w:rPr>
                <w:rFonts w:ascii="Times New Roman" w:hAnsi="Times New Roman" w:cs="Times New Roman"/>
                <w:sz w:val="24"/>
                <w:szCs w:val="24"/>
              </w:rPr>
              <w:t>H</w:t>
            </w:r>
            <w:r>
              <w:rPr>
                <w:rFonts w:ascii="Times New Roman" w:hAnsi="Times New Roman" w:cs="Times New Roman"/>
                <w:sz w:val="24"/>
                <w:szCs w:val="24"/>
                <w:vertAlign w:val="subscript"/>
              </w:rPr>
              <w:t>14</w:t>
            </w:r>
          </w:p>
        </w:tc>
        <w:tc>
          <w:tcPr>
            <w:tcW w:w="850" w:type="dxa"/>
            <w:tcBorders>
              <w:top w:val="single" w:sz="4" w:space="0" w:color="auto"/>
            </w:tcBorders>
          </w:tcPr>
          <w:p w14:paraId="20CE556C"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927</w:t>
            </w:r>
          </w:p>
        </w:tc>
      </w:tr>
      <w:tr w:rsidR="00364DED" w14:paraId="427AF8CD" w14:textId="77777777">
        <w:tc>
          <w:tcPr>
            <w:tcW w:w="851" w:type="dxa"/>
          </w:tcPr>
          <w:p w14:paraId="42527380"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2</w:t>
            </w:r>
          </w:p>
        </w:tc>
        <w:tc>
          <w:tcPr>
            <w:tcW w:w="850" w:type="dxa"/>
          </w:tcPr>
          <w:p w14:paraId="7025DBB3"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3.09</w:t>
            </w:r>
          </w:p>
        </w:tc>
        <w:tc>
          <w:tcPr>
            <w:tcW w:w="3148" w:type="dxa"/>
          </w:tcPr>
          <w:p w14:paraId="776A58EF"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2-Ethyl-1-hexanol</w:t>
            </w:r>
          </w:p>
        </w:tc>
        <w:tc>
          <w:tcPr>
            <w:tcW w:w="963" w:type="dxa"/>
          </w:tcPr>
          <w:p w14:paraId="45E2D337"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10.69</w:t>
            </w:r>
          </w:p>
        </w:tc>
        <w:tc>
          <w:tcPr>
            <w:tcW w:w="1134" w:type="dxa"/>
          </w:tcPr>
          <w:p w14:paraId="29CDD1B4"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130</w:t>
            </w:r>
          </w:p>
        </w:tc>
        <w:tc>
          <w:tcPr>
            <w:tcW w:w="1276" w:type="dxa"/>
          </w:tcPr>
          <w:p w14:paraId="57F2AF5F"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8</w:t>
            </w:r>
            <w:r>
              <w:rPr>
                <w:rFonts w:ascii="Times New Roman" w:hAnsi="Times New Roman" w:cs="Times New Roman"/>
                <w:sz w:val="24"/>
                <w:szCs w:val="24"/>
              </w:rPr>
              <w:t>H</w:t>
            </w:r>
            <w:r>
              <w:rPr>
                <w:rFonts w:ascii="Times New Roman" w:hAnsi="Times New Roman" w:cs="Times New Roman"/>
                <w:sz w:val="24"/>
                <w:szCs w:val="24"/>
                <w:vertAlign w:val="subscript"/>
              </w:rPr>
              <w:t>18</w:t>
            </w:r>
            <w:r>
              <w:rPr>
                <w:rFonts w:ascii="Times New Roman" w:hAnsi="Times New Roman" w:cs="Times New Roman"/>
                <w:sz w:val="24"/>
                <w:szCs w:val="24"/>
              </w:rPr>
              <w:t>O</w:t>
            </w:r>
          </w:p>
        </w:tc>
        <w:tc>
          <w:tcPr>
            <w:tcW w:w="850" w:type="dxa"/>
          </w:tcPr>
          <w:p w14:paraId="143EA635"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855</w:t>
            </w:r>
          </w:p>
        </w:tc>
      </w:tr>
      <w:tr w:rsidR="00364DED" w14:paraId="2A752FF0" w14:textId="77777777">
        <w:tc>
          <w:tcPr>
            <w:tcW w:w="851" w:type="dxa"/>
          </w:tcPr>
          <w:p w14:paraId="02A79722"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3</w:t>
            </w:r>
          </w:p>
        </w:tc>
        <w:tc>
          <w:tcPr>
            <w:tcW w:w="850" w:type="dxa"/>
          </w:tcPr>
          <w:p w14:paraId="725DB1D7"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3.19</w:t>
            </w:r>
          </w:p>
        </w:tc>
        <w:tc>
          <w:tcPr>
            <w:tcW w:w="3148" w:type="dxa"/>
          </w:tcPr>
          <w:p w14:paraId="0F7C71AF"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3-Methyl-heptane</w:t>
            </w:r>
          </w:p>
        </w:tc>
        <w:tc>
          <w:tcPr>
            <w:tcW w:w="963" w:type="dxa"/>
          </w:tcPr>
          <w:p w14:paraId="3421F242"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8.16</w:t>
            </w:r>
          </w:p>
        </w:tc>
        <w:tc>
          <w:tcPr>
            <w:tcW w:w="1134" w:type="dxa"/>
          </w:tcPr>
          <w:p w14:paraId="1557A3D9"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114</w:t>
            </w:r>
          </w:p>
        </w:tc>
        <w:tc>
          <w:tcPr>
            <w:tcW w:w="1276" w:type="dxa"/>
          </w:tcPr>
          <w:p w14:paraId="5E357573"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8</w:t>
            </w:r>
            <w:r>
              <w:rPr>
                <w:rFonts w:ascii="Times New Roman" w:hAnsi="Times New Roman" w:cs="Times New Roman"/>
                <w:sz w:val="24"/>
                <w:szCs w:val="24"/>
              </w:rPr>
              <w:t>H</w:t>
            </w:r>
            <w:r>
              <w:rPr>
                <w:rFonts w:ascii="Times New Roman" w:hAnsi="Times New Roman" w:cs="Times New Roman"/>
                <w:sz w:val="24"/>
                <w:szCs w:val="24"/>
                <w:vertAlign w:val="subscript"/>
              </w:rPr>
              <w:t>18</w:t>
            </w:r>
          </w:p>
        </w:tc>
        <w:tc>
          <w:tcPr>
            <w:tcW w:w="850" w:type="dxa"/>
          </w:tcPr>
          <w:p w14:paraId="43E7B0C4"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886</w:t>
            </w:r>
          </w:p>
        </w:tc>
      </w:tr>
      <w:tr w:rsidR="00364DED" w14:paraId="0E3D1E8B" w14:textId="77777777">
        <w:tc>
          <w:tcPr>
            <w:tcW w:w="851" w:type="dxa"/>
          </w:tcPr>
          <w:p w14:paraId="6CBCD0C4"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4</w:t>
            </w:r>
          </w:p>
        </w:tc>
        <w:tc>
          <w:tcPr>
            <w:tcW w:w="850" w:type="dxa"/>
          </w:tcPr>
          <w:p w14:paraId="22A1F374"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3.35</w:t>
            </w:r>
          </w:p>
        </w:tc>
        <w:tc>
          <w:tcPr>
            <w:tcW w:w="3148" w:type="dxa"/>
          </w:tcPr>
          <w:p w14:paraId="3A05738C"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 xml:space="preserve"> 1-Dodecene </w:t>
            </w:r>
          </w:p>
        </w:tc>
        <w:tc>
          <w:tcPr>
            <w:tcW w:w="963" w:type="dxa"/>
          </w:tcPr>
          <w:p w14:paraId="7E2E837E"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1.20</w:t>
            </w:r>
          </w:p>
        </w:tc>
        <w:tc>
          <w:tcPr>
            <w:tcW w:w="1134" w:type="dxa"/>
          </w:tcPr>
          <w:p w14:paraId="59777D78"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168</w:t>
            </w:r>
          </w:p>
        </w:tc>
        <w:tc>
          <w:tcPr>
            <w:tcW w:w="1276" w:type="dxa"/>
          </w:tcPr>
          <w:p w14:paraId="581558CE"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12</w:t>
            </w:r>
            <w:r>
              <w:rPr>
                <w:rFonts w:ascii="Times New Roman" w:hAnsi="Times New Roman" w:cs="Times New Roman"/>
                <w:sz w:val="24"/>
                <w:szCs w:val="24"/>
              </w:rPr>
              <w:t>H</w:t>
            </w:r>
            <w:r>
              <w:rPr>
                <w:rFonts w:ascii="Times New Roman" w:hAnsi="Times New Roman" w:cs="Times New Roman"/>
                <w:sz w:val="24"/>
                <w:szCs w:val="24"/>
                <w:vertAlign w:val="subscript"/>
              </w:rPr>
              <w:t>24</w:t>
            </w:r>
          </w:p>
        </w:tc>
        <w:tc>
          <w:tcPr>
            <w:tcW w:w="850" w:type="dxa"/>
          </w:tcPr>
          <w:p w14:paraId="45FCCC79"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824</w:t>
            </w:r>
          </w:p>
        </w:tc>
      </w:tr>
      <w:tr w:rsidR="00364DED" w14:paraId="791FA586" w14:textId="77777777">
        <w:tc>
          <w:tcPr>
            <w:tcW w:w="851" w:type="dxa"/>
          </w:tcPr>
          <w:p w14:paraId="59C97324"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5</w:t>
            </w:r>
          </w:p>
        </w:tc>
        <w:tc>
          <w:tcPr>
            <w:tcW w:w="850" w:type="dxa"/>
          </w:tcPr>
          <w:p w14:paraId="20531235"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3.63</w:t>
            </w:r>
          </w:p>
        </w:tc>
        <w:tc>
          <w:tcPr>
            <w:tcW w:w="3148" w:type="dxa"/>
          </w:tcPr>
          <w:p w14:paraId="2DEE44D6"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 xml:space="preserve"> cis-1,3-Dimethylcyclohexane</w:t>
            </w:r>
          </w:p>
        </w:tc>
        <w:tc>
          <w:tcPr>
            <w:tcW w:w="963" w:type="dxa"/>
          </w:tcPr>
          <w:p w14:paraId="28D38775"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43.69</w:t>
            </w:r>
          </w:p>
        </w:tc>
        <w:tc>
          <w:tcPr>
            <w:tcW w:w="1134" w:type="dxa"/>
          </w:tcPr>
          <w:p w14:paraId="56005271"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112</w:t>
            </w:r>
          </w:p>
        </w:tc>
        <w:tc>
          <w:tcPr>
            <w:tcW w:w="1276" w:type="dxa"/>
          </w:tcPr>
          <w:p w14:paraId="6567A911"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8</w:t>
            </w:r>
            <w:r>
              <w:rPr>
                <w:rFonts w:ascii="Times New Roman" w:hAnsi="Times New Roman" w:cs="Times New Roman"/>
                <w:sz w:val="24"/>
                <w:szCs w:val="24"/>
              </w:rPr>
              <w:t>H</w:t>
            </w:r>
            <w:r>
              <w:rPr>
                <w:rFonts w:ascii="Times New Roman" w:hAnsi="Times New Roman" w:cs="Times New Roman"/>
                <w:sz w:val="24"/>
                <w:szCs w:val="24"/>
                <w:vertAlign w:val="subscript"/>
              </w:rPr>
              <w:t>16</w:t>
            </w:r>
          </w:p>
        </w:tc>
        <w:tc>
          <w:tcPr>
            <w:tcW w:w="850" w:type="dxa"/>
          </w:tcPr>
          <w:p w14:paraId="54CDE038"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827</w:t>
            </w:r>
          </w:p>
        </w:tc>
      </w:tr>
      <w:tr w:rsidR="00364DED" w14:paraId="588D8EE8" w14:textId="77777777">
        <w:tc>
          <w:tcPr>
            <w:tcW w:w="851" w:type="dxa"/>
          </w:tcPr>
          <w:p w14:paraId="4E1DF612"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6</w:t>
            </w:r>
          </w:p>
        </w:tc>
        <w:tc>
          <w:tcPr>
            <w:tcW w:w="850" w:type="dxa"/>
          </w:tcPr>
          <w:p w14:paraId="6E75FC0F"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4.83</w:t>
            </w:r>
          </w:p>
        </w:tc>
        <w:tc>
          <w:tcPr>
            <w:tcW w:w="3148" w:type="dxa"/>
          </w:tcPr>
          <w:p w14:paraId="3F53BE64"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1,3,5-Cycloheptatriene</w:t>
            </w:r>
          </w:p>
        </w:tc>
        <w:tc>
          <w:tcPr>
            <w:tcW w:w="963" w:type="dxa"/>
          </w:tcPr>
          <w:p w14:paraId="0ABBCE62"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24.62</w:t>
            </w:r>
          </w:p>
        </w:tc>
        <w:tc>
          <w:tcPr>
            <w:tcW w:w="1134" w:type="dxa"/>
          </w:tcPr>
          <w:p w14:paraId="61E94716"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92</w:t>
            </w:r>
          </w:p>
        </w:tc>
        <w:tc>
          <w:tcPr>
            <w:tcW w:w="1276" w:type="dxa"/>
          </w:tcPr>
          <w:p w14:paraId="4D590DC1"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7</w:t>
            </w:r>
            <w:r>
              <w:rPr>
                <w:rFonts w:ascii="Times New Roman" w:hAnsi="Times New Roman" w:cs="Times New Roman"/>
                <w:sz w:val="24"/>
                <w:szCs w:val="24"/>
              </w:rPr>
              <w:t>H</w:t>
            </w:r>
            <w:r>
              <w:rPr>
                <w:rFonts w:ascii="Times New Roman" w:hAnsi="Times New Roman" w:cs="Times New Roman"/>
                <w:sz w:val="24"/>
                <w:szCs w:val="24"/>
                <w:vertAlign w:val="subscript"/>
              </w:rPr>
              <w:t>8</w:t>
            </w:r>
          </w:p>
        </w:tc>
        <w:tc>
          <w:tcPr>
            <w:tcW w:w="850" w:type="dxa"/>
          </w:tcPr>
          <w:p w14:paraId="6C717B21"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943</w:t>
            </w:r>
          </w:p>
        </w:tc>
      </w:tr>
      <w:tr w:rsidR="00364DED" w14:paraId="18F28C63" w14:textId="77777777">
        <w:tc>
          <w:tcPr>
            <w:tcW w:w="851" w:type="dxa"/>
          </w:tcPr>
          <w:p w14:paraId="49B0461A"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8</w:t>
            </w:r>
          </w:p>
        </w:tc>
        <w:tc>
          <w:tcPr>
            <w:tcW w:w="850" w:type="dxa"/>
          </w:tcPr>
          <w:p w14:paraId="0A7E3BE6"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12.87</w:t>
            </w:r>
          </w:p>
        </w:tc>
        <w:tc>
          <w:tcPr>
            <w:tcW w:w="3148" w:type="dxa"/>
          </w:tcPr>
          <w:p w14:paraId="27CCA1FA"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 xml:space="preserve"> 1,2-dimethyl-benzene</w:t>
            </w:r>
          </w:p>
        </w:tc>
        <w:tc>
          <w:tcPr>
            <w:tcW w:w="963" w:type="dxa"/>
          </w:tcPr>
          <w:p w14:paraId="706EA8DE"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3.56</w:t>
            </w:r>
          </w:p>
        </w:tc>
        <w:tc>
          <w:tcPr>
            <w:tcW w:w="1134" w:type="dxa"/>
          </w:tcPr>
          <w:p w14:paraId="60513D90"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106</w:t>
            </w:r>
          </w:p>
        </w:tc>
        <w:tc>
          <w:tcPr>
            <w:tcW w:w="1276" w:type="dxa"/>
          </w:tcPr>
          <w:p w14:paraId="27B3B354"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8</w:t>
            </w:r>
            <w:r>
              <w:rPr>
                <w:rFonts w:ascii="Times New Roman" w:hAnsi="Times New Roman" w:cs="Times New Roman"/>
                <w:sz w:val="24"/>
                <w:szCs w:val="24"/>
              </w:rPr>
              <w:t>H</w:t>
            </w:r>
            <w:r>
              <w:rPr>
                <w:rFonts w:ascii="Times New Roman" w:hAnsi="Times New Roman" w:cs="Times New Roman"/>
                <w:sz w:val="24"/>
                <w:szCs w:val="24"/>
                <w:vertAlign w:val="subscript"/>
              </w:rPr>
              <w:t>10</w:t>
            </w:r>
          </w:p>
        </w:tc>
        <w:tc>
          <w:tcPr>
            <w:tcW w:w="850" w:type="dxa"/>
          </w:tcPr>
          <w:p w14:paraId="33F35437"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900</w:t>
            </w:r>
          </w:p>
        </w:tc>
      </w:tr>
    </w:tbl>
    <w:p w14:paraId="2C00739B" w14:textId="77777777" w:rsidR="00364DED" w:rsidRDefault="00A70A1E">
      <w:pPr>
        <w:rPr>
          <w:rFonts w:ascii="Times New Roman" w:hAnsi="Times New Roman" w:cs="Times New Roman"/>
          <w:sz w:val="24"/>
          <w:szCs w:val="24"/>
        </w:rPr>
      </w:pPr>
      <w:r>
        <w:rPr>
          <w:rFonts w:ascii="Times New Roman" w:hAnsi="Times New Roman" w:cs="Times New Roman"/>
          <w:sz w:val="24"/>
          <w:szCs w:val="24"/>
        </w:rPr>
        <w:t>*RT, retention time (min), ** RSI, matching factor between getting mass spectrum and database mass spectra</w:t>
      </w:r>
    </w:p>
    <w:p w14:paraId="285FB948" w14:textId="77777777" w:rsidR="00364DED" w:rsidRDefault="00A70A1E">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Mass spectrometric investigation of the main components in the extracts</w:t>
      </w:r>
    </w:p>
    <w:p w14:paraId="7B53CCEE" w14:textId="77777777" w:rsidR="00364DED" w:rsidRDefault="00A70A1E">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i/>
          <w:iCs/>
          <w:sz w:val="24"/>
          <w:szCs w:val="24"/>
        </w:rPr>
        <w:t xml:space="preserve">Bougainvillea spectabilis </w:t>
      </w:r>
      <w:r>
        <w:rPr>
          <w:rFonts w:ascii="Times New Roman" w:hAnsi="Times New Roman" w:cs="Times New Roman"/>
          <w:b/>
          <w:bCs/>
          <w:sz w:val="24"/>
          <w:szCs w:val="24"/>
        </w:rPr>
        <w:t>bark methanol extract</w:t>
      </w:r>
    </w:p>
    <w:p w14:paraId="58E9B521" w14:textId="77777777" w:rsidR="00364DED" w:rsidRDefault="00A70A1E">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From the mass spectrum of the peak at retention time (RT) 19.57 min represents the (Z)-9-octadecenoic acid, methyl ester (oleic acid, methyl ester) component (Fig. S1) suggesting its molecular formula C</w:t>
      </w:r>
      <w:r>
        <w:rPr>
          <w:rFonts w:ascii="Times New Roman" w:hAnsi="Times New Roman" w:cs="Times New Roman"/>
          <w:sz w:val="24"/>
          <w:szCs w:val="24"/>
          <w:vertAlign w:val="subscript"/>
        </w:rPr>
        <w:t>19</w:t>
      </w:r>
      <w:r>
        <w:rPr>
          <w:rFonts w:ascii="Times New Roman" w:hAnsi="Times New Roman" w:cs="Times New Roman"/>
          <w:sz w:val="24"/>
          <w:szCs w:val="24"/>
        </w:rPr>
        <w:t>H</w:t>
      </w:r>
      <w:r>
        <w:rPr>
          <w:rFonts w:ascii="Times New Roman" w:hAnsi="Times New Roman" w:cs="Times New Roman"/>
          <w:sz w:val="24"/>
          <w:szCs w:val="24"/>
          <w:vertAlign w:val="subscript"/>
        </w:rPr>
        <w:t>36</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xml:space="preserve">. The molecular ion peak was observed at m/z 296 with relative </w:t>
      </w:r>
      <w:r>
        <w:rPr>
          <w:rFonts w:ascii="Times New Roman" w:hAnsi="Times New Roman" w:cs="Times New Roman"/>
          <w:sz w:val="24"/>
          <w:szCs w:val="24"/>
        </w:rPr>
        <w:lastRenderedPageBreak/>
        <w:t>intensity (RI) = 10% and the peak at m/z 69 (RI= 100%) represents the base peak. Other significant fragment ions observed were 264 (40%), 97 (80%), and 83 (80%).</w:t>
      </w:r>
    </w:p>
    <w:p w14:paraId="18D697C5" w14:textId="77777777" w:rsidR="00364DED" w:rsidRDefault="00A70A1E">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mass spectrum of the peak at RT 22.25 min represents the 9-octadecenoic acid component (Fig. S2) suggesting its molecular formula C</w:t>
      </w:r>
      <w:r>
        <w:rPr>
          <w:rFonts w:ascii="Times New Roman" w:hAnsi="Times New Roman" w:cs="Times New Roman"/>
          <w:sz w:val="24"/>
          <w:szCs w:val="24"/>
          <w:vertAlign w:val="subscript"/>
        </w:rPr>
        <w:t>18</w:t>
      </w:r>
      <w:r>
        <w:rPr>
          <w:rFonts w:ascii="Times New Roman" w:hAnsi="Times New Roman" w:cs="Times New Roman"/>
          <w:sz w:val="24"/>
          <w:szCs w:val="24"/>
        </w:rPr>
        <w:t>H</w:t>
      </w:r>
      <w:r>
        <w:rPr>
          <w:rFonts w:ascii="Times New Roman" w:hAnsi="Times New Roman" w:cs="Times New Roman"/>
          <w:sz w:val="24"/>
          <w:szCs w:val="24"/>
          <w:vertAlign w:val="subscript"/>
        </w:rPr>
        <w:t>34</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The molecular ion peak was observed at m/z 282 with RI = 1% and the peak at m/z 55 (RI= 100%) represents the base peak. Other significant fragment ions observed were 195 (15%), 97 (40%), and 69(62%).</w:t>
      </w:r>
    </w:p>
    <w:p w14:paraId="7B891FCD" w14:textId="77777777" w:rsidR="00364DED" w:rsidRDefault="00A70A1E">
      <w:pPr>
        <w:tabs>
          <w:tab w:val="left" w:pos="1680"/>
        </w:tabs>
        <w:rPr>
          <w:rFonts w:ascii="Times New Roman" w:hAnsi="Times New Roman" w:cs="Times New Roman"/>
          <w:b/>
          <w:bCs/>
          <w:sz w:val="24"/>
          <w:szCs w:val="24"/>
        </w:rPr>
      </w:pPr>
      <w:r>
        <w:rPr>
          <w:rFonts w:ascii="Times New Roman" w:hAnsi="Times New Roman" w:cs="Times New Roman"/>
          <w:b/>
          <w:bCs/>
          <w:i/>
          <w:iCs/>
          <w:sz w:val="24"/>
          <w:szCs w:val="24"/>
        </w:rPr>
        <w:t xml:space="preserve">Bougainvillea spectabilis </w:t>
      </w:r>
      <w:r>
        <w:rPr>
          <w:rFonts w:ascii="Times New Roman" w:hAnsi="Times New Roman" w:cs="Times New Roman"/>
          <w:b/>
          <w:bCs/>
          <w:sz w:val="24"/>
          <w:szCs w:val="24"/>
        </w:rPr>
        <w:t>bark butanol extract</w:t>
      </w:r>
    </w:p>
    <w:p w14:paraId="5696075D" w14:textId="77777777" w:rsidR="00364DED" w:rsidRDefault="00A70A1E">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From the mass spectrum of the peak at RT, 26.76 min represents the nonanal component (Fig. S3) suggesting its molecular formula C</w:t>
      </w:r>
      <w:r>
        <w:rPr>
          <w:rFonts w:ascii="Times New Roman" w:hAnsi="Times New Roman" w:cs="Times New Roman"/>
          <w:sz w:val="24"/>
          <w:szCs w:val="24"/>
          <w:vertAlign w:val="subscript"/>
        </w:rPr>
        <w:t>9</w:t>
      </w:r>
      <w:r>
        <w:rPr>
          <w:rFonts w:ascii="Times New Roman" w:hAnsi="Times New Roman" w:cs="Times New Roman"/>
          <w:sz w:val="24"/>
          <w:szCs w:val="24"/>
        </w:rPr>
        <w:t>H</w:t>
      </w:r>
      <w:r>
        <w:rPr>
          <w:rFonts w:ascii="Times New Roman" w:hAnsi="Times New Roman" w:cs="Times New Roman"/>
          <w:sz w:val="24"/>
          <w:szCs w:val="24"/>
          <w:vertAlign w:val="subscript"/>
        </w:rPr>
        <w:t>18</w:t>
      </w:r>
      <w:r>
        <w:rPr>
          <w:rFonts w:ascii="Times New Roman" w:hAnsi="Times New Roman" w:cs="Times New Roman"/>
          <w:sz w:val="24"/>
          <w:szCs w:val="24"/>
        </w:rPr>
        <w:t>O. The molecular ion peak was observed at m/z 142 with RI = 1% and the peak at m/z 57 (RI= 100%) represents the base peak. Other significant fragment ions observed were 98 (48%), 82 (40%), and 70 (50%).</w:t>
      </w:r>
    </w:p>
    <w:p w14:paraId="54A5596B" w14:textId="77777777" w:rsidR="00364DED" w:rsidRDefault="00A70A1E">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The mass spectrum of the peak at RT 28.69 min represents (E)-2-nonenal, component (Fig. S4) suggesting its molecular formula C</w:t>
      </w:r>
      <w:r>
        <w:rPr>
          <w:rFonts w:ascii="Times New Roman" w:hAnsi="Times New Roman" w:cs="Times New Roman"/>
          <w:sz w:val="24"/>
          <w:szCs w:val="24"/>
          <w:vertAlign w:val="subscript"/>
        </w:rPr>
        <w:t>9</w:t>
      </w:r>
      <w:r>
        <w:rPr>
          <w:rFonts w:ascii="Times New Roman" w:hAnsi="Times New Roman" w:cs="Times New Roman"/>
          <w:sz w:val="24"/>
          <w:szCs w:val="24"/>
        </w:rPr>
        <w:t>H</w:t>
      </w:r>
      <w:r>
        <w:rPr>
          <w:rFonts w:ascii="Times New Roman" w:hAnsi="Times New Roman" w:cs="Times New Roman"/>
          <w:sz w:val="24"/>
          <w:szCs w:val="24"/>
          <w:vertAlign w:val="subscript"/>
        </w:rPr>
        <w:t>16</w:t>
      </w:r>
      <w:r>
        <w:rPr>
          <w:rFonts w:ascii="Times New Roman" w:hAnsi="Times New Roman" w:cs="Times New Roman"/>
          <w:sz w:val="24"/>
          <w:szCs w:val="24"/>
        </w:rPr>
        <w:t>O. The molecular ion peak was observed at m/z 140 with RI = 2% and the peak at m/z 55 (RI= 100%) represents the base peak. Other significant fragment ions observed were 91 (42%), 83 (75%), and 70 (90%).</w:t>
      </w:r>
    </w:p>
    <w:p w14:paraId="66644785" w14:textId="77777777" w:rsidR="00364DED" w:rsidRDefault="00A70A1E">
      <w:pPr>
        <w:autoSpaceDE w:val="0"/>
        <w:autoSpaceDN w:val="0"/>
        <w:adjustRightInd w:val="0"/>
        <w:spacing w:after="0"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Bougainvillea spectabilis </w:t>
      </w:r>
      <w:r>
        <w:rPr>
          <w:rFonts w:ascii="Times New Roman" w:hAnsi="Times New Roman" w:cs="Times New Roman"/>
          <w:b/>
          <w:bCs/>
          <w:sz w:val="24"/>
          <w:szCs w:val="24"/>
        </w:rPr>
        <w:t>bark acetone extract</w:t>
      </w:r>
    </w:p>
    <w:p w14:paraId="30189781" w14:textId="77777777" w:rsidR="00364DED" w:rsidRDefault="00A70A1E">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The mass spectrum of the peak at RT 19.91 min represents the (E)-2-decenal component (Fig. S5) suggesting its molecular formula C</w:t>
      </w:r>
      <w:r>
        <w:rPr>
          <w:rFonts w:ascii="Times New Roman" w:hAnsi="Times New Roman" w:cs="Times New Roman"/>
          <w:position w:val="-4"/>
          <w:sz w:val="24"/>
          <w:szCs w:val="24"/>
          <w:vertAlign w:val="subscript"/>
        </w:rPr>
        <w:t>10</w:t>
      </w:r>
      <w:r>
        <w:rPr>
          <w:rFonts w:ascii="Times New Roman" w:hAnsi="Times New Roman" w:cs="Times New Roman"/>
          <w:sz w:val="24"/>
          <w:szCs w:val="24"/>
        </w:rPr>
        <w:t>H</w:t>
      </w:r>
      <w:r>
        <w:rPr>
          <w:rFonts w:ascii="Times New Roman" w:hAnsi="Times New Roman" w:cs="Times New Roman"/>
          <w:position w:val="-4"/>
          <w:sz w:val="24"/>
          <w:szCs w:val="24"/>
          <w:vertAlign w:val="subscript"/>
        </w:rPr>
        <w:t>18</w:t>
      </w:r>
      <w:r>
        <w:rPr>
          <w:rFonts w:ascii="Times New Roman" w:hAnsi="Times New Roman" w:cs="Times New Roman"/>
          <w:sz w:val="24"/>
          <w:szCs w:val="24"/>
        </w:rPr>
        <w:t>O. The molecular ion peak was observed at m/z 154 with RI = 1% and the peak at m/z 70 (RI= 100%) represents the base peak. Other significant fragment ions observed were 97 (35%), 83 (75%), and 55(83%).</w:t>
      </w:r>
    </w:p>
    <w:p w14:paraId="3A78EFB4" w14:textId="77777777" w:rsidR="00364DED" w:rsidRDefault="00A70A1E">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The mass spectrum of the peak at RT 25.59 min represents the 2-undecenal component (Fig. S6) suggesting its molecular formula C</w:t>
      </w:r>
      <w:r>
        <w:rPr>
          <w:rFonts w:ascii="Times New Roman" w:hAnsi="Times New Roman" w:cs="Times New Roman"/>
          <w:sz w:val="24"/>
          <w:szCs w:val="24"/>
          <w:vertAlign w:val="subscript"/>
        </w:rPr>
        <w:t>11</w:t>
      </w:r>
      <w:r>
        <w:rPr>
          <w:rFonts w:ascii="Times New Roman" w:hAnsi="Times New Roman" w:cs="Times New Roman"/>
          <w:sz w:val="24"/>
          <w:szCs w:val="24"/>
        </w:rPr>
        <w:t>H</w:t>
      </w:r>
      <w:r>
        <w:rPr>
          <w:rFonts w:ascii="Times New Roman" w:hAnsi="Times New Roman" w:cs="Times New Roman"/>
          <w:sz w:val="24"/>
          <w:szCs w:val="24"/>
          <w:vertAlign w:val="subscript"/>
        </w:rPr>
        <w:t>20</w:t>
      </w:r>
      <w:r>
        <w:rPr>
          <w:rFonts w:ascii="Times New Roman" w:hAnsi="Times New Roman" w:cs="Times New Roman"/>
          <w:sz w:val="24"/>
          <w:szCs w:val="24"/>
        </w:rPr>
        <w:t>O. The molecular ion peak was observed at m/z 168 with RI = 1% and the peak at m/z 70 (RI= 100%) represents the base peak. Other significant fragment ions observed were 97 (30%), 83 (74%), and 57 (79%).</w:t>
      </w:r>
    </w:p>
    <w:p w14:paraId="4C909CF0" w14:textId="77777777" w:rsidR="00364DED" w:rsidRDefault="00364DED">
      <w:pPr>
        <w:pStyle w:val="ListParagraph"/>
        <w:ind w:left="0"/>
        <w:rPr>
          <w:rFonts w:ascii="Times New Roman" w:hAnsi="Times New Roman" w:cs="Times New Roman"/>
        </w:rPr>
      </w:pPr>
    </w:p>
    <w:p w14:paraId="62E18724" w14:textId="77777777" w:rsidR="00364DED" w:rsidRDefault="00A70A1E">
      <w:pPr>
        <w:pStyle w:val="ListParagraph"/>
        <w:ind w:left="0"/>
        <w:rPr>
          <w:rFonts w:ascii="Times New Roman" w:hAnsi="Times New Roman" w:cs="Times New Roman"/>
          <w:b/>
          <w:bCs/>
          <w:sz w:val="24"/>
          <w:szCs w:val="24"/>
        </w:rPr>
      </w:pPr>
      <w:r>
        <w:rPr>
          <w:rFonts w:ascii="Times New Roman" w:hAnsi="Times New Roman" w:cs="Times New Roman"/>
          <w:b/>
          <w:bCs/>
          <w:i/>
          <w:iCs/>
          <w:sz w:val="24"/>
          <w:szCs w:val="24"/>
        </w:rPr>
        <w:t>Bougainvillea spectabilis</w:t>
      </w:r>
      <w:r>
        <w:rPr>
          <w:rFonts w:ascii="Times New Roman" w:hAnsi="Times New Roman" w:cs="Times New Roman"/>
          <w:b/>
          <w:bCs/>
          <w:sz w:val="24"/>
          <w:szCs w:val="24"/>
        </w:rPr>
        <w:t xml:space="preserve"> wood essential oil</w:t>
      </w:r>
    </w:p>
    <w:p w14:paraId="010A55C3" w14:textId="77777777" w:rsidR="00364DED" w:rsidRDefault="00364DED">
      <w:pPr>
        <w:pStyle w:val="ListParagraph"/>
        <w:tabs>
          <w:tab w:val="left" w:pos="1850"/>
        </w:tabs>
        <w:ind w:left="0"/>
        <w:rPr>
          <w:rFonts w:ascii="Times New Roman" w:hAnsi="Times New Roman" w:cs="Times New Roman"/>
        </w:rPr>
      </w:pPr>
    </w:p>
    <w:p w14:paraId="0488B99D" w14:textId="77777777" w:rsidR="00364DED" w:rsidRDefault="00A70A1E">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The mass spectrum of the peak at RT 3.63 min represents the </w:t>
      </w:r>
      <w:r>
        <w:rPr>
          <w:rFonts w:ascii="Times New Roman" w:hAnsi="Times New Roman" w:cs="Times New Roman"/>
          <w:i/>
          <w:iCs/>
          <w:sz w:val="24"/>
          <w:szCs w:val="24"/>
        </w:rPr>
        <w:t>cis</w:t>
      </w:r>
      <w:r>
        <w:rPr>
          <w:rFonts w:ascii="Times New Roman" w:hAnsi="Times New Roman" w:cs="Times New Roman"/>
          <w:sz w:val="24"/>
          <w:szCs w:val="24"/>
        </w:rPr>
        <w:t>-1,3-dimethylcyclohexane component (Fig. S7) suggesting its molecular formula C</w:t>
      </w:r>
      <w:r>
        <w:rPr>
          <w:rFonts w:ascii="Times New Roman" w:hAnsi="Times New Roman" w:cs="Times New Roman"/>
          <w:sz w:val="24"/>
          <w:szCs w:val="24"/>
          <w:vertAlign w:val="subscript"/>
        </w:rPr>
        <w:t>8</w:t>
      </w:r>
      <w:r>
        <w:rPr>
          <w:rFonts w:ascii="Times New Roman" w:hAnsi="Times New Roman" w:cs="Times New Roman"/>
          <w:sz w:val="24"/>
          <w:szCs w:val="24"/>
        </w:rPr>
        <w:t>H</w:t>
      </w:r>
      <w:r>
        <w:rPr>
          <w:rFonts w:ascii="Times New Roman" w:hAnsi="Times New Roman" w:cs="Times New Roman"/>
          <w:sz w:val="24"/>
          <w:szCs w:val="24"/>
          <w:vertAlign w:val="subscript"/>
        </w:rPr>
        <w:t>16</w:t>
      </w:r>
      <w:r>
        <w:rPr>
          <w:rFonts w:ascii="Times New Roman" w:hAnsi="Times New Roman" w:cs="Times New Roman"/>
          <w:sz w:val="24"/>
          <w:szCs w:val="24"/>
        </w:rPr>
        <w:t>. The molecular ion peak was observed at m/z 112 with RI = 30% and the peak at m/z 97 (RI= 100%) represents the base peak. Other significant fragment ions observed were 85 (70%), 71 (40%), and 55 (88%).</w:t>
      </w:r>
    </w:p>
    <w:p w14:paraId="0C45701D" w14:textId="77777777" w:rsidR="00364DED" w:rsidRDefault="00A70A1E">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The 1,3,5-cycloheptatriene component is represented by the peak at RT 4.83 min in the mass spectrum (Fig. S8), which suggests that its chemical formula is C</w:t>
      </w:r>
      <w:r>
        <w:rPr>
          <w:rFonts w:ascii="Times New Roman" w:hAnsi="Times New Roman" w:cs="Times New Roman"/>
          <w:sz w:val="24"/>
          <w:szCs w:val="24"/>
          <w:vertAlign w:val="subscript"/>
        </w:rPr>
        <w:t>7</w:t>
      </w:r>
      <w:r>
        <w:rPr>
          <w:rFonts w:ascii="Times New Roman" w:hAnsi="Times New Roman" w:cs="Times New Roman"/>
          <w:sz w:val="24"/>
          <w:szCs w:val="24"/>
        </w:rPr>
        <w:t>H</w:t>
      </w:r>
      <w:r>
        <w:rPr>
          <w:rFonts w:ascii="Times New Roman" w:hAnsi="Times New Roman" w:cs="Times New Roman"/>
          <w:sz w:val="24"/>
          <w:szCs w:val="24"/>
          <w:vertAlign w:val="subscript"/>
        </w:rPr>
        <w:t>8</w:t>
      </w:r>
      <w:r>
        <w:rPr>
          <w:rFonts w:ascii="Times New Roman" w:hAnsi="Times New Roman" w:cs="Times New Roman"/>
          <w:sz w:val="24"/>
          <w:szCs w:val="24"/>
        </w:rPr>
        <w:t>. The base peak is represented by the peak at m/z 91 (RI = 100%), whereas the molecular ion peak was found at m/z 92 with RI = 55%. There were two more notable fragment ions found: 90 (10%) and 65 (15%).</w:t>
      </w:r>
    </w:p>
    <w:p w14:paraId="5EEAD0B9" w14:textId="77777777" w:rsidR="00364DED" w:rsidRDefault="00A70A1E">
      <w:pPr>
        <w:tabs>
          <w:tab w:val="left" w:pos="2230"/>
        </w:tabs>
        <w:rPr>
          <w:rFonts w:ascii="Times New Roman" w:hAnsi="Times New Roman" w:cs="Times New Roman"/>
        </w:rPr>
      </w:pPr>
      <w:r>
        <w:rPr>
          <w:rFonts w:ascii="Times New Roman" w:hAnsi="Times New Roman" w:cs="Times New Roman"/>
          <w:b/>
          <w:bCs/>
          <w:sz w:val="24"/>
          <w:szCs w:val="24"/>
        </w:rPr>
        <w:t>Computation Method</w:t>
      </w:r>
    </w:p>
    <w:p w14:paraId="71562F03" w14:textId="77777777" w:rsidR="00364DED" w:rsidRDefault="00A70A1E">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From the calculated data of the studied compounds (Table 7), values were obtained for the heat of formation, ionization, total, binding, electronic energies, and dipole moment. These thermochemical data are necessary to describe the conformational properties of the studied molecules </w:t>
      </w:r>
      <w:r>
        <w:fldChar w:fldCharType="begin"/>
      </w:r>
      <w:r>
        <w:instrText xml:space="preserve"> ADDIN EN.CITE &lt;EndNote&gt;&lt;Cite&gt;&lt;Author&gt;Abd El-Kareem&lt;/Author&gt;&lt;Year&gt;2018&lt;/Year&gt;&lt;RecNum&gt;10&lt;/RecNum&gt;&lt;DisplayText&gt;(Abd El-Kareem et al., 2018b)&lt;/DisplayText&gt;&lt;record&gt;&lt;rec-number&gt;10&lt;/rec-number&gt;&lt;foreign-keys&gt;&lt;key app="EN" db-id="ra9v9ftd2frrvye2et45af2dwpvf99aw5evt" timestamp="1632869368"&gt;10&lt;/key&gt;&lt;/foreign-keys&gt;&lt;ref-type name="Journal Article"&gt;17&lt;/ref-type&gt;&lt;contributors&gt;&lt;authors&gt;&lt;author&gt;Abd El-Kareem, Mamoun SM&lt;/author&gt;&lt;author&gt;Rabbih, MA&lt;/author&gt;&lt;author&gt;Selim, ETM&lt;/author&gt;&lt;/authors&gt;&lt;/contributors&gt;&lt;titles&gt;&lt;title&gt;Semi-empirical and HOMO, LUMO studies of some chlorinated pesticides compounds&lt;/title&gt;&lt;secondary-title&gt;Commun. Comput. Chem&lt;/secondary-title&gt;&lt;/titles&gt;&lt;periodical&gt;&lt;full-title&gt;Commun. Comput. Chem&lt;/full-title&gt;&lt;/periodical&gt;&lt;pages&gt;1-12&lt;/pages&gt;&lt;volume&gt;6&lt;/volume&gt;&lt;dates&gt;&lt;year&gt;2018&lt;/year&gt;&lt;/dates&gt;&lt;urls&gt;&lt;/urls&gt;&lt;/record&gt;&lt;/Cite&gt;&lt;/EndNote&gt;</w:instrText>
      </w:r>
      <w:r>
        <w:fldChar w:fldCharType="separate"/>
      </w:r>
      <w:r>
        <w:rPr>
          <w:noProof/>
        </w:rPr>
        <w:t>(</w:t>
      </w:r>
      <w:hyperlink w:anchor="_ENREF_5" w:tooltip="Abd El-Kareem, 2018 #10" w:history="1">
        <w:r w:rsidR="00364DED">
          <w:rPr>
            <w:rStyle w:val="Hyperlink"/>
          </w:rPr>
          <w:t>Abd El-Kareem et al., 2018b</w:t>
        </w:r>
      </w:hyperlink>
      <w:r>
        <w:rPr>
          <w:noProof/>
        </w:rPr>
        <w:t>)</w:t>
      </w:r>
      <w:r>
        <w:fldChar w:fldCharType="end"/>
      </w:r>
      <w:r>
        <w:rPr>
          <w:rFonts w:ascii="Times New Roman" w:hAnsi="Times New Roman" w:cs="Times New Roman"/>
          <w:sz w:val="24"/>
          <w:szCs w:val="24"/>
        </w:rPr>
        <w:t>. Table 7 presents the thermodynamic data of the studied molecules calculated within the modified neglect of diatomic overlap (MNDO) framework.</w:t>
      </w:r>
    </w:p>
    <w:p w14:paraId="12568865" w14:textId="77777777" w:rsidR="00364DED" w:rsidRDefault="00A70A1E">
      <w:pPr>
        <w:autoSpaceDE w:val="0"/>
        <w:autoSpaceDN w:val="0"/>
        <w:adjustRightInd w:val="0"/>
        <w:spacing w:after="0" w:line="240" w:lineRule="auto"/>
        <w:rPr>
          <w:rFonts w:ascii="PalatinoLinotype" w:hAnsi="PalatinoLinotype" w:cs="PalatinoLinotype"/>
          <w:sz w:val="24"/>
          <w:szCs w:val="24"/>
        </w:rPr>
      </w:pPr>
      <w:r>
        <w:rPr>
          <w:rFonts w:ascii="PalatinoLinotype,Bold" w:hAnsi="PalatinoLinotype,Bold" w:cs="PalatinoLinotype,Bold"/>
          <w:b/>
          <w:bCs/>
          <w:sz w:val="24"/>
          <w:szCs w:val="24"/>
        </w:rPr>
        <w:t xml:space="preserve">Table 7. </w:t>
      </w:r>
      <w:r>
        <w:rPr>
          <w:rFonts w:ascii="PalatinoLinotype" w:hAnsi="PalatinoLinotype" w:cs="PalatinoLinotype"/>
          <w:sz w:val="24"/>
          <w:szCs w:val="24"/>
        </w:rPr>
        <w:t>Thermodynamic data reported of the studied constituents using MNDO method</w:t>
      </w:r>
    </w:p>
    <w:tbl>
      <w:tblPr>
        <w:tblStyle w:val="TableGrid"/>
        <w:tblpPr w:leftFromText="180" w:rightFromText="180" w:vertAnchor="text" w:horzAnchor="margin" w:tblpXSpec="center" w:tblpY="59"/>
        <w:tblW w:w="1091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1"/>
        <w:gridCol w:w="1049"/>
        <w:gridCol w:w="1049"/>
        <w:gridCol w:w="1049"/>
        <w:gridCol w:w="1049"/>
        <w:gridCol w:w="1218"/>
        <w:gridCol w:w="666"/>
        <w:gridCol w:w="900"/>
        <w:gridCol w:w="1049"/>
        <w:gridCol w:w="910"/>
      </w:tblGrid>
      <w:tr w:rsidR="00364DED" w14:paraId="560F6513" w14:textId="77777777">
        <w:trPr>
          <w:trHeight w:val="366"/>
        </w:trPr>
        <w:tc>
          <w:tcPr>
            <w:tcW w:w="1971" w:type="dxa"/>
            <w:tcBorders>
              <w:top w:val="single" w:sz="4" w:space="0" w:color="auto"/>
              <w:bottom w:val="single" w:sz="4" w:space="0" w:color="auto"/>
            </w:tcBorders>
          </w:tcPr>
          <w:p w14:paraId="1CBB396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Compound</w:t>
            </w:r>
          </w:p>
        </w:tc>
        <w:tc>
          <w:tcPr>
            <w:tcW w:w="1049" w:type="dxa"/>
            <w:tcBorders>
              <w:top w:val="single" w:sz="4" w:space="0" w:color="auto"/>
              <w:bottom w:val="single" w:sz="4" w:space="0" w:color="auto"/>
            </w:tcBorders>
          </w:tcPr>
          <w:p w14:paraId="5594D19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ΔH</w:t>
            </w:r>
            <w:r>
              <w:rPr>
                <w:rFonts w:ascii="Times New Roman" w:hAnsi="Times New Roman" w:cs="Times New Roman"/>
                <w:sz w:val="20"/>
                <w:szCs w:val="20"/>
                <w:vertAlign w:val="subscript"/>
              </w:rPr>
              <w:t>F</w:t>
            </w:r>
            <w:r>
              <w:rPr>
                <w:rFonts w:ascii="Times New Roman" w:hAnsi="Times New Roman" w:cs="Times New Roman"/>
                <w:sz w:val="20"/>
                <w:szCs w:val="20"/>
              </w:rPr>
              <w:t xml:space="preserve"> (M)</w:t>
            </w:r>
          </w:p>
          <w:p w14:paraId="4938A2A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kcal.mol</w:t>
            </w:r>
            <w:r>
              <w:rPr>
                <w:rFonts w:ascii="Times New Roman" w:hAnsi="Times New Roman" w:cs="Times New Roman"/>
                <w:sz w:val="20"/>
                <w:szCs w:val="20"/>
                <w:vertAlign w:val="superscript"/>
              </w:rPr>
              <w:t>−1</w:t>
            </w:r>
          </w:p>
          <w:p w14:paraId="1CC3FD77" w14:textId="77777777" w:rsidR="00364DED" w:rsidRDefault="00364DED">
            <w:pPr>
              <w:pStyle w:val="NoSpacing"/>
              <w:rPr>
                <w:rFonts w:ascii="Times New Roman" w:hAnsi="Times New Roman" w:cs="Times New Roman"/>
                <w:sz w:val="20"/>
                <w:szCs w:val="20"/>
              </w:rPr>
            </w:pPr>
          </w:p>
        </w:tc>
        <w:tc>
          <w:tcPr>
            <w:tcW w:w="1049" w:type="dxa"/>
            <w:tcBorders>
              <w:top w:val="single" w:sz="4" w:space="0" w:color="auto"/>
              <w:bottom w:val="single" w:sz="4" w:space="0" w:color="auto"/>
            </w:tcBorders>
          </w:tcPr>
          <w:p w14:paraId="25DF853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ΔH</w:t>
            </w:r>
            <w:r>
              <w:rPr>
                <w:rFonts w:ascii="Times New Roman" w:hAnsi="Times New Roman" w:cs="Times New Roman"/>
                <w:sz w:val="20"/>
                <w:szCs w:val="20"/>
                <w:vertAlign w:val="subscript"/>
              </w:rPr>
              <w:t>F</w:t>
            </w:r>
            <w:r>
              <w:rPr>
                <w:rFonts w:ascii="Times New Roman" w:hAnsi="Times New Roman" w:cs="Times New Roman"/>
                <w:sz w:val="20"/>
                <w:szCs w:val="20"/>
              </w:rPr>
              <w:t>(M)</w:t>
            </w:r>
            <w:r>
              <w:rPr>
                <w:rFonts w:ascii="Times New Roman" w:hAnsi="Times New Roman" w:cs="Times New Roman"/>
                <w:sz w:val="20"/>
                <w:szCs w:val="20"/>
                <w:vertAlign w:val="superscript"/>
              </w:rPr>
              <w:t>+</w:t>
            </w:r>
          </w:p>
          <w:p w14:paraId="0B055CC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kcal.mol</w:t>
            </w:r>
            <w:r>
              <w:rPr>
                <w:rFonts w:ascii="Times New Roman" w:hAnsi="Times New Roman" w:cs="Times New Roman"/>
                <w:sz w:val="20"/>
                <w:szCs w:val="20"/>
                <w:vertAlign w:val="superscript"/>
              </w:rPr>
              <w:t>−1</w:t>
            </w:r>
          </w:p>
          <w:p w14:paraId="67C6008F" w14:textId="77777777" w:rsidR="00364DED" w:rsidRDefault="00364DED">
            <w:pPr>
              <w:pStyle w:val="NoSpacing"/>
              <w:rPr>
                <w:rFonts w:ascii="Times New Roman" w:hAnsi="Times New Roman" w:cs="Times New Roman"/>
                <w:sz w:val="20"/>
                <w:szCs w:val="20"/>
              </w:rPr>
            </w:pPr>
          </w:p>
        </w:tc>
        <w:tc>
          <w:tcPr>
            <w:tcW w:w="1049" w:type="dxa"/>
            <w:tcBorders>
              <w:top w:val="single" w:sz="4" w:space="0" w:color="auto"/>
              <w:bottom w:val="single" w:sz="4" w:space="0" w:color="auto"/>
            </w:tcBorders>
          </w:tcPr>
          <w:p w14:paraId="321050D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ΔH</w:t>
            </w:r>
            <w:r>
              <w:rPr>
                <w:rFonts w:ascii="Times New Roman" w:hAnsi="Times New Roman" w:cs="Times New Roman"/>
                <w:sz w:val="20"/>
                <w:szCs w:val="20"/>
                <w:vertAlign w:val="subscript"/>
              </w:rPr>
              <w:t>F</w:t>
            </w:r>
            <w:r>
              <w:rPr>
                <w:rFonts w:ascii="Times New Roman" w:hAnsi="Times New Roman" w:cs="Times New Roman"/>
                <w:sz w:val="20"/>
                <w:szCs w:val="20"/>
              </w:rPr>
              <w:t>(M</w:t>
            </w:r>
            <w:r>
              <w:rPr>
                <w:rFonts w:ascii="Times New Roman" w:hAnsi="Times New Roman" w:cs="Times New Roman"/>
                <w:sz w:val="20"/>
                <w:szCs w:val="20"/>
                <w:vertAlign w:val="superscript"/>
              </w:rPr>
              <w:t>)-</w:t>
            </w:r>
          </w:p>
          <w:p w14:paraId="36FAB268"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kcal.mol</w:t>
            </w:r>
            <w:r>
              <w:rPr>
                <w:rFonts w:ascii="Times New Roman" w:hAnsi="Times New Roman" w:cs="Times New Roman"/>
                <w:sz w:val="20"/>
                <w:szCs w:val="20"/>
                <w:vertAlign w:val="superscript"/>
              </w:rPr>
              <w:t>−1</w:t>
            </w:r>
          </w:p>
          <w:p w14:paraId="4A9B193F" w14:textId="77777777" w:rsidR="00364DED" w:rsidRDefault="00364DED">
            <w:pPr>
              <w:pStyle w:val="NoSpacing"/>
              <w:rPr>
                <w:rFonts w:ascii="Times New Roman" w:hAnsi="Times New Roman" w:cs="Times New Roman"/>
                <w:sz w:val="20"/>
                <w:szCs w:val="20"/>
              </w:rPr>
            </w:pPr>
          </w:p>
        </w:tc>
        <w:tc>
          <w:tcPr>
            <w:tcW w:w="1049" w:type="dxa"/>
            <w:tcBorders>
              <w:top w:val="single" w:sz="4" w:space="0" w:color="auto"/>
              <w:bottom w:val="single" w:sz="4" w:space="0" w:color="auto"/>
            </w:tcBorders>
          </w:tcPr>
          <w:p w14:paraId="3B245B15"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Total Energy (M)</w:t>
            </w:r>
          </w:p>
          <w:p w14:paraId="7CC6FC4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kcal.mol</w:t>
            </w:r>
            <w:r>
              <w:rPr>
                <w:rFonts w:ascii="Times New Roman" w:hAnsi="Times New Roman" w:cs="Times New Roman"/>
                <w:sz w:val="20"/>
                <w:szCs w:val="20"/>
                <w:vertAlign w:val="superscript"/>
              </w:rPr>
              <w:t>−1</w:t>
            </w:r>
          </w:p>
        </w:tc>
        <w:tc>
          <w:tcPr>
            <w:tcW w:w="1218" w:type="dxa"/>
            <w:tcBorders>
              <w:top w:val="single" w:sz="4" w:space="0" w:color="auto"/>
              <w:bottom w:val="single" w:sz="4" w:space="0" w:color="auto"/>
            </w:tcBorders>
          </w:tcPr>
          <w:p w14:paraId="78C862B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Total Energy(M)+</w:t>
            </w:r>
          </w:p>
          <w:p w14:paraId="3A7EFDBD"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kcal.mol</w:t>
            </w:r>
            <w:r>
              <w:rPr>
                <w:rFonts w:ascii="Times New Roman" w:hAnsi="Times New Roman" w:cs="Times New Roman"/>
                <w:sz w:val="20"/>
                <w:szCs w:val="20"/>
                <w:vertAlign w:val="superscript"/>
              </w:rPr>
              <w:t>−1</w:t>
            </w:r>
          </w:p>
        </w:tc>
        <w:tc>
          <w:tcPr>
            <w:tcW w:w="666" w:type="dxa"/>
            <w:tcBorders>
              <w:top w:val="single" w:sz="4" w:space="0" w:color="auto"/>
              <w:bottom w:val="single" w:sz="4" w:space="0" w:color="auto"/>
            </w:tcBorders>
          </w:tcPr>
          <w:p w14:paraId="34D9029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w:t>
            </w:r>
            <w:proofErr w:type="gramStart"/>
            <w:r>
              <w:rPr>
                <w:rFonts w:ascii="Times New Roman" w:hAnsi="Times New Roman" w:cs="Times New Roman"/>
                <w:sz w:val="20"/>
                <w:szCs w:val="20"/>
              </w:rPr>
              <w:t>I.E</w:t>
            </w:r>
            <w:proofErr w:type="gramEnd"/>
          </w:p>
          <w:p w14:paraId="044641C4"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eV</w:t>
            </w:r>
          </w:p>
        </w:tc>
        <w:tc>
          <w:tcPr>
            <w:tcW w:w="900" w:type="dxa"/>
            <w:tcBorders>
              <w:top w:val="single" w:sz="4" w:space="0" w:color="auto"/>
              <w:bottom w:val="single" w:sz="4" w:space="0" w:color="auto"/>
            </w:tcBorders>
          </w:tcPr>
          <w:p w14:paraId="1655B1E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Electron affinity (EA)**</w:t>
            </w:r>
          </w:p>
          <w:p w14:paraId="7097B40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eV</w:t>
            </w:r>
          </w:p>
        </w:tc>
        <w:tc>
          <w:tcPr>
            <w:tcW w:w="1049" w:type="dxa"/>
            <w:tcBorders>
              <w:top w:val="single" w:sz="4" w:space="0" w:color="auto"/>
              <w:bottom w:val="single" w:sz="4" w:space="0" w:color="auto"/>
            </w:tcBorders>
          </w:tcPr>
          <w:p w14:paraId="06E15B3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Binding Energy (M)</w:t>
            </w:r>
          </w:p>
          <w:p w14:paraId="0E750029"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kcal.mol</w:t>
            </w:r>
            <w:r>
              <w:rPr>
                <w:rFonts w:ascii="Times New Roman" w:hAnsi="Times New Roman" w:cs="Times New Roman"/>
                <w:sz w:val="20"/>
                <w:szCs w:val="20"/>
                <w:vertAlign w:val="superscript"/>
              </w:rPr>
              <w:t>−1</w:t>
            </w:r>
          </w:p>
        </w:tc>
        <w:tc>
          <w:tcPr>
            <w:tcW w:w="910" w:type="dxa"/>
            <w:tcBorders>
              <w:top w:val="single" w:sz="4" w:space="0" w:color="auto"/>
              <w:bottom w:val="single" w:sz="4" w:space="0" w:color="auto"/>
            </w:tcBorders>
          </w:tcPr>
          <w:p w14:paraId="3993DAB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Dipole Moment</w:t>
            </w:r>
          </w:p>
          <w:p w14:paraId="7839A22C"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(M) D</w:t>
            </w:r>
          </w:p>
        </w:tc>
      </w:tr>
      <w:tr w:rsidR="00364DED" w14:paraId="705CD0AC" w14:textId="77777777">
        <w:trPr>
          <w:trHeight w:val="67"/>
        </w:trPr>
        <w:tc>
          <w:tcPr>
            <w:tcW w:w="1971" w:type="dxa"/>
            <w:tcBorders>
              <w:top w:val="single" w:sz="4" w:space="0" w:color="auto"/>
            </w:tcBorders>
          </w:tcPr>
          <w:p w14:paraId="27A563B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9-Octadecenoic acid, methyl ester</w:t>
            </w:r>
          </w:p>
        </w:tc>
        <w:tc>
          <w:tcPr>
            <w:tcW w:w="1049" w:type="dxa"/>
            <w:tcBorders>
              <w:top w:val="single" w:sz="4" w:space="0" w:color="auto"/>
            </w:tcBorders>
          </w:tcPr>
          <w:p w14:paraId="0EF041B3"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-139</w:t>
            </w:r>
          </w:p>
        </w:tc>
        <w:tc>
          <w:tcPr>
            <w:tcW w:w="1049" w:type="dxa"/>
            <w:tcBorders>
              <w:top w:val="single" w:sz="4" w:space="0" w:color="auto"/>
            </w:tcBorders>
          </w:tcPr>
          <w:p w14:paraId="3215230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68</w:t>
            </w:r>
          </w:p>
        </w:tc>
        <w:tc>
          <w:tcPr>
            <w:tcW w:w="1049" w:type="dxa"/>
            <w:tcBorders>
              <w:top w:val="single" w:sz="4" w:space="0" w:color="auto"/>
            </w:tcBorders>
          </w:tcPr>
          <w:p w14:paraId="6FEE9E4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-143</w:t>
            </w:r>
          </w:p>
        </w:tc>
        <w:tc>
          <w:tcPr>
            <w:tcW w:w="1049" w:type="dxa"/>
            <w:tcBorders>
              <w:top w:val="single" w:sz="4" w:space="0" w:color="auto"/>
            </w:tcBorders>
          </w:tcPr>
          <w:p w14:paraId="303C2ED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-28724</w:t>
            </w:r>
          </w:p>
        </w:tc>
        <w:tc>
          <w:tcPr>
            <w:tcW w:w="1218" w:type="dxa"/>
            <w:tcBorders>
              <w:top w:val="single" w:sz="4" w:space="0" w:color="auto"/>
            </w:tcBorders>
          </w:tcPr>
          <w:p w14:paraId="0FDCD3F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-28517</w:t>
            </w:r>
          </w:p>
        </w:tc>
        <w:tc>
          <w:tcPr>
            <w:tcW w:w="666" w:type="dxa"/>
            <w:tcBorders>
              <w:top w:val="single" w:sz="4" w:space="0" w:color="auto"/>
            </w:tcBorders>
          </w:tcPr>
          <w:p w14:paraId="25BD05AC"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8.97</w:t>
            </w:r>
          </w:p>
        </w:tc>
        <w:tc>
          <w:tcPr>
            <w:tcW w:w="900" w:type="dxa"/>
            <w:tcBorders>
              <w:top w:val="single" w:sz="4" w:space="0" w:color="auto"/>
            </w:tcBorders>
          </w:tcPr>
          <w:p w14:paraId="5F8F67E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-0.17</w:t>
            </w:r>
          </w:p>
        </w:tc>
        <w:tc>
          <w:tcPr>
            <w:tcW w:w="1049" w:type="dxa"/>
            <w:tcBorders>
              <w:top w:val="single" w:sz="4" w:space="0" w:color="auto"/>
            </w:tcBorders>
          </w:tcPr>
          <w:p w14:paraId="1B911F1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-5381</w:t>
            </w:r>
          </w:p>
        </w:tc>
        <w:tc>
          <w:tcPr>
            <w:tcW w:w="910" w:type="dxa"/>
            <w:tcBorders>
              <w:top w:val="single" w:sz="4" w:space="0" w:color="auto"/>
            </w:tcBorders>
          </w:tcPr>
          <w:p w14:paraId="2963AFD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4.046</w:t>
            </w:r>
          </w:p>
        </w:tc>
      </w:tr>
      <w:tr w:rsidR="00364DED" w14:paraId="6131E922" w14:textId="77777777">
        <w:trPr>
          <w:trHeight w:val="67"/>
        </w:trPr>
        <w:tc>
          <w:tcPr>
            <w:tcW w:w="1971" w:type="dxa"/>
          </w:tcPr>
          <w:p w14:paraId="33BE37F8"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9-octadecenoic acid</w:t>
            </w:r>
          </w:p>
        </w:tc>
        <w:tc>
          <w:tcPr>
            <w:tcW w:w="1049" w:type="dxa"/>
          </w:tcPr>
          <w:p w14:paraId="2375E4B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-146</w:t>
            </w:r>
          </w:p>
        </w:tc>
        <w:tc>
          <w:tcPr>
            <w:tcW w:w="1049" w:type="dxa"/>
          </w:tcPr>
          <w:p w14:paraId="7CD3D5C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54</w:t>
            </w:r>
          </w:p>
        </w:tc>
        <w:tc>
          <w:tcPr>
            <w:tcW w:w="1049" w:type="dxa"/>
          </w:tcPr>
          <w:p w14:paraId="65BC63C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-148</w:t>
            </w:r>
          </w:p>
        </w:tc>
        <w:tc>
          <w:tcPr>
            <w:tcW w:w="1049" w:type="dxa"/>
          </w:tcPr>
          <w:p w14:paraId="074D476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-79128</w:t>
            </w:r>
          </w:p>
        </w:tc>
        <w:tc>
          <w:tcPr>
            <w:tcW w:w="1218" w:type="dxa"/>
          </w:tcPr>
          <w:p w14:paraId="3AB8058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-79130</w:t>
            </w:r>
          </w:p>
        </w:tc>
        <w:tc>
          <w:tcPr>
            <w:tcW w:w="666" w:type="dxa"/>
          </w:tcPr>
          <w:p w14:paraId="40B96CE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8.67</w:t>
            </w:r>
          </w:p>
        </w:tc>
        <w:tc>
          <w:tcPr>
            <w:tcW w:w="900" w:type="dxa"/>
          </w:tcPr>
          <w:p w14:paraId="2493B7B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-0.08</w:t>
            </w:r>
          </w:p>
        </w:tc>
        <w:tc>
          <w:tcPr>
            <w:tcW w:w="1049" w:type="dxa"/>
          </w:tcPr>
          <w:p w14:paraId="51FC444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-5114</w:t>
            </w:r>
          </w:p>
        </w:tc>
        <w:tc>
          <w:tcPr>
            <w:tcW w:w="910" w:type="dxa"/>
          </w:tcPr>
          <w:p w14:paraId="55D4D66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4.53</w:t>
            </w:r>
          </w:p>
        </w:tc>
      </w:tr>
      <w:tr w:rsidR="00364DED" w14:paraId="25C1746D" w14:textId="77777777">
        <w:trPr>
          <w:trHeight w:val="67"/>
        </w:trPr>
        <w:tc>
          <w:tcPr>
            <w:tcW w:w="1971" w:type="dxa"/>
          </w:tcPr>
          <w:p w14:paraId="52C9B4A3"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Nonanal</w:t>
            </w:r>
          </w:p>
        </w:tc>
        <w:tc>
          <w:tcPr>
            <w:tcW w:w="1049" w:type="dxa"/>
          </w:tcPr>
          <w:p w14:paraId="1F23B1A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-76</w:t>
            </w:r>
          </w:p>
        </w:tc>
        <w:tc>
          <w:tcPr>
            <w:tcW w:w="1049" w:type="dxa"/>
          </w:tcPr>
          <w:p w14:paraId="3762FE6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156</w:t>
            </w:r>
          </w:p>
        </w:tc>
        <w:tc>
          <w:tcPr>
            <w:tcW w:w="1049" w:type="dxa"/>
          </w:tcPr>
          <w:p w14:paraId="6BC5973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-71</w:t>
            </w:r>
          </w:p>
        </w:tc>
        <w:tc>
          <w:tcPr>
            <w:tcW w:w="1049" w:type="dxa"/>
          </w:tcPr>
          <w:p w14:paraId="164814B8"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-39894</w:t>
            </w:r>
          </w:p>
        </w:tc>
        <w:tc>
          <w:tcPr>
            <w:tcW w:w="1218" w:type="dxa"/>
          </w:tcPr>
          <w:p w14:paraId="664F9F99"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-39662</w:t>
            </w:r>
          </w:p>
        </w:tc>
        <w:tc>
          <w:tcPr>
            <w:tcW w:w="666" w:type="dxa"/>
          </w:tcPr>
          <w:p w14:paraId="17AA98BC"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10.06</w:t>
            </w:r>
          </w:p>
        </w:tc>
        <w:tc>
          <w:tcPr>
            <w:tcW w:w="900" w:type="dxa"/>
          </w:tcPr>
          <w:p w14:paraId="06B22A35"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-0.21</w:t>
            </w:r>
          </w:p>
        </w:tc>
        <w:tc>
          <w:tcPr>
            <w:tcW w:w="1049" w:type="dxa"/>
          </w:tcPr>
          <w:p w14:paraId="7C09F8C9"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-2611</w:t>
            </w:r>
          </w:p>
        </w:tc>
        <w:tc>
          <w:tcPr>
            <w:tcW w:w="910" w:type="dxa"/>
          </w:tcPr>
          <w:p w14:paraId="259A267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2.467</w:t>
            </w:r>
          </w:p>
        </w:tc>
      </w:tr>
      <w:tr w:rsidR="00364DED" w14:paraId="18B5F084" w14:textId="77777777">
        <w:trPr>
          <w:trHeight w:val="67"/>
        </w:trPr>
        <w:tc>
          <w:tcPr>
            <w:tcW w:w="1971" w:type="dxa"/>
          </w:tcPr>
          <w:p w14:paraId="099C35F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2-Decenal</w:t>
            </w:r>
          </w:p>
        </w:tc>
        <w:tc>
          <w:tcPr>
            <w:tcW w:w="1049" w:type="dxa"/>
          </w:tcPr>
          <w:p w14:paraId="48D0142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-56</w:t>
            </w:r>
          </w:p>
        </w:tc>
        <w:tc>
          <w:tcPr>
            <w:tcW w:w="1049" w:type="dxa"/>
          </w:tcPr>
          <w:p w14:paraId="71A330C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166</w:t>
            </w:r>
          </w:p>
        </w:tc>
        <w:tc>
          <w:tcPr>
            <w:tcW w:w="1049" w:type="dxa"/>
          </w:tcPr>
          <w:p w14:paraId="1C933D1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-77</w:t>
            </w:r>
          </w:p>
        </w:tc>
        <w:tc>
          <w:tcPr>
            <w:tcW w:w="1049" w:type="dxa"/>
          </w:tcPr>
          <w:p w14:paraId="579BDD3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-42824</w:t>
            </w:r>
          </w:p>
        </w:tc>
        <w:tc>
          <w:tcPr>
            <w:tcW w:w="1218" w:type="dxa"/>
          </w:tcPr>
          <w:p w14:paraId="11819D5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-24602</w:t>
            </w:r>
          </w:p>
        </w:tc>
        <w:tc>
          <w:tcPr>
            <w:tcW w:w="666" w:type="dxa"/>
          </w:tcPr>
          <w:p w14:paraId="347D9B6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9.6</w:t>
            </w:r>
          </w:p>
        </w:tc>
        <w:tc>
          <w:tcPr>
            <w:tcW w:w="900" w:type="dxa"/>
          </w:tcPr>
          <w:p w14:paraId="51BE6F04"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-0.91</w:t>
            </w:r>
          </w:p>
        </w:tc>
        <w:tc>
          <w:tcPr>
            <w:tcW w:w="1049" w:type="dxa"/>
          </w:tcPr>
          <w:p w14:paraId="11B5CEB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-2763</w:t>
            </w:r>
          </w:p>
        </w:tc>
        <w:tc>
          <w:tcPr>
            <w:tcW w:w="910" w:type="dxa"/>
          </w:tcPr>
          <w:p w14:paraId="06C6EE7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3.116</w:t>
            </w:r>
          </w:p>
        </w:tc>
      </w:tr>
      <w:tr w:rsidR="00364DED" w14:paraId="55C6D471" w14:textId="77777777">
        <w:trPr>
          <w:trHeight w:val="67"/>
        </w:trPr>
        <w:tc>
          <w:tcPr>
            <w:tcW w:w="1971" w:type="dxa"/>
          </w:tcPr>
          <w:p w14:paraId="16D8C9C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2-Undecenal</w:t>
            </w:r>
          </w:p>
        </w:tc>
        <w:tc>
          <w:tcPr>
            <w:tcW w:w="1049" w:type="dxa"/>
          </w:tcPr>
          <w:p w14:paraId="15C1984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-61</w:t>
            </w:r>
          </w:p>
        </w:tc>
        <w:tc>
          <w:tcPr>
            <w:tcW w:w="1049" w:type="dxa"/>
          </w:tcPr>
          <w:p w14:paraId="3EFAE1F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161</w:t>
            </w:r>
          </w:p>
        </w:tc>
        <w:tc>
          <w:tcPr>
            <w:tcW w:w="1049" w:type="dxa"/>
          </w:tcPr>
          <w:p w14:paraId="39BB66D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-82</w:t>
            </w:r>
          </w:p>
        </w:tc>
        <w:tc>
          <w:tcPr>
            <w:tcW w:w="1049" w:type="dxa"/>
          </w:tcPr>
          <w:p w14:paraId="65663DF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-46432</w:t>
            </w:r>
          </w:p>
        </w:tc>
        <w:tc>
          <w:tcPr>
            <w:tcW w:w="1218" w:type="dxa"/>
          </w:tcPr>
          <w:p w14:paraId="1E634AF4"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-46210</w:t>
            </w:r>
          </w:p>
        </w:tc>
        <w:tc>
          <w:tcPr>
            <w:tcW w:w="666" w:type="dxa"/>
          </w:tcPr>
          <w:p w14:paraId="623F248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9.6</w:t>
            </w:r>
          </w:p>
        </w:tc>
        <w:tc>
          <w:tcPr>
            <w:tcW w:w="900" w:type="dxa"/>
          </w:tcPr>
          <w:p w14:paraId="2B69C14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-0.91</w:t>
            </w:r>
          </w:p>
        </w:tc>
        <w:tc>
          <w:tcPr>
            <w:tcW w:w="1049" w:type="dxa"/>
          </w:tcPr>
          <w:p w14:paraId="1328F0B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-3043</w:t>
            </w:r>
          </w:p>
        </w:tc>
        <w:tc>
          <w:tcPr>
            <w:tcW w:w="910" w:type="dxa"/>
          </w:tcPr>
          <w:p w14:paraId="24A7D5E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3.117</w:t>
            </w:r>
          </w:p>
        </w:tc>
      </w:tr>
      <w:tr w:rsidR="00364DED" w14:paraId="3C03764C" w14:textId="77777777">
        <w:trPr>
          <w:trHeight w:val="67"/>
        </w:trPr>
        <w:tc>
          <w:tcPr>
            <w:tcW w:w="1971" w:type="dxa"/>
          </w:tcPr>
          <w:p w14:paraId="47D0C9B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cis-1,3-Dimethylcyclohexane</w:t>
            </w:r>
          </w:p>
        </w:tc>
        <w:tc>
          <w:tcPr>
            <w:tcW w:w="1049" w:type="dxa"/>
          </w:tcPr>
          <w:p w14:paraId="2FD85DE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-37</w:t>
            </w:r>
          </w:p>
        </w:tc>
        <w:tc>
          <w:tcPr>
            <w:tcW w:w="1049" w:type="dxa"/>
          </w:tcPr>
          <w:p w14:paraId="1A98607C"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208</w:t>
            </w:r>
          </w:p>
        </w:tc>
        <w:tc>
          <w:tcPr>
            <w:tcW w:w="1049" w:type="dxa"/>
          </w:tcPr>
          <w:p w14:paraId="62BA3389"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16</w:t>
            </w:r>
          </w:p>
        </w:tc>
        <w:tc>
          <w:tcPr>
            <w:tcW w:w="1049" w:type="dxa"/>
          </w:tcPr>
          <w:p w14:paraId="1C57FB58"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-28861</w:t>
            </w:r>
          </w:p>
        </w:tc>
        <w:tc>
          <w:tcPr>
            <w:tcW w:w="1218" w:type="dxa"/>
          </w:tcPr>
          <w:p w14:paraId="76521A0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-28616</w:t>
            </w:r>
          </w:p>
        </w:tc>
        <w:tc>
          <w:tcPr>
            <w:tcW w:w="666" w:type="dxa"/>
          </w:tcPr>
          <w:p w14:paraId="46BCC40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10.6</w:t>
            </w:r>
          </w:p>
        </w:tc>
        <w:tc>
          <w:tcPr>
            <w:tcW w:w="900" w:type="dxa"/>
          </w:tcPr>
          <w:p w14:paraId="52B8F96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-2.3</w:t>
            </w:r>
          </w:p>
        </w:tc>
        <w:tc>
          <w:tcPr>
            <w:tcW w:w="1049" w:type="dxa"/>
          </w:tcPr>
          <w:p w14:paraId="1D452C2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-2237</w:t>
            </w:r>
          </w:p>
        </w:tc>
        <w:tc>
          <w:tcPr>
            <w:tcW w:w="910" w:type="dxa"/>
          </w:tcPr>
          <w:p w14:paraId="01BC9DE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0.019</w:t>
            </w:r>
          </w:p>
        </w:tc>
      </w:tr>
      <w:tr w:rsidR="00364DED" w14:paraId="5F6DFDD3" w14:textId="77777777">
        <w:trPr>
          <w:trHeight w:val="67"/>
        </w:trPr>
        <w:tc>
          <w:tcPr>
            <w:tcW w:w="1971" w:type="dxa"/>
          </w:tcPr>
          <w:p w14:paraId="6BDE1C59"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1,3,5-Cycloheptatriene</w:t>
            </w:r>
          </w:p>
        </w:tc>
        <w:tc>
          <w:tcPr>
            <w:tcW w:w="1049" w:type="dxa"/>
          </w:tcPr>
          <w:p w14:paraId="42F271E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29</w:t>
            </w:r>
          </w:p>
        </w:tc>
        <w:tc>
          <w:tcPr>
            <w:tcW w:w="1049" w:type="dxa"/>
          </w:tcPr>
          <w:p w14:paraId="6A087039"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216</w:t>
            </w:r>
          </w:p>
        </w:tc>
        <w:tc>
          <w:tcPr>
            <w:tcW w:w="1049" w:type="dxa"/>
          </w:tcPr>
          <w:p w14:paraId="60C63B95"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12</w:t>
            </w:r>
          </w:p>
        </w:tc>
        <w:tc>
          <w:tcPr>
            <w:tcW w:w="1049" w:type="dxa"/>
          </w:tcPr>
          <w:p w14:paraId="2FE8AD2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-23233</w:t>
            </w:r>
          </w:p>
        </w:tc>
        <w:tc>
          <w:tcPr>
            <w:tcW w:w="1218" w:type="dxa"/>
          </w:tcPr>
          <w:p w14:paraId="0C478BD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-23045</w:t>
            </w:r>
          </w:p>
        </w:tc>
        <w:tc>
          <w:tcPr>
            <w:tcW w:w="666" w:type="dxa"/>
          </w:tcPr>
          <w:p w14:paraId="2FCC3BF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8.1</w:t>
            </w:r>
          </w:p>
        </w:tc>
        <w:tc>
          <w:tcPr>
            <w:tcW w:w="900" w:type="dxa"/>
          </w:tcPr>
          <w:p w14:paraId="4925B83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-0.73</w:t>
            </w:r>
          </w:p>
        </w:tc>
        <w:tc>
          <w:tcPr>
            <w:tcW w:w="1049" w:type="dxa"/>
          </w:tcPr>
          <w:p w14:paraId="4719F4D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-1584</w:t>
            </w:r>
          </w:p>
        </w:tc>
        <w:tc>
          <w:tcPr>
            <w:tcW w:w="910" w:type="dxa"/>
          </w:tcPr>
          <w:p w14:paraId="49D3DA64"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0.094</w:t>
            </w:r>
          </w:p>
        </w:tc>
      </w:tr>
    </w:tbl>
    <w:p w14:paraId="19AF7D24" w14:textId="77777777" w:rsidR="00364DED" w:rsidRDefault="00A70A1E">
      <w:pPr>
        <w:pStyle w:val="NoSpacing"/>
        <w:jc w:val="both"/>
        <w:rPr>
          <w:rFonts w:ascii="Times New Roman" w:hAnsi="Times New Roman" w:cs="Times New Roman"/>
          <w:sz w:val="24"/>
          <w:szCs w:val="24"/>
        </w:rPr>
      </w:pPr>
      <w:r>
        <w:rPr>
          <w:rFonts w:ascii="Times New Roman" w:hAnsi="Times New Roman" w:cs="Times New Roman"/>
          <w:sz w:val="24"/>
          <w:szCs w:val="24"/>
        </w:rPr>
        <w:t>*The value of the ionization energies (IE) was calculated with the following equation, IE [M] =</w:t>
      </w:r>
      <w:proofErr w:type="spellStart"/>
      <w:r>
        <w:rPr>
          <w:rFonts w:ascii="Times New Roman" w:hAnsi="Times New Roman" w:cs="Times New Roman"/>
          <w:sz w:val="24"/>
          <w:szCs w:val="24"/>
        </w:rPr>
        <w:t>ΔH</w:t>
      </w:r>
      <w:r>
        <w:rPr>
          <w:rFonts w:ascii="Times New Roman" w:hAnsi="Times New Roman" w:cs="Times New Roman"/>
          <w:sz w:val="24"/>
          <w:szCs w:val="24"/>
          <w:vertAlign w:val="subscript"/>
        </w:rPr>
        <w:t>f</w:t>
      </w:r>
      <w:proofErr w:type="spellEnd"/>
      <w:r>
        <w:rPr>
          <w:rFonts w:ascii="Times New Roman" w:hAnsi="Times New Roman" w:cs="Times New Roman"/>
          <w:sz w:val="24"/>
          <w:szCs w:val="24"/>
        </w:rPr>
        <w:t xml:space="preserve"> [M] </w:t>
      </w:r>
      <w:r>
        <w:rPr>
          <w:rFonts w:ascii="Times New Roman" w:hAnsi="Times New Roman" w:cs="Times New Roman"/>
          <w:sz w:val="24"/>
          <w:szCs w:val="24"/>
          <w:vertAlign w:val="superscript"/>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ΔH</w:t>
      </w:r>
      <w:r>
        <w:rPr>
          <w:rFonts w:ascii="Times New Roman" w:hAnsi="Times New Roman" w:cs="Times New Roman"/>
          <w:sz w:val="24"/>
          <w:szCs w:val="24"/>
          <w:vertAlign w:val="subscript"/>
        </w:rPr>
        <w:t>f</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[M]; where </w:t>
      </w:r>
      <w:proofErr w:type="spellStart"/>
      <w:r>
        <w:rPr>
          <w:rFonts w:ascii="Times New Roman" w:hAnsi="Times New Roman" w:cs="Times New Roman"/>
          <w:sz w:val="24"/>
          <w:szCs w:val="24"/>
        </w:rPr>
        <w:t>ΔH</w:t>
      </w:r>
      <w:r>
        <w:rPr>
          <w:rFonts w:ascii="Times New Roman" w:hAnsi="Times New Roman" w:cs="Times New Roman"/>
          <w:sz w:val="24"/>
          <w:szCs w:val="24"/>
          <w:vertAlign w:val="subscript"/>
        </w:rPr>
        <w:t>f</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[M] </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and </w:t>
      </w:r>
      <w:proofErr w:type="spellStart"/>
      <w:r>
        <w:rPr>
          <w:rFonts w:ascii="Times New Roman" w:hAnsi="Times New Roman" w:cs="Times New Roman"/>
          <w:sz w:val="24"/>
          <w:szCs w:val="24"/>
        </w:rPr>
        <w:t>ΔH</w:t>
      </w:r>
      <w:r>
        <w:rPr>
          <w:rFonts w:ascii="Times New Roman" w:hAnsi="Times New Roman" w:cs="Times New Roman"/>
          <w:sz w:val="24"/>
          <w:szCs w:val="24"/>
          <w:vertAlign w:val="subscript"/>
        </w:rPr>
        <w:t>f</w:t>
      </w:r>
      <w:proofErr w:type="spellEnd"/>
      <w:r>
        <w:rPr>
          <w:rFonts w:ascii="Times New Roman" w:hAnsi="Times New Roman" w:cs="Times New Roman"/>
          <w:sz w:val="24"/>
          <w:szCs w:val="24"/>
        </w:rPr>
        <w:t xml:space="preserve"> [M] are the heats of formation of the molecular ion and neutral molecule, respectively.</w:t>
      </w:r>
    </w:p>
    <w:p w14:paraId="7C60A0B8" w14:textId="77777777" w:rsidR="00364DED" w:rsidRDefault="00A70A1E">
      <w:pPr>
        <w:pStyle w:val="NoSpacing"/>
        <w:jc w:val="both"/>
        <w:rPr>
          <w:rFonts w:ascii="Times New Roman" w:hAnsi="Times New Roman" w:cs="Times New Roman"/>
          <w:sz w:val="24"/>
          <w:szCs w:val="24"/>
        </w:rPr>
      </w:pPr>
      <w:r>
        <w:rPr>
          <w:rFonts w:ascii="Times New Roman" w:hAnsi="Times New Roman" w:cs="Times New Roman"/>
          <w:sz w:val="24"/>
          <w:szCs w:val="24"/>
        </w:rPr>
        <w:t>***The value of the electron affinity (EA) was calculated with the following equation, EA [M] =</w:t>
      </w:r>
      <w:proofErr w:type="spellStart"/>
      <w:r>
        <w:rPr>
          <w:rFonts w:ascii="Times New Roman" w:hAnsi="Times New Roman" w:cs="Times New Roman"/>
          <w:sz w:val="24"/>
          <w:szCs w:val="24"/>
        </w:rPr>
        <w:t>ΔH</w:t>
      </w:r>
      <w:r>
        <w:rPr>
          <w:rFonts w:ascii="Times New Roman" w:hAnsi="Times New Roman" w:cs="Times New Roman"/>
          <w:sz w:val="24"/>
          <w:szCs w:val="24"/>
          <w:vertAlign w:val="subscript"/>
        </w:rPr>
        <w:t>f</w:t>
      </w:r>
      <w:proofErr w:type="spellEnd"/>
      <w:r>
        <w:rPr>
          <w:rFonts w:ascii="Times New Roman" w:hAnsi="Times New Roman" w:cs="Times New Roman"/>
          <w:sz w:val="24"/>
          <w:szCs w:val="24"/>
        </w:rPr>
        <w:t xml:space="preserve"> [M] − </w:t>
      </w:r>
      <w:proofErr w:type="spellStart"/>
      <w:r>
        <w:rPr>
          <w:rFonts w:ascii="Times New Roman" w:hAnsi="Times New Roman" w:cs="Times New Roman"/>
          <w:sz w:val="24"/>
          <w:szCs w:val="24"/>
        </w:rPr>
        <w:t>ΔH</w:t>
      </w:r>
      <w:r>
        <w:rPr>
          <w:rFonts w:ascii="Times New Roman" w:hAnsi="Times New Roman" w:cs="Times New Roman"/>
          <w:sz w:val="24"/>
          <w:szCs w:val="24"/>
          <w:vertAlign w:val="subscript"/>
        </w:rPr>
        <w:t>f</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[M]</w:t>
      </w:r>
      <w:r>
        <w:rPr>
          <w:rFonts w:ascii="Times New Roman" w:hAnsi="Times New Roman" w:cs="Times New Roman"/>
          <w:sz w:val="24"/>
          <w:szCs w:val="24"/>
          <w:vertAlign w:val="superscript"/>
        </w:rPr>
        <w:t>-1</w:t>
      </w:r>
      <w:r>
        <w:rPr>
          <w:rFonts w:ascii="Times New Roman" w:hAnsi="Times New Roman" w:cs="Times New Roman"/>
          <w:sz w:val="24"/>
          <w:szCs w:val="24"/>
        </w:rPr>
        <w:t xml:space="preserve">; where </w:t>
      </w:r>
      <w:proofErr w:type="spellStart"/>
      <w:r>
        <w:rPr>
          <w:rFonts w:ascii="Times New Roman" w:hAnsi="Times New Roman" w:cs="Times New Roman"/>
          <w:sz w:val="24"/>
          <w:szCs w:val="24"/>
        </w:rPr>
        <w:t>ΔH</w:t>
      </w:r>
      <w:r>
        <w:rPr>
          <w:rFonts w:ascii="Times New Roman" w:hAnsi="Times New Roman" w:cs="Times New Roman"/>
          <w:sz w:val="24"/>
          <w:szCs w:val="24"/>
          <w:vertAlign w:val="subscript"/>
        </w:rPr>
        <w:t>f</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[M]</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w:t>
      </w:r>
      <w:proofErr w:type="spellStart"/>
      <w:r>
        <w:rPr>
          <w:rFonts w:ascii="Times New Roman" w:hAnsi="Times New Roman" w:cs="Times New Roman"/>
          <w:sz w:val="24"/>
          <w:szCs w:val="24"/>
        </w:rPr>
        <w:t>ΔH</w:t>
      </w:r>
      <w:r>
        <w:rPr>
          <w:rFonts w:ascii="Times New Roman" w:hAnsi="Times New Roman" w:cs="Times New Roman"/>
          <w:sz w:val="24"/>
          <w:szCs w:val="24"/>
          <w:vertAlign w:val="subscript"/>
        </w:rPr>
        <w:t>f</w:t>
      </w:r>
      <w:proofErr w:type="spellEnd"/>
      <w:r>
        <w:rPr>
          <w:rFonts w:ascii="Times New Roman" w:hAnsi="Times New Roman" w:cs="Times New Roman"/>
          <w:sz w:val="24"/>
          <w:szCs w:val="24"/>
        </w:rPr>
        <w:t xml:space="preserve"> [M] are the heats of formation of the anion and neutral molecule, respectively.</w:t>
      </w:r>
    </w:p>
    <w:p w14:paraId="2202C076" w14:textId="77777777" w:rsidR="00364DED" w:rsidRDefault="00364DED">
      <w:pPr>
        <w:autoSpaceDE w:val="0"/>
        <w:autoSpaceDN w:val="0"/>
        <w:adjustRightInd w:val="0"/>
        <w:spacing w:after="0" w:line="360" w:lineRule="auto"/>
        <w:jc w:val="both"/>
        <w:rPr>
          <w:rFonts w:ascii="Times New Roman" w:hAnsi="Times New Roman" w:cs="Times New Roman"/>
          <w:sz w:val="24"/>
          <w:szCs w:val="24"/>
        </w:rPr>
      </w:pPr>
    </w:p>
    <w:p w14:paraId="5E9E2E08" w14:textId="77777777" w:rsidR="00364DED" w:rsidRDefault="00A70A1E">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In this study, the main components in the two studied samples were divided into two groups, the first group (I) are the compounds that contain long chain hydrocarbons containing oxygen atoms in single or double bonds in their structures namely; 9-octadecenoic acid, methyl ester, 9-octadecenoic acid, nonanal, 2-decenal and 2-undecenal. The second group (II) cyclic compounds contain sixth or seventh bonds in their structures including cis-1,3-dimethylcyclohexane and 1,3,5-cycloheptatriene as shown in Figure 3.</w:t>
      </w:r>
    </w:p>
    <w:p w14:paraId="7558C776" w14:textId="77777777" w:rsidR="00364DED" w:rsidRDefault="00364DED">
      <w:pPr>
        <w:spacing w:line="240" w:lineRule="auto"/>
        <w:jc w:val="lowKashida"/>
        <w:rPr>
          <w:rFonts w:ascii="Times New Roman" w:hAnsi="Times New Roman" w:cs="Times New Roman"/>
          <w:sz w:val="24"/>
        </w:rPr>
      </w:pPr>
    </w:p>
    <w:p w14:paraId="69E902E9" w14:textId="77777777" w:rsidR="00364DED" w:rsidRDefault="00A70A1E">
      <w:pPr>
        <w:spacing w:line="240" w:lineRule="auto"/>
        <w:jc w:val="lowKashida"/>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42D5FE4D" wp14:editId="268999A1">
            <wp:extent cx="5943600" cy="3316605"/>
            <wp:effectExtent l="0" t="0" r="0" b="0"/>
            <wp:docPr id="10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2" cstate="print"/>
                    <a:srcRect/>
                    <a:stretch/>
                  </pic:blipFill>
                  <pic:spPr>
                    <a:xfrm>
                      <a:off x="0" y="0"/>
                      <a:ext cx="5943600" cy="3316605"/>
                    </a:xfrm>
                    <a:prstGeom prst="rect">
                      <a:avLst/>
                    </a:prstGeom>
                    <a:ln>
                      <a:noFill/>
                    </a:ln>
                  </pic:spPr>
                </pic:pic>
              </a:graphicData>
            </a:graphic>
          </wp:inline>
        </w:drawing>
      </w:r>
    </w:p>
    <w:p w14:paraId="2B218707" w14:textId="77777777" w:rsidR="00364DED" w:rsidRDefault="00A70A1E">
      <w:r>
        <w:rPr>
          <w:noProof/>
        </w:rPr>
        <w:drawing>
          <wp:inline distT="0" distB="0" distL="0" distR="0" wp14:anchorId="07D77E2C" wp14:editId="711018CD">
            <wp:extent cx="6189260" cy="3248025"/>
            <wp:effectExtent l="0" t="0" r="2540" b="0"/>
            <wp:docPr id="102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3" cstate="print"/>
                    <a:srcRect/>
                    <a:stretch/>
                  </pic:blipFill>
                  <pic:spPr>
                    <a:xfrm>
                      <a:off x="0" y="0"/>
                      <a:ext cx="6189260" cy="3248025"/>
                    </a:xfrm>
                    <a:prstGeom prst="rect">
                      <a:avLst/>
                    </a:prstGeom>
                    <a:ln>
                      <a:noFill/>
                    </a:ln>
                  </pic:spPr>
                </pic:pic>
              </a:graphicData>
            </a:graphic>
          </wp:inline>
        </w:drawing>
      </w:r>
    </w:p>
    <w:p w14:paraId="4045DDFA" w14:textId="77777777" w:rsidR="00364DED" w:rsidRDefault="00A70A1E">
      <w:pPr>
        <w:rPr>
          <w:rFonts w:ascii="Times New Roman" w:hAnsi="Times New Roman" w:cs="Times New Roman"/>
          <w:sz w:val="24"/>
          <w:szCs w:val="24"/>
        </w:rPr>
      </w:pPr>
      <w:r>
        <w:rPr>
          <w:rFonts w:ascii="Times New Roman" w:hAnsi="Times New Roman" w:cs="Times New Roman"/>
          <w:sz w:val="24"/>
          <w:szCs w:val="24"/>
        </w:rPr>
        <w:t xml:space="preserve">Figure 3. The optimized structures and </w:t>
      </w:r>
      <w:proofErr w:type="spellStart"/>
      <w:r>
        <w:rPr>
          <w:rFonts w:ascii="Times New Roman" w:hAnsi="Times New Roman" w:cs="Times New Roman"/>
          <w:sz w:val="24"/>
          <w:szCs w:val="24"/>
        </w:rPr>
        <w:t>Isosurface</w:t>
      </w:r>
      <w:proofErr w:type="spellEnd"/>
      <w:r>
        <w:rPr>
          <w:rFonts w:ascii="Times New Roman" w:hAnsi="Times New Roman" w:cs="Times New Roman"/>
          <w:sz w:val="24"/>
          <w:szCs w:val="24"/>
        </w:rPr>
        <w:t xml:space="preserve"> plot of the electrostatic potential (ESP) of the studied constituents using the Modified Neglect of Diatomic Overlap (MNDO) method at ground state.</w:t>
      </w:r>
    </w:p>
    <w:p w14:paraId="53618FC5" w14:textId="77777777" w:rsidR="00364DED" w:rsidRDefault="00364DED">
      <w:pPr>
        <w:pStyle w:val="ListParagraph"/>
        <w:autoSpaceDE w:val="0"/>
        <w:autoSpaceDN w:val="0"/>
        <w:adjustRightInd w:val="0"/>
        <w:spacing w:after="0" w:line="360" w:lineRule="auto"/>
        <w:ind w:left="0"/>
        <w:jc w:val="both"/>
        <w:rPr>
          <w:rFonts w:ascii="Times New Roman" w:hAnsi="Times New Roman" w:cs="Times New Roman"/>
          <w:sz w:val="24"/>
          <w:szCs w:val="24"/>
        </w:rPr>
      </w:pPr>
    </w:p>
    <w:p w14:paraId="60D54B23" w14:textId="77777777" w:rsidR="00364DED" w:rsidRDefault="00A70A1E">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Table 7 shows all thermodynamic data calculated using MNDO semi-empirical calculation. From the calculated data of the studied molecule (Table 7), one can observe that the negative values of the heat of formations Δ</w:t>
      </w:r>
      <w:r>
        <w:rPr>
          <w:rFonts w:ascii="Times New Roman" w:hAnsi="Times New Roman" w:cs="Times New Roman"/>
          <w:sz w:val="24"/>
          <w:szCs w:val="24"/>
          <w:vertAlign w:val="subscript"/>
        </w:rPr>
        <w:t>F</w:t>
      </w:r>
      <w:r>
        <w:rPr>
          <w:rFonts w:ascii="Times New Roman" w:hAnsi="Times New Roman" w:cs="Times New Roman"/>
          <w:sz w:val="24"/>
          <w:szCs w:val="24"/>
        </w:rPr>
        <w:t xml:space="preserve">(M) and total energy for group (I); 9-octadecenoic acid, methyl ester, 9-octadecenoic acid, nonanal, 2-decenal and 2-undecenal neutral molecules have negative values that mean these molecules are stable and the 9-octadecenoic </w:t>
      </w:r>
      <w:proofErr w:type="gramStart"/>
      <w:r>
        <w:rPr>
          <w:rFonts w:ascii="Times New Roman" w:hAnsi="Times New Roman" w:cs="Times New Roman"/>
          <w:sz w:val="24"/>
          <w:szCs w:val="24"/>
        </w:rPr>
        <w:t>acid,  molecule</w:t>
      </w:r>
      <w:proofErr w:type="gramEnd"/>
      <w:r>
        <w:rPr>
          <w:rFonts w:ascii="Times New Roman" w:hAnsi="Times New Roman" w:cs="Times New Roman"/>
          <w:sz w:val="24"/>
          <w:szCs w:val="24"/>
        </w:rPr>
        <w:t xml:space="preserve"> is the most stable.</w:t>
      </w:r>
    </w:p>
    <w:p w14:paraId="71B05DFF" w14:textId="77777777" w:rsidR="00364DED" w:rsidRDefault="00A70A1E">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This is due to the presence of the oxygen atom (single and double bond) and methyl group in their structures, while group (II) cis-1,3-dimethylcyclohexane and 1,3,5-cycloheptatriene have low values of heat of formations (-37, 29 Kcal/mol, respectively). From these values, the second group is relatively less stable than the first group, which has oxygen atoms in their structures. This is confirmed by the values of dipole </w:t>
      </w:r>
      <w:proofErr w:type="gramStart"/>
      <w:r>
        <w:rPr>
          <w:rFonts w:ascii="Times New Roman" w:hAnsi="Times New Roman" w:cs="Times New Roman"/>
          <w:sz w:val="24"/>
          <w:szCs w:val="24"/>
        </w:rPr>
        <w:t>moment,</w:t>
      </w:r>
      <w:proofErr w:type="gramEnd"/>
      <w:r>
        <w:rPr>
          <w:rFonts w:ascii="Times New Roman" w:hAnsi="Times New Roman" w:cs="Times New Roman"/>
          <w:sz w:val="24"/>
          <w:szCs w:val="24"/>
        </w:rPr>
        <w:t xml:space="preserve"> hence the first group has the higher values of dipole moment (4.046, 4.53, 2.467, 3.116, and 3.117) in comparison with the second group (0.019 and 0.094). Also, one can observe that group (I) has higher values of ionization energies (around 10 eV) in comparison with group (II</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around 8 eV). These are due to the higher stability of group (I). The same was observed in electron affinities values, group (I) has higher values of EA as shown in Table 7.</w:t>
      </w:r>
    </w:p>
    <w:p w14:paraId="1612E923" w14:textId="77777777" w:rsidR="00364DED" w:rsidRDefault="00A70A1E">
      <w:pPr>
        <w:spacing w:line="360" w:lineRule="auto"/>
        <w:ind w:firstLine="567"/>
        <w:jc w:val="both"/>
        <w:rPr>
          <w:rFonts w:ascii="Georgia" w:hAnsi="Georgia"/>
        </w:rPr>
      </w:pPr>
      <w:r>
        <w:rPr>
          <w:rFonts w:ascii="Times New Roman" w:hAnsi="Times New Roman" w:cs="Times New Roman"/>
          <w:sz w:val="24"/>
          <w:szCs w:val="24"/>
        </w:rPr>
        <w:t xml:space="preserve">The electrostatic potential (ESP) field generated by a molecular system is known to be closely related to many of its properties and thus contains valuable information for their description. For this reason, electrostatic characteristics have attracted the attention of researchers in the field of quantitative structure-activity and structure-property relationships </w:t>
      </w:r>
      <w:r>
        <w:fldChar w:fldCharType="begin"/>
      </w:r>
      <w:r>
        <w:instrText xml:space="preserve"> ADDIN EN.CITE &lt;EndNote&gt;&lt;Cite&gt;&lt;Author&gt;Breneman&lt;/Author&gt;&lt;Year&gt;1996&lt;/Year&gt;&lt;RecNum&gt;112&lt;/RecNum&gt;&lt;DisplayText&gt;(Breneman and Martinov, 1996)&lt;/DisplayText&gt;&lt;record&gt;&lt;rec-number&gt;112&lt;/rec-number&gt;&lt;foreign-keys&gt;&lt;key app="EN" db-id="ra9v9ftd2frrvye2et45af2dwpvf99aw5evt" timestamp="1734039189"&gt;112&lt;/key&gt;&lt;/foreign-keys&gt;&lt;ref-type name="Book Section"&gt;5&lt;/ref-type&gt;&lt;contributors&gt;&lt;authors&gt;&lt;author&gt;Breneman, C. M.&lt;/author&gt;&lt;author&gt;Martinov, Martin&lt;/author&gt;&lt;/authors&gt;&lt;secondary-authors&gt;&lt;author&gt;Murray, Jane S.&lt;/author&gt;&lt;author&gt;Sen, Kalidas&lt;/author&gt;&lt;/secondary-authors&gt;&lt;/contributors&gt;&lt;titles&gt;&lt;title&gt;3 - The Use of Electrostatic Potential Fields in QSAR and QSPR&lt;/title&gt;&lt;secondary-title&gt;Theoretical and Computational Chemistry&lt;/secondary-title&gt;&lt;/titles&gt;&lt;pages&gt;143-179&lt;/pages&gt;&lt;volume&gt;3&lt;/volume&gt;&lt;dates&gt;&lt;year&gt;1996&lt;/year&gt;&lt;pub-dates&gt;&lt;date&gt;1996/01/01/&lt;/date&gt;&lt;/pub-dates&gt;&lt;/dates&gt;&lt;publisher&gt;Elsevier&lt;/publisher&gt;&lt;isbn&gt;1380-7323&lt;/isbn&gt;&lt;urls&gt;&lt;related-urls&gt;&lt;url&gt;https://www.sciencedirect.com/science/article/pii/S1380732396800434&lt;/url&gt;&lt;/related-urls&gt;&lt;/urls&gt;&lt;electronic-resource-num&gt;https://doi.org/10.1016/S1380-7323(96)80043-4&lt;/electronic-resource-num&gt;&lt;/record&gt;&lt;/Cite&gt;&lt;/EndNote&gt;</w:instrText>
      </w:r>
      <w:r>
        <w:fldChar w:fldCharType="separate"/>
      </w:r>
      <w:r>
        <w:rPr>
          <w:noProof/>
        </w:rPr>
        <w:t>(</w:t>
      </w:r>
      <w:hyperlink w:anchor="_ENREF_24" w:tooltip="Breneman, 1996 #112" w:history="1">
        <w:r w:rsidR="00364DED">
          <w:rPr>
            <w:rStyle w:val="Hyperlink"/>
          </w:rPr>
          <w:t>Breneman and Martinov, 1996</w:t>
        </w:r>
      </w:hyperlink>
      <w:r>
        <w:rPr>
          <w:noProof/>
        </w:rPr>
        <w:t>)</w:t>
      </w:r>
      <w:r>
        <w:fldChar w:fldCharType="end"/>
      </w:r>
      <w:r>
        <w:rPr>
          <w:rFonts w:ascii="Times New Roman" w:hAnsi="Times New Roman" w:cs="Times New Roman"/>
          <w:sz w:val="24"/>
          <w:szCs w:val="24"/>
        </w:rPr>
        <w:t xml:space="preserve">.   </w:t>
      </w:r>
    </w:p>
    <w:p w14:paraId="6E86B3F6" w14:textId="77777777" w:rsidR="00364DED" w:rsidRDefault="00A70A1E">
      <w:pPr>
        <w:spacing w:line="360" w:lineRule="auto"/>
        <w:ind w:firstLine="567"/>
        <w:jc w:val="both"/>
        <w:rPr>
          <w:color w:val="548DD4"/>
        </w:rPr>
      </w:pPr>
      <w:r>
        <w:rPr>
          <w:rFonts w:ascii="Times New Roman" w:hAnsi="Times New Roman" w:cs="Times New Roman"/>
          <w:sz w:val="24"/>
          <w:szCs w:val="24"/>
        </w:rPr>
        <w:t xml:space="preserve">From the electrostatic standpoint, the molecule represents a system of charges located at certain spatial points. With this assumption, the electrostatic potential surface (ESP) can be computed in the vicinity of the molecule. The displaying of ESP with real-time interactive color graphics is a powerful tool that can provide significant insights concerning intermolecular association and molecular properties </w:t>
      </w:r>
      <w:r>
        <w:fldChar w:fldCharType="begin"/>
      </w:r>
      <w:r>
        <w:instrText xml:space="preserve"> ADDIN EN.CITE &lt;EndNote&gt;&lt;Cite&gt;&lt;Author&gt;Weiner&lt;/Author&gt;&lt;Year&gt;1982&lt;/Year&gt;&lt;RecNum&gt;113&lt;/RecNum&gt;&lt;DisplayText&gt;(Weiner et al., 1982)&lt;/DisplayText&gt;&lt;record&gt;&lt;rec-number&gt;113&lt;/rec-number&gt;&lt;foreign-keys&gt;&lt;key app="EN" db-id="ra9v9ftd2frrvye2et45af2dwpvf99aw5evt" timestamp="1734039493"&gt;113&lt;/key&gt;&lt;/foreign-keys&gt;&lt;ref-type name="Journal Article"&gt;17&lt;/ref-type&gt;&lt;contributors&gt;&lt;authors&gt;&lt;author&gt;Weiner, P. K.&lt;/author&gt;&lt;author&gt;Langridge, R.&lt;/author&gt;&lt;author&gt;Blaney, J. M.&lt;/author&gt;&lt;author&gt;Schaefer, R.&lt;/author&gt;&lt;author&gt;Kollman, P. A.&lt;/author&gt;&lt;/authors&gt;&lt;/contributors&gt;&lt;titles&gt;&lt;title&gt;Electrostatic potential molecular surfaces&lt;/title&gt;&lt;secondary-title&gt;Proceedings of the National Academy of Sciences&lt;/secondary-title&gt;&lt;/titles&gt;&lt;periodical&gt;&lt;full-title&gt;Proceedings of the National Academy of Sciences&lt;/full-title&gt;&lt;/periodical&gt;&lt;pages&gt;3754-3758&lt;/pages&gt;&lt;volume&gt;79&lt;/volume&gt;&lt;number&gt;12&lt;/number&gt;&lt;dates&gt;&lt;year&gt;1982&lt;/year&gt;&lt;pub-dates&gt;&lt;date&gt;1982/06/01&lt;/date&gt;&lt;/pub-dates&gt;&lt;/dates&gt;&lt;publisher&gt;Proceedings of the National Academy of Sciences&lt;/publisher&gt;&lt;urls&gt;&lt;related-urls&gt;&lt;url&gt;https://doi.org/10.1073/pnas.79.12.3754&lt;/url&gt;&lt;/related-urls&gt;&lt;/urls&gt;&lt;electronic-resource-num&gt;10.1073/pnas.79.12.3754&lt;/electronic-resource-num&gt;&lt;access-date&gt;2024/12/12&lt;/access-date&gt;&lt;/record&gt;&lt;/Cite&gt;&lt;/EndNote&gt;</w:instrText>
      </w:r>
      <w:r>
        <w:fldChar w:fldCharType="separate"/>
      </w:r>
      <w:r>
        <w:rPr>
          <w:noProof/>
        </w:rPr>
        <w:t>(</w:t>
      </w:r>
      <w:hyperlink w:anchor="_ENREF_89" w:tooltip="Weiner, 1982 #113" w:history="1">
        <w:r w:rsidR="00364DED">
          <w:rPr>
            <w:rStyle w:val="Hyperlink"/>
          </w:rPr>
          <w:t>Weiner et al., 1982</w:t>
        </w:r>
      </w:hyperlink>
      <w:r>
        <w:rPr>
          <w:noProof/>
        </w:rPr>
        <w:t>)</w:t>
      </w:r>
      <w:r>
        <w:fldChar w:fldCharType="end"/>
      </w:r>
      <w:r>
        <w:rPr>
          <w:rFonts w:ascii="Times New Roman" w:hAnsi="Times New Roman" w:cs="Times New Roman"/>
          <w:sz w:val="24"/>
          <w:szCs w:val="24"/>
        </w:rPr>
        <w:t xml:space="preserve">. The two-dimensional (2D) mapped surface of the electrostatic potential computed for the conformer optimized with the MNDO method is shown in Fig. 3. This plot gives information on the reactivity of the molecule in reactions with electrophilic or nucleophilic reagents. The red colors indicate negative ESP regions followed by green colors, which denote neutral ESP regions. The color-coded computer </w:t>
      </w:r>
      <w:r>
        <w:rPr>
          <w:rFonts w:ascii="Times New Roman" w:hAnsi="Times New Roman" w:cs="Times New Roman"/>
          <w:sz w:val="24"/>
          <w:szCs w:val="24"/>
        </w:rPr>
        <w:lastRenderedPageBreak/>
        <w:t>graphic representation of the electrostatic potential surface of the molecules 9-octadecenoic acid, methyl ester, 9-octadecenoic acid, nonanal, 2-decenal, and 2-undecenal shows oxygen atoms attached in single and double bond have the highest negative ESP regions, being the sites for electrophilic attack. On the other hand, cis-1,3-dimethylcyclohex and 1,3,5-cycloheptatriene show neutral ESP regions with green colors being the sites for nucleophilic. This means that in the acidic medium, the protonation reaction will occur preferably at the O atom in the first studied group</w:t>
      </w:r>
      <w:r>
        <w:rPr>
          <w:color w:val="548DD4"/>
        </w:rPr>
        <w:t>.</w:t>
      </w:r>
    </w:p>
    <w:p w14:paraId="40B2D2D0" w14:textId="77777777" w:rsidR="00364DED" w:rsidRDefault="00A70A1E">
      <w:pPr>
        <w:pStyle w:val="ListParagraph"/>
        <w:autoSpaceDE w:val="0"/>
        <w:autoSpaceDN w:val="0"/>
        <w:adjustRightInd w:val="0"/>
        <w:spacing w:after="0"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Discussion </w:t>
      </w:r>
    </w:p>
    <w:p w14:paraId="274E4583" w14:textId="77777777" w:rsidR="00364DED" w:rsidRDefault="00A70A1E">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Some infections caused by bacteria, including soft rot (</w:t>
      </w:r>
      <w:proofErr w:type="spellStart"/>
      <w:r>
        <w:rPr>
          <w:rFonts w:ascii="Times New Roman" w:hAnsi="Times New Roman" w:cs="Times New Roman"/>
          <w:i/>
          <w:iCs/>
          <w:sz w:val="24"/>
          <w:szCs w:val="24"/>
        </w:rPr>
        <w:t>Pectobacterium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atrosepticum</w:t>
      </w:r>
      <w:proofErr w:type="spellEnd"/>
      <w:r>
        <w:rPr>
          <w:rFonts w:ascii="Times New Roman" w:hAnsi="Times New Roman" w:cs="Times New Roman"/>
          <w:sz w:val="24"/>
          <w:szCs w:val="24"/>
        </w:rPr>
        <w:t>), brown rot (</w:t>
      </w:r>
      <w:proofErr w:type="spellStart"/>
      <w:r>
        <w:rPr>
          <w:rFonts w:ascii="Times New Roman" w:hAnsi="Times New Roman" w:cs="Times New Roman"/>
          <w:i/>
          <w:iCs/>
          <w:sz w:val="24"/>
          <w:szCs w:val="24"/>
        </w:rPr>
        <w:t>Ralstonia</w:t>
      </w:r>
      <w:proofErr w:type="spellEnd"/>
      <w:r>
        <w:rPr>
          <w:rFonts w:ascii="Times New Roman" w:hAnsi="Times New Roman" w:cs="Times New Roman"/>
          <w:i/>
          <w:iCs/>
          <w:sz w:val="24"/>
          <w:szCs w:val="24"/>
        </w:rPr>
        <w:t xml:space="preserve"> solanacearum</w:t>
      </w:r>
      <w:r>
        <w:rPr>
          <w:rFonts w:ascii="Times New Roman" w:hAnsi="Times New Roman" w:cs="Times New Roman"/>
          <w:sz w:val="24"/>
          <w:szCs w:val="24"/>
        </w:rPr>
        <w:t>), and blackleg diseases (</w:t>
      </w:r>
      <w:proofErr w:type="spellStart"/>
      <w:r>
        <w:rPr>
          <w:rFonts w:ascii="Times New Roman" w:hAnsi="Times New Roman" w:cs="Times New Roman"/>
          <w:i/>
          <w:iCs/>
          <w:sz w:val="24"/>
          <w:szCs w:val="24"/>
        </w:rPr>
        <w:t>Dickeya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solani</w:t>
      </w:r>
      <w:proofErr w:type="spellEnd"/>
      <w:r>
        <w:rPr>
          <w:rFonts w:ascii="Times New Roman" w:hAnsi="Times New Roman" w:cs="Times New Roman"/>
          <w:sz w:val="24"/>
          <w:szCs w:val="24"/>
        </w:rPr>
        <w:t xml:space="preserve">) were identified in potato tubers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9" w:tooltip="Ashmawy, 2018 #62" w:history="1">
        <w:r w:rsidR="00364DED">
          <w:rPr>
            <w:rStyle w:val="Hyperlink"/>
          </w:rPr>
          <w:t>Ashmawy et al., 2018</w:t>
        </w:r>
      </w:hyperlink>
      <w:r>
        <w:rPr>
          <w:rFonts w:ascii="Times New Roman" w:hAnsi="Times New Roman" w:cs="Times New Roman"/>
          <w:noProof/>
          <w:sz w:val="24"/>
          <w:szCs w:val="24"/>
        </w:rPr>
        <w:t xml:space="preserve">; </w:t>
      </w:r>
      <w:hyperlink w:anchor="_ENREF_42" w:tooltip="Kabeil, 2008 #61" w:history="1">
        <w:r w:rsidR="00364DED">
          <w:rPr>
            <w:rStyle w:val="Hyperlink"/>
          </w:rPr>
          <w:t>Kabeil et al., 2008</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The diseases mentioned above are barriers to Egypt's potato production. Therefore, the creation of effective strategies for managing these bacterial infections is essential for improving potato production and exports. </w:t>
      </w:r>
      <w:r>
        <w:rPr>
          <w:rFonts w:ascii="Times New Roman" w:hAnsi="Times New Roman" w:cs="Times New Roman"/>
          <w:i/>
          <w:iCs/>
          <w:sz w:val="24"/>
          <w:szCs w:val="24"/>
        </w:rPr>
        <w:t>Agrobacterium tumefaciens</w:t>
      </w:r>
      <w:r>
        <w:rPr>
          <w:rFonts w:ascii="Times New Roman" w:hAnsi="Times New Roman" w:cs="Times New Roman"/>
          <w:sz w:val="24"/>
          <w:szCs w:val="24"/>
        </w:rPr>
        <w:t xml:space="preserve"> causes crown gall, a soil-borne pathogen that is characterized by the growth of tumors at the sites of wounds </w:t>
      </w:r>
      <w:r>
        <w:fldChar w:fldCharType="begin"/>
      </w:r>
      <w:r>
        <w:instrText xml:space="preserve"> ADDIN EN.CITE &lt;EndNote&gt;&lt;Cite&gt;&lt;Author&gt;Pionnat&lt;/Author&gt;&lt;Year&gt;1999&lt;/Year&gt;&lt;RecNum&gt;63&lt;/RecNum&gt;&lt;DisplayText&gt;(Pionnat et al., 1999)&lt;/DisplayText&gt;&lt;record&gt;&lt;rec-number&gt;63&lt;/rec-number&gt;&lt;foreign-keys&gt;&lt;key app="EN" db-id="ra9v9ftd2frrvye2et45af2dwpvf99aw5evt" timestamp="1705612098"&gt;63&lt;/key&gt;&lt;/foreign-keys&gt;&lt;ref-type name="Journal Article"&gt;17&lt;/ref-type&gt;&lt;contributors&gt;&lt;authors&gt;&lt;author&gt;Pionnat, Sandrine&lt;/author&gt;&lt;author&gt;Keller, Harald&lt;/author&gt;&lt;author&gt;Héricher, Delphine&lt;/author&gt;&lt;author&gt;Bettachini, Andrée&lt;/author&gt;&lt;author&gt;Dessaux, Yves&lt;/author&gt;&lt;author&gt;Nesme, Xavier&lt;/author&gt;&lt;author&gt;Poncet, Christine&lt;/author&gt;&lt;/authors&gt;&lt;/contributors&gt;&lt;titles&gt;&lt;title&gt;Ti Plasmids from AgrobacteriumCharacterize Rootstock Clones That Initiated a Spread of Crown Gall Disease in Mediterranean Countries&lt;/title&gt;&lt;secondary-title&gt;Applied and Environmental Microbiology&lt;/secondary-title&gt;&lt;/titles&gt;&lt;periodical&gt;&lt;full-title&gt;Applied and Environmental Microbiology&lt;/full-title&gt;&lt;/periodical&gt;&lt;pages&gt;4197-4206&lt;/pages&gt;&lt;volume&gt;65&lt;/volume&gt;&lt;number&gt;9&lt;/number&gt;&lt;dates&gt;&lt;year&gt;1999&lt;/year&gt;&lt;pub-dates&gt;&lt;date&gt;1999/09/01&lt;/date&gt;&lt;/pub-dates&gt;&lt;/dates&gt;&lt;publisher&gt;American Society for Microbiology&lt;/publisher&gt;&lt;urls&gt;&lt;related-urls&gt;&lt;url&gt;https://doi.org/10.1128/AEM.65.9.4197-4206.1999&lt;/url&gt;&lt;/related-urls&gt;&lt;/urls&gt;&lt;electronic-resource-num&gt;10.1128/AEM.65.9.4197-4206.1999&lt;/electronic-resource-num&gt;&lt;access-date&gt;2024/01/18&lt;/access-date&gt;&lt;/record&gt;&lt;/Cite&gt;&lt;/EndNote&gt;</w:instrText>
      </w:r>
      <w:r>
        <w:fldChar w:fldCharType="separate"/>
      </w:r>
      <w:r>
        <w:rPr>
          <w:noProof/>
        </w:rPr>
        <w:t>(</w:t>
      </w:r>
      <w:hyperlink w:anchor="_ENREF_59" w:tooltip="Pionnat, 1999 #63" w:history="1">
        <w:r w:rsidR="00364DED">
          <w:rPr>
            <w:rStyle w:val="Hyperlink"/>
          </w:rPr>
          <w:t>Pionnat et al., 1999</w:t>
        </w:r>
      </w:hyperlink>
      <w:r>
        <w:rPr>
          <w:noProof/>
        </w:rPr>
        <w:t>)</w:t>
      </w:r>
      <w:r>
        <w:fldChar w:fldCharType="end"/>
      </w:r>
      <w:r>
        <w:rPr>
          <w:rFonts w:ascii="Times New Roman" w:hAnsi="Times New Roman" w:cs="Times New Roman"/>
          <w:sz w:val="24"/>
          <w:szCs w:val="24"/>
        </w:rPr>
        <w:t xml:space="preserve">. The bacterium may be present as a latent infection or as a systemic infection in the xylem </w:t>
      </w:r>
      <w:r>
        <w:fldChar w:fldCharType="begin"/>
      </w:r>
      <w:r>
        <w:instrText xml:space="preserve"> ADDIN EN.CITE &lt;EndNote&gt;&lt;Cite&gt;&lt;Author&gt;Martí&lt;/Author&gt;&lt;Year&gt;1999&lt;/Year&gt;&lt;RecNum&gt;64&lt;/RecNum&gt;&lt;DisplayText&gt;(Martí et al., 1999)&lt;/DisplayText&gt;&lt;record&gt;&lt;rec-number&gt;64&lt;/rec-number&gt;&lt;foreign-keys&gt;&lt;key app="EN" db-id="ra9v9ftd2frrvye2et45af2dwpvf99aw5evt" timestamp="1705612217"&gt;64&lt;/key&gt;&lt;/foreign-keys&gt;&lt;ref-type name="Journal Article"&gt;17&lt;/ref-type&gt;&lt;contributors&gt;&lt;authors&gt;&lt;author&gt;Martí, Rubén&lt;/author&gt;&lt;author&gt;Cubero, Jaime&lt;/author&gt;&lt;author&gt;Daza, Antonio&lt;/author&gt;&lt;author&gt;Piquer, Jaime&lt;/author&gt;&lt;author&gt;Salcedo, Carmen I.&lt;/author&gt;&lt;author&gt;Morente, Clara&lt;/author&gt;&lt;author&gt;López, María M.&lt;/author&gt;&lt;/authors&gt;&lt;/contributors&gt;&lt;titles&gt;&lt;title&gt;&lt;style face="normal" font="default" size="100%"&gt;Evidence of Migration and Endophytic Presence of &lt;/style&gt;&lt;style face="italic" font="default" size="100%"&gt;Agrobacterium tumefaciens&lt;/style&gt;&lt;style face="normal" font="default" size="100%"&gt; in Rose Plants&lt;/style&gt;&lt;/title&gt;&lt;secondary-title&gt;European Journal of Plant Pathology&lt;/secondary-title&gt;&lt;/titles&gt;&lt;periodical&gt;&lt;full-title&gt;European Journal of Plant Pathology&lt;/full-title&gt;&lt;/periodical&gt;&lt;pages&gt;39-50&lt;/pages&gt;&lt;volume&gt;105&lt;/volume&gt;&lt;number&gt;1&lt;/number&gt;&lt;dates&gt;&lt;year&gt;1999&lt;/year&gt;&lt;pub-dates&gt;&lt;date&gt;1999/01/01&lt;/date&gt;&lt;/pub-dates&gt;&lt;/dates&gt;&lt;isbn&gt;1573-8469&lt;/isbn&gt;&lt;urls&gt;&lt;related-urls&gt;&lt;url&gt;https://doi.org/10.1023/A:1008660500107&lt;/url&gt;&lt;/related-urls&gt;&lt;/urls&gt;&lt;electronic-resource-num&gt;10.1023/A:1008660500107&lt;/electronic-resource-num&gt;&lt;/record&gt;&lt;/Cite&gt;&lt;/EndNote&gt;</w:instrText>
      </w:r>
      <w:r>
        <w:fldChar w:fldCharType="separate"/>
      </w:r>
      <w:r>
        <w:rPr>
          <w:noProof/>
        </w:rPr>
        <w:t>(</w:t>
      </w:r>
      <w:hyperlink w:anchor="_ENREF_48" w:tooltip="Martí, 1999 #64" w:history="1">
        <w:r w:rsidR="00364DED">
          <w:rPr>
            <w:rStyle w:val="Hyperlink"/>
          </w:rPr>
          <w:t>Martí et al., 1999</w:t>
        </w:r>
      </w:hyperlink>
      <w:r>
        <w:rPr>
          <w:noProof/>
        </w:rPr>
        <w:t>)</w:t>
      </w:r>
      <w:r>
        <w:fldChar w:fldCharType="end"/>
      </w:r>
      <w:r>
        <w:rPr>
          <w:rFonts w:ascii="Times New Roman" w:hAnsi="Times New Roman" w:cs="Times New Roman"/>
          <w:sz w:val="24"/>
          <w:szCs w:val="24"/>
        </w:rPr>
        <w:t>.</w:t>
      </w:r>
    </w:p>
    <w:p w14:paraId="00CD852A" w14:textId="77777777" w:rsidR="00364DED" w:rsidRDefault="00A70A1E">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In the present work, bark and wood extracts of </w:t>
      </w:r>
      <w:r>
        <w:rPr>
          <w:rFonts w:ascii="Times New Roman" w:hAnsi="Times New Roman" w:cs="Times New Roman"/>
          <w:i/>
          <w:iCs/>
          <w:sz w:val="24"/>
          <w:szCs w:val="24"/>
        </w:rPr>
        <w:t xml:space="preserve">Bougainvillea </w:t>
      </w:r>
      <w:proofErr w:type="spellStart"/>
      <w:r>
        <w:rPr>
          <w:rFonts w:ascii="Times New Roman" w:hAnsi="Times New Roman" w:cs="Times New Roman"/>
          <w:i/>
          <w:iCs/>
          <w:sz w:val="24"/>
          <w:szCs w:val="24"/>
        </w:rPr>
        <w:t>spectabilis</w:t>
      </w:r>
      <w:proofErr w:type="spellEnd"/>
      <w:r>
        <w:rPr>
          <w:rFonts w:ascii="Times New Roman" w:hAnsi="Times New Roman" w:cs="Times New Roman"/>
          <w:sz w:val="24"/>
          <w:szCs w:val="24"/>
        </w:rPr>
        <w:t xml:space="preserve"> were </w:t>
      </w:r>
      <w:proofErr w:type="spellStart"/>
      <w:r>
        <w:rPr>
          <w:rFonts w:ascii="Times New Roman" w:hAnsi="Times New Roman" w:cs="Times New Roman"/>
          <w:sz w:val="24"/>
          <w:szCs w:val="24"/>
        </w:rPr>
        <w:t>bioassayed</w:t>
      </w:r>
      <w:proofErr w:type="spellEnd"/>
      <w:r>
        <w:rPr>
          <w:rFonts w:ascii="Times New Roman" w:hAnsi="Times New Roman" w:cs="Times New Roman"/>
          <w:sz w:val="24"/>
          <w:szCs w:val="24"/>
        </w:rPr>
        <w:t xml:space="preserve"> for their potential effects against the growth of some bacterial and fungal strains. The bioactivity of extracts from </w:t>
      </w:r>
      <w:r>
        <w:rPr>
          <w:rFonts w:ascii="Times New Roman" w:hAnsi="Times New Roman" w:cs="Times New Roman"/>
          <w:i/>
          <w:iCs/>
          <w:sz w:val="24"/>
          <w:szCs w:val="24"/>
        </w:rPr>
        <w:t>B. spectabilis</w:t>
      </w:r>
      <w:r>
        <w:rPr>
          <w:rFonts w:ascii="Times New Roman" w:hAnsi="Times New Roman" w:cs="Times New Roman"/>
          <w:sz w:val="24"/>
          <w:szCs w:val="24"/>
        </w:rPr>
        <w:t xml:space="preserve"> against the growth of the bacterial strains </w:t>
      </w:r>
      <w:r>
        <w:rPr>
          <w:rFonts w:ascii="Times New Roman" w:hAnsi="Times New Roman" w:cs="Times New Roman"/>
          <w:i/>
          <w:iCs/>
          <w:sz w:val="24"/>
          <w:szCs w:val="24"/>
        </w:rPr>
        <w:t>A. tumefaciens</w:t>
      </w:r>
      <w:r>
        <w:rPr>
          <w:rFonts w:ascii="Times New Roman" w:hAnsi="Times New Roman" w:cs="Times New Roman"/>
          <w:sz w:val="24"/>
          <w:szCs w:val="24"/>
        </w:rPr>
        <w:t xml:space="preserve">, </w:t>
      </w:r>
      <w:proofErr w:type="spellStart"/>
      <w:r>
        <w:rPr>
          <w:rFonts w:ascii="Times New Roman" w:hAnsi="Times New Roman" w:cs="Times New Roman"/>
          <w:i/>
          <w:iCs/>
          <w:sz w:val="24"/>
          <w:szCs w:val="24"/>
        </w:rPr>
        <w:t>Ralstonia</w:t>
      </w:r>
      <w:proofErr w:type="spellEnd"/>
      <w:r>
        <w:rPr>
          <w:rFonts w:ascii="Times New Roman" w:hAnsi="Times New Roman" w:cs="Times New Roman"/>
          <w:i/>
          <w:iCs/>
          <w:sz w:val="24"/>
          <w:szCs w:val="24"/>
        </w:rPr>
        <w:t xml:space="preserve"> solanacearum</w:t>
      </w:r>
      <w:r>
        <w:rPr>
          <w:rFonts w:ascii="Times New Roman" w:hAnsi="Times New Roman" w:cs="Times New Roman"/>
          <w:sz w:val="24"/>
          <w:szCs w:val="24"/>
        </w:rPr>
        <w:t xml:space="preserve">, </w:t>
      </w:r>
      <w:r>
        <w:rPr>
          <w:rFonts w:ascii="Times New Roman" w:hAnsi="Times New Roman" w:cs="Times New Roman"/>
          <w:i/>
          <w:iCs/>
          <w:sz w:val="24"/>
          <w:szCs w:val="24"/>
        </w:rPr>
        <w:t xml:space="preserve">Erwinia </w:t>
      </w:r>
      <w:proofErr w:type="spellStart"/>
      <w:r>
        <w:rPr>
          <w:rFonts w:ascii="Times New Roman" w:hAnsi="Times New Roman" w:cs="Times New Roman"/>
          <w:i/>
          <w:iCs/>
          <w:sz w:val="24"/>
          <w:szCs w:val="24"/>
        </w:rPr>
        <w:t>amylovora</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Pectobacterium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carotovorum</w:t>
      </w:r>
      <w:proofErr w:type="spellEnd"/>
      <w:r>
        <w:rPr>
          <w:rFonts w:ascii="Times New Roman" w:hAnsi="Times New Roman" w:cs="Times New Roman"/>
          <w:i/>
          <w:iCs/>
          <w:sz w:val="24"/>
          <w:szCs w:val="24"/>
        </w:rPr>
        <w:t>,</w:t>
      </w:r>
      <w:r>
        <w:rPr>
          <w:rFonts w:ascii="Times New Roman" w:hAnsi="Times New Roman" w:cs="Times New Roman"/>
          <w:sz w:val="24"/>
          <w:szCs w:val="24"/>
        </w:rPr>
        <w:t xml:space="preserve"> and </w:t>
      </w:r>
      <w:proofErr w:type="spellStart"/>
      <w:r>
        <w:rPr>
          <w:rFonts w:ascii="Times New Roman" w:hAnsi="Times New Roman" w:cs="Times New Roman"/>
          <w:i/>
          <w:iCs/>
          <w:sz w:val="24"/>
          <w:szCs w:val="24"/>
        </w:rPr>
        <w:t>Dickeya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solani</w:t>
      </w:r>
      <w:proofErr w:type="spellEnd"/>
      <w:r>
        <w:rPr>
          <w:rFonts w:ascii="Times New Roman" w:hAnsi="Times New Roman" w:cs="Times New Roman"/>
          <w:sz w:val="24"/>
          <w:szCs w:val="24"/>
        </w:rPr>
        <w:t xml:space="preserve"> were observed with various degrees of inhibition according to the type of extract and the concentration of extract. Additionally, the reduction of fungal growth of </w:t>
      </w:r>
      <w:proofErr w:type="spellStart"/>
      <w:r>
        <w:rPr>
          <w:rFonts w:ascii="Times New Roman" w:hAnsi="Times New Roman" w:cs="Times New Roman"/>
          <w:i/>
          <w:iCs/>
          <w:sz w:val="24"/>
          <w:szCs w:val="24"/>
        </w:rPr>
        <w:t>Rhizoctonia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solani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Fusarium </w:t>
      </w:r>
      <w:proofErr w:type="spellStart"/>
      <w:r>
        <w:rPr>
          <w:rFonts w:ascii="Times New Roman" w:hAnsi="Times New Roman" w:cs="Times New Roman"/>
          <w:i/>
          <w:iCs/>
          <w:sz w:val="24"/>
          <w:szCs w:val="24"/>
        </w:rPr>
        <w:t>oxysporum</w:t>
      </w:r>
      <w:proofErr w:type="spellEnd"/>
      <w:r>
        <w:rPr>
          <w:rFonts w:ascii="Times New Roman" w:hAnsi="Times New Roman" w:cs="Times New Roman"/>
          <w:i/>
          <w:iCs/>
          <w:sz w:val="24"/>
          <w:szCs w:val="24"/>
        </w:rPr>
        <w:t>,</w:t>
      </w:r>
      <w:r>
        <w:rPr>
          <w:rFonts w:ascii="Times New Roman" w:hAnsi="Times New Roman" w:cs="Times New Roman"/>
          <w:sz w:val="24"/>
          <w:szCs w:val="24"/>
        </w:rPr>
        <w:t xml:space="preserve"> and </w:t>
      </w:r>
      <w:r>
        <w:rPr>
          <w:rFonts w:ascii="Times New Roman" w:hAnsi="Times New Roman" w:cs="Times New Roman"/>
          <w:i/>
          <w:iCs/>
          <w:sz w:val="24"/>
          <w:szCs w:val="24"/>
        </w:rPr>
        <w:t xml:space="preserve">Penicillium </w:t>
      </w:r>
      <w:proofErr w:type="spellStart"/>
      <w:r>
        <w:rPr>
          <w:rFonts w:ascii="Times New Roman" w:hAnsi="Times New Roman" w:cs="Times New Roman"/>
          <w:i/>
          <w:iCs/>
          <w:sz w:val="24"/>
          <w:szCs w:val="24"/>
        </w:rPr>
        <w:t>digitatum</w:t>
      </w:r>
      <w:proofErr w:type="spellEnd"/>
      <w:r>
        <w:rPr>
          <w:rFonts w:ascii="Times New Roman" w:hAnsi="Times New Roman" w:cs="Times New Roman"/>
          <w:sz w:val="24"/>
          <w:szCs w:val="24"/>
        </w:rPr>
        <w:t xml:space="preserve"> was also recorded.</w:t>
      </w:r>
      <w:r>
        <w:t xml:space="preserve"> </w:t>
      </w:r>
      <w:r>
        <w:rPr>
          <w:rFonts w:ascii="Times New Roman" w:hAnsi="Times New Roman" w:cs="Times New Roman"/>
          <w:sz w:val="24"/>
          <w:szCs w:val="24"/>
        </w:rPr>
        <w:t>The presence of general metabolic toxins or substances with a broad spectrum of antibiotic activity against both bacteria and fungi could be indicated by this activity.</w:t>
      </w:r>
    </w:p>
    <w:p w14:paraId="677A562D" w14:textId="77777777" w:rsidR="00364DED" w:rsidRDefault="00A70A1E">
      <w:pPr>
        <w:pStyle w:val="ListParagraph"/>
        <w:autoSpaceDE w:val="0"/>
        <w:autoSpaceDN w:val="0"/>
        <w:adjustRightInd w:val="0"/>
        <w:spacing w:after="0" w:line="360" w:lineRule="auto"/>
        <w:ind w:left="0" w:firstLine="567"/>
        <w:jc w:val="both"/>
        <w:rPr>
          <w:rFonts w:ascii="Times New Roman" w:hAnsi="Times New Roman" w:cs="Times New Roman"/>
          <w:sz w:val="24"/>
          <w:szCs w:val="24"/>
          <w:rtl/>
        </w:rPr>
      </w:pPr>
      <w:r>
        <w:rPr>
          <w:rFonts w:ascii="Times New Roman" w:hAnsi="Times New Roman" w:cs="Times New Roman"/>
          <w:sz w:val="24"/>
          <w:szCs w:val="24"/>
        </w:rPr>
        <w:t xml:space="preserve">The chemical compounds identified in the methanol, acetone, and </w:t>
      </w:r>
      <w:r>
        <w:rPr>
          <w:rFonts w:ascii="Times New Roman" w:hAnsi="Times New Roman" w:cs="Times New Roman"/>
          <w:i/>
          <w:iCs/>
          <w:sz w:val="24"/>
          <w:szCs w:val="24"/>
        </w:rPr>
        <w:t>n</w:t>
      </w:r>
      <w:r>
        <w:rPr>
          <w:rFonts w:ascii="Times New Roman" w:hAnsi="Times New Roman" w:cs="Times New Roman"/>
          <w:sz w:val="24"/>
          <w:szCs w:val="24"/>
        </w:rPr>
        <w:t xml:space="preserve">-butanol extracts from the bark of </w:t>
      </w:r>
      <w:r>
        <w:rPr>
          <w:rFonts w:ascii="Times New Roman" w:hAnsi="Times New Roman" w:cs="Times New Roman"/>
          <w:i/>
          <w:iCs/>
          <w:sz w:val="24"/>
          <w:szCs w:val="24"/>
        </w:rPr>
        <w:t>B. spectabilis</w:t>
      </w:r>
      <w:r>
        <w:rPr>
          <w:rFonts w:ascii="Times New Roman" w:hAnsi="Times New Roman" w:cs="Times New Roman"/>
          <w:sz w:val="24"/>
          <w:szCs w:val="24"/>
        </w:rPr>
        <w:t xml:space="preserve"> as well as the essential oil (EO) from the wood were characterized by the GC-MS analysis. The identified compounds were related to aliphatic hydrocarbons including alkanes, alkenes, and cycloalkanes as well as fatty acids. Several abundant compounds were identified including (Z)-9-octadecenoic acid, oleic acid, retinal, trans-13-octadecenoic acid, cis-13-eicosenoic acid, 9-nonanal, (E)-2-nonenal, octanal, (E)-2-decenal, 2-undecenal, nonanal, </w:t>
      </w:r>
      <w:r>
        <w:rPr>
          <w:rFonts w:ascii="Times New Roman" w:hAnsi="Times New Roman" w:cs="Times New Roman"/>
          <w:i/>
          <w:iCs/>
          <w:sz w:val="24"/>
          <w:szCs w:val="24"/>
        </w:rPr>
        <w:t>cis</w:t>
      </w:r>
      <w:r>
        <w:rPr>
          <w:rFonts w:ascii="Times New Roman" w:hAnsi="Times New Roman" w:cs="Times New Roman"/>
          <w:sz w:val="24"/>
          <w:szCs w:val="24"/>
        </w:rPr>
        <w:t>-</w:t>
      </w:r>
      <w:r>
        <w:rPr>
          <w:rFonts w:ascii="Times New Roman" w:hAnsi="Times New Roman" w:cs="Times New Roman"/>
          <w:sz w:val="24"/>
          <w:szCs w:val="24"/>
        </w:rPr>
        <w:lastRenderedPageBreak/>
        <w:t>1,3-dimethylcyclohexane, 1,3,5-cycloheptatriene, 2-ethyl-1-hexanol, 3-methyl-heptane and methyl-cyclohexane. According to the thermodynamic data calculated using MNDO semi-empirical calculation, the molecules that have negative values mean they are most stable.</w:t>
      </w:r>
    </w:p>
    <w:p w14:paraId="5B48E5D9" w14:textId="77777777" w:rsidR="00364DED" w:rsidRDefault="00A70A1E">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Previous research revealed that the hexane oily extract from </w:t>
      </w:r>
      <w:r>
        <w:rPr>
          <w:rFonts w:ascii="Times New Roman" w:hAnsi="Times New Roman" w:cs="Times New Roman"/>
          <w:i/>
          <w:iCs/>
          <w:sz w:val="24"/>
          <w:szCs w:val="24"/>
        </w:rPr>
        <w:t>B. spectabilis</w:t>
      </w:r>
      <w:r>
        <w:rPr>
          <w:rFonts w:ascii="Times New Roman" w:hAnsi="Times New Roman" w:cs="Times New Roman"/>
          <w:sz w:val="24"/>
          <w:szCs w:val="24"/>
        </w:rPr>
        <w:t xml:space="preserve"> bark contained the most active compounds against </w:t>
      </w:r>
      <w:r>
        <w:rPr>
          <w:rFonts w:ascii="Times New Roman" w:hAnsi="Times New Roman" w:cs="Times New Roman"/>
          <w:i/>
          <w:iCs/>
          <w:sz w:val="24"/>
          <w:szCs w:val="24"/>
        </w:rPr>
        <w:t xml:space="preserve">P. </w:t>
      </w:r>
      <w:proofErr w:type="spellStart"/>
      <w:r>
        <w:rPr>
          <w:rFonts w:ascii="Times New Roman" w:hAnsi="Times New Roman" w:cs="Times New Roman"/>
          <w:i/>
          <w:iCs/>
          <w:sz w:val="24"/>
          <w:szCs w:val="24"/>
        </w:rPr>
        <w:t>carotovorum</w:t>
      </w:r>
      <w:proofErr w:type="spellEnd"/>
      <w:r>
        <w:rPr>
          <w:rFonts w:ascii="Times New Roman" w:hAnsi="Times New Roman" w:cs="Times New Roman"/>
          <w:i/>
          <w:iCs/>
          <w:sz w:val="24"/>
          <w:szCs w:val="24"/>
        </w:rPr>
        <w:t xml:space="preserve"> subsp. </w:t>
      </w:r>
      <w:proofErr w:type="spellStart"/>
      <w:r>
        <w:rPr>
          <w:rFonts w:ascii="Times New Roman" w:hAnsi="Times New Roman" w:cs="Times New Roman"/>
          <w:i/>
          <w:iCs/>
          <w:sz w:val="24"/>
          <w:szCs w:val="24"/>
        </w:rPr>
        <w:t>carotovorum</w:t>
      </w:r>
      <w:proofErr w:type="spellEnd"/>
      <w:r>
        <w:rPr>
          <w:rFonts w:ascii="Times New Roman" w:hAnsi="Times New Roman" w:cs="Times New Roman"/>
          <w:sz w:val="24"/>
          <w:szCs w:val="24"/>
        </w:rPr>
        <w:t xml:space="preserve"> and </w:t>
      </w:r>
      <w:proofErr w:type="spellStart"/>
      <w:r>
        <w:rPr>
          <w:rFonts w:ascii="Times New Roman" w:hAnsi="Times New Roman" w:cs="Times New Roman"/>
          <w:i/>
          <w:iCs/>
          <w:sz w:val="24"/>
          <w:szCs w:val="24"/>
        </w:rPr>
        <w:t>Dickeya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solani</w:t>
      </w:r>
      <w:proofErr w:type="spellEnd"/>
      <w:r>
        <w:rPr>
          <w:rFonts w:ascii="Times New Roman" w:hAnsi="Times New Roman" w:cs="Times New Roman"/>
          <w:sz w:val="24"/>
          <w:szCs w:val="24"/>
        </w:rPr>
        <w:t xml:space="preserve">, with inhibition zone values of 12 and 12.33 mm at a concentration of 4000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mL.</w:t>
      </w:r>
      <w:proofErr w:type="spellEnd"/>
      <w:r>
        <w:rPr>
          <w:rFonts w:ascii="Times New Roman" w:hAnsi="Times New Roman" w:cs="Times New Roman"/>
          <w:sz w:val="24"/>
          <w:szCs w:val="24"/>
        </w:rPr>
        <w:t xml:space="preserve"> These compounds included nonanal, cis-2-nonenal, octanal, </w:t>
      </w:r>
      <w:r>
        <w:rPr>
          <w:rFonts w:ascii="Times New Roman" w:hAnsi="Times New Roman" w:cs="Times New Roman"/>
          <w:i/>
          <w:iCs/>
          <w:sz w:val="24"/>
          <w:szCs w:val="24"/>
        </w:rPr>
        <w:t>β</w:t>
      </w:r>
      <w:r>
        <w:rPr>
          <w:rFonts w:ascii="Times New Roman" w:hAnsi="Times New Roman" w:cs="Times New Roman"/>
          <w:sz w:val="24"/>
          <w:szCs w:val="24"/>
        </w:rPr>
        <w:t xml:space="preserve">-sitosterol, 3-hydroxy-dodecanoic acid, heptanal, 8-oxabicyclo[5.1.0]octane, (E)-2-octen-1-al, 1-decene, (E)-2-decen-1-ol, 9-oxabicyclo[6.1.0]nonan-4-ol, and 1-chlorohexane </w:t>
      </w:r>
      <w:r>
        <w:fldChar w:fldCharType="begin"/>
      </w:r>
      <w:r>
        <w:instrText xml:space="preserve"> ADDIN EN.CITE &lt;EndNote&gt;&lt;Cite&gt;&lt;Author&gt;Ashmawy&lt;/Author&gt;&lt;Year&gt;2020&lt;/Year&gt;&lt;RecNum&gt;68&lt;/RecNum&gt;&lt;DisplayText&gt;(Ashmawy et al., 2020b)&lt;/DisplayText&gt;&lt;record&gt;&lt;rec-number&gt;68&lt;/rec-number&gt;&lt;foreign-keys&gt;&lt;key app="EN" db-id="ra9v9ftd2frrvye2et45af2dwpvf99aw5evt" timestamp="1705668870"&gt;68&lt;/key&gt;&lt;/foreign-keys&gt;&lt;ref-type name="Journal Article"&gt;17&lt;/ref-type&gt;&lt;contributors&gt;&lt;authors&gt;&lt;author&gt;Ashmawy, Nader A&lt;/author&gt;&lt;author&gt;Behiry, Said I&lt;/author&gt;&lt;author&gt;Al-Huqail, Asma A&lt;/author&gt;&lt;author&gt;Ali, Hayssam M&lt;/author&gt;&lt;author&gt;Salem, Mohamed ZM&lt;/author&gt;&lt;/authors&gt;&lt;/contributors&gt;&lt;titles&gt;&lt;title&gt;&lt;style face="normal" font="default" size="100%"&gt;Bioactivity of selected phenolic acids and hexane extracts from &lt;/style&gt;&lt;style face="italic" font="default" size="100%"&gt;Bougainvilla spectabilis&lt;/style&gt;&lt;style face="normal" font="default" size="100%"&gt; and &lt;/style&gt;&lt;style face="italic" font="default" size="100%"&gt;Citharexylum spinosum&lt;/style&gt;&lt;style face="normal" font="default" size="100%"&gt; on the growth of &lt;/style&gt;&lt;style face="italic" font="default" size="100%"&gt;Pectobacterium carotovorum &lt;/style&gt;&lt;style face="normal" font="default" size="100%"&gt;and &lt;/style&gt;&lt;style face="italic" font="default" size="100%"&gt;Dickeya solani&lt;/style&gt;&lt;style face="normal" font="default" size="100%"&gt; bacteria: An opportunity to save the environment&lt;/style&gt;&lt;/title&gt;&lt;secondary-title&gt;Processes&lt;/secondary-title&gt;&lt;/titles&gt;&lt;periodical&gt;&lt;full-title&gt;Processes&lt;/full-title&gt;&lt;/periodical&gt;&lt;pages&gt;482&lt;/pages&gt;&lt;volume&gt;8&lt;/volume&gt;&lt;number&gt;4&lt;/number&gt;&lt;dates&gt;&lt;year&gt;2020&lt;/year&gt;&lt;/dates&gt;&lt;isbn&gt;2227-9717&lt;/isbn&gt;&lt;urls&gt;&lt;/urls&gt;&lt;electronic-resource-num&gt;https://doi.org/10.3390/pr8040482&lt;/electronic-resource-num&gt;&lt;/record&gt;&lt;/Cite&gt;&lt;/EndNote&gt;</w:instrText>
      </w:r>
      <w:r>
        <w:fldChar w:fldCharType="separate"/>
      </w:r>
      <w:r>
        <w:rPr>
          <w:noProof/>
        </w:rPr>
        <w:t>(</w:t>
      </w:r>
      <w:hyperlink w:anchor="_ENREF_17" w:tooltip="Ashmawy, 2020 #68" w:history="1">
        <w:r w:rsidR="00364DED">
          <w:rPr>
            <w:rStyle w:val="Hyperlink"/>
          </w:rPr>
          <w:t>Ashmawy et al., 2020b</w:t>
        </w:r>
      </w:hyperlink>
      <w:r>
        <w:rPr>
          <w:noProof/>
        </w:rPr>
        <w:t>)</w:t>
      </w:r>
      <w:r>
        <w:fldChar w:fldCharType="end"/>
      </w:r>
      <w:r>
        <w:rPr>
          <w:rFonts w:ascii="Times New Roman" w:hAnsi="Times New Roman" w:cs="Times New Roman"/>
          <w:sz w:val="24"/>
          <w:szCs w:val="24"/>
        </w:rPr>
        <w:t xml:space="preserve">. The unsaturated fatty acid 1,2-dipalmitoleoyl glyceryl phosphate, </w:t>
      </w:r>
      <w:r>
        <w:rPr>
          <w:rFonts w:ascii="Times New Roman" w:hAnsi="Times New Roman" w:cs="Times New Roman"/>
          <w:i/>
          <w:iCs/>
          <w:sz w:val="24"/>
          <w:szCs w:val="24"/>
        </w:rPr>
        <w:t>n</w:t>
      </w:r>
      <w:r>
        <w:rPr>
          <w:rFonts w:ascii="Times New Roman" w:hAnsi="Times New Roman" w:cs="Times New Roman"/>
          <w:sz w:val="24"/>
          <w:szCs w:val="24"/>
        </w:rPr>
        <w:t>-</w:t>
      </w:r>
      <w:proofErr w:type="spellStart"/>
      <w:r>
        <w:rPr>
          <w:rFonts w:ascii="Times New Roman" w:hAnsi="Times New Roman" w:cs="Times New Roman"/>
          <w:sz w:val="24"/>
          <w:szCs w:val="24"/>
        </w:rPr>
        <w:t>henetriacontanol</w:t>
      </w:r>
      <w:proofErr w:type="spellEnd"/>
      <w:r>
        <w:rPr>
          <w:rFonts w:ascii="Times New Roman" w:hAnsi="Times New Roman" w:cs="Times New Roman"/>
          <w:sz w:val="24"/>
          <w:szCs w:val="24"/>
        </w:rPr>
        <w:t xml:space="preserve">, and </w:t>
      </w:r>
      <w:r>
        <w:rPr>
          <w:rFonts w:ascii="Times New Roman" w:hAnsi="Times New Roman" w:cs="Times New Roman"/>
          <w:i/>
          <w:iCs/>
          <w:sz w:val="24"/>
          <w:szCs w:val="24"/>
        </w:rPr>
        <w:t>n</w:t>
      </w:r>
      <w:r>
        <w:rPr>
          <w:rFonts w:ascii="Times New Roman" w:hAnsi="Times New Roman" w:cs="Times New Roman"/>
          <w:sz w:val="24"/>
          <w:szCs w:val="24"/>
        </w:rPr>
        <w:t xml:space="preserve">-octacos-9-enoic acid have been isolated from root extract </w:t>
      </w:r>
      <w:r>
        <w:fldChar w:fldCharType="begin"/>
      </w:r>
      <w:r>
        <w:instrText xml:space="preserve"> ADDIN EN.CITE &lt;EndNote&gt;&lt;Cite&gt;&lt;Author&gt;Sumitra&lt;/Author&gt;&lt;Year&gt;2009&lt;/Year&gt;&lt;RecNum&gt;43&lt;/RecNum&gt;&lt;DisplayText&gt;(Sumitra et al., 2009)&lt;/DisplayText&gt;&lt;record&gt;&lt;rec-number&gt;43&lt;/rec-number&gt;&lt;foreign-keys&gt;&lt;key app="EN" db-id="ra9v9ftd2frrvye2et45af2dwpvf99aw5evt" timestamp="1647201711"&gt;43&lt;/key&gt;&lt;/foreign-keys&gt;&lt;ref-type name="Journal Article"&gt;17&lt;/ref-type&gt;&lt;contributors&gt;&lt;authors&gt;&lt;author&gt;Sumitra, Singh&lt;/author&gt;&lt;author&gt;Reddu, Sanjay K&lt;/author&gt;&lt;author&gt;Sharma, Surendra K&lt;/author&gt;&lt;author&gt;Mohammad, Ali&lt;/author&gt;&lt;/authors&gt;&lt;/contributors&gt;&lt;titles&gt;&lt;title&gt;&lt;style face="normal" font="default" size="100%"&gt;New unsaturated fatty acid from roots of &lt;/style&gt;&lt;style face="italic" font="default" size="100%"&gt;Bougainvillea spectabilis&lt;/style&gt;&lt;style face="normal" font="default" size="100%"&gt; Willd&lt;/style&gt;&lt;/title&gt;&lt;secondary-title&gt;Asian Journal of Chemistry&lt;/secondary-title&gt;&lt;/titles&gt;&lt;periodical&gt;&lt;full-title&gt;Asian Journal of Chemistry&lt;/full-title&gt;&lt;/periodical&gt;&lt;pages&gt;4744-4748&lt;/pages&gt;&lt;volume&gt;21&lt;/volume&gt;&lt;number&gt;6&lt;/number&gt;&lt;dates&gt;&lt;year&gt;2009&lt;/year&gt;&lt;/dates&gt;&lt;isbn&gt;0970-7077&lt;/isbn&gt;&lt;urls&gt;&lt;/urls&gt;&lt;/record&gt;&lt;/Cite&gt;&lt;/EndNote&gt;</w:instrText>
      </w:r>
      <w:r>
        <w:fldChar w:fldCharType="separate"/>
      </w:r>
      <w:r>
        <w:rPr>
          <w:noProof/>
        </w:rPr>
        <w:t>(</w:t>
      </w:r>
      <w:hyperlink w:anchor="_ENREF_80" w:tooltip="Sumitra, 2009 #43" w:history="1">
        <w:r w:rsidR="00364DED">
          <w:rPr>
            <w:rStyle w:val="Hyperlink"/>
          </w:rPr>
          <w:t>Sumitra et al., 2009</w:t>
        </w:r>
      </w:hyperlink>
      <w:r>
        <w:rPr>
          <w:noProof/>
        </w:rPr>
        <w:t>)</w:t>
      </w:r>
      <w:r>
        <w:fldChar w:fldCharType="end"/>
      </w:r>
      <w:r>
        <w:rPr>
          <w:rFonts w:ascii="Times New Roman" w:hAnsi="Times New Roman" w:cs="Times New Roman"/>
          <w:sz w:val="24"/>
          <w:szCs w:val="24"/>
        </w:rPr>
        <w:t>. Pinitol, β-sitosterol, quercetin and quercetin-3-O-α-L-</w:t>
      </w:r>
      <w:proofErr w:type="spellStart"/>
      <w:r>
        <w:rPr>
          <w:rFonts w:ascii="Times New Roman" w:hAnsi="Times New Roman" w:cs="Times New Roman"/>
          <w:sz w:val="24"/>
          <w:szCs w:val="24"/>
        </w:rPr>
        <w:t>rhamnopyranoside</w:t>
      </w:r>
      <w:proofErr w:type="spellEnd"/>
      <w:r>
        <w:rPr>
          <w:rFonts w:ascii="Times New Roman" w:hAnsi="Times New Roman" w:cs="Times New Roman"/>
          <w:sz w:val="24"/>
          <w:szCs w:val="24"/>
        </w:rPr>
        <w:t>. For the first time, pinitol, β-sitosterol, quercetin, and quercetin-3-O-α-L-</w:t>
      </w:r>
      <w:proofErr w:type="spellStart"/>
      <w:r>
        <w:rPr>
          <w:rFonts w:ascii="Times New Roman" w:hAnsi="Times New Roman" w:cs="Times New Roman"/>
          <w:sz w:val="24"/>
          <w:szCs w:val="24"/>
        </w:rPr>
        <w:t>rhamnopyranoside</w:t>
      </w:r>
      <w:proofErr w:type="spellEnd"/>
      <w:r>
        <w:rPr>
          <w:rFonts w:ascii="Times New Roman" w:hAnsi="Times New Roman" w:cs="Times New Roman"/>
          <w:sz w:val="24"/>
          <w:szCs w:val="24"/>
        </w:rPr>
        <w:t xml:space="preserve"> were isolated from the stem bark of </w:t>
      </w:r>
      <w:r>
        <w:rPr>
          <w:rFonts w:ascii="Times New Roman" w:hAnsi="Times New Roman" w:cs="Times New Roman"/>
          <w:i/>
          <w:iCs/>
          <w:sz w:val="24"/>
          <w:szCs w:val="24"/>
        </w:rPr>
        <w:t>B. spectabilis</w:t>
      </w:r>
      <w:r>
        <w:rPr>
          <w:rFonts w:ascii="Times New Roman" w:hAnsi="Times New Roman" w:cs="Times New Roman"/>
          <w:sz w:val="24"/>
          <w:szCs w:val="24"/>
        </w:rPr>
        <w:t xml:space="preserve"> </w:t>
      </w:r>
      <w:r>
        <w:fldChar w:fldCharType="begin"/>
      </w:r>
      <w:r>
        <w:instrText xml:space="preserve"> ADDIN EN.CITE &lt;EndNote&gt;&lt;Cite&gt;&lt;Author&gt;Jawla&lt;/Author&gt;&lt;Year&gt;2013&lt;/Year&gt;&lt;RecNum&gt;24&lt;/RecNum&gt;&lt;DisplayText&gt;(Jawla et al., 2013)&lt;/DisplayText&gt;&lt;record&gt;&lt;rec-number&gt;24&lt;/rec-number&gt;&lt;foreign-keys&gt;&lt;key app="EN" db-id="ra9v9ftd2frrvye2et45af2dwpvf99aw5evt" timestamp="1644707767"&gt;24&lt;/key&gt;&lt;/foreign-keys&gt;&lt;ref-type name="Journal Article"&gt;17&lt;/ref-type&gt;&lt;contributors&gt;&lt;authors&gt;&lt;author&gt;Jawla, Sunil&lt;/author&gt;&lt;author&gt;Kumar, Yatendra&lt;/author&gt;&lt;author&gt;Khan, Mohammad Sardar Yar&lt;/author&gt;&lt;/authors&gt;&lt;/contributors&gt;&lt;titles&gt;&lt;title&gt;&lt;style face="normal" font="default" size="100%"&gt;Isolation of antidiabetic principle from &lt;/style&gt;&lt;style face="italic" font="default" size="100%"&gt;Bougainvillea spectabilis&lt;/style&gt;&lt;style face="normal" font="default" size="100%"&gt; willd (Nyctaginaceae) stem bark&lt;/style&gt;&lt;/title&gt;&lt;secondary-title&gt;Tropical Journal of Pharmaceutical Research&lt;/secondary-title&gt;&lt;/titles&gt;&lt;periodical&gt;&lt;full-title&gt;Tropical Journal of Pharmaceutical Research&lt;/full-title&gt;&lt;/periodical&gt;&lt;pages&gt;761-765&lt;/pages&gt;&lt;volume&gt;12&lt;/volume&gt;&lt;number&gt;5&lt;/number&gt;&lt;dates&gt;&lt;year&gt;2013&lt;/year&gt;&lt;/dates&gt;&lt;isbn&gt;1596-9827&lt;/isbn&gt;&lt;urls&gt;&lt;/urls&gt;&lt;electronic-resource-num&gt;http://dx.doi.org/10.4314/tjpr.v12i5.15&lt;/electronic-resource-num&gt;&lt;/record&gt;&lt;/Cite&gt;&lt;/EndNote&gt;</w:instrText>
      </w:r>
      <w:r>
        <w:fldChar w:fldCharType="separate"/>
      </w:r>
      <w:r>
        <w:rPr>
          <w:noProof/>
        </w:rPr>
        <w:t>(</w:t>
      </w:r>
      <w:hyperlink w:anchor="_ENREF_39" w:tooltip="Jawla, 2013 #24" w:history="1">
        <w:r w:rsidR="00364DED">
          <w:rPr>
            <w:rStyle w:val="Hyperlink"/>
          </w:rPr>
          <w:t>Jawla et al., 2013</w:t>
        </w:r>
      </w:hyperlink>
      <w:r>
        <w:rPr>
          <w:noProof/>
        </w:rPr>
        <w:t>)</w:t>
      </w:r>
      <w:r>
        <w:fldChar w:fldCharType="end"/>
      </w:r>
      <w:r>
        <w:rPr>
          <w:rFonts w:ascii="Times New Roman" w:hAnsi="Times New Roman" w:cs="Times New Roman"/>
          <w:sz w:val="24"/>
          <w:szCs w:val="24"/>
        </w:rPr>
        <w:t>.</w:t>
      </w:r>
    </w:p>
    <w:p w14:paraId="16A6918C" w14:textId="77777777" w:rsidR="00364DED" w:rsidRDefault="00A70A1E">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Alkanes, alkenes, and cycloalkanes compounds of </w:t>
      </w:r>
      <w:proofErr w:type="spellStart"/>
      <w:r>
        <w:rPr>
          <w:rFonts w:ascii="Times New Roman" w:hAnsi="Times New Roman" w:cs="Times New Roman"/>
          <w:sz w:val="24"/>
          <w:szCs w:val="24"/>
        </w:rPr>
        <w:t>pentacosane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heptacosane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nonacosane</w:t>
      </w:r>
      <w:proofErr w:type="spellEnd"/>
      <w:r>
        <w:rPr>
          <w:rFonts w:ascii="Times New Roman" w:hAnsi="Times New Roman" w:cs="Times New Roman"/>
          <w:sz w:val="24"/>
          <w:szCs w:val="24"/>
        </w:rPr>
        <w:t xml:space="preserve">, 9-octylhexacosane, 1-nonadecene, 1-hexacosene, and </w:t>
      </w:r>
      <w:proofErr w:type="spellStart"/>
      <w:r>
        <w:rPr>
          <w:rFonts w:ascii="Times New Roman" w:hAnsi="Times New Roman" w:cs="Times New Roman"/>
          <w:sz w:val="24"/>
          <w:szCs w:val="24"/>
        </w:rPr>
        <w:t>cyclooctacosane</w:t>
      </w:r>
      <w:proofErr w:type="spellEnd"/>
      <w:r>
        <w:rPr>
          <w:rFonts w:ascii="Times New Roman" w:hAnsi="Times New Roman" w:cs="Times New Roman"/>
          <w:sz w:val="24"/>
          <w:szCs w:val="24"/>
        </w:rPr>
        <w:t xml:space="preserve"> were identified in bracts with flowers of </w:t>
      </w:r>
      <w:r>
        <w:rPr>
          <w:rFonts w:ascii="Times New Roman" w:hAnsi="Times New Roman" w:cs="Times New Roman"/>
          <w:i/>
          <w:iCs/>
          <w:sz w:val="24"/>
          <w:szCs w:val="24"/>
        </w:rPr>
        <w:t xml:space="preserve">Bougainvillea x </w:t>
      </w:r>
      <w:proofErr w:type="spellStart"/>
      <w:r>
        <w:rPr>
          <w:rFonts w:ascii="Times New Roman" w:hAnsi="Times New Roman" w:cs="Times New Roman"/>
          <w:i/>
          <w:iCs/>
          <w:sz w:val="24"/>
          <w:szCs w:val="24"/>
        </w:rPr>
        <w:t>buttiana</w:t>
      </w:r>
      <w:proofErr w:type="spellEnd"/>
      <w:r>
        <w:rPr>
          <w:rFonts w:ascii="Times New Roman" w:hAnsi="Times New Roman" w:cs="Times New Roman"/>
          <w:sz w:val="24"/>
          <w:szCs w:val="24"/>
        </w:rPr>
        <w:t xml:space="preserve"> </w:t>
      </w:r>
      <w:r>
        <w:fldChar w:fldCharType="begin"/>
      </w:r>
      <w:r>
        <w:instrText xml:space="preserve"> ADDIN EN.CITE &lt;EndNote&gt;&lt;Cite&gt;&lt;Author&gt;Abarca-Vargas&lt;/Author&gt;&lt;Year&gt;2016&lt;/Year&gt;&lt;RecNum&gt;85&lt;/RecNum&gt;&lt;DisplayText&gt;(Abarca-Vargas et al., 2016)&lt;/DisplayText&gt;&lt;record&gt;&lt;rec-number&gt;85&lt;/rec-number&gt;&lt;foreign-keys&gt;&lt;key app="EN" db-id="ra9v9ftd2frrvye2et45af2dwpvf99aw5evt" timestamp="1706302499"&gt;85&lt;/key&gt;&lt;/foreign-keys&gt;&lt;ref-type name="Journal Article"&gt;17&lt;/ref-type&gt;&lt;contributors&gt;&lt;authors&gt;&lt;author&gt;Abarca-Vargas, Rodolfo&lt;/author&gt;&lt;author&gt;Pena Malacara, Carlos F&lt;/author&gt;&lt;author&gt;Petricevich, Vera L&lt;/author&gt;&lt;/authors&gt;&lt;/contributors&gt;&lt;titles&gt;&lt;title&gt;&lt;style face="normal" font="default" size="100%"&gt;Characterization of chemical compounds with antioxidant and cytotoxic activities in &lt;/style&gt;&lt;style face="italic" font="default" size="100%"&gt;Bougainvillea x buttiana &lt;/style&gt;&lt;style face="normal" font="default" size="100%"&gt;holttum and standl, (Var. rose) extracts&lt;/style&gt;&lt;/title&gt;&lt;secondary-title&gt;Antioxidants&lt;/secondary-title&gt;&lt;/titles&gt;&lt;periodical&gt;&lt;full-title&gt;Antioxidants&lt;/full-title&gt;&lt;/periodical&gt;&lt;pages&gt;45&lt;/pages&gt;&lt;volume&gt;5&lt;/volume&gt;&lt;number&gt;4&lt;/number&gt;&lt;dates&gt;&lt;year&gt;2016&lt;/year&gt;&lt;/dates&gt;&lt;isbn&gt;2076-3921&lt;/isbn&gt;&lt;urls&gt;&lt;/urls&gt;&lt;electronic-resource-num&gt;https://doi.org/10.3390/antiox5040045&lt;/electronic-resource-num&gt;&lt;/record&gt;&lt;/Cite&gt;&lt;/EndNote&gt;</w:instrText>
      </w:r>
      <w:r>
        <w:fldChar w:fldCharType="separate"/>
      </w:r>
      <w:r>
        <w:rPr>
          <w:noProof/>
        </w:rPr>
        <w:t>(</w:t>
      </w:r>
      <w:hyperlink w:anchor="_ENREF_1" w:tooltip="Abarca-Vargas, 2016 #85" w:history="1">
        <w:r w:rsidR="00364DED">
          <w:rPr>
            <w:rStyle w:val="Hyperlink"/>
          </w:rPr>
          <w:t>Abarca-Vargas et al., 2016</w:t>
        </w:r>
      </w:hyperlink>
      <w:r>
        <w:rPr>
          <w:noProof/>
        </w:rPr>
        <w:t>)</w:t>
      </w:r>
      <w:r>
        <w:fldChar w:fldCharType="end"/>
      </w:r>
      <w:r>
        <w:rPr>
          <w:rFonts w:ascii="Times New Roman" w:hAnsi="Times New Roman" w:cs="Times New Roman"/>
          <w:sz w:val="24"/>
          <w:szCs w:val="24"/>
        </w:rPr>
        <w:t xml:space="preserve">. Fatty acid compounds like (E)-9-octadecenoic acid, </w:t>
      </w:r>
      <w:proofErr w:type="spellStart"/>
      <w:r>
        <w:rPr>
          <w:rFonts w:ascii="Times New Roman" w:hAnsi="Times New Roman" w:cs="Times New Roman"/>
          <w:sz w:val="24"/>
          <w:szCs w:val="24"/>
        </w:rPr>
        <w:t>hexadecanoic</w:t>
      </w:r>
      <w:proofErr w:type="spellEnd"/>
      <w:r>
        <w:rPr>
          <w:rFonts w:ascii="Times New Roman" w:hAnsi="Times New Roman" w:cs="Times New Roman"/>
          <w:sz w:val="24"/>
          <w:szCs w:val="24"/>
        </w:rPr>
        <w:t xml:space="preserve"> acid, octadecanoic acid, 9,12-octadecadienoic acid (Z,Z), and dodecanoic acid were identified from bracts with flowers of </w:t>
      </w:r>
      <w:r>
        <w:rPr>
          <w:rFonts w:ascii="Times New Roman" w:hAnsi="Times New Roman" w:cs="Times New Roman"/>
          <w:i/>
          <w:iCs/>
          <w:sz w:val="24"/>
          <w:szCs w:val="24"/>
        </w:rPr>
        <w:t xml:space="preserve">Bougainvillea x </w:t>
      </w:r>
      <w:proofErr w:type="spellStart"/>
      <w:r>
        <w:rPr>
          <w:rFonts w:ascii="Times New Roman" w:hAnsi="Times New Roman" w:cs="Times New Roman"/>
          <w:i/>
          <w:iCs/>
          <w:sz w:val="24"/>
          <w:szCs w:val="24"/>
        </w:rPr>
        <w:t>buttiana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 w:tooltip="Abarca-Vargas, 2016 #85" w:history="1">
        <w:r w:rsidR="00364DED">
          <w:rPr>
            <w:rStyle w:val="Hyperlink"/>
          </w:rPr>
          <w:t>Abarca-Vargas et al., 2016</w:t>
        </w:r>
      </w:hyperlink>
      <w:r>
        <w:rPr>
          <w:rFonts w:ascii="Times New Roman" w:hAnsi="Times New Roman" w:cs="Times New Roman"/>
          <w:noProof/>
          <w:sz w:val="24"/>
          <w:szCs w:val="24"/>
        </w:rPr>
        <w:t xml:space="preserve">; </w:t>
      </w:r>
      <w:hyperlink w:anchor="_ENREF_14" w:tooltip="Arteaga Figueroa, 2017 #86" w:history="1">
        <w:r w:rsidR="00364DED">
          <w:rPr>
            <w:rStyle w:val="Hyperlink"/>
          </w:rPr>
          <w:t>Arteaga Figueroa et al., 2017</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while n-octacos-9-enoic acid was identified from </w:t>
      </w:r>
      <w:r>
        <w:rPr>
          <w:rFonts w:ascii="Times New Roman" w:hAnsi="Times New Roman" w:cs="Times New Roman"/>
          <w:i/>
          <w:iCs/>
          <w:sz w:val="24"/>
          <w:szCs w:val="24"/>
        </w:rPr>
        <w:t>B. spectabilis</w:t>
      </w:r>
      <w:r>
        <w:rPr>
          <w:rFonts w:ascii="Times New Roman" w:hAnsi="Times New Roman" w:cs="Times New Roman"/>
          <w:sz w:val="24"/>
          <w:szCs w:val="24"/>
        </w:rPr>
        <w:t xml:space="preserve"> roots </w:t>
      </w:r>
      <w:r>
        <w:fldChar w:fldCharType="begin"/>
      </w:r>
      <w:r>
        <w:instrText xml:space="preserve"> ADDIN EN.CITE &lt;EndNote&gt;&lt;Cite&gt;&lt;Author&gt;Sumitra&lt;/Author&gt;&lt;Year&gt;2009&lt;/Year&gt;&lt;RecNum&gt;87&lt;/RecNum&gt;&lt;DisplayText&gt;(Sumitra et al., 2009)&lt;/DisplayText&gt;&lt;record&gt;&lt;rec-number&gt;87&lt;/rec-number&gt;&lt;foreign-keys&gt;&lt;key app="EN" db-id="ra9v9ftd2frrvye2et45af2dwpvf99aw5evt" timestamp="1706303307"&gt;87&lt;/key&gt;&lt;/foreign-keys&gt;&lt;ref-type name="Journal Article"&gt;17&lt;/ref-type&gt;&lt;contributors&gt;&lt;authors&gt;&lt;author&gt;Sumitra, Singh&lt;/author&gt;&lt;author&gt;Reddu, Sanjay K&lt;/author&gt;&lt;author&gt;Sharma, Surendra K&lt;/author&gt;&lt;author&gt;Mohammad, Ali&lt;/author&gt;&lt;/authors&gt;&lt;/contributors&gt;&lt;titles&gt;&lt;title&gt;&lt;style face="normal" font="default" size="100%"&gt;New unsaturated fatty acid from roots of &lt;/style&gt;&lt;style face="italic" font="default" size="100%"&gt;Bougainvillea spectabilis &lt;/style&gt;&lt;style face="normal" font="default" size="100%"&gt;Willd&lt;/style&gt;&lt;/title&gt;&lt;secondary-title&gt;Asian Journal of Chemistry&lt;/secondary-title&gt;&lt;/titles&gt;&lt;periodical&gt;&lt;full-title&gt;Asian Journal of Chemistry&lt;/full-title&gt;&lt;/periodical&gt;&lt;pages&gt;4744-4748&lt;/pages&gt;&lt;volume&gt;21&lt;/volume&gt;&lt;number&gt;6&lt;/number&gt;&lt;dates&gt;&lt;year&gt;2009&lt;/year&gt;&lt;/dates&gt;&lt;isbn&gt;0970-7077&lt;/isbn&gt;&lt;urls&gt;&lt;/urls&gt;&lt;/record&gt;&lt;/Cite&gt;&lt;/EndNote&gt;</w:instrText>
      </w:r>
      <w:r>
        <w:fldChar w:fldCharType="separate"/>
      </w:r>
      <w:r>
        <w:rPr>
          <w:noProof/>
        </w:rPr>
        <w:t>(</w:t>
      </w:r>
      <w:hyperlink w:anchor="_ENREF_80" w:tooltip="Sumitra, 2009 #43" w:history="1">
        <w:r w:rsidR="00364DED">
          <w:rPr>
            <w:rStyle w:val="Hyperlink"/>
          </w:rPr>
          <w:t>Sumitra et al., 2009</w:t>
        </w:r>
      </w:hyperlink>
      <w:r>
        <w:rPr>
          <w:noProof/>
        </w:rPr>
        <w:t>)</w:t>
      </w:r>
      <w:r>
        <w:fldChar w:fldCharType="end"/>
      </w:r>
      <w:r>
        <w:rPr>
          <w:rFonts w:ascii="Times New Roman" w:hAnsi="Times New Roman" w:cs="Times New Roman"/>
          <w:sz w:val="24"/>
          <w:szCs w:val="24"/>
        </w:rPr>
        <w:t xml:space="preserve">. Several volatile compounds were identified from </w:t>
      </w:r>
      <w:r>
        <w:rPr>
          <w:rFonts w:ascii="Times New Roman" w:hAnsi="Times New Roman" w:cs="Times New Roman"/>
          <w:i/>
          <w:iCs/>
          <w:sz w:val="24"/>
          <w:szCs w:val="24"/>
        </w:rPr>
        <w:t>B. spectabilis</w:t>
      </w:r>
      <w:r>
        <w:rPr>
          <w:rFonts w:ascii="Times New Roman" w:hAnsi="Times New Roman" w:cs="Times New Roman"/>
          <w:sz w:val="24"/>
          <w:szCs w:val="24"/>
        </w:rPr>
        <w:t xml:space="preserve"> leaves and branches including methyl salicylate, butyl </w:t>
      </w:r>
      <w:proofErr w:type="spellStart"/>
      <w:r>
        <w:rPr>
          <w:rFonts w:ascii="Times New Roman" w:hAnsi="Times New Roman" w:cs="Times New Roman"/>
          <w:sz w:val="24"/>
          <w:szCs w:val="24"/>
        </w:rPr>
        <w:t>formate</w:t>
      </w:r>
      <w:proofErr w:type="spellEnd"/>
      <w:r>
        <w:rPr>
          <w:rFonts w:ascii="Times New Roman" w:hAnsi="Times New Roman" w:cs="Times New Roman"/>
          <w:sz w:val="24"/>
          <w:szCs w:val="24"/>
        </w:rPr>
        <w:t xml:space="preserve">, butyl acetate, methyl 2-methylbutanoate, methyl </w:t>
      </w:r>
      <w:proofErr w:type="spellStart"/>
      <w:r>
        <w:rPr>
          <w:rFonts w:ascii="Times New Roman" w:hAnsi="Times New Roman" w:cs="Times New Roman"/>
          <w:sz w:val="24"/>
          <w:szCs w:val="24"/>
        </w:rPr>
        <w:t>hexadecanoate</w:t>
      </w:r>
      <w:proofErr w:type="spellEnd"/>
      <w:r>
        <w:rPr>
          <w:rFonts w:ascii="Times New Roman" w:hAnsi="Times New Roman" w:cs="Times New Roman"/>
          <w:sz w:val="24"/>
          <w:szCs w:val="24"/>
        </w:rPr>
        <w:t xml:space="preserve">, ethyl </w:t>
      </w:r>
      <w:proofErr w:type="spellStart"/>
      <w:r>
        <w:rPr>
          <w:rFonts w:ascii="Times New Roman" w:hAnsi="Times New Roman" w:cs="Times New Roman"/>
          <w:sz w:val="24"/>
          <w:szCs w:val="24"/>
        </w:rPr>
        <w:t>hexadecanoate</w:t>
      </w:r>
      <w:proofErr w:type="spellEnd"/>
      <w:r>
        <w:rPr>
          <w:rFonts w:ascii="Times New Roman" w:hAnsi="Times New Roman" w:cs="Times New Roman"/>
          <w:sz w:val="24"/>
          <w:szCs w:val="24"/>
        </w:rPr>
        <w:t xml:space="preserve">, propyl </w:t>
      </w:r>
      <w:proofErr w:type="spellStart"/>
      <w:r>
        <w:rPr>
          <w:rFonts w:ascii="Times New Roman" w:hAnsi="Times New Roman" w:cs="Times New Roman"/>
          <w:sz w:val="24"/>
          <w:szCs w:val="24"/>
        </w:rPr>
        <w:t>hexadecanoate</w:t>
      </w:r>
      <w:proofErr w:type="spellEnd"/>
      <w:r>
        <w:rPr>
          <w:rFonts w:ascii="Times New Roman" w:hAnsi="Times New Roman" w:cs="Times New Roman"/>
          <w:sz w:val="24"/>
          <w:szCs w:val="24"/>
        </w:rPr>
        <w:t xml:space="preserve">, hexanal, heptanal, ethyl 3-hydroxy-hexanoate, terpinolene, methyl </w:t>
      </w:r>
      <w:proofErr w:type="spellStart"/>
      <w:r>
        <w:rPr>
          <w:rFonts w:ascii="Times New Roman" w:hAnsi="Times New Roman" w:cs="Times New Roman"/>
          <w:sz w:val="24"/>
          <w:szCs w:val="24"/>
        </w:rPr>
        <w:t>linolenate</w:t>
      </w:r>
      <w:proofErr w:type="spellEnd"/>
      <w:r>
        <w:rPr>
          <w:rFonts w:ascii="Times New Roman" w:hAnsi="Times New Roman" w:cs="Times New Roman"/>
          <w:sz w:val="24"/>
          <w:szCs w:val="24"/>
        </w:rPr>
        <w:t xml:space="preserve">, α-(E)-ionone, (Z)-2-hexenal, </w:t>
      </w:r>
      <w:proofErr w:type="spellStart"/>
      <w:r>
        <w:rPr>
          <w:rFonts w:ascii="Times New Roman" w:hAnsi="Times New Roman" w:cs="Times New Roman"/>
          <w:sz w:val="24"/>
          <w:szCs w:val="24"/>
        </w:rPr>
        <w:t>linaool</w:t>
      </w:r>
      <w:proofErr w:type="spellEnd"/>
      <w:r>
        <w:rPr>
          <w:rFonts w:ascii="Times New Roman" w:hAnsi="Times New Roman" w:cs="Times New Roman"/>
          <w:sz w:val="24"/>
          <w:szCs w:val="24"/>
        </w:rPr>
        <w:t xml:space="preserve">, 2-heptadecanone, toluene and (Z)-3-hexenyl salicylate </w:t>
      </w:r>
      <w:r>
        <w:fldChar w:fldCharType="begin"/>
      </w:r>
      <w:r>
        <w:instrText xml:space="preserve"> ADDIN EN.CITE &lt;EndNote&gt;&lt;Cite&gt;&lt;Author&gt;Vukovic&lt;/Author&gt;&lt;Year&gt;2013&lt;/Year&gt;&lt;RecNum&gt;42&lt;/RecNum&gt;&lt;DisplayText&gt;(Vukovic et al., 2013)&lt;/DisplayText&gt;&lt;record&gt;&lt;rec-number&gt;42&lt;/rec-number&gt;&lt;foreign-keys&gt;&lt;key app="EN" db-id="ra9v9ftd2frrvye2et45af2dwpvf99aw5evt" timestamp="1647201281"&gt;42&lt;/key&gt;&lt;/foreign-keys&gt;&lt;ref-type name="Journal Article"&gt;17&lt;/ref-type&gt;&lt;contributors&gt;&lt;authors&gt;&lt;author&gt;Vukovic, Nenad&lt;/author&gt;&lt;author&gt;Kacaniova, Miroslava&lt;/author&gt;&lt;author&gt;Hleba, Lukas&lt;/author&gt;&lt;author&gt;Sukdolak, Slobodan&lt;/author&gt;&lt;/authors&gt;&lt;/contributors&gt;&lt;titles&gt;&lt;title&gt;&lt;style face="normal" font="default" size="100%"&gt;Chemical Composition of the Essential oil of &lt;/style&gt;&lt;style face="italic" font="default" size="100%"&gt;Bougainvillea spectabilis&lt;/style&gt;&lt;style face="normal" font="default" size="100%"&gt; from Montenegro&lt;/style&gt;&lt;/title&gt;&lt;secondary-title&gt;Journal of Essential Oil Bearing Plants&lt;/secondary-title&gt;&lt;/titles&gt;&lt;periodical&gt;&lt;full-title&gt;Journal of Essential Oil Bearing Plants&lt;/full-title&gt;&lt;/periodical&gt;&lt;pages&gt;212-215&lt;/pages&gt;&lt;volume&gt;16&lt;/volume&gt;&lt;number&gt;2&lt;/number&gt;&lt;dates&gt;&lt;year&gt;2013&lt;/year&gt;&lt;pub-dates&gt;&lt;date&gt;2013/04/01&lt;/date&gt;&lt;/pub-dates&gt;&lt;/dates&gt;&lt;publisher&gt;Taylor &amp;amp; Francis&lt;/publisher&gt;&lt;isbn&gt;0972-060X&lt;/isbn&gt;&lt;urls&gt;&lt;related-urls&gt;&lt;url&gt;https://doi.org/10.1080/0972060X.2013.794014&lt;/url&gt;&lt;/related-urls&gt;&lt;/urls&gt;&lt;electronic-resource-num&gt;10.1080/0972060X.2013.794014&lt;/electronic-resource-num&gt;&lt;/record&gt;&lt;/Cite&gt;&lt;/EndNote&gt;</w:instrText>
      </w:r>
      <w:r>
        <w:fldChar w:fldCharType="separate"/>
      </w:r>
      <w:r>
        <w:rPr>
          <w:noProof/>
        </w:rPr>
        <w:t>(</w:t>
      </w:r>
      <w:hyperlink w:anchor="_ENREF_88" w:tooltip="Vukovic, 2013 #42" w:history="1">
        <w:r w:rsidR="00364DED">
          <w:rPr>
            <w:rStyle w:val="Hyperlink"/>
          </w:rPr>
          <w:t>Vukovic et al., 2013</w:t>
        </w:r>
      </w:hyperlink>
      <w:r>
        <w:rPr>
          <w:noProof/>
        </w:rPr>
        <w:t>)</w:t>
      </w:r>
      <w:r>
        <w:fldChar w:fldCharType="end"/>
      </w:r>
      <w:r>
        <w:rPr>
          <w:rFonts w:ascii="Times New Roman" w:hAnsi="Times New Roman" w:cs="Times New Roman"/>
          <w:sz w:val="24"/>
          <w:szCs w:val="24"/>
        </w:rPr>
        <w:t>.</w:t>
      </w:r>
    </w:p>
    <w:p w14:paraId="0F2A67ED" w14:textId="77777777" w:rsidR="00364DED" w:rsidRDefault="00A70A1E">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Various solvent extracts of </w:t>
      </w:r>
      <w:r>
        <w:rPr>
          <w:rFonts w:ascii="Times New Roman" w:hAnsi="Times New Roman" w:cs="Times New Roman"/>
          <w:i/>
          <w:iCs/>
          <w:sz w:val="24"/>
          <w:szCs w:val="24"/>
        </w:rPr>
        <w:t xml:space="preserve">B. spectabilis </w:t>
      </w:r>
      <w:r>
        <w:rPr>
          <w:rFonts w:ascii="Times New Roman" w:hAnsi="Times New Roman" w:cs="Times New Roman"/>
          <w:sz w:val="24"/>
          <w:szCs w:val="24"/>
        </w:rPr>
        <w:t>leaves showed maximum inhibitory effect on all tested bacteria (</w:t>
      </w:r>
      <w:r>
        <w:rPr>
          <w:rFonts w:ascii="Times New Roman" w:hAnsi="Times New Roman" w:cs="Times New Roman"/>
          <w:i/>
          <w:iCs/>
          <w:sz w:val="24"/>
          <w:szCs w:val="24"/>
        </w:rPr>
        <w:t>Staphylococcus aureus</w:t>
      </w:r>
      <w:r>
        <w:rPr>
          <w:rFonts w:ascii="Times New Roman" w:hAnsi="Times New Roman" w:cs="Times New Roman"/>
          <w:sz w:val="24"/>
          <w:szCs w:val="24"/>
        </w:rPr>
        <w:t xml:space="preserve">, </w:t>
      </w:r>
      <w:r>
        <w:rPr>
          <w:rFonts w:ascii="Times New Roman" w:hAnsi="Times New Roman" w:cs="Times New Roman"/>
          <w:i/>
          <w:iCs/>
          <w:sz w:val="24"/>
          <w:szCs w:val="24"/>
        </w:rPr>
        <w:t>Bacillus subtilis</w:t>
      </w:r>
      <w:r>
        <w:rPr>
          <w:rFonts w:ascii="Times New Roman" w:hAnsi="Times New Roman" w:cs="Times New Roman"/>
          <w:sz w:val="24"/>
          <w:szCs w:val="24"/>
        </w:rPr>
        <w:t xml:space="preserve">, </w:t>
      </w:r>
      <w:r>
        <w:rPr>
          <w:rFonts w:ascii="Times New Roman" w:hAnsi="Times New Roman" w:cs="Times New Roman"/>
          <w:i/>
          <w:iCs/>
          <w:sz w:val="24"/>
          <w:szCs w:val="24"/>
        </w:rPr>
        <w:t>Streptococcus faecalis</w:t>
      </w:r>
      <w:r>
        <w:rPr>
          <w:rFonts w:ascii="Times New Roman" w:hAnsi="Times New Roman" w:cs="Times New Roman"/>
          <w:sz w:val="24"/>
          <w:szCs w:val="24"/>
        </w:rPr>
        <w:t xml:space="preserve">, </w:t>
      </w:r>
      <w:r>
        <w:rPr>
          <w:rFonts w:ascii="Times New Roman" w:hAnsi="Times New Roman" w:cs="Times New Roman"/>
          <w:i/>
          <w:iCs/>
          <w:sz w:val="24"/>
          <w:szCs w:val="24"/>
        </w:rPr>
        <w:t>Micrococcus luteus</w:t>
      </w:r>
      <w:r>
        <w:rPr>
          <w:rFonts w:ascii="Times New Roman" w:hAnsi="Times New Roman" w:cs="Times New Roman"/>
          <w:sz w:val="24"/>
          <w:szCs w:val="24"/>
        </w:rPr>
        <w:t xml:space="preserve">, </w:t>
      </w:r>
      <w:r>
        <w:rPr>
          <w:rFonts w:ascii="Times New Roman" w:hAnsi="Times New Roman" w:cs="Times New Roman"/>
          <w:i/>
          <w:iCs/>
          <w:sz w:val="24"/>
          <w:szCs w:val="24"/>
        </w:rPr>
        <w:t>Escherichia coli</w:t>
      </w:r>
      <w:r>
        <w:rPr>
          <w:rFonts w:ascii="Times New Roman" w:hAnsi="Times New Roman" w:cs="Times New Roman"/>
          <w:sz w:val="24"/>
          <w:szCs w:val="24"/>
        </w:rPr>
        <w:t xml:space="preserve">, </w:t>
      </w:r>
      <w:r>
        <w:rPr>
          <w:rFonts w:ascii="Times New Roman" w:hAnsi="Times New Roman" w:cs="Times New Roman"/>
          <w:i/>
          <w:iCs/>
          <w:sz w:val="24"/>
          <w:szCs w:val="24"/>
        </w:rPr>
        <w:t>Pseudomonas aeruginosa</w:t>
      </w:r>
      <w:r>
        <w:rPr>
          <w:rFonts w:ascii="Times New Roman" w:hAnsi="Times New Roman" w:cs="Times New Roman"/>
          <w:sz w:val="24"/>
          <w:szCs w:val="24"/>
        </w:rPr>
        <w:t xml:space="preserve">, </w:t>
      </w:r>
      <w:r>
        <w:rPr>
          <w:rFonts w:ascii="Times New Roman" w:hAnsi="Times New Roman" w:cs="Times New Roman"/>
          <w:i/>
          <w:iCs/>
          <w:sz w:val="24"/>
          <w:szCs w:val="24"/>
        </w:rPr>
        <w:t xml:space="preserve">Salmonella </w:t>
      </w:r>
      <w:proofErr w:type="spellStart"/>
      <w:r>
        <w:rPr>
          <w:rFonts w:ascii="Times New Roman" w:hAnsi="Times New Roman" w:cs="Times New Roman"/>
          <w:i/>
          <w:iCs/>
          <w:sz w:val="24"/>
          <w:szCs w:val="24"/>
        </w:rPr>
        <w:t>typhii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Klebsiella pneumoniae</w:t>
      </w:r>
      <w:r>
        <w:rPr>
          <w:rFonts w:ascii="Times New Roman" w:hAnsi="Times New Roman" w:cs="Times New Roman"/>
          <w:sz w:val="24"/>
          <w:szCs w:val="24"/>
        </w:rPr>
        <w:t xml:space="preserve">, </w:t>
      </w:r>
      <w:r>
        <w:rPr>
          <w:rFonts w:ascii="Times New Roman" w:hAnsi="Times New Roman" w:cs="Times New Roman"/>
          <w:i/>
          <w:iCs/>
          <w:sz w:val="24"/>
          <w:szCs w:val="24"/>
        </w:rPr>
        <w:t>Proteus vulgaris</w:t>
      </w:r>
      <w:r>
        <w:rPr>
          <w:rFonts w:ascii="Times New Roman" w:hAnsi="Times New Roman" w:cs="Times New Roman"/>
          <w:sz w:val="24"/>
          <w:szCs w:val="24"/>
        </w:rPr>
        <w:t xml:space="preserve">, </w:t>
      </w:r>
      <w:r>
        <w:rPr>
          <w:rFonts w:ascii="Times New Roman" w:hAnsi="Times New Roman" w:cs="Times New Roman"/>
          <w:i/>
          <w:iCs/>
          <w:sz w:val="24"/>
          <w:szCs w:val="24"/>
        </w:rPr>
        <w:t>Serratia marcescens</w:t>
      </w:r>
      <w:r>
        <w:rPr>
          <w:rFonts w:ascii="Times New Roman" w:hAnsi="Times New Roman" w:cs="Times New Roman"/>
          <w:sz w:val="24"/>
          <w:szCs w:val="24"/>
        </w:rPr>
        <w:t xml:space="preserve">, and </w:t>
      </w:r>
      <w:r>
        <w:rPr>
          <w:rFonts w:ascii="Times New Roman" w:hAnsi="Times New Roman" w:cs="Times New Roman"/>
          <w:i/>
          <w:iCs/>
          <w:sz w:val="24"/>
          <w:szCs w:val="24"/>
        </w:rPr>
        <w:t>Shigella flexneri</w:t>
      </w:r>
      <w:r>
        <w:rPr>
          <w:rFonts w:ascii="Times New Roman" w:hAnsi="Times New Roman" w:cs="Times New Roman"/>
          <w:sz w:val="24"/>
          <w:szCs w:val="24"/>
        </w:rPr>
        <w:t xml:space="preserve">) except </w:t>
      </w:r>
      <w:r>
        <w:rPr>
          <w:rFonts w:ascii="Times New Roman" w:hAnsi="Times New Roman" w:cs="Times New Roman"/>
          <w:i/>
          <w:iCs/>
          <w:sz w:val="24"/>
          <w:szCs w:val="24"/>
        </w:rPr>
        <w:t>Vibrio cholerae</w:t>
      </w:r>
      <w:r>
        <w:rPr>
          <w:rFonts w:ascii="Times New Roman" w:hAnsi="Times New Roman" w:cs="Times New Roman"/>
          <w:sz w:val="24"/>
          <w:szCs w:val="24"/>
        </w:rPr>
        <w:t xml:space="preserve">  </w:t>
      </w:r>
      <w:r>
        <w:fldChar w:fldCharType="begin"/>
      </w:r>
      <w:r>
        <w:instrText xml:space="preserve"> ADDIN EN.CITE &lt;EndNote&gt;&lt;Cite&gt;&lt;Author&gt;Umamaheswari&lt;/Author&gt;&lt;Year&gt;2008&lt;/Year&gt;&lt;RecNum&gt;71&lt;/RecNum&gt;&lt;DisplayText&gt;(Umamaheswari et al., 2008)&lt;/DisplayText&gt;&lt;record&gt;&lt;rec-number&gt;71&lt;/rec-number&gt;&lt;foreign-keys&gt;&lt;key app="EN" db-id="ra9v9ftd2frrvye2et45af2dwpvf99aw5evt" timestamp="1706044932"&gt;71&lt;/key&gt;&lt;/foreign-keys&gt;&lt;ref-type name="Journal Article"&gt;17&lt;/ref-type&gt;&lt;contributors&gt;&lt;authors&gt;&lt;author&gt;Umamaheswari, A&lt;/author&gt;&lt;author&gt;Shreevidya, R&lt;/author&gt;&lt;author&gt;Nuni, Aparna&lt;/author&gt;&lt;/authors&gt;&lt;/contributors&gt;&lt;titles&gt;&lt;title&gt;&lt;style face="normal" font="default" size="100%"&gt;In vitro antibacterial activity of &lt;/style&gt;&lt;style face="italic" font="default" size="100%"&gt;Bougainvillea spectabilis &lt;/style&gt;&lt;style face="normal" font="default" size="100%"&gt;leaves extracts&lt;/style&gt;&lt;/title&gt;&lt;secondary-title&gt;Advances in Biological Research&lt;/secondary-title&gt;&lt;/titles&gt;&lt;periodical&gt;&lt;full-title&gt;Advances in Biological Research&lt;/full-title&gt;&lt;/periodical&gt;&lt;pages&gt;1-5&lt;/pages&gt;&lt;volume&gt;2&lt;/volume&gt;&lt;number&gt;1-2&lt;/number&gt;&lt;dates&gt;&lt;year&gt;2008&lt;/year&gt;&lt;/dates&gt;&lt;urls&gt;&lt;/urls&gt;&lt;/record&gt;&lt;/Cite&gt;&lt;/EndNote&gt;</w:instrText>
      </w:r>
      <w:r>
        <w:fldChar w:fldCharType="separate"/>
      </w:r>
      <w:r>
        <w:rPr>
          <w:noProof/>
        </w:rPr>
        <w:t>(</w:t>
      </w:r>
      <w:hyperlink w:anchor="_ENREF_84" w:tooltip="Umamaheswari, 2008 #71" w:history="1">
        <w:r w:rsidR="00364DED">
          <w:rPr>
            <w:rStyle w:val="Hyperlink"/>
          </w:rPr>
          <w:t>Umamaheswari et al., 2008</w:t>
        </w:r>
      </w:hyperlink>
      <w:r>
        <w:rPr>
          <w:noProof/>
        </w:rPr>
        <w:t>)</w:t>
      </w:r>
      <w:r>
        <w:fldChar w:fldCharType="end"/>
      </w:r>
      <w:r>
        <w:rPr>
          <w:rFonts w:ascii="Times New Roman" w:hAnsi="Times New Roman" w:cs="Times New Roman"/>
          <w:sz w:val="24"/>
          <w:szCs w:val="24"/>
        </w:rPr>
        <w:t xml:space="preserve">. Considerable antimicrobial activity was observed in all flower extracts of </w:t>
      </w:r>
      <w:r>
        <w:rPr>
          <w:rFonts w:ascii="Times New Roman" w:hAnsi="Times New Roman" w:cs="Times New Roman"/>
          <w:i/>
          <w:iCs/>
          <w:sz w:val="24"/>
          <w:szCs w:val="24"/>
        </w:rPr>
        <w:t xml:space="preserve">B. spectabilis </w:t>
      </w:r>
      <w:r>
        <w:rPr>
          <w:rFonts w:ascii="Times New Roman" w:hAnsi="Times New Roman" w:cs="Times New Roman"/>
          <w:sz w:val="24"/>
          <w:szCs w:val="24"/>
        </w:rPr>
        <w:t xml:space="preserve">with varied effectiveness </w:t>
      </w:r>
      <w:r>
        <w:fldChar w:fldCharType="begin"/>
      </w:r>
      <w:r>
        <w:instrText xml:space="preserve"> ADDIN EN.CITE &lt;EndNote&gt;&lt;Cite&gt;&lt;Author&gt;Sudipta&lt;/Author&gt;&lt;Year&gt;2012&lt;/Year&gt;&lt;RecNum&gt;39&lt;/RecNum&gt;&lt;DisplayText&gt;(Sudipta et al., 2012)&lt;/DisplayText&gt;&lt;record&gt;&lt;rec-number&gt;39&lt;/rec-number&gt;&lt;foreign-keys&gt;&lt;key app="EN" db-id="ra9v9ftd2frrvye2et45af2dwpvf99aw5evt" timestamp="1647198559"&gt;39&lt;/key&gt;&lt;/foreign-keys&gt;&lt;ref-type name="Journal Article"&gt;17&lt;/ref-type&gt;&lt;contributors&gt;&lt;authors&gt;&lt;author&gt;Sudipta, KM&lt;/author&gt;&lt;author&gt;Lokesh, P&lt;/author&gt;&lt;author&gt;Rashmi, W&lt;/author&gt;&lt;author&gt;Vijay, R&lt;/author&gt;&lt;author&gt;Ssn, Kashyap&lt;/author&gt;&lt;/authors&gt;&lt;/contributors&gt;&lt;titles&gt;&lt;title&gt;&lt;style face="normal" font="default" size="100%"&gt;Phytochemical screening and in vitro antimicrobial activity of &lt;/style&gt;&lt;style face="italic" font="default" size="100%"&gt;Bougainvillea spectabilis &lt;/style&gt;&lt;style face="normal" font="default" size="100%"&gt;flower extracts&lt;/style&gt;&lt;/title&gt;&lt;secondary-title&gt;International Journal of Phytomedicine&lt;/secondary-title&gt;&lt;/titles&gt;&lt;periodical&gt;&lt;full-title&gt;International Journal of Phytomedicine&lt;/full-title&gt;&lt;/periodical&gt;&lt;pages&gt;375-379&lt;/pages&gt;&lt;volume&gt;4&lt;/volume&gt;&lt;number&gt;3&lt;/number&gt;&lt;dates&gt;&lt;year&gt;2012&lt;/year&gt;&lt;/dates&gt;&lt;urls&gt;&lt;/urls&gt;&lt;/record&gt;&lt;/Cite&gt;&lt;/EndNote&gt;</w:instrText>
      </w:r>
      <w:r>
        <w:fldChar w:fldCharType="separate"/>
      </w:r>
      <w:r>
        <w:rPr>
          <w:noProof/>
        </w:rPr>
        <w:t>(</w:t>
      </w:r>
      <w:hyperlink w:anchor="_ENREF_79" w:tooltip="Sudipta, 2012 #39" w:history="1">
        <w:r w:rsidR="00364DED">
          <w:rPr>
            <w:rStyle w:val="Hyperlink"/>
          </w:rPr>
          <w:t>Sudipta et al., 2012</w:t>
        </w:r>
      </w:hyperlink>
      <w:r>
        <w:rPr>
          <w:noProof/>
        </w:rPr>
        <w:t>)</w:t>
      </w:r>
      <w:r>
        <w:fldChar w:fldCharType="end"/>
      </w:r>
      <w:r>
        <w:rPr>
          <w:rFonts w:ascii="Times New Roman" w:hAnsi="Times New Roman" w:cs="Times New Roman"/>
          <w:sz w:val="24"/>
          <w:szCs w:val="24"/>
        </w:rPr>
        <w:t xml:space="preserve">. Several solvent extracts </w:t>
      </w:r>
      <w:r>
        <w:rPr>
          <w:rFonts w:ascii="Times New Roman" w:hAnsi="Times New Roman" w:cs="Times New Roman"/>
          <w:sz w:val="24"/>
          <w:szCs w:val="24"/>
        </w:rPr>
        <w:lastRenderedPageBreak/>
        <w:t xml:space="preserve">from </w:t>
      </w:r>
      <w:r>
        <w:rPr>
          <w:rFonts w:ascii="Times New Roman" w:hAnsi="Times New Roman" w:cs="Times New Roman"/>
          <w:i/>
          <w:iCs/>
          <w:sz w:val="24"/>
          <w:szCs w:val="24"/>
        </w:rPr>
        <w:t xml:space="preserve">B. spectabilis </w:t>
      </w:r>
      <w:r>
        <w:rPr>
          <w:rFonts w:ascii="Times New Roman" w:hAnsi="Times New Roman" w:cs="Times New Roman"/>
          <w:sz w:val="24"/>
          <w:szCs w:val="24"/>
        </w:rPr>
        <w:t>leaves observed potential antimicrobial activity against fungi</w:t>
      </w:r>
      <w:r>
        <w:rPr>
          <w:rFonts w:ascii="Times New Roman" w:hAnsi="Times New Roman" w:cs="Times New Roman"/>
          <w:i/>
          <w:iCs/>
          <w:sz w:val="24"/>
          <w:szCs w:val="24"/>
        </w:rPr>
        <w:t xml:space="preserve"> A. fumigatus</w:t>
      </w:r>
      <w:r>
        <w:rPr>
          <w:rFonts w:ascii="Times New Roman" w:hAnsi="Times New Roman" w:cs="Times New Roman"/>
          <w:sz w:val="24"/>
          <w:szCs w:val="24"/>
        </w:rPr>
        <w:t xml:space="preserve">, </w:t>
      </w:r>
      <w:r>
        <w:rPr>
          <w:rFonts w:ascii="Times New Roman" w:hAnsi="Times New Roman" w:cs="Times New Roman"/>
          <w:i/>
          <w:iCs/>
          <w:sz w:val="24"/>
          <w:szCs w:val="24"/>
        </w:rPr>
        <w:t>A. flavus,</w:t>
      </w:r>
      <w:r>
        <w:rPr>
          <w:rFonts w:ascii="Times New Roman" w:hAnsi="Times New Roman" w:cs="Times New Roman"/>
          <w:sz w:val="24"/>
          <w:szCs w:val="24"/>
        </w:rPr>
        <w:t xml:space="preserve"> and </w:t>
      </w:r>
      <w:r>
        <w:rPr>
          <w:rFonts w:ascii="Times New Roman" w:hAnsi="Times New Roman" w:cs="Times New Roman"/>
          <w:i/>
          <w:iCs/>
          <w:sz w:val="24"/>
          <w:szCs w:val="24"/>
        </w:rPr>
        <w:t xml:space="preserve">A. </w:t>
      </w:r>
      <w:proofErr w:type="spellStart"/>
      <w:r>
        <w:rPr>
          <w:rFonts w:ascii="Times New Roman" w:hAnsi="Times New Roman" w:cs="Times New Roman"/>
          <w:i/>
          <w:iCs/>
          <w:sz w:val="24"/>
          <w:szCs w:val="24"/>
        </w:rPr>
        <w:t>niger</w:t>
      </w:r>
      <w:proofErr w:type="spellEnd"/>
      <w:r>
        <w:rPr>
          <w:rFonts w:ascii="Times New Roman" w:hAnsi="Times New Roman" w:cs="Times New Roman"/>
          <w:sz w:val="24"/>
          <w:szCs w:val="24"/>
        </w:rPr>
        <w:t xml:space="preserve"> and bacterial strains </w:t>
      </w:r>
      <w:r>
        <w:rPr>
          <w:rFonts w:ascii="Times New Roman" w:hAnsi="Times New Roman" w:cs="Times New Roman"/>
          <w:i/>
          <w:iCs/>
          <w:sz w:val="24"/>
          <w:szCs w:val="24"/>
        </w:rPr>
        <w:t>E. coli</w:t>
      </w:r>
      <w:r>
        <w:rPr>
          <w:rFonts w:ascii="Times New Roman" w:hAnsi="Times New Roman" w:cs="Times New Roman"/>
          <w:sz w:val="24"/>
          <w:szCs w:val="24"/>
        </w:rPr>
        <w:t xml:space="preserve">, </w:t>
      </w:r>
      <w:r>
        <w:rPr>
          <w:rFonts w:ascii="Times New Roman" w:hAnsi="Times New Roman" w:cs="Times New Roman"/>
          <w:i/>
          <w:iCs/>
          <w:sz w:val="24"/>
          <w:szCs w:val="24"/>
        </w:rPr>
        <w:t>V. cholerae</w:t>
      </w:r>
      <w:r>
        <w:rPr>
          <w:rFonts w:ascii="Times New Roman" w:hAnsi="Times New Roman" w:cs="Times New Roman"/>
          <w:sz w:val="24"/>
          <w:szCs w:val="24"/>
        </w:rPr>
        <w:t xml:space="preserve">, </w:t>
      </w:r>
      <w:r>
        <w:rPr>
          <w:rFonts w:ascii="Times New Roman" w:hAnsi="Times New Roman" w:cs="Times New Roman"/>
          <w:i/>
          <w:iCs/>
          <w:sz w:val="24"/>
          <w:szCs w:val="24"/>
        </w:rPr>
        <w:t>K. pneumoniae</w:t>
      </w:r>
      <w:r>
        <w:rPr>
          <w:rFonts w:ascii="Times New Roman" w:hAnsi="Times New Roman" w:cs="Times New Roman"/>
          <w:sz w:val="24"/>
          <w:szCs w:val="24"/>
        </w:rPr>
        <w:t xml:space="preserve">, </w:t>
      </w:r>
      <w:r>
        <w:rPr>
          <w:rFonts w:ascii="Times New Roman" w:hAnsi="Times New Roman" w:cs="Times New Roman"/>
          <w:i/>
          <w:iCs/>
          <w:sz w:val="24"/>
          <w:szCs w:val="24"/>
        </w:rPr>
        <w:t>S. aureus</w:t>
      </w:r>
      <w:r>
        <w:rPr>
          <w:rFonts w:ascii="Times New Roman" w:hAnsi="Times New Roman" w:cs="Times New Roman"/>
          <w:sz w:val="24"/>
          <w:szCs w:val="24"/>
        </w:rPr>
        <w:t xml:space="preserve">, and </w:t>
      </w:r>
      <w:r>
        <w:rPr>
          <w:rFonts w:ascii="Times New Roman" w:hAnsi="Times New Roman" w:cs="Times New Roman"/>
          <w:i/>
          <w:iCs/>
          <w:sz w:val="24"/>
          <w:szCs w:val="24"/>
        </w:rPr>
        <w:t xml:space="preserve">Streptomyces </w:t>
      </w:r>
      <w:r>
        <w:fldChar w:fldCharType="begin"/>
      </w:r>
      <w:r>
        <w:instrText xml:space="preserve"> ADDIN EN.CITE &lt;EndNote&gt;&lt;Cite&gt;&lt;Author&gt;Dhankhar&lt;/Author&gt;&lt;Year&gt;2013&lt;/Year&gt;&lt;RecNum&gt;82&lt;/RecNum&gt;&lt;DisplayText&gt;(Dhankhar et al., 2013)&lt;/DisplayText&gt;&lt;record&gt;&lt;rec-number&gt;82&lt;/rec-number&gt;&lt;foreign-keys&gt;&lt;key app="EN" db-id="ra9v9ftd2frrvye2et45af2dwpvf99aw5evt" timestamp="1706298095"&gt;82&lt;/key&gt;&lt;/foreign-keys&gt;&lt;ref-type name="Journal Article"&gt;17&lt;/ref-type&gt;&lt;contributors&gt;&lt;authors&gt;&lt;author&gt;Dhankhar, S&lt;/author&gt;&lt;author&gt;Sharma, M&lt;/author&gt;&lt;author&gt;Ruhil, S&lt;/author&gt;&lt;author&gt;Balhara, M&lt;/author&gt;&lt;author&gt;Kumar, M&lt;/author&gt;&lt;author&gt;Chhillar, AK&lt;/author&gt;&lt;/authors&gt;&lt;/contributors&gt;&lt;titles&gt;&lt;title&gt;&lt;style face="normal" font="default" size="100%"&gt;Evaluation of antimicrobial and antioxidant activities of &lt;/style&gt;&lt;style face="italic" font="default" size="100%"&gt;Bougainvillea spectabilis&lt;/style&gt;&lt;/title&gt;&lt;secondary-title&gt;International Journal of Pharmacy and Pharmaceutical Sciences&lt;/secondary-title&gt;&lt;/titles&gt;&lt;periodical&gt;&lt;full-title&gt;International Journal of Pharmacy and Pharmaceutical Sciences&lt;/full-title&gt;&lt;/periodical&gt;&lt;pages&gt;178-182&lt;/pages&gt;&lt;volume&gt;5&lt;/volume&gt;&lt;number&gt;3&lt;/number&gt;&lt;dates&gt;&lt;year&gt;2013&lt;/year&gt;&lt;/dates&gt;&lt;urls&gt;&lt;/urls&gt;&lt;/record&gt;&lt;/Cite&gt;&lt;/EndNote&gt;</w:instrText>
      </w:r>
      <w:r>
        <w:fldChar w:fldCharType="separate"/>
      </w:r>
      <w:r>
        <w:rPr>
          <w:noProof/>
        </w:rPr>
        <w:t>(</w:t>
      </w:r>
      <w:hyperlink w:anchor="_ENREF_28" w:tooltip="Dhankhar, 2013 #82" w:history="1">
        <w:r w:rsidR="00364DED">
          <w:rPr>
            <w:rStyle w:val="Hyperlink"/>
          </w:rPr>
          <w:t>Dhankhar et al., 2013</w:t>
        </w:r>
      </w:hyperlink>
      <w:r>
        <w:rPr>
          <w:noProof/>
        </w:rPr>
        <w:t>)</w:t>
      </w:r>
      <w:r>
        <w:fldChar w:fldCharType="end"/>
      </w:r>
      <w:r>
        <w:rPr>
          <w:rFonts w:ascii="Times New Roman" w:hAnsi="Times New Roman" w:cs="Times New Roman"/>
          <w:sz w:val="24"/>
          <w:szCs w:val="24"/>
        </w:rPr>
        <w:t xml:space="preserve">. Among several solvents, stem extract activity was higher in methanol against the growth of </w:t>
      </w:r>
      <w:r>
        <w:rPr>
          <w:rFonts w:ascii="Times New Roman" w:hAnsi="Times New Roman" w:cs="Times New Roman"/>
          <w:i/>
          <w:iCs/>
          <w:sz w:val="24"/>
          <w:szCs w:val="24"/>
        </w:rPr>
        <w:t>Salmonella typhi</w:t>
      </w:r>
      <w:r>
        <w:rPr>
          <w:rFonts w:ascii="Times New Roman" w:hAnsi="Times New Roman" w:cs="Times New Roman"/>
          <w:sz w:val="24"/>
          <w:szCs w:val="24"/>
        </w:rPr>
        <w:t xml:space="preserve"> </w:t>
      </w:r>
      <w:r>
        <w:fldChar w:fldCharType="begin"/>
      </w:r>
      <w:r>
        <w:instrText xml:space="preserve"> ADDIN EN.CITE &lt;EndNote&gt;&lt;Cite&gt;&lt;Author&gt;Rashid&lt;/Author&gt;&lt;Year&gt;2013&lt;/Year&gt;&lt;RecNum&gt;90&lt;/RecNum&gt;&lt;DisplayText&gt;(Rashid and Ali, 2013)&lt;/DisplayText&gt;&lt;record&gt;&lt;rec-number&gt;90&lt;/rec-number&gt;&lt;foreign-keys&gt;&lt;key app="EN" db-id="ra9v9ftd2frrvye2et45af2dwpvf99aw5evt" timestamp="1706820794"&gt;90&lt;/key&gt;&lt;/foreign-keys&gt;&lt;ref-type name="Journal Article"&gt;17&lt;/ref-type&gt;&lt;contributors&gt;&lt;authors&gt;&lt;author&gt;Rashid, Farzana&lt;/author&gt;&lt;author&gt;Ali, Ijaz&lt;/author&gt;&lt;/authors&gt;&lt;/contributors&gt;&lt;titles&gt;&lt;title&gt;&lt;style face="normal" font="default" size="100%"&gt;Phytochemical analysis and inhibitory activity of ornamental plant (&lt;/style&gt;&lt;style face="italic" font="default" size="100%"&gt;Bougainvillea spectabilis&lt;/style&gt;&lt;style face="normal" font="default" size="100%"&gt;)&lt;/style&gt;&lt;/title&gt;&lt;secondary-title&gt;Asian Journal of Plant Science &amp;amp; Research&lt;/secondary-title&gt;&lt;/titles&gt;&lt;periodical&gt;&lt;full-title&gt;Asian Journal of Plant Science &amp;amp; Research&lt;/full-title&gt;&lt;/periodical&gt;&lt;pages&gt;1-5&lt;/pages&gt;&lt;volume&gt;3&lt;/volume&gt;&lt;number&gt;2&lt;/number&gt;&lt;dates&gt;&lt;year&gt;2013&lt;/year&gt;&lt;/dates&gt;&lt;urls&gt;&lt;/urls&gt;&lt;/record&gt;&lt;/Cite&gt;&lt;/EndNote&gt;</w:instrText>
      </w:r>
      <w:r>
        <w:fldChar w:fldCharType="separate"/>
      </w:r>
      <w:r>
        <w:rPr>
          <w:noProof/>
        </w:rPr>
        <w:t>(</w:t>
      </w:r>
      <w:hyperlink w:anchor="_ENREF_64" w:tooltip="Rashid, 2013 #90" w:history="1">
        <w:r w:rsidR="00364DED">
          <w:rPr>
            <w:rStyle w:val="Hyperlink"/>
          </w:rPr>
          <w:t>Rashid and Ali, 2013</w:t>
        </w:r>
      </w:hyperlink>
      <w:r>
        <w:rPr>
          <w:noProof/>
        </w:rPr>
        <w:t>)</w:t>
      </w:r>
      <w:r>
        <w:fldChar w:fldCharType="end"/>
      </w:r>
      <w:r>
        <w:rPr>
          <w:rFonts w:ascii="Times New Roman" w:hAnsi="Times New Roman" w:cs="Times New Roman"/>
          <w:sz w:val="24"/>
          <w:szCs w:val="24"/>
        </w:rPr>
        <w:t>.</w:t>
      </w:r>
    </w:p>
    <w:p w14:paraId="68E1AE2F" w14:textId="77777777" w:rsidR="00364DED" w:rsidRDefault="00A70A1E">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lang w:bidi="ar-EG"/>
        </w:rPr>
        <w:t xml:space="preserve">Additionally, some other plant extracts that revealed the same components in </w:t>
      </w:r>
      <w:r>
        <w:rPr>
          <w:rFonts w:ascii="Times New Roman" w:hAnsi="Times New Roman" w:cs="Times New Roman"/>
          <w:i/>
          <w:iCs/>
          <w:sz w:val="24"/>
          <w:szCs w:val="24"/>
          <w:lang w:bidi="ar-EG"/>
        </w:rPr>
        <w:t>B. spectabilis</w:t>
      </w:r>
      <w:r>
        <w:rPr>
          <w:rFonts w:ascii="Times New Roman" w:hAnsi="Times New Roman" w:cs="Times New Roman"/>
          <w:sz w:val="24"/>
          <w:szCs w:val="24"/>
          <w:lang w:bidi="ar-EG"/>
        </w:rPr>
        <w:t xml:space="preserve"> extracts showed possible antimicrobial properties. The </w:t>
      </w:r>
      <w:r>
        <w:rPr>
          <w:rFonts w:ascii="Times New Roman" w:hAnsi="Times New Roman" w:cs="Times New Roman"/>
          <w:i/>
          <w:iCs/>
          <w:sz w:val="24"/>
          <w:szCs w:val="24"/>
          <w:lang w:bidi="ar-EG"/>
        </w:rPr>
        <w:t>n</w:t>
      </w:r>
      <w:r>
        <w:rPr>
          <w:rFonts w:ascii="Times New Roman" w:hAnsi="Times New Roman" w:cs="Times New Roman"/>
          <w:sz w:val="24"/>
          <w:szCs w:val="24"/>
          <w:lang w:bidi="ar-EG"/>
        </w:rPr>
        <w:t xml:space="preserve">-butanol extract obtained from </w:t>
      </w:r>
      <w:r>
        <w:rPr>
          <w:rFonts w:ascii="Times New Roman" w:hAnsi="Times New Roman" w:cs="Times New Roman"/>
          <w:i/>
          <w:iCs/>
          <w:sz w:val="24"/>
          <w:szCs w:val="24"/>
          <w:lang w:bidi="ar-EG"/>
        </w:rPr>
        <w:t xml:space="preserve">Pinus </w:t>
      </w:r>
      <w:proofErr w:type="spellStart"/>
      <w:r>
        <w:rPr>
          <w:rFonts w:ascii="Times New Roman" w:hAnsi="Times New Roman" w:cs="Times New Roman"/>
          <w:i/>
          <w:iCs/>
          <w:sz w:val="24"/>
          <w:szCs w:val="24"/>
          <w:lang w:bidi="ar-EG"/>
        </w:rPr>
        <w:t>halepensis</w:t>
      </w:r>
      <w:proofErr w:type="spellEnd"/>
      <w:r>
        <w:rPr>
          <w:rFonts w:ascii="Times New Roman" w:hAnsi="Times New Roman" w:cs="Times New Roman"/>
          <w:i/>
          <w:iCs/>
          <w:sz w:val="24"/>
          <w:szCs w:val="24"/>
          <w:lang w:bidi="ar-EG"/>
        </w:rPr>
        <w:t xml:space="preserve"> </w:t>
      </w:r>
      <w:r>
        <w:rPr>
          <w:rFonts w:ascii="Times New Roman" w:hAnsi="Times New Roman" w:cs="Times New Roman"/>
          <w:sz w:val="24"/>
          <w:szCs w:val="24"/>
          <w:lang w:bidi="ar-EG"/>
        </w:rPr>
        <w:t xml:space="preserve">cones, for example, contains several bioactive compounds, such as </w:t>
      </w:r>
      <w:proofErr w:type="gramStart"/>
      <w:r>
        <w:rPr>
          <w:rFonts w:ascii="Times New Roman" w:hAnsi="Times New Roman" w:cs="Times New Roman"/>
          <w:sz w:val="24"/>
          <w:szCs w:val="24"/>
          <w:lang w:bidi="ar-EG"/>
        </w:rPr>
        <w:t>2,-</w:t>
      </w:r>
      <w:proofErr w:type="gramEnd"/>
      <w:r>
        <w:rPr>
          <w:rFonts w:ascii="Times New Roman" w:hAnsi="Times New Roman" w:cs="Times New Roman"/>
          <w:sz w:val="24"/>
          <w:szCs w:val="24"/>
          <w:lang w:bidi="ar-EG"/>
        </w:rPr>
        <w:t xml:space="preserve">methylenecholestan-3-ol, 3,4-dimethyldihydrofuran-2,5-dione, (Z)-9-octadecenoic acid, trans-2-undecenoic acid, and 3,7-dimethyl-1,7-octanediol. These compounds have been shown to have potential efficaciousness against </w:t>
      </w:r>
      <w:r>
        <w:rPr>
          <w:rFonts w:ascii="Times New Roman" w:hAnsi="Times New Roman" w:cs="Times New Roman"/>
          <w:i/>
          <w:iCs/>
          <w:sz w:val="24"/>
          <w:szCs w:val="24"/>
          <w:lang w:bidi="ar-EG"/>
        </w:rPr>
        <w:t xml:space="preserve">D. </w:t>
      </w:r>
      <w:proofErr w:type="spellStart"/>
      <w:r>
        <w:rPr>
          <w:rFonts w:ascii="Times New Roman" w:hAnsi="Times New Roman" w:cs="Times New Roman"/>
          <w:i/>
          <w:iCs/>
          <w:sz w:val="24"/>
          <w:szCs w:val="24"/>
          <w:lang w:bidi="ar-EG"/>
        </w:rPr>
        <w:t>solani</w:t>
      </w:r>
      <w:proofErr w:type="spellEnd"/>
      <w:r>
        <w:rPr>
          <w:rFonts w:ascii="Times New Roman" w:hAnsi="Times New Roman" w:cs="Times New Roman"/>
          <w:sz w:val="24"/>
          <w:szCs w:val="24"/>
          <w:lang w:bidi="ar-EG"/>
        </w:rPr>
        <w:t xml:space="preserve">, </w:t>
      </w:r>
      <w:r>
        <w:rPr>
          <w:rFonts w:ascii="Times New Roman" w:hAnsi="Times New Roman" w:cs="Times New Roman"/>
          <w:i/>
          <w:iCs/>
          <w:sz w:val="24"/>
          <w:szCs w:val="24"/>
          <w:lang w:bidi="ar-EG"/>
        </w:rPr>
        <w:t>R. solanacearum</w:t>
      </w:r>
      <w:r>
        <w:rPr>
          <w:rFonts w:ascii="Times New Roman" w:hAnsi="Times New Roman" w:cs="Times New Roman"/>
          <w:sz w:val="24"/>
          <w:szCs w:val="24"/>
          <w:lang w:bidi="ar-EG"/>
        </w:rPr>
        <w:t xml:space="preserve">, and </w:t>
      </w:r>
      <w:r>
        <w:rPr>
          <w:rFonts w:ascii="Times New Roman" w:hAnsi="Times New Roman" w:cs="Times New Roman"/>
          <w:i/>
          <w:iCs/>
          <w:sz w:val="24"/>
          <w:szCs w:val="24"/>
          <w:lang w:bidi="ar-EG"/>
        </w:rPr>
        <w:t>A. tumefaciens</w:t>
      </w:r>
      <w:r>
        <w:rPr>
          <w:rFonts w:ascii="Times New Roman" w:hAnsi="Times New Roman" w:cs="Times New Roman"/>
          <w:sz w:val="24"/>
          <w:szCs w:val="24"/>
        </w:rPr>
        <w:t xml:space="preserve"> </w:t>
      </w:r>
      <w:r>
        <w:fldChar w:fldCharType="begin"/>
      </w:r>
      <w:r>
        <w:instrText xml:space="preserve"> ADDIN EN.CITE &lt;EndNote&gt;&lt;Cite&gt;&lt;Author&gt;Ashmawy&lt;/Author&gt;&lt;Year&gt;2020&lt;/Year&gt;&lt;RecNum&gt;50&lt;/RecNum&gt;&lt;DisplayText&gt;(Ashmawy et al., 2020a)&lt;/DisplayText&gt;&lt;record&gt;&lt;rec-number&gt;50&lt;/rec-number&gt;&lt;foreign-keys&gt;&lt;key app="EN" db-id="ra9v9ftd2frrvye2et45af2dwpvf99aw5evt" timestamp="1705598009"&gt;50&lt;/key&gt;&lt;/foreign-keys&gt;&lt;ref-type name="Journal Article"&gt;17&lt;/ref-type&gt;&lt;contributors&gt;&lt;authors&gt;&lt;author&gt;Ashmawy, Nader A.&lt;/author&gt;&lt;author&gt;Al Farraj, Dunia A.&lt;/author&gt;&lt;author&gt;Salem, Mohamed Z. M.&lt;/author&gt;&lt;author&gt;Elshikh, Mohamed S.&lt;/author&gt;&lt;author&gt;Al-Kufaidy, Roua&lt;/author&gt;&lt;author&gt;Alshammari, Mariyam K.&lt;/author&gt;&lt;author&gt;Salem, Abdelfattah Z. M.&lt;/author&gt;&lt;/authors&gt;&lt;/contributors&gt;&lt;titles&gt;&lt;title&gt;&lt;style face="normal" font="default" size="100%"&gt;Potential impacts of &lt;/style&gt;&lt;style face="italic" font="default" size="100%"&gt;Pinus halepensis&lt;/style&gt;&lt;style face="normal" font="default" size="100%"&gt; Miller trees as a source of phytochemical compounds: antibacterial activity of the cones essential oil and n-butanol extract&lt;/style&gt;&lt;/title&gt;&lt;secondary-title&gt;Agroforestry Systems&lt;/secondary-title&gt;&lt;/titles&gt;&lt;periodical&gt;&lt;full-title&gt;Agroforestry Systems&lt;/full-title&gt;&lt;/periodical&gt;&lt;pages&gt;1403-1413&lt;/pages&gt;&lt;volume&gt;94&lt;/volume&gt;&lt;number&gt;4&lt;/number&gt;&lt;dates&gt;&lt;year&gt;2020&lt;/year&gt;&lt;pub-dates&gt;&lt;date&gt;2020/08/01&lt;/date&gt;&lt;/pub-dates&gt;&lt;/dates&gt;&lt;isbn&gt;1572-9680&lt;/isbn&gt;&lt;urls&gt;&lt;related-urls&gt;&lt;url&gt;https://doi.org/10.1007/s10457-018-0324-5&lt;/url&gt;&lt;/related-urls&gt;&lt;/urls&gt;&lt;electronic-resource-num&gt;10.1007/s10457-018-0324-5&lt;/electronic-resource-num&gt;&lt;/record&gt;&lt;/Cite&gt;&lt;/EndNote&gt;</w:instrText>
      </w:r>
      <w:r>
        <w:fldChar w:fldCharType="separate"/>
      </w:r>
      <w:r>
        <w:rPr>
          <w:noProof/>
        </w:rPr>
        <w:t>(</w:t>
      </w:r>
      <w:hyperlink w:anchor="_ENREF_16" w:tooltip="Ashmawy, 2020 #50" w:history="1">
        <w:r w:rsidR="00364DED">
          <w:rPr>
            <w:rStyle w:val="Hyperlink"/>
          </w:rPr>
          <w:t>Ashmawy et al., 2020a</w:t>
        </w:r>
      </w:hyperlink>
      <w:r>
        <w:rPr>
          <w:noProof/>
        </w:rPr>
        <w:t>)</w:t>
      </w:r>
      <w:r>
        <w:fldChar w:fldCharType="end"/>
      </w:r>
      <w:r>
        <w:rPr>
          <w:rFonts w:ascii="Times New Roman" w:hAnsi="Times New Roman" w:cs="Times New Roman"/>
          <w:sz w:val="24"/>
          <w:szCs w:val="24"/>
        </w:rPr>
        <w:t xml:space="preserve">. Hexane extract from wood of </w:t>
      </w:r>
      <w:proofErr w:type="spellStart"/>
      <w:r>
        <w:rPr>
          <w:rFonts w:ascii="Times New Roman" w:hAnsi="Times New Roman" w:cs="Times New Roman"/>
          <w:i/>
          <w:iCs/>
          <w:sz w:val="24"/>
          <w:szCs w:val="24"/>
        </w:rPr>
        <w:t>Citharexylum</w:t>
      </w:r>
      <w:proofErr w:type="spellEnd"/>
      <w:r>
        <w:rPr>
          <w:rFonts w:ascii="Times New Roman" w:hAnsi="Times New Roman" w:cs="Times New Roman"/>
          <w:i/>
          <w:iCs/>
          <w:sz w:val="24"/>
          <w:szCs w:val="24"/>
        </w:rPr>
        <w:t xml:space="preserve"> spinosum</w:t>
      </w:r>
      <w:r>
        <w:rPr>
          <w:rFonts w:ascii="Times New Roman" w:hAnsi="Times New Roman" w:cs="Times New Roman"/>
          <w:sz w:val="24"/>
          <w:szCs w:val="24"/>
        </w:rPr>
        <w:t xml:space="preserve"> showed the presence of 2-undecenal, trans-2-decenal, oleic acid, nonanal, 2-methylenecholestan-3-ol, and (Z)-2-tridecenal and observed an IZ value of 10 mm against the growth of </w:t>
      </w:r>
      <w:r>
        <w:rPr>
          <w:rFonts w:ascii="Times New Roman" w:hAnsi="Times New Roman" w:cs="Times New Roman"/>
          <w:i/>
          <w:iCs/>
          <w:sz w:val="24"/>
          <w:szCs w:val="24"/>
        </w:rPr>
        <w:t xml:space="preserve">P. </w:t>
      </w:r>
      <w:proofErr w:type="spellStart"/>
      <w:r>
        <w:rPr>
          <w:rFonts w:ascii="Times New Roman" w:hAnsi="Times New Roman" w:cs="Times New Roman"/>
          <w:i/>
          <w:iCs/>
          <w:sz w:val="24"/>
          <w:szCs w:val="24"/>
        </w:rPr>
        <w:t>carotovorum</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subsp.</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carotovorum</w:t>
      </w:r>
      <w:proofErr w:type="spellEnd"/>
      <w:r>
        <w:rPr>
          <w:rFonts w:ascii="Times New Roman" w:hAnsi="Times New Roman" w:cs="Times New Roman"/>
          <w:sz w:val="24"/>
          <w:szCs w:val="24"/>
        </w:rPr>
        <w:t xml:space="preserve"> at 4000 µg/mL level of concentration </w:t>
      </w:r>
      <w:r>
        <w:fldChar w:fldCharType="begin"/>
      </w:r>
      <w:r>
        <w:instrText xml:space="preserve"> ADDIN EN.CITE &lt;EndNote&gt;&lt;Cite&gt;&lt;Author&gt;Ashmawy&lt;/Author&gt;&lt;Year&gt;2020&lt;/Year&gt;&lt;RecNum&gt;68&lt;/RecNum&gt;&lt;DisplayText&gt;(Ashmawy et al., 2020b)&lt;/DisplayText&gt;&lt;record&gt;&lt;rec-number&gt;68&lt;/rec-number&gt;&lt;foreign-keys&gt;&lt;key app="EN" db-id="ra9v9ftd2frrvye2et45af2dwpvf99aw5evt" timestamp="1705668870"&gt;68&lt;/key&gt;&lt;/foreign-keys&gt;&lt;ref-type name="Journal Article"&gt;17&lt;/ref-type&gt;&lt;contributors&gt;&lt;authors&gt;&lt;author&gt;Ashmawy, Nader A&lt;/author&gt;&lt;author&gt;Behiry, Said I&lt;/author&gt;&lt;author&gt;Al-Huqail, Asma A&lt;/author&gt;&lt;author&gt;Ali, Hayssam M&lt;/author&gt;&lt;author&gt;Salem, Mohamed ZM&lt;/author&gt;&lt;/authors&gt;&lt;/contributors&gt;&lt;titles&gt;&lt;title&gt;&lt;style face="normal" font="default" size="100%"&gt;Bioactivity of selected phenolic acids and hexane extracts from &lt;/style&gt;&lt;style face="italic" font="default" size="100%"&gt;Bougainvilla spectabilis&lt;/style&gt;&lt;style face="normal" font="default" size="100%"&gt; and &lt;/style&gt;&lt;style face="italic" font="default" size="100%"&gt;Citharexylum spinosum&lt;/style&gt;&lt;style face="normal" font="default" size="100%"&gt; on the growth of &lt;/style&gt;&lt;style face="italic" font="default" size="100%"&gt;Pectobacterium carotovorum &lt;/style&gt;&lt;style face="normal" font="default" size="100%"&gt;and &lt;/style&gt;&lt;style face="italic" font="default" size="100%"&gt;Dickeya solani&lt;/style&gt;&lt;style face="normal" font="default" size="100%"&gt; bacteria: An opportunity to save the environment&lt;/style&gt;&lt;/title&gt;&lt;secondary-title&gt;Processes&lt;/secondary-title&gt;&lt;/titles&gt;&lt;periodical&gt;&lt;full-title&gt;Processes&lt;/full-title&gt;&lt;/periodical&gt;&lt;pages&gt;482&lt;/pages&gt;&lt;volume&gt;8&lt;/volume&gt;&lt;number&gt;4&lt;/number&gt;&lt;dates&gt;&lt;year&gt;2020&lt;/year&gt;&lt;/dates&gt;&lt;isbn&gt;2227-9717&lt;/isbn&gt;&lt;urls&gt;&lt;/urls&gt;&lt;electronic-resource-num&gt;https://doi.org/10.3390/pr8040482&lt;/electronic-resource-num&gt;&lt;/record&gt;&lt;/Cite&gt;&lt;/EndNote&gt;</w:instrText>
      </w:r>
      <w:r>
        <w:fldChar w:fldCharType="separate"/>
      </w:r>
      <w:r>
        <w:rPr>
          <w:noProof/>
        </w:rPr>
        <w:t>(</w:t>
      </w:r>
      <w:hyperlink w:anchor="_ENREF_17" w:tooltip="Ashmawy, 2020 #68" w:history="1">
        <w:r w:rsidR="00364DED">
          <w:rPr>
            <w:rStyle w:val="Hyperlink"/>
          </w:rPr>
          <w:t>Ashmawy et al., 2020b</w:t>
        </w:r>
      </w:hyperlink>
      <w:r>
        <w:rPr>
          <w:noProof/>
        </w:rPr>
        <w:t>)</w:t>
      </w:r>
      <w:r>
        <w:fldChar w:fldCharType="end"/>
      </w:r>
      <w:r>
        <w:rPr>
          <w:rFonts w:ascii="Times New Roman" w:hAnsi="Times New Roman" w:cs="Times New Roman"/>
          <w:sz w:val="24"/>
          <w:szCs w:val="24"/>
        </w:rPr>
        <w:t>.</w:t>
      </w:r>
    </w:p>
    <w:p w14:paraId="34E43F08" w14:textId="77777777" w:rsidR="00364DED" w:rsidRDefault="00A70A1E">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For the bioactivity of the most abundant compounds, fatty acids, including </w:t>
      </w:r>
      <w:r>
        <w:rPr>
          <w:rFonts w:ascii="Times New Roman" w:hAnsi="Times New Roman" w:cs="Times New Roman"/>
          <w:i/>
          <w:iCs/>
          <w:sz w:val="24"/>
          <w:szCs w:val="24"/>
        </w:rPr>
        <w:t>cis</w:t>
      </w:r>
      <w:r>
        <w:rPr>
          <w:rFonts w:ascii="Times New Roman" w:hAnsi="Times New Roman" w:cs="Times New Roman"/>
          <w:sz w:val="24"/>
          <w:szCs w:val="24"/>
        </w:rPr>
        <w:t xml:space="preserve">-9-octadecenoic acid (oleic acid), are known to inhibit the QS signal autoinducer-2 (AI-2) </w:t>
      </w:r>
      <w:r>
        <w:fldChar w:fldCharType="begin"/>
      </w:r>
      <w:r>
        <w:instrText xml:space="preserve"> ADDIN EN.CITE &lt;EndNote&gt;&lt;Cite&gt;&lt;Author&gt;Widmer&lt;/Author&gt;&lt;Year&gt;2007&lt;/Year&gt;&lt;RecNum&gt;92&lt;/RecNum&gt;&lt;DisplayText&gt;(Widmer et al., 2007)&lt;/DisplayText&gt;&lt;record&gt;&lt;rec-number&gt;92&lt;/rec-number&gt;&lt;foreign-keys&gt;&lt;key app="EN" db-id="ra9v9ftd2frrvye2et45af2dwpvf99aw5evt" timestamp="1706897848"&gt;92&lt;/key&gt;&lt;/foreign-keys&gt;&lt;ref-type name="Journal Article"&gt;17&lt;/ref-type&gt;&lt;contributors&gt;&lt;authors&gt;&lt;author&gt;Widmer, K. W.&lt;/author&gt;&lt;author&gt;Soni, K. A.&lt;/author&gt;&lt;author&gt;Hume, M. E.&lt;/author&gt;&lt;author&gt;Beier, R. C.&lt;/author&gt;&lt;author&gt;Jesudhasan, P.&lt;/author&gt;&lt;author&gt;Pillai, S. D.&lt;/author&gt;&lt;/authors&gt;&lt;/contributors&gt;&lt;titles&gt;&lt;title&gt;Identification of Poultry Meat-Derived Fatty Acids Functioning as Quorum Sensing Signal Inhibitors to Autoinducer-2 (AI-2)&lt;/title&gt;&lt;secondary-title&gt;Journal of Food Science&lt;/secondary-title&gt;&lt;/titles&gt;&lt;periodical&gt;&lt;full-title&gt;Journal of Food Science&lt;/full-title&gt;&lt;/periodical&gt;&lt;pages&gt;M363-M368&lt;/pages&gt;&lt;volume&gt;72&lt;/volume&gt;&lt;number&gt;9&lt;/number&gt;&lt;keywords&gt;&lt;keyword&gt;autoinducer-2&lt;/keyword&gt;&lt;keyword&gt;fatty acids&lt;/keyword&gt;&lt;keyword&gt;inhibition&lt;/keyword&gt;&lt;keyword&gt;poultry meat&lt;/keyword&gt;&lt;keyword&gt;quorum sensing&lt;/keyword&gt;&lt;/keywords&gt;&lt;dates&gt;&lt;year&gt;2007&lt;/year&gt;&lt;pub-dates&gt;&lt;date&gt;2007/11/01&lt;/date&gt;&lt;/pub-dates&gt;&lt;/dates&gt;&lt;publisher&gt;John Wiley &amp;amp; Sons, Ltd&lt;/publisher&gt;&lt;isbn&gt;0022-1147&lt;/isbn&gt;&lt;urls&gt;&lt;related-urls&gt;&lt;url&gt;https://doi.org/10.1111/j.1750-3841.2007.00527.x&lt;/url&gt;&lt;/related-urls&gt;&lt;/urls&gt;&lt;electronic-resource-num&gt;https://doi.org/10.1111/j.1750-3841.2007.00527.x&lt;/electronic-resource-num&gt;&lt;access-date&gt;2024/02/02&lt;/access-date&gt;&lt;/record&gt;&lt;/Cite&gt;&lt;/EndNote&gt;</w:instrText>
      </w:r>
      <w:r>
        <w:fldChar w:fldCharType="separate"/>
      </w:r>
      <w:r>
        <w:rPr>
          <w:noProof/>
        </w:rPr>
        <w:t>(</w:t>
      </w:r>
      <w:hyperlink w:anchor="_ENREF_91" w:tooltip="Widmer, 2007 #92" w:history="1">
        <w:r w:rsidR="00364DED">
          <w:rPr>
            <w:rStyle w:val="Hyperlink"/>
          </w:rPr>
          <w:t>Widmer et al., 2007</w:t>
        </w:r>
      </w:hyperlink>
      <w:r>
        <w:rPr>
          <w:noProof/>
        </w:rPr>
        <w:t>)</w:t>
      </w:r>
      <w:r>
        <w:fldChar w:fldCharType="end"/>
      </w:r>
      <w:r>
        <w:rPr>
          <w:rFonts w:ascii="Times New Roman" w:hAnsi="Times New Roman" w:cs="Times New Roman"/>
          <w:sz w:val="24"/>
          <w:szCs w:val="24"/>
        </w:rPr>
        <w:t xml:space="preserve">. The </w:t>
      </w:r>
      <w:proofErr w:type="spellStart"/>
      <w:r>
        <w:rPr>
          <w:rFonts w:ascii="Times New Roman" w:hAnsi="Times New Roman" w:cs="Times New Roman"/>
          <w:sz w:val="24"/>
          <w:szCs w:val="24"/>
        </w:rPr>
        <w:t>rhizospheric</w:t>
      </w:r>
      <w:proofErr w:type="spellEnd"/>
      <w:r>
        <w:rPr>
          <w:rFonts w:ascii="Times New Roman" w:hAnsi="Times New Roman" w:cs="Times New Roman"/>
          <w:sz w:val="24"/>
          <w:szCs w:val="24"/>
        </w:rPr>
        <w:t xml:space="preserve"> bacterium </w:t>
      </w:r>
      <w:r>
        <w:rPr>
          <w:rFonts w:ascii="Times New Roman" w:hAnsi="Times New Roman" w:cs="Times New Roman"/>
          <w:i/>
          <w:iCs/>
          <w:sz w:val="24"/>
          <w:szCs w:val="24"/>
        </w:rPr>
        <w:t xml:space="preserve">Stenotrophomonas </w:t>
      </w:r>
      <w:proofErr w:type="spellStart"/>
      <w:r>
        <w:rPr>
          <w:rFonts w:ascii="Times New Roman" w:hAnsi="Times New Roman" w:cs="Times New Roman"/>
          <w:i/>
          <w:iCs/>
          <w:sz w:val="24"/>
          <w:szCs w:val="24"/>
        </w:rPr>
        <w:t>maltophilia</w:t>
      </w:r>
      <w:proofErr w:type="spellEnd"/>
      <w:r>
        <w:rPr>
          <w:rFonts w:ascii="Times New Roman" w:hAnsi="Times New Roman" w:cs="Times New Roman"/>
          <w:sz w:val="24"/>
          <w:szCs w:val="24"/>
        </w:rPr>
        <w:t xml:space="preserve"> BJ01 exhibited anti-biofilm and quorum quenching properties through the use of cis-9-octadecenoic acid </w:t>
      </w:r>
      <w:r>
        <w:fldChar w:fldCharType="begin"/>
      </w:r>
      <w:r>
        <w:instrText xml:space="preserve"> ADDIN EN.CITE &lt;EndNote&gt;&lt;Cite&gt;&lt;Author&gt;Singh&lt;/Author&gt;&lt;Year&gt;2013&lt;/Year&gt;&lt;RecNum&gt;91&lt;/RecNum&gt;&lt;DisplayText&gt;(Singh et al., 2013)&lt;/DisplayText&gt;&lt;record&gt;&lt;rec-number&gt;91&lt;/rec-number&gt;&lt;foreign-keys&gt;&lt;key app="EN" db-id="ra9v9ftd2frrvye2et45af2dwpvf99aw5evt" timestamp="1706896878"&gt;91&lt;/key&gt;&lt;/foreign-keys&gt;&lt;ref-type name="Journal Article"&gt;17&lt;/ref-type&gt;&lt;contributors&gt;&lt;authors&gt;&lt;author&gt;Singh, Vijay Kumar&lt;/author&gt;&lt;author&gt;Kavita, Kumari&lt;/author&gt;&lt;author&gt;Prabhakaran, Rathish&lt;/author&gt;&lt;author&gt;Jha, Bhavanath&lt;/author&gt;&lt;/authors&gt;&lt;/contributors&gt;&lt;titles&gt;&lt;title&gt;&lt;style face="normal" font="default" size="100%"&gt;Cis-9-octadecenoic acid from the rhizospheric bacterium &lt;/style&gt;&lt;style face="italic" font="default" size="100%"&gt;Stenotrophomonas maltophilia&lt;/style&gt;&lt;style face="normal" font="default" size="100%"&gt; BJ01 shows quorum quenching and anti-biofilm activities&lt;/style&gt;&lt;/title&gt;&lt;secondary-title&gt;Biofouling&lt;/secondary-title&gt;&lt;/titles&gt;&lt;periodical&gt;&lt;full-title&gt;Biofouling&lt;/full-title&gt;&lt;/periodical&gt;&lt;pages&gt;855-867&lt;/pages&gt;&lt;volume&gt;29&lt;/volume&gt;&lt;number&gt;7&lt;/number&gt;&lt;dates&gt;&lt;year&gt;2013&lt;/year&gt;&lt;pub-dates&gt;&lt;date&gt;2013/08/01&lt;/date&gt;&lt;/pub-dates&gt;&lt;/dates&gt;&lt;publisher&gt;Taylor &amp;amp; Francis&lt;/publisher&gt;&lt;isbn&gt;0892-7014&lt;/isbn&gt;&lt;urls&gt;&lt;related-urls&gt;&lt;url&gt;https://doi.org/10.1080/08927014.2013.807914&lt;/url&gt;&lt;/related-urls&gt;&lt;/urls&gt;&lt;electronic-resource-num&gt;10.1080/08927014.2013.807914&lt;/electronic-resource-num&gt;&lt;/record&gt;&lt;/Cite&gt;&lt;/EndNote&gt;</w:instrText>
      </w:r>
      <w:r>
        <w:fldChar w:fldCharType="separate"/>
      </w:r>
      <w:r>
        <w:rPr>
          <w:noProof/>
        </w:rPr>
        <w:t>(</w:t>
      </w:r>
      <w:hyperlink w:anchor="_ENREF_76" w:tooltip="Singh, 2013 #91" w:history="1">
        <w:r w:rsidR="00364DED">
          <w:rPr>
            <w:rStyle w:val="Hyperlink"/>
          </w:rPr>
          <w:t>Singh et al., 2013</w:t>
        </w:r>
      </w:hyperlink>
      <w:r>
        <w:rPr>
          <w:noProof/>
        </w:rPr>
        <w:t>)</w:t>
      </w:r>
      <w:r>
        <w:fldChar w:fldCharType="end"/>
      </w:r>
      <w:r>
        <w:rPr>
          <w:rFonts w:ascii="Times New Roman" w:hAnsi="Times New Roman" w:cs="Times New Roman"/>
          <w:sz w:val="24"/>
          <w:szCs w:val="24"/>
        </w:rPr>
        <w:t xml:space="preserve">. When oleic acid concentrations increased, the adhering bacterial population of </w:t>
      </w:r>
      <w:r>
        <w:rPr>
          <w:rFonts w:ascii="Times New Roman" w:hAnsi="Times New Roman" w:cs="Times New Roman"/>
          <w:i/>
          <w:iCs/>
          <w:sz w:val="24"/>
          <w:szCs w:val="24"/>
        </w:rPr>
        <w:t>Staphylococcus aureus</w:t>
      </w:r>
      <w:r>
        <w:rPr>
          <w:rFonts w:ascii="Times New Roman" w:hAnsi="Times New Roman" w:cs="Times New Roman"/>
          <w:sz w:val="24"/>
          <w:szCs w:val="24"/>
        </w:rPr>
        <w:t xml:space="preserve"> reduced proportionately, whereas the planktonic population had the reverse impact </w:t>
      </w:r>
      <w:r>
        <w:fldChar w:fldCharType="begin"/>
      </w:r>
      <w:r>
        <w:instrText xml:space="preserve"> ADDIN EN.CITE &lt;EndNote&gt;&lt;Cite&gt;&lt;Author&gt;Stenz&lt;/Author&gt;&lt;Year&gt;2008&lt;/Year&gt;&lt;RecNum&gt;93&lt;/RecNum&gt;&lt;DisplayText&gt;(Stenz et al., 2008)&lt;/DisplayText&gt;&lt;record&gt;&lt;rec-number&gt;93&lt;/rec-number&gt;&lt;foreign-keys&gt;&lt;key app="EN" db-id="ra9v9ftd2frrvye2et45af2dwpvf99aw5evt" timestamp="1706898645"&gt;93&lt;/key&gt;&lt;/foreign-keys&gt;&lt;ref-type name="Journal Article"&gt;17&lt;/ref-type&gt;&lt;contributors&gt;&lt;authors&gt;&lt;author&gt;Stenz, Ludwig&lt;/author&gt;&lt;author&gt;François, Patrice&lt;/author&gt;&lt;author&gt;Fischer, Adrien&lt;/author&gt;&lt;author&gt;Huyghe, Antoine&lt;/author&gt;&lt;author&gt;Tangomo, Manuela&lt;/author&gt;&lt;author&gt;Hernandez, David&lt;/author&gt;&lt;author&gt;Cassat, James&lt;/author&gt;&lt;author&gt;Linder, Patrick&lt;/author&gt;&lt;author&gt;Schrenzel, Jacques&lt;/author&gt;&lt;/authors&gt;&lt;/contributors&gt;&lt;titles&gt;&lt;title&gt;&lt;style face="normal" font="default" size="100%"&gt;Impact of oleic acid (cis-9-octadecenoic acid) on bacterial viability and biofilm production in &lt;/style&gt;&lt;style face="italic" font="default" size="100%"&gt;Staphylococcus aureus&lt;/style&gt;&lt;/title&gt;&lt;secondary-title&gt;FEMS Microbiology Letters&lt;/secondary-title&gt;&lt;/titles&gt;&lt;periodical&gt;&lt;full-title&gt;FEMS Microbiology Letters&lt;/full-title&gt;&lt;/periodical&gt;&lt;pages&gt;149-155&lt;/pages&gt;&lt;volume&gt;287&lt;/volume&gt;&lt;number&gt;2&lt;/number&gt;&lt;dates&gt;&lt;year&gt;2008&lt;/year&gt;&lt;/dates&gt;&lt;isbn&gt;0378-1097&lt;/isbn&gt;&lt;urls&gt;&lt;related-urls&gt;&lt;url&gt;https://doi.org/10.1111/j.1574-6968.2008.01316.x&lt;/url&gt;&lt;/related-urls&gt;&lt;/urls&gt;&lt;electronic-resource-num&gt;10.1111/j.1574-6968.2008.01316.x&lt;/electronic-resource-num&gt;&lt;access-date&gt;2/2/2024&lt;/access-date&gt;&lt;/record&gt;&lt;/Cite&gt;&lt;/EndNote&gt;</w:instrText>
      </w:r>
      <w:r>
        <w:fldChar w:fldCharType="separate"/>
      </w:r>
      <w:r>
        <w:rPr>
          <w:noProof/>
        </w:rPr>
        <w:t>(</w:t>
      </w:r>
      <w:hyperlink w:anchor="_ENREF_78" w:tooltip="Stenz, 2008 #93" w:history="1">
        <w:r w:rsidR="00364DED">
          <w:rPr>
            <w:rStyle w:val="Hyperlink"/>
          </w:rPr>
          <w:t>Stenz et al., 2008</w:t>
        </w:r>
      </w:hyperlink>
      <w:r>
        <w:rPr>
          <w:noProof/>
        </w:rPr>
        <w:t>)</w:t>
      </w:r>
      <w:r>
        <w:fldChar w:fldCharType="end"/>
      </w:r>
      <w:r>
        <w:rPr>
          <w:rFonts w:ascii="Times New Roman" w:hAnsi="Times New Roman" w:cs="Times New Roman"/>
          <w:sz w:val="24"/>
          <w:szCs w:val="24"/>
        </w:rPr>
        <w:t>.</w:t>
      </w:r>
      <w:r>
        <w:t xml:space="preserve"> </w:t>
      </w:r>
      <w:r>
        <w:rPr>
          <w:rFonts w:ascii="Times New Roman" w:hAnsi="Times New Roman" w:cs="Times New Roman"/>
          <w:sz w:val="24"/>
          <w:szCs w:val="24"/>
        </w:rPr>
        <w:t xml:space="preserve">Nonanal had been reported to have antimicrobial activity against </w:t>
      </w:r>
      <w:r>
        <w:rPr>
          <w:rFonts w:ascii="Times New Roman" w:hAnsi="Times New Roman" w:cs="Times New Roman"/>
          <w:i/>
          <w:iCs/>
          <w:sz w:val="24"/>
          <w:szCs w:val="24"/>
        </w:rPr>
        <w:t xml:space="preserve">Penicillium </w:t>
      </w:r>
      <w:proofErr w:type="spellStart"/>
      <w:r>
        <w:rPr>
          <w:rFonts w:ascii="Times New Roman" w:hAnsi="Times New Roman" w:cs="Times New Roman"/>
          <w:i/>
          <w:iCs/>
          <w:sz w:val="24"/>
          <w:szCs w:val="24"/>
        </w:rPr>
        <w:t>cyclopium</w:t>
      </w:r>
      <w:proofErr w:type="spellEnd"/>
      <w:r>
        <w:rPr>
          <w:rFonts w:ascii="Times New Roman" w:hAnsi="Times New Roman" w:cs="Times New Roman"/>
          <w:sz w:val="24"/>
          <w:szCs w:val="24"/>
        </w:rPr>
        <w:t xml:space="preserve"> </w:t>
      </w:r>
      <w:r>
        <w:fldChar w:fldCharType="begin"/>
      </w:r>
      <w:r>
        <w:instrText xml:space="preserve"> ADDIN EN.CITE &lt;EndNote&gt;&lt;Cite&gt;&lt;Author&gt;Zhang&lt;/Author&gt;&lt;Year&gt;2017&lt;/Year&gt;&lt;RecNum&gt;94&lt;/RecNum&gt;&lt;DisplayText&gt;(Zhang et al., 2017)&lt;/DisplayText&gt;&lt;record&gt;&lt;rec-number&gt;94&lt;/rec-number&gt;&lt;foreign-keys&gt;&lt;key app="EN" db-id="ra9v9ftd2frrvye2et45af2dwpvf99aw5evt" timestamp="1706901654"&gt;94&lt;/key&gt;&lt;/foreign-keys&gt;&lt;ref-type name="Journal Article"&gt;17&lt;/ref-type&gt;&lt;contributors&gt;&lt;authors&gt;&lt;author&gt;Zhang, Ji-hong&lt;/author&gt;&lt;author&gt;Sun, He-long&lt;/author&gt;&lt;author&gt;Chen, Shao-yang&lt;/author&gt;&lt;author&gt;Zeng, Li&lt;/author&gt;&lt;author&gt;Wang, Tao-tao&lt;/author&gt;&lt;/authors&gt;&lt;/contributors&gt;&lt;titles&gt;&lt;title&gt;&lt;style face="normal" font="default" size="100%"&gt;Anti-fungal activity, mechanism studies on α-Phellandrene and Nonanal against &lt;/style&gt;&lt;style face="italic" font="default" size="100%"&gt;Penicillium cyclopium&lt;/style&gt;&lt;/title&gt;&lt;secondary-title&gt;Botanical Studies&lt;/secondary-title&gt;&lt;/titles&gt;&lt;periodical&gt;&lt;full-title&gt;Botanical Studies&lt;/full-title&gt;&lt;/periodical&gt;&lt;pages&gt;13&lt;/pages&gt;&lt;volume&gt;58&lt;/volume&gt;&lt;number&gt;1&lt;/number&gt;&lt;dates&gt;&lt;year&gt;2017&lt;/year&gt;&lt;pub-dates&gt;&lt;date&gt;2017/03/14&lt;/date&gt;&lt;/pub-dates&gt;&lt;/dates&gt;&lt;isbn&gt;1999-3110&lt;/isbn&gt;&lt;urls&gt;&lt;related-urls&gt;&lt;url&gt;https://doi.org/10.1186/s40529-017-0168-8&lt;/url&gt;&lt;/related-urls&gt;&lt;/urls&gt;&lt;electronic-resource-num&gt;10.1186/s40529-017-0168-8&lt;/electronic-resource-num&gt;&lt;/record&gt;&lt;/Cite&gt;&lt;/EndNote&gt;</w:instrText>
      </w:r>
      <w:r>
        <w:fldChar w:fldCharType="separate"/>
      </w:r>
      <w:r>
        <w:rPr>
          <w:noProof/>
        </w:rPr>
        <w:t>(</w:t>
      </w:r>
      <w:hyperlink w:anchor="_ENREF_92" w:tooltip="Zhang, 2017 #94" w:history="1">
        <w:r w:rsidR="00364DED">
          <w:rPr>
            <w:rStyle w:val="Hyperlink"/>
          </w:rPr>
          <w:t>Zhang et al., 2017</w:t>
        </w:r>
      </w:hyperlink>
      <w:r>
        <w:rPr>
          <w:noProof/>
        </w:rPr>
        <w:t>)</w:t>
      </w:r>
      <w:r>
        <w:fldChar w:fldCharType="end"/>
      </w:r>
      <w:r>
        <w:rPr>
          <w:rFonts w:ascii="Times New Roman" w:hAnsi="Times New Roman" w:cs="Times New Roman"/>
          <w:sz w:val="24"/>
          <w:szCs w:val="24"/>
        </w:rPr>
        <w:t xml:space="preserve">. Octanal, nonanal, and decanal presented potential antifungal activity against the growth of </w:t>
      </w:r>
      <w:r>
        <w:rPr>
          <w:rFonts w:ascii="Times New Roman" w:hAnsi="Times New Roman" w:cs="Times New Roman"/>
          <w:i/>
          <w:iCs/>
          <w:sz w:val="24"/>
          <w:szCs w:val="24"/>
        </w:rPr>
        <w:t>Aspergillus flavus</w:t>
      </w:r>
      <w:r>
        <w:rPr>
          <w:rFonts w:ascii="Times New Roman" w:hAnsi="Times New Roman" w:cs="Times New Roman"/>
          <w:sz w:val="24"/>
          <w:szCs w:val="24"/>
        </w:rPr>
        <w:t xml:space="preserve"> both in culture medium and on maize kernels </w:t>
      </w:r>
      <w:r>
        <w:fldChar w:fldCharType="begin"/>
      </w:r>
      <w:r>
        <w:instrText xml:space="preserve"> ADDIN EN.CITE &lt;EndNote&gt;&lt;Cite&gt;&lt;Author&gt;Li&lt;/Author&gt;&lt;Year&gt;2021&lt;/Year&gt;&lt;RecNum&gt;95&lt;/RecNum&gt;&lt;DisplayText&gt;(Li et al., 2021)&lt;/DisplayText&gt;&lt;record&gt;&lt;rec-number&gt;95&lt;/rec-number&gt;&lt;foreign-keys&gt;&lt;key app="EN" db-id="ra9v9ftd2frrvye2et45af2dwpvf99aw5evt" timestamp="1706902189"&gt;95&lt;/key&gt;&lt;/foreign-keys&gt;&lt;ref-type name="Journal Article"&gt;17&lt;/ref-type&gt;&lt;contributors&gt;&lt;authors&gt;&lt;author&gt;Li, Qian&lt;/author&gt;&lt;author&gt;Zhu, Xiaoman&lt;/author&gt;&lt;author&gt;Xie, Yanli&lt;/author&gt;&lt;author&gt;Liang, Jingmeng&lt;/author&gt;&lt;/authors&gt;&lt;/contributors&gt;&lt;titles&gt;&lt;title&gt;&lt;style face="normal" font="default" size="100%"&gt;Antifungal properties and mechanisms of three volatile aldehydes (octanal, nonanal and decanal) on &lt;/style&gt;&lt;style face="italic" font="default" size="100%"&gt;Aspergillus flavus&lt;/style&gt;&lt;/title&gt;&lt;secondary-title&gt;Grain &amp;amp; Oil Science and Technology&lt;/secondary-title&gt;&lt;/titles&gt;&lt;periodical&gt;&lt;full-title&gt;Grain &amp;amp; Oil Science and Technology&lt;/full-title&gt;&lt;/periodical&gt;&lt;pages&gt;131-140&lt;/pages&gt;&lt;volume&gt;4&lt;/volume&gt;&lt;number&gt;3&lt;/number&gt;&lt;keywords&gt;&lt;keyword&gt;Octanal&lt;/keyword&gt;&lt;keyword&gt;Nonanal&lt;/keyword&gt;&lt;keyword&gt;Decanal&lt;/keyword&gt;&lt;keyword&gt;Antifungal mechanism&lt;/keyword&gt;&lt;/keywords&gt;&lt;dates&gt;&lt;year&gt;2021&lt;/year&gt;&lt;pub-dates&gt;&lt;date&gt;2021/09/01/&lt;/date&gt;&lt;/pub-dates&gt;&lt;/dates&gt;&lt;isbn&gt;2590-2598&lt;/isbn&gt;&lt;urls&gt;&lt;related-urls&gt;&lt;url&gt;https://www.sciencedirect.com/science/article/pii/S2590259821000212&lt;/url&gt;&lt;/related-urls&gt;&lt;/urls&gt;&lt;electronic-resource-num&gt;https://doi.org/10.1016/j.gaost.2021.07.002&lt;/electronic-resource-num&gt;&lt;/record&gt;&lt;/Cite&gt;&lt;/EndNote&gt;</w:instrText>
      </w:r>
      <w:r>
        <w:fldChar w:fldCharType="separate"/>
      </w:r>
      <w:r>
        <w:rPr>
          <w:noProof/>
        </w:rPr>
        <w:t>(</w:t>
      </w:r>
      <w:hyperlink w:anchor="_ENREF_43" w:tooltip="Li, 2021 #95" w:history="1">
        <w:r w:rsidR="00364DED">
          <w:rPr>
            <w:rStyle w:val="Hyperlink"/>
          </w:rPr>
          <w:t>Li et al., 2021</w:t>
        </w:r>
      </w:hyperlink>
      <w:r>
        <w:rPr>
          <w:noProof/>
        </w:rPr>
        <w:t>)</w:t>
      </w:r>
      <w:r>
        <w:fldChar w:fldCharType="end"/>
      </w:r>
      <w:r>
        <w:rPr>
          <w:rFonts w:ascii="Times New Roman" w:hAnsi="Times New Roman" w:cs="Times New Roman"/>
          <w:sz w:val="24"/>
          <w:szCs w:val="24"/>
        </w:rPr>
        <w:t>.</w:t>
      </w:r>
    </w:p>
    <w:p w14:paraId="3352D658" w14:textId="77777777" w:rsidR="00364DED" w:rsidRDefault="00A70A1E">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lang w:bidi="ar-EG"/>
        </w:rPr>
        <w:t xml:space="preserve">The soybean volatile compounds aldehydes' highest potential to inhibit </w:t>
      </w:r>
      <w:r>
        <w:rPr>
          <w:rFonts w:ascii="Times New Roman" w:hAnsi="Times New Roman" w:cs="Times New Roman"/>
          <w:i/>
          <w:iCs/>
          <w:sz w:val="24"/>
          <w:szCs w:val="24"/>
          <w:lang w:bidi="ar-EG"/>
        </w:rPr>
        <w:t>A. flavus</w:t>
      </w:r>
      <w:r>
        <w:rPr>
          <w:rFonts w:ascii="Times New Roman" w:hAnsi="Times New Roman" w:cs="Times New Roman"/>
          <w:sz w:val="24"/>
          <w:szCs w:val="24"/>
          <w:lang w:bidi="ar-EG"/>
        </w:rPr>
        <w:t xml:space="preserve"> growth was ranked as follows: benzaldehyde &gt; 2-octenal &gt; (E)-2-heptenal &gt; octanal &gt; (E)-2-hexenal &gt; nonanal &gt; hexanal, followed by 2,4 </w:t>
      </w:r>
      <w:proofErr w:type="spellStart"/>
      <w:r>
        <w:rPr>
          <w:rFonts w:ascii="Times New Roman" w:hAnsi="Times New Roman" w:cs="Times New Roman"/>
          <w:sz w:val="24"/>
          <w:szCs w:val="24"/>
          <w:lang w:bidi="ar-EG"/>
        </w:rPr>
        <w:t>hexadienal</w:t>
      </w:r>
      <w:proofErr w:type="spellEnd"/>
      <w:r>
        <w:rPr>
          <w:rFonts w:ascii="Times New Roman" w:hAnsi="Times New Roman" w:cs="Times New Roman"/>
          <w:sz w:val="24"/>
          <w:szCs w:val="24"/>
          <w:lang w:bidi="ar-EG"/>
        </w:rPr>
        <w:t xml:space="preserve"> </w:t>
      </w:r>
      <w:r>
        <w:fldChar w:fldCharType="begin"/>
      </w:r>
      <w:r>
        <w:instrText xml:space="preserve"> ADDIN EN.CITE &lt;EndNote&gt;&lt;Cite&gt;&lt;Author&gt;Cleveland&lt;/Author&gt;&lt;Year&gt;2009&lt;/Year&gt;&lt;RecNum&gt;96&lt;/RecNum&gt;&lt;DisplayText&gt;(Cleveland et al., 2009)&lt;/DisplayText&gt;&lt;record&gt;&lt;rec-number&gt;96&lt;/rec-number&gt;&lt;foreign-keys&gt;&lt;key app="EN" db-id="ra9v9ftd2frrvye2et45af2dwpvf99aw5evt" timestamp="1706902732"&gt;96&lt;/key&gt;&lt;/foreign-keys&gt;&lt;ref-type name="Journal Article"&gt;17&lt;/ref-type&gt;&lt;contributors&gt;&lt;authors&gt;&lt;author&gt;Cleveland, T. E.&lt;/author&gt;&lt;author&gt;Carter-Wientjes, C. H.&lt;/author&gt;&lt;author&gt;De Lucca, A. J.&lt;/author&gt;&lt;author&gt;Boué, S. M.&lt;/author&gt;&lt;/authors&gt;&lt;/contributors&gt;&lt;titles&gt;&lt;title&gt;&lt;style face="normal" font="default" size="100%"&gt;Effect of Soybean Volatile Compounds on &lt;/style&gt;&lt;style face="italic" font="default" size="100%"&gt;Aspergillus flavus&lt;/style&gt;&lt;style face="normal" font="default" size="100%"&gt; Growth and Aflatoxin Production&lt;/style&gt;&lt;/title&gt;&lt;secondary-title&gt;Journal of Food Science&lt;/secondary-title&gt;&lt;/titles&gt;&lt;periodical&gt;&lt;full-title&gt;Journal of Food Science&lt;/full-title&gt;&lt;/periodical&gt;&lt;pages&gt;H83-H87&lt;/pages&gt;&lt;volume&gt;74&lt;/volume&gt;&lt;number&gt;2&lt;/number&gt;&lt;keywords&gt;&lt;keyword&gt;aflatoxin&lt;/keyword&gt;&lt;keyword&gt;Aspergillus flavus&lt;/keyword&gt;&lt;keyword&gt;growth inhibition&lt;/keyword&gt;&lt;keyword&gt;soybean volatiles&lt;/keyword&gt;&lt;/keywords&gt;&lt;dates&gt;&lt;year&gt;2009&lt;/year&gt;&lt;pub-dates&gt;&lt;date&gt;2009/03/01&lt;/date&gt;&lt;/pub-dates&gt;&lt;/dates&gt;&lt;publisher&gt;John Wiley &amp;amp; Sons, Ltd&lt;/publisher&gt;&lt;isbn&gt;0022-1147&lt;/isbn&gt;&lt;urls&gt;&lt;related-urls&gt;&lt;url&gt;https://doi.org/10.1111/j.1750-3841.2009.01078.x&lt;/url&gt;&lt;/related-urls&gt;&lt;/urls&gt;&lt;electronic-resource-num&gt;https://doi.org/10.1111/j.1750-3841.2009.01078.x&lt;/electronic-resource-num&gt;&lt;access-date&gt;2024/02/02&lt;/access-date&gt;&lt;/record&gt;&lt;/Cite&gt;&lt;/EndNote&gt;</w:instrText>
      </w:r>
      <w:r>
        <w:fldChar w:fldCharType="separate"/>
      </w:r>
      <w:r>
        <w:rPr>
          <w:noProof/>
        </w:rPr>
        <w:t>(</w:t>
      </w:r>
      <w:hyperlink w:anchor="_ENREF_27" w:tooltip="Cleveland, 2009 #96" w:history="1">
        <w:r w:rsidR="00364DED">
          <w:rPr>
            <w:rStyle w:val="Hyperlink"/>
          </w:rPr>
          <w:t>Cleveland et al., 2009</w:t>
        </w:r>
      </w:hyperlink>
      <w:r>
        <w:rPr>
          <w:noProof/>
        </w:rPr>
        <w:t>)</w:t>
      </w:r>
      <w:r>
        <w:fldChar w:fldCharType="end"/>
      </w:r>
      <w:r>
        <w:rPr>
          <w:rFonts w:ascii="Times New Roman" w:hAnsi="Times New Roman" w:cs="Times New Roman"/>
          <w:sz w:val="24"/>
          <w:szCs w:val="24"/>
          <w:lang w:bidi="ar-EG"/>
        </w:rPr>
        <w:t xml:space="preserve">. The aldehydes' highest level of activity to lower AFB1 was graded as follows: (E)-2-heptenal &gt; hexanal &gt; nonanal &gt; 2,4 </w:t>
      </w:r>
      <w:proofErr w:type="spellStart"/>
      <w:r>
        <w:rPr>
          <w:rFonts w:ascii="Times New Roman" w:hAnsi="Times New Roman" w:cs="Times New Roman"/>
          <w:sz w:val="24"/>
          <w:szCs w:val="24"/>
          <w:lang w:bidi="ar-EG"/>
        </w:rPr>
        <w:t>hexadienal</w:t>
      </w:r>
      <w:proofErr w:type="spellEnd"/>
      <w:r>
        <w:rPr>
          <w:rFonts w:ascii="Times New Roman" w:hAnsi="Times New Roman" w:cs="Times New Roman"/>
          <w:sz w:val="24"/>
          <w:szCs w:val="24"/>
          <w:lang w:bidi="ar-EG"/>
        </w:rPr>
        <w:t xml:space="preserve"> &gt; (E)-2-heptenal </w:t>
      </w:r>
      <w:r>
        <w:fldChar w:fldCharType="begin"/>
      </w:r>
      <w:r>
        <w:instrText xml:space="preserve"> ADDIN EN.CITE &lt;EndNote&gt;&lt;Cite&gt;&lt;Author&gt;Cleveland&lt;/Author&gt;&lt;Year&gt;2009&lt;/Year&gt;&lt;RecNum&gt;96&lt;/RecNum&gt;&lt;DisplayText&gt;(Cleveland et al., 2009)&lt;/DisplayText&gt;&lt;record&gt;&lt;rec-number&gt;96&lt;/rec-number&gt;&lt;foreign-keys&gt;&lt;key app="EN" db-id="ra9v9ftd2frrvye2et45af2dwpvf99aw5evt" timestamp="1706902732"&gt;96&lt;/key&gt;&lt;/foreign-keys&gt;&lt;ref-type name="Journal Article"&gt;17&lt;/ref-type&gt;&lt;contributors&gt;&lt;authors&gt;&lt;author&gt;Cleveland, T. E.&lt;/author&gt;&lt;author&gt;Carter-Wientjes, C. H.&lt;/author&gt;&lt;author&gt;De Lucca, A. J.&lt;/author&gt;&lt;author&gt;Boué, S. M.&lt;/author&gt;&lt;/authors&gt;&lt;/contributors&gt;&lt;titles&gt;&lt;title&gt;&lt;style face="normal" font="default" size="100%"&gt;Effect of Soybean Volatile Compounds on &lt;/style&gt;&lt;style face="italic" font="default" size="100%"&gt;Aspergillus flavus&lt;/style&gt;&lt;style face="normal" font="default" size="100%"&gt; Growth and Aflatoxin Production&lt;/style&gt;&lt;/title&gt;&lt;secondary-title&gt;Journal of Food Science&lt;/secondary-title&gt;&lt;/titles&gt;&lt;periodical&gt;&lt;full-title&gt;Journal of Food Science&lt;/full-title&gt;&lt;/periodical&gt;&lt;pages&gt;H83-H87&lt;/pages&gt;&lt;volume&gt;74&lt;/volume&gt;&lt;number&gt;2&lt;/number&gt;&lt;keywords&gt;&lt;keyword&gt;aflatoxin&lt;/keyword&gt;&lt;keyword&gt;Aspergillus flavus&lt;/keyword&gt;&lt;keyword&gt;growth inhibition&lt;/keyword&gt;&lt;keyword&gt;soybean volatiles&lt;/keyword&gt;&lt;/keywords&gt;&lt;dates&gt;&lt;year&gt;2009&lt;/year&gt;&lt;pub-dates&gt;&lt;date&gt;2009/03/01&lt;/date&gt;&lt;/pub-dates&gt;&lt;/dates&gt;&lt;publisher&gt;John Wiley &amp;amp; Sons, Ltd&lt;/publisher&gt;&lt;isbn&gt;0022-1147&lt;/isbn&gt;&lt;urls&gt;&lt;related-urls&gt;&lt;url&gt;https://doi.org/10.1111/j.1750-3841.2009.01078.x&lt;/url&gt;&lt;/related-urls&gt;&lt;/urls&gt;&lt;electronic-resource-num&gt;https://doi.org/10.1111/j.1750-3841.2009.01078.x&lt;/electronic-resource-num&gt;&lt;access-date&gt;2024/02/02&lt;/access-date&gt;&lt;/record&gt;&lt;/Cite&gt;&lt;/EndNote&gt;</w:instrText>
      </w:r>
      <w:r>
        <w:fldChar w:fldCharType="separate"/>
      </w:r>
      <w:r>
        <w:rPr>
          <w:noProof/>
        </w:rPr>
        <w:t>(</w:t>
      </w:r>
      <w:hyperlink w:anchor="_ENREF_27" w:tooltip="Cleveland, 2009 #96" w:history="1">
        <w:r w:rsidR="00364DED">
          <w:rPr>
            <w:rStyle w:val="Hyperlink"/>
          </w:rPr>
          <w:t>Cleveland et al., 2009</w:t>
        </w:r>
      </w:hyperlink>
      <w:r>
        <w:rPr>
          <w:noProof/>
        </w:rPr>
        <w:t>)</w:t>
      </w:r>
      <w:r>
        <w:fldChar w:fldCharType="end"/>
      </w:r>
      <w:r>
        <w:rPr>
          <w:rFonts w:ascii="Times New Roman" w:hAnsi="Times New Roman" w:cs="Times New Roman"/>
          <w:sz w:val="24"/>
          <w:szCs w:val="24"/>
          <w:lang w:bidi="ar-EG"/>
        </w:rPr>
        <w:t>.</w:t>
      </w:r>
      <w:r>
        <w:rPr>
          <w:rFonts w:ascii="Times New Roman" w:hAnsi="Times New Roman" w:cs="Times New Roman"/>
          <w:sz w:val="24"/>
          <w:szCs w:val="24"/>
        </w:rPr>
        <w:t xml:space="preserve"> Both octanal and nonanal agents have the potential to damage the integrity of </w:t>
      </w:r>
      <w:r>
        <w:rPr>
          <w:rFonts w:ascii="Times New Roman" w:hAnsi="Times New Roman" w:cs="Times New Roman"/>
          <w:i/>
          <w:iCs/>
          <w:sz w:val="24"/>
          <w:szCs w:val="24"/>
        </w:rPr>
        <w:t>A. flavus</w:t>
      </w:r>
      <w:r>
        <w:rPr>
          <w:rFonts w:ascii="Times New Roman" w:hAnsi="Times New Roman" w:cs="Times New Roman"/>
          <w:sz w:val="24"/>
          <w:szCs w:val="24"/>
        </w:rPr>
        <w:t xml:space="preserve"> cell membranes and decrease their overall lipid content </w:t>
      </w:r>
      <w:r>
        <w:fldChar w:fldCharType="begin"/>
      </w:r>
      <w:r>
        <w:instrText xml:space="preserve"> ADDIN EN.CITE &lt;EndNote&gt;&lt;Cite&gt;&lt;Author&gt;Li&lt;/Author&gt;&lt;Year&gt;2021&lt;/Year&gt;&lt;RecNum&gt;95&lt;/RecNum&gt;&lt;DisplayText&gt;(Li et al., 2021)&lt;/DisplayText&gt;&lt;record&gt;&lt;rec-number&gt;95&lt;/rec-number&gt;&lt;foreign-keys&gt;&lt;key app="EN" db-id="ra9v9ftd2frrvye2et45af2dwpvf99aw5evt" timestamp="1706902189"&gt;95&lt;/key&gt;&lt;/foreign-keys&gt;&lt;ref-type name="Journal Article"&gt;17&lt;/ref-type&gt;&lt;contributors&gt;&lt;authors&gt;&lt;author&gt;Li, Qian&lt;/author&gt;&lt;author&gt;Zhu, Xiaoman&lt;/author&gt;&lt;author&gt;Xie, Yanli&lt;/author&gt;&lt;author&gt;Liang, Jingmeng&lt;/author&gt;&lt;/authors&gt;&lt;/contributors&gt;&lt;titles&gt;&lt;title&gt;&lt;style face="normal" font="default" size="100%"&gt;Antifungal properties and mechanisms of three volatile aldehydes (octanal, nonanal and decanal) on &lt;/style&gt;&lt;style face="italic" font="default" size="100%"&gt;Aspergillus flavus&lt;/style&gt;&lt;/title&gt;&lt;secondary-title&gt;Grain &amp;amp; Oil Science and Technology&lt;/secondary-title&gt;&lt;/titles&gt;&lt;periodical&gt;&lt;full-title&gt;Grain &amp;amp; Oil Science and Technology&lt;/full-title&gt;&lt;/periodical&gt;&lt;pages&gt;131-140&lt;/pages&gt;&lt;volume&gt;4&lt;/volume&gt;&lt;number&gt;3&lt;/number&gt;&lt;keywords&gt;&lt;keyword&gt;Octanal&lt;/keyword&gt;&lt;keyword&gt;Nonanal&lt;/keyword&gt;&lt;keyword&gt;Decanal&lt;/keyword&gt;&lt;keyword&gt;Antifungal mechanism&lt;/keyword&gt;&lt;/keywords&gt;&lt;dates&gt;&lt;year&gt;2021&lt;/year&gt;&lt;pub-dates&gt;&lt;date&gt;2021/09/01/&lt;/date&gt;&lt;/pub-dates&gt;&lt;/dates&gt;&lt;isbn&gt;2590-2598&lt;/isbn&gt;&lt;urls&gt;&lt;related-urls&gt;&lt;url&gt;https://www.sciencedirect.com/science/article/pii/S2590259821000212&lt;/url&gt;&lt;/related-urls&gt;&lt;/urls&gt;&lt;electronic-resource-num&gt;https://doi.org/10.1016/j.gaost.2021.07.002&lt;/electronic-resource-num&gt;&lt;/record&gt;&lt;/Cite&gt;&lt;/EndNote&gt;</w:instrText>
      </w:r>
      <w:r>
        <w:fldChar w:fldCharType="separate"/>
      </w:r>
      <w:r>
        <w:rPr>
          <w:noProof/>
        </w:rPr>
        <w:t>(</w:t>
      </w:r>
      <w:hyperlink w:anchor="_ENREF_43" w:tooltip="Li, 2021 #95" w:history="1">
        <w:r w:rsidR="00364DED">
          <w:rPr>
            <w:rStyle w:val="Hyperlink"/>
          </w:rPr>
          <w:t>Li et al., 2021</w:t>
        </w:r>
      </w:hyperlink>
      <w:r>
        <w:rPr>
          <w:noProof/>
        </w:rPr>
        <w:t>)</w:t>
      </w:r>
      <w:r>
        <w:fldChar w:fldCharType="end"/>
      </w:r>
      <w:r>
        <w:rPr>
          <w:rFonts w:ascii="Times New Roman" w:hAnsi="Times New Roman" w:cs="Times New Roman"/>
          <w:sz w:val="24"/>
          <w:szCs w:val="24"/>
        </w:rPr>
        <w:t xml:space="preserve">. In addition, the cell membranes of </w:t>
      </w:r>
      <w:r>
        <w:rPr>
          <w:rFonts w:ascii="Times New Roman" w:hAnsi="Times New Roman" w:cs="Times New Roman"/>
          <w:i/>
          <w:iCs/>
          <w:sz w:val="24"/>
          <w:szCs w:val="24"/>
        </w:rPr>
        <w:t>A. flavus</w:t>
      </w:r>
      <w:r>
        <w:rPr>
          <w:rFonts w:ascii="Times New Roman" w:hAnsi="Times New Roman" w:cs="Times New Roman"/>
          <w:sz w:val="24"/>
          <w:szCs w:val="24"/>
        </w:rPr>
        <w:t xml:space="preserve">, </w:t>
      </w:r>
      <w:proofErr w:type="spellStart"/>
      <w:r>
        <w:rPr>
          <w:rFonts w:ascii="Times New Roman" w:hAnsi="Times New Roman" w:cs="Times New Roman"/>
          <w:i/>
          <w:iCs/>
          <w:sz w:val="24"/>
          <w:szCs w:val="24"/>
        </w:rPr>
        <w:t>Geotrichum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citri-auranti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lastRenderedPageBreak/>
        <w:t xml:space="preserve">Penicillium </w:t>
      </w:r>
      <w:proofErr w:type="spellStart"/>
      <w:r>
        <w:rPr>
          <w:rFonts w:ascii="Times New Roman" w:hAnsi="Times New Roman" w:cs="Times New Roman"/>
          <w:i/>
          <w:iCs/>
          <w:sz w:val="24"/>
          <w:szCs w:val="24"/>
        </w:rPr>
        <w:t>cyclopium</w:t>
      </w:r>
      <w:proofErr w:type="spellEnd"/>
      <w:r>
        <w:rPr>
          <w:rFonts w:ascii="Times New Roman" w:hAnsi="Times New Roman" w:cs="Times New Roman"/>
          <w:sz w:val="24"/>
          <w:szCs w:val="24"/>
        </w:rPr>
        <w:t xml:space="preserve">, and </w:t>
      </w:r>
      <w:r>
        <w:rPr>
          <w:rFonts w:ascii="Times New Roman" w:hAnsi="Times New Roman" w:cs="Times New Roman"/>
          <w:i/>
          <w:iCs/>
          <w:sz w:val="24"/>
          <w:szCs w:val="24"/>
        </w:rPr>
        <w:t xml:space="preserve">P. </w:t>
      </w:r>
      <w:proofErr w:type="spellStart"/>
      <w:r>
        <w:rPr>
          <w:rFonts w:ascii="Times New Roman" w:hAnsi="Times New Roman" w:cs="Times New Roman"/>
          <w:i/>
          <w:iCs/>
          <w:sz w:val="24"/>
          <w:szCs w:val="24"/>
        </w:rPr>
        <w:t>expansum</w:t>
      </w:r>
      <w:proofErr w:type="spellEnd"/>
      <w:r>
        <w:rPr>
          <w:rFonts w:ascii="Times New Roman" w:hAnsi="Times New Roman" w:cs="Times New Roman"/>
          <w:sz w:val="24"/>
          <w:szCs w:val="24"/>
        </w:rPr>
        <w:t xml:space="preserve"> may be damaged by octanal </w:t>
      </w:r>
      <w:r>
        <w:fldChar w:fldCharType="begin"/>
      </w:r>
      <w:r>
        <w:instrText xml:space="preserve"> ADDIN EN.CITE &lt;EndNote&gt;&lt;Cite&gt;&lt;Author&gt;Zhou&lt;/Author&gt;&lt;Year&gt;2014&lt;/Year&gt;&lt;RecNum&gt;98&lt;/RecNum&gt;&lt;DisplayText&gt;(Zhou et al., 2014)&lt;/DisplayText&gt;&lt;record&gt;&lt;rec-number&gt;98&lt;/rec-number&gt;&lt;foreign-keys&gt;&lt;key app="EN" db-id="ra9v9ftd2frrvye2et45af2dwpvf99aw5evt" timestamp="1706903237"&gt;98&lt;/key&gt;&lt;/foreign-keys&gt;&lt;ref-type name="Journal Article"&gt;17&lt;/ref-type&gt;&lt;contributors&gt;&lt;authors&gt;&lt;author&gt;Zhou, Haien&lt;/author&gt;&lt;author&gt;Tao, Nengguo&lt;/author&gt;&lt;author&gt;Jia, Lei&lt;/author&gt;&lt;/authors&gt;&lt;/contributors&gt;&lt;titles&gt;&lt;title&gt;&lt;style face="normal" font="default" size="100%"&gt;Antifungal activity of citral, octanal and α-terpineol against &lt;/style&gt;&lt;style face="italic" font="default" size="100%"&gt;Geotrichum citri-aurantii&lt;/style&gt;&lt;/title&gt;&lt;secondary-title&gt;Food Control&lt;/secondary-title&gt;&lt;/titles&gt;&lt;periodical&gt;&lt;full-title&gt;Food Control&lt;/full-title&gt;&lt;/periodical&gt;&lt;pages&gt;277-283&lt;/pages&gt;&lt;volume&gt;37&lt;/volume&gt;&lt;keywords&gt;&lt;keyword&gt;Antifungal activity&lt;/keyword&gt;&lt;keyword&gt;Cell membrane integrity&lt;/keyword&gt;&lt;keyword&gt;Volatile compounds&lt;/keyword&gt;&lt;/keywords&gt;&lt;dates&gt;&lt;year&gt;2014&lt;/year&gt;&lt;pub-dates&gt;&lt;date&gt;2014/03/01/&lt;/date&gt;&lt;/pub-dates&gt;&lt;/dates&gt;&lt;isbn&gt;0956-7135&lt;/isbn&gt;&lt;urls&gt;&lt;related-urls&gt;&lt;url&gt;https://www.sciencedirect.com/science/article/pii/S0956713513005148&lt;/url&gt;&lt;/related-urls&gt;&lt;/urls&gt;&lt;electronic-resource-num&gt;https://doi.org/10.1016/j.foodcont.2013.09.057&lt;/electronic-resource-num&gt;&lt;/record&gt;&lt;/Cite&gt;&lt;/EndNote&gt;</w:instrText>
      </w:r>
      <w:r>
        <w:fldChar w:fldCharType="separate"/>
      </w:r>
      <w:r>
        <w:rPr>
          <w:noProof/>
        </w:rPr>
        <w:t>(</w:t>
      </w:r>
      <w:hyperlink w:anchor="_ENREF_93" w:tooltip="Zhou, 2014 #98" w:history="1">
        <w:r w:rsidR="00364DED">
          <w:rPr>
            <w:rStyle w:val="Hyperlink"/>
          </w:rPr>
          <w:t>Zhou et al., 2014</w:t>
        </w:r>
      </w:hyperlink>
      <w:r>
        <w:rPr>
          <w:noProof/>
        </w:rPr>
        <w:t>)</w:t>
      </w:r>
      <w:r>
        <w:fldChar w:fldCharType="end"/>
      </w:r>
      <w:r>
        <w:rPr>
          <w:rFonts w:ascii="Times New Roman" w:hAnsi="Times New Roman" w:cs="Times New Roman"/>
          <w:sz w:val="24"/>
          <w:szCs w:val="24"/>
        </w:rPr>
        <w:t xml:space="preserve">, nonanal </w:t>
      </w:r>
      <w:r>
        <w:fldChar w:fldCharType="begin"/>
      </w:r>
      <w:r>
        <w:instrText xml:space="preserve"> ADDIN EN.CITE &lt;EndNote&gt;&lt;Cite&gt;&lt;Author&gt;Zhang&lt;/Author&gt;&lt;Year&gt;2017&lt;/Year&gt;&lt;RecNum&gt;99&lt;/RecNum&gt;&lt;DisplayText&gt;(Zhang et al., 2017)&lt;/DisplayText&gt;&lt;record&gt;&lt;rec-number&gt;99&lt;/rec-number&gt;&lt;foreign-keys&gt;&lt;key app="EN" db-id="ra9v9ftd2frrvye2et45af2dwpvf99aw5evt" timestamp="1706903330"&gt;99&lt;/key&gt;&lt;/foreign-keys&gt;&lt;ref-type name="Journal Article"&gt;17&lt;/ref-type&gt;&lt;contributors&gt;&lt;authors&gt;&lt;author&gt;Zhang, Ji-hong&lt;/author&gt;&lt;author&gt;Sun, He-long&lt;/author&gt;&lt;author&gt;Chen, Shao-yang&lt;/author&gt;&lt;author&gt;Zeng, Li&lt;/author&gt;&lt;author&gt;Wang, Tao-tao&lt;/author&gt;&lt;/authors&gt;&lt;/contributors&gt;&lt;titles&gt;&lt;title&gt;&lt;style face="normal" font="default" size="100%"&gt;Anti-fungal activity, mechanism studies on α-Phellandrene and Nonanal against &lt;/style&gt;&lt;style face="italic" font="default" size="100%"&gt;Penicillium cyclopium&lt;/style&gt;&lt;/title&gt;&lt;secondary-title&gt;Botanical Studies&lt;/secondary-title&gt;&lt;/titles&gt;&lt;periodical&gt;&lt;full-title&gt;Botanical Studies&lt;/full-title&gt;&lt;/periodical&gt;&lt;pages&gt;13&lt;/pages&gt;&lt;volume&gt;58&lt;/volume&gt;&lt;number&gt;1&lt;/number&gt;&lt;dates&gt;&lt;year&gt;2017&lt;/year&gt;&lt;pub-dates&gt;&lt;date&gt;2017/03/14&lt;/date&gt;&lt;/pub-dates&gt;&lt;/dates&gt;&lt;isbn&gt;1999-3110&lt;/isbn&gt;&lt;urls&gt;&lt;related-urls&gt;&lt;url&gt;https://doi.org/10.1186/s40529-017-0168-8&lt;/url&gt;&lt;/related-urls&gt;&lt;/urls&gt;&lt;electronic-resource-num&gt;10.1186/s40529-017-0168-8&lt;/electronic-resource-num&gt;&lt;/record&gt;&lt;/Cite&gt;&lt;/EndNote&gt;</w:instrText>
      </w:r>
      <w:r>
        <w:fldChar w:fldCharType="separate"/>
      </w:r>
      <w:r>
        <w:rPr>
          <w:noProof/>
        </w:rPr>
        <w:t>(</w:t>
      </w:r>
      <w:hyperlink w:anchor="_ENREF_92" w:tooltip="Zhang, 2017 #94" w:history="1">
        <w:r w:rsidR="00364DED">
          <w:rPr>
            <w:rStyle w:val="Hyperlink"/>
          </w:rPr>
          <w:t>Zhang et al., 2017</w:t>
        </w:r>
      </w:hyperlink>
      <w:r>
        <w:rPr>
          <w:noProof/>
        </w:rPr>
        <w:t>)</w:t>
      </w:r>
      <w:r>
        <w:fldChar w:fldCharType="end"/>
      </w:r>
      <w:r>
        <w:rPr>
          <w:rFonts w:ascii="Times New Roman" w:hAnsi="Times New Roman" w:cs="Times New Roman"/>
          <w:sz w:val="24"/>
          <w:szCs w:val="24"/>
        </w:rPr>
        <w:t>, and decanal exposures, respectively.</w:t>
      </w:r>
    </w:p>
    <w:p w14:paraId="0BF5CFE7" w14:textId="77777777" w:rsidR="00364DED" w:rsidRDefault="00A70A1E">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This study indicated the bioactivities of metabolites from bark methanol, acetone and butanol extracts, and wood essential oil of </w:t>
      </w:r>
      <w:r>
        <w:rPr>
          <w:rFonts w:ascii="Times New Roman" w:hAnsi="Times New Roman" w:cs="Times New Roman"/>
          <w:i/>
          <w:iCs/>
          <w:sz w:val="24"/>
          <w:szCs w:val="24"/>
        </w:rPr>
        <w:t>B. spectabilis</w:t>
      </w:r>
      <w:r>
        <w:rPr>
          <w:rFonts w:ascii="Times New Roman" w:hAnsi="Times New Roman" w:cs="Times New Roman"/>
          <w:sz w:val="24"/>
          <w:szCs w:val="24"/>
        </w:rPr>
        <w:t xml:space="preserve"> against the growth of various bacterial and fungal strains of plant pathogens including; bacterial strains </w:t>
      </w:r>
      <w:r>
        <w:rPr>
          <w:rFonts w:ascii="Times New Roman" w:hAnsi="Times New Roman" w:cs="Times New Roman"/>
          <w:i/>
          <w:iCs/>
          <w:sz w:val="24"/>
          <w:szCs w:val="24"/>
        </w:rPr>
        <w:t>Agrobacterium tumefaciens</w:t>
      </w:r>
      <w:r>
        <w:rPr>
          <w:rFonts w:ascii="Times New Roman" w:hAnsi="Times New Roman" w:cs="Times New Roman"/>
          <w:sz w:val="24"/>
          <w:szCs w:val="24"/>
        </w:rPr>
        <w:t xml:space="preserve">, </w:t>
      </w:r>
      <w:proofErr w:type="spellStart"/>
      <w:r>
        <w:rPr>
          <w:rFonts w:ascii="Times New Roman" w:hAnsi="Times New Roman" w:cs="Times New Roman"/>
          <w:i/>
          <w:iCs/>
          <w:sz w:val="24"/>
          <w:szCs w:val="24"/>
        </w:rPr>
        <w:t>Ralstonia</w:t>
      </w:r>
      <w:proofErr w:type="spellEnd"/>
      <w:r>
        <w:rPr>
          <w:rFonts w:ascii="Times New Roman" w:hAnsi="Times New Roman" w:cs="Times New Roman"/>
          <w:i/>
          <w:iCs/>
          <w:sz w:val="24"/>
          <w:szCs w:val="24"/>
        </w:rPr>
        <w:t xml:space="preserve"> solanacearum</w:t>
      </w:r>
      <w:r>
        <w:rPr>
          <w:rFonts w:ascii="Times New Roman" w:hAnsi="Times New Roman" w:cs="Times New Roman"/>
          <w:sz w:val="24"/>
          <w:szCs w:val="24"/>
        </w:rPr>
        <w:t xml:space="preserve">, </w:t>
      </w:r>
      <w:r>
        <w:rPr>
          <w:rFonts w:ascii="Times New Roman" w:hAnsi="Times New Roman" w:cs="Times New Roman"/>
          <w:i/>
          <w:iCs/>
          <w:sz w:val="24"/>
          <w:szCs w:val="24"/>
        </w:rPr>
        <w:t xml:space="preserve">Erwinia </w:t>
      </w:r>
      <w:proofErr w:type="spellStart"/>
      <w:r>
        <w:rPr>
          <w:rFonts w:ascii="Times New Roman" w:hAnsi="Times New Roman" w:cs="Times New Roman"/>
          <w:i/>
          <w:iCs/>
          <w:sz w:val="24"/>
          <w:szCs w:val="24"/>
        </w:rPr>
        <w:t>amylovora</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Pectobacterium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carotovorum</w:t>
      </w:r>
      <w:proofErr w:type="spellEnd"/>
      <w:r>
        <w:rPr>
          <w:rFonts w:ascii="Times New Roman" w:hAnsi="Times New Roman" w:cs="Times New Roman"/>
          <w:sz w:val="24"/>
          <w:szCs w:val="24"/>
        </w:rPr>
        <w:t xml:space="preserve"> and </w:t>
      </w:r>
      <w:proofErr w:type="spellStart"/>
      <w:r>
        <w:rPr>
          <w:rFonts w:ascii="Times New Roman" w:hAnsi="Times New Roman" w:cs="Times New Roman"/>
          <w:i/>
          <w:iCs/>
          <w:sz w:val="24"/>
          <w:szCs w:val="24"/>
        </w:rPr>
        <w:t>Dickeya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solani</w:t>
      </w:r>
      <w:proofErr w:type="spellEnd"/>
      <w:r>
        <w:rPr>
          <w:rFonts w:ascii="Times New Roman" w:hAnsi="Times New Roman" w:cs="Times New Roman"/>
          <w:sz w:val="24"/>
          <w:szCs w:val="24"/>
        </w:rPr>
        <w:t xml:space="preserve"> and fungal </w:t>
      </w:r>
      <w:proofErr w:type="spellStart"/>
      <w:r>
        <w:rPr>
          <w:rFonts w:ascii="Times New Roman" w:hAnsi="Times New Roman" w:cs="Times New Roman"/>
          <w:sz w:val="24"/>
          <w:szCs w:val="24"/>
        </w:rPr>
        <w:t>strians</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Rhizoctonia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solani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Fusarium </w:t>
      </w:r>
      <w:proofErr w:type="spellStart"/>
      <w:r>
        <w:rPr>
          <w:rFonts w:ascii="Times New Roman" w:hAnsi="Times New Roman" w:cs="Times New Roman"/>
          <w:i/>
          <w:iCs/>
          <w:sz w:val="24"/>
          <w:szCs w:val="24"/>
        </w:rPr>
        <w:t>oxysporum</w:t>
      </w:r>
      <w:proofErr w:type="spellEnd"/>
      <w:r>
        <w:rPr>
          <w:rFonts w:ascii="Times New Roman" w:hAnsi="Times New Roman" w:cs="Times New Roman"/>
          <w:sz w:val="24"/>
          <w:szCs w:val="24"/>
        </w:rPr>
        <w:t xml:space="preserve"> and </w:t>
      </w:r>
      <w:r>
        <w:rPr>
          <w:rFonts w:ascii="Times New Roman" w:hAnsi="Times New Roman" w:cs="Times New Roman"/>
          <w:i/>
          <w:iCs/>
          <w:sz w:val="24"/>
          <w:szCs w:val="24"/>
        </w:rPr>
        <w:t xml:space="preserve">Penicillium </w:t>
      </w:r>
      <w:proofErr w:type="spellStart"/>
      <w:r>
        <w:rPr>
          <w:rFonts w:ascii="Times New Roman" w:hAnsi="Times New Roman" w:cs="Times New Roman"/>
          <w:i/>
          <w:iCs/>
          <w:sz w:val="24"/>
          <w:szCs w:val="24"/>
        </w:rPr>
        <w:t>digitatum</w:t>
      </w:r>
      <w:proofErr w:type="spellEnd"/>
      <w:r>
        <w:rPr>
          <w:rFonts w:ascii="Times New Roman" w:hAnsi="Times New Roman" w:cs="Times New Roman"/>
          <w:sz w:val="24"/>
          <w:szCs w:val="24"/>
        </w:rPr>
        <w:t xml:space="preserve">. The analysis of chemical compounds by GC-MS afforded several bioactive compounds in the extracts like nonanal (Z)-9-octadecenoic acid, oleic acid, retinal, trans-13-octadecenoic acid, cis-13-eicosenoic acid, 9-nonanal, (E)-2-nonenal, octanal, (E)-2-decenal, and 2-undecenal, which could be used in the future investigations as antimicrobial agents extracted from </w:t>
      </w:r>
      <w:r>
        <w:rPr>
          <w:rFonts w:ascii="Times New Roman" w:hAnsi="Times New Roman" w:cs="Times New Roman"/>
          <w:i/>
          <w:iCs/>
          <w:sz w:val="24"/>
          <w:szCs w:val="24"/>
        </w:rPr>
        <w:t>B. spectabilis</w:t>
      </w:r>
      <w:r>
        <w:rPr>
          <w:rFonts w:ascii="Times New Roman" w:hAnsi="Times New Roman" w:cs="Times New Roman"/>
          <w:sz w:val="24"/>
          <w:szCs w:val="24"/>
        </w:rPr>
        <w:t>. The most stable molecules are those with negative values based on the semi-empirical calculation of MNDO thermodynamic data for the most abundant compounds.</w:t>
      </w:r>
    </w:p>
    <w:p w14:paraId="703593E7" w14:textId="77777777" w:rsidR="00364DED" w:rsidRDefault="00364DED">
      <w:pPr>
        <w:pStyle w:val="ListParagraph"/>
        <w:autoSpaceDE w:val="0"/>
        <w:autoSpaceDN w:val="0"/>
        <w:adjustRightInd w:val="0"/>
        <w:spacing w:after="0" w:line="360" w:lineRule="auto"/>
        <w:ind w:left="0"/>
        <w:jc w:val="both"/>
        <w:rPr>
          <w:rFonts w:ascii="Times New Roman" w:hAnsi="Times New Roman" w:cs="Times New Roman"/>
          <w:sz w:val="24"/>
          <w:szCs w:val="24"/>
        </w:rPr>
      </w:pPr>
    </w:p>
    <w:p w14:paraId="01BCF568" w14:textId="77777777" w:rsidR="00364DED" w:rsidRDefault="00A70A1E">
      <w:pPr>
        <w:pStyle w:val="ListParagraph"/>
        <w:autoSpaceDE w:val="0"/>
        <w:autoSpaceDN w:val="0"/>
        <w:adjustRightInd w:val="0"/>
        <w:spacing w:after="0" w:line="360" w:lineRule="auto"/>
        <w:ind w:left="0"/>
        <w:jc w:val="both"/>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References</w:t>
      </w:r>
    </w:p>
    <w:p w14:paraId="491F3534" w14:textId="10868C1B" w:rsidR="00364DED" w:rsidRDefault="00A70A1E" w:rsidP="00713412">
      <w:pPr>
        <w:pStyle w:val="EndNoteBibliography"/>
        <w:spacing w:after="0"/>
        <w:ind w:left="2520"/>
        <w:jc w:val="left"/>
      </w:pPr>
      <w:r>
        <w:rPr>
          <w:szCs w:val="24"/>
        </w:rPr>
        <w:fldChar w:fldCharType="begin"/>
      </w:r>
      <w:r>
        <w:rPr>
          <w:szCs w:val="24"/>
        </w:rPr>
        <w:instrText xml:space="preserve"> ADDIN EN.REFLIST </w:instrText>
      </w:r>
      <w:r>
        <w:rPr>
          <w:szCs w:val="24"/>
        </w:rPr>
        <w:fldChar w:fldCharType="separate"/>
      </w:r>
      <w:bookmarkStart w:id="1" w:name="_ENREF_1"/>
      <w:r w:rsidR="00686543" w:rsidRPr="00686543">
        <w:t xml:space="preserve"> Abarca-Vargas, R., Peña Malacara, C. F., &amp; Petricevich, V. L. (2016). Characterization of chemical compounds with antioxidant and cytotoxic activities in Bougainvillea x buttiana holttum and standl, (Var. rose) extracts. Antioxidants, 5(4), 45. https://doi.org/10.3390/antiox5040045</w:t>
      </w:r>
      <w:r w:rsidR="00686543">
        <w:tab/>
      </w:r>
      <w:r>
        <w:t>.</w:t>
      </w:r>
      <w:bookmarkEnd w:id="1"/>
    </w:p>
    <w:p w14:paraId="4D48DBFE" w14:textId="77777777" w:rsidR="00364DED" w:rsidRDefault="00A70A1E" w:rsidP="00713412">
      <w:pPr>
        <w:pStyle w:val="EndNoteBibliography"/>
        <w:spacing w:after="0"/>
        <w:ind w:left="2520"/>
        <w:jc w:val="left"/>
      </w:pPr>
      <w:bookmarkStart w:id="2" w:name="_ENREF_2"/>
      <w:r>
        <w:t xml:space="preserve">Abarca-Vargas, R. and Petricevich, V.L. (2018). </w:t>
      </w:r>
      <w:r>
        <w:rPr>
          <w:i/>
        </w:rPr>
        <w:t>Bougainvillea</w:t>
      </w:r>
      <w:r>
        <w:t xml:space="preserve"> Genus: A Review on Phytochemistry, Pharmacology, and Toxicology. </w:t>
      </w:r>
      <w:r>
        <w:rPr>
          <w:i/>
        </w:rPr>
        <w:t>Evidence-Based Complementary and Alternative Medicine.</w:t>
      </w:r>
      <w:r>
        <w:t xml:space="preserve"> 2018</w:t>
      </w:r>
      <w:r>
        <w:rPr>
          <w:b/>
        </w:rPr>
        <w:t>,</w:t>
      </w:r>
      <w:r>
        <w:t xml:space="preserve"> 9070927. </w:t>
      </w:r>
      <w:hyperlink r:id="rId14" w:history="1">
        <w:r w:rsidR="00364DED">
          <w:rPr>
            <w:rStyle w:val="Hyperlink"/>
          </w:rPr>
          <w:t>https://doi.org/10.1155/2018/9070927</w:t>
        </w:r>
      </w:hyperlink>
      <w:r>
        <w:t>.</w:t>
      </w:r>
      <w:bookmarkEnd w:id="2"/>
    </w:p>
    <w:p w14:paraId="7F2C706B" w14:textId="77777777" w:rsidR="00364DED" w:rsidRDefault="00A70A1E" w:rsidP="00713412">
      <w:pPr>
        <w:pStyle w:val="EndNoteBibliography"/>
        <w:spacing w:after="0"/>
        <w:ind w:left="2520"/>
        <w:jc w:val="left"/>
      </w:pPr>
      <w:bookmarkStart w:id="3" w:name="_ENREF_3"/>
      <w:r>
        <w:t xml:space="preserve">Abd El-Kareem, M.S., A. Rabbih, M., Elansary, H.O. and A. Al-Mana, F. (2020). Mass spectral fragmentation of </w:t>
      </w:r>
      <w:r>
        <w:rPr>
          <w:i/>
        </w:rPr>
        <w:t>Pelargonium graveolens</w:t>
      </w:r>
      <w:r>
        <w:t xml:space="preserve"> essential oil using GC–MS semi-empirical calculations and biological potential. </w:t>
      </w:r>
      <w:r>
        <w:rPr>
          <w:i/>
        </w:rPr>
        <w:t>Processes.</w:t>
      </w:r>
      <w:r>
        <w:t xml:space="preserve"> 8(2)</w:t>
      </w:r>
      <w:r>
        <w:rPr>
          <w:b/>
        </w:rPr>
        <w:t>,</w:t>
      </w:r>
      <w:r>
        <w:t xml:space="preserve"> 128. </w:t>
      </w:r>
      <w:hyperlink r:id="rId15" w:history="1">
        <w:r w:rsidR="00364DED">
          <w:rPr>
            <w:rStyle w:val="Hyperlink"/>
          </w:rPr>
          <w:t>https://doi.org/https://doi.org/10.3390/pr8020128</w:t>
        </w:r>
      </w:hyperlink>
      <w:r>
        <w:t>.</w:t>
      </w:r>
      <w:bookmarkEnd w:id="3"/>
    </w:p>
    <w:p w14:paraId="66E1AE35" w14:textId="33271AAC" w:rsidR="00364DED" w:rsidRDefault="00686543" w:rsidP="00713412">
      <w:pPr>
        <w:pStyle w:val="EndNoteBibliography"/>
        <w:spacing w:after="0"/>
        <w:ind w:left="2520"/>
        <w:jc w:val="left"/>
      </w:pPr>
      <w:bookmarkStart w:id="4" w:name="_ENREF_4"/>
      <w:r w:rsidRPr="00686543">
        <w:t>Abd El-kareem, M. S. M., ElDesawy, M., Hawash, M., &amp; Fahmy Ahmed, M. E. dain. (2018). Structural investigation of sparfloxacin drug using mass spec-trometry and MNDO semi-empirical molecular orbital calcu-lations. International Journal of Advanced Chemistry, 6(1), 74-78. https://doi.org/10.14419/ijac.v6i1.9177</w:t>
      </w:r>
      <w:r>
        <w:tab/>
        <w:t>.</w:t>
      </w:r>
      <w:bookmarkEnd w:id="4"/>
    </w:p>
    <w:p w14:paraId="7AE51279" w14:textId="3DE4C9FA" w:rsidR="00364DED" w:rsidRDefault="00686543" w:rsidP="00713412">
      <w:pPr>
        <w:pStyle w:val="EndNoteBibliography"/>
        <w:spacing w:after="0"/>
        <w:ind w:left="2520"/>
        <w:jc w:val="left"/>
      </w:pPr>
      <w:bookmarkStart w:id="5" w:name="_ENREF_5"/>
      <w:r w:rsidRPr="00686543">
        <w:t>Abd El-Kareem, M. S. M., Rabbih, M. A., &amp; Selim, E. T. M. (2018). Semi-Empirical and HOMO, LUMO Studies of Some Chlorinated Pesticides Compounds. Communications in Computational Chemistry, 6(1), 1-12. https://doi.org/10.4208/cicc.2018.v6.n1.1</w:t>
      </w:r>
      <w:r>
        <w:t>.</w:t>
      </w:r>
      <w:bookmarkEnd w:id="5"/>
    </w:p>
    <w:p w14:paraId="4102A963" w14:textId="77777777" w:rsidR="00364DED" w:rsidRDefault="00A70A1E" w:rsidP="00713412">
      <w:pPr>
        <w:pStyle w:val="EndNoteBibliography"/>
        <w:spacing w:after="0"/>
        <w:ind w:left="2520"/>
        <w:jc w:val="left"/>
      </w:pPr>
      <w:bookmarkStart w:id="6" w:name="_ENREF_6"/>
      <w:r>
        <w:lastRenderedPageBreak/>
        <w:t xml:space="preserve">Abd El-Kareem, M.S.M., Rabbih, M.A., Rashad, A.M. and El-Hefny, M. (2024). Essential oils from fennel plants as valuable chemical products: gas chromatography–mass spectrometry, FTIR, quantum mechanical investigation, and antifungal activity. </w:t>
      </w:r>
      <w:r>
        <w:rPr>
          <w:i/>
        </w:rPr>
        <w:t>Biomass Conversion and Biorefinery.</w:t>
      </w:r>
      <w:r>
        <w:t xml:space="preserve"> </w:t>
      </w:r>
      <w:hyperlink r:id="rId16" w:history="1">
        <w:r w:rsidR="00364DED">
          <w:rPr>
            <w:rStyle w:val="Hyperlink"/>
          </w:rPr>
          <w:t>https://doi.org/10.1007/s13399-024-05675-2</w:t>
        </w:r>
      </w:hyperlink>
      <w:r>
        <w:t>.</w:t>
      </w:r>
      <w:bookmarkEnd w:id="6"/>
    </w:p>
    <w:p w14:paraId="1E291781" w14:textId="77777777" w:rsidR="00364DED" w:rsidRDefault="00A70A1E" w:rsidP="00713412">
      <w:pPr>
        <w:pStyle w:val="EndNoteBibliography"/>
        <w:spacing w:after="0"/>
        <w:ind w:left="2520"/>
        <w:jc w:val="left"/>
      </w:pPr>
      <w:bookmarkStart w:id="7" w:name="_ENREF_7"/>
      <w:r>
        <w:t xml:space="preserve">Abdelkhalek, A., Salem, M.Z.M., Kordy, A.M., Salem, A.Z.M. and Behiry, S.I. (2020). Antiviral, antifungal, and insecticidal activities of </w:t>
      </w:r>
      <w:r>
        <w:rPr>
          <w:i/>
        </w:rPr>
        <w:t>Eucalyptus</w:t>
      </w:r>
      <w:r>
        <w:t xml:space="preserve"> bark extract: HPLC analysis of polyphenolic compounds. </w:t>
      </w:r>
      <w:r>
        <w:rPr>
          <w:i/>
        </w:rPr>
        <w:t>Microbial Pathogenesis.</w:t>
      </w:r>
      <w:r>
        <w:t xml:space="preserve"> 147</w:t>
      </w:r>
      <w:r>
        <w:rPr>
          <w:b/>
        </w:rPr>
        <w:t>,</w:t>
      </w:r>
      <w:r>
        <w:t xml:space="preserve"> 104383. </w:t>
      </w:r>
      <w:hyperlink r:id="rId17" w:history="1">
        <w:r w:rsidR="00364DED">
          <w:rPr>
            <w:rStyle w:val="Hyperlink"/>
          </w:rPr>
          <w:t>https://doi.org/https://doi.org/10.1016/j.micpath.2020.104383</w:t>
        </w:r>
      </w:hyperlink>
      <w:r>
        <w:t>.</w:t>
      </w:r>
      <w:bookmarkEnd w:id="7"/>
    </w:p>
    <w:p w14:paraId="29776FDB" w14:textId="77777777" w:rsidR="00364DED" w:rsidRDefault="00A70A1E" w:rsidP="00713412">
      <w:pPr>
        <w:pStyle w:val="EndNoteBibliography"/>
        <w:spacing w:after="0"/>
        <w:ind w:left="2520"/>
        <w:jc w:val="left"/>
      </w:pPr>
      <w:bookmarkStart w:id="8" w:name="_ENREF_8"/>
      <w:r>
        <w:t xml:space="preserve">Abdelsalam, N.R., Salem, M.Z.M., Ali, H.M., Mackled, M.I., El-Hefny, M., Elshikh, M.S. and Hatamleh, A.A. (2019). Morphological, biochemical, molecular, and oil toxicity properties of </w:t>
      </w:r>
      <w:r>
        <w:rPr>
          <w:i/>
        </w:rPr>
        <w:t>Taxodium</w:t>
      </w:r>
      <w:r>
        <w:t xml:space="preserve"> trees from different locations. </w:t>
      </w:r>
      <w:r>
        <w:rPr>
          <w:i/>
        </w:rPr>
        <w:t>Industrial Crops and Products.</w:t>
      </w:r>
      <w:r>
        <w:t xml:space="preserve"> 139</w:t>
      </w:r>
      <w:r>
        <w:rPr>
          <w:b/>
        </w:rPr>
        <w:t>,</w:t>
      </w:r>
      <w:r>
        <w:t xml:space="preserve"> 111515. </w:t>
      </w:r>
      <w:hyperlink r:id="rId18" w:history="1">
        <w:r w:rsidR="00364DED">
          <w:rPr>
            <w:rStyle w:val="Hyperlink"/>
          </w:rPr>
          <w:t>https://doi.org/https://doi.org/10.1016/j.indcrop.2019.111515</w:t>
        </w:r>
      </w:hyperlink>
      <w:r>
        <w:t>.</w:t>
      </w:r>
      <w:bookmarkEnd w:id="8"/>
    </w:p>
    <w:p w14:paraId="660ADCAE" w14:textId="3E11252F" w:rsidR="00364DED" w:rsidRDefault="00686543" w:rsidP="00713412">
      <w:pPr>
        <w:pStyle w:val="EndNoteBibliography"/>
        <w:spacing w:after="0"/>
        <w:ind w:left="2520"/>
        <w:jc w:val="left"/>
      </w:pPr>
      <w:r w:rsidRPr="00686543">
        <w:t>Adebayo, J. O., Adesokan, A. A., Olatunji, L. A., Buoro, D. O., &amp; Soladoye, A. O. (2005). Effect of ethanolic extract of Bougainvillea spectabilis leaves on haematological and serum lipid variables in rats. Biokemistri, 17(1), 45-50. https://doi.org/10.4314/biokem.v17i1.32588</w:t>
      </w:r>
    </w:p>
    <w:p w14:paraId="49C0DAEC" w14:textId="6711C70C" w:rsidR="00364DED" w:rsidRDefault="00686543" w:rsidP="00713412">
      <w:pPr>
        <w:pStyle w:val="EndNoteBibliography"/>
        <w:spacing w:after="0"/>
        <w:ind w:left="2520"/>
        <w:jc w:val="left"/>
      </w:pPr>
      <w:bookmarkStart w:id="9" w:name="_ENREF_10"/>
      <w:r w:rsidRPr="00686543">
        <w:t>Afifi, M. A., Zayan, S. A., Khatab, M. A., &amp; Elmayargi, H. A. (2001). The first application of disease forecast and early warning system in Egypt for Potato late blight. *The Plant Pathology Journal*, *17*(6), 373-374. https://www.koreascience.or.kr/</w:t>
      </w:r>
      <w:r>
        <w:t>.</w:t>
      </w:r>
      <w:bookmarkEnd w:id="9"/>
    </w:p>
    <w:p w14:paraId="069B762A" w14:textId="11182BA3" w:rsidR="00364DED" w:rsidRDefault="00686543" w:rsidP="00713412">
      <w:pPr>
        <w:pStyle w:val="EndNoteBibliography"/>
        <w:spacing w:after="0"/>
        <w:ind w:left="2520"/>
        <w:jc w:val="left"/>
      </w:pPr>
      <w:bookmarkStart w:id="10" w:name="_ENREF_11"/>
      <w:r w:rsidRPr="00686543">
        <w:t>Ahmed, A. H., &amp; Abd Elkarim, A. S. (2021). Bioactive Compounds with Significant Anti- Rheumatoid Arthritis Effect Isolated for the First time from Leaves of Bougainvillea spectabilis. Current Pharmaceutical Biotechnology, 22(15), 2048-2053. https://doi.org/10.2174/1389201021666201229111825</w:t>
      </w:r>
      <w:r>
        <w:t>.</w:t>
      </w:r>
      <w:bookmarkEnd w:id="10"/>
    </w:p>
    <w:p w14:paraId="1510E85A" w14:textId="1FB7C762" w:rsidR="00364DED" w:rsidRDefault="00686543" w:rsidP="00713412">
      <w:pPr>
        <w:pStyle w:val="EndNoteBibliography"/>
        <w:spacing w:after="0"/>
        <w:ind w:left="2520"/>
        <w:jc w:val="left"/>
      </w:pPr>
      <w:bookmarkStart w:id="11" w:name="_ENREF_12"/>
      <w:r w:rsidRPr="00686543">
        <w:t>Akber, M. A., Mubeen, M., Sohail, M. A., Khan, S. W., Solanki, M. K., Khalid, R., Abbas, A., Divvela, P. K., &amp; Zhou, L. (2023). Global distribution, traditional and modern detection, diagnostic, and management approaches of Rhizoctonia solani associated with legume crops. Frontiers in Microbiology, 13, 1091288. https://doi.org/10.3389/fmicb.2022.1091288</w:t>
      </w:r>
      <w:r>
        <w:t>.</w:t>
      </w:r>
      <w:bookmarkEnd w:id="11"/>
    </w:p>
    <w:p w14:paraId="44AE75EC" w14:textId="25EE5A49" w:rsidR="00364DED" w:rsidRDefault="00686543" w:rsidP="00713412">
      <w:pPr>
        <w:pStyle w:val="EndNoteBibliography"/>
        <w:spacing w:after="0"/>
        <w:ind w:left="2520"/>
        <w:jc w:val="left"/>
      </w:pPr>
      <w:bookmarkStart w:id="12" w:name="_ENREF_13"/>
      <w:r w:rsidRPr="00686543">
        <w:t>Ali, H. M., Elgat, W. A. A., El-Hefny, M., Salem, M. Z. M., Taha, A. S., Al Farraj, D. A., Elshikh, M. S., Hatamleh, A. A., &amp; Abdel-Salam, E. M. (2021). New approach for using of Mentha longifolia L. and Citrus reticulata L. essential oils as wood-biofungicides: GC-MS, SEM, and MNDO quantum chemical studies. Materials, 14(6), 1361. https://doi.org/10.3390/ma14061361</w:t>
      </w:r>
      <w:r>
        <w:t>.</w:t>
      </w:r>
      <w:bookmarkEnd w:id="12"/>
    </w:p>
    <w:p w14:paraId="73EEC588" w14:textId="77777777" w:rsidR="00364DED" w:rsidRDefault="00A70A1E" w:rsidP="00713412">
      <w:pPr>
        <w:pStyle w:val="EndNoteBibliography"/>
        <w:spacing w:after="0"/>
        <w:ind w:left="2520"/>
        <w:jc w:val="left"/>
      </w:pPr>
      <w:bookmarkStart w:id="13" w:name="_ENREF_14"/>
      <w:r>
        <w:t xml:space="preserve">Arteaga Figueroa, L., Abarca-Vargas, R., García Alanis, C. and Petricevich, V.L. (2017). Comparison between Peritoneal Macrophage Activation by </w:t>
      </w:r>
      <w:r>
        <w:rPr>
          <w:i/>
        </w:rPr>
        <w:t>Bougainvillea  x buttiana</w:t>
      </w:r>
      <w:r>
        <w:t xml:space="preserve"> Extract and LPS and/or Interleukins. </w:t>
      </w:r>
      <w:r>
        <w:rPr>
          <w:i/>
        </w:rPr>
        <w:t>BioMed Research International.</w:t>
      </w:r>
      <w:r>
        <w:t xml:space="preserve"> 2017</w:t>
      </w:r>
      <w:r>
        <w:rPr>
          <w:b/>
        </w:rPr>
        <w:t>,</w:t>
      </w:r>
      <w:r>
        <w:t xml:space="preserve"> 4602952. </w:t>
      </w:r>
      <w:hyperlink r:id="rId19" w:history="1">
        <w:r w:rsidR="00364DED">
          <w:rPr>
            <w:rStyle w:val="Hyperlink"/>
          </w:rPr>
          <w:t>https://doi.org/10.1155/2017/4602952</w:t>
        </w:r>
      </w:hyperlink>
      <w:r>
        <w:t>.</w:t>
      </w:r>
      <w:bookmarkEnd w:id="13"/>
    </w:p>
    <w:p w14:paraId="2A1CFAB4" w14:textId="77777777" w:rsidR="00364DED" w:rsidRDefault="00A70A1E" w:rsidP="00713412">
      <w:pPr>
        <w:pStyle w:val="EndNoteBibliography"/>
        <w:spacing w:after="0"/>
        <w:ind w:left="2520"/>
        <w:jc w:val="left"/>
      </w:pPr>
      <w:bookmarkStart w:id="14" w:name="_ENREF_15"/>
      <w:r>
        <w:t xml:space="preserve">Asad-Uz-Zaman, M., Bhuiyan, M.R., Khan, M.A.I., Alam Bhuiyan, M.K. and Latif, M.A. (2015). Integrated options for the management of </w:t>
      </w:r>
      <w:r>
        <w:lastRenderedPageBreak/>
        <w:t xml:space="preserve">black root rot of strawberry caused by </w:t>
      </w:r>
      <w:r>
        <w:rPr>
          <w:i/>
        </w:rPr>
        <w:t>Rhizoctonia solani</w:t>
      </w:r>
      <w:r>
        <w:t xml:space="preserve"> Kuhn. </w:t>
      </w:r>
      <w:r>
        <w:rPr>
          <w:i/>
        </w:rPr>
        <w:t>Comptes Rendus Biologies.</w:t>
      </w:r>
      <w:r>
        <w:t xml:space="preserve"> 338(2)</w:t>
      </w:r>
      <w:r>
        <w:rPr>
          <w:b/>
        </w:rPr>
        <w:t>,</w:t>
      </w:r>
      <w:r>
        <w:t xml:space="preserve"> 112-120. </w:t>
      </w:r>
      <w:hyperlink r:id="rId20" w:history="1">
        <w:r w:rsidR="00364DED">
          <w:rPr>
            <w:rStyle w:val="Hyperlink"/>
          </w:rPr>
          <w:t>https://doi.org/https://doi.org/10.1016/j.crvi.2014.11.006</w:t>
        </w:r>
      </w:hyperlink>
      <w:r>
        <w:t>.</w:t>
      </w:r>
      <w:bookmarkEnd w:id="14"/>
    </w:p>
    <w:p w14:paraId="34CA8E74" w14:textId="77777777" w:rsidR="00364DED" w:rsidRDefault="00A70A1E" w:rsidP="00713412">
      <w:pPr>
        <w:pStyle w:val="EndNoteBibliography"/>
        <w:spacing w:after="0"/>
        <w:ind w:left="2520"/>
        <w:jc w:val="left"/>
      </w:pPr>
      <w:bookmarkStart w:id="15" w:name="_ENREF_16"/>
      <w:r>
        <w:t xml:space="preserve">Ashmawy, N.A., Al Farraj, D.A., Salem, M.Z.M., Elshikh, M.S., Al-Kufaidy, R., Alshammari, M.K. and Salem, A.Z.M. (2020a). Potential impacts of </w:t>
      </w:r>
      <w:r>
        <w:rPr>
          <w:i/>
        </w:rPr>
        <w:t>Pinus halepensis</w:t>
      </w:r>
      <w:r>
        <w:t xml:space="preserve"> Miller trees as a source of phytochemical compounds: antibacterial activity of the cones essential oil and n-butanol extract. </w:t>
      </w:r>
      <w:r>
        <w:rPr>
          <w:i/>
        </w:rPr>
        <w:t>Agroforestry Systems.</w:t>
      </w:r>
      <w:r>
        <w:t xml:space="preserve"> 94(4)</w:t>
      </w:r>
      <w:r>
        <w:rPr>
          <w:b/>
        </w:rPr>
        <w:t>,</w:t>
      </w:r>
      <w:r>
        <w:t xml:space="preserve"> 1403-1413. </w:t>
      </w:r>
      <w:hyperlink r:id="rId21" w:history="1">
        <w:r w:rsidR="00364DED">
          <w:rPr>
            <w:rStyle w:val="Hyperlink"/>
          </w:rPr>
          <w:t>https://doi.org/10.1007/s10457-018-0324-5</w:t>
        </w:r>
      </w:hyperlink>
      <w:r>
        <w:t>.</w:t>
      </w:r>
      <w:bookmarkEnd w:id="15"/>
    </w:p>
    <w:p w14:paraId="59C7C16B" w14:textId="77777777" w:rsidR="00364DED" w:rsidRDefault="00A70A1E" w:rsidP="00713412">
      <w:pPr>
        <w:pStyle w:val="EndNoteBibliography"/>
        <w:spacing w:after="0"/>
        <w:ind w:left="2520"/>
        <w:jc w:val="left"/>
      </w:pPr>
      <w:bookmarkStart w:id="16" w:name="_ENREF_17"/>
      <w:r>
        <w:t xml:space="preserve">Ashmawy, N.A., Behiry, S.I., Al-Huqail, A.A., Ali, H.M. and Salem, M.Z. (2020b). Bioactivity of selected phenolic acids and hexane extracts from </w:t>
      </w:r>
      <w:r>
        <w:rPr>
          <w:i/>
        </w:rPr>
        <w:t>Bougainvilla spectabilis</w:t>
      </w:r>
      <w:r>
        <w:t xml:space="preserve"> and </w:t>
      </w:r>
      <w:r>
        <w:rPr>
          <w:i/>
        </w:rPr>
        <w:t>Citharexylum spinosum</w:t>
      </w:r>
      <w:r>
        <w:t xml:space="preserve"> on the growth of </w:t>
      </w:r>
      <w:r>
        <w:rPr>
          <w:i/>
        </w:rPr>
        <w:t xml:space="preserve">Pectobacterium carotovorum </w:t>
      </w:r>
      <w:r>
        <w:t xml:space="preserve">and </w:t>
      </w:r>
      <w:r>
        <w:rPr>
          <w:i/>
        </w:rPr>
        <w:t>Dickeya solani</w:t>
      </w:r>
      <w:r>
        <w:t xml:space="preserve"> bacteria: An opportunity to save the environment. </w:t>
      </w:r>
      <w:r>
        <w:rPr>
          <w:i/>
        </w:rPr>
        <w:t>Processes.</w:t>
      </w:r>
      <w:r>
        <w:t xml:space="preserve"> 8(4)</w:t>
      </w:r>
      <w:r>
        <w:rPr>
          <w:b/>
        </w:rPr>
        <w:t>,</w:t>
      </w:r>
      <w:r>
        <w:t xml:space="preserve"> 482. </w:t>
      </w:r>
      <w:hyperlink r:id="rId22" w:history="1">
        <w:r w:rsidR="00364DED">
          <w:rPr>
            <w:rStyle w:val="Hyperlink"/>
          </w:rPr>
          <w:t>https://doi.org/https://doi.org/10.3390/pr8040482</w:t>
        </w:r>
      </w:hyperlink>
      <w:r>
        <w:t>.</w:t>
      </w:r>
      <w:bookmarkEnd w:id="16"/>
    </w:p>
    <w:p w14:paraId="5F54186F" w14:textId="31917EDC" w:rsidR="00364DED" w:rsidRDefault="00686543" w:rsidP="00713412">
      <w:pPr>
        <w:pStyle w:val="EndNoteBibliography"/>
        <w:spacing w:after="0"/>
        <w:ind w:left="2520"/>
        <w:jc w:val="left"/>
      </w:pPr>
      <w:bookmarkStart w:id="17" w:name="_ENREF_18"/>
      <w:r w:rsidRPr="00686543">
        <w:t>Ashmawy, N. A., Salem, M. Z. M., El Shanhorey, N., Al-Huqail, A. A., Ali, H. M., &amp; Behiry, S. I. (2020). Eco-friendly wood-biofungicidal and antibacterial activities of various Coccoloba uvifera L. leaf extracts: HPLC analysis of phenolic and flavonoid compounds. BioResources, 15(2), 4165-4187. https://doi.org/10.15376/biores.15.2.4165-4187</w:t>
      </w:r>
      <w:r>
        <w:t>.</w:t>
      </w:r>
      <w:bookmarkEnd w:id="17"/>
    </w:p>
    <w:p w14:paraId="383A501D" w14:textId="77777777" w:rsidR="00364DED" w:rsidRDefault="00A70A1E" w:rsidP="00713412">
      <w:pPr>
        <w:pStyle w:val="EndNoteBibliography"/>
        <w:spacing w:after="0"/>
        <w:ind w:left="2520"/>
        <w:jc w:val="left"/>
      </w:pPr>
      <w:bookmarkStart w:id="18" w:name="_ENREF_19"/>
      <w:r>
        <w:t xml:space="preserve">Ashmawy, N.A., Salem, M.Z.M., El-Hefny, M., Abd El-Kareem, M.S.M., El-Shanhorey, N.A., Mohamed, A.A. and Salem, A.Z.M. (2018). Antibacterial activity of the bioactive compounds identified in three woody plants against some pathogenic bacteria. </w:t>
      </w:r>
      <w:r>
        <w:rPr>
          <w:i/>
        </w:rPr>
        <w:t>Microbial Pathogenesis.</w:t>
      </w:r>
      <w:r>
        <w:t xml:space="preserve"> 121</w:t>
      </w:r>
      <w:r>
        <w:rPr>
          <w:b/>
        </w:rPr>
        <w:t>,</w:t>
      </w:r>
      <w:r>
        <w:t xml:space="preserve"> 331-340. </w:t>
      </w:r>
      <w:hyperlink r:id="rId23" w:history="1">
        <w:r w:rsidR="00364DED">
          <w:rPr>
            <w:rStyle w:val="Hyperlink"/>
          </w:rPr>
          <w:t>https://doi.org/https://doi.org/10.1016/j.micpath.2018.05.032</w:t>
        </w:r>
      </w:hyperlink>
      <w:r>
        <w:t>.</w:t>
      </w:r>
      <w:bookmarkEnd w:id="18"/>
    </w:p>
    <w:p w14:paraId="302030B1" w14:textId="77777777" w:rsidR="00364DED" w:rsidRDefault="00A70A1E" w:rsidP="00713412">
      <w:pPr>
        <w:pStyle w:val="EndNoteBibliography"/>
        <w:spacing w:after="0"/>
        <w:ind w:left="2520"/>
        <w:jc w:val="left"/>
      </w:pPr>
      <w:bookmarkStart w:id="19" w:name="_ENREF_20"/>
      <w:r>
        <w:t xml:space="preserve">Balasaraswathi, R., Sadasivam, S., Ward, M. and Walker, J.M. (1998). An antiviral protein from </w:t>
      </w:r>
      <w:r>
        <w:rPr>
          <w:i/>
        </w:rPr>
        <w:t>Bougainvillea spectabilis</w:t>
      </w:r>
      <w:r>
        <w:t xml:space="preserve"> roots; purification and characterisation. </w:t>
      </w:r>
      <w:r>
        <w:rPr>
          <w:i/>
        </w:rPr>
        <w:t>Phytochemistry.</w:t>
      </w:r>
      <w:r>
        <w:t xml:space="preserve"> 47(8)</w:t>
      </w:r>
      <w:r>
        <w:rPr>
          <w:b/>
        </w:rPr>
        <w:t>,</w:t>
      </w:r>
      <w:r>
        <w:t xml:space="preserve"> 1561-1565. </w:t>
      </w:r>
      <w:hyperlink r:id="rId24" w:history="1">
        <w:r w:rsidR="00364DED">
          <w:rPr>
            <w:rStyle w:val="Hyperlink"/>
          </w:rPr>
          <w:t>https://doi.org/https://doi.org/10.1016/S0031-9422(97)00788-7</w:t>
        </w:r>
      </w:hyperlink>
      <w:r>
        <w:t>.</w:t>
      </w:r>
      <w:bookmarkEnd w:id="19"/>
    </w:p>
    <w:p w14:paraId="5DF8CD11" w14:textId="77777777" w:rsidR="00364DED" w:rsidRDefault="00A70A1E" w:rsidP="00713412">
      <w:pPr>
        <w:pStyle w:val="EndNoteBibliography"/>
        <w:spacing w:after="0"/>
        <w:ind w:left="2520"/>
        <w:jc w:val="left"/>
      </w:pPr>
      <w:bookmarkStart w:id="20" w:name="_ENREF_21"/>
      <w:r>
        <w:t xml:space="preserve">Behiry, S.I., Nasser, R.A., S.M. Abd El-Kareem, M., Ali, H.M. and Salem, M.Z.M. (2020a). Mass Spectroscopic Analysis, MNDO Quantum Chemical Studies and Antifungal Activity of Essential and Recovered Oil Constituents of Lemon-Scented Gum against Three Common Molds. </w:t>
      </w:r>
      <w:r>
        <w:rPr>
          <w:i/>
        </w:rPr>
        <w:t>Processes.</w:t>
      </w:r>
      <w:r>
        <w:t xml:space="preserve"> 8(3)</w:t>
      </w:r>
      <w:r>
        <w:rPr>
          <w:b/>
        </w:rPr>
        <w:t>,</w:t>
      </w:r>
      <w:r>
        <w:t xml:space="preserve"> 275. </w:t>
      </w:r>
      <w:hyperlink r:id="rId25" w:history="1">
        <w:r w:rsidR="00364DED">
          <w:rPr>
            <w:rStyle w:val="Hyperlink"/>
          </w:rPr>
          <w:t>https://doi.org/10.3390/pr8030275</w:t>
        </w:r>
      </w:hyperlink>
      <w:r>
        <w:t>.</w:t>
      </w:r>
      <w:bookmarkEnd w:id="20"/>
    </w:p>
    <w:p w14:paraId="2CDFEC0E" w14:textId="77777777" w:rsidR="00364DED" w:rsidRDefault="00A70A1E" w:rsidP="00713412">
      <w:pPr>
        <w:pStyle w:val="EndNoteBibliography"/>
        <w:spacing w:after="0"/>
        <w:ind w:left="2520"/>
        <w:jc w:val="left"/>
      </w:pPr>
      <w:bookmarkStart w:id="21" w:name="_ENREF_22"/>
      <w:r>
        <w:t xml:space="preserve">Behiry, S.I., Nasser, R.A., SM Abd El-Kareem, M., Ali, H.M. and Salem, M.Z. (2020b). Mass spectroscopic analysis, MNDO quantum chemical studies and antifungal activity of essential and recovered oil constituents of lemon-scented gum against three common molds. </w:t>
      </w:r>
      <w:r>
        <w:rPr>
          <w:i/>
        </w:rPr>
        <w:t>Processes.</w:t>
      </w:r>
      <w:r>
        <w:t xml:space="preserve"> 8(3)</w:t>
      </w:r>
      <w:r>
        <w:rPr>
          <w:b/>
        </w:rPr>
        <w:t>,</w:t>
      </w:r>
      <w:r>
        <w:t xml:space="preserve"> 275. </w:t>
      </w:r>
      <w:hyperlink r:id="rId26" w:history="1">
        <w:r w:rsidR="00364DED">
          <w:rPr>
            <w:rStyle w:val="Hyperlink"/>
          </w:rPr>
          <w:t>https://doi.org/https://doi.org/10.3390/pr8030275</w:t>
        </w:r>
      </w:hyperlink>
      <w:r>
        <w:t>.</w:t>
      </w:r>
      <w:bookmarkEnd w:id="21"/>
    </w:p>
    <w:p w14:paraId="0330580A" w14:textId="77777777" w:rsidR="00686543" w:rsidRDefault="00686543" w:rsidP="00713412">
      <w:pPr>
        <w:pStyle w:val="EndNoteBibliography"/>
        <w:spacing w:after="0"/>
        <w:ind w:left="2520"/>
        <w:jc w:val="left"/>
      </w:pPr>
      <w:bookmarkStart w:id="22" w:name="_ENREF_24"/>
      <w:r w:rsidRPr="00686543">
        <w:t>Borkar, S. G., &amp; Yumlembam, R. A. (2016). Bacterial diseases of crop plants. CRC Press. https://doi.org/10.1201/9781315367972</w:t>
      </w:r>
    </w:p>
    <w:p w14:paraId="58CCF095" w14:textId="77777777" w:rsidR="00686543" w:rsidRDefault="00686543" w:rsidP="00713412">
      <w:pPr>
        <w:pStyle w:val="EndNoteBibliography"/>
        <w:spacing w:after="0"/>
        <w:ind w:left="2520"/>
        <w:jc w:val="left"/>
      </w:pPr>
      <w:bookmarkStart w:id="23" w:name="_ENREF_25"/>
      <w:bookmarkEnd w:id="22"/>
      <w:r w:rsidRPr="00686543">
        <w:t xml:space="preserve">Breneman, C. M., &amp; Martinov, M. (1996). The use of electrostatic potential fields in QSAR and QSPR. In J. S. Murray &amp; K. Sen (Eds.), </w:t>
      </w:r>
      <w:r w:rsidRPr="00686543">
        <w:lastRenderedPageBreak/>
        <w:t>*Molecular electrostatic potentials: Concepts and applications* (pp. 143-179). Elsevier. https://doi.org/10.1016/S1380-7323(96)80042-2</w:t>
      </w:r>
    </w:p>
    <w:p w14:paraId="5AF239F5" w14:textId="7AF65FFA" w:rsidR="00364DED" w:rsidRDefault="00A70A1E" w:rsidP="00713412">
      <w:pPr>
        <w:pStyle w:val="EndNoteBibliography"/>
        <w:spacing w:after="0"/>
        <w:ind w:left="2520"/>
        <w:jc w:val="left"/>
      </w:pPr>
      <w:r>
        <w:t xml:space="preserve">Cárdenas-Laverde, D., Barbosa-Cornelio, R. and Coy-Barrera, E. (2021). Antifungal activity against </w:t>
      </w:r>
      <w:r>
        <w:rPr>
          <w:i/>
        </w:rPr>
        <w:t>Fusarium oxysporum</w:t>
      </w:r>
      <w:r>
        <w:t xml:space="preserve"> of botanical end-products: an integration of chemical composition and antifungal activity datasets to identify antifungal bioactives. </w:t>
      </w:r>
      <w:r>
        <w:rPr>
          <w:i/>
        </w:rPr>
        <w:t>Plants.</w:t>
      </w:r>
      <w:r>
        <w:t xml:space="preserve"> 10(12)</w:t>
      </w:r>
      <w:r>
        <w:rPr>
          <w:b/>
        </w:rPr>
        <w:t>,</w:t>
      </w:r>
      <w:r>
        <w:t xml:space="preserve"> 2563. </w:t>
      </w:r>
      <w:hyperlink r:id="rId27" w:history="1">
        <w:r w:rsidR="00364DED">
          <w:rPr>
            <w:rStyle w:val="Hyperlink"/>
          </w:rPr>
          <w:t>https://doi.org/https://doi.org/10.3390/plants10122563</w:t>
        </w:r>
      </w:hyperlink>
      <w:r>
        <w:t>.</w:t>
      </w:r>
      <w:bookmarkEnd w:id="23"/>
    </w:p>
    <w:p w14:paraId="19A65F2C" w14:textId="67DC4432" w:rsidR="00364DED" w:rsidRDefault="00686543" w:rsidP="00713412">
      <w:pPr>
        <w:pStyle w:val="EndNoteBibliography"/>
        <w:spacing w:after="0"/>
        <w:ind w:left="2520"/>
        <w:jc w:val="left"/>
      </w:pPr>
      <w:r w:rsidRPr="00686543">
        <w:t>Chang, W. S., Lee, Y. J., Lu, F. J., &amp; Chiang, H. C. (1993). Inhibitory effects of flavonoids on xanthine oxidase. Anticancer Research, 13(6A), 2165-2170. https://pubmed.ncbi.nlm.nih.gov/8297130/</w:t>
      </w:r>
    </w:p>
    <w:p w14:paraId="1E9DD56E" w14:textId="77777777" w:rsidR="00364DED" w:rsidRDefault="00A70A1E" w:rsidP="00713412">
      <w:pPr>
        <w:pStyle w:val="EndNoteBibliography"/>
        <w:spacing w:after="0"/>
        <w:ind w:left="2520"/>
        <w:jc w:val="left"/>
      </w:pPr>
      <w:bookmarkStart w:id="24" w:name="_ENREF_27"/>
      <w:r>
        <w:t xml:space="preserve">Cleveland, T.E., Carter-Wientjes, C.H., De Lucca, A.J. and Boué, S.M. (2009). Effect of Soybean Volatile Compounds on </w:t>
      </w:r>
      <w:r>
        <w:rPr>
          <w:i/>
        </w:rPr>
        <w:t>Aspergillus flavus</w:t>
      </w:r>
      <w:r>
        <w:t xml:space="preserve"> Growth and Aflatoxin Production. </w:t>
      </w:r>
      <w:r>
        <w:rPr>
          <w:i/>
        </w:rPr>
        <w:t>Journal of Food Science.</w:t>
      </w:r>
      <w:r>
        <w:t xml:space="preserve"> 74(2)</w:t>
      </w:r>
      <w:r>
        <w:rPr>
          <w:b/>
        </w:rPr>
        <w:t>,</w:t>
      </w:r>
      <w:r>
        <w:t xml:space="preserve"> H83-H87. </w:t>
      </w:r>
      <w:hyperlink r:id="rId28" w:history="1">
        <w:r w:rsidR="00364DED">
          <w:rPr>
            <w:rStyle w:val="Hyperlink"/>
          </w:rPr>
          <w:t>https://doi.org/https://doi.org/10.1111/j.1750-3841.2009.01078.x</w:t>
        </w:r>
      </w:hyperlink>
      <w:r>
        <w:t>.</w:t>
      </w:r>
      <w:bookmarkEnd w:id="24"/>
    </w:p>
    <w:p w14:paraId="1BB4B07E" w14:textId="77777777" w:rsidR="00686543" w:rsidRDefault="00686543" w:rsidP="00713412">
      <w:pPr>
        <w:pStyle w:val="EndNoteBibliography"/>
        <w:spacing w:after="0"/>
        <w:ind w:left="2520"/>
        <w:jc w:val="left"/>
      </w:pPr>
      <w:bookmarkStart w:id="25" w:name="_ENREF_29"/>
      <w:r w:rsidRPr="00686543">
        <w:t>Dhankhar, S., Sharma, M., Ruhil, S., Balhara, M., Kumar, M., &amp; Chhillar, A. (2013). Evaluation of antimicrobial and antioxidant activities of Bougainvillea spectabilis. International Journal of Pharmacy and Pharmaceutical Sciences, 5(3), 178-182. https://doi.org/10.22159/ijpps.2013.v5i3.1000</w:t>
      </w:r>
    </w:p>
    <w:p w14:paraId="48C73D5B" w14:textId="16B0E7AE" w:rsidR="00364DED" w:rsidRDefault="00A70A1E" w:rsidP="00713412">
      <w:pPr>
        <w:pStyle w:val="EndNoteBibliography"/>
        <w:spacing w:after="0"/>
        <w:ind w:left="2520"/>
        <w:jc w:val="left"/>
      </w:pPr>
      <w:r>
        <w:t xml:space="preserve">Do, L.T.M., Aree, T., Siripong, P., Pham, T.N.K., Nguyen, P.K.P. and Tip-pyang, S. (2016). Bougainvinones A–H, Peltogynoids from the Stem Bark of Purple </w:t>
      </w:r>
      <w:r>
        <w:rPr>
          <w:i/>
        </w:rPr>
        <w:t xml:space="preserve">Bougainvillea spectabilis </w:t>
      </w:r>
      <w:r>
        <w:t xml:space="preserve">and Their Cytotoxic Activity. </w:t>
      </w:r>
      <w:r>
        <w:rPr>
          <w:i/>
        </w:rPr>
        <w:t>Journal of Natural Products.</w:t>
      </w:r>
      <w:r>
        <w:t xml:space="preserve"> 79(4)</w:t>
      </w:r>
      <w:r>
        <w:rPr>
          <w:b/>
        </w:rPr>
        <w:t>,</w:t>
      </w:r>
      <w:r>
        <w:t xml:space="preserve"> 939-945. </w:t>
      </w:r>
      <w:hyperlink r:id="rId29" w:history="1">
        <w:r w:rsidR="00364DED">
          <w:rPr>
            <w:rStyle w:val="Hyperlink"/>
          </w:rPr>
          <w:t>https://doi.org/10.1021/acs.jnatprod.5b00996</w:t>
        </w:r>
      </w:hyperlink>
      <w:r>
        <w:t>.</w:t>
      </w:r>
      <w:bookmarkEnd w:id="25"/>
    </w:p>
    <w:p w14:paraId="1E8996C4" w14:textId="18A0316C" w:rsidR="00364DED" w:rsidRDefault="00686543" w:rsidP="00713412">
      <w:pPr>
        <w:pStyle w:val="EndNoteBibliography"/>
        <w:spacing w:after="0"/>
        <w:ind w:left="2520"/>
        <w:jc w:val="left"/>
      </w:pPr>
      <w:bookmarkStart w:id="26" w:name="_ENREF_30"/>
      <w:r w:rsidRPr="00686543">
        <w:t>Do, L. T. M., Aree, T., Siripong, P., Vo, N. T., Nguyen, T. T. A., Nguyen, P. K. P., &amp; Tip-pyang, S. (2018). Cytotoxic Flavones from the Stem Bark of Bougainvillea spectabilis Willd. Planta Medica, 84(2), 129-134. https://doi.org/10.1055/s-0043-118102</w:t>
      </w:r>
      <w:r>
        <w:t>.</w:t>
      </w:r>
      <w:bookmarkEnd w:id="26"/>
    </w:p>
    <w:p w14:paraId="1F69945A" w14:textId="77777777" w:rsidR="00364DED" w:rsidRDefault="00A70A1E" w:rsidP="00713412">
      <w:pPr>
        <w:pStyle w:val="EndNoteBibliography"/>
        <w:spacing w:after="0"/>
        <w:ind w:left="2520"/>
        <w:jc w:val="left"/>
      </w:pPr>
      <w:bookmarkStart w:id="27" w:name="_ENREF_31"/>
      <w:r>
        <w:t xml:space="preserve">Edel-Hermann, V. and Lecomte, C. (2018). Current Status of </w:t>
      </w:r>
      <w:r>
        <w:rPr>
          <w:i/>
        </w:rPr>
        <w:t>Fusarium oxysporum</w:t>
      </w:r>
      <w:r>
        <w:t xml:space="preserve"> Formae Speciales and Races. </w:t>
      </w:r>
      <w:r>
        <w:rPr>
          <w:i/>
        </w:rPr>
        <w:t>Phytopathology®.</w:t>
      </w:r>
      <w:r>
        <w:t xml:space="preserve"> 109(4)</w:t>
      </w:r>
      <w:r>
        <w:rPr>
          <w:b/>
        </w:rPr>
        <w:t>,</w:t>
      </w:r>
      <w:r>
        <w:t xml:space="preserve"> 512-530. </w:t>
      </w:r>
      <w:hyperlink r:id="rId30" w:history="1">
        <w:r w:rsidR="00364DED">
          <w:rPr>
            <w:rStyle w:val="Hyperlink"/>
          </w:rPr>
          <w:t>https://doi.org/10.1094/PHYTO-08-18-0320-RVW</w:t>
        </w:r>
      </w:hyperlink>
      <w:r>
        <w:t>.</w:t>
      </w:r>
      <w:bookmarkEnd w:id="27"/>
    </w:p>
    <w:p w14:paraId="306D0E8C" w14:textId="77777777" w:rsidR="00364DED" w:rsidRDefault="00A70A1E" w:rsidP="00713412">
      <w:pPr>
        <w:pStyle w:val="EndNoteBibliography"/>
        <w:spacing w:after="0"/>
        <w:ind w:left="2520"/>
        <w:jc w:val="left"/>
      </w:pPr>
      <w:bookmarkStart w:id="28" w:name="_ENREF_32"/>
      <w:r>
        <w:t>Fawad, S.A., Khalid, N., Asghar, W. and Suleria, H.A.R. (2012). In vitro comparative study of B</w:t>
      </w:r>
      <w:r>
        <w:rPr>
          <w:i/>
        </w:rPr>
        <w:t xml:space="preserve">ougainvillea spectabilis </w:t>
      </w:r>
      <w:r>
        <w:t xml:space="preserve">“stand” leaves and </w:t>
      </w:r>
      <w:r>
        <w:rPr>
          <w:i/>
        </w:rPr>
        <w:t>Bougainvillea variegata</w:t>
      </w:r>
      <w:r>
        <w:t xml:space="preserve"> leaves in terms of phytochemicals and antimicrobial activity. </w:t>
      </w:r>
      <w:r>
        <w:rPr>
          <w:i/>
        </w:rPr>
        <w:t>Chinese Journal of Natural Medicines.</w:t>
      </w:r>
      <w:r>
        <w:t xml:space="preserve"> 10(6)</w:t>
      </w:r>
      <w:r>
        <w:rPr>
          <w:b/>
        </w:rPr>
        <w:t>,</w:t>
      </w:r>
      <w:r>
        <w:t xml:space="preserve"> 441-447. </w:t>
      </w:r>
      <w:hyperlink r:id="rId31" w:history="1">
        <w:r w:rsidR="00364DED">
          <w:rPr>
            <w:rStyle w:val="Hyperlink"/>
          </w:rPr>
          <w:t>https://doi.org/https://doi.org/10.1016/S1875-5364(12)60085-5</w:t>
        </w:r>
      </w:hyperlink>
      <w:r>
        <w:t>.</w:t>
      </w:r>
      <w:bookmarkEnd w:id="28"/>
    </w:p>
    <w:p w14:paraId="62D3E022" w14:textId="77777777" w:rsidR="00364DED" w:rsidRDefault="00A70A1E" w:rsidP="00713412">
      <w:pPr>
        <w:pStyle w:val="EndNoteBibliography"/>
        <w:spacing w:after="0"/>
        <w:ind w:left="2520"/>
        <w:jc w:val="left"/>
      </w:pPr>
      <w:bookmarkStart w:id="29" w:name="_ENREF_33"/>
      <w:r>
        <w:t xml:space="preserve">Gemperline, E., Keller, C. and Li, L. (2016). Mass Spectrometry in Plant-omics. </w:t>
      </w:r>
      <w:r>
        <w:rPr>
          <w:i/>
        </w:rPr>
        <w:t>Analytical Chemistry.</w:t>
      </w:r>
      <w:r>
        <w:t xml:space="preserve"> 88(7)</w:t>
      </w:r>
      <w:r>
        <w:rPr>
          <w:b/>
        </w:rPr>
        <w:t>,</w:t>
      </w:r>
      <w:r>
        <w:t xml:space="preserve"> 3422-3434. </w:t>
      </w:r>
      <w:hyperlink r:id="rId32" w:history="1">
        <w:r w:rsidR="00364DED">
          <w:rPr>
            <w:rStyle w:val="Hyperlink"/>
          </w:rPr>
          <w:t>https://doi.org/10.1021/acs.analchem.5b02938</w:t>
        </w:r>
      </w:hyperlink>
      <w:r>
        <w:t>.</w:t>
      </w:r>
      <w:bookmarkEnd w:id="29"/>
    </w:p>
    <w:p w14:paraId="754A58EE" w14:textId="77777777" w:rsidR="00364DED" w:rsidRDefault="00A70A1E" w:rsidP="00713412">
      <w:pPr>
        <w:pStyle w:val="EndNoteBibliography"/>
        <w:spacing w:after="0"/>
        <w:ind w:left="2520"/>
        <w:jc w:val="left"/>
      </w:pPr>
      <w:bookmarkStart w:id="30" w:name="_ENREF_34"/>
      <w:r>
        <w:t xml:space="preserve">Ghogar, A., Jiraungkoorskul, K. and Jiraungkoorskul, W. (2016). Paper Flower, </w:t>
      </w:r>
      <w:r>
        <w:rPr>
          <w:i/>
        </w:rPr>
        <w:t xml:space="preserve">Bougainvillea spectabilis </w:t>
      </w:r>
      <w:r>
        <w:t xml:space="preserve">:Update Properties of Traditional Medicinal Plant. </w:t>
      </w:r>
      <w:r>
        <w:rPr>
          <w:i/>
        </w:rPr>
        <w:t>Journal of Natural Remedies; Vol 16, No 3 (2016).</w:t>
      </w:r>
      <w:r>
        <w:t xml:space="preserve"> 16(3)</w:t>
      </w:r>
      <w:r>
        <w:rPr>
          <w:b/>
        </w:rPr>
        <w:t>,</w:t>
      </w:r>
      <w:r>
        <w:t xml:space="preserve"> 82-87. </w:t>
      </w:r>
      <w:hyperlink r:id="rId33" w:history="1">
        <w:r w:rsidR="00364DED">
          <w:rPr>
            <w:rStyle w:val="Hyperlink"/>
          </w:rPr>
          <w:t>https://doi.org/https://doi.org/10.18311/jnr%2F2016%2F5703</w:t>
        </w:r>
      </w:hyperlink>
      <w:r>
        <w:t>.</w:t>
      </w:r>
      <w:bookmarkEnd w:id="30"/>
    </w:p>
    <w:p w14:paraId="4042A7D5" w14:textId="77777777" w:rsidR="00364DED" w:rsidRDefault="00A70A1E" w:rsidP="00713412">
      <w:pPr>
        <w:pStyle w:val="EndNoteBibliography"/>
        <w:spacing w:after="0"/>
        <w:ind w:left="2520"/>
        <w:jc w:val="left"/>
      </w:pPr>
      <w:bookmarkStart w:id="31" w:name="_ENREF_35"/>
      <w:r>
        <w:lastRenderedPageBreak/>
        <w:t>Hassan, H.S., Mohamed, A.A., Feleafel, M.N., Salem, M.Z., Ali, H.M., Akrami, M. and Abd-Elkader, D.Y. (2021). Natural plant extracts and microbial antagonists to control fungal pathogens and improve the productivity of Zucchini (</w:t>
      </w:r>
      <w:r>
        <w:rPr>
          <w:i/>
        </w:rPr>
        <w:t>Cucurbita pepo</w:t>
      </w:r>
      <w:r>
        <w:t xml:space="preserve"> L.) in vitro and in greenhouse. </w:t>
      </w:r>
      <w:r>
        <w:rPr>
          <w:i/>
        </w:rPr>
        <w:t>Horticulturae.</w:t>
      </w:r>
      <w:r>
        <w:t xml:space="preserve"> 7(11)</w:t>
      </w:r>
      <w:r>
        <w:rPr>
          <w:b/>
        </w:rPr>
        <w:t>,</w:t>
      </w:r>
      <w:r>
        <w:t xml:space="preserve"> 470. </w:t>
      </w:r>
      <w:hyperlink r:id="rId34" w:history="1">
        <w:r w:rsidR="00364DED">
          <w:rPr>
            <w:rStyle w:val="Hyperlink"/>
          </w:rPr>
          <w:t>https://doi.org/https://doi.org/10.3390/horticulturae7110470</w:t>
        </w:r>
      </w:hyperlink>
      <w:r>
        <w:t>.</w:t>
      </w:r>
      <w:bookmarkEnd w:id="31"/>
    </w:p>
    <w:p w14:paraId="582D7C81" w14:textId="77777777" w:rsidR="00364DED" w:rsidRDefault="00A70A1E" w:rsidP="00713412">
      <w:pPr>
        <w:pStyle w:val="EndNoteBibliography"/>
        <w:spacing w:after="0"/>
        <w:ind w:left="2520"/>
        <w:jc w:val="left"/>
      </w:pPr>
      <w:bookmarkStart w:id="32" w:name="_ENREF_36"/>
      <w:r>
        <w:t xml:space="preserve">Hosseinihashemi, S.K., Nazari, L., Lashgari, A. and Salem, M.Z. (2016a). Evaluation of inner bark extract of barberry stem and its synergy with propiconazole, EDTA, BHT, and their combinations against the white-rot fungus Trametes versicolor. </w:t>
      </w:r>
      <w:r>
        <w:rPr>
          <w:i/>
        </w:rPr>
        <w:t>BioResources.</w:t>
      </w:r>
      <w:r>
        <w:t xml:space="preserve"> 11(1)</w:t>
      </w:r>
      <w:r>
        <w:rPr>
          <w:b/>
        </w:rPr>
        <w:t>,</w:t>
      </w:r>
      <w:r>
        <w:t xml:space="preserve"> 1505-1517. </w:t>
      </w:r>
      <w:hyperlink r:id="rId35" w:history="1">
        <w:r w:rsidR="00364DED">
          <w:rPr>
            <w:rStyle w:val="Hyperlink"/>
          </w:rPr>
          <w:t>https://doi.org/10.15376/biores.11.1.1505-151</w:t>
        </w:r>
      </w:hyperlink>
      <w:r>
        <w:t>.</w:t>
      </w:r>
      <w:bookmarkEnd w:id="32"/>
    </w:p>
    <w:p w14:paraId="640E50CE" w14:textId="77777777" w:rsidR="00364DED" w:rsidRDefault="00A70A1E" w:rsidP="00713412">
      <w:pPr>
        <w:pStyle w:val="EndNoteBibliography"/>
        <w:spacing w:after="0"/>
        <w:ind w:left="2520"/>
        <w:jc w:val="left"/>
      </w:pPr>
      <w:bookmarkStart w:id="33" w:name="_ENREF_37"/>
      <w:r>
        <w:t xml:space="preserve">Hosseinihashemi, S.K., Salem, M.Z., HosseinAshrafi, S.K. and Latibari, A.J. (2016b). Chemical composition and antioxidant activity of extract from the wood of </w:t>
      </w:r>
      <w:r>
        <w:rPr>
          <w:i/>
        </w:rPr>
        <w:t>Fagus orientalis:</w:t>
      </w:r>
      <w:r>
        <w:t xml:space="preserve"> water resistance and decay resistance against </w:t>
      </w:r>
      <w:r>
        <w:rPr>
          <w:i/>
        </w:rPr>
        <w:t>Trametes versicolor</w:t>
      </w:r>
      <w:r>
        <w:t xml:space="preserve">. </w:t>
      </w:r>
      <w:r>
        <w:rPr>
          <w:i/>
        </w:rPr>
        <w:t>BioResources.</w:t>
      </w:r>
      <w:r>
        <w:t xml:space="preserve"> 11(2)</w:t>
      </w:r>
      <w:r>
        <w:rPr>
          <w:b/>
        </w:rPr>
        <w:t>,</w:t>
      </w:r>
      <w:r>
        <w:t xml:space="preserve"> 3890-3903. </w:t>
      </w:r>
      <w:hyperlink r:id="rId36" w:history="1">
        <w:r w:rsidR="00364DED">
          <w:rPr>
            <w:rStyle w:val="Hyperlink"/>
          </w:rPr>
          <w:t>https://doi.org/10.15376/biores.11.2.3890-3903</w:t>
        </w:r>
      </w:hyperlink>
      <w:r>
        <w:t>.</w:t>
      </w:r>
      <w:bookmarkEnd w:id="33"/>
    </w:p>
    <w:p w14:paraId="143ED6EA" w14:textId="77777777" w:rsidR="00364DED" w:rsidRDefault="00A70A1E" w:rsidP="00713412">
      <w:pPr>
        <w:pStyle w:val="EndNoteBibliography"/>
        <w:spacing w:after="0"/>
        <w:ind w:left="2520"/>
        <w:jc w:val="left"/>
      </w:pPr>
      <w:bookmarkStart w:id="34" w:name="_ENREF_38"/>
      <w:r>
        <w:t xml:space="preserve">Jawla, S., Kumar, Y. and Khan, M.S.Y. (2012). Hypoglycemic activity of </w:t>
      </w:r>
      <w:r>
        <w:rPr>
          <w:i/>
        </w:rPr>
        <w:t>Bougainvillea spectabilis</w:t>
      </w:r>
      <w:r>
        <w:t xml:space="preserve"> stem bark in normal and alloxan-induced diabetic rats. </w:t>
      </w:r>
      <w:r>
        <w:rPr>
          <w:i/>
        </w:rPr>
        <w:t>Asian Pacific Journal of Tropical Biomedicine.</w:t>
      </w:r>
      <w:r>
        <w:t xml:space="preserve"> 2(2, Supplement)</w:t>
      </w:r>
      <w:r>
        <w:rPr>
          <w:b/>
        </w:rPr>
        <w:t>,</w:t>
      </w:r>
      <w:r>
        <w:t xml:space="preserve"> S919-S923. </w:t>
      </w:r>
      <w:hyperlink r:id="rId37" w:history="1">
        <w:r w:rsidR="00364DED">
          <w:rPr>
            <w:rStyle w:val="Hyperlink"/>
          </w:rPr>
          <w:t>https://doi.org/https://doi.org/10.1016/S2221-1691(12)60337-2</w:t>
        </w:r>
      </w:hyperlink>
      <w:r>
        <w:t>.</w:t>
      </w:r>
      <w:bookmarkEnd w:id="34"/>
    </w:p>
    <w:p w14:paraId="49C78DF3" w14:textId="77777777" w:rsidR="00364DED" w:rsidRDefault="00A70A1E" w:rsidP="00713412">
      <w:pPr>
        <w:pStyle w:val="EndNoteBibliography"/>
        <w:spacing w:after="0"/>
        <w:ind w:left="2520"/>
        <w:jc w:val="left"/>
      </w:pPr>
      <w:bookmarkStart w:id="35" w:name="_ENREF_39"/>
      <w:r>
        <w:t xml:space="preserve">Jawla, S., Kumar, Y. and Khan, M.S.Y. (2013). Isolation of antidiabetic principle from </w:t>
      </w:r>
      <w:r>
        <w:rPr>
          <w:i/>
        </w:rPr>
        <w:t>Bougainvillea spectabilis</w:t>
      </w:r>
      <w:r>
        <w:t xml:space="preserve"> willd (Nyctaginaceae) stem bark. </w:t>
      </w:r>
      <w:r>
        <w:rPr>
          <w:i/>
        </w:rPr>
        <w:t>Tropical Journal of Pharmaceutical Research.</w:t>
      </w:r>
      <w:r>
        <w:t xml:space="preserve"> 12(5)</w:t>
      </w:r>
      <w:r>
        <w:rPr>
          <w:b/>
        </w:rPr>
        <w:t>,</w:t>
      </w:r>
      <w:r>
        <w:t xml:space="preserve"> 761-765. </w:t>
      </w:r>
      <w:hyperlink r:id="rId38" w:history="1">
        <w:r w:rsidR="00364DED">
          <w:rPr>
            <w:rStyle w:val="Hyperlink"/>
          </w:rPr>
          <w:t>https://doi.org/http://dx.doi.org/10.4314/tjpr.v12i5.15</w:t>
        </w:r>
      </w:hyperlink>
      <w:r>
        <w:t>.</w:t>
      </w:r>
      <w:bookmarkEnd w:id="35"/>
    </w:p>
    <w:p w14:paraId="079D6CF0" w14:textId="77777777" w:rsidR="00364DED" w:rsidRDefault="00A70A1E" w:rsidP="00713412">
      <w:pPr>
        <w:pStyle w:val="EndNoteBibliography"/>
        <w:spacing w:after="0"/>
        <w:ind w:left="2520"/>
        <w:jc w:val="left"/>
      </w:pPr>
      <w:bookmarkStart w:id="36" w:name="_ENREF_40"/>
      <w:r>
        <w:t xml:space="preserve">Joshi, D., Mujumdar, A. and Narayanan, C. (1984). Anti-inflammatory activity of </w:t>
      </w:r>
      <w:r>
        <w:rPr>
          <w:i/>
        </w:rPr>
        <w:t>Bougainvillea spectabilis</w:t>
      </w:r>
      <w:r>
        <w:t xml:space="preserve"> leaves. </w:t>
      </w:r>
      <w:r>
        <w:rPr>
          <w:i/>
        </w:rPr>
        <w:t>Indian Journal of Pharmaceutical Sciences.</w:t>
      </w:r>
      <w:r>
        <w:t xml:space="preserve"> 46(5)</w:t>
      </w:r>
      <w:r>
        <w:rPr>
          <w:b/>
        </w:rPr>
        <w:t>,</w:t>
      </w:r>
      <w:r>
        <w:t xml:space="preserve"> 187-188.</w:t>
      </w:r>
      <w:bookmarkEnd w:id="36"/>
    </w:p>
    <w:p w14:paraId="025BB8DF" w14:textId="77777777" w:rsidR="00B662DF" w:rsidRDefault="00B662DF" w:rsidP="00713412">
      <w:pPr>
        <w:pStyle w:val="EndNoteBibliography"/>
        <w:spacing w:after="0"/>
        <w:ind w:left="2520"/>
        <w:jc w:val="left"/>
      </w:pPr>
      <w:bookmarkStart w:id="37" w:name="_ENREF_42"/>
      <w:r w:rsidRPr="00B662DF">
        <w:t>Juber, K. S., Al-Juboory, H. H., &amp; Al-Juboory, S. B. (2014). Fusarium wilt disease of strawberry caused by Fusarium oxysporum f. sp. Fragariae in Iraq and its control. Journal of Experimental Biology and Agricultural Sciences, 2(4), 419-427. http://www.jebas.org</w:t>
      </w:r>
    </w:p>
    <w:p w14:paraId="487020AC" w14:textId="77777777" w:rsidR="00B662DF" w:rsidRDefault="00B662DF" w:rsidP="00713412">
      <w:pPr>
        <w:pStyle w:val="EndNoteBibliography"/>
        <w:spacing w:after="0"/>
        <w:ind w:left="2520"/>
        <w:jc w:val="left"/>
      </w:pPr>
      <w:bookmarkStart w:id="38" w:name="_ENREF_43"/>
      <w:bookmarkEnd w:id="37"/>
      <w:r w:rsidRPr="00B662DF">
        <w:t>Kabeil, S. S., Lashin, S. M., El-Masry, M. H., El-Saadani, M. A., Abd-Elgawad, M. M., &amp; Aboul-Einean, A. M. (2008). Potato brown rot disease in Egypt: Current status and prospects. American-Eurasian Journal of Agricultural &amp; Environmental Sciences, 4(1), 44-54. https://www.idosi.org/aejaes/aejaes.htm</w:t>
      </w:r>
    </w:p>
    <w:p w14:paraId="45567163" w14:textId="41612FB6" w:rsidR="00364DED" w:rsidRDefault="00A70A1E" w:rsidP="00713412">
      <w:pPr>
        <w:pStyle w:val="EndNoteBibliography"/>
        <w:spacing w:after="0"/>
        <w:ind w:left="2520"/>
        <w:jc w:val="left"/>
      </w:pPr>
      <w:r>
        <w:t xml:space="preserve">Li, Q., Zhu, X., Xie, Y. and Liang, J. (2021). Antifungal properties and mechanisms of three volatile aldehydes (octanal, nonanal and decanal) on </w:t>
      </w:r>
      <w:r>
        <w:rPr>
          <w:i/>
        </w:rPr>
        <w:t>Aspergillus flavus</w:t>
      </w:r>
      <w:r>
        <w:t xml:space="preserve">. </w:t>
      </w:r>
      <w:r>
        <w:rPr>
          <w:i/>
        </w:rPr>
        <w:t>Grain &amp; Oil Science and Technology.</w:t>
      </w:r>
      <w:r>
        <w:t xml:space="preserve"> 4(3)</w:t>
      </w:r>
      <w:r>
        <w:rPr>
          <w:b/>
        </w:rPr>
        <w:t>,</w:t>
      </w:r>
      <w:r>
        <w:t xml:space="preserve"> 131-140. </w:t>
      </w:r>
      <w:hyperlink r:id="rId39" w:history="1">
        <w:r w:rsidR="00364DED">
          <w:rPr>
            <w:rStyle w:val="Hyperlink"/>
          </w:rPr>
          <w:t>https://doi.org/https://doi.org/10.1016/j.gaost.2021.07.002</w:t>
        </w:r>
      </w:hyperlink>
      <w:r>
        <w:t>.</w:t>
      </w:r>
      <w:bookmarkEnd w:id="38"/>
    </w:p>
    <w:p w14:paraId="06DEFFF5" w14:textId="77777777" w:rsidR="00B662DF" w:rsidRDefault="00B662DF" w:rsidP="00713412">
      <w:pPr>
        <w:pStyle w:val="EndNoteBibliography"/>
        <w:spacing w:after="0"/>
        <w:ind w:left="2520"/>
        <w:jc w:val="left"/>
      </w:pPr>
      <w:bookmarkStart w:id="39" w:name="_ENREF_45"/>
      <w:r w:rsidRPr="00B662DF">
        <w:t>Malviya, N., Jain, S., &amp; Malviya, S. (2010). Antidiabetic potential of medicinal plants. Acta Poloniae Pharmaceutica, 67(2), 113-118. https://pubmed.ncbi.nlm.nih.gov/20369787/</w:t>
      </w:r>
    </w:p>
    <w:p w14:paraId="24265DFD" w14:textId="44AB9E26" w:rsidR="00364DED" w:rsidRDefault="00A70A1E" w:rsidP="00713412">
      <w:pPr>
        <w:pStyle w:val="EndNoteBibliography"/>
        <w:spacing w:after="0"/>
        <w:ind w:left="2520"/>
        <w:jc w:val="left"/>
      </w:pPr>
      <w:r>
        <w:t xml:space="preserve">Mandal, G., Chatterjee, C. and Chatterjee, M. (2015). Evaluation of anti-inflammatory activity of methanolic extract of leaves of </w:t>
      </w:r>
      <w:r>
        <w:rPr>
          <w:i/>
        </w:rPr>
        <w:lastRenderedPageBreak/>
        <w:t xml:space="preserve">Bougainvillea spectabilis </w:t>
      </w:r>
      <w:r>
        <w:t xml:space="preserve">in experimental animal models. </w:t>
      </w:r>
      <w:r>
        <w:rPr>
          <w:i/>
        </w:rPr>
        <w:t>Pharmacognosy Res.</w:t>
      </w:r>
      <w:r>
        <w:t xml:space="preserve"> 7(1)</w:t>
      </w:r>
      <w:r>
        <w:rPr>
          <w:b/>
        </w:rPr>
        <w:t>,</w:t>
      </w:r>
      <w:r>
        <w:t xml:space="preserve"> 18-22. </w:t>
      </w:r>
      <w:hyperlink r:id="rId40" w:history="1">
        <w:r w:rsidR="00364DED">
          <w:rPr>
            <w:rStyle w:val="Hyperlink"/>
          </w:rPr>
          <w:t>https://doi.org/10.4103/0974-8490.147194</w:t>
        </w:r>
      </w:hyperlink>
      <w:r>
        <w:t>.</w:t>
      </w:r>
      <w:bookmarkEnd w:id="39"/>
    </w:p>
    <w:p w14:paraId="6EF07ECF" w14:textId="77777777" w:rsidR="00364DED" w:rsidRDefault="00A70A1E" w:rsidP="00713412">
      <w:pPr>
        <w:pStyle w:val="EndNoteBibliography"/>
        <w:spacing w:after="0"/>
        <w:ind w:left="2520"/>
        <w:jc w:val="left"/>
      </w:pPr>
      <w:bookmarkStart w:id="40" w:name="_ENREF_46"/>
      <w:r>
        <w:t xml:space="preserve">Mansour, M.M., Abdel-Megeed, A., Nasser, R.A. and Salem, M.Z.M. (2015). Comparative evaluation of some woody tree methanolic extracts and Paraloid B-72 against phytopathogenic mold fungi </w:t>
      </w:r>
      <w:r>
        <w:rPr>
          <w:i/>
        </w:rPr>
        <w:t>Alternaria tenuissima</w:t>
      </w:r>
      <w:r>
        <w:t xml:space="preserve"> and </w:t>
      </w:r>
      <w:r>
        <w:rPr>
          <w:i/>
        </w:rPr>
        <w:t>Fusarium culmorum</w:t>
      </w:r>
      <w:r>
        <w:t xml:space="preserve">. </w:t>
      </w:r>
      <w:r>
        <w:rPr>
          <w:i/>
        </w:rPr>
        <w:t>BioResources.</w:t>
      </w:r>
      <w:r>
        <w:t xml:space="preserve"> 10(2)</w:t>
      </w:r>
      <w:r>
        <w:rPr>
          <w:b/>
        </w:rPr>
        <w:t>,</w:t>
      </w:r>
      <w:r>
        <w:t xml:space="preserve"> 2570-2584. </w:t>
      </w:r>
      <w:hyperlink r:id="rId41" w:history="1">
        <w:r w:rsidR="00364DED">
          <w:rPr>
            <w:rStyle w:val="Hyperlink"/>
          </w:rPr>
          <w:t>https://doi.org/10.15376/biores.10.2.2570-2584</w:t>
        </w:r>
      </w:hyperlink>
      <w:r>
        <w:t>.</w:t>
      </w:r>
      <w:bookmarkEnd w:id="40"/>
    </w:p>
    <w:p w14:paraId="1B3DCB7B" w14:textId="77777777" w:rsidR="00364DED" w:rsidRDefault="00A70A1E" w:rsidP="00713412">
      <w:pPr>
        <w:pStyle w:val="EndNoteBibliography"/>
        <w:spacing w:after="0"/>
        <w:ind w:left="2520"/>
        <w:jc w:val="left"/>
      </w:pPr>
      <w:bookmarkStart w:id="41" w:name="_ENREF_47"/>
      <w:r>
        <w:t xml:space="preserve">Mansour, M.M.A. and Salem, M.Z.M. (2015). Evaluation of wood treated with some natural extracts and Paraloid B-72 against the fungus </w:t>
      </w:r>
      <w:r>
        <w:rPr>
          <w:i/>
        </w:rPr>
        <w:t>Trichoderma harzianum</w:t>
      </w:r>
      <w:r>
        <w:t xml:space="preserve">: Wood elemental composition, in-vitro and application evidence. </w:t>
      </w:r>
      <w:r>
        <w:rPr>
          <w:i/>
        </w:rPr>
        <w:t>International Biodeterioration &amp; Biodegradation.</w:t>
      </w:r>
      <w:r>
        <w:t xml:space="preserve"> 100</w:t>
      </w:r>
      <w:r>
        <w:rPr>
          <w:b/>
        </w:rPr>
        <w:t>,</w:t>
      </w:r>
      <w:r>
        <w:t xml:space="preserve"> 62-69. </w:t>
      </w:r>
      <w:hyperlink r:id="rId42" w:history="1">
        <w:r w:rsidR="00364DED">
          <w:rPr>
            <w:rStyle w:val="Hyperlink"/>
          </w:rPr>
          <w:t>https://doi.org/https://doi.org/10.1016/j.ibiod.2015.02.009</w:t>
        </w:r>
      </w:hyperlink>
      <w:r>
        <w:t>.</w:t>
      </w:r>
      <w:bookmarkEnd w:id="41"/>
    </w:p>
    <w:p w14:paraId="2CB3DFF6" w14:textId="77777777" w:rsidR="00364DED" w:rsidRDefault="00A70A1E" w:rsidP="00713412">
      <w:pPr>
        <w:pStyle w:val="EndNoteBibliography"/>
        <w:spacing w:after="0"/>
        <w:ind w:left="2520"/>
        <w:jc w:val="left"/>
      </w:pPr>
      <w:bookmarkStart w:id="42" w:name="_ENREF_48"/>
      <w:r>
        <w:t xml:space="preserve">Martí, R., Cubero, J., Daza, A., Piquer, J., Salcedo, C.I., Morente, C. and López, M.M. (1999). Evidence of Migration and Endophytic Presence of </w:t>
      </w:r>
      <w:r>
        <w:rPr>
          <w:i/>
        </w:rPr>
        <w:t>Agrobacterium tumefaciens</w:t>
      </w:r>
      <w:r>
        <w:t xml:space="preserve"> in Rose Plants. </w:t>
      </w:r>
      <w:r>
        <w:rPr>
          <w:i/>
        </w:rPr>
        <w:t>European Journal of Plant Pathology.</w:t>
      </w:r>
      <w:r>
        <w:t xml:space="preserve"> 105(1)</w:t>
      </w:r>
      <w:r>
        <w:rPr>
          <w:b/>
        </w:rPr>
        <w:t>,</w:t>
      </w:r>
      <w:r>
        <w:t xml:space="preserve"> 39-50. </w:t>
      </w:r>
      <w:hyperlink r:id="rId43" w:history="1">
        <w:r w:rsidR="00364DED">
          <w:rPr>
            <w:rStyle w:val="Hyperlink"/>
          </w:rPr>
          <w:t>https://doi.org/10.1023/A:1008660500107</w:t>
        </w:r>
      </w:hyperlink>
      <w:r>
        <w:t>.</w:t>
      </w:r>
      <w:bookmarkEnd w:id="42"/>
    </w:p>
    <w:p w14:paraId="0BA3B5A4" w14:textId="77777777" w:rsidR="00364DED" w:rsidRDefault="00A70A1E" w:rsidP="00713412">
      <w:pPr>
        <w:pStyle w:val="EndNoteBibliography"/>
        <w:spacing w:after="0"/>
        <w:ind w:left="2520"/>
        <w:jc w:val="left"/>
      </w:pPr>
      <w:bookmarkStart w:id="43" w:name="_ENREF_49"/>
      <w:r>
        <w:t xml:space="preserve">Matsumoto, M. and Yoshida, T. (2006). Characterization of isolates of binucleate </w:t>
      </w:r>
      <w:r>
        <w:rPr>
          <w:i/>
        </w:rPr>
        <w:t xml:space="preserve">Rhizoctonia </w:t>
      </w:r>
      <w:r>
        <w:t xml:space="preserve">spp. associated with strawberry black root rot complex using fatty acid methyl ester (FAME) profiles. </w:t>
      </w:r>
      <w:r>
        <w:rPr>
          <w:i/>
        </w:rPr>
        <w:t>Journal of General Plant Pathology.</w:t>
      </w:r>
      <w:r>
        <w:t xml:space="preserve"> 72(5)</w:t>
      </w:r>
      <w:r>
        <w:rPr>
          <w:b/>
        </w:rPr>
        <w:t>,</w:t>
      </w:r>
      <w:r>
        <w:t xml:space="preserve"> 318-322. </w:t>
      </w:r>
      <w:hyperlink r:id="rId44" w:history="1">
        <w:r w:rsidR="00364DED">
          <w:rPr>
            <w:rStyle w:val="Hyperlink"/>
          </w:rPr>
          <w:t>https://doi.org/10.1007/s10327-006-0286-8</w:t>
        </w:r>
      </w:hyperlink>
      <w:r>
        <w:t>.</w:t>
      </w:r>
      <w:bookmarkEnd w:id="43"/>
    </w:p>
    <w:p w14:paraId="227BFCD1" w14:textId="1C8A1A2E" w:rsidR="00364DED" w:rsidRDefault="00B662DF" w:rsidP="00713412">
      <w:pPr>
        <w:pStyle w:val="EndNoteBibliography"/>
        <w:spacing w:after="0"/>
        <w:ind w:left="2520"/>
        <w:jc w:val="left"/>
      </w:pPr>
      <w:bookmarkStart w:id="44" w:name="_ENREF_50"/>
      <w:r w:rsidRPr="00B662DF">
        <w:t>Mohamed, A. A., Behiry, S. I., Ali, H. M., EL-Hefny, M., Salem, M. Z. M., &amp; Ashmawy, N. A. (2020). Phytochemical compounds of branches from P. halepensis oily liquid extract and S. terebinthifolius essential oil and their potential antifungal activity. Processes, 8(3), 330. https://doi.org/10.3390/pr8030330</w:t>
      </w:r>
      <w:r>
        <w:t>.</w:t>
      </w:r>
      <w:bookmarkEnd w:id="44"/>
    </w:p>
    <w:p w14:paraId="099EA629" w14:textId="77777777" w:rsidR="00364DED" w:rsidRDefault="00A70A1E" w:rsidP="00713412">
      <w:pPr>
        <w:pStyle w:val="EndNoteBibliography"/>
        <w:spacing w:after="0"/>
        <w:ind w:left="2520"/>
        <w:jc w:val="left"/>
      </w:pPr>
      <w:bookmarkStart w:id="45" w:name="_ENREF_51"/>
      <w:r>
        <w:t xml:space="preserve">Mohamed, E.I.B., Ibrahim, E.A.K., Ahmed, S.O.M., Mohamed, Z.M.S. and Hameda, A.Y. (2019). Chemical Composition and Antimicrobial Activity of Bark and Leaf Extracts of </w:t>
      </w:r>
      <w:r>
        <w:rPr>
          <w:i/>
        </w:rPr>
        <w:t>Cupressus sempervirens</w:t>
      </w:r>
      <w:r>
        <w:t xml:space="preserve"> and </w:t>
      </w:r>
      <w:r>
        <w:rPr>
          <w:i/>
        </w:rPr>
        <w:t>Juniperus phoenicea</w:t>
      </w:r>
      <w:r>
        <w:t xml:space="preserve"> Grown in Al- Jabel Al-Akhdar Region, Libya. </w:t>
      </w:r>
      <w:r>
        <w:rPr>
          <w:i/>
        </w:rPr>
        <w:t>The Natural Products Journal.</w:t>
      </w:r>
      <w:r>
        <w:t xml:space="preserve"> 9(4)</w:t>
      </w:r>
      <w:r>
        <w:rPr>
          <w:b/>
        </w:rPr>
        <w:t>,</w:t>
      </w:r>
      <w:r>
        <w:t xml:space="preserve"> 268-279. </w:t>
      </w:r>
      <w:hyperlink r:id="rId45" w:history="1">
        <w:r w:rsidR="00364DED">
          <w:rPr>
            <w:rStyle w:val="Hyperlink"/>
          </w:rPr>
          <w:t>https://doi.org/http://dx.doi.org/10.2174/2210315508666180223151210</w:t>
        </w:r>
      </w:hyperlink>
      <w:r>
        <w:t>.</w:t>
      </w:r>
      <w:bookmarkEnd w:id="45"/>
    </w:p>
    <w:p w14:paraId="26592A45" w14:textId="77777777" w:rsidR="00364DED" w:rsidRDefault="00A70A1E" w:rsidP="00713412">
      <w:pPr>
        <w:pStyle w:val="EndNoteBibliography"/>
        <w:spacing w:after="0"/>
        <w:ind w:left="2520"/>
        <w:jc w:val="left"/>
      </w:pPr>
      <w:bookmarkStart w:id="46" w:name="_ENREF_52"/>
      <w:r>
        <w:t xml:space="preserve">Mohammed, S., Samad, A.A. and Rahmat, Z. (2019). </w:t>
      </w:r>
      <w:r>
        <w:rPr>
          <w:i/>
        </w:rPr>
        <w:t>Agrobacterium</w:t>
      </w:r>
      <w:r>
        <w:t xml:space="preserve">-Mediated Transformation of Rice: Constraints and Possible Solutions. </w:t>
      </w:r>
      <w:r>
        <w:rPr>
          <w:i/>
        </w:rPr>
        <w:t>Rice Science.</w:t>
      </w:r>
      <w:r>
        <w:t xml:space="preserve"> 26(3)</w:t>
      </w:r>
      <w:r>
        <w:rPr>
          <w:b/>
        </w:rPr>
        <w:t>,</w:t>
      </w:r>
      <w:r>
        <w:t xml:space="preserve"> 133-146. </w:t>
      </w:r>
      <w:hyperlink r:id="rId46" w:history="1">
        <w:r w:rsidR="00364DED">
          <w:rPr>
            <w:rStyle w:val="Hyperlink"/>
          </w:rPr>
          <w:t>https://doi.org/https://doi.org/10.1016/j.rsci.2019.04.001</w:t>
        </w:r>
      </w:hyperlink>
      <w:r>
        <w:t>.</w:t>
      </w:r>
      <w:bookmarkEnd w:id="46"/>
    </w:p>
    <w:p w14:paraId="45B75575" w14:textId="77777777" w:rsidR="00364DED" w:rsidRDefault="00A70A1E" w:rsidP="00713412">
      <w:pPr>
        <w:pStyle w:val="EndNoteBibliography"/>
        <w:spacing w:after="0"/>
        <w:ind w:left="2520"/>
        <w:jc w:val="left"/>
      </w:pPr>
      <w:bookmarkStart w:id="47" w:name="_ENREF_53"/>
      <w:r>
        <w:t>Mohareb, A.S.O., Elashmawy, M.A.A., Nawar, M.E.M., Abdelrahman, A.K., Ahmed, F.M., Hassona, A.E.A. and Salem, M.Z.M. (2023). Chemical compositions and antifungal activity of</w:t>
      </w:r>
      <w:r>
        <w:rPr>
          <w:i/>
        </w:rPr>
        <w:t xml:space="preserve"> Corymbia citriodora</w:t>
      </w:r>
      <w:r>
        <w:t xml:space="preserve">, </w:t>
      </w:r>
      <w:r>
        <w:rPr>
          <w:i/>
        </w:rPr>
        <w:t>Cupressus macrocarpa</w:t>
      </w:r>
      <w:r>
        <w:t xml:space="preserve">, and </w:t>
      </w:r>
      <w:r>
        <w:rPr>
          <w:i/>
        </w:rPr>
        <w:t>Syzygium cumini</w:t>
      </w:r>
      <w:r>
        <w:t xml:space="preserve"> extracts: GC–MS and HPLC analysis of essential oils and phenolic compounds. </w:t>
      </w:r>
      <w:r>
        <w:rPr>
          <w:i/>
        </w:rPr>
        <w:t>Biomass Conversion and Biorefinery.</w:t>
      </w:r>
      <w:r>
        <w:t xml:space="preserve"> </w:t>
      </w:r>
      <w:hyperlink r:id="rId47" w:history="1">
        <w:r w:rsidR="00364DED">
          <w:rPr>
            <w:rStyle w:val="Hyperlink"/>
          </w:rPr>
          <w:t>https://doi.org/10.1007/s13399-023-05106-8</w:t>
        </w:r>
      </w:hyperlink>
      <w:r>
        <w:t>.</w:t>
      </w:r>
      <w:bookmarkEnd w:id="47"/>
    </w:p>
    <w:p w14:paraId="255652C8" w14:textId="77777777" w:rsidR="00364DED" w:rsidRDefault="00A70A1E" w:rsidP="00713412">
      <w:pPr>
        <w:pStyle w:val="EndNoteBibliography"/>
        <w:spacing w:after="0"/>
        <w:ind w:left="2520"/>
        <w:jc w:val="left"/>
      </w:pPr>
      <w:bookmarkStart w:id="48" w:name="_ENREF_54"/>
      <w:r>
        <w:lastRenderedPageBreak/>
        <w:t xml:space="preserve">Musa, A.Y., Jalgham, R.T.T. and Mohamad, A.B. (2012). Molecular dynamic and quantum chemical calculations for phthalazine derivatives as corrosion inhibitors of mild steel in 1M HCl. </w:t>
      </w:r>
      <w:r>
        <w:rPr>
          <w:i/>
        </w:rPr>
        <w:t>Corrosion Science.</w:t>
      </w:r>
      <w:r>
        <w:t xml:space="preserve"> 56</w:t>
      </w:r>
      <w:r>
        <w:rPr>
          <w:b/>
        </w:rPr>
        <w:t>,</w:t>
      </w:r>
      <w:r>
        <w:t xml:space="preserve"> 176-183. </w:t>
      </w:r>
      <w:hyperlink r:id="rId48" w:history="1">
        <w:r w:rsidR="00364DED">
          <w:rPr>
            <w:rStyle w:val="Hyperlink"/>
          </w:rPr>
          <w:t>https://doi.org/https://doi.org/10.1016/j.corsci.2011.12.005</w:t>
        </w:r>
      </w:hyperlink>
      <w:r>
        <w:t>.</w:t>
      </w:r>
      <w:bookmarkEnd w:id="48"/>
    </w:p>
    <w:p w14:paraId="7BB27DFF" w14:textId="44FF2F88" w:rsidR="00364DED" w:rsidRDefault="00B662DF" w:rsidP="00713412">
      <w:pPr>
        <w:pStyle w:val="EndNoteBibliography"/>
        <w:spacing w:after="0"/>
        <w:ind w:left="2520"/>
        <w:jc w:val="left"/>
      </w:pPr>
      <w:bookmarkStart w:id="49" w:name="_ENREF_55"/>
      <w:r w:rsidRPr="00B662DF">
        <w:t>Narayanan, C. R., Joshi, D. D., Mujumdar, A. M., &amp; Dhekne, V. V. (1987). Pinitol—A new anti-diabetic compound from the leaves of Bougainvillea spectabilis. *Current Science*, *56*(3), 139-141. https://currentscience.ac.in/</w:t>
      </w:r>
      <w:r>
        <w:t>.</w:t>
      </w:r>
      <w:bookmarkEnd w:id="49"/>
    </w:p>
    <w:p w14:paraId="09989A73" w14:textId="56632376" w:rsidR="00364DED" w:rsidRDefault="00B662DF" w:rsidP="00713412">
      <w:pPr>
        <w:pStyle w:val="EndNoteBibliography"/>
        <w:spacing w:after="0"/>
        <w:ind w:left="2520"/>
        <w:jc w:val="left"/>
        <w:rPr>
          <w:i/>
        </w:rPr>
      </w:pPr>
      <w:bookmarkStart w:id="50" w:name="_ENREF_56"/>
      <w:r w:rsidRPr="00B662DF">
        <w:t>Nelson, P. E., Toussoun, T. A., &amp; Marasas, W. F. O. (1983). Fusarium species: An illustrated manual for identification. The Pennsylvania State University Press. https://catalog.hathitrust.org/Record/000590079</w:t>
      </w:r>
      <w:r>
        <w:rPr>
          <w:i/>
        </w:rPr>
        <w:t>.</w:t>
      </w:r>
      <w:bookmarkEnd w:id="50"/>
    </w:p>
    <w:p w14:paraId="3E69D62A" w14:textId="77777777" w:rsidR="00364DED" w:rsidRDefault="00A70A1E" w:rsidP="00713412">
      <w:pPr>
        <w:pStyle w:val="EndNoteBibliography"/>
        <w:spacing w:after="0"/>
        <w:ind w:left="2520"/>
        <w:jc w:val="left"/>
      </w:pPr>
      <w:bookmarkStart w:id="51" w:name="_ENREF_57"/>
      <w:r>
        <w:t xml:space="preserve">Oldenburg, E., Höppner, F., Ellner, F. and Weinert, J. (2017). </w:t>
      </w:r>
      <w:r>
        <w:rPr>
          <w:i/>
        </w:rPr>
        <w:t>Fusarium</w:t>
      </w:r>
      <w:r>
        <w:t xml:space="preserve"> diseases of maize associated with mycotoxin contamination of agricultural products intended to be used for food and feed. </w:t>
      </w:r>
      <w:r>
        <w:rPr>
          <w:i/>
        </w:rPr>
        <w:t>Mycotoxin Research.</w:t>
      </w:r>
      <w:r>
        <w:t xml:space="preserve"> 33(3)</w:t>
      </w:r>
      <w:r>
        <w:rPr>
          <w:b/>
        </w:rPr>
        <w:t>,</w:t>
      </w:r>
      <w:r>
        <w:t xml:space="preserve"> 167-182. </w:t>
      </w:r>
      <w:hyperlink r:id="rId49" w:history="1">
        <w:r w:rsidR="00364DED">
          <w:rPr>
            <w:rStyle w:val="Hyperlink"/>
          </w:rPr>
          <w:t>https://doi.org/10.1007/s12550-017-0277-y</w:t>
        </w:r>
      </w:hyperlink>
      <w:r>
        <w:t>.</w:t>
      </w:r>
      <w:bookmarkEnd w:id="51"/>
    </w:p>
    <w:p w14:paraId="7D49DF6C" w14:textId="77777777" w:rsidR="00364DED" w:rsidRDefault="00A70A1E" w:rsidP="00713412">
      <w:pPr>
        <w:pStyle w:val="EndNoteBibliography"/>
        <w:spacing w:after="0"/>
        <w:ind w:left="2520"/>
        <w:jc w:val="left"/>
      </w:pPr>
      <w:bookmarkStart w:id="52" w:name="_ENREF_58"/>
      <w:r>
        <w:t>Orozco-Villafuerte, J., Escobar-Rojas, A., Buendía-González, L., García-Morales, C., Hernandez-Jaimes, C. and Alvarez-Ramirez, J. (2019). Evaluation of the protection and release rate of bougainvillea (</w:t>
      </w:r>
      <w:r>
        <w:rPr>
          <w:i/>
        </w:rPr>
        <w:t>Bougainvillea spectabilis</w:t>
      </w:r>
      <w:r>
        <w:t xml:space="preserve">) extracts encapsulated in alginate beads. </w:t>
      </w:r>
      <w:r>
        <w:rPr>
          <w:i/>
        </w:rPr>
        <w:t>Journal of Dispersion Science and Technology.</w:t>
      </w:r>
      <w:r>
        <w:t xml:space="preserve"> 40(7)</w:t>
      </w:r>
      <w:r>
        <w:rPr>
          <w:b/>
        </w:rPr>
        <w:t>,</w:t>
      </w:r>
      <w:r>
        <w:t xml:space="preserve"> 1065-1074. </w:t>
      </w:r>
      <w:hyperlink r:id="rId50" w:history="1">
        <w:r w:rsidR="00364DED">
          <w:rPr>
            <w:rStyle w:val="Hyperlink"/>
          </w:rPr>
          <w:t>https://doi.org/10.1080/01932691.2018.1496834</w:t>
        </w:r>
      </w:hyperlink>
      <w:r>
        <w:t>.</w:t>
      </w:r>
      <w:bookmarkEnd w:id="52"/>
    </w:p>
    <w:p w14:paraId="160D2E18" w14:textId="77777777" w:rsidR="00364DED" w:rsidRDefault="00A70A1E" w:rsidP="00713412">
      <w:pPr>
        <w:pStyle w:val="EndNoteBibliography"/>
        <w:spacing w:after="0"/>
        <w:ind w:left="2520"/>
        <w:jc w:val="left"/>
      </w:pPr>
      <w:bookmarkStart w:id="53" w:name="_ENREF_59"/>
      <w:r>
        <w:t xml:space="preserve">Pionnat, S., Keller, H., Héricher, D., Bettachini, A., Dessaux, Y., Nesme, X. and Poncet, C. (1999). Ti Plasmids from AgrobacteriumCharacterize Rootstock Clones That Initiated a Spread of Crown Gall Disease in Mediterranean Countries. </w:t>
      </w:r>
      <w:r>
        <w:rPr>
          <w:i/>
        </w:rPr>
        <w:t>Applied and Environmental Microbiology.</w:t>
      </w:r>
      <w:r>
        <w:t xml:space="preserve"> 65(9)</w:t>
      </w:r>
      <w:r>
        <w:rPr>
          <w:b/>
        </w:rPr>
        <w:t>,</w:t>
      </w:r>
      <w:r>
        <w:t xml:space="preserve"> 4197-4206. </w:t>
      </w:r>
      <w:hyperlink r:id="rId51" w:history="1">
        <w:r w:rsidR="00364DED">
          <w:rPr>
            <w:rStyle w:val="Hyperlink"/>
          </w:rPr>
          <w:t>https://doi.org/10.1128/AEM.65.9.4197-4206.1999</w:t>
        </w:r>
      </w:hyperlink>
      <w:r>
        <w:t>.</w:t>
      </w:r>
      <w:bookmarkEnd w:id="53"/>
    </w:p>
    <w:p w14:paraId="0D9FB783" w14:textId="77777777" w:rsidR="00B662DF" w:rsidRDefault="00B662DF" w:rsidP="00713412">
      <w:pPr>
        <w:pStyle w:val="EndNoteBibliography"/>
        <w:spacing w:after="0"/>
        <w:ind w:left="2520"/>
        <w:jc w:val="left"/>
      </w:pPr>
      <w:bookmarkStart w:id="54" w:name="_ENREF_61"/>
      <w:r w:rsidRPr="00B662DF">
        <w:t>Pitt, J. I., &amp; Hocking, A. D. (2009). Fungi and food spoilage. https://doi.org/10.1007/978-0-387-92207-2</w:t>
      </w:r>
    </w:p>
    <w:p w14:paraId="007E2F2D" w14:textId="77777777" w:rsidR="00B662DF" w:rsidRDefault="00B662DF" w:rsidP="00713412">
      <w:pPr>
        <w:pStyle w:val="EndNoteBibliography"/>
        <w:spacing w:after="0"/>
        <w:ind w:left="2520"/>
        <w:jc w:val="left"/>
      </w:pPr>
      <w:bookmarkStart w:id="55" w:name="_ENREF_62"/>
      <w:bookmarkEnd w:id="54"/>
      <w:r w:rsidRPr="00B662DF">
        <w:t>Pizzo, J. S., Rutz, T., Ojeda, A. S., Kartowikromo, K. Y., Hamid, A. M., Simmons, S., da Silva, A. L. B. R., &amp; Rodrigues, C. (2024). Quantifying terpenes in tomato leaf extracts from different species using gas chromatography-mass spectrometry (GC-MS). Analytical Biochemistry. https://doi.org/10.1016/j.ab.2024.115503</w:t>
      </w:r>
    </w:p>
    <w:bookmarkEnd w:id="55"/>
    <w:p w14:paraId="1522F5EC" w14:textId="25884FC8" w:rsidR="00364DED" w:rsidRDefault="00B662DF" w:rsidP="00713412">
      <w:pPr>
        <w:pStyle w:val="EndNoteBibliography"/>
        <w:spacing w:after="0"/>
        <w:ind w:left="2520"/>
        <w:jc w:val="left"/>
      </w:pPr>
      <w:r w:rsidRPr="00B662DF">
        <w:t>Pun, K. B., Doraiswamy, S., &amp; Jeyarajan, R. (1999). Screening of plant species for the presence of antiviral principles against okra yellow vein mosaic virus. Indian Phytopathology, 52(3), 221-223. https://epubs.icar.org.in/index.php/IPPJ/article/view/19519</w:t>
      </w:r>
    </w:p>
    <w:p w14:paraId="794110EF" w14:textId="77777777" w:rsidR="00364DED" w:rsidRDefault="00A70A1E" w:rsidP="00713412">
      <w:pPr>
        <w:pStyle w:val="EndNoteBibliography"/>
        <w:spacing w:after="0"/>
        <w:ind w:left="2520"/>
        <w:jc w:val="left"/>
      </w:pPr>
      <w:bookmarkStart w:id="56" w:name="_ENREF_63"/>
      <w:r>
        <w:t xml:space="preserve">Purohit, A. and Sharma, A. (2006). Blood Glucose Lowering Potential of </w:t>
      </w:r>
      <w:r>
        <w:rPr>
          <w:i/>
        </w:rPr>
        <w:t xml:space="preserve">Bougainvillea Spectabilis </w:t>
      </w:r>
      <w:r>
        <w:t xml:space="preserve">Willd. Leaf Extract in Streptozotocin Induced Type-I Diabetic Albino Rats. </w:t>
      </w:r>
      <w:r>
        <w:rPr>
          <w:i/>
        </w:rPr>
        <w:t>INDIAN DRUGS-BOMBAY-.</w:t>
      </w:r>
      <w:r>
        <w:t xml:space="preserve"> 43(7)</w:t>
      </w:r>
      <w:r>
        <w:rPr>
          <w:b/>
        </w:rPr>
        <w:t>,</w:t>
      </w:r>
      <w:r>
        <w:t xml:space="preserve"> 538.</w:t>
      </w:r>
      <w:bookmarkEnd w:id="56"/>
    </w:p>
    <w:p w14:paraId="5033957D" w14:textId="5C2E8E14" w:rsidR="00364DED" w:rsidRDefault="00B662DF" w:rsidP="00713412">
      <w:pPr>
        <w:pStyle w:val="EndNoteBibliography"/>
        <w:spacing w:after="0"/>
        <w:ind w:left="2520"/>
        <w:jc w:val="left"/>
      </w:pPr>
      <w:bookmarkStart w:id="57" w:name="_ENREF_64"/>
      <w:r w:rsidRPr="00B662DF">
        <w:t xml:space="preserve">Rashid, F., Sharif, N., Ali, I., Sharif, S., Nisa, F. U., &amp; Naz, S. (2013). Phytochemical analysis and inhibitory activity of Ornamental Plant </w:t>
      </w:r>
      <w:r w:rsidRPr="00B662DF">
        <w:lastRenderedPageBreak/>
        <w:t>(Bougainvillea spectabilis). Asian Journal of Plant Science &amp; Research, 3(2), 1-5. https://www.imedpub.com/articles/phytochemical-analysis-and-inhibitory-activity-of-ornamental-plant-bougainvillea-spectabilis.pdf</w:t>
      </w:r>
      <w:r>
        <w:t>.</w:t>
      </w:r>
      <w:bookmarkEnd w:id="57"/>
    </w:p>
    <w:p w14:paraId="65FAAF34" w14:textId="77777777" w:rsidR="00364DED" w:rsidRDefault="00A70A1E" w:rsidP="00713412">
      <w:pPr>
        <w:pStyle w:val="EndNoteBibliography"/>
        <w:spacing w:after="0"/>
        <w:ind w:left="2520"/>
        <w:jc w:val="left"/>
      </w:pPr>
      <w:bookmarkStart w:id="58" w:name="_ENREF_65"/>
      <w:r>
        <w:t xml:space="preserve">Saikia, H. and Das, S. (2009). Antidiabetic action of </w:t>
      </w:r>
      <w:r>
        <w:rPr>
          <w:i/>
        </w:rPr>
        <w:t>Bougainvillea spectabilis</w:t>
      </w:r>
      <w:r>
        <w:t xml:space="preserve"> (leaves) in normal and alloxan induced diabetic albino rats. </w:t>
      </w:r>
      <w:r>
        <w:rPr>
          <w:i/>
        </w:rPr>
        <w:t>Indian Drugs.</w:t>
      </w:r>
      <w:r>
        <w:t xml:space="preserve"> 46</w:t>
      </w:r>
      <w:r>
        <w:rPr>
          <w:b/>
        </w:rPr>
        <w:t>,</w:t>
      </w:r>
      <w:r>
        <w:t xml:space="preserve"> 391-397.</w:t>
      </w:r>
      <w:bookmarkEnd w:id="58"/>
    </w:p>
    <w:p w14:paraId="5D205314" w14:textId="270555EC" w:rsidR="00364DED" w:rsidRDefault="00B662DF" w:rsidP="00713412">
      <w:pPr>
        <w:pStyle w:val="EndNoteBibliography"/>
        <w:spacing w:after="0"/>
        <w:ind w:left="2520"/>
        <w:jc w:val="left"/>
      </w:pPr>
      <w:bookmarkStart w:id="59" w:name="_ENREF_66"/>
      <w:r w:rsidRPr="00B662DF">
        <w:t>Salem, M. Z. M., Alotaibi, S. S., Elgat, W. A. A. A., Taha, A. S., Fares, Y. G. D., El-Shehawi, A. M., &amp; Ghareeb, R. Y. (2021). Antifungal Activities of Wood and Non-Wood Kraft Handsheets Treated with Melia azedarach Extract Using SEM and HPLC Analyses. Polymers, 13(12), 2012. https://doi.org/10.3390/polym13122012</w:t>
      </w:r>
      <w:r>
        <w:t>.</w:t>
      </w:r>
      <w:bookmarkEnd w:id="59"/>
    </w:p>
    <w:p w14:paraId="3C200367" w14:textId="77777777" w:rsidR="00364DED" w:rsidRDefault="00A70A1E" w:rsidP="00713412">
      <w:pPr>
        <w:pStyle w:val="EndNoteBibliography"/>
        <w:spacing w:after="0"/>
        <w:ind w:left="2520"/>
        <w:jc w:val="left"/>
      </w:pPr>
      <w:bookmarkStart w:id="60" w:name="_ENREF_67"/>
      <w:r>
        <w:t xml:space="preserve">Salem, M.Z.M., Ashmawy, N.A., Elansary, H.O. and El-Settawy, A.A. (2015). Chemotyping of diverse </w:t>
      </w:r>
      <w:r>
        <w:rPr>
          <w:i/>
        </w:rPr>
        <w:t>Eucalyptus</w:t>
      </w:r>
      <w:r>
        <w:t xml:space="preserve"> species grown in Egypt and antioxidant and antibacterial activities of its respective essential oils. </w:t>
      </w:r>
      <w:r>
        <w:rPr>
          <w:i/>
        </w:rPr>
        <w:t>Natural Product Research.</w:t>
      </w:r>
      <w:r>
        <w:t xml:space="preserve"> 29(7)</w:t>
      </w:r>
      <w:r>
        <w:rPr>
          <w:b/>
        </w:rPr>
        <w:t>,</w:t>
      </w:r>
      <w:r>
        <w:t xml:space="preserve"> 681-685. </w:t>
      </w:r>
      <w:hyperlink r:id="rId52" w:history="1">
        <w:r w:rsidR="00364DED">
          <w:rPr>
            <w:rStyle w:val="Hyperlink"/>
          </w:rPr>
          <w:t>https://doi.org/10.1080/14786419.2014.981539</w:t>
        </w:r>
      </w:hyperlink>
      <w:r>
        <w:t>.</w:t>
      </w:r>
      <w:bookmarkEnd w:id="60"/>
    </w:p>
    <w:p w14:paraId="332F57CB" w14:textId="77777777" w:rsidR="00364DED" w:rsidRDefault="00A70A1E" w:rsidP="00713412">
      <w:pPr>
        <w:pStyle w:val="EndNoteBibliography"/>
        <w:spacing w:after="0"/>
        <w:ind w:left="2520"/>
        <w:jc w:val="left"/>
      </w:pPr>
      <w:bookmarkStart w:id="61" w:name="_ENREF_68"/>
      <w:r>
        <w:t xml:space="preserve">Salem, M.Z.M., El-Hefny, M., Ali, H.M., Abdel-Megeed, A., El-Settawy, A.A.A., Böhm, M., Mansour, M.M.A. and Salem, A.Z.M. (2021b). Plants-derived bioactives: Novel utilization as antimicrobial, antioxidant and phytoreducing agents for the biosynthesis of metallic nanoparticles. </w:t>
      </w:r>
      <w:r>
        <w:rPr>
          <w:i/>
        </w:rPr>
        <w:t>Microbial Pathogenesis.</w:t>
      </w:r>
      <w:r>
        <w:t xml:space="preserve"> 158</w:t>
      </w:r>
      <w:r>
        <w:rPr>
          <w:b/>
        </w:rPr>
        <w:t>,</w:t>
      </w:r>
      <w:r>
        <w:t xml:space="preserve"> 105107. </w:t>
      </w:r>
      <w:hyperlink r:id="rId53" w:history="1">
        <w:r w:rsidR="00364DED">
          <w:rPr>
            <w:rStyle w:val="Hyperlink"/>
          </w:rPr>
          <w:t>https://doi.org/https://doi.org/10.1016/j.micpath.2021.105107</w:t>
        </w:r>
      </w:hyperlink>
      <w:r>
        <w:t>.</w:t>
      </w:r>
      <w:bookmarkEnd w:id="61"/>
    </w:p>
    <w:p w14:paraId="3A47C443" w14:textId="77777777" w:rsidR="00364DED" w:rsidRDefault="00A70A1E" w:rsidP="00713412">
      <w:pPr>
        <w:pStyle w:val="EndNoteBibliography"/>
        <w:spacing w:after="0"/>
        <w:ind w:left="2520"/>
        <w:jc w:val="left"/>
      </w:pPr>
      <w:bookmarkStart w:id="62" w:name="_ENREF_69"/>
      <w:r>
        <w:t>Salem, M.Z.M., Mansour, M.M.A. and Elansary, H.O. (2019). Evaluation of the effect of inner and outer bark extracts of sugar maple (</w:t>
      </w:r>
      <w:r>
        <w:rPr>
          <w:i/>
        </w:rPr>
        <w:t>Acer saccharum var. saccharum</w:t>
      </w:r>
      <w:r>
        <w:t xml:space="preserve">) in combination with citric acid against the growth of three common molds. </w:t>
      </w:r>
      <w:r>
        <w:rPr>
          <w:i/>
        </w:rPr>
        <w:t>Journal of Wood Chemistry and Technology.</w:t>
      </w:r>
      <w:r>
        <w:t xml:space="preserve"> 39(2)</w:t>
      </w:r>
      <w:r>
        <w:rPr>
          <w:b/>
        </w:rPr>
        <w:t>,</w:t>
      </w:r>
      <w:r>
        <w:t xml:space="preserve"> 136-147. </w:t>
      </w:r>
      <w:hyperlink r:id="rId54" w:history="1">
        <w:r w:rsidR="00364DED">
          <w:rPr>
            <w:rStyle w:val="Hyperlink"/>
          </w:rPr>
          <w:t>https://doi.org/10.1080/02773813.2018.1547763</w:t>
        </w:r>
      </w:hyperlink>
      <w:r>
        <w:t>.</w:t>
      </w:r>
      <w:bookmarkEnd w:id="62"/>
    </w:p>
    <w:p w14:paraId="6E411D0C" w14:textId="77777777" w:rsidR="00364DED" w:rsidRDefault="00A70A1E" w:rsidP="00713412">
      <w:pPr>
        <w:pStyle w:val="EndNoteBibliography"/>
        <w:spacing w:after="0"/>
        <w:ind w:left="2520"/>
        <w:jc w:val="left"/>
      </w:pPr>
      <w:bookmarkStart w:id="63" w:name="_ENREF_70"/>
      <w:r>
        <w:t xml:space="preserve">Salem, M.Z.M., Mohamed, A.A., Ali, H.M. and Al Farraj, D.A. (2021c). Characterization of Phytoconstituents from Alcoholic Extracts of Four Woody Species and Their Potential Uses for Management of Six </w:t>
      </w:r>
      <w:r>
        <w:rPr>
          <w:i/>
        </w:rPr>
        <w:t>Fusarium oxysporum</w:t>
      </w:r>
      <w:r>
        <w:t xml:space="preserve"> Isolates Identified from Some Plant Hosts. </w:t>
      </w:r>
      <w:r>
        <w:rPr>
          <w:i/>
        </w:rPr>
        <w:t>Plants.</w:t>
      </w:r>
      <w:r>
        <w:t xml:space="preserve"> 10(7)</w:t>
      </w:r>
      <w:r>
        <w:rPr>
          <w:b/>
        </w:rPr>
        <w:t>,</w:t>
      </w:r>
      <w:r>
        <w:t xml:space="preserve"> 1325. </w:t>
      </w:r>
      <w:hyperlink r:id="rId55" w:history="1">
        <w:r w:rsidR="00364DED">
          <w:rPr>
            <w:rStyle w:val="Hyperlink"/>
          </w:rPr>
          <w:t>https://doi.org/10.3390/plants10071325</w:t>
        </w:r>
      </w:hyperlink>
      <w:r>
        <w:t>.</w:t>
      </w:r>
      <w:bookmarkEnd w:id="63"/>
    </w:p>
    <w:p w14:paraId="530445FA" w14:textId="77777777" w:rsidR="00364DED" w:rsidRDefault="00A70A1E" w:rsidP="00713412">
      <w:pPr>
        <w:pStyle w:val="EndNoteBibliography"/>
        <w:spacing w:after="0"/>
        <w:ind w:left="2520"/>
        <w:jc w:val="left"/>
      </w:pPr>
      <w:bookmarkStart w:id="64" w:name="_ENREF_71"/>
      <w:r>
        <w:t xml:space="preserve">Salem, M.Z.M., Zayed, M.Z., Ali, H.M. and Abd El-Kareem, M.S.M. (2016a). Chemical composition, antioxidant and antibacterial activities of extracts from </w:t>
      </w:r>
      <w:r>
        <w:rPr>
          <w:i/>
        </w:rPr>
        <w:t>Schinus molle</w:t>
      </w:r>
      <w:r>
        <w:t xml:space="preserve"> wood branch growing in Egypt. </w:t>
      </w:r>
      <w:r>
        <w:rPr>
          <w:i/>
        </w:rPr>
        <w:t>Journal of Wood Science.</w:t>
      </w:r>
      <w:r>
        <w:t xml:space="preserve"> 62(6)</w:t>
      </w:r>
      <w:r>
        <w:rPr>
          <w:b/>
        </w:rPr>
        <w:t>,</w:t>
      </w:r>
      <w:r>
        <w:t xml:space="preserve"> 548-561. </w:t>
      </w:r>
      <w:hyperlink r:id="rId56" w:history="1">
        <w:r w:rsidR="00364DED">
          <w:rPr>
            <w:rStyle w:val="Hyperlink"/>
          </w:rPr>
          <w:t>https://doi.org/10.1007/s10086-016-1583-2</w:t>
        </w:r>
      </w:hyperlink>
      <w:r>
        <w:t>.</w:t>
      </w:r>
      <w:bookmarkEnd w:id="64"/>
    </w:p>
    <w:p w14:paraId="65FD61F5" w14:textId="77777777" w:rsidR="00364DED" w:rsidRDefault="00A70A1E" w:rsidP="00713412">
      <w:pPr>
        <w:pStyle w:val="EndNoteBibliography"/>
        <w:spacing w:after="0"/>
        <w:ind w:left="2520"/>
        <w:jc w:val="left"/>
      </w:pPr>
      <w:bookmarkStart w:id="65" w:name="_ENREF_72"/>
      <w:r>
        <w:t xml:space="preserve">Salem, M.Z.M., Zidan, Y.E., El Hadidi, N.M.N., Mansour, M.M.A. and Abo Elgat, W.A.A. (2016b). Evaluation of usage three natural extracts applied to three commercial wood species against five common molds. </w:t>
      </w:r>
      <w:r>
        <w:rPr>
          <w:i/>
        </w:rPr>
        <w:t>International Biodeterioration &amp; Biodegradation.</w:t>
      </w:r>
      <w:r>
        <w:t xml:space="preserve"> 110</w:t>
      </w:r>
      <w:r>
        <w:rPr>
          <w:b/>
        </w:rPr>
        <w:t>,</w:t>
      </w:r>
      <w:r>
        <w:t xml:space="preserve"> 206-226. </w:t>
      </w:r>
      <w:hyperlink r:id="rId57" w:history="1">
        <w:r w:rsidR="00364DED">
          <w:rPr>
            <w:rStyle w:val="Hyperlink"/>
          </w:rPr>
          <w:t>https://doi.org/https://doi.org/10.1016/j.ibiod.2016.03.028</w:t>
        </w:r>
      </w:hyperlink>
      <w:r>
        <w:t>.</w:t>
      </w:r>
      <w:bookmarkEnd w:id="65"/>
    </w:p>
    <w:p w14:paraId="44A3E18D" w14:textId="77777777" w:rsidR="00364DED" w:rsidRDefault="00A70A1E" w:rsidP="00713412">
      <w:pPr>
        <w:pStyle w:val="EndNoteBibliography"/>
        <w:spacing w:after="0"/>
        <w:ind w:left="2520"/>
        <w:jc w:val="left"/>
        <w:rPr>
          <w:i/>
        </w:rPr>
      </w:pPr>
      <w:bookmarkStart w:id="66" w:name="_ENREF_73"/>
      <w:r>
        <w:lastRenderedPageBreak/>
        <w:t xml:space="preserve">Sambrook, J., Fritsch, E. and Maniatis, T. (1989). Molecular Cloning: A Laboratory Manual 2nd ed. 1989 Cold Spring HarborCold Spring Harbor. </w:t>
      </w:r>
      <w:r>
        <w:rPr>
          <w:i/>
        </w:rPr>
        <w:t>New York.</w:t>
      </w:r>
      <w:bookmarkEnd w:id="66"/>
    </w:p>
    <w:p w14:paraId="5E10A720" w14:textId="77777777" w:rsidR="00364DED" w:rsidRDefault="00A70A1E" w:rsidP="00713412">
      <w:pPr>
        <w:pStyle w:val="EndNoteBibliography"/>
        <w:spacing w:after="0"/>
        <w:ind w:left="2520"/>
        <w:jc w:val="left"/>
      </w:pPr>
      <w:bookmarkStart w:id="67" w:name="_ENREF_74"/>
      <w:r>
        <w:t xml:space="preserve">Shaiq Ali, M., Amir Ibrahim, S., Ahmed, F. and Kashif Pervez, M. (2005). Color versus bioactivity in the flowers of </w:t>
      </w:r>
      <w:r>
        <w:rPr>
          <w:i/>
        </w:rPr>
        <w:t>Bougainvillea spectabilis</w:t>
      </w:r>
      <w:r>
        <w:t xml:space="preserve"> (Nyctaginaceae). </w:t>
      </w:r>
      <w:r>
        <w:rPr>
          <w:i/>
        </w:rPr>
        <w:t>Natural Product Research.</w:t>
      </w:r>
      <w:r>
        <w:t xml:space="preserve"> 19(1)</w:t>
      </w:r>
      <w:r>
        <w:rPr>
          <w:b/>
        </w:rPr>
        <w:t>,</w:t>
      </w:r>
      <w:r>
        <w:t xml:space="preserve"> 1-5. </w:t>
      </w:r>
      <w:hyperlink r:id="rId58" w:history="1">
        <w:r w:rsidR="00364DED">
          <w:rPr>
            <w:rStyle w:val="Hyperlink"/>
          </w:rPr>
          <w:t>https://doi.org/10.1080/14786410310001630609</w:t>
        </w:r>
      </w:hyperlink>
      <w:r>
        <w:t>.</w:t>
      </w:r>
      <w:bookmarkEnd w:id="67"/>
    </w:p>
    <w:p w14:paraId="3FE86CB6" w14:textId="77777777" w:rsidR="00364DED" w:rsidRDefault="00A70A1E" w:rsidP="00713412">
      <w:pPr>
        <w:pStyle w:val="EndNoteBibliography"/>
        <w:spacing w:after="0"/>
        <w:ind w:left="2520"/>
        <w:jc w:val="left"/>
      </w:pPr>
      <w:bookmarkStart w:id="68" w:name="_ENREF_75"/>
      <w:r>
        <w:t xml:space="preserve">Shakam, H.M., Mohamed, A.A. and Salem, M.Z.M. (2022). Down-regulatory effect of essential oils on fungal growth and Tri4 gene expression for some </w:t>
      </w:r>
      <w:r>
        <w:rPr>
          <w:i/>
        </w:rPr>
        <w:t>Fusarium oxysporum</w:t>
      </w:r>
      <w:r>
        <w:t xml:space="preserve"> strains: GC-MS analysis of essential oils. </w:t>
      </w:r>
      <w:r>
        <w:rPr>
          <w:i/>
        </w:rPr>
        <w:t>Archives of Phytopathology and Plant Protection.</w:t>
      </w:r>
      <w:r>
        <w:t xml:space="preserve"> 55(8)</w:t>
      </w:r>
      <w:r>
        <w:rPr>
          <w:b/>
        </w:rPr>
        <w:t>,</w:t>
      </w:r>
      <w:r>
        <w:t xml:space="preserve"> 951-972. </w:t>
      </w:r>
      <w:hyperlink r:id="rId59" w:history="1">
        <w:r w:rsidR="00364DED">
          <w:rPr>
            <w:rStyle w:val="Hyperlink"/>
          </w:rPr>
          <w:t>https://doi.org/10.1080/03235408.2022.2064081</w:t>
        </w:r>
      </w:hyperlink>
      <w:r>
        <w:t>.</w:t>
      </w:r>
      <w:bookmarkEnd w:id="68"/>
    </w:p>
    <w:p w14:paraId="529F6625" w14:textId="77777777" w:rsidR="00364DED" w:rsidRDefault="00A70A1E" w:rsidP="00713412">
      <w:pPr>
        <w:pStyle w:val="EndNoteBibliography"/>
        <w:spacing w:after="0"/>
        <w:ind w:left="2520"/>
        <w:jc w:val="left"/>
      </w:pPr>
      <w:bookmarkStart w:id="69" w:name="_ENREF_76"/>
      <w:r>
        <w:t xml:space="preserve">Singh, V.K., Kavita, K., Prabhakaran, R. and Jha, B. (2013). Cis-9-octadecenoic acid from the rhizospheric bacterium </w:t>
      </w:r>
      <w:r>
        <w:rPr>
          <w:i/>
        </w:rPr>
        <w:t>Stenotrophomonas maltophilia</w:t>
      </w:r>
      <w:r>
        <w:t xml:space="preserve"> BJ01 shows quorum quenching and anti-biofilm activities. </w:t>
      </w:r>
      <w:r>
        <w:rPr>
          <w:i/>
        </w:rPr>
        <w:t>Biofouling.</w:t>
      </w:r>
      <w:r>
        <w:t xml:space="preserve"> 29(7)</w:t>
      </w:r>
      <w:r>
        <w:rPr>
          <w:b/>
        </w:rPr>
        <w:t>,</w:t>
      </w:r>
      <w:r>
        <w:t xml:space="preserve"> 855-867. </w:t>
      </w:r>
      <w:hyperlink r:id="rId60" w:history="1">
        <w:r w:rsidR="00364DED">
          <w:rPr>
            <w:rStyle w:val="Hyperlink"/>
          </w:rPr>
          <w:t>https://doi.org/10.1080/08927014.2013.807914</w:t>
        </w:r>
      </w:hyperlink>
      <w:r>
        <w:t>.</w:t>
      </w:r>
      <w:bookmarkEnd w:id="69"/>
    </w:p>
    <w:p w14:paraId="481E8616" w14:textId="77777777" w:rsidR="00364DED" w:rsidRDefault="00A70A1E" w:rsidP="00713412">
      <w:pPr>
        <w:pStyle w:val="EndNoteBibliography"/>
        <w:spacing w:after="0"/>
        <w:ind w:left="2520"/>
        <w:jc w:val="left"/>
      </w:pPr>
      <w:bookmarkStart w:id="70" w:name="_ENREF_77"/>
      <w:r>
        <w:t>Sneh, B., Burpee, L. and Ogoshi, A. (1991). Identification of Rhizoctonia Species. APS Press, St. Paul, Minnesota. 135 pp.</w:t>
      </w:r>
      <w:bookmarkEnd w:id="70"/>
    </w:p>
    <w:p w14:paraId="560AE25E" w14:textId="77777777" w:rsidR="00364DED" w:rsidRDefault="00A70A1E" w:rsidP="00713412">
      <w:pPr>
        <w:pStyle w:val="EndNoteBibliography"/>
        <w:spacing w:after="0"/>
        <w:ind w:left="2520"/>
        <w:jc w:val="left"/>
      </w:pPr>
      <w:bookmarkStart w:id="71" w:name="_ENREF_78"/>
      <w:r>
        <w:t xml:space="preserve">Stenz, L., François, P., Fischer, A., Huyghe, A., Tangomo, M., Hernandez, D., Cassat, J., Linder, P. and Schrenzel, J. (2008). Impact of oleic acid (cis-9-octadecenoic acid) on bacterial viability and biofilm production in </w:t>
      </w:r>
      <w:r>
        <w:rPr>
          <w:i/>
        </w:rPr>
        <w:t>Staphylococcus aureus</w:t>
      </w:r>
      <w:r>
        <w:t xml:space="preserve">. </w:t>
      </w:r>
      <w:r>
        <w:rPr>
          <w:i/>
        </w:rPr>
        <w:t>FEMS Microbiology Letters.</w:t>
      </w:r>
      <w:r>
        <w:t xml:space="preserve"> 287(2)</w:t>
      </w:r>
      <w:r>
        <w:rPr>
          <w:b/>
        </w:rPr>
        <w:t>,</w:t>
      </w:r>
      <w:r>
        <w:t xml:space="preserve"> 149-155. </w:t>
      </w:r>
      <w:hyperlink r:id="rId61" w:history="1">
        <w:r w:rsidR="00364DED">
          <w:rPr>
            <w:rStyle w:val="Hyperlink"/>
          </w:rPr>
          <w:t>https://doi.org/10.1111/j.1574-6968.2008.01316.x</w:t>
        </w:r>
      </w:hyperlink>
      <w:r>
        <w:t>.</w:t>
      </w:r>
      <w:bookmarkEnd w:id="71"/>
    </w:p>
    <w:p w14:paraId="0D33A76E" w14:textId="77777777" w:rsidR="00713412" w:rsidRDefault="00713412" w:rsidP="00713412">
      <w:pPr>
        <w:pStyle w:val="EndNoteBibliography"/>
        <w:spacing w:after="0"/>
        <w:ind w:left="2520"/>
        <w:jc w:val="left"/>
      </w:pPr>
      <w:bookmarkStart w:id="72" w:name="_ENREF_80"/>
      <w:r w:rsidRPr="00713412">
        <w:t>Swamy, M. K., Sudipta, K. M., Lokesh, P., Neeki, M. A., Rashmi, W., Bhaumik, S. H., Darshil, S. H., Vijay, R., &amp; Kashyap, S. S. N. (2012). Phytochemical screening and in vitro antimicrobial activity of Bougainvillea spectabilis flower extracts. International Journal of Phytomedicine, 4(3), 375-379. https://core.ac.uk/works/234690000</w:t>
      </w:r>
    </w:p>
    <w:p w14:paraId="064F298C" w14:textId="77777777" w:rsidR="00713412" w:rsidRDefault="00713412" w:rsidP="00713412">
      <w:pPr>
        <w:pStyle w:val="EndNoteBibliography"/>
        <w:spacing w:after="0"/>
        <w:ind w:left="2520"/>
        <w:jc w:val="left"/>
      </w:pPr>
      <w:bookmarkStart w:id="73" w:name="_ENREF_81"/>
      <w:bookmarkEnd w:id="72"/>
      <w:r w:rsidRPr="00713412">
        <w:t>Singh, S., Reddu, S. K., Sharma, S. K., &amp; Ali, M. (2009). New unsaturated fatty acid from roots of Bougainvillea spectabilis Willd. Asian Journal of Chemistry, 21(6), 4744-4748. https://asianpubs.org/index.php/ajchem/article/view/18225</w:t>
      </w:r>
    </w:p>
    <w:p w14:paraId="0E458E2D" w14:textId="0683B8A4" w:rsidR="00364DED" w:rsidRDefault="00A70A1E" w:rsidP="00713412">
      <w:pPr>
        <w:pStyle w:val="EndNoteBibliography"/>
        <w:spacing w:after="0"/>
        <w:ind w:left="2520"/>
        <w:jc w:val="left"/>
      </w:pPr>
      <w:r>
        <w:t xml:space="preserve">Taha, A.S., Ibrahim, I.H.M., Abo-Elgat, W.A.A., Abdel-Megeed, A., Salem, M.Z.M. and El-Kareem, M.S.M.A. (2023). GC–MS, quantum mechanics calculation and the antifungal activity of river red gum essential oil when applied to four natural textiles. </w:t>
      </w:r>
      <w:r>
        <w:rPr>
          <w:i/>
        </w:rPr>
        <w:t>Scientific Reports.</w:t>
      </w:r>
      <w:r>
        <w:t xml:space="preserve"> 13(1)</w:t>
      </w:r>
      <w:r>
        <w:rPr>
          <w:b/>
        </w:rPr>
        <w:t>,</w:t>
      </w:r>
      <w:r>
        <w:t xml:space="preserve"> 18214. </w:t>
      </w:r>
      <w:hyperlink r:id="rId62" w:history="1">
        <w:r w:rsidR="00364DED">
          <w:rPr>
            <w:rStyle w:val="Hyperlink"/>
          </w:rPr>
          <w:t>https://doi.org/10.1038/s41598-023-45480-x</w:t>
        </w:r>
      </w:hyperlink>
      <w:r>
        <w:t>.</w:t>
      </w:r>
      <w:bookmarkEnd w:id="73"/>
    </w:p>
    <w:p w14:paraId="1D6C080D" w14:textId="77777777" w:rsidR="00364DED" w:rsidRDefault="00A70A1E" w:rsidP="00713412">
      <w:pPr>
        <w:pStyle w:val="EndNoteBibliography"/>
        <w:spacing w:after="0"/>
        <w:ind w:left="2520"/>
        <w:jc w:val="left"/>
      </w:pPr>
      <w:bookmarkStart w:id="74" w:name="_ENREF_82"/>
      <w:r>
        <w:t xml:space="preserve">Tamura, K., Stecher, G. and Kumar, S. (2021). MEGA11: Molecular Evolutionary Genetics Analysis Version 11. </w:t>
      </w:r>
      <w:r>
        <w:rPr>
          <w:i/>
        </w:rPr>
        <w:t>Molecular Biology and Evolution.</w:t>
      </w:r>
      <w:r>
        <w:t xml:space="preserve"> 38(7)</w:t>
      </w:r>
      <w:r>
        <w:rPr>
          <w:b/>
        </w:rPr>
        <w:t>,</w:t>
      </w:r>
      <w:r>
        <w:t xml:space="preserve"> 3022-3027. </w:t>
      </w:r>
      <w:hyperlink r:id="rId63" w:history="1">
        <w:r w:rsidR="00364DED">
          <w:rPr>
            <w:rStyle w:val="Hyperlink"/>
          </w:rPr>
          <w:t>https://doi.org/10.1093/molbev/msab120</w:t>
        </w:r>
      </w:hyperlink>
      <w:r>
        <w:t>.</w:t>
      </w:r>
      <w:bookmarkEnd w:id="74"/>
    </w:p>
    <w:p w14:paraId="547D9AEF" w14:textId="77777777" w:rsidR="00364DED" w:rsidRDefault="00A70A1E" w:rsidP="00713412">
      <w:pPr>
        <w:pStyle w:val="EndNoteBibliography"/>
        <w:spacing w:after="0"/>
        <w:ind w:left="2520"/>
        <w:jc w:val="left"/>
      </w:pPr>
      <w:bookmarkStart w:id="75" w:name="_ENREF_83"/>
      <w:r>
        <w:t xml:space="preserve">Thiel, W. (2014). Semiempirical quantum–chemical methods. </w:t>
      </w:r>
      <w:r>
        <w:rPr>
          <w:i/>
        </w:rPr>
        <w:t>WIREs Computational Molecular Science.</w:t>
      </w:r>
      <w:r>
        <w:t xml:space="preserve"> 4(2)</w:t>
      </w:r>
      <w:r>
        <w:rPr>
          <w:b/>
        </w:rPr>
        <w:t>,</w:t>
      </w:r>
      <w:r>
        <w:t xml:space="preserve"> 145-157. </w:t>
      </w:r>
      <w:hyperlink r:id="rId64" w:history="1">
        <w:r w:rsidR="00364DED">
          <w:rPr>
            <w:rStyle w:val="Hyperlink"/>
          </w:rPr>
          <w:t>https://doi.org/https://doi.org/10.1002/wcms.1161</w:t>
        </w:r>
      </w:hyperlink>
      <w:r>
        <w:t>.</w:t>
      </w:r>
      <w:bookmarkEnd w:id="75"/>
    </w:p>
    <w:p w14:paraId="71ADB636" w14:textId="77777777" w:rsidR="00364DED" w:rsidRDefault="00A70A1E" w:rsidP="00713412">
      <w:pPr>
        <w:pStyle w:val="EndNoteBibliography"/>
        <w:spacing w:after="0"/>
        <w:ind w:left="2520"/>
        <w:jc w:val="left"/>
      </w:pPr>
      <w:bookmarkStart w:id="76" w:name="_ENREF_84"/>
      <w:r>
        <w:t xml:space="preserve">Umamaheswari, A., Shreevidya, R. and Nuni, A. (2008). In vitro antibacterial activity of </w:t>
      </w:r>
      <w:r>
        <w:rPr>
          <w:i/>
        </w:rPr>
        <w:t xml:space="preserve">Bougainvillea spectabilis </w:t>
      </w:r>
      <w:r>
        <w:t xml:space="preserve">leaves extracts. </w:t>
      </w:r>
      <w:r>
        <w:rPr>
          <w:i/>
        </w:rPr>
        <w:t>Advances in Biological Research.</w:t>
      </w:r>
      <w:r>
        <w:t xml:space="preserve"> 2(1-2)</w:t>
      </w:r>
      <w:r>
        <w:rPr>
          <w:b/>
        </w:rPr>
        <w:t>,</w:t>
      </w:r>
      <w:r>
        <w:t xml:space="preserve"> 1-5.</w:t>
      </w:r>
      <w:bookmarkEnd w:id="76"/>
    </w:p>
    <w:p w14:paraId="35C5A31F" w14:textId="77777777" w:rsidR="00713412" w:rsidRDefault="00713412" w:rsidP="00713412">
      <w:pPr>
        <w:pStyle w:val="EndNoteBibliography"/>
        <w:spacing w:after="0"/>
        <w:ind w:left="2520"/>
        <w:jc w:val="left"/>
      </w:pPr>
      <w:bookmarkStart w:id="77" w:name="_ENREF_86"/>
      <w:r w:rsidRPr="00713412">
        <w:lastRenderedPageBreak/>
        <w:t>van der Wolf, J., &amp; De Boer, S. H. (2015). Phytopathogenic Bacteria. In B. Lugtenberg (Ed.), Principles of Plant-Microbe Interactions: Microbes for Sustainable Agriculture (pp. 65-77). Springer International Publishing. https://doi.org/10.1007/978-3-319-08575-3_9</w:t>
      </w:r>
    </w:p>
    <w:p w14:paraId="5C6F1D24" w14:textId="77CE05E9" w:rsidR="00364DED" w:rsidRDefault="00A70A1E" w:rsidP="00713412">
      <w:pPr>
        <w:pStyle w:val="EndNoteBibliography"/>
        <w:spacing w:after="0"/>
        <w:ind w:left="2520"/>
        <w:jc w:val="left"/>
      </w:pPr>
      <w:r>
        <w:t xml:space="preserve">van der Wolf, J.M., Michta, A., van der Zouwen, P.S., de Boer, W.J., Davelaar, E. and Stevens, L.H. (2012). Seed and leaf treatments with natural compounds to induce resistance against </w:t>
      </w:r>
      <w:r>
        <w:rPr>
          <w:i/>
        </w:rPr>
        <w:t>Peronospora parasitica</w:t>
      </w:r>
      <w:r>
        <w:t xml:space="preserve"> in </w:t>
      </w:r>
      <w:r>
        <w:rPr>
          <w:i/>
        </w:rPr>
        <w:t>Brassica oleracea</w:t>
      </w:r>
      <w:r>
        <w:t xml:space="preserve">. </w:t>
      </w:r>
      <w:r>
        <w:rPr>
          <w:i/>
        </w:rPr>
        <w:t>Crop Protection.</w:t>
      </w:r>
      <w:r>
        <w:t xml:space="preserve"> 35</w:t>
      </w:r>
      <w:r>
        <w:rPr>
          <w:b/>
        </w:rPr>
        <w:t>,</w:t>
      </w:r>
      <w:r>
        <w:t xml:space="preserve"> 78-84. </w:t>
      </w:r>
      <w:hyperlink r:id="rId65" w:history="1">
        <w:r w:rsidR="00364DED">
          <w:rPr>
            <w:rStyle w:val="Hyperlink"/>
          </w:rPr>
          <w:t>https://doi.org/https://doi.org/10.1016/j.cropro.2012.01.008</w:t>
        </w:r>
      </w:hyperlink>
      <w:r>
        <w:t>.</w:t>
      </w:r>
      <w:bookmarkEnd w:id="77"/>
    </w:p>
    <w:p w14:paraId="2DBDCFF0" w14:textId="77777777" w:rsidR="00364DED" w:rsidRDefault="00A70A1E" w:rsidP="00713412">
      <w:pPr>
        <w:pStyle w:val="EndNoteBibliography"/>
        <w:spacing w:after="0"/>
        <w:ind w:left="2520"/>
        <w:jc w:val="left"/>
      </w:pPr>
      <w:bookmarkStart w:id="78" w:name="_ENREF_87"/>
      <w:r>
        <w:t xml:space="preserve">Venkatachalam, R.N., Singh, K. and Marar, T. (2012). </w:t>
      </w:r>
      <w:r>
        <w:rPr>
          <w:i/>
        </w:rPr>
        <w:t>Bougainvillea spectabilis</w:t>
      </w:r>
      <w:r>
        <w:t xml:space="preserve">, a good source of antioxidant phytochemicals. </w:t>
      </w:r>
      <w:r>
        <w:rPr>
          <w:i/>
        </w:rPr>
        <w:t>Research Journal of Pharmaceutical, Biological and Chemical Sciences.</w:t>
      </w:r>
      <w:r>
        <w:t xml:space="preserve"> 3(3)</w:t>
      </w:r>
      <w:r>
        <w:rPr>
          <w:b/>
        </w:rPr>
        <w:t>,</w:t>
      </w:r>
      <w:r>
        <w:t xml:space="preserve"> 605-613.</w:t>
      </w:r>
      <w:bookmarkEnd w:id="78"/>
    </w:p>
    <w:p w14:paraId="65DEE634" w14:textId="77777777" w:rsidR="00364DED" w:rsidRDefault="00A70A1E" w:rsidP="00713412">
      <w:pPr>
        <w:pStyle w:val="EndNoteBibliography"/>
        <w:spacing w:after="0"/>
        <w:ind w:left="2520"/>
        <w:jc w:val="left"/>
      </w:pPr>
      <w:bookmarkStart w:id="79" w:name="_ENREF_88"/>
      <w:r>
        <w:t xml:space="preserve">Vukovic, N., Kacaniova, M., Hleba, L. and Sukdolak, S. (2013). Chemical Composition of the Essential oil of </w:t>
      </w:r>
      <w:r>
        <w:rPr>
          <w:i/>
        </w:rPr>
        <w:t>Bougainvillea spectabilis</w:t>
      </w:r>
      <w:r>
        <w:t xml:space="preserve"> from Montenegro. </w:t>
      </w:r>
      <w:r>
        <w:rPr>
          <w:i/>
        </w:rPr>
        <w:t>Journal of Essential Oil Bearing Plants.</w:t>
      </w:r>
      <w:r>
        <w:t xml:space="preserve"> 16(2)</w:t>
      </w:r>
      <w:r>
        <w:rPr>
          <w:b/>
        </w:rPr>
        <w:t>,</w:t>
      </w:r>
      <w:r>
        <w:t xml:space="preserve"> 212-215. </w:t>
      </w:r>
      <w:hyperlink r:id="rId66" w:history="1">
        <w:r w:rsidR="00364DED">
          <w:rPr>
            <w:rStyle w:val="Hyperlink"/>
          </w:rPr>
          <w:t>https://doi.org/10.1080/0972060X.2013.794014</w:t>
        </w:r>
      </w:hyperlink>
      <w:r>
        <w:t>.</w:t>
      </w:r>
      <w:bookmarkEnd w:id="79"/>
    </w:p>
    <w:p w14:paraId="333245B0" w14:textId="77777777" w:rsidR="00364DED" w:rsidRDefault="00A70A1E" w:rsidP="00713412">
      <w:pPr>
        <w:pStyle w:val="EndNoteBibliography"/>
        <w:spacing w:after="0"/>
        <w:ind w:left="2520"/>
        <w:jc w:val="left"/>
      </w:pPr>
      <w:bookmarkStart w:id="80" w:name="_ENREF_89"/>
      <w:r>
        <w:t xml:space="preserve">Weiner, P.K., Langridge, R., Blaney, J.M., Schaefer, R. and Kollman, P.A. (1982). Electrostatic potential molecular surfaces. </w:t>
      </w:r>
      <w:r>
        <w:rPr>
          <w:i/>
        </w:rPr>
        <w:t>Proceedings of the National Academy of Sciences.</w:t>
      </w:r>
      <w:r>
        <w:t xml:space="preserve"> 79(12)</w:t>
      </w:r>
      <w:r>
        <w:rPr>
          <w:b/>
        </w:rPr>
        <w:t>,</w:t>
      </w:r>
      <w:r>
        <w:t xml:space="preserve"> 3754-3758. </w:t>
      </w:r>
      <w:hyperlink r:id="rId67" w:history="1">
        <w:r w:rsidR="00364DED">
          <w:rPr>
            <w:rStyle w:val="Hyperlink"/>
          </w:rPr>
          <w:t>https://doi.org/10.1073/pnas.79.12.3754</w:t>
        </w:r>
      </w:hyperlink>
      <w:r>
        <w:t>.</w:t>
      </w:r>
      <w:bookmarkEnd w:id="80"/>
    </w:p>
    <w:p w14:paraId="2AA840E3" w14:textId="77777777" w:rsidR="00364DED" w:rsidRDefault="00A70A1E" w:rsidP="00713412">
      <w:pPr>
        <w:pStyle w:val="EndNoteBibliography"/>
        <w:spacing w:after="0"/>
        <w:ind w:left="2520"/>
        <w:jc w:val="left"/>
      </w:pPr>
      <w:bookmarkStart w:id="81" w:name="_ENREF_90"/>
      <w:r>
        <w:t>White, T. (1990). Amplification and direct sequencing of fungal ribosomal RNA genes for phylogenetics. In PCR Protocols: A Guide to Methods and Applications (pp. 315-322). Academic Press. doi:10.1016/B978-0-12-372180-8.50042-1.</w:t>
      </w:r>
      <w:bookmarkEnd w:id="81"/>
    </w:p>
    <w:p w14:paraId="13CE170A" w14:textId="77777777" w:rsidR="00364DED" w:rsidRDefault="00A70A1E" w:rsidP="00713412">
      <w:pPr>
        <w:pStyle w:val="EndNoteBibliography"/>
        <w:spacing w:after="0"/>
        <w:ind w:left="2520"/>
        <w:jc w:val="left"/>
      </w:pPr>
      <w:bookmarkStart w:id="82" w:name="_ENREF_91"/>
      <w:r>
        <w:t xml:space="preserve">Widmer, K.W., Soni, K.A., Hume, M.E., Beier, R.C., Jesudhasan, P. and Pillai, S.D. (2007). Identification of Poultry Meat-Derived Fatty Acids Functioning as Quorum Sensing Signal Inhibitors to Autoinducer-2 (AI-2). </w:t>
      </w:r>
      <w:r>
        <w:rPr>
          <w:i/>
        </w:rPr>
        <w:t>Journal of Food Science.</w:t>
      </w:r>
      <w:r>
        <w:t xml:space="preserve"> 72(9)</w:t>
      </w:r>
      <w:r>
        <w:rPr>
          <w:b/>
        </w:rPr>
        <w:t>,</w:t>
      </w:r>
      <w:r>
        <w:t xml:space="preserve"> M363-M368. </w:t>
      </w:r>
      <w:hyperlink r:id="rId68" w:history="1">
        <w:r w:rsidR="00364DED">
          <w:rPr>
            <w:rStyle w:val="Hyperlink"/>
          </w:rPr>
          <w:t>https://doi.org/https://doi.org/10.1111/j.1750-3841.2007.00527.x</w:t>
        </w:r>
      </w:hyperlink>
      <w:r>
        <w:t>.</w:t>
      </w:r>
      <w:bookmarkEnd w:id="82"/>
    </w:p>
    <w:p w14:paraId="6456948D" w14:textId="77777777" w:rsidR="00364DED" w:rsidRDefault="00A70A1E" w:rsidP="00713412">
      <w:pPr>
        <w:pStyle w:val="EndNoteBibliography"/>
        <w:spacing w:after="0"/>
        <w:ind w:left="2520"/>
        <w:jc w:val="left"/>
      </w:pPr>
      <w:bookmarkStart w:id="83" w:name="_ENREF_92"/>
      <w:r>
        <w:t xml:space="preserve">Zhang, J.-h., Sun, H.-l., Chen, S.-y., Zeng, L. and Wang, T.-t. (2017). Anti-fungal activity, mechanism studies on α-Phellandrene and Nonanal against </w:t>
      </w:r>
      <w:r>
        <w:rPr>
          <w:i/>
        </w:rPr>
        <w:t>Penicillium cyclopium</w:t>
      </w:r>
      <w:r>
        <w:t xml:space="preserve">. </w:t>
      </w:r>
      <w:r>
        <w:rPr>
          <w:i/>
        </w:rPr>
        <w:t>Botanical Studies.</w:t>
      </w:r>
      <w:r>
        <w:t xml:space="preserve"> 58(1)</w:t>
      </w:r>
      <w:r>
        <w:rPr>
          <w:b/>
        </w:rPr>
        <w:t>,</w:t>
      </w:r>
      <w:r>
        <w:t xml:space="preserve"> 13. </w:t>
      </w:r>
      <w:hyperlink r:id="rId69" w:history="1">
        <w:r w:rsidR="00364DED">
          <w:rPr>
            <w:rStyle w:val="Hyperlink"/>
          </w:rPr>
          <w:t>https://doi.org/10.1186/s40529-017-0168-8</w:t>
        </w:r>
      </w:hyperlink>
      <w:r>
        <w:t>.</w:t>
      </w:r>
      <w:bookmarkEnd w:id="83"/>
    </w:p>
    <w:p w14:paraId="688DCEB8" w14:textId="77777777" w:rsidR="00364DED" w:rsidRDefault="00A70A1E" w:rsidP="00713412">
      <w:pPr>
        <w:pStyle w:val="EndNoteBibliography"/>
        <w:ind w:left="2520"/>
        <w:jc w:val="left"/>
      </w:pPr>
      <w:bookmarkStart w:id="84" w:name="_ENREF_93"/>
      <w:r>
        <w:t xml:space="preserve">Zhou, H., Tao, N. and Jia, L. (2014). Antifungal activity of citral, octanal and α-terpineol against </w:t>
      </w:r>
      <w:r>
        <w:rPr>
          <w:i/>
        </w:rPr>
        <w:t>Geotrichum citri-aurantii</w:t>
      </w:r>
      <w:r>
        <w:t xml:space="preserve">. </w:t>
      </w:r>
      <w:r>
        <w:rPr>
          <w:i/>
        </w:rPr>
        <w:t>Food Control.</w:t>
      </w:r>
      <w:r>
        <w:t xml:space="preserve"> 37</w:t>
      </w:r>
      <w:r>
        <w:rPr>
          <w:b/>
        </w:rPr>
        <w:t>,</w:t>
      </w:r>
      <w:r>
        <w:t xml:space="preserve"> 277-283. </w:t>
      </w:r>
      <w:hyperlink r:id="rId70" w:history="1">
        <w:r w:rsidR="00364DED">
          <w:rPr>
            <w:rStyle w:val="Hyperlink"/>
          </w:rPr>
          <w:t>https://doi.org/https://doi.org/10.1016/j.foodcont.2013.09.057</w:t>
        </w:r>
      </w:hyperlink>
      <w:r>
        <w:t>.</w:t>
      </w:r>
      <w:bookmarkEnd w:id="84"/>
    </w:p>
    <w:p w14:paraId="23405F75" w14:textId="77777777" w:rsidR="00364DED" w:rsidRDefault="00A70A1E" w:rsidP="00713412">
      <w:r>
        <w:fldChar w:fldCharType="end"/>
      </w:r>
    </w:p>
    <w:p w14:paraId="779AD395" w14:textId="77777777" w:rsidR="00364DED" w:rsidRDefault="00A70A1E">
      <w:r>
        <w:t xml:space="preserve">Appendix </w:t>
      </w:r>
    </w:p>
    <w:p w14:paraId="09B3F14B" w14:textId="77777777" w:rsidR="00364DED" w:rsidRDefault="00364DED">
      <w:pPr>
        <w:jc w:val="both"/>
      </w:pPr>
    </w:p>
    <w:p w14:paraId="573C8EF4" w14:textId="77777777" w:rsidR="00364DED" w:rsidRDefault="00A70A1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19460DE" wp14:editId="0454E9D0">
            <wp:extent cx="3521121" cy="1845176"/>
            <wp:effectExtent l="0" t="0" r="3175" b="3175"/>
            <wp:docPr id="103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a:blip r:embed="rId71" cstate="print"/>
                    <a:srcRect/>
                    <a:stretch/>
                  </pic:blipFill>
                  <pic:spPr>
                    <a:xfrm>
                      <a:off x="0" y="0"/>
                      <a:ext cx="3521121" cy="1845176"/>
                    </a:xfrm>
                    <a:prstGeom prst="rect">
                      <a:avLst/>
                    </a:prstGeom>
                    <a:ln>
                      <a:noFill/>
                    </a:ln>
                  </pic:spPr>
                </pic:pic>
              </a:graphicData>
            </a:graphic>
          </wp:inline>
        </w:drawing>
      </w:r>
    </w:p>
    <w:p w14:paraId="49451622" w14:textId="77777777" w:rsidR="00364DED" w:rsidRDefault="00A70A1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Figure S1. The </w:t>
      </w:r>
      <w:proofErr w:type="gramStart"/>
      <w:r>
        <w:rPr>
          <w:rFonts w:ascii="Times New Roman" w:hAnsi="Times New Roman" w:cs="Times New Roman"/>
          <w:sz w:val="24"/>
          <w:szCs w:val="24"/>
        </w:rPr>
        <w:t>70 eV</w:t>
      </w:r>
      <w:proofErr w:type="gramEnd"/>
      <w:r>
        <w:rPr>
          <w:rFonts w:ascii="Times New Roman" w:hAnsi="Times New Roman" w:cs="Times New Roman"/>
          <w:sz w:val="24"/>
          <w:szCs w:val="24"/>
        </w:rPr>
        <w:t xml:space="preserve"> mass spectrum of (Z)-9-octadecenoic acid, methyl ester component at RT 19.57 in </w:t>
      </w:r>
      <w:r>
        <w:rPr>
          <w:rFonts w:ascii="Times New Roman" w:hAnsi="Times New Roman" w:cs="Times New Roman"/>
          <w:i/>
          <w:iCs/>
          <w:sz w:val="24"/>
          <w:szCs w:val="24"/>
        </w:rPr>
        <w:t>B. spectabilis</w:t>
      </w:r>
      <w:r>
        <w:rPr>
          <w:rFonts w:ascii="Times New Roman" w:hAnsi="Times New Roman" w:cs="Times New Roman"/>
          <w:sz w:val="24"/>
          <w:szCs w:val="24"/>
        </w:rPr>
        <w:t xml:space="preserve"> bark ME.</w:t>
      </w:r>
    </w:p>
    <w:p w14:paraId="7A6EFAFA" w14:textId="77777777" w:rsidR="00364DED" w:rsidRDefault="00A70A1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9A76C7" wp14:editId="68CB7C31">
            <wp:extent cx="3568890" cy="1612889"/>
            <wp:effectExtent l="0" t="0" r="0" b="6985"/>
            <wp:docPr id="103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72" cstate="print"/>
                    <a:srcRect/>
                    <a:stretch/>
                  </pic:blipFill>
                  <pic:spPr>
                    <a:xfrm>
                      <a:off x="0" y="0"/>
                      <a:ext cx="3568890" cy="1612889"/>
                    </a:xfrm>
                    <a:prstGeom prst="rect">
                      <a:avLst/>
                    </a:prstGeom>
                    <a:ln>
                      <a:noFill/>
                    </a:ln>
                  </pic:spPr>
                </pic:pic>
              </a:graphicData>
            </a:graphic>
          </wp:inline>
        </w:drawing>
      </w:r>
    </w:p>
    <w:p w14:paraId="0E9F46DA" w14:textId="77777777" w:rsidR="00364DED" w:rsidRDefault="00A70A1E">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Figure S2. The </w:t>
      </w:r>
      <w:proofErr w:type="gramStart"/>
      <w:r>
        <w:rPr>
          <w:rFonts w:ascii="Times New Roman" w:hAnsi="Times New Roman" w:cs="Times New Roman"/>
          <w:sz w:val="24"/>
          <w:szCs w:val="24"/>
        </w:rPr>
        <w:t>70 eV</w:t>
      </w:r>
      <w:proofErr w:type="gramEnd"/>
      <w:r>
        <w:rPr>
          <w:rFonts w:ascii="Times New Roman" w:hAnsi="Times New Roman" w:cs="Times New Roman"/>
          <w:sz w:val="24"/>
          <w:szCs w:val="24"/>
        </w:rPr>
        <w:t xml:space="preserve"> mass spectrum of the (Z)-9-octadecenoic acid compound at RT 22.25 in </w:t>
      </w:r>
      <w:r>
        <w:rPr>
          <w:rFonts w:ascii="Times New Roman" w:hAnsi="Times New Roman" w:cs="Times New Roman"/>
          <w:i/>
          <w:iCs/>
          <w:sz w:val="24"/>
          <w:szCs w:val="24"/>
        </w:rPr>
        <w:t xml:space="preserve">Bougainvillea spectabilis </w:t>
      </w:r>
      <w:r>
        <w:rPr>
          <w:rFonts w:ascii="Times New Roman" w:hAnsi="Times New Roman" w:cs="Times New Roman"/>
          <w:sz w:val="24"/>
          <w:szCs w:val="24"/>
        </w:rPr>
        <w:t>bark methanol extract.</w:t>
      </w:r>
    </w:p>
    <w:p w14:paraId="0F6DE0C1" w14:textId="77777777" w:rsidR="00364DED" w:rsidRDefault="00A70A1E">
      <w:pPr>
        <w:rPr>
          <w:rFonts w:ascii="Times New Roman" w:hAnsi="Times New Roman" w:cs="Times New Roman"/>
        </w:rPr>
      </w:pPr>
      <w:r>
        <w:rPr>
          <w:rFonts w:ascii="Times New Roman" w:hAnsi="Times New Roman" w:cs="Times New Roman"/>
          <w:noProof/>
        </w:rPr>
        <w:drawing>
          <wp:inline distT="0" distB="0" distL="0" distR="0" wp14:anchorId="61686414" wp14:editId="7CD42BE7">
            <wp:extent cx="3207224" cy="1511927"/>
            <wp:effectExtent l="0" t="0" r="0" b="0"/>
            <wp:docPr id="103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73" cstate="print"/>
                    <a:srcRect/>
                    <a:stretch/>
                  </pic:blipFill>
                  <pic:spPr>
                    <a:xfrm>
                      <a:off x="0" y="0"/>
                      <a:ext cx="3207224" cy="1511927"/>
                    </a:xfrm>
                    <a:prstGeom prst="rect">
                      <a:avLst/>
                    </a:prstGeom>
                    <a:ln>
                      <a:noFill/>
                    </a:ln>
                  </pic:spPr>
                </pic:pic>
              </a:graphicData>
            </a:graphic>
          </wp:inline>
        </w:drawing>
      </w:r>
    </w:p>
    <w:p w14:paraId="05541180" w14:textId="77777777" w:rsidR="00364DED" w:rsidRDefault="00A70A1E">
      <w:pPr>
        <w:autoSpaceDE w:val="0"/>
        <w:autoSpaceDN w:val="0"/>
        <w:adjustRightInd w:val="0"/>
        <w:jc w:val="both"/>
        <w:rPr>
          <w:rFonts w:ascii="Times New Roman" w:hAnsi="Times New Roman" w:cs="Times New Roman"/>
        </w:rPr>
      </w:pPr>
      <w:r>
        <w:rPr>
          <w:rFonts w:ascii="Times New Roman" w:hAnsi="Times New Roman" w:cs="Times New Roman"/>
          <w:sz w:val="24"/>
          <w:szCs w:val="24"/>
        </w:rPr>
        <w:t xml:space="preserve">Figure S3. The </w:t>
      </w:r>
      <w:proofErr w:type="gramStart"/>
      <w:r>
        <w:rPr>
          <w:rFonts w:ascii="Times New Roman" w:hAnsi="Times New Roman" w:cs="Times New Roman"/>
          <w:sz w:val="24"/>
          <w:szCs w:val="24"/>
        </w:rPr>
        <w:t>70 eV</w:t>
      </w:r>
      <w:proofErr w:type="gramEnd"/>
      <w:r>
        <w:rPr>
          <w:rFonts w:ascii="Times New Roman" w:hAnsi="Times New Roman" w:cs="Times New Roman"/>
          <w:sz w:val="24"/>
          <w:szCs w:val="24"/>
        </w:rPr>
        <w:t xml:space="preserve"> mass spectrum of the nonanal at RT 26.67 in </w:t>
      </w:r>
      <w:r>
        <w:rPr>
          <w:rFonts w:ascii="Times New Roman" w:hAnsi="Times New Roman" w:cs="Times New Roman"/>
          <w:i/>
          <w:iCs/>
          <w:sz w:val="24"/>
          <w:szCs w:val="24"/>
        </w:rPr>
        <w:t xml:space="preserve">B. spectabilis </w:t>
      </w:r>
      <w:r>
        <w:rPr>
          <w:rFonts w:ascii="Times New Roman" w:hAnsi="Times New Roman" w:cs="Times New Roman"/>
          <w:sz w:val="24"/>
          <w:szCs w:val="24"/>
        </w:rPr>
        <w:t>bark butanol extract</w:t>
      </w:r>
    </w:p>
    <w:p w14:paraId="0530169F" w14:textId="77777777" w:rsidR="00364DED" w:rsidRDefault="00364DED">
      <w:pPr>
        <w:tabs>
          <w:tab w:val="left" w:pos="2100"/>
        </w:tabs>
        <w:rPr>
          <w:rFonts w:ascii="Times New Roman" w:hAnsi="Times New Roman" w:cs="Times New Roman"/>
        </w:rPr>
      </w:pPr>
    </w:p>
    <w:p w14:paraId="20E0914E" w14:textId="77777777" w:rsidR="00364DED" w:rsidRDefault="00A70A1E">
      <w:pPr>
        <w:tabs>
          <w:tab w:val="left" w:pos="2100"/>
        </w:tabs>
        <w:rPr>
          <w:rFonts w:ascii="Times New Roman" w:hAnsi="Times New Roman" w:cs="Times New Roman"/>
        </w:rPr>
      </w:pPr>
      <w:r>
        <w:rPr>
          <w:rFonts w:ascii="Times New Roman" w:hAnsi="Times New Roman" w:cs="Times New Roman"/>
          <w:noProof/>
        </w:rPr>
        <w:lastRenderedPageBreak/>
        <w:drawing>
          <wp:inline distT="0" distB="0" distL="0" distR="0" wp14:anchorId="72A5388C" wp14:editId="477747F9">
            <wp:extent cx="3330054" cy="1609823"/>
            <wp:effectExtent l="0" t="0" r="3810" b="9525"/>
            <wp:docPr id="103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4"/>
                    <pic:cNvPicPr/>
                  </pic:nvPicPr>
                  <pic:blipFill>
                    <a:blip r:embed="rId74" cstate="print"/>
                    <a:srcRect/>
                    <a:stretch/>
                  </pic:blipFill>
                  <pic:spPr>
                    <a:xfrm>
                      <a:off x="0" y="0"/>
                      <a:ext cx="3330054" cy="1609823"/>
                    </a:xfrm>
                    <a:prstGeom prst="rect">
                      <a:avLst/>
                    </a:prstGeom>
                    <a:ln>
                      <a:noFill/>
                    </a:ln>
                  </pic:spPr>
                </pic:pic>
              </a:graphicData>
            </a:graphic>
          </wp:inline>
        </w:drawing>
      </w:r>
    </w:p>
    <w:p w14:paraId="62331202" w14:textId="77777777" w:rsidR="00364DED" w:rsidRDefault="00A70A1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Figure S4. The 70 eV mass spectrum of the (E)-2-nonenal at RT </w:t>
      </w:r>
      <w:proofErr w:type="gramStart"/>
      <w:r>
        <w:rPr>
          <w:rFonts w:ascii="Times New Roman" w:hAnsi="Times New Roman" w:cs="Times New Roman"/>
          <w:sz w:val="24"/>
          <w:szCs w:val="24"/>
        </w:rPr>
        <w:t>28.69  in</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 xml:space="preserve">B. spectabilis </w:t>
      </w:r>
      <w:r>
        <w:rPr>
          <w:rFonts w:ascii="Times New Roman" w:hAnsi="Times New Roman" w:cs="Times New Roman"/>
          <w:sz w:val="24"/>
          <w:szCs w:val="24"/>
        </w:rPr>
        <w:t>bark butanol extract.</w:t>
      </w:r>
    </w:p>
    <w:p w14:paraId="5C46CB2A" w14:textId="77777777" w:rsidR="00364DED" w:rsidRDefault="00A70A1E">
      <w:pPr>
        <w:pStyle w:val="ListParagraph"/>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10F1B3" wp14:editId="13153C7E">
            <wp:extent cx="3050275" cy="1393856"/>
            <wp:effectExtent l="0" t="0" r="0" b="0"/>
            <wp:docPr id="103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a:blip r:embed="rId75" cstate="print"/>
                    <a:srcRect/>
                    <a:stretch/>
                  </pic:blipFill>
                  <pic:spPr>
                    <a:xfrm>
                      <a:off x="0" y="0"/>
                      <a:ext cx="3050275" cy="1393856"/>
                    </a:xfrm>
                    <a:prstGeom prst="rect">
                      <a:avLst/>
                    </a:prstGeom>
                    <a:ln>
                      <a:noFill/>
                    </a:ln>
                  </pic:spPr>
                </pic:pic>
              </a:graphicData>
            </a:graphic>
          </wp:inline>
        </w:drawing>
      </w:r>
    </w:p>
    <w:p w14:paraId="22ECEE70" w14:textId="77777777" w:rsidR="00364DED" w:rsidRDefault="00A70A1E">
      <w:pPr>
        <w:pStyle w:val="ListParagraph"/>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Figure S5. The </w:t>
      </w:r>
      <w:proofErr w:type="gramStart"/>
      <w:r>
        <w:rPr>
          <w:rFonts w:ascii="Times New Roman" w:hAnsi="Times New Roman" w:cs="Times New Roman"/>
          <w:sz w:val="24"/>
          <w:szCs w:val="24"/>
        </w:rPr>
        <w:t>70 eV</w:t>
      </w:r>
      <w:proofErr w:type="gramEnd"/>
      <w:r>
        <w:rPr>
          <w:rFonts w:ascii="Times New Roman" w:hAnsi="Times New Roman" w:cs="Times New Roman"/>
          <w:sz w:val="24"/>
          <w:szCs w:val="24"/>
        </w:rPr>
        <w:t xml:space="preserve"> mass spectrum of the (E)-2-decenal, RT 19.91 in </w:t>
      </w:r>
      <w:r>
        <w:rPr>
          <w:rFonts w:ascii="Times New Roman" w:hAnsi="Times New Roman" w:cs="Times New Roman"/>
          <w:i/>
          <w:iCs/>
          <w:sz w:val="24"/>
          <w:szCs w:val="24"/>
        </w:rPr>
        <w:t>B. spectabilis</w:t>
      </w:r>
      <w:r>
        <w:rPr>
          <w:rFonts w:ascii="Times New Roman" w:hAnsi="Times New Roman" w:cs="Times New Roman"/>
          <w:sz w:val="24"/>
          <w:szCs w:val="24"/>
        </w:rPr>
        <w:t xml:space="preserve"> bark acetone extract.</w:t>
      </w:r>
    </w:p>
    <w:p w14:paraId="768412E7" w14:textId="77777777" w:rsidR="00364DED" w:rsidRDefault="00A70A1E">
      <w:pPr>
        <w:tabs>
          <w:tab w:val="left" w:pos="2960"/>
        </w:tabs>
        <w:rPr>
          <w:rFonts w:ascii="Times New Roman" w:hAnsi="Times New Roman" w:cs="Times New Roman"/>
        </w:rPr>
      </w:pPr>
      <w:r>
        <w:rPr>
          <w:rFonts w:ascii="Times New Roman" w:hAnsi="Times New Roman" w:cs="Times New Roman"/>
          <w:noProof/>
        </w:rPr>
        <w:drawing>
          <wp:inline distT="0" distB="0" distL="0" distR="0" wp14:anchorId="30BE66CC" wp14:editId="137A5C5B">
            <wp:extent cx="3330054" cy="1501020"/>
            <wp:effectExtent l="0" t="0" r="3810" b="4445"/>
            <wp:docPr id="103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6"/>
                    <pic:cNvPicPr/>
                  </pic:nvPicPr>
                  <pic:blipFill>
                    <a:blip r:embed="rId76" cstate="print"/>
                    <a:srcRect/>
                    <a:stretch/>
                  </pic:blipFill>
                  <pic:spPr>
                    <a:xfrm>
                      <a:off x="0" y="0"/>
                      <a:ext cx="3330054" cy="1501020"/>
                    </a:xfrm>
                    <a:prstGeom prst="rect">
                      <a:avLst/>
                    </a:prstGeom>
                    <a:ln>
                      <a:noFill/>
                    </a:ln>
                  </pic:spPr>
                </pic:pic>
              </a:graphicData>
            </a:graphic>
          </wp:inline>
        </w:drawing>
      </w:r>
    </w:p>
    <w:p w14:paraId="43D62E6A" w14:textId="77777777" w:rsidR="00364DED" w:rsidRDefault="00A70A1E">
      <w:pPr>
        <w:pStyle w:val="ListParagraph"/>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Figure S6. The </w:t>
      </w:r>
      <w:proofErr w:type="gramStart"/>
      <w:r>
        <w:rPr>
          <w:rFonts w:ascii="Times New Roman" w:hAnsi="Times New Roman" w:cs="Times New Roman"/>
          <w:sz w:val="24"/>
          <w:szCs w:val="24"/>
        </w:rPr>
        <w:t>70 eV</w:t>
      </w:r>
      <w:proofErr w:type="gramEnd"/>
      <w:r>
        <w:rPr>
          <w:rFonts w:ascii="Times New Roman" w:hAnsi="Times New Roman" w:cs="Times New Roman"/>
          <w:sz w:val="24"/>
          <w:szCs w:val="24"/>
        </w:rPr>
        <w:t xml:space="preserve"> mass spectrum of the (E)-2-undecenal RT 25.59 in </w:t>
      </w:r>
      <w:r>
        <w:rPr>
          <w:rFonts w:ascii="Times New Roman" w:hAnsi="Times New Roman" w:cs="Times New Roman"/>
          <w:i/>
          <w:iCs/>
          <w:sz w:val="24"/>
          <w:szCs w:val="24"/>
        </w:rPr>
        <w:t>B. spectabilis</w:t>
      </w:r>
      <w:r>
        <w:rPr>
          <w:rFonts w:ascii="Times New Roman" w:hAnsi="Times New Roman" w:cs="Times New Roman"/>
          <w:sz w:val="24"/>
          <w:szCs w:val="24"/>
        </w:rPr>
        <w:t xml:space="preserve"> bark acetone extract.</w:t>
      </w:r>
    </w:p>
    <w:p w14:paraId="0ABF7426" w14:textId="77777777" w:rsidR="00364DED" w:rsidRDefault="00A70A1E">
      <w:pPr>
        <w:tabs>
          <w:tab w:val="left" w:pos="1850"/>
        </w:tabs>
        <w:rPr>
          <w:rFonts w:ascii="Times New Roman" w:hAnsi="Times New Roman" w:cs="Times New Roman"/>
        </w:rPr>
      </w:pPr>
      <w:r>
        <w:rPr>
          <w:rFonts w:ascii="Times New Roman" w:hAnsi="Times New Roman" w:cs="Times New Roman"/>
          <w:noProof/>
        </w:rPr>
        <w:drawing>
          <wp:inline distT="0" distB="0" distL="0" distR="0" wp14:anchorId="5835C408" wp14:editId="21AE50DB">
            <wp:extent cx="2968388" cy="1314345"/>
            <wp:effectExtent l="0" t="0" r="3810" b="635"/>
            <wp:docPr id="103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7"/>
                    <pic:cNvPicPr/>
                  </pic:nvPicPr>
                  <pic:blipFill>
                    <a:blip r:embed="rId77" cstate="print"/>
                    <a:srcRect/>
                    <a:stretch/>
                  </pic:blipFill>
                  <pic:spPr>
                    <a:xfrm>
                      <a:off x="0" y="0"/>
                      <a:ext cx="2968388" cy="1314345"/>
                    </a:xfrm>
                    <a:prstGeom prst="rect">
                      <a:avLst/>
                    </a:prstGeom>
                    <a:ln>
                      <a:noFill/>
                    </a:ln>
                  </pic:spPr>
                </pic:pic>
              </a:graphicData>
            </a:graphic>
          </wp:inline>
        </w:drawing>
      </w:r>
    </w:p>
    <w:p w14:paraId="6DD78EE6" w14:textId="77777777" w:rsidR="00364DED" w:rsidRDefault="00A70A1E">
      <w:pPr>
        <w:pStyle w:val="ListParagraph"/>
        <w:tabs>
          <w:tab w:val="left" w:pos="1850"/>
        </w:tabs>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Figure S7. The </w:t>
      </w:r>
      <w:proofErr w:type="gramStart"/>
      <w:r>
        <w:rPr>
          <w:rFonts w:ascii="Times New Roman" w:hAnsi="Times New Roman" w:cs="Times New Roman"/>
          <w:sz w:val="24"/>
          <w:szCs w:val="24"/>
        </w:rPr>
        <w:t>70 eV</w:t>
      </w:r>
      <w:proofErr w:type="gramEnd"/>
      <w:r>
        <w:rPr>
          <w:rFonts w:ascii="Times New Roman" w:hAnsi="Times New Roman" w:cs="Times New Roman"/>
          <w:sz w:val="24"/>
          <w:szCs w:val="24"/>
        </w:rPr>
        <w:t xml:space="preserve"> mass spectrum of the cis-1,3-dimethylcyclohexane at RT 3.63 in </w:t>
      </w:r>
      <w:r>
        <w:rPr>
          <w:rFonts w:ascii="Times New Roman" w:hAnsi="Times New Roman" w:cs="Times New Roman"/>
          <w:i/>
          <w:iCs/>
          <w:sz w:val="24"/>
          <w:szCs w:val="24"/>
        </w:rPr>
        <w:t>B. spectabilis</w:t>
      </w:r>
      <w:r>
        <w:rPr>
          <w:rFonts w:ascii="Times New Roman" w:hAnsi="Times New Roman" w:cs="Times New Roman"/>
          <w:sz w:val="24"/>
          <w:szCs w:val="24"/>
        </w:rPr>
        <w:t xml:space="preserve"> wood essential oil.</w:t>
      </w:r>
    </w:p>
    <w:p w14:paraId="0191F722" w14:textId="77777777" w:rsidR="00364DED" w:rsidRDefault="00364DED">
      <w:pPr>
        <w:pStyle w:val="ListParagraph"/>
        <w:tabs>
          <w:tab w:val="left" w:pos="1850"/>
        </w:tabs>
        <w:ind w:left="0"/>
        <w:rPr>
          <w:rFonts w:ascii="Times New Roman" w:hAnsi="Times New Roman" w:cs="Times New Roman"/>
        </w:rPr>
      </w:pPr>
    </w:p>
    <w:p w14:paraId="57C28447" w14:textId="77777777" w:rsidR="00364DED" w:rsidRDefault="00A70A1E">
      <w:pPr>
        <w:rPr>
          <w:rFonts w:ascii="Times New Roman" w:hAnsi="Times New Roman" w:cs="Times New Roman"/>
          <w:sz w:val="24"/>
          <w:szCs w:val="24"/>
        </w:rPr>
      </w:pPr>
      <w:r>
        <w:rPr>
          <w:rFonts w:ascii="Times New Roman" w:hAnsi="Times New Roman" w:cs="Times New Roman"/>
          <w:noProof/>
        </w:rPr>
        <w:drawing>
          <wp:inline distT="0" distB="0" distL="0" distR="0" wp14:anchorId="3760B541" wp14:editId="14165456">
            <wp:extent cx="2886502" cy="1267470"/>
            <wp:effectExtent l="0" t="0" r="9525" b="8890"/>
            <wp:docPr id="103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8"/>
                    <pic:cNvPicPr/>
                  </pic:nvPicPr>
                  <pic:blipFill>
                    <a:blip r:embed="rId78" cstate="print"/>
                    <a:srcRect/>
                    <a:stretch/>
                  </pic:blipFill>
                  <pic:spPr>
                    <a:xfrm>
                      <a:off x="0" y="0"/>
                      <a:ext cx="2886502" cy="1267470"/>
                    </a:xfrm>
                    <a:prstGeom prst="rect">
                      <a:avLst/>
                    </a:prstGeom>
                    <a:ln>
                      <a:noFill/>
                    </a:ln>
                  </pic:spPr>
                </pic:pic>
              </a:graphicData>
            </a:graphic>
          </wp:inline>
        </w:drawing>
      </w:r>
    </w:p>
    <w:p w14:paraId="5C598916" w14:textId="77777777" w:rsidR="00364DED" w:rsidRDefault="00A70A1E">
      <w:pPr>
        <w:jc w:val="both"/>
        <w:rPr>
          <w:rFonts w:ascii="Times New Roman" w:hAnsi="Times New Roman" w:cs="Times New Roman"/>
          <w:sz w:val="24"/>
          <w:szCs w:val="24"/>
        </w:rPr>
      </w:pPr>
      <w:r>
        <w:rPr>
          <w:rFonts w:ascii="Times New Roman" w:hAnsi="Times New Roman" w:cs="Times New Roman"/>
          <w:sz w:val="24"/>
          <w:szCs w:val="24"/>
        </w:rPr>
        <w:t xml:space="preserve">Figure S8. The </w:t>
      </w:r>
      <w:proofErr w:type="gramStart"/>
      <w:r>
        <w:rPr>
          <w:rFonts w:ascii="Times New Roman" w:hAnsi="Times New Roman" w:cs="Times New Roman"/>
          <w:sz w:val="24"/>
          <w:szCs w:val="24"/>
        </w:rPr>
        <w:t>70 eV</w:t>
      </w:r>
      <w:proofErr w:type="gramEnd"/>
      <w:r>
        <w:rPr>
          <w:rFonts w:ascii="Times New Roman" w:hAnsi="Times New Roman" w:cs="Times New Roman"/>
          <w:sz w:val="24"/>
          <w:szCs w:val="24"/>
        </w:rPr>
        <w:t xml:space="preserve"> mass spectrum of the 1,3,5-cycloheptatriene RT 4.83 in </w:t>
      </w:r>
      <w:r>
        <w:rPr>
          <w:rFonts w:ascii="Times New Roman" w:hAnsi="Times New Roman" w:cs="Times New Roman"/>
          <w:i/>
          <w:iCs/>
          <w:sz w:val="24"/>
          <w:szCs w:val="24"/>
        </w:rPr>
        <w:t>B. spectabilis</w:t>
      </w:r>
      <w:r>
        <w:rPr>
          <w:rFonts w:ascii="Times New Roman" w:hAnsi="Times New Roman" w:cs="Times New Roman"/>
          <w:sz w:val="24"/>
          <w:szCs w:val="24"/>
        </w:rPr>
        <w:t xml:space="preserve"> wood essential oil.</w:t>
      </w:r>
    </w:p>
    <w:p w14:paraId="71ECE881" w14:textId="77777777" w:rsidR="00364DED" w:rsidRDefault="00364DED"/>
    <w:sectPr w:rsidR="00364DED" w:rsidSect="00A2210F">
      <w:headerReference w:type="even" r:id="rId79"/>
      <w:headerReference w:type="default" r:id="rId80"/>
      <w:footerReference w:type="even" r:id="rId81"/>
      <w:footerReference w:type="default" r:id="rId82"/>
      <w:headerReference w:type="first" r:id="rId83"/>
      <w:footerReference w:type="first" r:id="rId84"/>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BC8494" w14:textId="77777777" w:rsidR="00F90D66" w:rsidRDefault="00F90D66">
      <w:pPr>
        <w:spacing w:after="0" w:line="240" w:lineRule="auto"/>
      </w:pPr>
      <w:r>
        <w:separator/>
      </w:r>
    </w:p>
  </w:endnote>
  <w:endnote w:type="continuationSeparator" w:id="0">
    <w:p w14:paraId="720EBE99" w14:textId="77777777" w:rsidR="00F90D66" w:rsidRDefault="00F90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rdia New">
    <w:altName w:val="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PalatinoLinotype,Bold">
    <w:altName w:val="Times New Roman"/>
    <w:charset w:val="00"/>
    <w:family w:val="roman"/>
    <w:pitch w:val="default"/>
    <w:sig w:usb0="00000003" w:usb1="00000000" w:usb2="00000000" w:usb3="00000000" w:csb0="00000001" w:csb1="00000000"/>
  </w:font>
  <w:font w:name="PalatinoLinotype">
    <w:altName w:val="Times New Roman"/>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2C620" w14:textId="77777777" w:rsidR="00465C2A" w:rsidRDefault="00465C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B8F27" w14:textId="77777777" w:rsidR="00364DED" w:rsidRDefault="00A70A1E">
    <w:pPr>
      <w:pStyle w:val="Footer"/>
      <w:jc w:val="center"/>
    </w:pPr>
    <w:r>
      <w:fldChar w:fldCharType="begin"/>
    </w:r>
    <w:r>
      <w:instrText xml:space="preserve"> PAGE   \* MERGEFORMAT </w:instrText>
    </w:r>
    <w:r>
      <w:fldChar w:fldCharType="separate"/>
    </w:r>
    <w:r>
      <w:rPr>
        <w:noProof/>
      </w:rPr>
      <w:t>20</w:t>
    </w:r>
    <w:r>
      <w:rPr>
        <w:noProof/>
      </w:rPr>
      <w:fldChar w:fldCharType="end"/>
    </w:r>
  </w:p>
  <w:p w14:paraId="6ECF9F89" w14:textId="77777777" w:rsidR="00364DED" w:rsidRDefault="00364D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0DE8F" w14:textId="77777777" w:rsidR="00465C2A" w:rsidRDefault="00465C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A8E739" w14:textId="77777777" w:rsidR="00F90D66" w:rsidRDefault="00F90D66">
      <w:pPr>
        <w:spacing w:after="0" w:line="240" w:lineRule="auto"/>
      </w:pPr>
      <w:r>
        <w:separator/>
      </w:r>
    </w:p>
  </w:footnote>
  <w:footnote w:type="continuationSeparator" w:id="0">
    <w:p w14:paraId="37E216D0" w14:textId="77777777" w:rsidR="00F90D66" w:rsidRDefault="00F90D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2209B" w14:textId="177B6F19" w:rsidR="00465C2A" w:rsidRDefault="00F90D66">
    <w:pPr>
      <w:pStyle w:val="Header"/>
    </w:pPr>
    <w:r>
      <w:rPr>
        <w:noProof/>
      </w:rPr>
      <w:pict w14:anchorId="563703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8514376" o:spid="_x0000_s2050" type="#_x0000_t136" style="position:absolute;margin-left:0;margin-top:0;width:558.2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4D6CF" w14:textId="1D91B2DF" w:rsidR="00465C2A" w:rsidRDefault="00F90D66">
    <w:pPr>
      <w:pStyle w:val="Header"/>
    </w:pPr>
    <w:r>
      <w:rPr>
        <w:noProof/>
      </w:rPr>
      <w:pict w14:anchorId="2D4726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8514377" o:spid="_x0000_s2051" type="#_x0000_t136" style="position:absolute;margin-left:0;margin-top:0;width:558.2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3FC81" w14:textId="6882F9F0" w:rsidR="00465C2A" w:rsidRDefault="00F90D66">
    <w:pPr>
      <w:pStyle w:val="Header"/>
    </w:pPr>
    <w:r>
      <w:rPr>
        <w:noProof/>
      </w:rPr>
      <w:pict w14:anchorId="25C3ED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8514375" o:spid="_x0000_s2049" type="#_x0000_t136" style="position:absolute;margin-left:0;margin-top:0;width:558.2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8C0E9658"/>
    <w:lvl w:ilvl="0" w:tplc="3AD694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3C8E7E72"/>
    <w:lvl w:ilvl="0" w:tplc="2054B0F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hybridMultilevel"/>
    <w:tmpl w:val="8C0E9658"/>
    <w:lvl w:ilvl="0" w:tplc="3AD694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hybridMultilevel"/>
    <w:tmpl w:val="DB40A508"/>
    <w:lvl w:ilvl="0" w:tplc="2B92EEB2">
      <w:start w:val="1"/>
      <w:numFmt w:val="decimal"/>
      <w:lvlText w:val="(%1)"/>
      <w:lvlJc w:val="left"/>
      <w:pPr>
        <w:ind w:left="1482" w:hanging="915"/>
      </w:pPr>
      <w:rPr>
        <w:rFonts w:ascii="Georgia" w:hAnsi="Georgia" w:hint="default"/>
        <w:color w:val="1F1F1F"/>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13054EC7"/>
    <w:multiLevelType w:val="hybridMultilevel"/>
    <w:tmpl w:val="7DE2D1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E05F72"/>
    <w:multiLevelType w:val="hybridMultilevel"/>
    <w:tmpl w:val="3C8E7E72"/>
    <w:lvl w:ilvl="0" w:tplc="2054B0F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4DED"/>
    <w:rsid w:val="00012344"/>
    <w:rsid w:val="00084EFE"/>
    <w:rsid w:val="00094808"/>
    <w:rsid w:val="00121EB0"/>
    <w:rsid w:val="001A07E8"/>
    <w:rsid w:val="00364DED"/>
    <w:rsid w:val="00433E32"/>
    <w:rsid w:val="00465C2A"/>
    <w:rsid w:val="00686543"/>
    <w:rsid w:val="00713412"/>
    <w:rsid w:val="00734CEA"/>
    <w:rsid w:val="007E570E"/>
    <w:rsid w:val="009141F5"/>
    <w:rsid w:val="00A2210F"/>
    <w:rsid w:val="00A40D94"/>
    <w:rsid w:val="00A70A1E"/>
    <w:rsid w:val="00B510D5"/>
    <w:rsid w:val="00B662DF"/>
    <w:rsid w:val="00C5692C"/>
    <w:rsid w:val="00EB03D3"/>
    <w:rsid w:val="00F90D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EE6D348"/>
  <w15:docId w15:val="{08490735-E215-4928-9E22-EB93279F0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Cambria" w:eastAsia="SimSun" w:hAnsi="Cambria" w:cs="Times New Roman"/>
      <w:color w:val="365F91"/>
      <w:sz w:val="32"/>
      <w:szCs w:val="32"/>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mbria" w:eastAsia="SimSun" w:hAnsi="Cambria" w:cs="Times New Roman"/>
      <w:b/>
      <w:bCs/>
      <w:color w:val="4F81BD"/>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Cambria" w:eastAsia="SimSun" w:hAnsi="Cambria" w:cs="Times New Roman"/>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paragraph" w:styleId="ListParagraph">
    <w:name w:val="List Paragraph"/>
    <w:basedOn w:val="Normal"/>
    <w:link w:val="ListParagraphChar"/>
    <w:uiPriority w:val="34"/>
    <w:qFormat/>
    <w:pPr>
      <w:ind w:left="720"/>
      <w:contextualSpacing/>
    </w:pPr>
  </w:style>
  <w:style w:type="paragraph" w:styleId="NoSpacing">
    <w:name w:val="No Spacing"/>
    <w:uiPriority w:val="1"/>
    <w:qFormat/>
    <w:pPr>
      <w:spacing w:after="0" w:line="240" w:lineRule="auto"/>
    </w:pPr>
  </w:style>
  <w:style w:type="paragraph" w:customStyle="1" w:styleId="EndNoteBibliographyTitle">
    <w:name w:val="EndNote Bibliography Title"/>
    <w:basedOn w:val="Normal"/>
    <w:link w:val="EndNoteBibliographyTitleChar"/>
    <w:pPr>
      <w:spacing w:after="0"/>
      <w:jc w:val="center"/>
    </w:pPr>
    <w:rPr>
      <w:rFonts w:ascii="Times New Roman" w:hAnsi="Times New Roman" w:cs="Times New Roman"/>
      <w:noProof/>
      <w:sz w:val="24"/>
    </w:rPr>
  </w:style>
  <w:style w:type="character" w:customStyle="1" w:styleId="ListParagraphChar">
    <w:name w:val="List Paragraph Char"/>
    <w:basedOn w:val="DefaultParagraphFont"/>
    <w:link w:val="ListParagraph"/>
    <w:uiPriority w:val="34"/>
    <w:rPr>
      <w:rFonts w:ascii="Calibri" w:eastAsia="Calibri" w:hAnsi="Calibri" w:cs="Arial"/>
    </w:rPr>
  </w:style>
  <w:style w:type="character" w:customStyle="1" w:styleId="EndNoteBibliographyTitleChar">
    <w:name w:val="EndNote Bibliography Title Char"/>
    <w:basedOn w:val="ListParagraphChar"/>
    <w:link w:val="EndNoteBibliographyTitle"/>
    <w:rPr>
      <w:rFonts w:ascii="Times New Roman" w:eastAsia="Calibri" w:hAnsi="Times New Roman" w:cs="Times New Roman"/>
      <w:noProof/>
      <w:sz w:val="24"/>
    </w:rPr>
  </w:style>
  <w:style w:type="paragraph" w:customStyle="1" w:styleId="EndNoteBibliography">
    <w:name w:val="EndNote Bibliography"/>
    <w:basedOn w:val="Normal"/>
    <w:link w:val="EndNoteBibliographyChar"/>
    <w:pPr>
      <w:spacing w:line="240" w:lineRule="auto"/>
      <w:jc w:val="both"/>
    </w:pPr>
    <w:rPr>
      <w:rFonts w:ascii="Times New Roman" w:hAnsi="Times New Roman" w:cs="Times New Roman"/>
      <w:noProof/>
      <w:sz w:val="24"/>
    </w:rPr>
  </w:style>
  <w:style w:type="character" w:customStyle="1" w:styleId="EndNoteBibliographyChar">
    <w:name w:val="EndNote Bibliography Char"/>
    <w:basedOn w:val="ListParagraphChar"/>
    <w:link w:val="EndNoteBibliography"/>
    <w:rPr>
      <w:rFonts w:ascii="Times New Roman" w:eastAsia="Calibri" w:hAnsi="Times New Roman" w:cs="Times New Roman"/>
      <w:noProof/>
      <w:sz w:val="24"/>
    </w:rPr>
  </w:style>
  <w:style w:type="character" w:styleId="Hyperlink">
    <w:name w:val="Hyperlink"/>
    <w:basedOn w:val="DefaultParagraphFont"/>
    <w:uiPriority w:val="99"/>
    <w:rPr>
      <w:color w:val="0000FF"/>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Arial"/>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eastAsia="Calibri" w:hAnsi="Calibri" w:cs="Arial"/>
    </w:rPr>
  </w:style>
  <w:style w:type="character" w:styleId="FollowedHyperlink">
    <w:name w:val="FollowedHyperlink"/>
    <w:basedOn w:val="DefaultParagraphFont"/>
    <w:uiPriority w:val="99"/>
    <w:rPr>
      <w:color w:val="800080"/>
      <w:u w:val="single"/>
    </w:rPr>
  </w:style>
  <w:style w:type="character" w:customStyle="1" w:styleId="Heading1Char">
    <w:name w:val="Heading 1 Char"/>
    <w:basedOn w:val="DefaultParagraphFont"/>
    <w:link w:val="Heading1"/>
    <w:uiPriority w:val="9"/>
    <w:rPr>
      <w:rFonts w:ascii="Cambria" w:eastAsia="SimSun" w:hAnsi="Cambria" w:cs="Times New Roman"/>
      <w:color w:val="365F91"/>
      <w:sz w:val="32"/>
      <w:szCs w:val="32"/>
    </w:rPr>
  </w:style>
  <w:style w:type="paragraph" w:customStyle="1" w:styleId="MDPI31text">
    <w:name w:val="MDPI_3.1_text"/>
    <w:link w:val="MDPI31textChar"/>
    <w:qFormat/>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eastAsia="de-DE" w:bidi="en-US"/>
    </w:rPr>
  </w:style>
  <w:style w:type="character" w:customStyle="1" w:styleId="MDPI31textChar">
    <w:name w:val="MDPI_3.1_text Char"/>
    <w:basedOn w:val="DefaultParagraphFont"/>
    <w:link w:val="MDPI31text"/>
    <w:rPr>
      <w:rFonts w:ascii="Palatino Linotype" w:eastAsia="Times New Roman" w:hAnsi="Palatino Linotype" w:cs="Times New Roman"/>
      <w:snapToGrid w:val="0"/>
      <w:color w:val="000000"/>
      <w:sz w:val="20"/>
      <w:lang w:eastAsia="de-DE" w:bidi="en-US"/>
    </w:rPr>
  </w:style>
  <w:style w:type="character" w:customStyle="1" w:styleId="Heading3Char">
    <w:name w:val="Heading 3 Char"/>
    <w:basedOn w:val="DefaultParagraphFont"/>
    <w:link w:val="Heading3"/>
    <w:uiPriority w:val="9"/>
    <w:rPr>
      <w:rFonts w:ascii="Cambria" w:eastAsia="SimSun" w:hAnsi="Cambria" w:cs="Times New Roman"/>
      <w:color w:val="243F60"/>
      <w:sz w:val="24"/>
      <w:szCs w:val="24"/>
    </w:rPr>
  </w:style>
  <w:style w:type="paragraph" w:customStyle="1" w:styleId="BioresourcesBody">
    <w:name w:val="_Bioresources Body"/>
    <w:basedOn w:val="Normal"/>
    <w:link w:val="BioresourcesBodyChar"/>
    <w:qFormat/>
    <w:pPr>
      <w:spacing w:after="0" w:line="240" w:lineRule="auto"/>
      <w:jc w:val="both"/>
    </w:pPr>
    <w:rPr>
      <w:rFonts w:ascii="Times New Roman" w:eastAsia="Times New Roman" w:hAnsi="Times New Roman" w:cs="Times New Roman"/>
      <w:sz w:val="24"/>
      <w:szCs w:val="24"/>
    </w:rPr>
  </w:style>
  <w:style w:type="character" w:customStyle="1" w:styleId="BioresourcesBodyChar">
    <w:name w:val="_Bioresources Body Char"/>
    <w:link w:val="BioresourcesBody"/>
    <w:rPr>
      <w:rFonts w:ascii="Times New Roman" w:eastAsia="Times New Roman" w:hAnsi="Times New Roman" w:cs="Times New Roman"/>
      <w:sz w:val="24"/>
      <w:szCs w:val="24"/>
    </w:rPr>
  </w:style>
  <w:style w:type="character" w:customStyle="1" w:styleId="ref-journal">
    <w:name w:val="ref-journal"/>
    <w:basedOn w:val="DefaultParagraphFont"/>
  </w:style>
  <w:style w:type="paragraph" w:customStyle="1" w:styleId="Default">
    <w:name w:val="Default"/>
    <w:pPr>
      <w:autoSpaceDE w:val="0"/>
      <w:autoSpaceDN w:val="0"/>
      <w:adjustRightInd w:val="0"/>
      <w:spacing w:after="0" w:line="240" w:lineRule="auto"/>
    </w:pPr>
    <w:rPr>
      <w:rFonts w:ascii="Cambria" w:hAnsi="Cambria" w:cs="Cambria"/>
      <w:color w:val="000000"/>
      <w:sz w:val="24"/>
      <w:szCs w:val="24"/>
    </w:rPr>
  </w:style>
  <w:style w:type="character" w:styleId="LineNumber">
    <w:name w:val="line number"/>
    <w:basedOn w:val="DefaultParagraphFont"/>
    <w:uiPriority w:val="99"/>
  </w:style>
  <w:style w:type="paragraph" w:customStyle="1" w:styleId="MDPI43tablefooter">
    <w:name w:val="MDPI_4.3_table_footer"/>
    <w:next w:val="MDPI31text"/>
    <w:qFormat/>
    <w:pPr>
      <w:adjustRightInd w:val="0"/>
      <w:snapToGrid w:val="0"/>
      <w:spacing w:after="0" w:line="228" w:lineRule="auto"/>
      <w:ind w:left="2608"/>
      <w:jc w:val="both"/>
    </w:pPr>
    <w:rPr>
      <w:rFonts w:ascii="Palatino Linotype" w:eastAsia="Times New Roman" w:hAnsi="Palatino Linotype" w:cs="Cordia New"/>
      <w:color w:val="000000"/>
      <w:sz w:val="18"/>
      <w:lang w:eastAsia="de-DE" w:bidi="en-US"/>
    </w:rPr>
  </w:style>
  <w:style w:type="character" w:customStyle="1" w:styleId="topic-highlight">
    <w:name w:val="topic-highlight"/>
    <w:basedOn w:val="DefaultParagraphFont"/>
  </w:style>
  <w:style w:type="character" w:customStyle="1" w:styleId="Heading2Char">
    <w:name w:val="Heading 2 Char"/>
    <w:basedOn w:val="DefaultParagraphFont"/>
    <w:link w:val="Heading2"/>
    <w:uiPriority w:val="9"/>
    <w:rPr>
      <w:rFonts w:ascii="Cambria" w:eastAsia="SimSun" w:hAnsi="Cambria" w:cs="Times New Roman"/>
      <w:b/>
      <w:bCs/>
      <w:color w:val="4F81BD"/>
      <w:sz w:val="26"/>
      <w:szCs w:val="26"/>
    </w:rPr>
  </w:style>
  <w:style w:type="character" w:customStyle="1" w:styleId="anchor-text">
    <w:name w:val="anchor-text"/>
    <w:basedOn w:val="DefaultParagraphFont"/>
  </w:style>
  <w:style w:type="character" w:customStyle="1" w:styleId="react-xocs-alternative-link">
    <w:name w:val="react-xocs-alternative-link"/>
    <w:basedOn w:val="DefaultParagraphFont"/>
  </w:style>
  <w:style w:type="character" w:customStyle="1" w:styleId="given-name">
    <w:name w:val="given-name"/>
    <w:basedOn w:val="DefaultParagraphFont"/>
  </w:style>
  <w:style w:type="character" w:customStyle="1" w:styleId="text">
    <w:name w:val="text"/>
    <w:basedOn w:val="DefaultParagraphFont"/>
  </w:style>
  <w:style w:type="character" w:styleId="UnresolvedMention">
    <w:name w:val="Unresolved Mention"/>
    <w:basedOn w:val="DefaultParagraphFont"/>
    <w:uiPriority w:val="99"/>
    <w:semiHidden/>
    <w:unhideWhenUsed/>
    <w:rsid w:val="007E57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https://doi.org/10.3390/pr8030275" TargetMode="External"/><Relationship Id="rId21" Type="http://schemas.openxmlformats.org/officeDocument/2006/relationships/hyperlink" Target="https://doi.org/10.1007/s10457-018-0324-5" TargetMode="External"/><Relationship Id="rId42" Type="http://schemas.openxmlformats.org/officeDocument/2006/relationships/hyperlink" Target="https://doi.org/https://doi.org/10.1016/j.ibiod.2015.02.009" TargetMode="External"/><Relationship Id="rId47" Type="http://schemas.openxmlformats.org/officeDocument/2006/relationships/hyperlink" Target="https://doi.org/10.1007/s13399-023-05106-8" TargetMode="External"/><Relationship Id="rId63" Type="http://schemas.openxmlformats.org/officeDocument/2006/relationships/hyperlink" Target="https://doi.org/10.1093/molbev/msab120" TargetMode="External"/><Relationship Id="rId68" Type="http://schemas.openxmlformats.org/officeDocument/2006/relationships/hyperlink" Target="https://doi.org/https://doi.org/10.1111/j.1750-3841.2007.00527.x" TargetMode="External"/><Relationship Id="rId84" Type="http://schemas.openxmlformats.org/officeDocument/2006/relationships/footer" Target="footer3.xml"/><Relationship Id="rId16" Type="http://schemas.openxmlformats.org/officeDocument/2006/relationships/hyperlink" Target="https://doi.org/10.1007/s13399-024-05675-2" TargetMode="External"/><Relationship Id="rId11" Type="http://schemas.openxmlformats.org/officeDocument/2006/relationships/image" Target="media/image2.emf"/><Relationship Id="rId32" Type="http://schemas.openxmlformats.org/officeDocument/2006/relationships/hyperlink" Target="https://doi.org/10.1021/acs.analchem.5b02938" TargetMode="External"/><Relationship Id="rId37" Type="http://schemas.openxmlformats.org/officeDocument/2006/relationships/hyperlink" Target="https://doi.org/https://doi.org/10.1016/S2221-1691(12)60337-2" TargetMode="External"/><Relationship Id="rId53" Type="http://schemas.openxmlformats.org/officeDocument/2006/relationships/hyperlink" Target="https://doi.org/https://doi.org/10.1016/j.micpath.2021.105107" TargetMode="External"/><Relationship Id="rId58" Type="http://schemas.openxmlformats.org/officeDocument/2006/relationships/hyperlink" Target="https://doi.org/10.1080/14786410310001630609" TargetMode="External"/><Relationship Id="rId74" Type="http://schemas.openxmlformats.org/officeDocument/2006/relationships/image" Target="media/image8.png"/><Relationship Id="rId79" Type="http://schemas.openxmlformats.org/officeDocument/2006/relationships/header" Target="header1.xml"/><Relationship Id="rId5" Type="http://schemas.openxmlformats.org/officeDocument/2006/relationships/styles" Target="styles.xml"/><Relationship Id="rId19" Type="http://schemas.openxmlformats.org/officeDocument/2006/relationships/hyperlink" Target="https://doi.org/10.1155/2017/4602952" TargetMode="External"/><Relationship Id="rId14" Type="http://schemas.openxmlformats.org/officeDocument/2006/relationships/hyperlink" Target="https://doi.org/10.1155/2018/9070927" TargetMode="External"/><Relationship Id="rId22" Type="http://schemas.openxmlformats.org/officeDocument/2006/relationships/hyperlink" Target="https://doi.org/https://doi.org/10.3390/pr8040482" TargetMode="External"/><Relationship Id="rId27" Type="http://schemas.openxmlformats.org/officeDocument/2006/relationships/hyperlink" Target="https://doi.org/https://doi.org/10.3390/plants10122563" TargetMode="External"/><Relationship Id="rId30" Type="http://schemas.openxmlformats.org/officeDocument/2006/relationships/hyperlink" Target="https://doi.org/10.1094/PHYTO-08-18-0320-RVW" TargetMode="External"/><Relationship Id="rId35" Type="http://schemas.openxmlformats.org/officeDocument/2006/relationships/hyperlink" Target="https://doi.org/10.15376/biores.11.1.1505-151" TargetMode="External"/><Relationship Id="rId43" Type="http://schemas.openxmlformats.org/officeDocument/2006/relationships/hyperlink" Target="https://doi.org/10.1023/A:1008660500107" TargetMode="External"/><Relationship Id="rId48" Type="http://schemas.openxmlformats.org/officeDocument/2006/relationships/hyperlink" Target="https://doi.org/https://doi.org/10.1016/j.corsci.2011.12.005" TargetMode="External"/><Relationship Id="rId56" Type="http://schemas.openxmlformats.org/officeDocument/2006/relationships/hyperlink" Target="https://doi.org/10.1007/s10086-016-1583-2" TargetMode="External"/><Relationship Id="rId64" Type="http://schemas.openxmlformats.org/officeDocument/2006/relationships/hyperlink" Target="https://doi.org/https://doi.org/10.1002/wcms.1161" TargetMode="External"/><Relationship Id="rId69" Type="http://schemas.openxmlformats.org/officeDocument/2006/relationships/hyperlink" Target="https://doi.org/10.1186/s40529-017-0168-8" TargetMode="External"/><Relationship Id="rId77" Type="http://schemas.openxmlformats.org/officeDocument/2006/relationships/image" Target="media/image11.png"/><Relationship Id="rId8" Type="http://schemas.openxmlformats.org/officeDocument/2006/relationships/footnotes" Target="footnotes.xml"/><Relationship Id="rId51" Type="http://schemas.openxmlformats.org/officeDocument/2006/relationships/hyperlink" Target="https://doi.org/10.1128/AEM.65.9.4197-4206.1999" TargetMode="External"/><Relationship Id="rId72" Type="http://schemas.openxmlformats.org/officeDocument/2006/relationships/image" Target="media/image6.png"/><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doi.org/https://doi.org/10.1016/j.micpath.2020.104383" TargetMode="External"/><Relationship Id="rId25" Type="http://schemas.openxmlformats.org/officeDocument/2006/relationships/hyperlink" Target="https://doi.org/10.3390/pr8030275" TargetMode="External"/><Relationship Id="rId33" Type="http://schemas.openxmlformats.org/officeDocument/2006/relationships/hyperlink" Target="https://doi.org/https://doi.org/10.18311/jnr%2F2016%2F5703" TargetMode="External"/><Relationship Id="rId38" Type="http://schemas.openxmlformats.org/officeDocument/2006/relationships/hyperlink" Target="https://doi.org/http://dx.doi.org/10.4314/tjpr.v12i5.15" TargetMode="External"/><Relationship Id="rId46" Type="http://schemas.openxmlformats.org/officeDocument/2006/relationships/hyperlink" Target="https://doi.org/https://doi.org/10.1016/j.rsci.2019.04.001" TargetMode="External"/><Relationship Id="rId59" Type="http://schemas.openxmlformats.org/officeDocument/2006/relationships/hyperlink" Target="https://doi.org/10.1080/03235408.2022.2064081" TargetMode="External"/><Relationship Id="rId67" Type="http://schemas.openxmlformats.org/officeDocument/2006/relationships/hyperlink" Target="https://doi.org/10.1073/pnas.79.12.3754" TargetMode="External"/><Relationship Id="rId20" Type="http://schemas.openxmlformats.org/officeDocument/2006/relationships/hyperlink" Target="https://doi.org/https://doi.org/10.1016/j.crvi.2014.11.006" TargetMode="External"/><Relationship Id="rId41" Type="http://schemas.openxmlformats.org/officeDocument/2006/relationships/hyperlink" Target="https://doi.org/10.15376/biores.10.2.2570-2584" TargetMode="External"/><Relationship Id="rId54" Type="http://schemas.openxmlformats.org/officeDocument/2006/relationships/hyperlink" Target="https://doi.org/10.1080/02773813.2018.1547763" TargetMode="External"/><Relationship Id="rId62" Type="http://schemas.openxmlformats.org/officeDocument/2006/relationships/hyperlink" Target="https://doi.org/10.1038/s41598-023-45480-x" TargetMode="External"/><Relationship Id="rId70" Type="http://schemas.openxmlformats.org/officeDocument/2006/relationships/hyperlink" Target="https://doi.org/https://doi.org/10.1016/j.foodcont.2013.09.057" TargetMode="External"/><Relationship Id="rId75" Type="http://schemas.openxmlformats.org/officeDocument/2006/relationships/image" Target="media/image9.pn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doi.org/https://doi.org/10.3390/pr8020128" TargetMode="External"/><Relationship Id="rId23" Type="http://schemas.openxmlformats.org/officeDocument/2006/relationships/hyperlink" Target="https://doi.org/https://doi.org/10.1016/j.micpath.2018.05.032" TargetMode="External"/><Relationship Id="rId28" Type="http://schemas.openxmlformats.org/officeDocument/2006/relationships/hyperlink" Target="https://doi.org/https://doi.org/10.1111/j.1750-3841.2009.01078.x" TargetMode="External"/><Relationship Id="rId36" Type="http://schemas.openxmlformats.org/officeDocument/2006/relationships/hyperlink" Target="https://doi.org/10.15376/biores.11.2.3890-3903" TargetMode="External"/><Relationship Id="rId49" Type="http://schemas.openxmlformats.org/officeDocument/2006/relationships/hyperlink" Target="https://doi.org/10.1007/s12550-017-0277-y" TargetMode="External"/><Relationship Id="rId57" Type="http://schemas.openxmlformats.org/officeDocument/2006/relationships/hyperlink" Target="https://doi.org/https://doi.org/10.1016/j.ibiod.2016.03.028" TargetMode="External"/><Relationship Id="rId10" Type="http://schemas.openxmlformats.org/officeDocument/2006/relationships/image" Target="media/image1.emf"/><Relationship Id="rId31" Type="http://schemas.openxmlformats.org/officeDocument/2006/relationships/hyperlink" Target="https://doi.org/https://doi.org/10.1016/S1875-5364(12)60085-5" TargetMode="External"/><Relationship Id="rId44" Type="http://schemas.openxmlformats.org/officeDocument/2006/relationships/hyperlink" Target="https://doi.org/10.1007/s10327-006-0286-8" TargetMode="External"/><Relationship Id="rId52" Type="http://schemas.openxmlformats.org/officeDocument/2006/relationships/hyperlink" Target="https://doi.org/10.1080/14786419.2014.981539" TargetMode="External"/><Relationship Id="rId60" Type="http://schemas.openxmlformats.org/officeDocument/2006/relationships/hyperlink" Target="https://doi.org/10.1080/08927014.2013.807914" TargetMode="External"/><Relationship Id="rId65" Type="http://schemas.openxmlformats.org/officeDocument/2006/relationships/hyperlink" Target="https://doi.org/https://doi.org/10.1016/j.cropro.2012.01.008" TargetMode="External"/><Relationship Id="rId73" Type="http://schemas.openxmlformats.org/officeDocument/2006/relationships/image" Target="media/image7.png"/><Relationship Id="rId78" Type="http://schemas.openxmlformats.org/officeDocument/2006/relationships/image" Target="media/image12.png"/><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doi.org/https://doi.org/10.1016/j.indcrop.2019.111515" TargetMode="External"/><Relationship Id="rId39" Type="http://schemas.openxmlformats.org/officeDocument/2006/relationships/hyperlink" Target="https://doi.org/https://doi.org/10.1016/j.gaost.2021.07.002" TargetMode="External"/><Relationship Id="rId34" Type="http://schemas.openxmlformats.org/officeDocument/2006/relationships/hyperlink" Target="https://doi.org/https://doi.org/10.3390/horticulturae7110470" TargetMode="External"/><Relationship Id="rId50" Type="http://schemas.openxmlformats.org/officeDocument/2006/relationships/hyperlink" Target="https://doi.org/10.1080/01932691.2018.1496834" TargetMode="External"/><Relationship Id="rId55" Type="http://schemas.openxmlformats.org/officeDocument/2006/relationships/hyperlink" Target="https://doi.org/10.3390/plants10071325" TargetMode="External"/><Relationship Id="rId76" Type="http://schemas.openxmlformats.org/officeDocument/2006/relationships/image" Target="media/image10.png"/><Relationship Id="rId7" Type="http://schemas.openxmlformats.org/officeDocument/2006/relationships/webSettings" Target="webSettings.xml"/><Relationship Id="rId71" Type="http://schemas.openxmlformats.org/officeDocument/2006/relationships/image" Target="media/image5.png"/><Relationship Id="rId2" Type="http://schemas.openxmlformats.org/officeDocument/2006/relationships/customXml" Target="../customXml/item2.xml"/><Relationship Id="rId29" Type="http://schemas.openxmlformats.org/officeDocument/2006/relationships/hyperlink" Target="https://doi.org/10.1021/acs.jnatprod.5b00996" TargetMode="External"/><Relationship Id="rId24" Type="http://schemas.openxmlformats.org/officeDocument/2006/relationships/hyperlink" Target="https://doi.org/https://doi.org/10.1016/S0031-9422(97)00788-7" TargetMode="External"/><Relationship Id="rId40" Type="http://schemas.openxmlformats.org/officeDocument/2006/relationships/hyperlink" Target="https://doi.org/10.4103/0974-8490.147194" TargetMode="External"/><Relationship Id="rId45" Type="http://schemas.openxmlformats.org/officeDocument/2006/relationships/hyperlink" Target="https://doi.org/http://dx.doi.org/10.2174/2210315508666180223151210" TargetMode="External"/><Relationship Id="rId66" Type="http://schemas.openxmlformats.org/officeDocument/2006/relationships/hyperlink" Target="https://doi.org/10.1080/0972060X.2013.794014" TargetMode="External"/><Relationship Id="rId61" Type="http://schemas.openxmlformats.org/officeDocument/2006/relationships/hyperlink" Target="https://doi.org/10.1111/j.1574-6968.2008.01316.x" TargetMode="External"/><Relationship Id="rId8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8AFFF8E635F74BAADB1970B7534DFA" ma:contentTypeVersion="11" ma:contentTypeDescription="Create a new document." ma:contentTypeScope="" ma:versionID="2fa4c14979dedcb7ae9f95568385ff76">
  <xsd:schema xmlns:xsd="http://www.w3.org/2001/XMLSchema" xmlns:xs="http://www.w3.org/2001/XMLSchema" xmlns:p="http://schemas.microsoft.com/office/2006/metadata/properties" xmlns:ns3="5328777f-a940-4b10-8782-10409205e14a" targetNamespace="http://schemas.microsoft.com/office/2006/metadata/properties" ma:root="true" ma:fieldsID="b7561e923969cf4441595fb1fa9e4c7f" ns3:_="">
    <xsd:import namespace="5328777f-a940-4b10-8782-10409205e14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28777f-a940-4b10-8782-10409205e1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DC2196-5416-42AB-9615-8107D3DC7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28777f-a940-4b10-8782-10409205e1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0F554F-2A67-42C7-84BB-0D693CA15A75}">
  <ds:schemaRefs>
    <ds:schemaRef ds:uri="http://schemas.microsoft.com/sharepoint/v3/contenttype/forms"/>
  </ds:schemaRefs>
</ds:datastoreItem>
</file>

<file path=customXml/itemProps3.xml><?xml version="1.0" encoding="utf-8"?>
<ds:datastoreItem xmlns:ds="http://schemas.openxmlformats.org/officeDocument/2006/customXml" ds:itemID="{FEEDD8F3-068B-4B70-B623-A70643522A4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35</Pages>
  <Words>24516</Words>
  <Characters>139746</Characters>
  <Application>Microsoft Office Word</Application>
  <DocSecurity>0</DocSecurity>
  <Lines>1164</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Ona&amp;Hanon</dc:creator>
  <cp:lastModifiedBy>SDI 1180</cp:lastModifiedBy>
  <cp:revision>148</cp:revision>
  <dcterms:created xsi:type="dcterms:W3CDTF">2024-12-04T00:31:00Z</dcterms:created>
  <dcterms:modified xsi:type="dcterms:W3CDTF">2026-01-05T12:36:00Z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0x010100068AFFF8E635F74BAADB1970B7534DFA</vt:lpwstr>
  </property>
  <property fmtid="{D5CDD505-2E9C-101B-9397-08002B2CF9AE}" pid="3" name="GrammarlyDocumentId">
    <vt:lpwstr>34cc73005df224cd22d19be04dc4f670ecc337374e89bc401292180b9722e98e</vt:lpwstr>
  </property>
  <property fmtid="{D5CDD505-2E9C-101B-9397-08002B2CF9AE}" pid="4" name="ICV">
    <vt:lpwstr>6f89eaaf0dbf4b40ae081f8692582f88</vt:lpwstr>
  </property>
</Properties>
</file>