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E17" w:rsidRPr="00E042B1" w:rsidRDefault="00052E17" w:rsidP="00441B6F">
      <w:pPr>
        <w:pStyle w:val="Author"/>
        <w:spacing w:line="240" w:lineRule="auto"/>
        <w:rPr>
          <w:rFonts w:ascii="Arial" w:hAnsi="Arial" w:cs="Arial"/>
          <w:bCs/>
          <w:iCs/>
          <w:kern w:val="28"/>
          <w:sz w:val="36"/>
        </w:rPr>
      </w:pPr>
    </w:p>
    <w:p w:rsidR="00A258C3" w:rsidRPr="00E042B1" w:rsidRDefault="00052E17" w:rsidP="00234A31">
      <w:pPr>
        <w:pStyle w:val="Author"/>
        <w:spacing w:line="240" w:lineRule="auto"/>
        <w:rPr>
          <w:rFonts w:ascii="Arial" w:hAnsi="Arial" w:cs="Arial"/>
          <w:bCs/>
          <w:sz w:val="36"/>
          <w:szCs w:val="36"/>
        </w:rPr>
      </w:pPr>
      <w:r w:rsidRPr="00E042B1">
        <w:rPr>
          <w:rFonts w:ascii="Arial" w:hAnsi="Arial" w:cs="Arial"/>
          <w:bCs/>
          <w:sz w:val="36"/>
          <w:szCs w:val="36"/>
        </w:rPr>
        <w:t>Sensory Quality and Shelf-Life Assessment of Millet-Based Salty Biscuit</w:t>
      </w:r>
      <w:r w:rsidR="00234A31" w:rsidRPr="00E042B1">
        <w:rPr>
          <w:rFonts w:ascii="Arial" w:hAnsi="Arial" w:cs="Arial"/>
          <w:bCs/>
          <w:sz w:val="36"/>
          <w:szCs w:val="36"/>
        </w:rPr>
        <w:t>.</w:t>
      </w:r>
    </w:p>
    <w:p w:rsidR="00052E17" w:rsidRPr="00E042B1" w:rsidRDefault="00052E17" w:rsidP="00052E17">
      <w:pPr>
        <w:pStyle w:val="Author"/>
        <w:spacing w:line="240" w:lineRule="auto"/>
        <w:rPr>
          <w:rFonts w:ascii="Arial" w:hAnsi="Arial" w:cs="Arial"/>
          <w:bCs/>
          <w:szCs w:val="24"/>
        </w:rPr>
      </w:pPr>
    </w:p>
    <w:p w:rsidR="00052E17" w:rsidRDefault="00052E17" w:rsidP="00052E17">
      <w:pPr>
        <w:pStyle w:val="Affiliation"/>
        <w:spacing w:after="0" w:line="240" w:lineRule="auto"/>
        <w:rPr>
          <w:rFonts w:ascii="Arial" w:hAnsi="Arial" w:cs="Arial"/>
        </w:rPr>
      </w:pPr>
    </w:p>
    <w:p w:rsidR="00CD66CB" w:rsidRPr="00E042B1" w:rsidRDefault="00CD66CB" w:rsidP="00052E17">
      <w:pPr>
        <w:pStyle w:val="Affiliation"/>
        <w:spacing w:after="0" w:line="240" w:lineRule="auto"/>
        <w:rPr>
          <w:rFonts w:ascii="Arial" w:hAnsi="Arial" w:cs="Arial"/>
        </w:rPr>
      </w:pPr>
    </w:p>
    <w:p w:rsidR="00B01FCD" w:rsidRPr="00E042B1" w:rsidRDefault="00FA7469" w:rsidP="00441B6F">
      <w:pPr>
        <w:pStyle w:val="Copyright"/>
        <w:spacing w:after="0" w:line="240" w:lineRule="auto"/>
        <w:jc w:val="both"/>
        <w:rPr>
          <w:rFonts w:ascii="Arial" w:hAnsi="Arial" w:cs="Arial"/>
        </w:rPr>
        <w:sectPr w:rsidR="00B01FCD" w:rsidRPr="00E042B1" w:rsidSect="00CD66C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042B1">
        <w:rPr>
          <w:rFonts w:ascii="Arial" w:hAnsi="Arial" w:cs="Arial"/>
        </w:rPr>
        <w:t>.</w:t>
      </w:r>
    </w:p>
    <w:p w:rsidR="00790ADA" w:rsidRPr="00E042B1" w:rsidRDefault="00B01FCD" w:rsidP="00441B6F">
      <w:pPr>
        <w:pStyle w:val="AbstHead"/>
        <w:spacing w:after="0"/>
        <w:jc w:val="both"/>
        <w:rPr>
          <w:rFonts w:ascii="Arial" w:hAnsi="Arial" w:cs="Arial"/>
        </w:rPr>
      </w:pPr>
      <w:r w:rsidRPr="00E042B1">
        <w:rPr>
          <w:rFonts w:ascii="Arial" w:hAnsi="Arial" w:cs="Arial"/>
        </w:rPr>
        <w:t>ABSTRACT</w:t>
      </w:r>
      <w:r w:rsidR="0066510A" w:rsidRPr="00E042B1">
        <w:rPr>
          <w:rFonts w:ascii="Arial" w:hAnsi="Arial" w:cs="Arial"/>
        </w:rPr>
        <w:t xml:space="preserve"> </w:t>
      </w:r>
    </w:p>
    <w:p w:rsidR="00ED108F" w:rsidRPr="00E042B1" w:rsidRDefault="00ED108F"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042B1" w:rsidTr="001E44FE">
        <w:tc>
          <w:tcPr>
            <w:tcW w:w="9576" w:type="dxa"/>
            <w:shd w:val="clear" w:color="auto" w:fill="F2F2F2"/>
          </w:tcPr>
          <w:p w:rsidR="00505F06" w:rsidRPr="00E042B1" w:rsidRDefault="00052E17" w:rsidP="00234A31">
            <w:pPr>
              <w:spacing w:before="100" w:beforeAutospacing="1" w:after="100" w:afterAutospacing="1"/>
              <w:jc w:val="both"/>
              <w:rPr>
                <w:rFonts w:ascii="Arial" w:hAnsi="Arial" w:cs="Arial"/>
              </w:rPr>
            </w:pPr>
            <w:r w:rsidRPr="00E042B1">
              <w:rPr>
                <w:rFonts w:ascii="Arial" w:hAnsi="Arial" w:cs="Arial"/>
              </w:rPr>
              <w:t xml:space="preserve">The rapid pace of urbanization and lifestyle changes has increased reliance on convenience foods, many of which are nutritionally poor due to reliance on refined flours. This study aimed to develop and evaluate a nutrient-rich salty biscuit using a composite flour blend of sorghum (50%), buckwheat (25%) and corn flour (25%) to enhance dietary diversity while addressing modern nutritional challenges. Sorghum and buckwheat were selected for their high-quality proteins, dietary fiber, minerals and bioactive compounds, along with their gluten-free nature. The biscuits were prepared using standard baking techniques and assessed for sensory quality by a trained panel using a nine-point hedonic scale. The product achieved high acceptability scores for </w:t>
            </w:r>
            <w:proofErr w:type="spellStart"/>
            <w:r w:rsidRPr="00E042B1">
              <w:rPr>
                <w:rFonts w:ascii="Arial" w:hAnsi="Arial" w:cs="Arial"/>
              </w:rPr>
              <w:t>colour</w:t>
            </w:r>
            <w:proofErr w:type="spellEnd"/>
            <w:r w:rsidRPr="00E042B1">
              <w:rPr>
                <w:rFonts w:ascii="Arial" w:hAnsi="Arial" w:cs="Arial"/>
              </w:rPr>
              <w:t xml:space="preserve"> (8.60), </w:t>
            </w:r>
            <w:proofErr w:type="spellStart"/>
            <w:r w:rsidRPr="00E042B1">
              <w:rPr>
                <w:rFonts w:ascii="Arial" w:hAnsi="Arial" w:cs="Arial"/>
              </w:rPr>
              <w:t>flavour</w:t>
            </w:r>
            <w:proofErr w:type="spellEnd"/>
            <w:r w:rsidRPr="00E042B1">
              <w:rPr>
                <w:rFonts w:ascii="Arial" w:hAnsi="Arial" w:cs="Arial"/>
              </w:rPr>
              <w:t xml:space="preserve"> (8.50), taste (8.30), texture (8.30) and appearance (8.70), with an overall acceptability of 8.50 (“liked extremely”). Shelf-life evaluation over 30 days at ambient conditions indicated a gradual but significant (p&lt;0.05) decline in sensory sco</w:t>
            </w:r>
            <w:r w:rsidR="00E93B04" w:rsidRPr="00E042B1">
              <w:rPr>
                <w:rFonts w:ascii="Arial" w:hAnsi="Arial" w:cs="Arial"/>
              </w:rPr>
              <w:t>res particularly after 15 days</w:t>
            </w:r>
            <w:r w:rsidRPr="00E042B1">
              <w:rPr>
                <w:rFonts w:ascii="Arial" w:hAnsi="Arial" w:cs="Arial"/>
              </w:rPr>
              <w:t xml:space="preserve"> likely due to changes in </w:t>
            </w:r>
            <w:proofErr w:type="spellStart"/>
            <w:r w:rsidRPr="00E042B1">
              <w:rPr>
                <w:rFonts w:ascii="Arial" w:hAnsi="Arial" w:cs="Arial"/>
              </w:rPr>
              <w:t>flavour</w:t>
            </w:r>
            <w:proofErr w:type="spellEnd"/>
            <w:r w:rsidRPr="00E042B1">
              <w:rPr>
                <w:rFonts w:ascii="Arial" w:hAnsi="Arial" w:cs="Arial"/>
              </w:rPr>
              <w:t xml:space="preserve"> and texture. The results suggest that millet-based salty biscuits can be an appealing, nutrient-rich convenience snack with </w:t>
            </w:r>
            <w:r w:rsidR="00337F9A" w:rsidRPr="00E042B1">
              <w:rPr>
                <w:rFonts w:ascii="Arial" w:hAnsi="Arial" w:cs="Arial"/>
              </w:rPr>
              <w:t>good short-term shelf stability</w:t>
            </w:r>
            <w:r w:rsidRPr="00E042B1">
              <w:rPr>
                <w:rFonts w:ascii="Arial" w:hAnsi="Arial" w:cs="Arial"/>
              </w:rPr>
              <w:t xml:space="preserve"> offering a viable alternative to refined-flour products.</w:t>
            </w:r>
          </w:p>
        </w:tc>
      </w:tr>
    </w:tbl>
    <w:p w:rsidR="00636EB2" w:rsidRPr="00E042B1" w:rsidRDefault="00636EB2" w:rsidP="00441B6F">
      <w:pPr>
        <w:pStyle w:val="Body"/>
        <w:spacing w:after="0"/>
        <w:rPr>
          <w:rFonts w:ascii="Arial" w:hAnsi="Arial" w:cs="Arial"/>
          <w:i/>
        </w:rPr>
      </w:pPr>
    </w:p>
    <w:p w:rsidR="00234A31" w:rsidRPr="00E042B1" w:rsidRDefault="00A24E7E" w:rsidP="00441B6F">
      <w:pPr>
        <w:pStyle w:val="Body"/>
        <w:spacing w:after="0"/>
        <w:rPr>
          <w:rFonts w:ascii="Arial" w:hAnsi="Arial" w:cs="Arial"/>
          <w:i/>
        </w:rPr>
      </w:pPr>
      <w:r w:rsidRPr="00E042B1">
        <w:rPr>
          <w:rFonts w:ascii="Arial" w:hAnsi="Arial" w:cs="Arial"/>
          <w:i/>
        </w:rPr>
        <w:t xml:space="preserve">Keywords: </w:t>
      </w:r>
      <w:r w:rsidR="00234A31" w:rsidRPr="00E042B1">
        <w:rPr>
          <w:rFonts w:ascii="Arial" w:hAnsi="Arial" w:cs="Arial"/>
          <w:i/>
        </w:rPr>
        <w:t>Millet-based product, salty biscuit, Sensory evaluation, Sorghum, Buckwheat, Shelf life</w:t>
      </w:r>
    </w:p>
    <w:p w:rsidR="00790ADA" w:rsidRPr="00E042B1" w:rsidRDefault="00234A31" w:rsidP="00441B6F">
      <w:pPr>
        <w:pStyle w:val="Body"/>
        <w:spacing w:after="0"/>
        <w:rPr>
          <w:rFonts w:ascii="Arial" w:hAnsi="Arial" w:cs="Arial"/>
          <w:i/>
        </w:rPr>
      </w:pPr>
      <w:r w:rsidRPr="00E042B1">
        <w:rPr>
          <w:rFonts w:ascii="Arial" w:hAnsi="Arial" w:cs="Arial"/>
        </w:rPr>
        <w:tab/>
      </w:r>
    </w:p>
    <w:p w:rsidR="007F7B32" w:rsidRPr="00E042B1" w:rsidRDefault="00902823" w:rsidP="00441B6F">
      <w:pPr>
        <w:pStyle w:val="AbstHead"/>
        <w:spacing w:after="0"/>
        <w:jc w:val="both"/>
        <w:rPr>
          <w:rFonts w:ascii="Arial" w:hAnsi="Arial" w:cs="Arial"/>
        </w:rPr>
      </w:pPr>
      <w:r w:rsidRPr="00E042B1">
        <w:rPr>
          <w:rFonts w:ascii="Arial" w:hAnsi="Arial" w:cs="Arial"/>
        </w:rPr>
        <w:t xml:space="preserve">1. </w:t>
      </w:r>
      <w:r w:rsidR="00B01FCD" w:rsidRPr="00E042B1">
        <w:rPr>
          <w:rFonts w:ascii="Arial" w:hAnsi="Arial" w:cs="Arial"/>
        </w:rPr>
        <w:t>INTRODUCTION</w:t>
      </w:r>
      <w:r w:rsidR="007F7B32" w:rsidRPr="00E042B1">
        <w:rPr>
          <w:rFonts w:ascii="Arial" w:hAnsi="Arial" w:cs="Arial"/>
        </w:rPr>
        <w:t xml:space="preserve"> </w:t>
      </w:r>
    </w:p>
    <w:p w:rsidR="00234A31" w:rsidRPr="00E042B1" w:rsidRDefault="00234A31" w:rsidP="00234A31">
      <w:pPr>
        <w:pStyle w:val="NormalWeb"/>
        <w:jc w:val="both"/>
        <w:rPr>
          <w:rFonts w:ascii="Arial" w:hAnsi="Arial" w:cs="Arial"/>
          <w:sz w:val="20"/>
          <w:szCs w:val="20"/>
        </w:rPr>
      </w:pPr>
      <w:r w:rsidRPr="00E042B1">
        <w:rPr>
          <w:rFonts w:ascii="Arial" w:hAnsi="Arial" w:cs="Arial"/>
          <w:sz w:val="20"/>
          <w:szCs w:val="20"/>
        </w:rPr>
        <w:t>The lifestyle of modern societies has shifted drastically in recent decades, pushing individuals towards nutritionally imbalanced diets and sedentary habits. With urbanization, rising incomes and a growing number of nuclear families and working individuals, especially women traditional cooking practices are declining. As a result, the demand for convenience foods that require minimal preparation has surged. However, most commercially available convenience foods are based on refined flour, which lacks essential nutrients like fiber, vitamins and minerals, and therefore contributes minimally to nutritional well-being. Given the growing prevalence of diet-related disorders and the urgent need for sustainable and nutritious food options, there is a critical need to reformulate these products using wholesome, nutrient-rich ingredients.</w:t>
      </w:r>
    </w:p>
    <w:p w:rsidR="00234A31" w:rsidRPr="00E042B1" w:rsidRDefault="00234A31" w:rsidP="00234A31">
      <w:pPr>
        <w:pStyle w:val="NormalWeb"/>
        <w:jc w:val="both"/>
        <w:rPr>
          <w:rFonts w:ascii="Arial" w:hAnsi="Arial" w:cs="Arial"/>
          <w:sz w:val="20"/>
          <w:szCs w:val="20"/>
        </w:rPr>
      </w:pPr>
      <w:r w:rsidRPr="00E042B1">
        <w:rPr>
          <w:rFonts w:ascii="Arial" w:hAnsi="Arial" w:cs="Arial"/>
          <w:sz w:val="20"/>
          <w:szCs w:val="20"/>
        </w:rPr>
        <w:t xml:space="preserve">In this context, ancient grains such as </w:t>
      </w:r>
      <w:r w:rsidRPr="00E042B1">
        <w:rPr>
          <w:rStyle w:val="Strong"/>
          <w:rFonts w:ascii="Arial" w:hAnsi="Arial" w:cs="Arial"/>
          <w:b w:val="0"/>
          <w:bCs w:val="0"/>
          <w:sz w:val="20"/>
          <w:szCs w:val="20"/>
        </w:rPr>
        <w:t>millets</w:t>
      </w:r>
      <w:r w:rsidRPr="00E042B1">
        <w:rPr>
          <w:rFonts w:ascii="Arial" w:hAnsi="Arial" w:cs="Arial"/>
          <w:b/>
          <w:bCs/>
          <w:sz w:val="20"/>
          <w:szCs w:val="20"/>
        </w:rPr>
        <w:t xml:space="preserve"> </w:t>
      </w:r>
      <w:r w:rsidRPr="00E042B1">
        <w:rPr>
          <w:rFonts w:ascii="Arial" w:hAnsi="Arial" w:cs="Arial"/>
          <w:sz w:val="20"/>
          <w:szCs w:val="20"/>
        </w:rPr>
        <w:t xml:space="preserve">hold tremendous potential. The term “millet” is derived from the French word </w:t>
      </w:r>
      <w:proofErr w:type="spellStart"/>
      <w:r w:rsidRPr="00E042B1">
        <w:rPr>
          <w:rStyle w:val="Emphasis"/>
          <w:rFonts w:ascii="Arial" w:hAnsi="Arial" w:cs="Arial"/>
          <w:sz w:val="20"/>
          <w:szCs w:val="20"/>
        </w:rPr>
        <w:t>mille</w:t>
      </w:r>
      <w:proofErr w:type="spellEnd"/>
      <w:r w:rsidRPr="00E042B1">
        <w:rPr>
          <w:rFonts w:ascii="Arial" w:hAnsi="Arial" w:cs="Arial"/>
          <w:sz w:val="20"/>
          <w:szCs w:val="20"/>
        </w:rPr>
        <w:t>, indicating that a handful of millet contains thousands of small seeds (</w:t>
      </w:r>
      <w:r w:rsidR="001B2B42" w:rsidRPr="00E042B1">
        <w:rPr>
          <w:rFonts w:ascii="Arial" w:hAnsi="Arial" w:cs="Arial"/>
          <w:color w:val="222222"/>
          <w:sz w:val="20"/>
          <w:szCs w:val="20"/>
          <w:shd w:val="clear" w:color="auto" w:fill="FFFFFF"/>
        </w:rPr>
        <w:t xml:space="preserve">Chauhan </w:t>
      </w:r>
      <w:r w:rsidR="001B2B42" w:rsidRPr="00E042B1">
        <w:rPr>
          <w:rFonts w:ascii="Arial" w:hAnsi="Arial" w:cs="Arial"/>
          <w:i/>
          <w:iCs/>
          <w:color w:val="333333"/>
          <w:sz w:val="20"/>
          <w:szCs w:val="20"/>
        </w:rPr>
        <w:t xml:space="preserve">et al., </w:t>
      </w:r>
      <w:r w:rsidR="001B2B42" w:rsidRPr="00E042B1">
        <w:rPr>
          <w:rFonts w:ascii="Arial" w:hAnsi="Arial" w:cs="Arial"/>
          <w:color w:val="333333"/>
          <w:sz w:val="20"/>
          <w:szCs w:val="20"/>
        </w:rPr>
        <w:t>2023</w:t>
      </w:r>
      <w:r w:rsidRPr="00E042B1">
        <w:rPr>
          <w:rFonts w:ascii="Arial" w:hAnsi="Arial" w:cs="Arial"/>
          <w:sz w:val="20"/>
          <w:szCs w:val="20"/>
        </w:rPr>
        <w:t>). Although their precise origin remains uncertain, millets have been cultivated since prehistoric times in regions lik</w:t>
      </w:r>
      <w:r w:rsidR="00732D3A" w:rsidRPr="00E042B1">
        <w:rPr>
          <w:rFonts w:ascii="Arial" w:hAnsi="Arial" w:cs="Arial"/>
          <w:sz w:val="20"/>
          <w:szCs w:val="20"/>
        </w:rPr>
        <w:t>e North Africa and Central Asia</w:t>
      </w:r>
      <w:r w:rsidRPr="00E042B1">
        <w:rPr>
          <w:rFonts w:ascii="Arial" w:hAnsi="Arial" w:cs="Arial"/>
          <w:sz w:val="20"/>
          <w:szCs w:val="20"/>
        </w:rPr>
        <w:t>. These small-seeded cereals,</w:t>
      </w:r>
      <w:r w:rsidR="00994B64" w:rsidRPr="00E042B1">
        <w:rPr>
          <w:rFonts w:ascii="Arial" w:hAnsi="Arial" w:cs="Arial"/>
          <w:sz w:val="20"/>
          <w:szCs w:val="20"/>
        </w:rPr>
        <w:t xml:space="preserve"> long considered “coarse grains</w:t>
      </w:r>
      <w:r w:rsidRPr="00E042B1">
        <w:rPr>
          <w:rFonts w:ascii="Arial" w:hAnsi="Arial" w:cs="Arial"/>
          <w:sz w:val="20"/>
          <w:szCs w:val="20"/>
        </w:rPr>
        <w:t>” are now being rebranded as “</w:t>
      </w:r>
      <w:proofErr w:type="spellStart"/>
      <w:r w:rsidRPr="00E042B1">
        <w:rPr>
          <w:rFonts w:ascii="Arial" w:hAnsi="Arial" w:cs="Arial"/>
          <w:sz w:val="20"/>
          <w:szCs w:val="20"/>
        </w:rPr>
        <w:t>nutricereals</w:t>
      </w:r>
      <w:proofErr w:type="spellEnd"/>
      <w:r w:rsidRPr="00E042B1">
        <w:rPr>
          <w:rFonts w:ascii="Arial" w:hAnsi="Arial" w:cs="Arial"/>
          <w:sz w:val="20"/>
          <w:szCs w:val="20"/>
        </w:rPr>
        <w:t xml:space="preserve">” due to their exceptional nutritional composition. Rich in high-quality proteins, complex carbohydrates, dietary fiber, unsaturated fatty acids, minerals, antioxidants and phytochemicals, millets are highly suitable for addressing modern nutritional challenges (Saini </w:t>
      </w:r>
      <w:r w:rsidRPr="00E042B1">
        <w:rPr>
          <w:rFonts w:ascii="Arial" w:hAnsi="Arial" w:cs="Arial"/>
          <w:i/>
          <w:iCs/>
          <w:sz w:val="20"/>
          <w:szCs w:val="20"/>
        </w:rPr>
        <w:t>et al.,</w:t>
      </w:r>
      <w:r w:rsidRPr="00E042B1">
        <w:rPr>
          <w:rFonts w:ascii="Arial" w:hAnsi="Arial" w:cs="Arial"/>
          <w:sz w:val="20"/>
          <w:szCs w:val="20"/>
        </w:rPr>
        <w:t xml:space="preserve"> 2021; Bhat </w:t>
      </w:r>
      <w:r w:rsidRPr="00E042B1">
        <w:rPr>
          <w:rFonts w:ascii="Arial" w:hAnsi="Arial" w:cs="Arial"/>
          <w:i/>
          <w:iCs/>
          <w:sz w:val="20"/>
          <w:szCs w:val="20"/>
        </w:rPr>
        <w:t>et al.,</w:t>
      </w:r>
      <w:r w:rsidRPr="00E042B1">
        <w:rPr>
          <w:rFonts w:ascii="Arial" w:hAnsi="Arial" w:cs="Arial"/>
          <w:sz w:val="20"/>
          <w:szCs w:val="20"/>
        </w:rPr>
        <w:t xml:space="preserve"> 2018). Moreover, their adaptability to harsh </w:t>
      </w:r>
      <w:proofErr w:type="spellStart"/>
      <w:r w:rsidRPr="00E042B1">
        <w:rPr>
          <w:rFonts w:ascii="Arial" w:hAnsi="Arial" w:cs="Arial"/>
          <w:sz w:val="20"/>
          <w:szCs w:val="20"/>
        </w:rPr>
        <w:t>agro</w:t>
      </w:r>
      <w:proofErr w:type="spellEnd"/>
      <w:r w:rsidRPr="00E042B1">
        <w:rPr>
          <w:rFonts w:ascii="Arial" w:hAnsi="Arial" w:cs="Arial"/>
          <w:sz w:val="20"/>
          <w:szCs w:val="20"/>
        </w:rPr>
        <w:t xml:space="preserve">-climatic </w:t>
      </w:r>
      <w:r w:rsidRPr="00E042B1">
        <w:rPr>
          <w:rFonts w:ascii="Arial" w:hAnsi="Arial" w:cs="Arial"/>
          <w:sz w:val="20"/>
          <w:szCs w:val="20"/>
        </w:rPr>
        <w:lastRenderedPageBreak/>
        <w:t>conditions makes them ideal for cultivation in water-scarce regions, supporting both food and nutritional security.</w:t>
      </w:r>
    </w:p>
    <w:p w:rsidR="00234A31" w:rsidRPr="00E042B1" w:rsidRDefault="00234A31" w:rsidP="00234A31">
      <w:pPr>
        <w:pStyle w:val="NormalWeb"/>
        <w:jc w:val="both"/>
        <w:rPr>
          <w:rFonts w:ascii="Arial" w:hAnsi="Arial" w:cs="Arial"/>
          <w:sz w:val="20"/>
          <w:szCs w:val="20"/>
        </w:rPr>
      </w:pPr>
      <w:r w:rsidRPr="00E042B1">
        <w:rPr>
          <w:rStyle w:val="Strong"/>
          <w:rFonts w:ascii="Arial" w:hAnsi="Arial" w:cs="Arial"/>
          <w:b w:val="0"/>
          <w:bCs w:val="0"/>
          <w:sz w:val="20"/>
          <w:szCs w:val="20"/>
        </w:rPr>
        <w:t>Sorghum (</w:t>
      </w:r>
      <w:r w:rsidRPr="00E042B1">
        <w:rPr>
          <w:rStyle w:val="Strong"/>
          <w:rFonts w:ascii="Arial" w:hAnsi="Arial" w:cs="Arial"/>
          <w:b w:val="0"/>
          <w:bCs w:val="0"/>
          <w:i/>
          <w:iCs/>
          <w:sz w:val="20"/>
          <w:szCs w:val="20"/>
        </w:rPr>
        <w:t xml:space="preserve">Sorghum bicolor L. </w:t>
      </w:r>
      <w:proofErr w:type="spellStart"/>
      <w:r w:rsidRPr="00E042B1">
        <w:rPr>
          <w:rStyle w:val="Strong"/>
          <w:rFonts w:ascii="Arial" w:hAnsi="Arial" w:cs="Arial"/>
          <w:b w:val="0"/>
          <w:bCs w:val="0"/>
          <w:i/>
          <w:iCs/>
          <w:sz w:val="20"/>
          <w:szCs w:val="20"/>
        </w:rPr>
        <w:t>Moench</w:t>
      </w:r>
      <w:proofErr w:type="spellEnd"/>
      <w:r w:rsidRPr="00E042B1">
        <w:rPr>
          <w:rStyle w:val="Strong"/>
          <w:rFonts w:ascii="Arial" w:hAnsi="Arial" w:cs="Arial"/>
          <w:b w:val="0"/>
          <w:bCs w:val="0"/>
          <w:sz w:val="20"/>
          <w:szCs w:val="20"/>
        </w:rPr>
        <w:t>)</w:t>
      </w:r>
      <w:r w:rsidRPr="00E042B1">
        <w:rPr>
          <w:rFonts w:ascii="Arial" w:hAnsi="Arial" w:cs="Arial"/>
          <w:b/>
          <w:bCs/>
          <w:sz w:val="20"/>
          <w:szCs w:val="20"/>
        </w:rPr>
        <w:t>,</w:t>
      </w:r>
      <w:r w:rsidR="00994B64" w:rsidRPr="00E042B1">
        <w:rPr>
          <w:rFonts w:ascii="Arial" w:hAnsi="Arial" w:cs="Arial"/>
          <w:sz w:val="20"/>
          <w:szCs w:val="20"/>
        </w:rPr>
        <w:t xml:space="preserve"> commonly known as jowar</w:t>
      </w:r>
      <w:r w:rsidRPr="00E042B1">
        <w:rPr>
          <w:rFonts w:ascii="Arial" w:hAnsi="Arial" w:cs="Arial"/>
          <w:sz w:val="20"/>
          <w:szCs w:val="20"/>
        </w:rPr>
        <w:t xml:space="preserve"> is the fifth most important cereal crop globally, following wheat, rice, maize and barley. It is a climate-resilient crop, well adapted to arid and semi-arid regions and capable of resuming growth after prolonged droughts making it vital for regions like Sub-Saharan Africa, the Deccan Plateau of India and northeastern China (</w:t>
      </w:r>
      <w:r w:rsidR="00D911C8" w:rsidRPr="00E042B1">
        <w:rPr>
          <w:rFonts w:ascii="Arial" w:hAnsi="Arial" w:cs="Arial"/>
          <w:color w:val="222222"/>
          <w:sz w:val="20"/>
          <w:szCs w:val="20"/>
          <w:shd w:val="clear" w:color="auto" w:fill="FFFFFF"/>
        </w:rPr>
        <w:t>Singh</w:t>
      </w:r>
      <w:r w:rsidR="00D911C8" w:rsidRPr="00E042B1">
        <w:rPr>
          <w:rFonts w:ascii="Arial" w:hAnsi="Arial" w:cs="Arial"/>
          <w:color w:val="222222"/>
          <w:sz w:val="16"/>
          <w:szCs w:val="16"/>
          <w:shd w:val="clear" w:color="auto" w:fill="FFFFFF"/>
        </w:rPr>
        <w:t xml:space="preserve"> </w:t>
      </w:r>
      <w:r w:rsidR="00D911C8" w:rsidRPr="00E042B1">
        <w:rPr>
          <w:rFonts w:ascii="Arial" w:hAnsi="Arial" w:cs="Arial"/>
          <w:i/>
          <w:iCs/>
          <w:color w:val="333333"/>
          <w:sz w:val="20"/>
          <w:szCs w:val="20"/>
        </w:rPr>
        <w:t xml:space="preserve">et al., </w:t>
      </w:r>
      <w:r w:rsidR="00D911C8" w:rsidRPr="00E042B1">
        <w:rPr>
          <w:rFonts w:ascii="Arial" w:hAnsi="Arial" w:cs="Arial"/>
          <w:color w:val="333333"/>
          <w:sz w:val="20"/>
          <w:szCs w:val="20"/>
        </w:rPr>
        <w:t>2024</w:t>
      </w:r>
      <w:r w:rsidR="00D911C8" w:rsidRPr="00E042B1">
        <w:rPr>
          <w:rFonts w:ascii="Arial" w:hAnsi="Arial" w:cs="Arial"/>
          <w:i/>
          <w:iCs/>
          <w:color w:val="333333"/>
          <w:sz w:val="20"/>
          <w:szCs w:val="20"/>
        </w:rPr>
        <w:t>;</w:t>
      </w:r>
      <w:r w:rsidR="00D911C8" w:rsidRPr="00E042B1">
        <w:rPr>
          <w:rFonts w:ascii="Arial" w:hAnsi="Arial" w:cs="Arial"/>
          <w:color w:val="222222"/>
          <w:sz w:val="20"/>
          <w:szCs w:val="20"/>
          <w:shd w:val="clear" w:color="auto" w:fill="FFFFFF"/>
        </w:rPr>
        <w:t xml:space="preserve"> </w:t>
      </w:r>
      <w:proofErr w:type="spellStart"/>
      <w:r w:rsidR="00D911C8" w:rsidRPr="00E042B1">
        <w:rPr>
          <w:rFonts w:ascii="Arial" w:hAnsi="Arial" w:cs="Arial"/>
          <w:color w:val="222222"/>
          <w:sz w:val="20"/>
          <w:szCs w:val="20"/>
          <w:shd w:val="clear" w:color="auto" w:fill="FFFFFF"/>
        </w:rPr>
        <w:t>Mawouma</w:t>
      </w:r>
      <w:proofErr w:type="spellEnd"/>
      <w:r w:rsidR="005D5E55" w:rsidRPr="00E042B1">
        <w:rPr>
          <w:rFonts w:ascii="Arial" w:hAnsi="Arial" w:cs="Arial"/>
          <w:i/>
          <w:iCs/>
          <w:color w:val="333333"/>
          <w:sz w:val="20"/>
          <w:szCs w:val="20"/>
        </w:rPr>
        <w:t xml:space="preserve"> et al., </w:t>
      </w:r>
      <w:r w:rsidR="005D5E55" w:rsidRPr="00E042B1">
        <w:rPr>
          <w:rFonts w:ascii="Arial" w:hAnsi="Arial" w:cs="Arial"/>
          <w:color w:val="333333"/>
          <w:sz w:val="20"/>
          <w:szCs w:val="20"/>
        </w:rPr>
        <w:t>2023</w:t>
      </w:r>
      <w:r w:rsidRPr="00E042B1">
        <w:rPr>
          <w:rFonts w:ascii="Arial" w:hAnsi="Arial" w:cs="Arial"/>
          <w:sz w:val="20"/>
          <w:szCs w:val="20"/>
        </w:rPr>
        <w:t xml:space="preserve">). From a nutritional standpoint, sorghum provides approximately 10.6 g protein, 72.09 g carbohydrates, 6.7 g fiber and 3.46 g fat per 100 g, with an energy value of 1377 kJ (USDA, 2019). It contains a rich profile of unsaturated fatty acids, including oleic acid (33%) and linoleic acid (47%). Notably, sorghum is gluten-free, making it a safe alternative for individuals with celiac disease. Its slower starch digestibility index makes it beneficial for managing blood glucose levels in diabetic patients. Additionally, its bran is a rich source </w:t>
      </w:r>
      <w:r w:rsidR="00ED108F" w:rsidRPr="00E042B1">
        <w:rPr>
          <w:rFonts w:ascii="Arial" w:hAnsi="Arial" w:cs="Arial"/>
          <w:sz w:val="20"/>
          <w:szCs w:val="20"/>
        </w:rPr>
        <w:t xml:space="preserve">of bioactive phenolic compounds </w:t>
      </w:r>
      <w:r w:rsidRPr="00E042B1">
        <w:rPr>
          <w:rFonts w:ascii="Arial" w:hAnsi="Arial" w:cs="Arial"/>
          <w:sz w:val="20"/>
          <w:szCs w:val="20"/>
        </w:rPr>
        <w:t>such as flavones, flavanones, tannins and 3-deoxyanthocyanins that exhibit potent antioxidant properties and are associated with cardiovascular health, anti-inflammatory effects and cancer prevention (</w:t>
      </w:r>
      <w:proofErr w:type="spellStart"/>
      <w:r w:rsidR="00D911C8" w:rsidRPr="00E042B1">
        <w:rPr>
          <w:rFonts w:ascii="Arial" w:hAnsi="Arial" w:cs="Arial"/>
          <w:color w:val="222222"/>
          <w:sz w:val="20"/>
          <w:szCs w:val="20"/>
          <w:shd w:val="clear" w:color="auto" w:fill="FFFFFF"/>
        </w:rPr>
        <w:t>Stefoska</w:t>
      </w:r>
      <w:proofErr w:type="spellEnd"/>
      <w:r w:rsidR="00D911C8" w:rsidRPr="00E042B1">
        <w:rPr>
          <w:rFonts w:ascii="Cambria Math" w:hAnsi="Cambria Math" w:cs="Arial"/>
          <w:color w:val="222222"/>
          <w:sz w:val="20"/>
          <w:szCs w:val="20"/>
          <w:shd w:val="clear" w:color="auto" w:fill="FFFFFF"/>
        </w:rPr>
        <w:t>‐</w:t>
      </w:r>
      <w:r w:rsidR="00D911C8" w:rsidRPr="00E042B1">
        <w:rPr>
          <w:rFonts w:ascii="Arial" w:hAnsi="Arial" w:cs="Arial"/>
          <w:color w:val="222222"/>
          <w:sz w:val="20"/>
          <w:szCs w:val="20"/>
          <w:shd w:val="clear" w:color="auto" w:fill="FFFFFF"/>
        </w:rPr>
        <w:t>Needham, 2024</w:t>
      </w:r>
      <w:r w:rsidR="00DF0F44" w:rsidRPr="00E042B1">
        <w:rPr>
          <w:rFonts w:ascii="Arial" w:hAnsi="Arial" w:cs="Arial"/>
          <w:color w:val="222222"/>
          <w:sz w:val="20"/>
          <w:szCs w:val="20"/>
          <w:shd w:val="clear" w:color="auto" w:fill="FFFFFF"/>
        </w:rPr>
        <w:t xml:space="preserve">; Khalid </w:t>
      </w:r>
      <w:r w:rsidR="00DF0F44" w:rsidRPr="00E042B1">
        <w:rPr>
          <w:rFonts w:ascii="Arial" w:hAnsi="Arial" w:cs="Arial"/>
          <w:i/>
          <w:iCs/>
          <w:color w:val="333333"/>
          <w:sz w:val="20"/>
          <w:szCs w:val="20"/>
        </w:rPr>
        <w:t xml:space="preserve">et al., </w:t>
      </w:r>
      <w:r w:rsidR="00DF0F44" w:rsidRPr="00E042B1">
        <w:rPr>
          <w:rFonts w:ascii="Arial" w:hAnsi="Arial" w:cs="Arial"/>
          <w:color w:val="333333"/>
          <w:sz w:val="20"/>
          <w:szCs w:val="20"/>
        </w:rPr>
        <w:t>2022</w:t>
      </w:r>
      <w:r w:rsidRPr="00E042B1">
        <w:rPr>
          <w:rFonts w:ascii="Arial" w:hAnsi="Arial" w:cs="Arial"/>
          <w:sz w:val="20"/>
          <w:szCs w:val="20"/>
        </w:rPr>
        <w:t>).</w:t>
      </w:r>
    </w:p>
    <w:p w:rsidR="00234A31" w:rsidRPr="00E042B1" w:rsidRDefault="00234A31" w:rsidP="00234A31">
      <w:pPr>
        <w:pStyle w:val="NormalWeb"/>
        <w:jc w:val="both"/>
        <w:rPr>
          <w:rFonts w:ascii="Arial" w:hAnsi="Arial" w:cs="Arial"/>
          <w:sz w:val="20"/>
          <w:szCs w:val="20"/>
        </w:rPr>
      </w:pPr>
      <w:r w:rsidRPr="00E042B1">
        <w:rPr>
          <w:rStyle w:val="Strong"/>
          <w:rFonts w:ascii="Arial" w:hAnsi="Arial" w:cs="Arial"/>
          <w:b w:val="0"/>
          <w:bCs w:val="0"/>
          <w:sz w:val="20"/>
          <w:szCs w:val="20"/>
        </w:rPr>
        <w:t>Buckwheat (</w:t>
      </w:r>
      <w:r w:rsidRPr="00E042B1">
        <w:rPr>
          <w:rStyle w:val="Strong"/>
          <w:rFonts w:ascii="Arial" w:hAnsi="Arial" w:cs="Arial"/>
          <w:b w:val="0"/>
          <w:bCs w:val="0"/>
          <w:i/>
          <w:iCs/>
          <w:sz w:val="20"/>
          <w:szCs w:val="20"/>
        </w:rPr>
        <w:t>Fagopyrum</w:t>
      </w:r>
      <w:r w:rsidRPr="00E042B1">
        <w:rPr>
          <w:rStyle w:val="Strong"/>
          <w:rFonts w:ascii="Arial" w:hAnsi="Arial" w:cs="Arial"/>
          <w:b w:val="0"/>
          <w:bCs w:val="0"/>
          <w:sz w:val="20"/>
          <w:szCs w:val="20"/>
        </w:rPr>
        <w:t xml:space="preserve"> </w:t>
      </w:r>
      <w:r w:rsidRPr="00E042B1">
        <w:rPr>
          <w:rStyle w:val="Strong"/>
          <w:rFonts w:ascii="Arial" w:hAnsi="Arial" w:cs="Arial"/>
          <w:b w:val="0"/>
          <w:bCs w:val="0"/>
          <w:i/>
          <w:iCs/>
          <w:sz w:val="20"/>
          <w:szCs w:val="20"/>
        </w:rPr>
        <w:t>spp</w:t>
      </w:r>
      <w:r w:rsidRPr="00E042B1">
        <w:rPr>
          <w:rStyle w:val="Strong"/>
          <w:rFonts w:ascii="Arial" w:hAnsi="Arial" w:cs="Arial"/>
          <w:b w:val="0"/>
          <w:bCs w:val="0"/>
          <w:sz w:val="20"/>
          <w:szCs w:val="20"/>
        </w:rPr>
        <w:t>.)</w:t>
      </w:r>
      <w:r w:rsidRPr="00E042B1">
        <w:rPr>
          <w:rFonts w:ascii="Arial" w:hAnsi="Arial" w:cs="Arial"/>
          <w:b/>
          <w:bCs/>
          <w:sz w:val="20"/>
          <w:szCs w:val="20"/>
        </w:rPr>
        <w:t xml:space="preserve"> </w:t>
      </w:r>
      <w:r w:rsidRPr="00E042B1">
        <w:rPr>
          <w:rFonts w:ascii="Arial" w:hAnsi="Arial" w:cs="Arial"/>
          <w:sz w:val="20"/>
          <w:szCs w:val="20"/>
        </w:rPr>
        <w:t>although botanically a fruit seed, is functionally treated as a cereal and is widely cultivated in the high-altitude regions of Indi</w:t>
      </w:r>
      <w:r w:rsidR="00ED108F" w:rsidRPr="00E042B1">
        <w:rPr>
          <w:rFonts w:ascii="Arial" w:hAnsi="Arial" w:cs="Arial"/>
          <w:sz w:val="20"/>
          <w:szCs w:val="20"/>
        </w:rPr>
        <w:t>a</w:t>
      </w:r>
      <w:r w:rsidRPr="00E042B1">
        <w:rPr>
          <w:rFonts w:ascii="Arial" w:hAnsi="Arial" w:cs="Arial"/>
          <w:sz w:val="20"/>
          <w:szCs w:val="20"/>
        </w:rPr>
        <w:t xml:space="preserve"> such as Himachal Pradesh, Uttarakhand and Jammu &amp; Kashmir (</w:t>
      </w:r>
      <w:r w:rsidR="00213171" w:rsidRPr="00E042B1">
        <w:rPr>
          <w:rFonts w:ascii="Arial" w:hAnsi="Arial" w:cs="Arial"/>
          <w:sz w:val="20"/>
          <w:szCs w:val="20"/>
        </w:rPr>
        <w:t>Om Priya</w:t>
      </w:r>
      <w:r w:rsidR="00213171" w:rsidRPr="00E042B1">
        <w:rPr>
          <w:rFonts w:ascii="Arial" w:hAnsi="Arial" w:cs="Arial"/>
          <w:i/>
          <w:iCs/>
          <w:sz w:val="20"/>
          <w:szCs w:val="20"/>
        </w:rPr>
        <w:t xml:space="preserve"> et al.,</w:t>
      </w:r>
      <w:r w:rsidR="00213171" w:rsidRPr="00E042B1">
        <w:rPr>
          <w:rFonts w:ascii="Arial" w:hAnsi="Arial" w:cs="Arial"/>
          <w:sz w:val="20"/>
          <w:szCs w:val="20"/>
        </w:rPr>
        <w:t xml:space="preserve"> 2025</w:t>
      </w:r>
      <w:r w:rsidRPr="00E042B1">
        <w:rPr>
          <w:rFonts w:ascii="Arial" w:hAnsi="Arial" w:cs="Arial"/>
          <w:sz w:val="20"/>
          <w:szCs w:val="20"/>
        </w:rPr>
        <w:t>). Two primary species</w:t>
      </w:r>
      <w:r w:rsidR="00ED108F" w:rsidRPr="00E042B1">
        <w:rPr>
          <w:rFonts w:ascii="Arial" w:hAnsi="Arial" w:cs="Arial"/>
          <w:sz w:val="20"/>
          <w:szCs w:val="20"/>
        </w:rPr>
        <w:t xml:space="preserve">; </w:t>
      </w:r>
      <w:r w:rsidRPr="00E042B1">
        <w:rPr>
          <w:rFonts w:ascii="Arial" w:hAnsi="Arial" w:cs="Arial"/>
          <w:sz w:val="20"/>
          <w:szCs w:val="20"/>
        </w:rPr>
        <w:t>common buckwheat (</w:t>
      </w:r>
      <w:r w:rsidRPr="00E042B1">
        <w:rPr>
          <w:rFonts w:ascii="Arial" w:hAnsi="Arial" w:cs="Arial"/>
          <w:i/>
          <w:iCs/>
          <w:sz w:val="20"/>
          <w:szCs w:val="20"/>
        </w:rPr>
        <w:t xml:space="preserve">F. </w:t>
      </w:r>
      <w:proofErr w:type="spellStart"/>
      <w:r w:rsidRPr="00E042B1">
        <w:rPr>
          <w:rFonts w:ascii="Arial" w:hAnsi="Arial" w:cs="Arial"/>
          <w:i/>
          <w:iCs/>
          <w:sz w:val="20"/>
          <w:szCs w:val="20"/>
        </w:rPr>
        <w:t>esculentum</w:t>
      </w:r>
      <w:proofErr w:type="spellEnd"/>
      <w:r w:rsidRPr="00E042B1">
        <w:rPr>
          <w:rFonts w:ascii="Arial" w:hAnsi="Arial" w:cs="Arial"/>
          <w:sz w:val="20"/>
          <w:szCs w:val="20"/>
        </w:rPr>
        <w:t xml:space="preserve">) and </w:t>
      </w:r>
      <w:proofErr w:type="spellStart"/>
      <w:r w:rsidRPr="00E042B1">
        <w:rPr>
          <w:rFonts w:ascii="Arial" w:hAnsi="Arial" w:cs="Arial"/>
          <w:sz w:val="20"/>
          <w:szCs w:val="20"/>
        </w:rPr>
        <w:t>tartary</w:t>
      </w:r>
      <w:proofErr w:type="spellEnd"/>
      <w:r w:rsidRPr="00E042B1">
        <w:rPr>
          <w:rFonts w:ascii="Arial" w:hAnsi="Arial" w:cs="Arial"/>
          <w:sz w:val="20"/>
          <w:szCs w:val="20"/>
        </w:rPr>
        <w:t xml:space="preserve"> buckwheat (</w:t>
      </w:r>
      <w:r w:rsidRPr="00E042B1">
        <w:rPr>
          <w:rFonts w:ascii="Arial" w:hAnsi="Arial" w:cs="Arial"/>
          <w:i/>
          <w:iCs/>
          <w:sz w:val="20"/>
          <w:szCs w:val="20"/>
        </w:rPr>
        <w:t xml:space="preserve">F. </w:t>
      </w:r>
      <w:proofErr w:type="spellStart"/>
      <w:r w:rsidRPr="00E042B1">
        <w:rPr>
          <w:rFonts w:ascii="Arial" w:hAnsi="Arial" w:cs="Arial"/>
          <w:i/>
          <w:iCs/>
          <w:sz w:val="20"/>
          <w:szCs w:val="20"/>
        </w:rPr>
        <w:t>tartaricum</w:t>
      </w:r>
      <w:proofErr w:type="spellEnd"/>
      <w:r w:rsidRPr="00E042B1">
        <w:rPr>
          <w:rFonts w:ascii="Arial" w:hAnsi="Arial" w:cs="Arial"/>
          <w:sz w:val="20"/>
          <w:szCs w:val="20"/>
        </w:rPr>
        <w:t>) are grown at altitudes between 1500 and 4500 mete</w:t>
      </w:r>
      <w:r w:rsidR="00732D3A" w:rsidRPr="00E042B1">
        <w:rPr>
          <w:rFonts w:ascii="Arial" w:hAnsi="Arial" w:cs="Arial"/>
          <w:sz w:val="20"/>
          <w:szCs w:val="20"/>
        </w:rPr>
        <w:t>rs</w:t>
      </w:r>
      <w:r w:rsidRPr="00E042B1">
        <w:rPr>
          <w:rFonts w:ascii="Arial" w:hAnsi="Arial" w:cs="Arial"/>
          <w:sz w:val="20"/>
          <w:szCs w:val="20"/>
        </w:rPr>
        <w:t>. Buckwheat is notable for its robust nutrient profile: it contains 16 per cent protein, 62 per cent carbohydrates, 14 per cent fiber and is enriched with iron (up to 100 mg/100 g), zinc, copper, phosphorus and B-complex vitamins (</w:t>
      </w:r>
      <w:proofErr w:type="spellStart"/>
      <w:r w:rsidR="00264C50" w:rsidRPr="00E042B1">
        <w:rPr>
          <w:rFonts w:ascii="Arial" w:hAnsi="Arial" w:cs="Arial"/>
          <w:sz w:val="20"/>
          <w:szCs w:val="20"/>
        </w:rPr>
        <w:t>Soni</w:t>
      </w:r>
      <w:proofErr w:type="spellEnd"/>
      <w:r w:rsidRPr="00E042B1">
        <w:rPr>
          <w:rFonts w:ascii="Arial" w:hAnsi="Arial" w:cs="Arial"/>
          <w:i/>
          <w:iCs/>
          <w:sz w:val="20"/>
          <w:szCs w:val="20"/>
        </w:rPr>
        <w:t>,</w:t>
      </w:r>
      <w:r w:rsidR="00264C50" w:rsidRPr="00E042B1">
        <w:rPr>
          <w:rFonts w:ascii="Arial" w:hAnsi="Arial" w:cs="Arial"/>
          <w:sz w:val="20"/>
          <w:szCs w:val="20"/>
        </w:rPr>
        <w:t xml:space="preserve"> 2022</w:t>
      </w:r>
      <w:r w:rsidRPr="00E042B1">
        <w:rPr>
          <w:rFonts w:ascii="Arial" w:hAnsi="Arial" w:cs="Arial"/>
          <w:sz w:val="20"/>
          <w:szCs w:val="20"/>
        </w:rPr>
        <w:t>). It also contains unique bioactive compounds such as C-</w:t>
      </w:r>
      <w:proofErr w:type="spellStart"/>
      <w:r w:rsidRPr="00E042B1">
        <w:rPr>
          <w:rFonts w:ascii="Arial" w:hAnsi="Arial" w:cs="Arial"/>
          <w:sz w:val="20"/>
          <w:szCs w:val="20"/>
        </w:rPr>
        <w:t>gluco</w:t>
      </w:r>
      <w:proofErr w:type="spellEnd"/>
      <w:r w:rsidRPr="00E042B1">
        <w:rPr>
          <w:rFonts w:ascii="Arial" w:hAnsi="Arial" w:cs="Arial"/>
          <w:sz w:val="20"/>
          <w:szCs w:val="20"/>
        </w:rPr>
        <w:t xml:space="preserve"> flavones and D-chiro-inositol, which contribute to its antidiabetic, </w:t>
      </w:r>
      <w:proofErr w:type="spellStart"/>
      <w:r w:rsidRPr="00E042B1">
        <w:rPr>
          <w:rFonts w:ascii="Arial" w:hAnsi="Arial" w:cs="Arial"/>
          <w:sz w:val="20"/>
          <w:szCs w:val="20"/>
        </w:rPr>
        <w:t>hypocholesterolemic</w:t>
      </w:r>
      <w:proofErr w:type="spellEnd"/>
      <w:r w:rsidRPr="00E042B1">
        <w:rPr>
          <w:rFonts w:ascii="Arial" w:hAnsi="Arial" w:cs="Arial"/>
          <w:sz w:val="20"/>
          <w:szCs w:val="20"/>
        </w:rPr>
        <w:t>, anticancer and anti-inflammatory properties (</w:t>
      </w:r>
      <w:proofErr w:type="spellStart"/>
      <w:r w:rsidR="00D265DF" w:rsidRPr="00E042B1">
        <w:rPr>
          <w:rFonts w:ascii="Arial" w:hAnsi="Arial" w:cs="Arial"/>
          <w:color w:val="222222"/>
          <w:sz w:val="20"/>
          <w:szCs w:val="20"/>
          <w:shd w:val="clear" w:color="auto" w:fill="FFFFFF"/>
        </w:rPr>
        <w:t>Sonawane</w:t>
      </w:r>
      <w:proofErr w:type="spellEnd"/>
      <w:r w:rsidR="00D265DF" w:rsidRPr="00E042B1">
        <w:rPr>
          <w:rFonts w:ascii="Arial" w:hAnsi="Arial" w:cs="Arial"/>
          <w:i/>
          <w:iCs/>
          <w:sz w:val="20"/>
          <w:szCs w:val="20"/>
        </w:rPr>
        <w:t xml:space="preserve"> </w:t>
      </w:r>
      <w:r w:rsidRPr="00E042B1">
        <w:rPr>
          <w:rFonts w:ascii="Arial" w:hAnsi="Arial" w:cs="Arial"/>
          <w:i/>
          <w:iCs/>
          <w:sz w:val="20"/>
          <w:szCs w:val="20"/>
        </w:rPr>
        <w:t>et al.,</w:t>
      </w:r>
      <w:r w:rsidR="00D265DF" w:rsidRPr="00E042B1">
        <w:rPr>
          <w:rFonts w:ascii="Arial" w:hAnsi="Arial" w:cs="Arial"/>
          <w:sz w:val="20"/>
          <w:szCs w:val="20"/>
        </w:rPr>
        <w:t xml:space="preserve"> 2024</w:t>
      </w:r>
      <w:r w:rsidRPr="00E042B1">
        <w:rPr>
          <w:rFonts w:ascii="Arial" w:hAnsi="Arial" w:cs="Arial"/>
          <w:sz w:val="20"/>
          <w:szCs w:val="20"/>
        </w:rPr>
        <w:t>). Its unique prot</w:t>
      </w:r>
      <w:r w:rsidR="00264C50" w:rsidRPr="00E042B1">
        <w:rPr>
          <w:rFonts w:ascii="Arial" w:hAnsi="Arial" w:cs="Arial"/>
          <w:sz w:val="20"/>
          <w:szCs w:val="20"/>
        </w:rPr>
        <w:t>ein structure, devoid of gluten</w:t>
      </w:r>
      <w:r w:rsidRPr="00E042B1">
        <w:rPr>
          <w:rFonts w:ascii="Arial" w:hAnsi="Arial" w:cs="Arial"/>
          <w:sz w:val="20"/>
          <w:szCs w:val="20"/>
        </w:rPr>
        <w:t xml:space="preserve"> makes it suitable for individuals with gluten intolerance or</w:t>
      </w:r>
      <w:r w:rsidR="00264C50" w:rsidRPr="00E042B1">
        <w:rPr>
          <w:rFonts w:ascii="Arial" w:hAnsi="Arial" w:cs="Arial"/>
          <w:sz w:val="20"/>
          <w:szCs w:val="20"/>
        </w:rPr>
        <w:t xml:space="preserve"> celiac disease. Globally</w:t>
      </w:r>
      <w:r w:rsidRPr="00E042B1">
        <w:rPr>
          <w:rFonts w:ascii="Arial" w:hAnsi="Arial" w:cs="Arial"/>
          <w:sz w:val="20"/>
          <w:szCs w:val="20"/>
        </w:rPr>
        <w:t xml:space="preserve"> buc</w:t>
      </w:r>
      <w:r w:rsidR="00264C50" w:rsidRPr="00E042B1">
        <w:rPr>
          <w:rFonts w:ascii="Arial" w:hAnsi="Arial" w:cs="Arial"/>
          <w:sz w:val="20"/>
          <w:szCs w:val="20"/>
        </w:rPr>
        <w:t>kwheat is used in various forms</w:t>
      </w:r>
      <w:r w:rsidRPr="00E042B1">
        <w:rPr>
          <w:rFonts w:ascii="Arial" w:hAnsi="Arial" w:cs="Arial"/>
          <w:sz w:val="20"/>
          <w:szCs w:val="20"/>
        </w:rPr>
        <w:t xml:space="preserve"> including noodles, pancakes, porridge and traditional confectioneries, particularly in China, Japan and Eastern Europe (</w:t>
      </w:r>
      <w:proofErr w:type="spellStart"/>
      <w:r w:rsidR="002228E8" w:rsidRPr="00E042B1">
        <w:rPr>
          <w:rFonts w:ascii="Arial" w:hAnsi="Arial" w:cs="Arial"/>
          <w:color w:val="222222"/>
          <w:sz w:val="20"/>
          <w:szCs w:val="20"/>
          <w:shd w:val="clear" w:color="auto" w:fill="FFFFFF"/>
        </w:rPr>
        <w:t>Puligundla</w:t>
      </w:r>
      <w:proofErr w:type="spellEnd"/>
      <w:r w:rsidR="002228E8" w:rsidRPr="00E042B1">
        <w:rPr>
          <w:rFonts w:ascii="Arial" w:hAnsi="Arial" w:cs="Arial"/>
          <w:color w:val="222222"/>
          <w:sz w:val="20"/>
          <w:szCs w:val="20"/>
          <w:shd w:val="clear" w:color="auto" w:fill="FFFFFF"/>
        </w:rPr>
        <w:t xml:space="preserve"> </w:t>
      </w:r>
      <w:r w:rsidR="002228E8" w:rsidRPr="00E042B1">
        <w:rPr>
          <w:rFonts w:ascii="Arial" w:hAnsi="Arial" w:cs="Arial"/>
          <w:sz w:val="20"/>
          <w:szCs w:val="20"/>
        </w:rPr>
        <w:t>and</w:t>
      </w:r>
      <w:r w:rsidR="002228E8" w:rsidRPr="00E042B1">
        <w:rPr>
          <w:rFonts w:ascii="Arial" w:hAnsi="Arial" w:cs="Arial"/>
          <w:color w:val="222222"/>
          <w:sz w:val="20"/>
          <w:szCs w:val="20"/>
          <w:shd w:val="clear" w:color="auto" w:fill="FFFFFF"/>
        </w:rPr>
        <w:t xml:space="preserve"> Lim, 2021</w:t>
      </w:r>
      <w:r w:rsidRPr="00E042B1">
        <w:rPr>
          <w:rFonts w:ascii="Arial" w:hAnsi="Arial" w:cs="Arial"/>
          <w:sz w:val="20"/>
          <w:szCs w:val="20"/>
        </w:rPr>
        <w:t>). In the Indian context, it remains underutilized in modern processed foo</w:t>
      </w:r>
      <w:r w:rsidR="00337F9A" w:rsidRPr="00E042B1">
        <w:rPr>
          <w:rFonts w:ascii="Arial" w:hAnsi="Arial" w:cs="Arial"/>
          <w:sz w:val="20"/>
          <w:szCs w:val="20"/>
        </w:rPr>
        <w:t>ds</w:t>
      </w:r>
      <w:r w:rsidRPr="00E042B1">
        <w:rPr>
          <w:rFonts w:ascii="Arial" w:hAnsi="Arial" w:cs="Arial"/>
          <w:sz w:val="20"/>
          <w:szCs w:val="20"/>
        </w:rPr>
        <w:t xml:space="preserve"> despite its therapeutic and functional potential.</w:t>
      </w:r>
    </w:p>
    <w:p w:rsidR="00234A31" w:rsidRPr="00E042B1" w:rsidRDefault="00234A31" w:rsidP="00234A31">
      <w:pPr>
        <w:pStyle w:val="NormalWeb"/>
        <w:jc w:val="both"/>
        <w:rPr>
          <w:rFonts w:ascii="Arial" w:hAnsi="Arial" w:cs="Arial"/>
          <w:sz w:val="20"/>
          <w:szCs w:val="20"/>
        </w:rPr>
      </w:pPr>
      <w:r w:rsidRPr="00E042B1">
        <w:rPr>
          <w:rFonts w:ascii="Arial" w:hAnsi="Arial" w:cs="Arial"/>
          <w:sz w:val="20"/>
          <w:szCs w:val="20"/>
        </w:rPr>
        <w:t xml:space="preserve">Advancements in food processing technologies have made it possible to develop various dry mixes and ready-to-cook versions of traditional Indian recipes such as </w:t>
      </w:r>
      <w:proofErr w:type="spellStart"/>
      <w:r w:rsidRPr="00E042B1">
        <w:rPr>
          <w:rFonts w:ascii="Arial" w:hAnsi="Arial" w:cs="Arial"/>
          <w:i/>
          <w:iCs/>
          <w:sz w:val="20"/>
          <w:szCs w:val="20"/>
        </w:rPr>
        <w:t>idli</w:t>
      </w:r>
      <w:proofErr w:type="spellEnd"/>
      <w:r w:rsidRPr="00E042B1">
        <w:rPr>
          <w:rFonts w:ascii="Arial" w:hAnsi="Arial" w:cs="Arial"/>
          <w:sz w:val="20"/>
          <w:szCs w:val="20"/>
        </w:rPr>
        <w:t xml:space="preserve">, </w:t>
      </w:r>
      <w:proofErr w:type="spellStart"/>
      <w:r w:rsidRPr="00E042B1">
        <w:rPr>
          <w:rFonts w:ascii="Arial" w:hAnsi="Arial" w:cs="Arial"/>
          <w:i/>
          <w:iCs/>
          <w:sz w:val="20"/>
          <w:szCs w:val="20"/>
        </w:rPr>
        <w:t>dosa</w:t>
      </w:r>
      <w:proofErr w:type="spellEnd"/>
      <w:r w:rsidRPr="00E042B1">
        <w:rPr>
          <w:rFonts w:ascii="Arial" w:hAnsi="Arial" w:cs="Arial"/>
          <w:sz w:val="20"/>
          <w:szCs w:val="20"/>
        </w:rPr>
        <w:t xml:space="preserve">, </w:t>
      </w:r>
      <w:r w:rsidRPr="00E042B1">
        <w:rPr>
          <w:rFonts w:ascii="Arial" w:hAnsi="Arial" w:cs="Arial"/>
          <w:i/>
          <w:iCs/>
          <w:sz w:val="20"/>
          <w:szCs w:val="20"/>
        </w:rPr>
        <w:t>upma</w:t>
      </w:r>
      <w:r w:rsidRPr="00E042B1">
        <w:rPr>
          <w:rFonts w:ascii="Arial" w:hAnsi="Arial" w:cs="Arial"/>
          <w:sz w:val="20"/>
          <w:szCs w:val="20"/>
        </w:rPr>
        <w:t xml:space="preserve"> and snacks like </w:t>
      </w:r>
      <w:proofErr w:type="spellStart"/>
      <w:r w:rsidRPr="00E042B1">
        <w:rPr>
          <w:rFonts w:ascii="Arial" w:hAnsi="Arial" w:cs="Arial"/>
          <w:i/>
          <w:iCs/>
          <w:sz w:val="20"/>
          <w:szCs w:val="20"/>
        </w:rPr>
        <w:t>mathari</w:t>
      </w:r>
      <w:proofErr w:type="spellEnd"/>
      <w:r w:rsidRPr="00E042B1">
        <w:rPr>
          <w:rFonts w:ascii="Arial" w:hAnsi="Arial" w:cs="Arial"/>
          <w:sz w:val="20"/>
          <w:szCs w:val="20"/>
        </w:rPr>
        <w:t xml:space="preserve"> and </w:t>
      </w:r>
      <w:proofErr w:type="spellStart"/>
      <w:r w:rsidRPr="00E042B1">
        <w:rPr>
          <w:rFonts w:ascii="Arial" w:hAnsi="Arial" w:cs="Arial"/>
          <w:i/>
          <w:iCs/>
          <w:sz w:val="20"/>
          <w:szCs w:val="20"/>
        </w:rPr>
        <w:t>muruku</w:t>
      </w:r>
      <w:proofErr w:type="spellEnd"/>
      <w:r w:rsidRPr="00E042B1">
        <w:rPr>
          <w:rFonts w:ascii="Arial" w:hAnsi="Arial" w:cs="Arial"/>
          <w:sz w:val="20"/>
          <w:szCs w:val="20"/>
        </w:rPr>
        <w:t xml:space="preserve">. These convenience foods offer a practical solution to modern dietary patterns but must also align with nutritional goals. Therefore, integrating millets like sorghum and buckwheat into convenience food formulations could bridge the gap between convenience and nutrition. Developing such products is essential not only for improving dietary diversity but also for addressing deep-seated malnutrition and reducing post-harvest losses of seasonal crops (Sarita and Singh, 2016; Saxena </w:t>
      </w:r>
      <w:r w:rsidRPr="00E042B1">
        <w:rPr>
          <w:rFonts w:ascii="Arial" w:hAnsi="Arial" w:cs="Arial"/>
          <w:i/>
          <w:iCs/>
          <w:sz w:val="20"/>
          <w:szCs w:val="20"/>
        </w:rPr>
        <w:t>et al.,</w:t>
      </w:r>
      <w:r w:rsidRPr="00E042B1">
        <w:rPr>
          <w:rFonts w:ascii="Arial" w:hAnsi="Arial" w:cs="Arial"/>
          <w:sz w:val="20"/>
          <w:szCs w:val="20"/>
        </w:rPr>
        <w:t xml:space="preserve"> 2018).</w:t>
      </w:r>
    </w:p>
    <w:p w:rsidR="00790ADA" w:rsidRPr="00E042B1" w:rsidRDefault="00234A31" w:rsidP="00234A31">
      <w:pPr>
        <w:pStyle w:val="NormalWeb"/>
        <w:jc w:val="both"/>
        <w:rPr>
          <w:rFonts w:ascii="Arial" w:hAnsi="Arial" w:cs="Arial"/>
          <w:sz w:val="20"/>
          <w:szCs w:val="20"/>
        </w:rPr>
      </w:pPr>
      <w:r w:rsidRPr="00E042B1">
        <w:rPr>
          <w:rFonts w:ascii="Arial" w:hAnsi="Arial" w:cs="Arial"/>
          <w:sz w:val="20"/>
          <w:szCs w:val="20"/>
        </w:rPr>
        <w:t>In view of the above, the present research was undertaken to formulate millet-based convenience foods using sorghum and buckwheat, aiming to enhance the nutritional profile of traditional snacks while offering a practical, health-oriented solution for today’s evolving dietary patterns.</w:t>
      </w:r>
    </w:p>
    <w:p w:rsidR="007F7B32" w:rsidRPr="00E042B1" w:rsidRDefault="00902823" w:rsidP="00441B6F">
      <w:pPr>
        <w:pStyle w:val="AbstHead"/>
        <w:spacing w:after="0"/>
        <w:jc w:val="both"/>
        <w:rPr>
          <w:rFonts w:ascii="Arial" w:hAnsi="Arial" w:cs="Arial"/>
        </w:rPr>
      </w:pPr>
      <w:r w:rsidRPr="00E042B1">
        <w:rPr>
          <w:rFonts w:ascii="Arial" w:hAnsi="Arial" w:cs="Arial"/>
        </w:rPr>
        <w:t>2. material and method</w:t>
      </w:r>
      <w:r w:rsidR="00F6544E" w:rsidRPr="00E042B1">
        <w:rPr>
          <w:rFonts w:ascii="Arial" w:hAnsi="Arial" w:cs="Arial"/>
        </w:rPr>
        <w:t>s</w:t>
      </w:r>
    </w:p>
    <w:p w:rsidR="00C60C0B" w:rsidRPr="00E042B1" w:rsidRDefault="00AA74E0" w:rsidP="00C60C0B">
      <w:pPr>
        <w:spacing w:before="100" w:beforeAutospacing="1" w:after="100" w:afterAutospacing="1"/>
        <w:jc w:val="both"/>
        <w:rPr>
          <w:rFonts w:ascii="Arial" w:hAnsi="Arial" w:cs="Arial"/>
          <w:b/>
          <w:bCs/>
          <w:sz w:val="24"/>
          <w:szCs w:val="24"/>
        </w:rPr>
      </w:pPr>
      <w:r w:rsidRPr="00E042B1">
        <w:rPr>
          <w:rFonts w:ascii="Arial" w:hAnsi="Arial" w:cs="Arial"/>
          <w:b/>
          <w:caps/>
          <w:sz w:val="22"/>
        </w:rPr>
        <w:t>2.</w:t>
      </w:r>
      <w:r w:rsidRPr="00E042B1">
        <w:rPr>
          <w:rFonts w:ascii="Arial" w:hAnsi="Arial" w:cs="Arial"/>
          <w:b/>
          <w:caps/>
          <w:sz w:val="22"/>
          <w:szCs w:val="22"/>
        </w:rPr>
        <w:t xml:space="preserve">1 </w:t>
      </w:r>
      <w:r w:rsidR="00C60C0B" w:rsidRPr="00E042B1">
        <w:rPr>
          <w:rFonts w:ascii="Arial" w:hAnsi="Arial" w:cs="Arial"/>
          <w:b/>
          <w:bCs/>
          <w:sz w:val="22"/>
          <w:szCs w:val="22"/>
        </w:rPr>
        <w:t>Procurement and Preparation of Raw Material</w:t>
      </w:r>
    </w:p>
    <w:p w:rsidR="00C60C0B" w:rsidRPr="00E042B1" w:rsidRDefault="00C60C0B" w:rsidP="00C60C0B">
      <w:pPr>
        <w:spacing w:before="100" w:beforeAutospacing="1" w:after="100" w:afterAutospacing="1"/>
        <w:jc w:val="both"/>
        <w:rPr>
          <w:rFonts w:ascii="Arial" w:hAnsi="Arial" w:cs="Arial"/>
          <w:lang w:bidi="hi-IN"/>
        </w:rPr>
      </w:pPr>
      <w:r w:rsidRPr="00E042B1">
        <w:rPr>
          <w:rFonts w:ascii="Arial" w:hAnsi="Arial" w:cs="Arial"/>
          <w:lang w:bidi="hi-IN"/>
        </w:rPr>
        <w:lastRenderedPageBreak/>
        <w:t>Sorghum (</w:t>
      </w:r>
      <w:r w:rsidRPr="00E042B1">
        <w:rPr>
          <w:rFonts w:ascii="Arial" w:hAnsi="Arial" w:cs="Arial"/>
          <w:i/>
          <w:iCs/>
          <w:lang w:bidi="hi-IN"/>
        </w:rPr>
        <w:t>Sorghum bicolor</w:t>
      </w:r>
      <w:r w:rsidRPr="00E042B1">
        <w:rPr>
          <w:rFonts w:ascii="Arial" w:hAnsi="Arial" w:cs="Arial"/>
          <w:lang w:bidi="hi-IN"/>
        </w:rPr>
        <w:t>), buckwheat (</w:t>
      </w:r>
      <w:r w:rsidRPr="00E042B1">
        <w:rPr>
          <w:rFonts w:ascii="Arial" w:hAnsi="Arial" w:cs="Arial"/>
          <w:i/>
          <w:iCs/>
          <w:lang w:bidi="hi-IN"/>
        </w:rPr>
        <w:t xml:space="preserve">Fagopyrum </w:t>
      </w:r>
      <w:proofErr w:type="spellStart"/>
      <w:r w:rsidRPr="00E042B1">
        <w:rPr>
          <w:rFonts w:ascii="Arial" w:hAnsi="Arial" w:cs="Arial"/>
          <w:i/>
          <w:iCs/>
          <w:lang w:bidi="hi-IN"/>
        </w:rPr>
        <w:t>esculentum</w:t>
      </w:r>
      <w:proofErr w:type="spellEnd"/>
      <w:r w:rsidRPr="00E042B1">
        <w:rPr>
          <w:rFonts w:ascii="Arial" w:hAnsi="Arial" w:cs="Arial"/>
          <w:lang w:bidi="hi-IN"/>
        </w:rPr>
        <w:t>) and other ingredients were procured in bulk from the local market of Bikaner, Rajasthan in a single lot to ensure consistency and minimize variation. The grains were cleaned thoroughly by repeated washing with tap water, followed by rinsing with distilled water (</w:t>
      </w:r>
      <w:proofErr w:type="spellStart"/>
      <w:r w:rsidRPr="00E042B1">
        <w:rPr>
          <w:rFonts w:ascii="Arial" w:hAnsi="Arial" w:cs="Arial"/>
          <w:lang w:bidi="hi-IN"/>
        </w:rPr>
        <w:t>Agrahari</w:t>
      </w:r>
      <w:proofErr w:type="spellEnd"/>
      <w:r w:rsidRPr="00E042B1">
        <w:rPr>
          <w:rFonts w:ascii="Arial" w:hAnsi="Arial" w:cs="Arial"/>
          <w:lang w:bidi="hi-IN"/>
        </w:rPr>
        <w:t xml:space="preserve"> &amp; </w:t>
      </w:r>
      <w:proofErr w:type="spellStart"/>
      <w:r w:rsidRPr="00E042B1">
        <w:rPr>
          <w:rFonts w:ascii="Arial" w:hAnsi="Arial" w:cs="Arial"/>
          <w:lang w:bidi="hi-IN"/>
        </w:rPr>
        <w:t>Dunkwal</w:t>
      </w:r>
      <w:proofErr w:type="spellEnd"/>
      <w:r w:rsidRPr="00E042B1">
        <w:rPr>
          <w:rFonts w:ascii="Arial" w:hAnsi="Arial" w:cs="Arial"/>
          <w:lang w:bidi="hi-IN"/>
        </w:rPr>
        <w:t xml:space="preserve">, 2012) and shade dried at room temperature (27 ± 3°C) for 2–3 days. Once dried, they were ground using a laboratory grinder and sieved through a 100-mesh sieve to obtain fine flour. </w:t>
      </w:r>
      <w:r w:rsidRPr="00E042B1">
        <w:rPr>
          <w:rFonts w:ascii="Arial" w:hAnsi="Arial" w:cs="Arial"/>
        </w:rPr>
        <w:t>The flours were then stored in airtight, food-grade containers under ambient conditions until further use in product formulation. A composite flour blend was standardized based on preliminary trials in the ratio of 50 per cent sorghum, 25 per cent buckwheat and 25 per cent corn flour for optimal sensory and textural characteristics.</w:t>
      </w:r>
      <w:r w:rsidRPr="00E042B1">
        <w:rPr>
          <w:rFonts w:ascii="Arial" w:hAnsi="Arial" w:cs="Arial"/>
          <w:lang w:bidi="hi-IN"/>
        </w:rPr>
        <w:t xml:space="preserve"> </w:t>
      </w:r>
    </w:p>
    <w:p w:rsidR="00C60C0B" w:rsidRPr="00E042B1" w:rsidRDefault="00C60C0B" w:rsidP="00C60C0B">
      <w:pPr>
        <w:pStyle w:val="NormalWeb"/>
        <w:jc w:val="both"/>
        <w:rPr>
          <w:rFonts w:ascii="Arial" w:hAnsi="Arial" w:cs="Arial"/>
          <w:b/>
          <w:bCs/>
          <w:sz w:val="22"/>
          <w:szCs w:val="22"/>
        </w:rPr>
      </w:pPr>
      <w:r w:rsidRPr="00E042B1">
        <w:rPr>
          <w:rFonts w:ascii="Arial" w:hAnsi="Arial" w:cs="Arial"/>
          <w:b/>
          <w:caps/>
          <w:sz w:val="22"/>
          <w:szCs w:val="22"/>
        </w:rPr>
        <w:t xml:space="preserve">2.2 </w:t>
      </w:r>
      <w:r w:rsidRPr="00E042B1">
        <w:rPr>
          <w:rFonts w:ascii="Arial" w:hAnsi="Arial" w:cs="Arial"/>
          <w:b/>
          <w:bCs/>
          <w:sz w:val="22"/>
          <w:szCs w:val="22"/>
        </w:rPr>
        <w:t xml:space="preserve">Product Preparation </w:t>
      </w:r>
    </w:p>
    <w:p w:rsidR="00C60C0B" w:rsidRPr="00E042B1" w:rsidRDefault="00C60C0B" w:rsidP="00C60C0B">
      <w:pPr>
        <w:tabs>
          <w:tab w:val="left" w:pos="3696"/>
        </w:tabs>
        <w:jc w:val="both"/>
        <w:rPr>
          <w:rFonts w:ascii="Arial" w:hAnsi="Arial" w:cs="Arial"/>
        </w:rPr>
      </w:pPr>
      <w:r w:rsidRPr="00E042B1">
        <w:rPr>
          <w:rFonts w:ascii="Arial" w:hAnsi="Arial" w:cs="Arial"/>
        </w:rPr>
        <w:t>For product preparation (Table 1.), the flour and baking powder were sifted together twice and then thrice to ensure uniform mixing. Butter, sugar, salt and carom seeds were added to the mixture, and the dough was prepared using milk. The dough was then rolled into a ¼-inch thick sheet and cut into desired shapes with the help of a cutter. The shaped dough pieces were arranged on a greased tray and baked in a preheated oven at 160°C for 15–20 minutes until crisp and golden. The formulated salty biscuits were presented in Plate 1.</w:t>
      </w:r>
    </w:p>
    <w:p w:rsidR="00C60C0B" w:rsidRPr="00E042B1" w:rsidRDefault="00C60C0B" w:rsidP="00C60C0B">
      <w:pPr>
        <w:tabs>
          <w:tab w:val="left" w:pos="3696"/>
        </w:tabs>
        <w:rPr>
          <w:rFonts w:ascii="Arial" w:hAnsi="Arial" w:cs="Arial"/>
          <w:b/>
          <w:bCs/>
        </w:rPr>
      </w:pPr>
    </w:p>
    <w:p w:rsidR="00C60C0B" w:rsidRPr="00E042B1" w:rsidRDefault="00C60C0B" w:rsidP="00C60C0B">
      <w:pPr>
        <w:tabs>
          <w:tab w:val="left" w:pos="3696"/>
        </w:tabs>
        <w:rPr>
          <w:rFonts w:ascii="Arial" w:hAnsi="Arial" w:cs="Arial"/>
          <w:b/>
          <w:bCs/>
          <w:i/>
          <w:iCs/>
        </w:rPr>
      </w:pPr>
      <w:r w:rsidRPr="00E042B1">
        <w:rPr>
          <w:rFonts w:ascii="Arial" w:hAnsi="Arial" w:cs="Arial"/>
          <w:b/>
          <w:bCs/>
        </w:rPr>
        <w:t xml:space="preserve">Table1. </w:t>
      </w:r>
      <w:r w:rsidR="00ED108F" w:rsidRPr="00E042B1">
        <w:rPr>
          <w:rFonts w:ascii="Arial" w:hAnsi="Arial" w:cs="Arial"/>
          <w:b/>
          <w:bCs/>
        </w:rPr>
        <w:t xml:space="preserve"> </w:t>
      </w:r>
      <w:r w:rsidRPr="00E042B1">
        <w:rPr>
          <w:rFonts w:ascii="Arial" w:hAnsi="Arial" w:cs="Arial"/>
          <w:b/>
          <w:bCs/>
        </w:rPr>
        <w:t>Ingredient and amount used in the development of salty biscuit</w:t>
      </w:r>
    </w:p>
    <w:p w:rsidR="00C60C0B" w:rsidRPr="00E042B1" w:rsidRDefault="00C60C0B" w:rsidP="00C60C0B">
      <w:pPr>
        <w:tabs>
          <w:tab w:val="left" w:pos="3696"/>
        </w:tabs>
        <w:jc w:val="center"/>
        <w:rPr>
          <w:rFonts w:ascii="Arial" w:hAnsi="Arial" w:cs="Arial"/>
          <w:b/>
          <w:bCs/>
          <w:i/>
          <w:iCs/>
        </w:rPr>
      </w:pPr>
    </w:p>
    <w:tbl>
      <w:tblPr>
        <w:tblStyle w:val="TableGrid"/>
        <w:tblW w:w="6771" w:type="dxa"/>
        <w:tblLook w:val="04A0" w:firstRow="1" w:lastRow="0" w:firstColumn="1" w:lastColumn="0" w:noHBand="0" w:noVBand="1"/>
      </w:tblPr>
      <w:tblGrid>
        <w:gridCol w:w="2235"/>
        <w:gridCol w:w="1984"/>
        <w:gridCol w:w="2552"/>
      </w:tblGrid>
      <w:tr w:rsidR="00C60C0B" w:rsidRPr="00E042B1" w:rsidTr="00ED108F">
        <w:trPr>
          <w:trHeight w:val="245"/>
        </w:trPr>
        <w:tc>
          <w:tcPr>
            <w:tcW w:w="2235" w:type="dxa"/>
            <w:hideMark/>
          </w:tcPr>
          <w:p w:rsidR="00C60C0B" w:rsidRPr="00E042B1" w:rsidRDefault="00C60C0B"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Ingredient</w:t>
            </w:r>
          </w:p>
        </w:tc>
        <w:tc>
          <w:tcPr>
            <w:tcW w:w="1984" w:type="dxa"/>
            <w:hideMark/>
          </w:tcPr>
          <w:p w:rsidR="00C60C0B" w:rsidRPr="00E042B1" w:rsidRDefault="00C60C0B"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Amount (g/ml)</w:t>
            </w:r>
          </w:p>
        </w:tc>
        <w:tc>
          <w:tcPr>
            <w:tcW w:w="2552" w:type="dxa"/>
            <w:hideMark/>
          </w:tcPr>
          <w:p w:rsidR="00C60C0B" w:rsidRPr="00E042B1" w:rsidRDefault="00C60C0B"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 of Total (out of 100%)</w:t>
            </w:r>
          </w:p>
        </w:tc>
      </w:tr>
      <w:tr w:rsidR="00C60C0B" w:rsidRPr="00E042B1" w:rsidTr="00ED108F">
        <w:trPr>
          <w:trHeight w:val="245"/>
        </w:trPr>
        <w:tc>
          <w:tcPr>
            <w:tcW w:w="2235" w:type="dxa"/>
            <w:hideMark/>
          </w:tcPr>
          <w:p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Millet based flour (g)</w:t>
            </w:r>
          </w:p>
        </w:tc>
        <w:tc>
          <w:tcPr>
            <w:tcW w:w="1984" w:type="dxa"/>
            <w:hideMark/>
          </w:tcPr>
          <w:p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100</w:t>
            </w:r>
          </w:p>
        </w:tc>
        <w:tc>
          <w:tcPr>
            <w:tcW w:w="2552" w:type="dxa"/>
            <w:hideMark/>
          </w:tcPr>
          <w:p w:rsidR="00C60C0B" w:rsidRPr="00E042B1" w:rsidRDefault="00C60C0B" w:rsidP="00ED108F">
            <w:pPr>
              <w:jc w:val="center"/>
              <w:rPr>
                <w:rFonts w:ascii="Arial" w:eastAsia="Times New Roman" w:hAnsi="Arial" w:cs="Arial"/>
                <w:sz w:val="20"/>
                <w:szCs w:val="20"/>
                <w:lang w:bidi="hi-IN"/>
              </w:rPr>
            </w:pPr>
            <w:r w:rsidRPr="00E042B1">
              <w:rPr>
                <w:rFonts w:ascii="Arial" w:eastAsia="Times New Roman" w:hAnsi="Arial" w:cs="Arial"/>
                <w:sz w:val="20"/>
                <w:szCs w:val="20"/>
                <w:lang w:bidi="hi-IN"/>
              </w:rPr>
              <w:t>44.64</w:t>
            </w:r>
          </w:p>
        </w:tc>
      </w:tr>
      <w:tr w:rsidR="00C60C0B" w:rsidRPr="00E042B1" w:rsidTr="00ED108F">
        <w:trPr>
          <w:trHeight w:val="245"/>
        </w:trPr>
        <w:tc>
          <w:tcPr>
            <w:tcW w:w="2235" w:type="dxa"/>
            <w:hideMark/>
          </w:tcPr>
          <w:p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Butter (g)</w:t>
            </w:r>
          </w:p>
        </w:tc>
        <w:tc>
          <w:tcPr>
            <w:tcW w:w="1984" w:type="dxa"/>
            <w:hideMark/>
          </w:tcPr>
          <w:p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30</w:t>
            </w:r>
          </w:p>
        </w:tc>
        <w:tc>
          <w:tcPr>
            <w:tcW w:w="2552" w:type="dxa"/>
            <w:hideMark/>
          </w:tcPr>
          <w:p w:rsidR="00C60C0B" w:rsidRPr="00E042B1" w:rsidRDefault="00C60C0B" w:rsidP="00ED108F">
            <w:pPr>
              <w:jc w:val="center"/>
              <w:rPr>
                <w:rFonts w:ascii="Arial" w:eastAsia="Times New Roman" w:hAnsi="Arial" w:cs="Arial"/>
                <w:sz w:val="20"/>
                <w:szCs w:val="20"/>
                <w:lang w:bidi="hi-IN"/>
              </w:rPr>
            </w:pPr>
            <w:r w:rsidRPr="00E042B1">
              <w:rPr>
                <w:rFonts w:ascii="Arial" w:hAnsi="Arial" w:cs="Arial"/>
                <w:sz w:val="20"/>
                <w:szCs w:val="20"/>
              </w:rPr>
              <w:t>13.39</w:t>
            </w:r>
          </w:p>
        </w:tc>
      </w:tr>
      <w:tr w:rsidR="00C60C0B" w:rsidRPr="00E042B1" w:rsidTr="00ED108F">
        <w:trPr>
          <w:trHeight w:val="245"/>
        </w:trPr>
        <w:tc>
          <w:tcPr>
            <w:tcW w:w="2235" w:type="dxa"/>
            <w:hideMark/>
          </w:tcPr>
          <w:p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Baking powder (g)</w:t>
            </w:r>
          </w:p>
        </w:tc>
        <w:tc>
          <w:tcPr>
            <w:tcW w:w="1984" w:type="dxa"/>
            <w:hideMark/>
          </w:tcPr>
          <w:p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0.25</w:t>
            </w:r>
          </w:p>
        </w:tc>
        <w:tc>
          <w:tcPr>
            <w:tcW w:w="2552" w:type="dxa"/>
            <w:hideMark/>
          </w:tcPr>
          <w:p w:rsidR="00C60C0B" w:rsidRPr="00E042B1" w:rsidRDefault="00C60C0B" w:rsidP="00ED108F">
            <w:pPr>
              <w:jc w:val="center"/>
              <w:rPr>
                <w:rFonts w:ascii="Arial" w:eastAsia="Times New Roman" w:hAnsi="Arial" w:cs="Arial"/>
                <w:sz w:val="20"/>
                <w:szCs w:val="20"/>
                <w:lang w:bidi="hi-IN"/>
              </w:rPr>
            </w:pPr>
            <w:r w:rsidRPr="00E042B1">
              <w:rPr>
                <w:rFonts w:ascii="Arial" w:hAnsi="Arial" w:cs="Arial"/>
                <w:sz w:val="20"/>
                <w:szCs w:val="20"/>
              </w:rPr>
              <w:t>0.11</w:t>
            </w:r>
          </w:p>
        </w:tc>
      </w:tr>
      <w:tr w:rsidR="00C60C0B" w:rsidRPr="00E042B1" w:rsidTr="00ED108F">
        <w:trPr>
          <w:trHeight w:val="245"/>
        </w:trPr>
        <w:tc>
          <w:tcPr>
            <w:tcW w:w="2235" w:type="dxa"/>
            <w:hideMark/>
          </w:tcPr>
          <w:p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Common salt (g)</w:t>
            </w:r>
          </w:p>
        </w:tc>
        <w:tc>
          <w:tcPr>
            <w:tcW w:w="1984" w:type="dxa"/>
            <w:hideMark/>
          </w:tcPr>
          <w:p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2</w:t>
            </w:r>
          </w:p>
        </w:tc>
        <w:tc>
          <w:tcPr>
            <w:tcW w:w="2552" w:type="dxa"/>
            <w:hideMark/>
          </w:tcPr>
          <w:p w:rsidR="00C60C0B" w:rsidRPr="00E042B1" w:rsidRDefault="00C60C0B" w:rsidP="00ED108F">
            <w:pPr>
              <w:jc w:val="center"/>
              <w:rPr>
                <w:rFonts w:ascii="Arial" w:eastAsia="Times New Roman" w:hAnsi="Arial" w:cs="Arial"/>
                <w:sz w:val="20"/>
                <w:szCs w:val="20"/>
                <w:lang w:bidi="hi-IN"/>
              </w:rPr>
            </w:pPr>
            <w:r w:rsidRPr="00E042B1">
              <w:rPr>
                <w:rFonts w:ascii="Arial" w:hAnsi="Arial" w:cs="Arial"/>
                <w:sz w:val="20"/>
                <w:szCs w:val="20"/>
              </w:rPr>
              <w:t>0.89</w:t>
            </w:r>
          </w:p>
        </w:tc>
      </w:tr>
      <w:tr w:rsidR="00C60C0B" w:rsidRPr="00E042B1" w:rsidTr="00ED108F">
        <w:trPr>
          <w:trHeight w:val="245"/>
        </w:trPr>
        <w:tc>
          <w:tcPr>
            <w:tcW w:w="2235" w:type="dxa"/>
            <w:hideMark/>
          </w:tcPr>
          <w:p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Sugar powder (g)</w:t>
            </w:r>
          </w:p>
        </w:tc>
        <w:tc>
          <w:tcPr>
            <w:tcW w:w="1984" w:type="dxa"/>
            <w:hideMark/>
          </w:tcPr>
          <w:p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25</w:t>
            </w:r>
          </w:p>
        </w:tc>
        <w:tc>
          <w:tcPr>
            <w:tcW w:w="2552" w:type="dxa"/>
            <w:hideMark/>
          </w:tcPr>
          <w:p w:rsidR="00C60C0B" w:rsidRPr="00E042B1" w:rsidRDefault="00C60C0B" w:rsidP="00ED108F">
            <w:pPr>
              <w:jc w:val="center"/>
              <w:rPr>
                <w:rFonts w:ascii="Arial" w:eastAsia="Times New Roman" w:hAnsi="Arial" w:cs="Arial"/>
                <w:sz w:val="20"/>
                <w:szCs w:val="20"/>
                <w:lang w:bidi="hi-IN"/>
              </w:rPr>
            </w:pPr>
            <w:r w:rsidRPr="00E042B1">
              <w:rPr>
                <w:rFonts w:ascii="Arial" w:hAnsi="Arial" w:cs="Arial"/>
                <w:sz w:val="20"/>
                <w:szCs w:val="20"/>
              </w:rPr>
              <w:t>11.16</w:t>
            </w:r>
          </w:p>
        </w:tc>
      </w:tr>
      <w:tr w:rsidR="00C60C0B" w:rsidRPr="00E042B1" w:rsidTr="00ED108F">
        <w:trPr>
          <w:trHeight w:val="245"/>
        </w:trPr>
        <w:tc>
          <w:tcPr>
            <w:tcW w:w="2235" w:type="dxa"/>
            <w:hideMark/>
          </w:tcPr>
          <w:p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Carom seeds (g)</w:t>
            </w:r>
          </w:p>
        </w:tc>
        <w:tc>
          <w:tcPr>
            <w:tcW w:w="1984" w:type="dxa"/>
            <w:hideMark/>
          </w:tcPr>
          <w:p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2</w:t>
            </w:r>
          </w:p>
        </w:tc>
        <w:tc>
          <w:tcPr>
            <w:tcW w:w="2552" w:type="dxa"/>
            <w:hideMark/>
          </w:tcPr>
          <w:p w:rsidR="00C60C0B" w:rsidRPr="00E042B1" w:rsidRDefault="00C60C0B" w:rsidP="00ED108F">
            <w:pPr>
              <w:jc w:val="center"/>
              <w:rPr>
                <w:rFonts w:ascii="Arial" w:eastAsia="Times New Roman" w:hAnsi="Arial" w:cs="Arial"/>
                <w:sz w:val="20"/>
                <w:szCs w:val="20"/>
                <w:lang w:bidi="hi-IN"/>
              </w:rPr>
            </w:pPr>
            <w:r w:rsidRPr="00E042B1">
              <w:rPr>
                <w:rFonts w:ascii="Arial" w:eastAsia="Times New Roman" w:hAnsi="Arial" w:cs="Arial"/>
                <w:sz w:val="20"/>
                <w:szCs w:val="20"/>
                <w:lang w:bidi="hi-IN"/>
              </w:rPr>
              <w:t>0.89</w:t>
            </w:r>
          </w:p>
        </w:tc>
      </w:tr>
      <w:tr w:rsidR="00C60C0B" w:rsidRPr="00E042B1" w:rsidTr="00ED108F">
        <w:trPr>
          <w:trHeight w:val="375"/>
        </w:trPr>
        <w:tc>
          <w:tcPr>
            <w:tcW w:w="2235" w:type="dxa"/>
            <w:hideMark/>
          </w:tcPr>
          <w:p w:rsidR="00C60C0B" w:rsidRPr="00E042B1" w:rsidRDefault="00C60C0B" w:rsidP="00E04348">
            <w:pPr>
              <w:tabs>
                <w:tab w:val="left" w:pos="3696"/>
              </w:tabs>
              <w:spacing w:line="360" w:lineRule="auto"/>
              <w:rPr>
                <w:rFonts w:ascii="Arial" w:hAnsi="Arial" w:cs="Arial"/>
                <w:sz w:val="20"/>
                <w:szCs w:val="20"/>
              </w:rPr>
            </w:pPr>
            <w:r w:rsidRPr="00E042B1">
              <w:rPr>
                <w:rFonts w:ascii="Arial" w:hAnsi="Arial" w:cs="Arial"/>
                <w:sz w:val="20"/>
                <w:szCs w:val="20"/>
              </w:rPr>
              <w:t>Milk (ml)</w:t>
            </w:r>
          </w:p>
        </w:tc>
        <w:tc>
          <w:tcPr>
            <w:tcW w:w="1984" w:type="dxa"/>
            <w:hideMark/>
          </w:tcPr>
          <w:p w:rsidR="00C60C0B" w:rsidRPr="00E042B1" w:rsidRDefault="00C60C0B" w:rsidP="00E04348">
            <w:pPr>
              <w:tabs>
                <w:tab w:val="left" w:pos="3696"/>
              </w:tabs>
              <w:spacing w:line="360" w:lineRule="auto"/>
              <w:jc w:val="center"/>
              <w:rPr>
                <w:rFonts w:ascii="Arial" w:hAnsi="Arial" w:cs="Arial"/>
                <w:sz w:val="20"/>
                <w:szCs w:val="20"/>
              </w:rPr>
            </w:pPr>
            <w:r w:rsidRPr="00E042B1">
              <w:rPr>
                <w:rFonts w:ascii="Arial" w:hAnsi="Arial" w:cs="Arial"/>
                <w:sz w:val="20"/>
                <w:szCs w:val="20"/>
              </w:rPr>
              <w:t>20</w:t>
            </w:r>
          </w:p>
        </w:tc>
        <w:tc>
          <w:tcPr>
            <w:tcW w:w="2552" w:type="dxa"/>
            <w:hideMark/>
          </w:tcPr>
          <w:p w:rsidR="00C60C0B" w:rsidRPr="00E042B1" w:rsidRDefault="00C60C0B" w:rsidP="00ED108F">
            <w:pPr>
              <w:jc w:val="center"/>
              <w:rPr>
                <w:rFonts w:ascii="Arial" w:eastAsia="Times New Roman" w:hAnsi="Arial" w:cs="Arial"/>
                <w:sz w:val="20"/>
                <w:szCs w:val="20"/>
                <w:lang w:bidi="hi-IN"/>
              </w:rPr>
            </w:pPr>
            <w:r w:rsidRPr="00E042B1">
              <w:rPr>
                <w:rFonts w:ascii="Arial" w:hAnsi="Arial" w:cs="Arial"/>
                <w:sz w:val="20"/>
                <w:szCs w:val="20"/>
              </w:rPr>
              <w:t>8.93</w:t>
            </w:r>
          </w:p>
        </w:tc>
      </w:tr>
    </w:tbl>
    <w:p w:rsidR="00C60C0B" w:rsidRPr="00E042B1" w:rsidRDefault="00C60C0B" w:rsidP="00F6544E">
      <w:pPr>
        <w:pStyle w:val="ListParagraph"/>
        <w:spacing w:line="240" w:lineRule="auto"/>
        <w:jc w:val="both"/>
        <w:rPr>
          <w:rFonts w:ascii="Arial" w:hAnsi="Arial" w:cs="Arial"/>
          <w:sz w:val="20"/>
          <w:szCs w:val="20"/>
        </w:rPr>
      </w:pPr>
      <w:r w:rsidRPr="00E042B1">
        <w:rPr>
          <w:rFonts w:ascii="Arial" w:hAnsi="Arial" w:cs="Arial"/>
          <w:sz w:val="20"/>
          <w:szCs w:val="20"/>
        </w:rPr>
        <w:t>.</w:t>
      </w:r>
    </w:p>
    <w:p w:rsidR="00C60C0B" w:rsidRPr="00E042B1" w:rsidRDefault="00FA7469" w:rsidP="00C60C0B">
      <w:pPr>
        <w:pStyle w:val="ListParagraph"/>
        <w:tabs>
          <w:tab w:val="left" w:pos="3696"/>
        </w:tabs>
        <w:spacing w:after="0" w:line="240" w:lineRule="auto"/>
        <w:ind w:left="1080"/>
        <w:jc w:val="center"/>
        <w:rPr>
          <w:rFonts w:ascii="Arial" w:hAnsi="Arial" w:cs="Arial"/>
          <w:sz w:val="20"/>
          <w:szCs w:val="20"/>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Generated image" style="width:23.8pt;height:23.8pt"/>
        </w:pict>
      </w:r>
      <w:r w:rsidR="00C60C0B" w:rsidRPr="00E042B1">
        <w:rPr>
          <w:rFonts w:ascii="Arial" w:hAnsi="Arial" w:cs="Arial"/>
          <w:noProof/>
          <w:sz w:val="20"/>
          <w:szCs w:val="20"/>
          <w:lang w:val="en-US" w:bidi="hi-IN"/>
        </w:rPr>
        <w:drawing>
          <wp:inline distT="0" distB="0" distL="0" distR="0">
            <wp:extent cx="2438400" cy="1723380"/>
            <wp:effectExtent l="19050" t="0" r="0" b="0"/>
            <wp:docPr id="3" name="Picture 2" descr="20230412_152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412_152551.jpg"/>
                    <pic:cNvPicPr/>
                  </pic:nvPicPr>
                  <pic:blipFill>
                    <a:blip r:embed="rId14" cstate="print"/>
                    <a:srcRect l="17897" t="4444" r="5466"/>
                    <a:stretch>
                      <a:fillRect/>
                    </a:stretch>
                  </pic:blipFill>
                  <pic:spPr>
                    <a:xfrm>
                      <a:off x="0" y="0"/>
                      <a:ext cx="2441791" cy="1725776"/>
                    </a:xfrm>
                    <a:prstGeom prst="rect">
                      <a:avLst/>
                    </a:prstGeom>
                  </pic:spPr>
                </pic:pic>
              </a:graphicData>
            </a:graphic>
          </wp:inline>
        </w:drawing>
      </w:r>
    </w:p>
    <w:p w:rsidR="00C60C0B" w:rsidRPr="00E042B1" w:rsidRDefault="00C60C0B" w:rsidP="00C60C0B">
      <w:pPr>
        <w:pStyle w:val="ListParagraph"/>
        <w:tabs>
          <w:tab w:val="left" w:pos="3696"/>
        </w:tabs>
        <w:spacing w:after="0" w:line="240" w:lineRule="auto"/>
        <w:ind w:left="1080"/>
        <w:jc w:val="center"/>
        <w:rPr>
          <w:rFonts w:ascii="Arial" w:hAnsi="Arial" w:cs="Arial"/>
          <w:b/>
          <w:bCs/>
          <w:sz w:val="20"/>
          <w:szCs w:val="20"/>
        </w:rPr>
      </w:pPr>
      <w:r w:rsidRPr="00E042B1">
        <w:rPr>
          <w:rFonts w:ascii="Arial" w:hAnsi="Arial" w:cs="Arial"/>
          <w:b/>
          <w:bCs/>
          <w:sz w:val="20"/>
          <w:szCs w:val="20"/>
        </w:rPr>
        <w:t xml:space="preserve">Plate 1: </w:t>
      </w:r>
      <w:r w:rsidRPr="00E042B1">
        <w:rPr>
          <w:rFonts w:ascii="Arial" w:hAnsi="Arial" w:cs="Arial"/>
          <w:b/>
          <w:bCs/>
          <w:i/>
          <w:iCs/>
          <w:sz w:val="20"/>
          <w:szCs w:val="20"/>
        </w:rPr>
        <w:t xml:space="preserve"> </w:t>
      </w:r>
      <w:r w:rsidR="00337F9A" w:rsidRPr="00E042B1">
        <w:rPr>
          <w:rFonts w:ascii="Arial" w:hAnsi="Arial" w:cs="Arial"/>
          <w:b/>
          <w:bCs/>
          <w:sz w:val="20"/>
          <w:szCs w:val="20"/>
        </w:rPr>
        <w:t>Developed</w:t>
      </w:r>
      <w:r w:rsidR="00337F9A" w:rsidRPr="00E042B1">
        <w:rPr>
          <w:rFonts w:ascii="Arial" w:hAnsi="Arial" w:cs="Arial"/>
          <w:b/>
          <w:bCs/>
          <w:i/>
          <w:iCs/>
          <w:sz w:val="20"/>
          <w:szCs w:val="20"/>
        </w:rPr>
        <w:t xml:space="preserve"> s</w:t>
      </w:r>
      <w:r w:rsidRPr="00E042B1">
        <w:rPr>
          <w:rFonts w:ascii="Arial" w:hAnsi="Arial" w:cs="Arial"/>
          <w:b/>
          <w:bCs/>
          <w:sz w:val="20"/>
          <w:szCs w:val="20"/>
        </w:rPr>
        <w:t>alty biscuit</w:t>
      </w:r>
    </w:p>
    <w:p w:rsidR="00C60C0B" w:rsidRPr="00E042B1" w:rsidRDefault="00C60C0B" w:rsidP="00C60C0B">
      <w:pPr>
        <w:jc w:val="both"/>
        <w:rPr>
          <w:rFonts w:ascii="Arial" w:hAnsi="Arial" w:cs="Arial"/>
          <w:b/>
          <w:bCs/>
          <w:sz w:val="22"/>
          <w:szCs w:val="22"/>
        </w:rPr>
      </w:pPr>
    </w:p>
    <w:p w:rsidR="00C60C0B" w:rsidRPr="00E042B1" w:rsidRDefault="00C60C0B" w:rsidP="00C60C0B">
      <w:pPr>
        <w:jc w:val="both"/>
        <w:rPr>
          <w:rFonts w:ascii="Arial" w:hAnsi="Arial" w:cs="Arial"/>
          <w:b/>
          <w:bCs/>
          <w:sz w:val="22"/>
          <w:szCs w:val="22"/>
        </w:rPr>
      </w:pPr>
      <w:r w:rsidRPr="00E042B1">
        <w:rPr>
          <w:rFonts w:ascii="Arial" w:hAnsi="Arial" w:cs="Arial"/>
          <w:b/>
          <w:bCs/>
          <w:sz w:val="22"/>
          <w:szCs w:val="22"/>
        </w:rPr>
        <w:t>2.3 Organoleptic evaluation of the developed product</w:t>
      </w:r>
    </w:p>
    <w:p w:rsidR="00C60C0B" w:rsidRPr="00E042B1" w:rsidRDefault="00C60C0B" w:rsidP="00C60C0B">
      <w:pPr>
        <w:jc w:val="both"/>
        <w:rPr>
          <w:rFonts w:ascii="Arial" w:hAnsi="Arial" w:cs="Arial"/>
          <w:b/>
          <w:bCs/>
          <w:sz w:val="22"/>
          <w:szCs w:val="22"/>
        </w:rPr>
      </w:pPr>
    </w:p>
    <w:p w:rsidR="00C60C0B" w:rsidRPr="00E042B1" w:rsidRDefault="00C60C0B" w:rsidP="00C60C0B">
      <w:pPr>
        <w:jc w:val="both"/>
        <w:rPr>
          <w:rFonts w:ascii="Arial" w:hAnsi="Arial" w:cs="Arial"/>
        </w:rPr>
      </w:pPr>
      <w:r w:rsidRPr="00E042B1">
        <w:rPr>
          <w:rFonts w:ascii="Arial" w:hAnsi="Arial" w:cs="Arial"/>
        </w:rPr>
        <w:t xml:space="preserve">The developed product was standardized through organoleptic evaluation by a panel of ten selected members, consisting of staff from the College of Community Science, SKRAU, </w:t>
      </w:r>
      <w:r w:rsidRPr="00E042B1">
        <w:rPr>
          <w:rFonts w:ascii="Arial" w:hAnsi="Arial" w:cs="Arial"/>
        </w:rPr>
        <w:lastRenderedPageBreak/>
        <w:t xml:space="preserve">Bikaner. </w:t>
      </w:r>
      <w:proofErr w:type="spellStart"/>
      <w:r w:rsidRPr="00E042B1">
        <w:rPr>
          <w:rFonts w:ascii="Arial" w:hAnsi="Arial" w:cs="Arial"/>
        </w:rPr>
        <w:t>Panellists</w:t>
      </w:r>
      <w:proofErr w:type="spellEnd"/>
      <w:r w:rsidRPr="00E042B1">
        <w:rPr>
          <w:rFonts w:ascii="Arial" w:hAnsi="Arial" w:cs="Arial"/>
        </w:rPr>
        <w:t xml:space="preserve"> were carefully screened using the threshold test (Potter, 1987), considering their experience, knowledge, willingness and reliability. Sensory attributes such as color, appearance, aroma, texture, taste and overall acceptability were assessed using a nine-point hedonic scale (Swaminathan, 1987). Samples were presented in coded, identical containers to prevent bias and evaluations were conducted in a controlled, distraction-free environment to ensure accurate and reliable results.</w:t>
      </w:r>
    </w:p>
    <w:p w:rsidR="00C60C0B" w:rsidRPr="00E042B1" w:rsidRDefault="00C60C0B" w:rsidP="00C60C0B">
      <w:pPr>
        <w:jc w:val="both"/>
        <w:rPr>
          <w:rFonts w:ascii="Arial" w:hAnsi="Arial" w:cs="Arial"/>
          <w:b/>
          <w:bCs/>
          <w:sz w:val="24"/>
          <w:szCs w:val="24"/>
        </w:rPr>
      </w:pPr>
    </w:p>
    <w:p w:rsidR="00C60C0B" w:rsidRPr="00E042B1" w:rsidRDefault="00C60C0B" w:rsidP="00C60C0B">
      <w:pPr>
        <w:jc w:val="both"/>
        <w:rPr>
          <w:rFonts w:ascii="Arial" w:hAnsi="Arial" w:cs="Arial"/>
          <w:b/>
          <w:bCs/>
          <w:sz w:val="22"/>
          <w:szCs w:val="22"/>
        </w:rPr>
      </w:pPr>
      <w:r w:rsidRPr="00E042B1">
        <w:rPr>
          <w:rFonts w:ascii="Arial" w:hAnsi="Arial" w:cs="Arial"/>
          <w:b/>
          <w:bCs/>
          <w:sz w:val="22"/>
          <w:szCs w:val="22"/>
        </w:rPr>
        <w:t>2.4 Shelf-Life Study</w:t>
      </w:r>
    </w:p>
    <w:p w:rsidR="00C60C0B" w:rsidRPr="00E042B1" w:rsidRDefault="00C60C0B" w:rsidP="00C60C0B">
      <w:pPr>
        <w:jc w:val="both"/>
        <w:rPr>
          <w:rFonts w:ascii="Arial" w:hAnsi="Arial" w:cs="Arial"/>
          <w:b/>
          <w:bCs/>
          <w:sz w:val="24"/>
          <w:szCs w:val="24"/>
        </w:rPr>
      </w:pPr>
    </w:p>
    <w:p w:rsidR="00C60C0B" w:rsidRPr="00E042B1" w:rsidRDefault="00C60C0B" w:rsidP="00C60C0B">
      <w:pPr>
        <w:jc w:val="both"/>
        <w:rPr>
          <w:rFonts w:ascii="Arial" w:hAnsi="Arial" w:cs="Arial"/>
        </w:rPr>
      </w:pPr>
      <w:r w:rsidRPr="00E042B1">
        <w:rPr>
          <w:rFonts w:ascii="Arial" w:hAnsi="Arial" w:cs="Arial"/>
        </w:rPr>
        <w:t>The developed products were packed in HDPE pouches and stored at ambient temperature for one month. Sensory evaluations were conducted on the</w:t>
      </w:r>
      <w:r w:rsidR="00E93B04" w:rsidRPr="00E042B1">
        <w:rPr>
          <w:rFonts w:ascii="Arial" w:hAnsi="Arial" w:cs="Arial"/>
        </w:rPr>
        <w:t xml:space="preserve"> 0,</w:t>
      </w:r>
      <w:r w:rsidRPr="00E042B1">
        <w:rPr>
          <w:rFonts w:ascii="Arial" w:hAnsi="Arial" w:cs="Arial"/>
        </w:rPr>
        <w:t xml:space="preserve"> 15th and 30th day of storage using the hedonic ranking scale to assess product stability over time (Swaminathan, 1987).</w:t>
      </w:r>
    </w:p>
    <w:p w:rsidR="00C60C0B" w:rsidRPr="00E042B1" w:rsidRDefault="00C60C0B" w:rsidP="00C60C0B">
      <w:pPr>
        <w:jc w:val="both"/>
        <w:rPr>
          <w:rFonts w:ascii="Arial" w:hAnsi="Arial" w:cs="Arial"/>
        </w:rPr>
      </w:pPr>
    </w:p>
    <w:p w:rsidR="00C60C0B" w:rsidRPr="00E042B1" w:rsidRDefault="00C60C0B" w:rsidP="00C60C0B">
      <w:pPr>
        <w:jc w:val="both"/>
        <w:rPr>
          <w:rFonts w:ascii="Arial" w:hAnsi="Arial" w:cs="Arial"/>
          <w:b/>
          <w:bCs/>
          <w:sz w:val="22"/>
          <w:szCs w:val="22"/>
        </w:rPr>
      </w:pPr>
      <w:r w:rsidRPr="00E042B1">
        <w:rPr>
          <w:rFonts w:ascii="Arial" w:hAnsi="Arial" w:cs="Arial"/>
          <w:b/>
          <w:bCs/>
          <w:sz w:val="22"/>
          <w:szCs w:val="22"/>
        </w:rPr>
        <w:t>2.5 Statistical Analysis</w:t>
      </w:r>
    </w:p>
    <w:p w:rsidR="00C60C0B" w:rsidRPr="00E042B1" w:rsidRDefault="00C60C0B" w:rsidP="00C60C0B">
      <w:pPr>
        <w:jc w:val="both"/>
        <w:rPr>
          <w:rFonts w:ascii="Arial" w:hAnsi="Arial" w:cs="Arial"/>
          <w:b/>
          <w:bCs/>
          <w:sz w:val="22"/>
          <w:szCs w:val="22"/>
        </w:rPr>
      </w:pPr>
    </w:p>
    <w:p w:rsidR="00C60C0B" w:rsidRPr="00E042B1" w:rsidRDefault="00C60C0B" w:rsidP="00C60C0B">
      <w:pPr>
        <w:jc w:val="both"/>
        <w:rPr>
          <w:rFonts w:ascii="Arial" w:hAnsi="Arial" w:cs="Arial"/>
        </w:rPr>
      </w:pPr>
      <w:r w:rsidRPr="00E042B1">
        <w:rPr>
          <w:rFonts w:ascii="Arial" w:hAnsi="Arial" w:cs="Arial"/>
        </w:rPr>
        <w:t>Data were analyzed statistically as per Gupta (2000). Arithmetic mean, standard deviation, standard error of mean and critical difference at 5 per cent significance were calculated to interpret the results accurately.</w:t>
      </w:r>
    </w:p>
    <w:p w:rsidR="00790ADA" w:rsidRPr="00E042B1" w:rsidRDefault="00790ADA" w:rsidP="00441B6F">
      <w:pPr>
        <w:pStyle w:val="Body"/>
        <w:spacing w:after="0"/>
        <w:rPr>
          <w:rFonts w:ascii="Arial" w:hAnsi="Arial" w:cs="Arial"/>
          <w:sz w:val="16"/>
          <w:szCs w:val="16"/>
        </w:rPr>
      </w:pPr>
    </w:p>
    <w:p w:rsidR="00902823" w:rsidRPr="00E042B1" w:rsidRDefault="00000F8F" w:rsidP="00441B6F">
      <w:pPr>
        <w:pStyle w:val="Head1"/>
        <w:spacing w:after="0"/>
        <w:jc w:val="both"/>
        <w:rPr>
          <w:rFonts w:ascii="Arial" w:hAnsi="Arial" w:cs="Arial"/>
        </w:rPr>
      </w:pPr>
      <w:r w:rsidRPr="00E042B1">
        <w:rPr>
          <w:rFonts w:ascii="Arial" w:hAnsi="Arial" w:cs="Arial"/>
        </w:rPr>
        <w:t>3</w:t>
      </w:r>
      <w:r w:rsidR="00902823" w:rsidRPr="00E042B1">
        <w:rPr>
          <w:rFonts w:ascii="Arial" w:hAnsi="Arial" w:cs="Arial"/>
        </w:rPr>
        <w:t xml:space="preserve">. </w:t>
      </w:r>
      <w:r w:rsidRPr="00E042B1">
        <w:rPr>
          <w:rFonts w:ascii="Arial" w:hAnsi="Arial" w:cs="Arial"/>
        </w:rPr>
        <w:t>results and discussion</w:t>
      </w:r>
    </w:p>
    <w:p w:rsidR="000B783D" w:rsidRPr="00E042B1" w:rsidRDefault="000B783D" w:rsidP="00F6544E">
      <w:pPr>
        <w:spacing w:before="240"/>
        <w:jc w:val="both"/>
        <w:rPr>
          <w:rFonts w:ascii="Arial" w:hAnsi="Arial" w:cs="Arial"/>
          <w:b/>
          <w:bCs/>
          <w:sz w:val="22"/>
          <w:szCs w:val="22"/>
        </w:rPr>
      </w:pPr>
      <w:r w:rsidRPr="00E042B1">
        <w:rPr>
          <w:rFonts w:ascii="Arial" w:hAnsi="Arial" w:cs="Arial"/>
        </w:rPr>
        <w:t>Product development using nutrient-dense ingredients plays a vital role in enhancing dietary quality while addressing the increasing demand for convenient snack foods. In the present investigation, millet-based salty biscuits were formulated using a composite flour blend of sorghum, buckwheat and corn flour, and their sensory acceptability was evaluated to determine product feasibility and consumer appeal.</w:t>
      </w:r>
    </w:p>
    <w:p w:rsidR="00EB567D" w:rsidRPr="00E042B1" w:rsidRDefault="00F6544E" w:rsidP="00F6544E">
      <w:pPr>
        <w:spacing w:before="240"/>
        <w:jc w:val="both"/>
        <w:rPr>
          <w:rFonts w:ascii="Arial" w:hAnsi="Arial" w:cs="Arial"/>
          <w:sz w:val="22"/>
          <w:szCs w:val="22"/>
        </w:rPr>
      </w:pPr>
      <w:r w:rsidRPr="00E042B1">
        <w:rPr>
          <w:rFonts w:ascii="Arial" w:hAnsi="Arial" w:cs="Arial"/>
          <w:b/>
          <w:bCs/>
          <w:sz w:val="22"/>
          <w:szCs w:val="22"/>
        </w:rPr>
        <w:t>3.1 Organoleptic Evaluation of Salty Biscuit</w:t>
      </w:r>
    </w:p>
    <w:p w:rsidR="000B783D" w:rsidRPr="00E042B1" w:rsidRDefault="000B783D" w:rsidP="000B783D">
      <w:pPr>
        <w:pStyle w:val="Heading4"/>
        <w:rPr>
          <w:rFonts w:ascii="Arial" w:hAnsi="Arial" w:cs="Arial"/>
          <w:color w:val="auto"/>
        </w:rPr>
      </w:pPr>
      <w:r w:rsidRPr="00E042B1">
        <w:rPr>
          <w:rFonts w:ascii="Arial" w:hAnsi="Arial" w:cs="Arial"/>
          <w:color w:val="auto"/>
        </w:rPr>
        <w:t xml:space="preserve">3.1.1 </w:t>
      </w:r>
      <w:proofErr w:type="spellStart"/>
      <w:r w:rsidRPr="00E042B1">
        <w:rPr>
          <w:rFonts w:ascii="Arial" w:hAnsi="Arial" w:cs="Arial"/>
          <w:color w:val="auto"/>
        </w:rPr>
        <w:t>Colour</w:t>
      </w:r>
      <w:proofErr w:type="spellEnd"/>
    </w:p>
    <w:p w:rsidR="000B783D" w:rsidRPr="00E042B1" w:rsidRDefault="000B783D" w:rsidP="000B783D">
      <w:pPr>
        <w:pStyle w:val="NormalWeb"/>
        <w:jc w:val="both"/>
        <w:rPr>
          <w:rFonts w:ascii="Arial" w:hAnsi="Arial" w:cs="Arial"/>
          <w:sz w:val="20"/>
          <w:szCs w:val="20"/>
        </w:rPr>
      </w:pPr>
      <w:r w:rsidRPr="00E042B1">
        <w:rPr>
          <w:rFonts w:ascii="Arial" w:hAnsi="Arial" w:cs="Arial"/>
          <w:sz w:val="20"/>
          <w:szCs w:val="20"/>
        </w:rPr>
        <w:t xml:space="preserve">Visual quality is one of the first attributes influencing consumer perception of baked products. As presented in Table 2, the developed millet-based salty biscuit recorded a high mean </w:t>
      </w:r>
      <w:proofErr w:type="spellStart"/>
      <w:r w:rsidRPr="00E042B1">
        <w:rPr>
          <w:rFonts w:ascii="Arial" w:hAnsi="Arial" w:cs="Arial"/>
          <w:sz w:val="20"/>
          <w:szCs w:val="20"/>
        </w:rPr>
        <w:t>colour</w:t>
      </w:r>
      <w:proofErr w:type="spellEnd"/>
      <w:r w:rsidRPr="00E042B1">
        <w:rPr>
          <w:rFonts w:ascii="Arial" w:hAnsi="Arial" w:cs="Arial"/>
          <w:sz w:val="20"/>
          <w:szCs w:val="20"/>
        </w:rPr>
        <w:t xml:space="preserve"> score of </w:t>
      </w:r>
      <w:r w:rsidRPr="00E042B1">
        <w:rPr>
          <w:rStyle w:val="Strong"/>
          <w:rFonts w:ascii="Arial" w:hAnsi="Arial" w:cs="Arial"/>
          <w:b w:val="0"/>
          <w:bCs w:val="0"/>
          <w:sz w:val="20"/>
          <w:szCs w:val="20"/>
        </w:rPr>
        <w:t>8.60 ± 0.70</w:t>
      </w:r>
      <w:r w:rsidRPr="00E042B1">
        <w:rPr>
          <w:rFonts w:ascii="Arial" w:hAnsi="Arial" w:cs="Arial"/>
          <w:sz w:val="20"/>
          <w:szCs w:val="20"/>
        </w:rPr>
        <w:t>, indicating excellent visual acceptance. The uniform surface browning observed in the product can be attributed to controlled non-enzymatic browning reactions, particularly Mailla</w:t>
      </w:r>
      <w:r w:rsidR="00E93B04" w:rsidRPr="00E042B1">
        <w:rPr>
          <w:rFonts w:ascii="Arial" w:hAnsi="Arial" w:cs="Arial"/>
          <w:sz w:val="20"/>
          <w:szCs w:val="20"/>
        </w:rPr>
        <w:t>rd reactions and caramelization</w:t>
      </w:r>
      <w:r w:rsidRPr="00E042B1">
        <w:rPr>
          <w:rFonts w:ascii="Arial" w:hAnsi="Arial" w:cs="Arial"/>
          <w:sz w:val="20"/>
          <w:szCs w:val="20"/>
        </w:rPr>
        <w:t xml:space="preserve"> which lead to the formation of brown pigments (melanoidins). Such </w:t>
      </w:r>
      <w:proofErr w:type="spellStart"/>
      <w:r w:rsidRPr="00E042B1">
        <w:rPr>
          <w:rFonts w:ascii="Arial" w:hAnsi="Arial" w:cs="Arial"/>
          <w:sz w:val="20"/>
          <w:szCs w:val="20"/>
        </w:rPr>
        <w:t>colour</w:t>
      </w:r>
      <w:proofErr w:type="spellEnd"/>
      <w:r w:rsidRPr="00E042B1">
        <w:rPr>
          <w:rFonts w:ascii="Arial" w:hAnsi="Arial" w:cs="Arial"/>
          <w:sz w:val="20"/>
          <w:szCs w:val="20"/>
        </w:rPr>
        <w:t xml:space="preserve"> development is considered a reliable indicator of optimal baking conditions and appropriate ingredient interactions (</w:t>
      </w:r>
      <w:proofErr w:type="spellStart"/>
      <w:r w:rsidRPr="00E042B1">
        <w:rPr>
          <w:rFonts w:ascii="Arial" w:hAnsi="Arial" w:cs="Arial"/>
          <w:sz w:val="20"/>
          <w:szCs w:val="20"/>
        </w:rPr>
        <w:t>Lukinac</w:t>
      </w:r>
      <w:proofErr w:type="spellEnd"/>
      <w:r w:rsidRPr="00E042B1">
        <w:rPr>
          <w:rFonts w:ascii="Arial" w:hAnsi="Arial" w:cs="Arial"/>
          <w:sz w:val="20"/>
          <w:szCs w:val="20"/>
        </w:rPr>
        <w:t xml:space="preserve"> </w:t>
      </w:r>
      <w:r w:rsidRPr="00E042B1">
        <w:rPr>
          <w:rFonts w:ascii="Arial" w:hAnsi="Arial" w:cs="Arial"/>
          <w:i/>
          <w:iCs/>
          <w:sz w:val="20"/>
          <w:szCs w:val="20"/>
        </w:rPr>
        <w:t>et al.,</w:t>
      </w:r>
      <w:r w:rsidRPr="00E042B1">
        <w:rPr>
          <w:rFonts w:ascii="Arial" w:hAnsi="Arial" w:cs="Arial"/>
          <w:sz w:val="20"/>
          <w:szCs w:val="20"/>
        </w:rPr>
        <w:t xml:space="preserve"> 2022).</w:t>
      </w:r>
    </w:p>
    <w:p w:rsidR="000B783D" w:rsidRPr="00E042B1" w:rsidRDefault="000B783D" w:rsidP="000B783D">
      <w:pPr>
        <w:pStyle w:val="Heading4"/>
        <w:rPr>
          <w:rFonts w:ascii="Arial" w:hAnsi="Arial" w:cs="Arial"/>
          <w:color w:val="auto"/>
        </w:rPr>
      </w:pPr>
      <w:r w:rsidRPr="00E042B1">
        <w:rPr>
          <w:rFonts w:ascii="Arial" w:hAnsi="Arial" w:cs="Arial"/>
          <w:color w:val="auto"/>
        </w:rPr>
        <w:t xml:space="preserve">3.1.2 </w:t>
      </w:r>
      <w:proofErr w:type="spellStart"/>
      <w:r w:rsidRPr="00E042B1">
        <w:rPr>
          <w:rFonts w:ascii="Arial" w:hAnsi="Arial" w:cs="Arial"/>
          <w:color w:val="auto"/>
        </w:rPr>
        <w:t>Flavour</w:t>
      </w:r>
      <w:proofErr w:type="spellEnd"/>
    </w:p>
    <w:p w:rsidR="000B783D" w:rsidRPr="00E042B1" w:rsidRDefault="000B783D" w:rsidP="001406C2">
      <w:pPr>
        <w:pStyle w:val="NormalWeb"/>
        <w:jc w:val="both"/>
        <w:rPr>
          <w:rFonts w:ascii="Arial" w:hAnsi="Arial" w:cs="Arial"/>
          <w:sz w:val="20"/>
          <w:szCs w:val="20"/>
        </w:rPr>
      </w:pPr>
      <w:r w:rsidRPr="00E042B1">
        <w:rPr>
          <w:rFonts w:ascii="Arial" w:hAnsi="Arial" w:cs="Arial"/>
          <w:sz w:val="20"/>
          <w:szCs w:val="20"/>
        </w:rPr>
        <w:t xml:space="preserve">Aroma and </w:t>
      </w:r>
      <w:proofErr w:type="spellStart"/>
      <w:r w:rsidRPr="00E042B1">
        <w:rPr>
          <w:rFonts w:ascii="Arial" w:hAnsi="Arial" w:cs="Arial"/>
          <w:sz w:val="20"/>
          <w:szCs w:val="20"/>
        </w:rPr>
        <w:t>flavour</w:t>
      </w:r>
      <w:proofErr w:type="spellEnd"/>
      <w:r w:rsidRPr="00E042B1">
        <w:rPr>
          <w:rFonts w:ascii="Arial" w:hAnsi="Arial" w:cs="Arial"/>
          <w:sz w:val="20"/>
          <w:szCs w:val="20"/>
        </w:rPr>
        <w:t xml:space="preserve"> perception in bakery products are largely governed by the volatile constituents of the raw materials used. The developed biscuit achieved a mean </w:t>
      </w:r>
      <w:proofErr w:type="spellStart"/>
      <w:r w:rsidRPr="00E042B1">
        <w:rPr>
          <w:rFonts w:ascii="Arial" w:hAnsi="Arial" w:cs="Arial"/>
          <w:sz w:val="20"/>
          <w:szCs w:val="20"/>
        </w:rPr>
        <w:t>flavour</w:t>
      </w:r>
      <w:proofErr w:type="spellEnd"/>
      <w:r w:rsidRPr="00E042B1">
        <w:rPr>
          <w:rFonts w:ascii="Arial" w:hAnsi="Arial" w:cs="Arial"/>
          <w:sz w:val="20"/>
          <w:szCs w:val="20"/>
        </w:rPr>
        <w:t xml:space="preserve"> score of </w:t>
      </w:r>
      <w:r w:rsidRPr="00E042B1">
        <w:rPr>
          <w:rStyle w:val="Strong"/>
          <w:rFonts w:ascii="Arial" w:hAnsi="Arial" w:cs="Arial"/>
          <w:b w:val="0"/>
          <w:bCs w:val="0"/>
          <w:sz w:val="20"/>
          <w:szCs w:val="20"/>
        </w:rPr>
        <w:t>8.50 ± 0.53</w:t>
      </w:r>
      <w:r w:rsidRPr="00E042B1">
        <w:rPr>
          <w:rFonts w:ascii="Arial" w:hAnsi="Arial" w:cs="Arial"/>
          <w:sz w:val="20"/>
          <w:szCs w:val="20"/>
        </w:rPr>
        <w:t xml:space="preserve"> (Table 2), reflecting high sensory appreciation. Buckwheat contributed characteristic nutty notes due to its phenolic compounds, while sorghum provided a mild </w:t>
      </w:r>
      <w:proofErr w:type="spellStart"/>
      <w:r w:rsidRPr="00E042B1">
        <w:rPr>
          <w:rFonts w:ascii="Arial" w:hAnsi="Arial" w:cs="Arial"/>
          <w:sz w:val="20"/>
          <w:szCs w:val="20"/>
        </w:rPr>
        <w:t>flavour</w:t>
      </w:r>
      <w:proofErr w:type="spellEnd"/>
      <w:r w:rsidRPr="00E042B1">
        <w:rPr>
          <w:rFonts w:ascii="Arial" w:hAnsi="Arial" w:cs="Arial"/>
          <w:sz w:val="20"/>
          <w:szCs w:val="20"/>
        </w:rPr>
        <w:t xml:space="preserve"> base, resulting in a balanced and pleasant </w:t>
      </w:r>
      <w:proofErr w:type="spellStart"/>
      <w:r w:rsidRPr="00E042B1">
        <w:rPr>
          <w:rFonts w:ascii="Arial" w:hAnsi="Arial" w:cs="Arial"/>
          <w:sz w:val="20"/>
          <w:szCs w:val="20"/>
        </w:rPr>
        <w:t>flavour</w:t>
      </w:r>
      <w:proofErr w:type="spellEnd"/>
      <w:r w:rsidRPr="00E042B1">
        <w:rPr>
          <w:rFonts w:ascii="Arial" w:hAnsi="Arial" w:cs="Arial"/>
          <w:sz w:val="20"/>
          <w:szCs w:val="20"/>
        </w:rPr>
        <w:t xml:space="preserve"> profile. This combination effectively masked any undesirable coarse-grain </w:t>
      </w:r>
      <w:proofErr w:type="spellStart"/>
      <w:r w:rsidRPr="00E042B1">
        <w:rPr>
          <w:rFonts w:ascii="Arial" w:hAnsi="Arial" w:cs="Arial"/>
          <w:sz w:val="20"/>
          <w:szCs w:val="20"/>
        </w:rPr>
        <w:t>flavours</w:t>
      </w:r>
      <w:proofErr w:type="spellEnd"/>
      <w:r w:rsidRPr="00E042B1">
        <w:rPr>
          <w:rFonts w:ascii="Arial" w:hAnsi="Arial" w:cs="Arial"/>
          <w:sz w:val="20"/>
          <w:szCs w:val="20"/>
        </w:rPr>
        <w:t>, enhan</w:t>
      </w:r>
      <w:r w:rsidR="00D85622" w:rsidRPr="00E042B1">
        <w:rPr>
          <w:rFonts w:ascii="Arial" w:hAnsi="Arial" w:cs="Arial"/>
          <w:sz w:val="20"/>
          <w:szCs w:val="20"/>
        </w:rPr>
        <w:t xml:space="preserve">cing overall </w:t>
      </w:r>
      <w:proofErr w:type="spellStart"/>
      <w:r w:rsidR="00D85622" w:rsidRPr="00E042B1">
        <w:rPr>
          <w:rFonts w:ascii="Arial" w:hAnsi="Arial" w:cs="Arial"/>
          <w:sz w:val="20"/>
          <w:szCs w:val="20"/>
        </w:rPr>
        <w:t>flavour</w:t>
      </w:r>
      <w:proofErr w:type="spellEnd"/>
      <w:r w:rsidR="00D85622" w:rsidRPr="00E042B1">
        <w:rPr>
          <w:rFonts w:ascii="Arial" w:hAnsi="Arial" w:cs="Arial"/>
          <w:sz w:val="20"/>
          <w:szCs w:val="20"/>
        </w:rPr>
        <w:t xml:space="preserve"> perception.</w:t>
      </w:r>
      <w:r w:rsidR="00833C2B" w:rsidRPr="00E042B1">
        <w:rPr>
          <w:rFonts w:ascii="Arial" w:hAnsi="Arial" w:cs="Arial"/>
          <w:sz w:val="20"/>
          <w:szCs w:val="20"/>
        </w:rPr>
        <w:t xml:space="preserve">  </w:t>
      </w:r>
    </w:p>
    <w:p w:rsidR="000B783D" w:rsidRPr="00E042B1" w:rsidRDefault="000B783D" w:rsidP="000B783D">
      <w:pPr>
        <w:pStyle w:val="Heading4"/>
        <w:rPr>
          <w:rFonts w:ascii="Arial" w:hAnsi="Arial" w:cs="Arial"/>
          <w:color w:val="auto"/>
        </w:rPr>
      </w:pPr>
      <w:r w:rsidRPr="00E042B1">
        <w:rPr>
          <w:rFonts w:ascii="Arial" w:hAnsi="Arial" w:cs="Arial"/>
          <w:color w:val="auto"/>
        </w:rPr>
        <w:lastRenderedPageBreak/>
        <w:t>3.1.3 Taste</w:t>
      </w:r>
    </w:p>
    <w:p w:rsidR="001406C2" w:rsidRPr="00E042B1" w:rsidRDefault="00D15441" w:rsidP="00D15441">
      <w:pPr>
        <w:jc w:val="both"/>
        <w:rPr>
          <w:rFonts w:ascii="Arial" w:hAnsi="Arial" w:cs="Arial"/>
        </w:rPr>
      </w:pPr>
      <w:r w:rsidRPr="00E042B1">
        <w:rPr>
          <w:rFonts w:ascii="Arial" w:hAnsi="Arial" w:cs="Arial"/>
        </w:rPr>
        <w:t xml:space="preserve">Palatability of biscuits is influenced by the interaction of basic taste components and </w:t>
      </w:r>
      <w:proofErr w:type="spellStart"/>
      <w:r w:rsidRPr="00E042B1">
        <w:rPr>
          <w:rFonts w:ascii="Arial" w:hAnsi="Arial" w:cs="Arial"/>
        </w:rPr>
        <w:t>flavour</w:t>
      </w:r>
      <w:proofErr w:type="spellEnd"/>
      <w:r w:rsidRPr="00E042B1">
        <w:rPr>
          <w:rFonts w:ascii="Arial" w:hAnsi="Arial" w:cs="Arial"/>
        </w:rPr>
        <w:t xml:space="preserve"> release during consumption. The mean taste score of the developed product was </w:t>
      </w:r>
      <w:r w:rsidRPr="00E042B1">
        <w:rPr>
          <w:rStyle w:val="Strong"/>
          <w:rFonts w:ascii="Arial" w:hAnsi="Arial" w:cs="Arial"/>
          <w:b w:val="0"/>
          <w:bCs w:val="0"/>
        </w:rPr>
        <w:t>8.30 ± 0.48</w:t>
      </w:r>
      <w:r w:rsidRPr="00E042B1">
        <w:rPr>
          <w:rFonts w:ascii="Arial" w:hAnsi="Arial" w:cs="Arial"/>
        </w:rPr>
        <w:t xml:space="preserve">, demonstrating </w:t>
      </w:r>
      <w:proofErr w:type="spellStart"/>
      <w:r w:rsidRPr="00E042B1">
        <w:rPr>
          <w:rFonts w:ascii="Arial" w:hAnsi="Arial" w:cs="Arial"/>
        </w:rPr>
        <w:t>favourable</w:t>
      </w:r>
      <w:proofErr w:type="spellEnd"/>
      <w:r w:rsidRPr="00E042B1">
        <w:rPr>
          <w:rFonts w:ascii="Arial" w:hAnsi="Arial" w:cs="Arial"/>
        </w:rPr>
        <w:t xml:space="preserve"> taste perception by the sensory panel. The balanced incorporation of salt, sugar and fat, along with the inherent taste characteristics of the composite flours, contributed to improved mouthfeel and enhanced palatability without overpowering the product</w:t>
      </w:r>
      <w:r w:rsidR="00D85622" w:rsidRPr="00E042B1">
        <w:rPr>
          <w:rFonts w:ascii="Arial" w:hAnsi="Arial" w:cs="Arial"/>
        </w:rPr>
        <w:t>.</w:t>
      </w:r>
    </w:p>
    <w:p w:rsidR="006E660C" w:rsidRPr="00E042B1" w:rsidRDefault="006E660C" w:rsidP="006E660C">
      <w:pPr>
        <w:pStyle w:val="Heading4"/>
        <w:rPr>
          <w:rFonts w:ascii="Arial" w:hAnsi="Arial" w:cs="Arial"/>
          <w:color w:val="auto"/>
        </w:rPr>
      </w:pPr>
      <w:r w:rsidRPr="00E042B1">
        <w:rPr>
          <w:rFonts w:ascii="Arial" w:hAnsi="Arial" w:cs="Arial"/>
          <w:color w:val="auto"/>
        </w:rPr>
        <w:t>3.1.4 Texture</w:t>
      </w:r>
    </w:p>
    <w:p w:rsidR="006E660C" w:rsidRPr="00E042B1" w:rsidRDefault="006E660C" w:rsidP="006E660C">
      <w:pPr>
        <w:pStyle w:val="NormalWeb"/>
        <w:jc w:val="both"/>
        <w:rPr>
          <w:rFonts w:ascii="Arial" w:hAnsi="Arial" w:cs="Arial"/>
          <w:sz w:val="20"/>
          <w:szCs w:val="20"/>
        </w:rPr>
      </w:pPr>
      <w:r w:rsidRPr="00E042B1">
        <w:rPr>
          <w:rFonts w:ascii="Arial" w:hAnsi="Arial" w:cs="Arial"/>
          <w:sz w:val="20"/>
          <w:szCs w:val="20"/>
        </w:rPr>
        <w:t xml:space="preserve">Textural quality plays a critical role in determining consumer preference for biscuit products. The developed millet-based salty biscuit recorded a mean texture score of </w:t>
      </w:r>
      <w:r w:rsidRPr="00E042B1">
        <w:rPr>
          <w:rStyle w:val="Strong"/>
          <w:rFonts w:ascii="Arial" w:hAnsi="Arial" w:cs="Arial"/>
          <w:b w:val="0"/>
          <w:bCs w:val="0"/>
          <w:sz w:val="20"/>
          <w:szCs w:val="20"/>
        </w:rPr>
        <w:t>8.30 ± 0.95</w:t>
      </w:r>
      <w:r w:rsidRPr="00E042B1">
        <w:rPr>
          <w:rFonts w:ascii="Arial" w:hAnsi="Arial" w:cs="Arial"/>
          <w:sz w:val="20"/>
          <w:szCs w:val="20"/>
        </w:rPr>
        <w:t xml:space="preserve"> (Table 2), indicating desirable crispness and structural integrity. The optimized composite flour ratio and effective fat dispersion promoted adequate starch gelatinization during baking, compensating for the absence of gluten and resulting in a crisp yet stable product, consistent with earlier findings on millet-based baked goods</w:t>
      </w:r>
    </w:p>
    <w:p w:rsidR="00D15441" w:rsidRPr="00E042B1" w:rsidRDefault="00D15441" w:rsidP="00D15441">
      <w:pPr>
        <w:pStyle w:val="Heading4"/>
        <w:rPr>
          <w:rFonts w:ascii="Arial" w:hAnsi="Arial" w:cs="Arial"/>
          <w:color w:val="auto"/>
        </w:rPr>
      </w:pPr>
      <w:r w:rsidRPr="00E042B1">
        <w:rPr>
          <w:rFonts w:ascii="Arial" w:hAnsi="Arial" w:cs="Arial"/>
          <w:color w:val="auto"/>
        </w:rPr>
        <w:t>3.1.5 Appearance</w:t>
      </w:r>
    </w:p>
    <w:p w:rsidR="00D15441" w:rsidRPr="00E042B1" w:rsidRDefault="00D15441" w:rsidP="00D15441">
      <w:pPr>
        <w:pStyle w:val="NormalWeb"/>
        <w:jc w:val="both"/>
        <w:rPr>
          <w:rFonts w:ascii="Arial" w:hAnsi="Arial" w:cs="Arial"/>
          <w:sz w:val="20"/>
          <w:szCs w:val="20"/>
        </w:rPr>
      </w:pPr>
      <w:r w:rsidRPr="00E042B1">
        <w:rPr>
          <w:rFonts w:ascii="Arial" w:hAnsi="Arial" w:cs="Arial"/>
          <w:sz w:val="20"/>
          <w:szCs w:val="20"/>
        </w:rPr>
        <w:t xml:space="preserve">Overall visual appeal is a combined outcome of shape, surface smoothness and baking uniformity. The appearance score of the biscuit was </w:t>
      </w:r>
      <w:r w:rsidRPr="00E042B1">
        <w:rPr>
          <w:rStyle w:val="Strong"/>
          <w:rFonts w:ascii="Arial" w:hAnsi="Arial" w:cs="Arial"/>
          <w:b w:val="0"/>
          <w:bCs w:val="0"/>
          <w:sz w:val="20"/>
          <w:szCs w:val="20"/>
        </w:rPr>
        <w:t>8.70 ± 0.48</w:t>
      </w:r>
      <w:r w:rsidRPr="00E042B1">
        <w:rPr>
          <w:rFonts w:ascii="Arial" w:hAnsi="Arial" w:cs="Arial"/>
          <w:sz w:val="20"/>
          <w:szCs w:val="20"/>
        </w:rPr>
        <w:t xml:space="preserve">, the highest among all sensory attributes (Table 2). The uniform shape, smooth surface and even </w:t>
      </w:r>
      <w:proofErr w:type="spellStart"/>
      <w:r w:rsidRPr="00E042B1">
        <w:rPr>
          <w:rFonts w:ascii="Arial" w:hAnsi="Arial" w:cs="Arial"/>
          <w:sz w:val="20"/>
          <w:szCs w:val="20"/>
        </w:rPr>
        <w:t>colour</w:t>
      </w:r>
      <w:proofErr w:type="spellEnd"/>
      <w:r w:rsidRPr="00E042B1">
        <w:rPr>
          <w:rFonts w:ascii="Arial" w:hAnsi="Arial" w:cs="Arial"/>
          <w:sz w:val="20"/>
          <w:szCs w:val="20"/>
        </w:rPr>
        <w:t xml:space="preserve"> distribution achieved through standardized dough handling and controlled baking conditions contributed significantly to the high appearance score. The hedonic evaluation placed the product in the “liked extremely” category.</w:t>
      </w:r>
    </w:p>
    <w:p w:rsidR="00D15441" w:rsidRPr="00E042B1" w:rsidRDefault="00D15441" w:rsidP="00D15441">
      <w:pPr>
        <w:pStyle w:val="Heading4"/>
        <w:rPr>
          <w:rFonts w:ascii="Arial" w:hAnsi="Arial" w:cs="Arial"/>
          <w:color w:val="auto"/>
        </w:rPr>
      </w:pPr>
      <w:r w:rsidRPr="00E042B1">
        <w:rPr>
          <w:rFonts w:ascii="Arial" w:hAnsi="Arial" w:cs="Arial"/>
          <w:color w:val="auto"/>
        </w:rPr>
        <w:t>3.1.6 Overall Acceptability</w:t>
      </w:r>
    </w:p>
    <w:p w:rsidR="00D15441" w:rsidRPr="00E042B1" w:rsidRDefault="00D15441" w:rsidP="00D15441">
      <w:pPr>
        <w:pStyle w:val="NormalWeb"/>
        <w:jc w:val="both"/>
        <w:rPr>
          <w:rFonts w:ascii="Arial" w:hAnsi="Arial" w:cs="Arial"/>
          <w:sz w:val="20"/>
          <w:szCs w:val="20"/>
        </w:rPr>
      </w:pPr>
      <w:r w:rsidRPr="00E042B1">
        <w:rPr>
          <w:rFonts w:ascii="Arial" w:hAnsi="Arial" w:cs="Arial"/>
          <w:sz w:val="20"/>
          <w:szCs w:val="20"/>
        </w:rPr>
        <w:t>Consumer preference is best reflecte</w:t>
      </w:r>
      <w:r w:rsidR="00F37BB7" w:rsidRPr="00E042B1">
        <w:rPr>
          <w:rFonts w:ascii="Arial" w:hAnsi="Arial" w:cs="Arial"/>
          <w:sz w:val="20"/>
          <w:szCs w:val="20"/>
        </w:rPr>
        <w:t>d through overall acceptability</w:t>
      </w:r>
      <w:r w:rsidRPr="00E042B1">
        <w:rPr>
          <w:rFonts w:ascii="Arial" w:hAnsi="Arial" w:cs="Arial"/>
          <w:sz w:val="20"/>
          <w:szCs w:val="20"/>
        </w:rPr>
        <w:t xml:space="preserve"> which integrates all individual sensory attributes. The developed millet-based salty biscuit achieved an overall acceptability score of </w:t>
      </w:r>
      <w:r w:rsidRPr="00E042B1">
        <w:rPr>
          <w:rStyle w:val="Strong"/>
          <w:rFonts w:ascii="Arial" w:hAnsi="Arial" w:cs="Arial"/>
          <w:b w:val="0"/>
          <w:bCs w:val="0"/>
          <w:sz w:val="20"/>
          <w:szCs w:val="20"/>
        </w:rPr>
        <w:t>8.50 ± 0.71</w:t>
      </w:r>
      <w:r w:rsidRPr="00E042B1">
        <w:rPr>
          <w:rFonts w:ascii="Arial" w:hAnsi="Arial" w:cs="Arial"/>
          <w:sz w:val="20"/>
          <w:szCs w:val="20"/>
        </w:rPr>
        <w:t xml:space="preserve"> (Table 2), indicating strong panel approval. The high score confirms that the combined effects of </w:t>
      </w:r>
      <w:proofErr w:type="spellStart"/>
      <w:r w:rsidRPr="00E042B1">
        <w:rPr>
          <w:rFonts w:ascii="Arial" w:hAnsi="Arial" w:cs="Arial"/>
          <w:sz w:val="20"/>
          <w:szCs w:val="20"/>
        </w:rPr>
        <w:t>colour</w:t>
      </w:r>
      <w:proofErr w:type="spellEnd"/>
      <w:r w:rsidRPr="00E042B1">
        <w:rPr>
          <w:rFonts w:ascii="Arial" w:hAnsi="Arial" w:cs="Arial"/>
          <w:sz w:val="20"/>
          <w:szCs w:val="20"/>
        </w:rPr>
        <w:t xml:space="preserve">, </w:t>
      </w:r>
      <w:proofErr w:type="spellStart"/>
      <w:r w:rsidRPr="00E042B1">
        <w:rPr>
          <w:rFonts w:ascii="Arial" w:hAnsi="Arial" w:cs="Arial"/>
          <w:sz w:val="20"/>
          <w:szCs w:val="20"/>
        </w:rPr>
        <w:t>flavour</w:t>
      </w:r>
      <w:proofErr w:type="spellEnd"/>
      <w:r w:rsidRPr="00E042B1">
        <w:rPr>
          <w:rFonts w:ascii="Arial" w:hAnsi="Arial" w:cs="Arial"/>
          <w:sz w:val="20"/>
          <w:szCs w:val="20"/>
        </w:rPr>
        <w:t>, taste, texture and appearance resulted in a product that is both nutritionally enhanced and sensorially appealing, highlighting its potential as a viable alternative to conventional refined-flour biscuits.</w:t>
      </w:r>
    </w:p>
    <w:p w:rsidR="00F6544E" w:rsidRPr="00E042B1" w:rsidRDefault="00C77A6C" w:rsidP="00F6544E">
      <w:pPr>
        <w:pStyle w:val="Heading2"/>
        <w:rPr>
          <w:rFonts w:ascii="Arial" w:hAnsi="Arial" w:cs="Arial"/>
          <w:i/>
          <w:color w:val="auto"/>
          <w:sz w:val="20"/>
          <w:szCs w:val="20"/>
        </w:rPr>
      </w:pPr>
      <w:r w:rsidRPr="00E042B1">
        <w:rPr>
          <w:rFonts w:ascii="Arial" w:hAnsi="Arial" w:cs="Arial"/>
          <w:color w:val="auto"/>
          <w:sz w:val="20"/>
          <w:szCs w:val="20"/>
        </w:rPr>
        <w:t xml:space="preserve">Table </w:t>
      </w:r>
      <w:r w:rsidR="00F6544E" w:rsidRPr="00E042B1">
        <w:rPr>
          <w:rFonts w:ascii="Arial" w:hAnsi="Arial" w:cs="Arial"/>
          <w:color w:val="auto"/>
          <w:sz w:val="20"/>
          <w:szCs w:val="20"/>
        </w:rPr>
        <w:t>2.   Organoleptic evaluation of Salty Biscuit</w:t>
      </w:r>
    </w:p>
    <w:tbl>
      <w:tblPr>
        <w:tblStyle w:val="TableGrid"/>
        <w:tblW w:w="4896" w:type="pct"/>
        <w:tblLook w:val="01E0" w:firstRow="1" w:lastRow="1" w:firstColumn="1" w:lastColumn="1" w:noHBand="0" w:noVBand="0"/>
      </w:tblPr>
      <w:tblGrid>
        <w:gridCol w:w="1268"/>
        <w:gridCol w:w="1260"/>
        <w:gridCol w:w="1269"/>
        <w:gridCol w:w="1265"/>
        <w:gridCol w:w="1535"/>
        <w:gridCol w:w="1707"/>
      </w:tblGrid>
      <w:tr w:rsidR="00F6544E" w:rsidRPr="00E042B1" w:rsidTr="00E04348">
        <w:trPr>
          <w:trHeight w:val="403"/>
        </w:trPr>
        <w:tc>
          <w:tcPr>
            <w:tcW w:w="5000" w:type="pct"/>
            <w:gridSpan w:val="6"/>
          </w:tcPr>
          <w:p w:rsidR="00F6544E" w:rsidRPr="00E042B1" w:rsidRDefault="00F37BB7" w:rsidP="00F37BB7">
            <w:pPr>
              <w:pStyle w:val="TableParagraph"/>
              <w:tabs>
                <w:tab w:val="left" w:pos="7860"/>
              </w:tabs>
              <w:spacing w:before="57"/>
              <w:ind w:right="2863"/>
              <w:rPr>
                <w:rFonts w:ascii="Arial" w:hAnsi="Arial" w:cs="Arial"/>
                <w:b/>
                <w:sz w:val="20"/>
                <w:szCs w:val="20"/>
              </w:rPr>
            </w:pPr>
            <w:r w:rsidRPr="00E042B1">
              <w:rPr>
                <w:rFonts w:ascii="Arial" w:hAnsi="Arial" w:cs="Arial"/>
                <w:sz w:val="20"/>
                <w:szCs w:val="20"/>
              </w:rPr>
              <w:t xml:space="preserve">                              </w:t>
            </w:r>
            <w:r w:rsidR="00F6544E" w:rsidRPr="00E042B1">
              <w:rPr>
                <w:rFonts w:ascii="Arial" w:hAnsi="Arial" w:cs="Arial"/>
                <w:sz w:val="20"/>
                <w:szCs w:val="20"/>
              </w:rPr>
              <w:t>Mean scores of Sensory attributes</w:t>
            </w:r>
          </w:p>
        </w:tc>
      </w:tr>
      <w:tr w:rsidR="00F6544E" w:rsidRPr="00E042B1" w:rsidTr="00E04348">
        <w:trPr>
          <w:trHeight w:val="688"/>
        </w:trPr>
        <w:tc>
          <w:tcPr>
            <w:tcW w:w="761" w:type="pct"/>
          </w:tcPr>
          <w:p w:rsidR="00F6544E" w:rsidRPr="00E042B1" w:rsidRDefault="00F6544E" w:rsidP="00E04348">
            <w:pPr>
              <w:pStyle w:val="TableParagraph"/>
              <w:spacing w:before="0"/>
              <w:ind w:left="311"/>
              <w:rPr>
                <w:rFonts w:ascii="Arial" w:hAnsi="Arial" w:cs="Arial"/>
                <w:b/>
                <w:bCs/>
                <w:sz w:val="20"/>
                <w:szCs w:val="20"/>
              </w:rPr>
            </w:pPr>
            <w:proofErr w:type="spellStart"/>
            <w:r w:rsidRPr="00E042B1">
              <w:rPr>
                <w:rFonts w:ascii="Arial" w:hAnsi="Arial" w:cs="Arial"/>
                <w:b/>
                <w:bCs/>
                <w:sz w:val="20"/>
                <w:szCs w:val="20"/>
              </w:rPr>
              <w:t>Colour</w:t>
            </w:r>
            <w:proofErr w:type="spellEnd"/>
          </w:p>
        </w:tc>
        <w:tc>
          <w:tcPr>
            <w:tcW w:w="733" w:type="pct"/>
          </w:tcPr>
          <w:p w:rsidR="00F6544E" w:rsidRPr="00E042B1" w:rsidRDefault="00F6544E" w:rsidP="00E04348">
            <w:pPr>
              <w:pStyle w:val="TableParagraph"/>
              <w:spacing w:before="0"/>
              <w:ind w:left="316"/>
              <w:rPr>
                <w:rFonts w:ascii="Arial" w:hAnsi="Arial" w:cs="Arial"/>
                <w:b/>
                <w:sz w:val="20"/>
                <w:szCs w:val="20"/>
              </w:rPr>
            </w:pPr>
            <w:proofErr w:type="spellStart"/>
            <w:r w:rsidRPr="00E042B1">
              <w:rPr>
                <w:rFonts w:ascii="Arial" w:hAnsi="Arial" w:cs="Arial"/>
                <w:b/>
                <w:sz w:val="20"/>
                <w:szCs w:val="20"/>
              </w:rPr>
              <w:t>Flavour</w:t>
            </w:r>
            <w:proofErr w:type="spellEnd"/>
          </w:p>
        </w:tc>
        <w:tc>
          <w:tcPr>
            <w:tcW w:w="761" w:type="pct"/>
          </w:tcPr>
          <w:p w:rsidR="00F6544E" w:rsidRPr="00E042B1" w:rsidRDefault="00F6544E" w:rsidP="00E04348">
            <w:pPr>
              <w:pStyle w:val="TableParagraph"/>
              <w:spacing w:before="0"/>
              <w:ind w:right="378"/>
              <w:rPr>
                <w:rFonts w:ascii="Arial" w:hAnsi="Arial" w:cs="Arial"/>
                <w:b/>
                <w:sz w:val="20"/>
                <w:szCs w:val="20"/>
              </w:rPr>
            </w:pPr>
            <w:r w:rsidRPr="00E042B1">
              <w:rPr>
                <w:rFonts w:ascii="Arial" w:hAnsi="Arial" w:cs="Arial"/>
                <w:b/>
                <w:sz w:val="20"/>
                <w:szCs w:val="20"/>
              </w:rPr>
              <w:t>Taste</w:t>
            </w:r>
          </w:p>
        </w:tc>
        <w:tc>
          <w:tcPr>
            <w:tcW w:w="800" w:type="pct"/>
          </w:tcPr>
          <w:p w:rsidR="00F6544E" w:rsidRPr="00E042B1" w:rsidRDefault="00F6544E" w:rsidP="00E04348">
            <w:pPr>
              <w:pStyle w:val="TableParagraph"/>
              <w:spacing w:before="0"/>
              <w:rPr>
                <w:rFonts w:ascii="Arial" w:hAnsi="Arial" w:cs="Arial"/>
                <w:b/>
                <w:sz w:val="20"/>
                <w:szCs w:val="20"/>
              </w:rPr>
            </w:pPr>
            <w:r w:rsidRPr="00E042B1">
              <w:rPr>
                <w:rFonts w:ascii="Arial" w:hAnsi="Arial" w:cs="Arial"/>
                <w:b/>
                <w:sz w:val="20"/>
                <w:szCs w:val="20"/>
              </w:rPr>
              <w:t>Texture</w:t>
            </w:r>
          </w:p>
        </w:tc>
        <w:tc>
          <w:tcPr>
            <w:tcW w:w="918" w:type="pct"/>
          </w:tcPr>
          <w:p w:rsidR="00F6544E" w:rsidRPr="00E042B1" w:rsidRDefault="00F6544E" w:rsidP="00E04348">
            <w:pPr>
              <w:pStyle w:val="TableParagraph"/>
              <w:spacing w:before="0"/>
              <w:ind w:left="174"/>
              <w:rPr>
                <w:rFonts w:ascii="Arial" w:hAnsi="Arial" w:cs="Arial"/>
                <w:b/>
                <w:sz w:val="20"/>
                <w:szCs w:val="20"/>
              </w:rPr>
            </w:pPr>
            <w:r w:rsidRPr="00E042B1">
              <w:rPr>
                <w:rFonts w:ascii="Arial" w:hAnsi="Arial" w:cs="Arial"/>
                <w:b/>
                <w:sz w:val="20"/>
                <w:szCs w:val="20"/>
              </w:rPr>
              <w:t>Appearance</w:t>
            </w:r>
          </w:p>
        </w:tc>
        <w:tc>
          <w:tcPr>
            <w:tcW w:w="1027" w:type="pct"/>
          </w:tcPr>
          <w:p w:rsidR="00F6544E" w:rsidRPr="00E042B1" w:rsidRDefault="00F6544E" w:rsidP="00E04348">
            <w:pPr>
              <w:pStyle w:val="TableParagraph"/>
              <w:spacing w:before="59"/>
              <w:ind w:right="112"/>
              <w:jc w:val="left"/>
              <w:rPr>
                <w:rFonts w:ascii="Arial" w:hAnsi="Arial" w:cs="Arial"/>
                <w:b/>
                <w:bCs/>
                <w:sz w:val="20"/>
                <w:szCs w:val="20"/>
              </w:rPr>
            </w:pPr>
            <w:r w:rsidRPr="00E042B1">
              <w:rPr>
                <w:rFonts w:ascii="Arial" w:hAnsi="Arial" w:cs="Arial"/>
                <w:b/>
                <w:bCs/>
                <w:sz w:val="20"/>
                <w:szCs w:val="20"/>
              </w:rPr>
              <w:t xml:space="preserve">     Overall</w:t>
            </w:r>
          </w:p>
          <w:p w:rsidR="00F6544E" w:rsidRPr="00E042B1" w:rsidRDefault="00F6544E" w:rsidP="00E04348">
            <w:pPr>
              <w:pStyle w:val="TableParagraph"/>
              <w:spacing w:before="59"/>
              <w:ind w:left="134" w:right="112"/>
              <w:rPr>
                <w:rFonts w:ascii="Arial" w:hAnsi="Arial" w:cs="Arial"/>
                <w:b/>
                <w:sz w:val="20"/>
                <w:szCs w:val="20"/>
              </w:rPr>
            </w:pPr>
            <w:r w:rsidRPr="00E042B1">
              <w:rPr>
                <w:rFonts w:ascii="Arial" w:hAnsi="Arial" w:cs="Arial"/>
                <w:b/>
                <w:bCs/>
                <w:sz w:val="20"/>
                <w:szCs w:val="20"/>
              </w:rPr>
              <w:t>Acceptability</w:t>
            </w:r>
          </w:p>
        </w:tc>
      </w:tr>
      <w:tr w:rsidR="00F6544E" w:rsidRPr="00E042B1" w:rsidTr="00E04348">
        <w:trPr>
          <w:trHeight w:val="535"/>
        </w:trPr>
        <w:tc>
          <w:tcPr>
            <w:tcW w:w="761" w:type="pct"/>
          </w:tcPr>
          <w:p w:rsidR="00F6544E" w:rsidRPr="00E042B1" w:rsidRDefault="00F6544E" w:rsidP="00E04348">
            <w:pPr>
              <w:pStyle w:val="TableParagraph"/>
              <w:spacing w:before="54" w:line="360" w:lineRule="auto"/>
              <w:ind w:left="163"/>
              <w:jc w:val="left"/>
              <w:rPr>
                <w:rFonts w:ascii="Arial" w:hAnsi="Arial" w:cs="Arial"/>
                <w:b/>
                <w:bCs/>
                <w:sz w:val="20"/>
                <w:szCs w:val="20"/>
              </w:rPr>
            </w:pPr>
            <w:r w:rsidRPr="00E042B1">
              <w:rPr>
                <w:rFonts w:ascii="Arial" w:hAnsi="Arial" w:cs="Arial"/>
                <w:sz w:val="20"/>
                <w:szCs w:val="20"/>
              </w:rPr>
              <w:t>8.60±0.70</w:t>
            </w:r>
          </w:p>
        </w:tc>
        <w:tc>
          <w:tcPr>
            <w:tcW w:w="733" w:type="pct"/>
          </w:tcPr>
          <w:p w:rsidR="00F6544E" w:rsidRPr="00E042B1" w:rsidRDefault="00F6544E" w:rsidP="00E04348">
            <w:pPr>
              <w:pStyle w:val="TableParagraph"/>
              <w:spacing w:before="54" w:line="360" w:lineRule="auto"/>
              <w:ind w:right="155"/>
              <w:jc w:val="right"/>
              <w:rPr>
                <w:rFonts w:ascii="Arial" w:hAnsi="Arial" w:cs="Arial"/>
                <w:b/>
                <w:bCs/>
                <w:sz w:val="20"/>
                <w:szCs w:val="20"/>
              </w:rPr>
            </w:pPr>
            <w:r w:rsidRPr="00E042B1">
              <w:rPr>
                <w:rFonts w:ascii="Arial" w:hAnsi="Arial" w:cs="Arial"/>
                <w:sz w:val="20"/>
                <w:szCs w:val="20"/>
              </w:rPr>
              <w:t>8.50±0.53</w:t>
            </w:r>
          </w:p>
        </w:tc>
        <w:tc>
          <w:tcPr>
            <w:tcW w:w="761" w:type="pct"/>
          </w:tcPr>
          <w:p w:rsidR="00F6544E" w:rsidRPr="00E042B1" w:rsidRDefault="00F6544E" w:rsidP="00E04348">
            <w:pPr>
              <w:pStyle w:val="TableParagraph"/>
              <w:spacing w:before="54" w:line="360" w:lineRule="auto"/>
              <w:ind w:left="84" w:right="80"/>
              <w:rPr>
                <w:rFonts w:ascii="Arial" w:hAnsi="Arial" w:cs="Arial"/>
                <w:b/>
                <w:bCs/>
                <w:sz w:val="20"/>
                <w:szCs w:val="20"/>
              </w:rPr>
            </w:pPr>
            <w:r w:rsidRPr="00E042B1">
              <w:rPr>
                <w:rFonts w:ascii="Arial" w:hAnsi="Arial" w:cs="Arial"/>
                <w:sz w:val="20"/>
                <w:szCs w:val="20"/>
              </w:rPr>
              <w:t>8.30±0.48</w:t>
            </w:r>
          </w:p>
        </w:tc>
        <w:tc>
          <w:tcPr>
            <w:tcW w:w="800" w:type="pct"/>
          </w:tcPr>
          <w:p w:rsidR="00F6544E" w:rsidRPr="00E042B1" w:rsidRDefault="00F6544E" w:rsidP="00E04348">
            <w:pPr>
              <w:pStyle w:val="TableParagraph"/>
              <w:spacing w:before="54" w:line="360" w:lineRule="auto"/>
              <w:ind w:left="160"/>
              <w:jc w:val="left"/>
              <w:rPr>
                <w:rFonts w:ascii="Arial" w:hAnsi="Arial" w:cs="Arial"/>
                <w:b/>
                <w:bCs/>
                <w:sz w:val="20"/>
                <w:szCs w:val="20"/>
              </w:rPr>
            </w:pPr>
            <w:r w:rsidRPr="00E042B1">
              <w:rPr>
                <w:rFonts w:ascii="Arial" w:hAnsi="Arial" w:cs="Arial"/>
                <w:sz w:val="20"/>
                <w:szCs w:val="20"/>
              </w:rPr>
              <w:t>8.30±0.95</w:t>
            </w:r>
          </w:p>
        </w:tc>
        <w:tc>
          <w:tcPr>
            <w:tcW w:w="918" w:type="pct"/>
          </w:tcPr>
          <w:p w:rsidR="00F6544E" w:rsidRPr="00E042B1" w:rsidRDefault="00F6544E" w:rsidP="00E04348">
            <w:pPr>
              <w:pStyle w:val="TableParagraph"/>
              <w:spacing w:before="54" w:line="360" w:lineRule="auto"/>
              <w:ind w:left="84" w:right="82"/>
              <w:rPr>
                <w:rFonts w:ascii="Arial" w:hAnsi="Arial" w:cs="Arial"/>
                <w:b/>
                <w:bCs/>
                <w:sz w:val="20"/>
                <w:szCs w:val="20"/>
              </w:rPr>
            </w:pPr>
            <w:r w:rsidRPr="00E042B1">
              <w:rPr>
                <w:rFonts w:ascii="Arial" w:hAnsi="Arial" w:cs="Arial"/>
                <w:sz w:val="20"/>
                <w:szCs w:val="20"/>
              </w:rPr>
              <w:t>8.70±0.48</w:t>
            </w:r>
          </w:p>
        </w:tc>
        <w:tc>
          <w:tcPr>
            <w:tcW w:w="1027" w:type="pct"/>
          </w:tcPr>
          <w:p w:rsidR="00F6544E" w:rsidRPr="00E042B1" w:rsidRDefault="00F6544E" w:rsidP="00E04348">
            <w:pPr>
              <w:pStyle w:val="TableParagraph"/>
              <w:spacing w:before="54" w:line="360" w:lineRule="auto"/>
              <w:ind w:left="160"/>
              <w:jc w:val="left"/>
              <w:rPr>
                <w:rFonts w:ascii="Arial" w:hAnsi="Arial" w:cs="Arial"/>
                <w:b/>
                <w:bCs/>
                <w:sz w:val="20"/>
                <w:szCs w:val="20"/>
              </w:rPr>
            </w:pPr>
            <w:r w:rsidRPr="00E042B1">
              <w:rPr>
                <w:rFonts w:ascii="Arial" w:hAnsi="Arial" w:cs="Arial"/>
                <w:sz w:val="20"/>
                <w:szCs w:val="20"/>
              </w:rPr>
              <w:t>8.50±0.71</w:t>
            </w:r>
          </w:p>
        </w:tc>
      </w:tr>
    </w:tbl>
    <w:p w:rsidR="00F6544E" w:rsidRPr="00E042B1" w:rsidRDefault="00F6544E" w:rsidP="00F6544E">
      <w:pPr>
        <w:tabs>
          <w:tab w:val="center" w:pos="4680"/>
        </w:tabs>
        <w:ind w:left="1"/>
        <w:rPr>
          <w:rFonts w:ascii="Arial" w:eastAsiaTheme="minorEastAsia" w:hAnsi="Arial" w:cs="Arial"/>
        </w:rPr>
      </w:pPr>
      <w:r w:rsidRPr="00E042B1">
        <w:rPr>
          <w:rFonts w:ascii="Arial" w:hAnsi="Arial" w:cs="Arial"/>
        </w:rPr>
        <w:t>Values are mean</w:t>
      </w:r>
      <m:oMath>
        <m:r>
          <w:rPr>
            <w:rFonts w:ascii="Arial" w:hAnsi="Arial" w:cs="Arial"/>
          </w:rPr>
          <m:t>±</m:t>
        </m:r>
      </m:oMath>
      <w:r w:rsidRPr="00E042B1">
        <w:rPr>
          <w:rFonts w:ascii="Arial" w:eastAsiaTheme="minorEastAsia" w:hAnsi="Arial" w:cs="Arial"/>
        </w:rPr>
        <w:t>SD of ten panellist</w:t>
      </w:r>
    </w:p>
    <w:p w:rsidR="00E053D0" w:rsidRPr="00E042B1" w:rsidRDefault="00E053D0" w:rsidP="00441B6F">
      <w:pPr>
        <w:pStyle w:val="Body"/>
        <w:spacing w:after="0"/>
        <w:rPr>
          <w:rFonts w:ascii="Arial" w:hAnsi="Arial" w:cs="Arial"/>
        </w:rPr>
      </w:pPr>
    </w:p>
    <w:p w:rsidR="00F6544E" w:rsidRPr="00E042B1" w:rsidRDefault="00F6544E" w:rsidP="00F6544E">
      <w:pPr>
        <w:widowControl w:val="0"/>
        <w:autoSpaceDE w:val="0"/>
        <w:autoSpaceDN w:val="0"/>
        <w:jc w:val="both"/>
        <w:rPr>
          <w:rFonts w:ascii="Arial" w:hAnsi="Arial" w:cs="Arial"/>
          <w:b/>
          <w:bCs/>
          <w:i/>
          <w:iCs/>
          <w:sz w:val="22"/>
          <w:szCs w:val="22"/>
        </w:rPr>
      </w:pPr>
      <w:r w:rsidRPr="00E042B1">
        <w:rPr>
          <w:rFonts w:ascii="Arial" w:hAnsi="Arial" w:cs="Arial"/>
          <w:b/>
          <w:bCs/>
          <w:sz w:val="22"/>
          <w:szCs w:val="22"/>
        </w:rPr>
        <w:t>3.2 Shelf life evaluation of salty biscuits</w:t>
      </w:r>
    </w:p>
    <w:p w:rsidR="00A95260" w:rsidRPr="00E042B1" w:rsidRDefault="004C09C9" w:rsidP="00A95260">
      <w:pPr>
        <w:pStyle w:val="NormalWeb"/>
        <w:jc w:val="both"/>
        <w:rPr>
          <w:rFonts w:ascii="Arial" w:hAnsi="Arial" w:cs="Arial"/>
          <w:sz w:val="20"/>
          <w:szCs w:val="20"/>
        </w:rPr>
      </w:pPr>
      <w:r w:rsidRPr="00E042B1">
        <w:rPr>
          <w:rFonts w:ascii="Arial" w:hAnsi="Arial" w:cs="Arial"/>
          <w:sz w:val="20"/>
          <w:szCs w:val="20"/>
        </w:rPr>
        <w:t xml:space="preserve">Shelf life is a critical parameter in determining the commercial viability of bakery products, as </w:t>
      </w:r>
      <w:r w:rsidR="00A95260" w:rsidRPr="00E042B1">
        <w:rPr>
          <w:rFonts w:ascii="Arial" w:hAnsi="Arial" w:cs="Arial"/>
          <w:sz w:val="20"/>
          <w:szCs w:val="20"/>
        </w:rPr>
        <w:t xml:space="preserve">Shelf life is an important quality parameter influencing the commercial feasibility of bakery products, as sensory attributes gradually deteriorate during storage due to oxidative and moisture-related changes. In the present investigation, the shelf stability of the developed millet-based salty biscuits was assessed under ambient storage conditions for a period of 30 </w:t>
      </w:r>
      <w:r w:rsidR="00A95260" w:rsidRPr="00E042B1">
        <w:rPr>
          <w:rFonts w:ascii="Arial" w:hAnsi="Arial" w:cs="Arial"/>
          <w:sz w:val="20"/>
          <w:szCs w:val="20"/>
        </w:rPr>
        <w:lastRenderedPageBreak/>
        <w:t>days. Sensory evaluation was carried out at 0, 15 and 30 days to monitor changes in quality attributes over storage.</w:t>
      </w:r>
    </w:p>
    <w:p w:rsidR="00A95260" w:rsidRPr="00E042B1" w:rsidRDefault="00A95260" w:rsidP="00A95260">
      <w:pPr>
        <w:pStyle w:val="Heading3"/>
        <w:jc w:val="both"/>
        <w:rPr>
          <w:rFonts w:ascii="Arial" w:hAnsi="Arial" w:cs="Arial"/>
          <w:color w:val="auto"/>
        </w:rPr>
      </w:pPr>
      <w:r w:rsidRPr="00E042B1">
        <w:rPr>
          <w:rFonts w:ascii="Arial" w:hAnsi="Arial" w:cs="Arial"/>
          <w:color w:val="auto"/>
        </w:rPr>
        <w:t xml:space="preserve">3.2.1 </w:t>
      </w:r>
      <w:proofErr w:type="spellStart"/>
      <w:r w:rsidRPr="00E042B1">
        <w:rPr>
          <w:rFonts w:ascii="Arial" w:hAnsi="Arial" w:cs="Arial"/>
          <w:color w:val="auto"/>
        </w:rPr>
        <w:t>Colour</w:t>
      </w:r>
      <w:proofErr w:type="spellEnd"/>
    </w:p>
    <w:p w:rsidR="00A95260" w:rsidRPr="00E042B1" w:rsidRDefault="00A95260" w:rsidP="00A95260">
      <w:pPr>
        <w:pStyle w:val="NormalWeb"/>
        <w:jc w:val="both"/>
        <w:rPr>
          <w:rFonts w:ascii="Arial" w:hAnsi="Arial" w:cs="Arial"/>
          <w:sz w:val="20"/>
          <w:szCs w:val="20"/>
        </w:rPr>
      </w:pPr>
      <w:proofErr w:type="spellStart"/>
      <w:r w:rsidRPr="00E042B1">
        <w:rPr>
          <w:rFonts w:ascii="Arial" w:hAnsi="Arial" w:cs="Arial"/>
          <w:sz w:val="20"/>
          <w:szCs w:val="20"/>
        </w:rPr>
        <w:t>Colour</w:t>
      </w:r>
      <w:proofErr w:type="spellEnd"/>
      <w:r w:rsidRPr="00E042B1">
        <w:rPr>
          <w:rFonts w:ascii="Arial" w:hAnsi="Arial" w:cs="Arial"/>
          <w:sz w:val="20"/>
          <w:szCs w:val="20"/>
        </w:rPr>
        <w:t xml:space="preserve"> stability during storage is essential for maintaining consumer appeal. As shown in Table 3, the </w:t>
      </w:r>
      <w:proofErr w:type="spellStart"/>
      <w:r w:rsidRPr="00E042B1">
        <w:rPr>
          <w:rFonts w:ascii="Arial" w:hAnsi="Arial" w:cs="Arial"/>
          <w:sz w:val="20"/>
          <w:szCs w:val="20"/>
        </w:rPr>
        <w:t>colour</w:t>
      </w:r>
      <w:proofErr w:type="spellEnd"/>
      <w:r w:rsidRPr="00E042B1">
        <w:rPr>
          <w:rFonts w:ascii="Arial" w:hAnsi="Arial" w:cs="Arial"/>
          <w:sz w:val="20"/>
          <w:szCs w:val="20"/>
        </w:rPr>
        <w:t xml:space="preserve"> score decreased gradually from </w:t>
      </w:r>
      <w:r w:rsidRPr="00E042B1">
        <w:rPr>
          <w:rStyle w:val="Strong"/>
          <w:rFonts w:ascii="Arial" w:hAnsi="Arial" w:cs="Arial"/>
          <w:b w:val="0"/>
          <w:bCs w:val="0"/>
          <w:sz w:val="20"/>
          <w:szCs w:val="20"/>
        </w:rPr>
        <w:t>8.70 ± 0.48</w:t>
      </w:r>
      <w:r w:rsidRPr="00E042B1">
        <w:rPr>
          <w:rFonts w:ascii="Arial" w:hAnsi="Arial" w:cs="Arial"/>
          <w:b/>
          <w:bCs/>
          <w:sz w:val="20"/>
          <w:szCs w:val="20"/>
        </w:rPr>
        <w:t xml:space="preserve"> </w:t>
      </w:r>
      <w:r w:rsidRPr="00E042B1">
        <w:rPr>
          <w:rFonts w:ascii="Arial" w:hAnsi="Arial" w:cs="Arial"/>
          <w:sz w:val="20"/>
          <w:szCs w:val="20"/>
        </w:rPr>
        <w:t xml:space="preserve">on day 0 to </w:t>
      </w:r>
      <w:r w:rsidRPr="00E042B1">
        <w:rPr>
          <w:rStyle w:val="Strong"/>
          <w:rFonts w:ascii="Arial" w:hAnsi="Arial" w:cs="Arial"/>
          <w:b w:val="0"/>
          <w:bCs w:val="0"/>
          <w:sz w:val="20"/>
          <w:szCs w:val="20"/>
        </w:rPr>
        <w:t>8.10 ± 0.74</w:t>
      </w:r>
      <w:r w:rsidRPr="00E042B1">
        <w:rPr>
          <w:rFonts w:ascii="Arial" w:hAnsi="Arial" w:cs="Arial"/>
          <w:sz w:val="20"/>
          <w:szCs w:val="20"/>
        </w:rPr>
        <w:t xml:space="preserve"> after 15 days, followed by a significant decline to </w:t>
      </w:r>
      <w:r w:rsidRPr="00E042B1">
        <w:rPr>
          <w:rStyle w:val="Strong"/>
          <w:rFonts w:ascii="Arial" w:hAnsi="Arial" w:cs="Arial"/>
          <w:b w:val="0"/>
          <w:bCs w:val="0"/>
          <w:sz w:val="20"/>
          <w:szCs w:val="20"/>
        </w:rPr>
        <w:t>6.60 ± 1.17</w:t>
      </w:r>
      <w:r w:rsidRPr="00E042B1">
        <w:rPr>
          <w:rFonts w:ascii="Arial" w:hAnsi="Arial" w:cs="Arial"/>
          <w:sz w:val="20"/>
          <w:szCs w:val="20"/>
        </w:rPr>
        <w:t xml:space="preserve"> at 30 days (p &lt; 0.05). The reduction in </w:t>
      </w:r>
      <w:proofErr w:type="spellStart"/>
      <w:r w:rsidRPr="00E042B1">
        <w:rPr>
          <w:rFonts w:ascii="Arial" w:hAnsi="Arial" w:cs="Arial"/>
          <w:sz w:val="20"/>
          <w:szCs w:val="20"/>
        </w:rPr>
        <w:t>colour</w:t>
      </w:r>
      <w:proofErr w:type="spellEnd"/>
      <w:r w:rsidRPr="00E042B1">
        <w:rPr>
          <w:rFonts w:ascii="Arial" w:hAnsi="Arial" w:cs="Arial"/>
          <w:sz w:val="20"/>
          <w:szCs w:val="20"/>
        </w:rPr>
        <w:t xml:space="preserve"> score during prolonged storage may be attributed to oxidative browning reactions and surface dullness caused by moisture absorption. Nevertheless, acceptable </w:t>
      </w:r>
      <w:proofErr w:type="spellStart"/>
      <w:r w:rsidRPr="00E042B1">
        <w:rPr>
          <w:rFonts w:ascii="Arial" w:hAnsi="Arial" w:cs="Arial"/>
          <w:sz w:val="20"/>
          <w:szCs w:val="20"/>
        </w:rPr>
        <w:t>colour</w:t>
      </w:r>
      <w:proofErr w:type="spellEnd"/>
      <w:r w:rsidRPr="00E042B1">
        <w:rPr>
          <w:rFonts w:ascii="Arial" w:hAnsi="Arial" w:cs="Arial"/>
          <w:sz w:val="20"/>
          <w:szCs w:val="20"/>
        </w:rPr>
        <w:t xml:space="preserve"> retention up to 15 days indicates adequate initial baking and product stability under ambient conditions.</w:t>
      </w:r>
    </w:p>
    <w:p w:rsidR="00A95260" w:rsidRPr="00E042B1" w:rsidRDefault="00A95260" w:rsidP="00A95260">
      <w:pPr>
        <w:pStyle w:val="Heading3"/>
        <w:jc w:val="both"/>
        <w:rPr>
          <w:rFonts w:ascii="Arial" w:hAnsi="Arial" w:cs="Arial"/>
          <w:color w:val="auto"/>
        </w:rPr>
      </w:pPr>
      <w:r w:rsidRPr="00E042B1">
        <w:rPr>
          <w:rFonts w:ascii="Arial" w:hAnsi="Arial" w:cs="Arial"/>
          <w:color w:val="auto"/>
        </w:rPr>
        <w:t xml:space="preserve">3.2.2 </w:t>
      </w:r>
      <w:proofErr w:type="spellStart"/>
      <w:r w:rsidRPr="00E042B1">
        <w:rPr>
          <w:rFonts w:ascii="Arial" w:hAnsi="Arial" w:cs="Arial"/>
          <w:color w:val="auto"/>
        </w:rPr>
        <w:t>Flavour</w:t>
      </w:r>
      <w:proofErr w:type="spellEnd"/>
    </w:p>
    <w:p w:rsidR="00A95260" w:rsidRPr="00E042B1" w:rsidRDefault="00A95260" w:rsidP="00A95260">
      <w:pPr>
        <w:pStyle w:val="NormalWeb"/>
        <w:jc w:val="both"/>
        <w:rPr>
          <w:rFonts w:ascii="Arial" w:hAnsi="Arial" w:cs="Arial"/>
          <w:sz w:val="20"/>
          <w:szCs w:val="20"/>
        </w:rPr>
      </w:pPr>
      <w:proofErr w:type="spellStart"/>
      <w:r w:rsidRPr="00E042B1">
        <w:rPr>
          <w:rFonts w:ascii="Arial" w:hAnsi="Arial" w:cs="Arial"/>
          <w:sz w:val="20"/>
          <w:szCs w:val="20"/>
        </w:rPr>
        <w:t>Flavour</w:t>
      </w:r>
      <w:proofErr w:type="spellEnd"/>
      <w:r w:rsidRPr="00E042B1">
        <w:rPr>
          <w:rFonts w:ascii="Arial" w:hAnsi="Arial" w:cs="Arial"/>
          <w:sz w:val="20"/>
          <w:szCs w:val="20"/>
        </w:rPr>
        <w:t xml:space="preserve"> is highly sensitive to storage-induced chemical changes, particularly lipid oxidation. The </w:t>
      </w:r>
      <w:proofErr w:type="spellStart"/>
      <w:r w:rsidRPr="00E042B1">
        <w:rPr>
          <w:rFonts w:ascii="Arial" w:hAnsi="Arial" w:cs="Arial"/>
          <w:sz w:val="20"/>
          <w:szCs w:val="20"/>
        </w:rPr>
        <w:t>flavour</w:t>
      </w:r>
      <w:proofErr w:type="spellEnd"/>
      <w:r w:rsidRPr="00E042B1">
        <w:rPr>
          <w:rFonts w:ascii="Arial" w:hAnsi="Arial" w:cs="Arial"/>
          <w:sz w:val="20"/>
          <w:szCs w:val="20"/>
        </w:rPr>
        <w:t xml:space="preserve"> score declined from </w:t>
      </w:r>
      <w:r w:rsidRPr="00E042B1">
        <w:rPr>
          <w:rStyle w:val="Strong"/>
          <w:rFonts w:ascii="Arial" w:hAnsi="Arial" w:cs="Arial"/>
          <w:b w:val="0"/>
          <w:bCs w:val="0"/>
          <w:sz w:val="20"/>
          <w:szCs w:val="20"/>
        </w:rPr>
        <w:t>8.40 ± 0.52</w:t>
      </w:r>
      <w:r w:rsidRPr="00E042B1">
        <w:rPr>
          <w:rFonts w:ascii="Arial" w:hAnsi="Arial" w:cs="Arial"/>
          <w:b/>
          <w:bCs/>
          <w:sz w:val="20"/>
          <w:szCs w:val="20"/>
        </w:rPr>
        <w:t xml:space="preserve"> </w:t>
      </w:r>
      <w:r w:rsidRPr="00E042B1">
        <w:rPr>
          <w:rFonts w:ascii="Arial" w:hAnsi="Arial" w:cs="Arial"/>
          <w:sz w:val="20"/>
          <w:szCs w:val="20"/>
        </w:rPr>
        <w:t xml:space="preserve">on day 0 to </w:t>
      </w:r>
      <w:r w:rsidRPr="00E042B1">
        <w:rPr>
          <w:rStyle w:val="Strong"/>
          <w:rFonts w:ascii="Arial" w:hAnsi="Arial" w:cs="Arial"/>
          <w:b w:val="0"/>
          <w:bCs w:val="0"/>
          <w:sz w:val="20"/>
          <w:szCs w:val="20"/>
        </w:rPr>
        <w:t>7.70 ± 0.82</w:t>
      </w:r>
      <w:r w:rsidRPr="00E042B1">
        <w:rPr>
          <w:rFonts w:ascii="Arial" w:hAnsi="Arial" w:cs="Arial"/>
          <w:b/>
          <w:bCs/>
          <w:sz w:val="20"/>
          <w:szCs w:val="20"/>
        </w:rPr>
        <w:t xml:space="preserve"> </w:t>
      </w:r>
      <w:r w:rsidRPr="00E042B1">
        <w:rPr>
          <w:rFonts w:ascii="Arial" w:hAnsi="Arial" w:cs="Arial"/>
          <w:sz w:val="20"/>
          <w:szCs w:val="20"/>
        </w:rPr>
        <w:t xml:space="preserve">at 15 days and further to </w:t>
      </w:r>
      <w:r w:rsidRPr="00E042B1">
        <w:rPr>
          <w:rStyle w:val="Strong"/>
          <w:rFonts w:ascii="Arial" w:hAnsi="Arial" w:cs="Arial"/>
          <w:b w:val="0"/>
          <w:bCs w:val="0"/>
          <w:sz w:val="20"/>
          <w:szCs w:val="20"/>
        </w:rPr>
        <w:t>6.00 ± 0.94</w:t>
      </w:r>
      <w:r w:rsidRPr="00E042B1">
        <w:rPr>
          <w:rFonts w:ascii="Arial" w:hAnsi="Arial" w:cs="Arial"/>
          <w:b/>
          <w:bCs/>
          <w:sz w:val="20"/>
          <w:szCs w:val="20"/>
        </w:rPr>
        <w:t xml:space="preserve"> </w:t>
      </w:r>
      <w:r w:rsidRPr="00E042B1">
        <w:rPr>
          <w:rFonts w:ascii="Arial" w:hAnsi="Arial" w:cs="Arial"/>
          <w:sz w:val="20"/>
          <w:szCs w:val="20"/>
        </w:rPr>
        <w:t>at 30 days (Table 3). This reduction may be linked to oxidative rancidity of unsaturated fatty acids present in sorghum and buckwheat, leading to the formation of off-</w:t>
      </w:r>
      <w:proofErr w:type="spellStart"/>
      <w:r w:rsidRPr="00E042B1">
        <w:rPr>
          <w:rFonts w:ascii="Arial" w:hAnsi="Arial" w:cs="Arial"/>
          <w:sz w:val="20"/>
          <w:szCs w:val="20"/>
        </w:rPr>
        <w:t>flavour</w:t>
      </w:r>
      <w:proofErr w:type="spellEnd"/>
      <w:r w:rsidRPr="00E042B1">
        <w:rPr>
          <w:rFonts w:ascii="Arial" w:hAnsi="Arial" w:cs="Arial"/>
          <w:sz w:val="20"/>
          <w:szCs w:val="20"/>
        </w:rPr>
        <w:t xml:space="preserve"> compounds during storage. </w:t>
      </w:r>
    </w:p>
    <w:p w:rsidR="00A95260" w:rsidRPr="00E042B1" w:rsidRDefault="00A95260" w:rsidP="00A95260">
      <w:pPr>
        <w:pStyle w:val="Heading3"/>
        <w:jc w:val="both"/>
        <w:rPr>
          <w:rFonts w:ascii="Arial" w:hAnsi="Arial" w:cs="Arial"/>
          <w:color w:val="auto"/>
        </w:rPr>
      </w:pPr>
      <w:r w:rsidRPr="00E042B1">
        <w:rPr>
          <w:rFonts w:ascii="Arial" w:hAnsi="Arial" w:cs="Arial"/>
          <w:color w:val="auto"/>
        </w:rPr>
        <w:t>3.2.3 Taste</w:t>
      </w:r>
    </w:p>
    <w:p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Taste perception showed a gradual decline with increasing storage duration. The mean taste score decreased from </w:t>
      </w:r>
      <w:r w:rsidRPr="00E042B1">
        <w:rPr>
          <w:rStyle w:val="Strong"/>
          <w:rFonts w:ascii="Arial" w:hAnsi="Arial" w:cs="Arial"/>
          <w:b w:val="0"/>
          <w:bCs w:val="0"/>
          <w:sz w:val="20"/>
          <w:szCs w:val="20"/>
        </w:rPr>
        <w:t>8.50 ± 0.53</w:t>
      </w:r>
      <w:r w:rsidRPr="00E042B1">
        <w:rPr>
          <w:rFonts w:ascii="Arial" w:hAnsi="Arial" w:cs="Arial"/>
          <w:sz w:val="20"/>
          <w:szCs w:val="20"/>
        </w:rPr>
        <w:t xml:space="preserve"> at day 0 to </w:t>
      </w:r>
      <w:r w:rsidRPr="00E042B1">
        <w:rPr>
          <w:rStyle w:val="Strong"/>
          <w:rFonts w:ascii="Arial" w:hAnsi="Arial" w:cs="Arial"/>
          <w:b w:val="0"/>
          <w:bCs w:val="0"/>
          <w:sz w:val="20"/>
          <w:szCs w:val="20"/>
        </w:rPr>
        <w:t>7.90 ± 0.57</w:t>
      </w:r>
      <w:r w:rsidRPr="00E042B1">
        <w:rPr>
          <w:rFonts w:ascii="Arial" w:hAnsi="Arial" w:cs="Arial"/>
          <w:sz w:val="20"/>
          <w:szCs w:val="20"/>
        </w:rPr>
        <w:t xml:space="preserve"> at 15 days and </w:t>
      </w:r>
      <w:r w:rsidRPr="00E042B1">
        <w:rPr>
          <w:rStyle w:val="Strong"/>
          <w:rFonts w:ascii="Arial" w:hAnsi="Arial" w:cs="Arial"/>
          <w:b w:val="0"/>
          <w:bCs w:val="0"/>
          <w:sz w:val="20"/>
          <w:szCs w:val="20"/>
        </w:rPr>
        <w:t>6.80 ± 0.63</w:t>
      </w:r>
      <w:r w:rsidRPr="00E042B1">
        <w:rPr>
          <w:rFonts w:ascii="Arial" w:hAnsi="Arial" w:cs="Arial"/>
          <w:sz w:val="20"/>
          <w:szCs w:val="20"/>
        </w:rPr>
        <w:t xml:space="preserve"> at 30 days. The observed reduction in taste scores may be attributed to </w:t>
      </w:r>
      <w:proofErr w:type="spellStart"/>
      <w:r w:rsidRPr="00E042B1">
        <w:rPr>
          <w:rFonts w:ascii="Arial" w:hAnsi="Arial" w:cs="Arial"/>
          <w:sz w:val="20"/>
          <w:szCs w:val="20"/>
        </w:rPr>
        <w:t>flavour</w:t>
      </w:r>
      <w:proofErr w:type="spellEnd"/>
      <w:r w:rsidRPr="00E042B1">
        <w:rPr>
          <w:rFonts w:ascii="Arial" w:hAnsi="Arial" w:cs="Arial"/>
          <w:sz w:val="20"/>
          <w:szCs w:val="20"/>
        </w:rPr>
        <w:t xml:space="preserve"> degradation and reduced freshness associated with lipid oxidation and moisture migration within the biscuit matrix. Despite this decline, taste remained acceptable up to 15 days of storage.</w:t>
      </w:r>
    </w:p>
    <w:p w:rsidR="00A95260" w:rsidRPr="00E042B1" w:rsidRDefault="00A95260" w:rsidP="00A95260">
      <w:pPr>
        <w:pStyle w:val="Heading3"/>
        <w:jc w:val="both"/>
        <w:rPr>
          <w:rFonts w:ascii="Arial" w:hAnsi="Arial" w:cs="Arial"/>
          <w:color w:val="auto"/>
        </w:rPr>
      </w:pPr>
      <w:r w:rsidRPr="00E042B1">
        <w:rPr>
          <w:rFonts w:ascii="Arial" w:hAnsi="Arial" w:cs="Arial"/>
          <w:color w:val="auto"/>
        </w:rPr>
        <w:t>3.2.4 Texture</w:t>
      </w:r>
    </w:p>
    <w:p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Textural quality of biscuits is strongly influenced by moisture uptake during storage. The texture score decreased from </w:t>
      </w:r>
      <w:r w:rsidRPr="00E042B1">
        <w:rPr>
          <w:rStyle w:val="Strong"/>
          <w:rFonts w:ascii="Arial" w:hAnsi="Arial" w:cs="Arial"/>
          <w:b w:val="0"/>
          <w:bCs w:val="0"/>
          <w:sz w:val="20"/>
          <w:szCs w:val="20"/>
        </w:rPr>
        <w:t>8.30 ± 0.95</w:t>
      </w:r>
      <w:r w:rsidRPr="00E042B1">
        <w:rPr>
          <w:rFonts w:ascii="Arial" w:hAnsi="Arial" w:cs="Arial"/>
          <w:b/>
          <w:bCs/>
          <w:sz w:val="20"/>
          <w:szCs w:val="20"/>
        </w:rPr>
        <w:t xml:space="preserve"> </w:t>
      </w:r>
      <w:r w:rsidRPr="00E042B1">
        <w:rPr>
          <w:rFonts w:ascii="Arial" w:hAnsi="Arial" w:cs="Arial"/>
          <w:sz w:val="20"/>
          <w:szCs w:val="20"/>
        </w:rPr>
        <w:t xml:space="preserve">initially to </w:t>
      </w:r>
      <w:r w:rsidRPr="00E042B1">
        <w:rPr>
          <w:rStyle w:val="Strong"/>
          <w:rFonts w:ascii="Arial" w:hAnsi="Arial" w:cs="Arial"/>
          <w:b w:val="0"/>
          <w:bCs w:val="0"/>
          <w:sz w:val="20"/>
          <w:szCs w:val="20"/>
        </w:rPr>
        <w:t>8.00 ± 0.67</w:t>
      </w:r>
      <w:r w:rsidRPr="00E042B1">
        <w:rPr>
          <w:rFonts w:ascii="Arial" w:hAnsi="Arial" w:cs="Arial"/>
          <w:sz w:val="20"/>
          <w:szCs w:val="20"/>
        </w:rPr>
        <w:t xml:space="preserve"> after 15 days, followed by a significant reduction to </w:t>
      </w:r>
      <w:r w:rsidRPr="00E042B1">
        <w:rPr>
          <w:rStyle w:val="Strong"/>
          <w:rFonts w:ascii="Arial" w:hAnsi="Arial" w:cs="Arial"/>
          <w:b w:val="0"/>
          <w:bCs w:val="0"/>
          <w:sz w:val="20"/>
          <w:szCs w:val="20"/>
        </w:rPr>
        <w:t>6.20 ± 0.92</w:t>
      </w:r>
      <w:r w:rsidRPr="00E042B1">
        <w:rPr>
          <w:rFonts w:ascii="Arial" w:hAnsi="Arial" w:cs="Arial"/>
          <w:sz w:val="20"/>
          <w:szCs w:val="20"/>
        </w:rPr>
        <w:t xml:space="preserve"> at 30 days (p &lt; 0.05). The loss of crispness over time may be attributed to the hygroscopic nature of dietary </w:t>
      </w:r>
      <w:proofErr w:type="spellStart"/>
      <w:r w:rsidRPr="00E042B1">
        <w:rPr>
          <w:rFonts w:ascii="Arial" w:hAnsi="Arial" w:cs="Arial"/>
          <w:sz w:val="20"/>
          <w:szCs w:val="20"/>
        </w:rPr>
        <w:t>fibre</w:t>
      </w:r>
      <w:proofErr w:type="spellEnd"/>
      <w:r w:rsidRPr="00E042B1">
        <w:rPr>
          <w:rFonts w:ascii="Arial" w:hAnsi="Arial" w:cs="Arial"/>
          <w:sz w:val="20"/>
          <w:szCs w:val="20"/>
        </w:rPr>
        <w:t xml:space="preserve"> present in buckwheat, which facilitates moisture absorption under ambient conditions. Similar texture deterioration due to moisture uptake in biscuits has been reported by </w:t>
      </w:r>
      <w:proofErr w:type="spellStart"/>
      <w:r w:rsidR="00D047D3" w:rsidRPr="00E042B1">
        <w:rPr>
          <w:rFonts w:ascii="Arial" w:hAnsi="Arial" w:cs="Arial"/>
          <w:color w:val="222222"/>
          <w:sz w:val="20"/>
          <w:szCs w:val="20"/>
          <w:shd w:val="clear" w:color="auto" w:fill="FFFFFF"/>
        </w:rPr>
        <w:t>Alfiya</w:t>
      </w:r>
      <w:proofErr w:type="spellEnd"/>
      <w:r w:rsidRPr="00E042B1">
        <w:rPr>
          <w:rFonts w:ascii="Arial" w:hAnsi="Arial" w:cs="Arial"/>
          <w:sz w:val="20"/>
          <w:szCs w:val="20"/>
        </w:rPr>
        <w:t xml:space="preserve"> </w:t>
      </w:r>
      <w:r w:rsidRPr="00E042B1">
        <w:rPr>
          <w:rFonts w:ascii="Arial" w:hAnsi="Arial" w:cs="Arial"/>
          <w:i/>
          <w:iCs/>
          <w:sz w:val="20"/>
          <w:szCs w:val="20"/>
        </w:rPr>
        <w:t>et al.</w:t>
      </w:r>
      <w:r w:rsidRPr="00E042B1">
        <w:rPr>
          <w:rFonts w:ascii="Arial" w:hAnsi="Arial" w:cs="Arial"/>
          <w:sz w:val="20"/>
          <w:szCs w:val="20"/>
        </w:rPr>
        <w:t xml:space="preserve"> (202</w:t>
      </w:r>
      <w:r w:rsidR="00D047D3" w:rsidRPr="00E042B1">
        <w:rPr>
          <w:rFonts w:ascii="Arial" w:hAnsi="Arial" w:cs="Arial"/>
          <w:sz w:val="20"/>
          <w:szCs w:val="20"/>
        </w:rPr>
        <w:t>3</w:t>
      </w:r>
      <w:r w:rsidRPr="00E042B1">
        <w:rPr>
          <w:rFonts w:ascii="Arial" w:hAnsi="Arial" w:cs="Arial"/>
          <w:sz w:val="20"/>
          <w:szCs w:val="20"/>
        </w:rPr>
        <w:t>).</w:t>
      </w:r>
    </w:p>
    <w:p w:rsidR="00A95260" w:rsidRPr="00E042B1" w:rsidRDefault="00A95260" w:rsidP="00A95260">
      <w:pPr>
        <w:pStyle w:val="Heading3"/>
        <w:jc w:val="both"/>
        <w:rPr>
          <w:rFonts w:ascii="Arial" w:hAnsi="Arial" w:cs="Arial"/>
          <w:color w:val="auto"/>
        </w:rPr>
      </w:pPr>
      <w:r w:rsidRPr="00E042B1">
        <w:rPr>
          <w:rFonts w:ascii="Arial" w:hAnsi="Arial" w:cs="Arial"/>
          <w:color w:val="auto"/>
        </w:rPr>
        <w:t>3.2.5 Appearance</w:t>
      </w:r>
    </w:p>
    <w:p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Appearance scores exhibited relatively minor variation throughout the storage period. The biscuit recorded an appearance score of </w:t>
      </w:r>
      <w:r w:rsidRPr="00E042B1">
        <w:rPr>
          <w:rStyle w:val="Strong"/>
          <w:rFonts w:ascii="Arial" w:hAnsi="Arial" w:cs="Arial"/>
          <w:b w:val="0"/>
          <w:bCs w:val="0"/>
          <w:sz w:val="20"/>
          <w:szCs w:val="20"/>
        </w:rPr>
        <w:t>8.70 ± 0.48</w:t>
      </w:r>
      <w:r w:rsidRPr="00E042B1">
        <w:rPr>
          <w:rFonts w:ascii="Arial" w:hAnsi="Arial" w:cs="Arial"/>
          <w:sz w:val="20"/>
          <w:szCs w:val="20"/>
        </w:rPr>
        <w:t xml:space="preserve"> on day 0, which decreased to </w:t>
      </w:r>
      <w:r w:rsidRPr="00E042B1">
        <w:rPr>
          <w:rStyle w:val="Strong"/>
          <w:rFonts w:ascii="Arial" w:hAnsi="Arial" w:cs="Arial"/>
          <w:b w:val="0"/>
          <w:bCs w:val="0"/>
          <w:sz w:val="20"/>
          <w:szCs w:val="20"/>
        </w:rPr>
        <w:t>7.80 ± 0.63</w:t>
      </w:r>
      <w:r w:rsidRPr="00E042B1">
        <w:rPr>
          <w:rFonts w:ascii="Arial" w:hAnsi="Arial" w:cs="Arial"/>
          <w:sz w:val="20"/>
          <w:szCs w:val="20"/>
        </w:rPr>
        <w:t xml:space="preserve"> at 15 days and remained unchanged (</w:t>
      </w:r>
      <w:r w:rsidRPr="00E042B1">
        <w:rPr>
          <w:rStyle w:val="Strong"/>
          <w:rFonts w:ascii="Arial" w:hAnsi="Arial" w:cs="Arial"/>
          <w:b w:val="0"/>
          <w:bCs w:val="0"/>
          <w:sz w:val="20"/>
          <w:szCs w:val="20"/>
        </w:rPr>
        <w:t>7.80 ± 0.42</w:t>
      </w:r>
      <w:r w:rsidRPr="00E042B1">
        <w:rPr>
          <w:rFonts w:ascii="Arial" w:hAnsi="Arial" w:cs="Arial"/>
          <w:sz w:val="20"/>
          <w:szCs w:val="20"/>
        </w:rPr>
        <w:t>) even after 30 days (Table 3). This stability suggests that the biscuits retained structural integrity, shape and surface characteristics during storage, indicating effective formulation and processing conditions.</w:t>
      </w:r>
    </w:p>
    <w:p w:rsidR="00A95260" w:rsidRPr="00E042B1" w:rsidRDefault="00A95260" w:rsidP="00A95260">
      <w:pPr>
        <w:pStyle w:val="Heading3"/>
        <w:jc w:val="both"/>
        <w:rPr>
          <w:rFonts w:ascii="Arial" w:hAnsi="Arial" w:cs="Arial"/>
          <w:color w:val="auto"/>
        </w:rPr>
      </w:pPr>
      <w:r w:rsidRPr="00E042B1">
        <w:rPr>
          <w:rFonts w:ascii="Arial" w:hAnsi="Arial" w:cs="Arial"/>
          <w:color w:val="auto"/>
        </w:rPr>
        <w:t>3.2.6 Overall Acceptability</w:t>
      </w:r>
    </w:p>
    <w:p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Overall acceptability reflects the combined effect of all sensory attributes and serves as a key indicator of shelf-life suitability. The overall acceptability score declined from </w:t>
      </w:r>
      <w:r w:rsidRPr="00E042B1">
        <w:rPr>
          <w:rStyle w:val="Strong"/>
          <w:rFonts w:ascii="Arial" w:hAnsi="Arial" w:cs="Arial"/>
          <w:b w:val="0"/>
          <w:bCs w:val="0"/>
          <w:sz w:val="20"/>
          <w:szCs w:val="20"/>
        </w:rPr>
        <w:t>8.40 ± 0.70</w:t>
      </w:r>
      <w:r w:rsidRPr="00E042B1">
        <w:rPr>
          <w:rFonts w:ascii="Arial" w:hAnsi="Arial" w:cs="Arial"/>
          <w:sz w:val="20"/>
          <w:szCs w:val="20"/>
        </w:rPr>
        <w:t xml:space="preserve"> at day 0 to </w:t>
      </w:r>
      <w:r w:rsidRPr="00E042B1">
        <w:rPr>
          <w:rStyle w:val="Strong"/>
          <w:rFonts w:ascii="Arial" w:hAnsi="Arial" w:cs="Arial"/>
          <w:b w:val="0"/>
          <w:bCs w:val="0"/>
          <w:sz w:val="20"/>
          <w:szCs w:val="20"/>
        </w:rPr>
        <w:t>8.10 ± 0.32</w:t>
      </w:r>
      <w:r w:rsidRPr="00E042B1">
        <w:rPr>
          <w:rFonts w:ascii="Arial" w:hAnsi="Arial" w:cs="Arial"/>
          <w:sz w:val="20"/>
          <w:szCs w:val="20"/>
        </w:rPr>
        <w:t xml:space="preserve"> after 15 days, remaining within the </w:t>
      </w:r>
      <w:r w:rsidRPr="00E042B1">
        <w:rPr>
          <w:rStyle w:val="Emphasis"/>
          <w:rFonts w:ascii="Arial" w:hAnsi="Arial" w:cs="Arial"/>
          <w:sz w:val="20"/>
          <w:szCs w:val="20"/>
        </w:rPr>
        <w:t>“liked very much”</w:t>
      </w:r>
      <w:r w:rsidRPr="00E042B1">
        <w:rPr>
          <w:rFonts w:ascii="Arial" w:hAnsi="Arial" w:cs="Arial"/>
          <w:sz w:val="20"/>
          <w:szCs w:val="20"/>
        </w:rPr>
        <w:t xml:space="preserve"> category. </w:t>
      </w:r>
      <w:r w:rsidRPr="00E042B1">
        <w:rPr>
          <w:rFonts w:ascii="Arial" w:hAnsi="Arial" w:cs="Arial"/>
          <w:sz w:val="20"/>
          <w:szCs w:val="20"/>
        </w:rPr>
        <w:lastRenderedPageBreak/>
        <w:t xml:space="preserve">However, by 30 days, the score reduced significantly to </w:t>
      </w:r>
      <w:r w:rsidRPr="00E042B1">
        <w:rPr>
          <w:rStyle w:val="Strong"/>
          <w:rFonts w:ascii="Arial" w:hAnsi="Arial" w:cs="Arial"/>
          <w:b w:val="0"/>
          <w:bCs w:val="0"/>
          <w:sz w:val="20"/>
          <w:szCs w:val="20"/>
        </w:rPr>
        <w:t>6.60 ± 1.26</w:t>
      </w:r>
      <w:r w:rsidRPr="00E042B1">
        <w:rPr>
          <w:rFonts w:ascii="Arial" w:hAnsi="Arial" w:cs="Arial"/>
          <w:b/>
          <w:bCs/>
          <w:sz w:val="20"/>
          <w:szCs w:val="20"/>
        </w:rPr>
        <w:t xml:space="preserve"> </w:t>
      </w:r>
      <w:r w:rsidRPr="00E042B1">
        <w:rPr>
          <w:rFonts w:ascii="Arial" w:hAnsi="Arial" w:cs="Arial"/>
          <w:sz w:val="20"/>
          <w:szCs w:val="20"/>
        </w:rPr>
        <w:t xml:space="preserve">(p &lt; 0.05), indicating noticeable sensory deterioration. The decline in overall acceptability was primarily influenced by reductions in </w:t>
      </w:r>
      <w:proofErr w:type="spellStart"/>
      <w:r w:rsidRPr="00E042B1">
        <w:rPr>
          <w:rFonts w:ascii="Arial" w:hAnsi="Arial" w:cs="Arial"/>
          <w:sz w:val="20"/>
          <w:szCs w:val="20"/>
        </w:rPr>
        <w:t>flavour</w:t>
      </w:r>
      <w:proofErr w:type="spellEnd"/>
      <w:r w:rsidRPr="00E042B1">
        <w:rPr>
          <w:rFonts w:ascii="Arial" w:hAnsi="Arial" w:cs="Arial"/>
          <w:sz w:val="20"/>
          <w:szCs w:val="20"/>
        </w:rPr>
        <w:t>, taste and texture rather than appearance.</w:t>
      </w:r>
    </w:p>
    <w:p w:rsidR="00A95260" w:rsidRPr="00E042B1" w:rsidRDefault="00A95260" w:rsidP="00A95260">
      <w:pPr>
        <w:pStyle w:val="Heading3"/>
        <w:jc w:val="both"/>
        <w:rPr>
          <w:rFonts w:ascii="Arial" w:hAnsi="Arial" w:cs="Arial"/>
          <w:color w:val="auto"/>
        </w:rPr>
      </w:pPr>
      <w:r w:rsidRPr="00E042B1">
        <w:rPr>
          <w:rFonts w:ascii="Arial" w:hAnsi="Arial" w:cs="Arial"/>
          <w:color w:val="auto"/>
        </w:rPr>
        <w:t>3.2.7 Shelf Life Implications</w:t>
      </w:r>
    </w:p>
    <w:p w:rsidR="00A95260" w:rsidRPr="00E042B1" w:rsidRDefault="00A95260" w:rsidP="00A95260">
      <w:pPr>
        <w:pStyle w:val="NormalWeb"/>
        <w:jc w:val="both"/>
        <w:rPr>
          <w:rFonts w:ascii="Arial" w:hAnsi="Arial" w:cs="Arial"/>
          <w:sz w:val="20"/>
          <w:szCs w:val="20"/>
        </w:rPr>
      </w:pPr>
      <w:r w:rsidRPr="00E042B1">
        <w:rPr>
          <w:rFonts w:ascii="Arial" w:hAnsi="Arial" w:cs="Arial"/>
          <w:sz w:val="20"/>
          <w:szCs w:val="20"/>
        </w:rPr>
        <w:t xml:space="preserve">Based on sensory evaluation, the developed millet-based salty biscuits demonstrated satisfactory sensory stability for up to </w:t>
      </w:r>
      <w:r w:rsidRPr="00E042B1">
        <w:rPr>
          <w:rStyle w:val="Strong"/>
          <w:rFonts w:ascii="Arial" w:hAnsi="Arial" w:cs="Arial"/>
          <w:b w:val="0"/>
          <w:bCs w:val="0"/>
          <w:sz w:val="20"/>
          <w:szCs w:val="20"/>
        </w:rPr>
        <w:t>15 days under ambient storage conditions</w:t>
      </w:r>
      <w:r w:rsidRPr="00E042B1">
        <w:rPr>
          <w:rFonts w:ascii="Arial" w:hAnsi="Arial" w:cs="Arial"/>
          <w:b/>
          <w:bCs/>
          <w:sz w:val="20"/>
          <w:szCs w:val="20"/>
        </w:rPr>
        <w:t xml:space="preserve">. </w:t>
      </w:r>
      <w:r w:rsidRPr="00E042B1">
        <w:rPr>
          <w:rFonts w:ascii="Arial" w:hAnsi="Arial" w:cs="Arial"/>
          <w:sz w:val="20"/>
          <w:szCs w:val="20"/>
        </w:rPr>
        <w:t>Beyond this period, quality deterioration became pronounced. Improvement in shelf life may be achieved through the use of packaging materials with enhanced moisture and oxygen barrier properties, as well as incorporation of natural antioxidants to retard lipid oxidation. These interventions could significantly enhance the product’s storage stability and commercial viability</w:t>
      </w:r>
    </w:p>
    <w:p w:rsidR="00F6544E" w:rsidRPr="00E042B1" w:rsidRDefault="00C77A6C" w:rsidP="00A95260">
      <w:pPr>
        <w:pStyle w:val="NormalWeb"/>
        <w:jc w:val="both"/>
        <w:rPr>
          <w:rFonts w:ascii="Arial" w:hAnsi="Arial" w:cs="Arial"/>
          <w:b/>
          <w:bCs/>
          <w:iCs/>
          <w:sz w:val="20"/>
          <w:szCs w:val="20"/>
        </w:rPr>
      </w:pPr>
      <w:r w:rsidRPr="00E042B1">
        <w:rPr>
          <w:rFonts w:ascii="Arial" w:hAnsi="Arial" w:cs="Arial"/>
          <w:b/>
          <w:bCs/>
          <w:sz w:val="20"/>
          <w:szCs w:val="20"/>
        </w:rPr>
        <w:t xml:space="preserve">Table </w:t>
      </w:r>
      <w:r w:rsidR="00F6544E" w:rsidRPr="00E042B1">
        <w:rPr>
          <w:rFonts w:ascii="Arial" w:hAnsi="Arial" w:cs="Arial"/>
          <w:b/>
          <w:bCs/>
          <w:sz w:val="20"/>
          <w:szCs w:val="20"/>
        </w:rPr>
        <w:t>3.  Shelf life evaluation of salty biscuits</w:t>
      </w:r>
    </w:p>
    <w:tbl>
      <w:tblPr>
        <w:tblStyle w:val="TableGrid"/>
        <w:tblW w:w="9322" w:type="dxa"/>
        <w:tblLayout w:type="fixed"/>
        <w:tblLook w:val="04A0" w:firstRow="1" w:lastRow="0" w:firstColumn="1" w:lastColumn="0" w:noHBand="0" w:noVBand="1"/>
      </w:tblPr>
      <w:tblGrid>
        <w:gridCol w:w="1101"/>
        <w:gridCol w:w="1417"/>
        <w:gridCol w:w="1276"/>
        <w:gridCol w:w="1276"/>
        <w:gridCol w:w="1275"/>
        <w:gridCol w:w="1418"/>
        <w:gridCol w:w="1559"/>
      </w:tblGrid>
      <w:tr w:rsidR="00F6544E" w:rsidRPr="00E042B1" w:rsidTr="00A95260">
        <w:trPr>
          <w:trHeight w:val="397"/>
        </w:trPr>
        <w:tc>
          <w:tcPr>
            <w:tcW w:w="1101" w:type="dxa"/>
            <w:hideMark/>
          </w:tcPr>
          <w:p w:rsidR="00F6544E" w:rsidRPr="00E042B1" w:rsidRDefault="00F6544E" w:rsidP="00E04348">
            <w:pPr>
              <w:rPr>
                <w:rFonts w:ascii="Arial" w:eastAsia="Times New Roman" w:hAnsi="Arial" w:cs="Arial"/>
                <w:b/>
                <w:bCs/>
                <w:sz w:val="20"/>
                <w:szCs w:val="20"/>
                <w:lang w:bidi="hi-IN"/>
              </w:rPr>
            </w:pPr>
          </w:p>
        </w:tc>
        <w:tc>
          <w:tcPr>
            <w:tcW w:w="8221" w:type="dxa"/>
            <w:gridSpan w:val="6"/>
            <w:hideMark/>
          </w:tcPr>
          <w:p w:rsidR="00F6544E" w:rsidRPr="00E042B1" w:rsidRDefault="00F6544E" w:rsidP="00E04348">
            <w:pPr>
              <w:tabs>
                <w:tab w:val="left" w:pos="1156"/>
                <w:tab w:val="center" w:pos="4323"/>
              </w:tabs>
              <w:rPr>
                <w:rFonts w:ascii="Arial" w:eastAsia="Times New Roman" w:hAnsi="Arial" w:cs="Arial"/>
                <w:b/>
                <w:bCs/>
                <w:sz w:val="20"/>
                <w:szCs w:val="20"/>
                <w:lang w:bidi="hi-IN"/>
              </w:rPr>
            </w:pPr>
            <w:r w:rsidRPr="00E042B1">
              <w:rPr>
                <w:rFonts w:ascii="Arial" w:hAnsi="Arial" w:cs="Arial"/>
                <w:b/>
                <w:bCs/>
                <w:sz w:val="20"/>
                <w:szCs w:val="20"/>
              </w:rPr>
              <w:tab/>
            </w:r>
            <w:r w:rsidRPr="00E042B1">
              <w:rPr>
                <w:rFonts w:ascii="Arial" w:hAnsi="Arial" w:cs="Arial"/>
                <w:b/>
                <w:bCs/>
                <w:sz w:val="20"/>
                <w:szCs w:val="20"/>
              </w:rPr>
              <w:tab/>
              <w:t xml:space="preserve">Mean scores of Sensory characteristics on </w:t>
            </w:r>
            <w:proofErr w:type="gramStart"/>
            <w:r w:rsidRPr="00E042B1">
              <w:rPr>
                <w:rFonts w:ascii="Arial" w:hAnsi="Arial" w:cs="Arial"/>
                <w:b/>
                <w:bCs/>
                <w:sz w:val="20"/>
                <w:szCs w:val="20"/>
              </w:rPr>
              <w:t>nine point</w:t>
            </w:r>
            <w:proofErr w:type="gramEnd"/>
            <w:r w:rsidRPr="00E042B1">
              <w:rPr>
                <w:rFonts w:ascii="Arial" w:hAnsi="Arial" w:cs="Arial"/>
                <w:b/>
                <w:bCs/>
                <w:sz w:val="20"/>
                <w:szCs w:val="20"/>
              </w:rPr>
              <w:t xml:space="preserve"> scale</w:t>
            </w:r>
          </w:p>
        </w:tc>
      </w:tr>
      <w:tr w:rsidR="00F6544E" w:rsidRPr="00E042B1" w:rsidTr="00A95260">
        <w:trPr>
          <w:trHeight w:val="653"/>
        </w:trPr>
        <w:tc>
          <w:tcPr>
            <w:tcW w:w="1101" w:type="dxa"/>
            <w:hideMark/>
          </w:tcPr>
          <w:p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Storage Days</w:t>
            </w:r>
          </w:p>
        </w:tc>
        <w:tc>
          <w:tcPr>
            <w:tcW w:w="1417" w:type="dxa"/>
            <w:hideMark/>
          </w:tcPr>
          <w:p w:rsidR="00F6544E" w:rsidRPr="00E042B1" w:rsidRDefault="00F6544E" w:rsidP="00E04348">
            <w:pPr>
              <w:jc w:val="center"/>
              <w:rPr>
                <w:rFonts w:ascii="Arial" w:eastAsia="Times New Roman" w:hAnsi="Arial" w:cs="Arial"/>
                <w:b/>
                <w:bCs/>
                <w:sz w:val="20"/>
                <w:szCs w:val="20"/>
                <w:lang w:bidi="hi-IN"/>
              </w:rPr>
            </w:pPr>
            <w:proofErr w:type="spellStart"/>
            <w:r w:rsidRPr="00E042B1">
              <w:rPr>
                <w:rFonts w:ascii="Arial" w:eastAsia="Times New Roman" w:hAnsi="Arial" w:cs="Arial"/>
                <w:b/>
                <w:bCs/>
                <w:sz w:val="20"/>
                <w:szCs w:val="20"/>
                <w:lang w:bidi="hi-IN"/>
              </w:rPr>
              <w:t>Colour</w:t>
            </w:r>
            <w:proofErr w:type="spellEnd"/>
          </w:p>
        </w:tc>
        <w:tc>
          <w:tcPr>
            <w:tcW w:w="1276" w:type="dxa"/>
            <w:hideMark/>
          </w:tcPr>
          <w:p w:rsidR="00F6544E" w:rsidRPr="00E042B1" w:rsidRDefault="00F6544E" w:rsidP="00E04348">
            <w:pPr>
              <w:jc w:val="center"/>
              <w:rPr>
                <w:rFonts w:ascii="Arial" w:eastAsia="Times New Roman" w:hAnsi="Arial" w:cs="Arial"/>
                <w:b/>
                <w:bCs/>
                <w:sz w:val="20"/>
                <w:szCs w:val="20"/>
                <w:lang w:bidi="hi-IN"/>
              </w:rPr>
            </w:pPr>
            <w:proofErr w:type="spellStart"/>
            <w:r w:rsidRPr="00E042B1">
              <w:rPr>
                <w:rFonts w:ascii="Arial" w:eastAsia="Times New Roman" w:hAnsi="Arial" w:cs="Arial"/>
                <w:b/>
                <w:bCs/>
                <w:sz w:val="20"/>
                <w:szCs w:val="20"/>
                <w:lang w:bidi="hi-IN"/>
              </w:rPr>
              <w:t>Flavour</w:t>
            </w:r>
            <w:proofErr w:type="spellEnd"/>
          </w:p>
        </w:tc>
        <w:tc>
          <w:tcPr>
            <w:tcW w:w="1276" w:type="dxa"/>
            <w:hideMark/>
          </w:tcPr>
          <w:p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Taste</w:t>
            </w:r>
          </w:p>
        </w:tc>
        <w:tc>
          <w:tcPr>
            <w:tcW w:w="1275" w:type="dxa"/>
            <w:hideMark/>
          </w:tcPr>
          <w:p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Texture</w:t>
            </w:r>
          </w:p>
        </w:tc>
        <w:tc>
          <w:tcPr>
            <w:tcW w:w="1418" w:type="dxa"/>
            <w:hideMark/>
          </w:tcPr>
          <w:p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Appearance</w:t>
            </w:r>
          </w:p>
        </w:tc>
        <w:tc>
          <w:tcPr>
            <w:tcW w:w="1559" w:type="dxa"/>
            <w:hideMark/>
          </w:tcPr>
          <w:p w:rsidR="00F6544E" w:rsidRPr="00E042B1" w:rsidRDefault="00F6544E" w:rsidP="00E04348">
            <w:pPr>
              <w:jc w:val="center"/>
              <w:rPr>
                <w:rFonts w:ascii="Arial" w:eastAsia="Times New Roman" w:hAnsi="Arial" w:cs="Arial"/>
                <w:b/>
                <w:bCs/>
                <w:sz w:val="20"/>
                <w:szCs w:val="20"/>
                <w:lang w:bidi="hi-IN"/>
              </w:rPr>
            </w:pPr>
            <w:r w:rsidRPr="00E042B1">
              <w:rPr>
                <w:rFonts w:ascii="Arial" w:eastAsia="Times New Roman" w:hAnsi="Arial" w:cs="Arial"/>
                <w:b/>
                <w:bCs/>
                <w:sz w:val="20"/>
                <w:szCs w:val="20"/>
                <w:lang w:bidi="hi-IN"/>
              </w:rPr>
              <w:t>Overall Acceptability</w:t>
            </w:r>
          </w:p>
        </w:tc>
      </w:tr>
      <w:tr w:rsidR="00F6544E" w:rsidRPr="00E042B1" w:rsidTr="00A95260">
        <w:trPr>
          <w:trHeight w:val="558"/>
        </w:trPr>
        <w:tc>
          <w:tcPr>
            <w:tcW w:w="1101" w:type="dxa"/>
            <w:hideMark/>
          </w:tcPr>
          <w:p w:rsidR="00F6544E" w:rsidRPr="00E042B1" w:rsidRDefault="00F6544E" w:rsidP="00E04348">
            <w:pPr>
              <w:rPr>
                <w:rFonts w:ascii="Arial" w:eastAsia="Times New Roman" w:hAnsi="Arial" w:cs="Arial"/>
                <w:sz w:val="20"/>
                <w:szCs w:val="20"/>
                <w:lang w:bidi="hi-IN"/>
              </w:rPr>
            </w:pPr>
            <w:r w:rsidRPr="00E042B1">
              <w:rPr>
                <w:rFonts w:ascii="Arial" w:eastAsia="Times New Roman" w:hAnsi="Arial" w:cs="Arial"/>
                <w:sz w:val="20"/>
                <w:szCs w:val="20"/>
                <w:lang w:bidi="hi-IN"/>
              </w:rPr>
              <w:t>0 Day</w:t>
            </w:r>
          </w:p>
        </w:tc>
        <w:tc>
          <w:tcPr>
            <w:tcW w:w="1417" w:type="dxa"/>
            <w:hideMark/>
          </w:tcPr>
          <w:p w:rsidR="00F6544E" w:rsidRPr="00E042B1" w:rsidRDefault="00F6544E" w:rsidP="00E04348">
            <w:pPr>
              <w:pStyle w:val="TableParagraph"/>
              <w:spacing w:before="54"/>
              <w:ind w:right="385"/>
              <w:rPr>
                <w:rFonts w:ascii="Arial" w:hAnsi="Arial" w:cs="Arial"/>
                <w:sz w:val="20"/>
                <w:szCs w:val="20"/>
              </w:rPr>
            </w:pPr>
            <w:r w:rsidRPr="00E042B1">
              <w:rPr>
                <w:rFonts w:ascii="Arial" w:hAnsi="Arial" w:cs="Arial"/>
                <w:sz w:val="20"/>
                <w:szCs w:val="20"/>
              </w:rPr>
              <w:t>8.70</w:t>
            </w:r>
            <m:oMath>
              <m:r>
                <w:rPr>
                  <w:rFonts w:ascii="Arial" w:hAnsi="Arial" w:cs="Arial"/>
                  <w:sz w:val="20"/>
                  <w:szCs w:val="20"/>
                </w:rPr>
                <m:t>±</m:t>
              </m:r>
            </m:oMath>
            <w:r w:rsidRPr="00E042B1">
              <w:rPr>
                <w:rFonts w:ascii="Arial" w:hAnsi="Arial" w:cs="Arial"/>
                <w:sz w:val="20"/>
                <w:szCs w:val="20"/>
              </w:rPr>
              <w:t>0.48</w:t>
            </w:r>
          </w:p>
        </w:tc>
        <w:tc>
          <w:tcPr>
            <w:tcW w:w="1276" w:type="dxa"/>
            <w:hideMark/>
          </w:tcPr>
          <w:p w:rsidR="00F6544E" w:rsidRPr="00E042B1" w:rsidRDefault="00F6544E" w:rsidP="00E04348">
            <w:pPr>
              <w:pStyle w:val="TableParagraph"/>
              <w:spacing w:before="54"/>
              <w:ind w:right="382"/>
              <w:rPr>
                <w:rFonts w:ascii="Arial" w:hAnsi="Arial" w:cs="Arial"/>
                <w:sz w:val="20"/>
                <w:szCs w:val="20"/>
              </w:rPr>
            </w:pPr>
            <w:r w:rsidRPr="00E042B1">
              <w:rPr>
                <w:rFonts w:ascii="Arial" w:hAnsi="Arial" w:cs="Arial"/>
                <w:sz w:val="20"/>
                <w:szCs w:val="20"/>
              </w:rPr>
              <w:t>8.40</w:t>
            </w:r>
            <m:oMath>
              <m:r>
                <w:rPr>
                  <w:rFonts w:ascii="Arial" w:hAnsi="Arial" w:cs="Arial"/>
                  <w:sz w:val="20"/>
                  <w:szCs w:val="20"/>
                </w:rPr>
                <m:t>±</m:t>
              </m:r>
            </m:oMath>
            <w:r w:rsidRPr="00E042B1">
              <w:rPr>
                <w:rFonts w:ascii="Arial" w:hAnsi="Arial" w:cs="Arial"/>
                <w:sz w:val="20"/>
                <w:szCs w:val="20"/>
              </w:rPr>
              <w:t>0.52</w:t>
            </w:r>
          </w:p>
        </w:tc>
        <w:tc>
          <w:tcPr>
            <w:tcW w:w="1276" w:type="dxa"/>
            <w:hideMark/>
          </w:tcPr>
          <w:p w:rsidR="00F6544E" w:rsidRPr="00E042B1" w:rsidRDefault="00F6544E" w:rsidP="00E04348">
            <w:pPr>
              <w:pStyle w:val="TableParagraph"/>
              <w:spacing w:before="54"/>
              <w:ind w:right="376"/>
              <w:rPr>
                <w:rFonts w:ascii="Arial" w:hAnsi="Arial" w:cs="Arial"/>
                <w:sz w:val="20"/>
                <w:szCs w:val="20"/>
              </w:rPr>
            </w:pPr>
            <w:r w:rsidRPr="00E042B1">
              <w:rPr>
                <w:rFonts w:ascii="Arial" w:hAnsi="Arial" w:cs="Arial"/>
                <w:sz w:val="20"/>
                <w:szCs w:val="20"/>
              </w:rPr>
              <w:t>8.50</w:t>
            </w:r>
            <m:oMath>
              <m:r>
                <w:rPr>
                  <w:rFonts w:ascii="Arial" w:hAnsi="Arial" w:cs="Arial"/>
                  <w:sz w:val="20"/>
                  <w:szCs w:val="20"/>
                </w:rPr>
                <m:t>±</m:t>
              </m:r>
            </m:oMath>
            <w:r w:rsidRPr="00E042B1">
              <w:rPr>
                <w:rFonts w:ascii="Arial" w:hAnsi="Arial" w:cs="Arial"/>
                <w:sz w:val="20"/>
                <w:szCs w:val="20"/>
              </w:rPr>
              <w:t>0.53</w:t>
            </w:r>
          </w:p>
        </w:tc>
        <w:tc>
          <w:tcPr>
            <w:tcW w:w="1275" w:type="dxa"/>
            <w:hideMark/>
          </w:tcPr>
          <w:p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8.30</w:t>
            </w:r>
            <m:oMath>
              <m:r>
                <w:rPr>
                  <w:rFonts w:ascii="Arial" w:hAnsi="Arial" w:cs="Arial"/>
                  <w:sz w:val="20"/>
                  <w:szCs w:val="20"/>
                </w:rPr>
                <m:t>±</m:t>
              </m:r>
            </m:oMath>
            <w:r w:rsidRPr="00E042B1">
              <w:rPr>
                <w:rFonts w:ascii="Arial" w:hAnsi="Arial" w:cs="Arial"/>
                <w:sz w:val="20"/>
                <w:szCs w:val="20"/>
              </w:rPr>
              <w:t>0.95</w:t>
            </w:r>
          </w:p>
        </w:tc>
        <w:tc>
          <w:tcPr>
            <w:tcW w:w="1418" w:type="dxa"/>
            <w:hideMark/>
          </w:tcPr>
          <w:p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8.70</w:t>
            </w:r>
            <m:oMath>
              <m:r>
                <w:rPr>
                  <w:rFonts w:ascii="Arial" w:hAnsi="Arial" w:cs="Arial"/>
                  <w:sz w:val="20"/>
                  <w:szCs w:val="20"/>
                </w:rPr>
                <m:t>±</m:t>
              </m:r>
            </m:oMath>
            <w:r w:rsidRPr="00E042B1">
              <w:rPr>
                <w:rFonts w:ascii="Arial" w:hAnsi="Arial" w:cs="Arial"/>
                <w:sz w:val="20"/>
                <w:szCs w:val="20"/>
              </w:rPr>
              <w:t>0.48</w:t>
            </w:r>
          </w:p>
        </w:tc>
        <w:tc>
          <w:tcPr>
            <w:tcW w:w="1559" w:type="dxa"/>
            <w:hideMark/>
          </w:tcPr>
          <w:p w:rsidR="00F6544E" w:rsidRPr="00E042B1" w:rsidRDefault="00F6544E" w:rsidP="00E04348">
            <w:pPr>
              <w:pStyle w:val="TableParagraph"/>
              <w:spacing w:before="54"/>
              <w:ind w:left="387" w:right="382"/>
              <w:rPr>
                <w:rFonts w:ascii="Arial" w:hAnsi="Arial" w:cs="Arial"/>
                <w:sz w:val="20"/>
                <w:szCs w:val="20"/>
              </w:rPr>
            </w:pPr>
            <w:r w:rsidRPr="00E042B1">
              <w:rPr>
                <w:rFonts w:ascii="Arial" w:hAnsi="Arial" w:cs="Arial"/>
                <w:sz w:val="20"/>
                <w:szCs w:val="20"/>
              </w:rPr>
              <w:t>8.40</w:t>
            </w:r>
            <m:oMath>
              <m:r>
                <w:rPr>
                  <w:rFonts w:ascii="Arial" w:hAnsi="Arial" w:cs="Arial"/>
                  <w:sz w:val="20"/>
                  <w:szCs w:val="20"/>
                </w:rPr>
                <m:t>±</m:t>
              </m:r>
            </m:oMath>
            <w:r w:rsidRPr="00E042B1">
              <w:rPr>
                <w:rFonts w:ascii="Arial" w:hAnsi="Arial" w:cs="Arial"/>
                <w:sz w:val="20"/>
                <w:szCs w:val="20"/>
              </w:rPr>
              <w:t>0.70</w:t>
            </w:r>
          </w:p>
        </w:tc>
      </w:tr>
      <w:tr w:rsidR="00F6544E" w:rsidRPr="00E042B1" w:rsidTr="00A95260">
        <w:trPr>
          <w:trHeight w:val="427"/>
        </w:trPr>
        <w:tc>
          <w:tcPr>
            <w:tcW w:w="1101" w:type="dxa"/>
            <w:hideMark/>
          </w:tcPr>
          <w:p w:rsidR="00F6544E" w:rsidRPr="00E042B1" w:rsidRDefault="00F6544E" w:rsidP="00E04348">
            <w:pPr>
              <w:rPr>
                <w:rFonts w:ascii="Arial" w:eastAsia="Times New Roman" w:hAnsi="Arial" w:cs="Arial"/>
                <w:sz w:val="20"/>
                <w:szCs w:val="20"/>
                <w:lang w:bidi="hi-IN"/>
              </w:rPr>
            </w:pPr>
            <w:r w:rsidRPr="00E042B1">
              <w:rPr>
                <w:rFonts w:ascii="Arial" w:eastAsia="Times New Roman" w:hAnsi="Arial" w:cs="Arial"/>
                <w:sz w:val="20"/>
                <w:szCs w:val="20"/>
                <w:lang w:bidi="hi-IN"/>
              </w:rPr>
              <w:t>15 Day</w:t>
            </w:r>
          </w:p>
        </w:tc>
        <w:tc>
          <w:tcPr>
            <w:tcW w:w="1417" w:type="dxa"/>
            <w:hideMark/>
          </w:tcPr>
          <w:p w:rsidR="00F6544E" w:rsidRPr="00E042B1" w:rsidRDefault="00F6544E" w:rsidP="00E04348">
            <w:pPr>
              <w:pStyle w:val="TableParagraph"/>
              <w:spacing w:before="54"/>
              <w:ind w:right="385"/>
              <w:rPr>
                <w:rFonts w:ascii="Arial" w:hAnsi="Arial" w:cs="Arial"/>
                <w:sz w:val="20"/>
                <w:szCs w:val="20"/>
              </w:rPr>
            </w:pPr>
            <w:r w:rsidRPr="00E042B1">
              <w:rPr>
                <w:rFonts w:ascii="Arial" w:hAnsi="Arial" w:cs="Arial"/>
                <w:sz w:val="20"/>
                <w:szCs w:val="20"/>
              </w:rPr>
              <w:t>8.10</w:t>
            </w:r>
            <m:oMath>
              <m:r>
                <w:rPr>
                  <w:rFonts w:ascii="Arial" w:hAnsi="Arial" w:cs="Arial"/>
                  <w:sz w:val="20"/>
                  <w:szCs w:val="20"/>
                </w:rPr>
                <m:t>±</m:t>
              </m:r>
            </m:oMath>
            <w:r w:rsidRPr="00E042B1">
              <w:rPr>
                <w:rFonts w:ascii="Arial" w:hAnsi="Arial" w:cs="Arial"/>
                <w:sz w:val="20"/>
                <w:szCs w:val="20"/>
              </w:rPr>
              <w:t>0.74</w:t>
            </w:r>
          </w:p>
        </w:tc>
        <w:tc>
          <w:tcPr>
            <w:tcW w:w="1276" w:type="dxa"/>
            <w:hideMark/>
          </w:tcPr>
          <w:p w:rsidR="00F6544E" w:rsidRPr="00E042B1" w:rsidRDefault="00F6544E" w:rsidP="00E04348">
            <w:pPr>
              <w:pStyle w:val="TableParagraph"/>
              <w:spacing w:before="54"/>
              <w:ind w:right="382"/>
              <w:rPr>
                <w:rFonts w:ascii="Arial" w:hAnsi="Arial" w:cs="Arial"/>
                <w:sz w:val="20"/>
                <w:szCs w:val="20"/>
              </w:rPr>
            </w:pPr>
            <w:r w:rsidRPr="00E042B1">
              <w:rPr>
                <w:rFonts w:ascii="Arial" w:hAnsi="Arial" w:cs="Arial"/>
                <w:sz w:val="20"/>
                <w:szCs w:val="20"/>
              </w:rPr>
              <w:t>7.70</w:t>
            </w:r>
            <m:oMath>
              <m:r>
                <w:rPr>
                  <w:rFonts w:ascii="Arial" w:hAnsi="Arial" w:cs="Arial"/>
                  <w:sz w:val="20"/>
                  <w:szCs w:val="20"/>
                </w:rPr>
                <m:t>±</m:t>
              </m:r>
            </m:oMath>
            <w:r w:rsidRPr="00E042B1">
              <w:rPr>
                <w:rFonts w:ascii="Arial" w:hAnsi="Arial" w:cs="Arial"/>
                <w:sz w:val="20"/>
                <w:szCs w:val="20"/>
              </w:rPr>
              <w:t>0.82</w:t>
            </w:r>
          </w:p>
        </w:tc>
        <w:tc>
          <w:tcPr>
            <w:tcW w:w="1276" w:type="dxa"/>
            <w:hideMark/>
          </w:tcPr>
          <w:p w:rsidR="00F6544E" w:rsidRPr="00E042B1" w:rsidRDefault="00F6544E" w:rsidP="00E04348">
            <w:pPr>
              <w:pStyle w:val="TableParagraph"/>
              <w:spacing w:before="54"/>
              <w:ind w:right="376"/>
              <w:rPr>
                <w:rFonts w:ascii="Arial" w:hAnsi="Arial" w:cs="Arial"/>
                <w:sz w:val="20"/>
                <w:szCs w:val="20"/>
              </w:rPr>
            </w:pPr>
            <w:r w:rsidRPr="00E042B1">
              <w:rPr>
                <w:rFonts w:ascii="Arial" w:hAnsi="Arial" w:cs="Arial"/>
                <w:sz w:val="20"/>
                <w:szCs w:val="20"/>
              </w:rPr>
              <w:t>7.90</w:t>
            </w:r>
            <m:oMath>
              <m:r>
                <w:rPr>
                  <w:rFonts w:ascii="Arial" w:hAnsi="Arial" w:cs="Arial"/>
                  <w:sz w:val="20"/>
                  <w:szCs w:val="20"/>
                </w:rPr>
                <m:t>±</m:t>
              </m:r>
            </m:oMath>
            <w:r w:rsidRPr="00E042B1">
              <w:rPr>
                <w:rFonts w:ascii="Arial" w:hAnsi="Arial" w:cs="Arial"/>
                <w:sz w:val="20"/>
                <w:szCs w:val="20"/>
              </w:rPr>
              <w:t>0.57</w:t>
            </w:r>
          </w:p>
        </w:tc>
        <w:tc>
          <w:tcPr>
            <w:tcW w:w="1275" w:type="dxa"/>
            <w:hideMark/>
          </w:tcPr>
          <w:p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8.00</w:t>
            </w:r>
            <m:oMath>
              <m:r>
                <w:rPr>
                  <w:rFonts w:ascii="Arial" w:hAnsi="Arial" w:cs="Arial"/>
                  <w:sz w:val="20"/>
                  <w:szCs w:val="20"/>
                </w:rPr>
                <m:t>±</m:t>
              </m:r>
            </m:oMath>
            <w:r w:rsidRPr="00E042B1">
              <w:rPr>
                <w:rFonts w:ascii="Arial" w:hAnsi="Arial" w:cs="Arial"/>
                <w:sz w:val="20"/>
                <w:szCs w:val="20"/>
              </w:rPr>
              <w:t>0.67</w:t>
            </w:r>
          </w:p>
        </w:tc>
        <w:tc>
          <w:tcPr>
            <w:tcW w:w="1418" w:type="dxa"/>
            <w:hideMark/>
          </w:tcPr>
          <w:p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7.80</w:t>
            </w:r>
            <m:oMath>
              <m:r>
                <w:rPr>
                  <w:rFonts w:ascii="Arial" w:hAnsi="Arial" w:cs="Arial"/>
                  <w:sz w:val="20"/>
                  <w:szCs w:val="20"/>
                </w:rPr>
                <m:t>±</m:t>
              </m:r>
            </m:oMath>
            <w:r w:rsidRPr="00E042B1">
              <w:rPr>
                <w:rFonts w:ascii="Arial" w:hAnsi="Arial" w:cs="Arial"/>
                <w:sz w:val="20"/>
                <w:szCs w:val="20"/>
              </w:rPr>
              <w:t>0.63</w:t>
            </w:r>
          </w:p>
        </w:tc>
        <w:tc>
          <w:tcPr>
            <w:tcW w:w="1559" w:type="dxa"/>
            <w:hideMark/>
          </w:tcPr>
          <w:p w:rsidR="00F6544E" w:rsidRPr="00E042B1" w:rsidRDefault="00F6544E" w:rsidP="00E04348">
            <w:pPr>
              <w:pStyle w:val="TableParagraph"/>
              <w:spacing w:before="54"/>
              <w:ind w:left="387" w:right="382"/>
              <w:rPr>
                <w:rFonts w:ascii="Arial" w:hAnsi="Arial" w:cs="Arial"/>
                <w:sz w:val="20"/>
                <w:szCs w:val="20"/>
              </w:rPr>
            </w:pPr>
            <w:r w:rsidRPr="00E042B1">
              <w:rPr>
                <w:rFonts w:ascii="Arial" w:hAnsi="Arial" w:cs="Arial"/>
                <w:sz w:val="20"/>
                <w:szCs w:val="20"/>
              </w:rPr>
              <w:t>8.10</w:t>
            </w:r>
            <m:oMath>
              <m:r>
                <w:rPr>
                  <w:rFonts w:ascii="Arial" w:hAnsi="Arial" w:cs="Arial"/>
                  <w:sz w:val="20"/>
                  <w:szCs w:val="20"/>
                </w:rPr>
                <m:t>±</m:t>
              </m:r>
            </m:oMath>
            <w:r w:rsidRPr="00E042B1">
              <w:rPr>
                <w:rFonts w:ascii="Arial" w:hAnsi="Arial" w:cs="Arial"/>
                <w:sz w:val="20"/>
                <w:szCs w:val="20"/>
              </w:rPr>
              <w:t>0.32</w:t>
            </w:r>
          </w:p>
        </w:tc>
      </w:tr>
      <w:tr w:rsidR="00F6544E" w:rsidRPr="00E042B1" w:rsidTr="00A95260">
        <w:trPr>
          <w:trHeight w:val="439"/>
        </w:trPr>
        <w:tc>
          <w:tcPr>
            <w:tcW w:w="1101" w:type="dxa"/>
            <w:hideMark/>
          </w:tcPr>
          <w:p w:rsidR="00F6544E" w:rsidRPr="00E042B1" w:rsidRDefault="00F6544E" w:rsidP="00E04348">
            <w:pPr>
              <w:rPr>
                <w:rFonts w:ascii="Arial" w:eastAsia="Times New Roman" w:hAnsi="Arial" w:cs="Arial"/>
                <w:sz w:val="20"/>
                <w:szCs w:val="20"/>
                <w:lang w:bidi="hi-IN"/>
              </w:rPr>
            </w:pPr>
            <w:r w:rsidRPr="00E042B1">
              <w:rPr>
                <w:rFonts w:ascii="Arial" w:eastAsia="Times New Roman" w:hAnsi="Arial" w:cs="Arial"/>
                <w:sz w:val="20"/>
                <w:szCs w:val="20"/>
                <w:lang w:bidi="hi-IN"/>
              </w:rPr>
              <w:t>30 Day</w:t>
            </w:r>
          </w:p>
        </w:tc>
        <w:tc>
          <w:tcPr>
            <w:tcW w:w="1417" w:type="dxa"/>
            <w:hideMark/>
          </w:tcPr>
          <w:p w:rsidR="00F6544E" w:rsidRPr="00E042B1" w:rsidRDefault="00F6544E" w:rsidP="00E04348">
            <w:pPr>
              <w:pStyle w:val="TableParagraph"/>
              <w:spacing w:before="54"/>
              <w:ind w:right="385"/>
              <w:rPr>
                <w:rFonts w:ascii="Arial" w:hAnsi="Arial" w:cs="Arial"/>
                <w:sz w:val="20"/>
                <w:szCs w:val="20"/>
              </w:rPr>
            </w:pPr>
            <w:r w:rsidRPr="00E042B1">
              <w:rPr>
                <w:rFonts w:ascii="Arial" w:hAnsi="Arial" w:cs="Arial"/>
                <w:sz w:val="20"/>
                <w:szCs w:val="20"/>
              </w:rPr>
              <w:t>6.60</w:t>
            </w:r>
            <m:oMath>
              <m:r>
                <w:rPr>
                  <w:rFonts w:ascii="Arial" w:hAnsi="Arial" w:cs="Arial"/>
                  <w:sz w:val="20"/>
                  <w:szCs w:val="20"/>
                </w:rPr>
                <m:t>±</m:t>
              </m:r>
            </m:oMath>
            <w:r w:rsidRPr="00E042B1">
              <w:rPr>
                <w:rFonts w:ascii="Arial" w:hAnsi="Arial" w:cs="Arial"/>
                <w:sz w:val="20"/>
                <w:szCs w:val="20"/>
              </w:rPr>
              <w:t>1.17</w:t>
            </w:r>
          </w:p>
        </w:tc>
        <w:tc>
          <w:tcPr>
            <w:tcW w:w="1276" w:type="dxa"/>
            <w:hideMark/>
          </w:tcPr>
          <w:p w:rsidR="00F6544E" w:rsidRPr="00E042B1" w:rsidRDefault="00F6544E" w:rsidP="00E04348">
            <w:pPr>
              <w:pStyle w:val="TableParagraph"/>
              <w:spacing w:before="54"/>
              <w:ind w:right="382"/>
              <w:rPr>
                <w:rFonts w:ascii="Arial" w:hAnsi="Arial" w:cs="Arial"/>
                <w:sz w:val="20"/>
                <w:szCs w:val="20"/>
              </w:rPr>
            </w:pPr>
            <w:r w:rsidRPr="00E042B1">
              <w:rPr>
                <w:rFonts w:ascii="Arial" w:hAnsi="Arial" w:cs="Arial"/>
                <w:sz w:val="20"/>
                <w:szCs w:val="20"/>
              </w:rPr>
              <w:t>6.00</w:t>
            </w:r>
            <m:oMath>
              <m:r>
                <w:rPr>
                  <w:rFonts w:ascii="Arial" w:hAnsi="Arial" w:cs="Arial"/>
                  <w:sz w:val="20"/>
                  <w:szCs w:val="20"/>
                </w:rPr>
                <m:t>±</m:t>
              </m:r>
            </m:oMath>
            <w:r w:rsidRPr="00E042B1">
              <w:rPr>
                <w:rFonts w:ascii="Arial" w:hAnsi="Arial" w:cs="Arial"/>
                <w:sz w:val="20"/>
                <w:szCs w:val="20"/>
              </w:rPr>
              <w:t>0.94</w:t>
            </w:r>
          </w:p>
        </w:tc>
        <w:tc>
          <w:tcPr>
            <w:tcW w:w="1276" w:type="dxa"/>
            <w:hideMark/>
          </w:tcPr>
          <w:p w:rsidR="00F6544E" w:rsidRPr="00E042B1" w:rsidRDefault="00F6544E" w:rsidP="00E04348">
            <w:pPr>
              <w:pStyle w:val="TableParagraph"/>
              <w:spacing w:before="54"/>
              <w:ind w:right="376"/>
              <w:rPr>
                <w:rFonts w:ascii="Arial" w:hAnsi="Arial" w:cs="Arial"/>
                <w:sz w:val="20"/>
                <w:szCs w:val="20"/>
              </w:rPr>
            </w:pPr>
            <w:r w:rsidRPr="00E042B1">
              <w:rPr>
                <w:rFonts w:ascii="Arial" w:hAnsi="Arial" w:cs="Arial"/>
                <w:sz w:val="20"/>
                <w:szCs w:val="20"/>
              </w:rPr>
              <w:t>6.80</w:t>
            </w:r>
            <m:oMath>
              <m:r>
                <w:rPr>
                  <w:rFonts w:ascii="Arial" w:hAnsi="Arial" w:cs="Arial"/>
                  <w:sz w:val="20"/>
                  <w:szCs w:val="20"/>
                </w:rPr>
                <m:t>±</m:t>
              </m:r>
            </m:oMath>
            <w:r w:rsidRPr="00E042B1">
              <w:rPr>
                <w:rFonts w:ascii="Arial" w:hAnsi="Arial" w:cs="Arial"/>
                <w:sz w:val="20"/>
                <w:szCs w:val="20"/>
              </w:rPr>
              <w:t>0.63</w:t>
            </w:r>
          </w:p>
        </w:tc>
        <w:tc>
          <w:tcPr>
            <w:tcW w:w="1275" w:type="dxa"/>
            <w:hideMark/>
          </w:tcPr>
          <w:p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6.20</w:t>
            </w:r>
            <m:oMath>
              <m:r>
                <w:rPr>
                  <w:rFonts w:ascii="Arial" w:hAnsi="Arial" w:cs="Arial"/>
                  <w:sz w:val="20"/>
                  <w:szCs w:val="20"/>
                </w:rPr>
                <m:t>±</m:t>
              </m:r>
            </m:oMath>
            <w:r w:rsidRPr="00E042B1">
              <w:rPr>
                <w:rFonts w:ascii="Arial" w:hAnsi="Arial" w:cs="Arial"/>
                <w:sz w:val="20"/>
                <w:szCs w:val="20"/>
              </w:rPr>
              <w:t>0.92</w:t>
            </w:r>
          </w:p>
        </w:tc>
        <w:tc>
          <w:tcPr>
            <w:tcW w:w="1418" w:type="dxa"/>
            <w:hideMark/>
          </w:tcPr>
          <w:p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7.80</w:t>
            </w:r>
            <m:oMath>
              <m:r>
                <w:rPr>
                  <w:rFonts w:ascii="Arial" w:hAnsi="Arial" w:cs="Arial"/>
                  <w:sz w:val="20"/>
                  <w:szCs w:val="20"/>
                </w:rPr>
                <m:t>±</m:t>
              </m:r>
            </m:oMath>
            <w:r w:rsidRPr="00E042B1">
              <w:rPr>
                <w:rFonts w:ascii="Arial" w:hAnsi="Arial" w:cs="Arial"/>
                <w:sz w:val="20"/>
                <w:szCs w:val="20"/>
              </w:rPr>
              <w:t>0.42</w:t>
            </w:r>
          </w:p>
        </w:tc>
        <w:tc>
          <w:tcPr>
            <w:tcW w:w="1559" w:type="dxa"/>
            <w:hideMark/>
          </w:tcPr>
          <w:p w:rsidR="00F6544E" w:rsidRPr="00E042B1" w:rsidRDefault="00F6544E" w:rsidP="00E04348">
            <w:pPr>
              <w:pStyle w:val="TableParagraph"/>
              <w:spacing w:before="54"/>
              <w:ind w:left="387" w:right="382"/>
              <w:rPr>
                <w:rFonts w:ascii="Arial" w:hAnsi="Arial" w:cs="Arial"/>
                <w:sz w:val="20"/>
                <w:szCs w:val="20"/>
              </w:rPr>
            </w:pPr>
            <w:r w:rsidRPr="00E042B1">
              <w:rPr>
                <w:rFonts w:ascii="Arial" w:hAnsi="Arial" w:cs="Arial"/>
                <w:sz w:val="20"/>
                <w:szCs w:val="20"/>
              </w:rPr>
              <w:t>6.60</w:t>
            </w:r>
            <m:oMath>
              <m:r>
                <w:rPr>
                  <w:rFonts w:ascii="Arial" w:hAnsi="Arial" w:cs="Arial"/>
                  <w:sz w:val="20"/>
                  <w:szCs w:val="20"/>
                </w:rPr>
                <m:t>±</m:t>
              </m:r>
            </m:oMath>
            <w:r w:rsidRPr="00E042B1">
              <w:rPr>
                <w:rFonts w:ascii="Arial" w:hAnsi="Arial" w:cs="Arial"/>
                <w:sz w:val="20"/>
                <w:szCs w:val="20"/>
              </w:rPr>
              <w:t>1.26</w:t>
            </w:r>
          </w:p>
        </w:tc>
      </w:tr>
      <w:tr w:rsidR="00F6544E" w:rsidRPr="00E042B1" w:rsidTr="00A95260">
        <w:trPr>
          <w:trHeight w:val="433"/>
        </w:trPr>
        <w:tc>
          <w:tcPr>
            <w:tcW w:w="1101" w:type="dxa"/>
            <w:hideMark/>
          </w:tcPr>
          <w:p w:rsidR="00F6544E" w:rsidRPr="00E042B1" w:rsidRDefault="00F6544E" w:rsidP="00E04348">
            <w:pPr>
              <w:rPr>
                <w:rFonts w:ascii="Arial" w:eastAsia="Times New Roman" w:hAnsi="Arial" w:cs="Arial"/>
                <w:sz w:val="20"/>
                <w:szCs w:val="20"/>
                <w:lang w:bidi="hi-IN"/>
              </w:rPr>
            </w:pPr>
            <w:proofErr w:type="spellStart"/>
            <w:r w:rsidRPr="00E042B1">
              <w:rPr>
                <w:rFonts w:ascii="Arial" w:eastAsia="Times New Roman" w:hAnsi="Arial" w:cs="Arial"/>
                <w:sz w:val="20"/>
                <w:szCs w:val="20"/>
                <w:lang w:bidi="hi-IN"/>
              </w:rPr>
              <w:t>SEm</w:t>
            </w:r>
            <w:proofErr w:type="spellEnd"/>
          </w:p>
        </w:tc>
        <w:tc>
          <w:tcPr>
            <w:tcW w:w="1417" w:type="dxa"/>
            <w:hideMark/>
          </w:tcPr>
          <w:p w:rsidR="00F6544E" w:rsidRPr="00E042B1" w:rsidRDefault="00F6544E" w:rsidP="00E04348">
            <w:pPr>
              <w:pStyle w:val="TableParagraph"/>
              <w:spacing w:before="54"/>
              <w:ind w:right="385"/>
              <w:rPr>
                <w:rFonts w:ascii="Arial" w:hAnsi="Arial" w:cs="Arial"/>
                <w:sz w:val="20"/>
                <w:szCs w:val="20"/>
              </w:rPr>
            </w:pPr>
            <w:r w:rsidRPr="00E042B1">
              <w:rPr>
                <w:rFonts w:ascii="Arial" w:hAnsi="Arial" w:cs="Arial"/>
                <w:sz w:val="20"/>
                <w:szCs w:val="20"/>
              </w:rPr>
              <w:t>0.20</w:t>
            </w:r>
          </w:p>
        </w:tc>
        <w:tc>
          <w:tcPr>
            <w:tcW w:w="1276" w:type="dxa"/>
            <w:hideMark/>
          </w:tcPr>
          <w:p w:rsidR="00F6544E" w:rsidRPr="00E042B1" w:rsidRDefault="00F6544E" w:rsidP="00E04348">
            <w:pPr>
              <w:pStyle w:val="TableParagraph"/>
              <w:spacing w:before="54"/>
              <w:ind w:right="382"/>
              <w:rPr>
                <w:rFonts w:ascii="Arial" w:hAnsi="Arial" w:cs="Arial"/>
                <w:sz w:val="20"/>
                <w:szCs w:val="20"/>
              </w:rPr>
            </w:pPr>
            <w:r w:rsidRPr="00E042B1">
              <w:rPr>
                <w:rFonts w:ascii="Arial" w:hAnsi="Arial" w:cs="Arial"/>
                <w:sz w:val="20"/>
                <w:szCs w:val="20"/>
              </w:rPr>
              <w:t>0.27</w:t>
            </w:r>
          </w:p>
        </w:tc>
        <w:tc>
          <w:tcPr>
            <w:tcW w:w="1276" w:type="dxa"/>
            <w:hideMark/>
          </w:tcPr>
          <w:p w:rsidR="00F6544E" w:rsidRPr="00E042B1" w:rsidRDefault="00F6544E" w:rsidP="00E04348">
            <w:pPr>
              <w:pStyle w:val="TableParagraph"/>
              <w:spacing w:before="54"/>
              <w:ind w:right="376"/>
              <w:rPr>
                <w:rFonts w:ascii="Arial" w:hAnsi="Arial" w:cs="Arial"/>
                <w:sz w:val="20"/>
                <w:szCs w:val="20"/>
              </w:rPr>
            </w:pPr>
            <w:r w:rsidRPr="00E042B1">
              <w:rPr>
                <w:rFonts w:ascii="Arial" w:hAnsi="Arial" w:cs="Arial"/>
                <w:sz w:val="20"/>
                <w:szCs w:val="20"/>
              </w:rPr>
              <w:t>0.18</w:t>
            </w:r>
          </w:p>
        </w:tc>
        <w:tc>
          <w:tcPr>
            <w:tcW w:w="1275" w:type="dxa"/>
            <w:hideMark/>
          </w:tcPr>
          <w:p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0.25</w:t>
            </w:r>
          </w:p>
        </w:tc>
        <w:tc>
          <w:tcPr>
            <w:tcW w:w="1418" w:type="dxa"/>
            <w:hideMark/>
          </w:tcPr>
          <w:p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0.16</w:t>
            </w:r>
          </w:p>
        </w:tc>
        <w:tc>
          <w:tcPr>
            <w:tcW w:w="1559" w:type="dxa"/>
            <w:hideMark/>
          </w:tcPr>
          <w:p w:rsidR="00F6544E" w:rsidRPr="00E042B1" w:rsidRDefault="00F6544E" w:rsidP="00E04348">
            <w:pPr>
              <w:pStyle w:val="TableParagraph"/>
              <w:spacing w:before="54"/>
              <w:ind w:left="387" w:right="382"/>
              <w:rPr>
                <w:rFonts w:ascii="Arial" w:hAnsi="Arial" w:cs="Arial"/>
                <w:sz w:val="20"/>
                <w:szCs w:val="20"/>
              </w:rPr>
            </w:pPr>
            <w:r w:rsidRPr="00E042B1">
              <w:rPr>
                <w:rFonts w:ascii="Arial" w:hAnsi="Arial" w:cs="Arial"/>
                <w:sz w:val="20"/>
                <w:szCs w:val="20"/>
              </w:rPr>
              <w:t>0.27</w:t>
            </w:r>
          </w:p>
        </w:tc>
      </w:tr>
      <w:tr w:rsidR="00F6544E" w:rsidRPr="00E042B1" w:rsidTr="00A95260">
        <w:trPr>
          <w:trHeight w:val="411"/>
        </w:trPr>
        <w:tc>
          <w:tcPr>
            <w:tcW w:w="1101" w:type="dxa"/>
            <w:hideMark/>
          </w:tcPr>
          <w:p w:rsidR="00F6544E" w:rsidRPr="00E042B1" w:rsidRDefault="00F6544E" w:rsidP="00E04348">
            <w:pPr>
              <w:rPr>
                <w:rFonts w:ascii="Arial" w:eastAsia="Times New Roman" w:hAnsi="Arial" w:cs="Arial"/>
                <w:sz w:val="20"/>
                <w:szCs w:val="20"/>
                <w:lang w:bidi="hi-IN"/>
              </w:rPr>
            </w:pPr>
            <w:r w:rsidRPr="00E042B1">
              <w:rPr>
                <w:rFonts w:ascii="Arial" w:eastAsia="Times New Roman" w:hAnsi="Arial" w:cs="Arial"/>
                <w:sz w:val="20"/>
                <w:szCs w:val="20"/>
                <w:lang w:bidi="hi-IN"/>
              </w:rPr>
              <w:t>CD (5%)</w:t>
            </w:r>
          </w:p>
        </w:tc>
        <w:tc>
          <w:tcPr>
            <w:tcW w:w="1417" w:type="dxa"/>
            <w:hideMark/>
          </w:tcPr>
          <w:p w:rsidR="00F6544E" w:rsidRPr="00E042B1" w:rsidRDefault="00F6544E" w:rsidP="00E04348">
            <w:pPr>
              <w:pStyle w:val="TableParagraph"/>
              <w:spacing w:before="54"/>
              <w:ind w:right="385"/>
              <w:rPr>
                <w:rFonts w:ascii="Arial" w:hAnsi="Arial" w:cs="Arial"/>
                <w:sz w:val="20"/>
                <w:szCs w:val="20"/>
              </w:rPr>
            </w:pPr>
            <w:r w:rsidRPr="00E042B1">
              <w:rPr>
                <w:rFonts w:ascii="Arial" w:hAnsi="Arial" w:cs="Arial"/>
                <w:sz w:val="20"/>
                <w:szCs w:val="20"/>
              </w:rPr>
              <w:t>0.60</w:t>
            </w:r>
            <w:r w:rsidRPr="00E042B1">
              <w:rPr>
                <w:rFonts w:ascii="Arial" w:hAnsi="Arial" w:cs="Arial"/>
                <w:sz w:val="20"/>
                <w:szCs w:val="20"/>
                <w:vertAlign w:val="superscript"/>
              </w:rPr>
              <w:t>*</w:t>
            </w:r>
          </w:p>
        </w:tc>
        <w:tc>
          <w:tcPr>
            <w:tcW w:w="1276" w:type="dxa"/>
            <w:hideMark/>
          </w:tcPr>
          <w:p w:rsidR="00F6544E" w:rsidRPr="00E042B1" w:rsidRDefault="00F6544E" w:rsidP="00E04348">
            <w:pPr>
              <w:pStyle w:val="TableParagraph"/>
              <w:spacing w:before="54"/>
              <w:ind w:right="382"/>
              <w:rPr>
                <w:rFonts w:ascii="Arial" w:hAnsi="Arial" w:cs="Arial"/>
                <w:sz w:val="20"/>
                <w:szCs w:val="20"/>
              </w:rPr>
            </w:pPr>
            <w:r w:rsidRPr="00E042B1">
              <w:rPr>
                <w:rFonts w:ascii="Arial" w:hAnsi="Arial" w:cs="Arial"/>
                <w:sz w:val="20"/>
                <w:szCs w:val="20"/>
              </w:rPr>
              <w:t>0.81</w:t>
            </w:r>
            <w:r w:rsidRPr="00E042B1">
              <w:rPr>
                <w:rFonts w:ascii="Arial" w:hAnsi="Arial" w:cs="Arial"/>
                <w:sz w:val="20"/>
                <w:szCs w:val="20"/>
                <w:vertAlign w:val="superscript"/>
              </w:rPr>
              <w:t>*</w:t>
            </w:r>
          </w:p>
        </w:tc>
        <w:tc>
          <w:tcPr>
            <w:tcW w:w="1276" w:type="dxa"/>
            <w:hideMark/>
          </w:tcPr>
          <w:p w:rsidR="00F6544E" w:rsidRPr="00E042B1" w:rsidRDefault="00F6544E" w:rsidP="00E04348">
            <w:pPr>
              <w:pStyle w:val="TableParagraph"/>
              <w:spacing w:before="54"/>
              <w:ind w:right="376"/>
              <w:rPr>
                <w:rFonts w:ascii="Arial" w:hAnsi="Arial" w:cs="Arial"/>
                <w:sz w:val="20"/>
                <w:szCs w:val="20"/>
              </w:rPr>
            </w:pPr>
            <w:r w:rsidRPr="00E042B1">
              <w:rPr>
                <w:rFonts w:ascii="Arial" w:hAnsi="Arial" w:cs="Arial"/>
                <w:sz w:val="20"/>
                <w:szCs w:val="20"/>
              </w:rPr>
              <w:t>0.53</w:t>
            </w:r>
            <w:r w:rsidRPr="00E042B1">
              <w:rPr>
                <w:rFonts w:ascii="Arial" w:hAnsi="Arial" w:cs="Arial"/>
                <w:sz w:val="20"/>
                <w:szCs w:val="20"/>
                <w:vertAlign w:val="superscript"/>
              </w:rPr>
              <w:t>*</w:t>
            </w:r>
          </w:p>
        </w:tc>
        <w:tc>
          <w:tcPr>
            <w:tcW w:w="1275" w:type="dxa"/>
            <w:hideMark/>
          </w:tcPr>
          <w:p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0.73</w:t>
            </w:r>
            <w:r w:rsidRPr="00E042B1">
              <w:rPr>
                <w:rFonts w:ascii="Arial" w:hAnsi="Arial" w:cs="Arial"/>
                <w:sz w:val="20"/>
                <w:szCs w:val="20"/>
                <w:vertAlign w:val="superscript"/>
              </w:rPr>
              <w:t>*</w:t>
            </w:r>
          </w:p>
        </w:tc>
        <w:tc>
          <w:tcPr>
            <w:tcW w:w="1418" w:type="dxa"/>
            <w:hideMark/>
          </w:tcPr>
          <w:p w:rsidR="00F6544E" w:rsidRPr="00E042B1" w:rsidRDefault="00F6544E" w:rsidP="00E04348">
            <w:pPr>
              <w:pStyle w:val="TableParagraph"/>
              <w:spacing w:before="54"/>
              <w:ind w:right="383"/>
              <w:rPr>
                <w:rFonts w:ascii="Arial" w:hAnsi="Arial" w:cs="Arial"/>
                <w:sz w:val="20"/>
                <w:szCs w:val="20"/>
              </w:rPr>
            </w:pPr>
            <w:r w:rsidRPr="00E042B1">
              <w:rPr>
                <w:rFonts w:ascii="Arial" w:hAnsi="Arial" w:cs="Arial"/>
                <w:sz w:val="20"/>
                <w:szCs w:val="20"/>
              </w:rPr>
              <w:t>0.47</w:t>
            </w:r>
          </w:p>
        </w:tc>
        <w:tc>
          <w:tcPr>
            <w:tcW w:w="1559" w:type="dxa"/>
            <w:hideMark/>
          </w:tcPr>
          <w:p w:rsidR="00F6544E" w:rsidRPr="00E042B1" w:rsidRDefault="00F6544E" w:rsidP="00E04348">
            <w:pPr>
              <w:pStyle w:val="TableParagraph"/>
              <w:spacing w:before="54"/>
              <w:ind w:left="387" w:right="382"/>
              <w:rPr>
                <w:rFonts w:ascii="Arial" w:hAnsi="Arial" w:cs="Arial"/>
                <w:sz w:val="20"/>
                <w:szCs w:val="20"/>
              </w:rPr>
            </w:pPr>
            <w:r w:rsidRPr="00E042B1">
              <w:rPr>
                <w:rFonts w:ascii="Arial" w:hAnsi="Arial" w:cs="Arial"/>
                <w:sz w:val="20"/>
                <w:szCs w:val="20"/>
              </w:rPr>
              <w:t>0.81</w:t>
            </w:r>
            <w:r w:rsidRPr="00E042B1">
              <w:rPr>
                <w:rFonts w:ascii="Arial" w:hAnsi="Arial" w:cs="Arial"/>
                <w:sz w:val="20"/>
                <w:szCs w:val="20"/>
                <w:vertAlign w:val="superscript"/>
              </w:rPr>
              <w:t>*</w:t>
            </w:r>
          </w:p>
        </w:tc>
      </w:tr>
    </w:tbl>
    <w:p w:rsidR="00F6544E" w:rsidRPr="00E042B1" w:rsidRDefault="00F6544E" w:rsidP="00F6544E">
      <w:pPr>
        <w:tabs>
          <w:tab w:val="center" w:pos="4680"/>
        </w:tabs>
        <w:spacing w:before="114"/>
        <w:ind w:left="1"/>
        <w:rPr>
          <w:rFonts w:ascii="Arial" w:eastAsiaTheme="minorEastAsia" w:hAnsi="Arial" w:cs="Arial"/>
        </w:rPr>
      </w:pPr>
      <w:r w:rsidRPr="00E042B1">
        <w:rPr>
          <w:rFonts w:ascii="Arial" w:hAnsi="Arial" w:cs="Arial"/>
        </w:rPr>
        <w:t>Values are mean</w:t>
      </w:r>
      <m:oMath>
        <m:r>
          <w:rPr>
            <w:rFonts w:ascii="Arial" w:hAnsi="Arial" w:cs="Arial"/>
          </w:rPr>
          <m:t>±</m:t>
        </m:r>
      </m:oMath>
      <w:r w:rsidRPr="00E042B1">
        <w:rPr>
          <w:rFonts w:ascii="Arial" w:eastAsiaTheme="minorEastAsia" w:hAnsi="Arial" w:cs="Arial"/>
        </w:rPr>
        <w:t>SD of ten</w:t>
      </w:r>
      <w:r w:rsidR="00C77A6C" w:rsidRPr="00E042B1">
        <w:rPr>
          <w:rFonts w:ascii="Arial" w:eastAsiaTheme="minorEastAsia" w:hAnsi="Arial" w:cs="Arial"/>
        </w:rPr>
        <w:t xml:space="preserve"> </w:t>
      </w:r>
      <w:proofErr w:type="spellStart"/>
      <w:r w:rsidR="00C77A6C" w:rsidRPr="00E042B1">
        <w:rPr>
          <w:rFonts w:ascii="Arial" w:eastAsiaTheme="minorEastAsia" w:hAnsi="Arial" w:cs="Arial"/>
        </w:rPr>
        <w:t>panellist</w:t>
      </w:r>
      <w:proofErr w:type="spellEnd"/>
      <w:r w:rsidR="00C77A6C" w:rsidRPr="00E042B1">
        <w:rPr>
          <w:rFonts w:ascii="Arial" w:eastAsiaTheme="minorEastAsia" w:hAnsi="Arial" w:cs="Arial"/>
        </w:rPr>
        <w:t xml:space="preserve">                 </w:t>
      </w:r>
      <w:r w:rsidRPr="00E042B1">
        <w:rPr>
          <w:rFonts w:ascii="Arial" w:eastAsiaTheme="minorEastAsia" w:hAnsi="Arial" w:cs="Arial"/>
        </w:rPr>
        <w:t xml:space="preserve">     *= significant at 5% level.</w:t>
      </w:r>
    </w:p>
    <w:p w:rsidR="00790ADA" w:rsidRPr="00E042B1" w:rsidRDefault="00790ADA" w:rsidP="00441B6F">
      <w:pPr>
        <w:pStyle w:val="Body"/>
        <w:spacing w:after="0"/>
        <w:rPr>
          <w:rFonts w:ascii="Arial" w:hAnsi="Arial" w:cs="Arial"/>
        </w:rPr>
      </w:pPr>
    </w:p>
    <w:p w:rsidR="00B01FCD" w:rsidRPr="00E042B1" w:rsidRDefault="00000F8F" w:rsidP="00441B6F">
      <w:pPr>
        <w:pStyle w:val="ConcHead"/>
        <w:spacing w:after="0"/>
        <w:jc w:val="both"/>
        <w:rPr>
          <w:rFonts w:ascii="Arial" w:hAnsi="Arial" w:cs="Arial"/>
        </w:rPr>
      </w:pPr>
      <w:r w:rsidRPr="00E042B1">
        <w:rPr>
          <w:rFonts w:ascii="Arial" w:hAnsi="Arial" w:cs="Arial"/>
        </w:rPr>
        <w:t xml:space="preserve">4. </w:t>
      </w:r>
      <w:r w:rsidR="00B01FCD" w:rsidRPr="00E042B1">
        <w:rPr>
          <w:rFonts w:ascii="Arial" w:hAnsi="Arial" w:cs="Arial"/>
        </w:rPr>
        <w:t>Conclusion</w:t>
      </w:r>
    </w:p>
    <w:p w:rsidR="00E04348" w:rsidRPr="00E042B1" w:rsidRDefault="00E04348" w:rsidP="00441B6F">
      <w:pPr>
        <w:pStyle w:val="ConcHead"/>
        <w:spacing w:after="0"/>
        <w:jc w:val="both"/>
        <w:rPr>
          <w:rFonts w:ascii="Arial" w:hAnsi="Arial" w:cs="Arial"/>
        </w:rPr>
      </w:pPr>
    </w:p>
    <w:p w:rsidR="00790ADA" w:rsidRPr="00E042B1" w:rsidRDefault="00372B48" w:rsidP="00441B6F">
      <w:pPr>
        <w:pStyle w:val="Body"/>
        <w:spacing w:after="0"/>
        <w:rPr>
          <w:rFonts w:ascii="Arial" w:hAnsi="Arial" w:cs="Arial"/>
        </w:rPr>
      </w:pPr>
      <w:r w:rsidRPr="00E042B1">
        <w:rPr>
          <w:rFonts w:ascii="Arial" w:hAnsi="Arial" w:cs="Arial"/>
        </w:rPr>
        <w:t xml:space="preserve">The study confirmed that a millet-based salty biscuit developed using sorghum, buckwheat and corn flour possessed good sensory quality and consumer acceptability. High scores for </w:t>
      </w:r>
      <w:proofErr w:type="spellStart"/>
      <w:r w:rsidRPr="00E042B1">
        <w:rPr>
          <w:rFonts w:ascii="Arial" w:hAnsi="Arial" w:cs="Arial"/>
        </w:rPr>
        <w:t>colour</w:t>
      </w:r>
      <w:proofErr w:type="spellEnd"/>
      <w:r w:rsidRPr="00E042B1">
        <w:rPr>
          <w:rFonts w:ascii="Arial" w:hAnsi="Arial" w:cs="Arial"/>
        </w:rPr>
        <w:t xml:space="preserve">, </w:t>
      </w:r>
      <w:proofErr w:type="spellStart"/>
      <w:r w:rsidRPr="00E042B1">
        <w:rPr>
          <w:rFonts w:ascii="Arial" w:hAnsi="Arial" w:cs="Arial"/>
        </w:rPr>
        <w:t>flavour</w:t>
      </w:r>
      <w:proofErr w:type="spellEnd"/>
      <w:r w:rsidRPr="00E042B1">
        <w:rPr>
          <w:rFonts w:ascii="Arial" w:hAnsi="Arial" w:cs="Arial"/>
        </w:rPr>
        <w:t>, taste, texture and appearance indicated that the composite flour formulation effectively enhanced the sensory appeal of the product. Shelf-life evaluation under ambient conditions showed that the biscuits retained acceptable sensory characteristics for up to 30 days, with optimal quality maintained during the first 15 days of storage. Overall, the findings demonstrate the potential of millet-based salty biscuits as a nutritious and acceptable alternative to refined-flour bakery products, with scope for further improvement through enhanced packaging and storage strategies.</w:t>
      </w:r>
    </w:p>
    <w:p w:rsidR="00B01FCD" w:rsidRPr="00E042B1" w:rsidRDefault="00B01FCD" w:rsidP="00441B6F">
      <w:pPr>
        <w:pStyle w:val="ReferHead"/>
        <w:spacing w:after="0"/>
        <w:jc w:val="both"/>
        <w:rPr>
          <w:rFonts w:ascii="Arial" w:hAnsi="Arial" w:cs="Arial"/>
        </w:rPr>
      </w:pPr>
      <w:r w:rsidRPr="00E042B1">
        <w:rPr>
          <w:rFonts w:ascii="Arial" w:hAnsi="Arial" w:cs="Arial"/>
        </w:rPr>
        <w:t>References</w:t>
      </w:r>
    </w:p>
    <w:p w:rsidR="00274EF8" w:rsidRPr="00E042B1" w:rsidRDefault="00274EF8" w:rsidP="00274EF8">
      <w:pPr>
        <w:pStyle w:val="NormalWeb"/>
        <w:jc w:val="both"/>
        <w:rPr>
          <w:rFonts w:ascii="Arial" w:hAnsi="Arial" w:cs="Arial"/>
          <w:sz w:val="20"/>
          <w:szCs w:val="20"/>
        </w:rPr>
      </w:pPr>
      <w:proofErr w:type="spellStart"/>
      <w:r w:rsidRPr="00E042B1">
        <w:rPr>
          <w:rFonts w:ascii="Arial" w:hAnsi="Arial" w:cs="Arial"/>
          <w:sz w:val="20"/>
          <w:szCs w:val="20"/>
        </w:rPr>
        <w:t>Agrahari</w:t>
      </w:r>
      <w:proofErr w:type="spellEnd"/>
      <w:r w:rsidRPr="00E042B1">
        <w:rPr>
          <w:rFonts w:ascii="Arial" w:hAnsi="Arial" w:cs="Arial"/>
          <w:sz w:val="20"/>
          <w:szCs w:val="20"/>
        </w:rPr>
        <w:t xml:space="preserve">, K., &amp; </w:t>
      </w:r>
      <w:proofErr w:type="spellStart"/>
      <w:r w:rsidRPr="00E042B1">
        <w:rPr>
          <w:rFonts w:ascii="Arial" w:hAnsi="Arial" w:cs="Arial"/>
          <w:sz w:val="20"/>
          <w:szCs w:val="20"/>
        </w:rPr>
        <w:t>Dunkwal</w:t>
      </w:r>
      <w:proofErr w:type="spellEnd"/>
      <w:r w:rsidRPr="00E042B1">
        <w:rPr>
          <w:rFonts w:ascii="Arial" w:hAnsi="Arial" w:cs="Arial"/>
          <w:sz w:val="20"/>
          <w:szCs w:val="20"/>
        </w:rPr>
        <w:t xml:space="preserve">, V. (2012). </w:t>
      </w:r>
      <w:r w:rsidRPr="00E042B1">
        <w:rPr>
          <w:rStyle w:val="Emphasis"/>
          <w:rFonts w:ascii="Arial" w:hAnsi="Arial" w:cs="Arial"/>
          <w:sz w:val="20"/>
          <w:szCs w:val="20"/>
        </w:rPr>
        <w:t>Quality evaluation of developed multigrain flour for weight management</w:t>
      </w:r>
      <w:r w:rsidRPr="00E042B1">
        <w:rPr>
          <w:rFonts w:ascii="Arial" w:hAnsi="Arial" w:cs="Arial"/>
          <w:sz w:val="20"/>
          <w:szCs w:val="20"/>
        </w:rPr>
        <w:t xml:space="preserve">. Unpublished M.Sc. Thesis, Swami </w:t>
      </w:r>
      <w:proofErr w:type="spellStart"/>
      <w:r w:rsidRPr="00E042B1">
        <w:rPr>
          <w:rFonts w:ascii="Arial" w:hAnsi="Arial" w:cs="Arial"/>
          <w:sz w:val="20"/>
          <w:szCs w:val="20"/>
        </w:rPr>
        <w:t>Keshwanand</w:t>
      </w:r>
      <w:proofErr w:type="spellEnd"/>
      <w:r w:rsidRPr="00E042B1">
        <w:rPr>
          <w:rFonts w:ascii="Arial" w:hAnsi="Arial" w:cs="Arial"/>
          <w:sz w:val="20"/>
          <w:szCs w:val="20"/>
        </w:rPr>
        <w:t xml:space="preserve"> Rajasthan Agricultural University, Bikaner.</w:t>
      </w:r>
      <w:r w:rsidR="007A5414">
        <w:rPr>
          <w:rFonts w:ascii="Arial" w:hAnsi="Arial" w:cs="Arial"/>
          <w:sz w:val="20"/>
          <w:szCs w:val="20"/>
        </w:rPr>
        <w:t xml:space="preserve"> </w:t>
      </w:r>
      <w:hyperlink r:id="rId15" w:history="1">
        <w:r w:rsidR="007A5414" w:rsidRPr="0036680F">
          <w:rPr>
            <w:rStyle w:val="Hyperlink"/>
            <w:rFonts w:ascii="Arial" w:hAnsi="Arial" w:cs="Arial"/>
            <w:sz w:val="20"/>
            <w:szCs w:val="20"/>
          </w:rPr>
          <w:t>https://krishikosh.egranth.ac.in/handle/1/5810000000</w:t>
        </w:r>
      </w:hyperlink>
      <w:r w:rsidR="007A5414">
        <w:rPr>
          <w:rFonts w:ascii="Arial" w:hAnsi="Arial" w:cs="Arial"/>
          <w:sz w:val="20"/>
          <w:szCs w:val="20"/>
        </w:rPr>
        <w:t xml:space="preserve"> </w:t>
      </w:r>
    </w:p>
    <w:p w:rsidR="00274EF8" w:rsidRPr="00E042B1" w:rsidRDefault="00274EF8" w:rsidP="00274EF8">
      <w:pPr>
        <w:pStyle w:val="NormalWeb"/>
        <w:jc w:val="both"/>
        <w:rPr>
          <w:rFonts w:ascii="Arial" w:hAnsi="Arial" w:cs="Arial"/>
          <w:sz w:val="20"/>
          <w:szCs w:val="20"/>
        </w:rPr>
      </w:pPr>
      <w:proofErr w:type="spellStart"/>
      <w:r w:rsidRPr="00E042B1">
        <w:rPr>
          <w:rFonts w:ascii="Arial" w:hAnsi="Arial" w:cs="Arial"/>
          <w:sz w:val="20"/>
          <w:szCs w:val="20"/>
        </w:rPr>
        <w:lastRenderedPageBreak/>
        <w:t>Alfiya</w:t>
      </w:r>
      <w:proofErr w:type="spellEnd"/>
      <w:r w:rsidRPr="00E042B1">
        <w:rPr>
          <w:rFonts w:ascii="Arial" w:hAnsi="Arial" w:cs="Arial"/>
          <w:sz w:val="20"/>
          <w:szCs w:val="20"/>
        </w:rPr>
        <w:t xml:space="preserve">, P. V., Jayashree, E., &amp; Sneha, C. (2023). Development and shelf-life evaluation of spice </w:t>
      </w:r>
      <w:proofErr w:type="spellStart"/>
      <w:r w:rsidRPr="00E042B1">
        <w:rPr>
          <w:rFonts w:ascii="Arial" w:hAnsi="Arial" w:cs="Arial"/>
          <w:sz w:val="20"/>
          <w:szCs w:val="20"/>
        </w:rPr>
        <w:t>flavoured</w:t>
      </w:r>
      <w:proofErr w:type="spellEnd"/>
      <w:r w:rsidRPr="00E042B1">
        <w:rPr>
          <w:rFonts w:ascii="Arial" w:hAnsi="Arial" w:cs="Arial"/>
          <w:sz w:val="20"/>
          <w:szCs w:val="20"/>
        </w:rPr>
        <w:t xml:space="preserve"> sorghum (</w:t>
      </w:r>
      <w:r w:rsidRPr="00E042B1">
        <w:rPr>
          <w:rStyle w:val="Emphasis"/>
          <w:rFonts w:ascii="Arial" w:hAnsi="Arial" w:cs="Arial"/>
          <w:sz w:val="20"/>
          <w:szCs w:val="20"/>
        </w:rPr>
        <w:t>Sorghum bicolor</w:t>
      </w:r>
      <w:r w:rsidRPr="00E042B1">
        <w:rPr>
          <w:rFonts w:ascii="Arial" w:hAnsi="Arial" w:cs="Arial"/>
          <w:sz w:val="20"/>
          <w:szCs w:val="20"/>
        </w:rPr>
        <w:t xml:space="preserve">) cookies: A study on </w:t>
      </w:r>
      <w:proofErr w:type="spellStart"/>
      <w:r w:rsidRPr="00E042B1">
        <w:rPr>
          <w:rFonts w:ascii="Arial" w:hAnsi="Arial" w:cs="Arial"/>
          <w:sz w:val="20"/>
          <w:szCs w:val="20"/>
        </w:rPr>
        <w:t>valorisation</w:t>
      </w:r>
      <w:proofErr w:type="spellEnd"/>
      <w:r w:rsidRPr="00E042B1">
        <w:rPr>
          <w:rFonts w:ascii="Arial" w:hAnsi="Arial" w:cs="Arial"/>
          <w:sz w:val="20"/>
          <w:szCs w:val="20"/>
        </w:rPr>
        <w:t xml:space="preserve"> of millets for food security.</w:t>
      </w:r>
      <w:r w:rsidR="007A5414">
        <w:rPr>
          <w:rFonts w:ascii="Arial" w:hAnsi="Arial" w:cs="Arial"/>
          <w:sz w:val="20"/>
          <w:szCs w:val="20"/>
        </w:rPr>
        <w:t xml:space="preserve"> </w:t>
      </w:r>
      <w:hyperlink r:id="rId16" w:history="1">
        <w:r w:rsidR="007A5414" w:rsidRPr="0036680F">
          <w:rPr>
            <w:rStyle w:val="Hyperlink"/>
            <w:rFonts w:ascii="Arial" w:hAnsi="Arial" w:cs="Arial"/>
            <w:sz w:val="20"/>
            <w:szCs w:val="20"/>
          </w:rPr>
          <w:t>https://www.thepharmajournal.com/archives/2023/vol12issue12S/PartB/12-12S-10-100.pdf</w:t>
        </w:r>
      </w:hyperlink>
      <w:r w:rsidR="007A5414">
        <w:rPr>
          <w:rFonts w:ascii="Arial" w:hAnsi="Arial" w:cs="Arial"/>
          <w:sz w:val="20"/>
          <w:szCs w:val="20"/>
        </w:rPr>
        <w:t xml:space="preserve"> </w:t>
      </w:r>
    </w:p>
    <w:p w:rsidR="00274EF8" w:rsidRPr="00E042B1" w:rsidRDefault="00274EF8" w:rsidP="00274EF8">
      <w:pPr>
        <w:pStyle w:val="NormalWeb"/>
        <w:jc w:val="both"/>
        <w:rPr>
          <w:rFonts w:ascii="Arial" w:hAnsi="Arial" w:cs="Arial"/>
          <w:sz w:val="20"/>
          <w:szCs w:val="20"/>
        </w:rPr>
      </w:pPr>
      <w:r w:rsidRPr="00E042B1">
        <w:rPr>
          <w:rFonts w:ascii="Arial" w:hAnsi="Arial" w:cs="Arial"/>
          <w:sz w:val="20"/>
          <w:szCs w:val="20"/>
        </w:rPr>
        <w:t xml:space="preserve">Bhat, B. V., Rao, D. B., &amp; </w:t>
      </w:r>
      <w:proofErr w:type="spellStart"/>
      <w:r w:rsidRPr="00E042B1">
        <w:rPr>
          <w:rFonts w:ascii="Arial" w:hAnsi="Arial" w:cs="Arial"/>
          <w:sz w:val="20"/>
          <w:szCs w:val="20"/>
        </w:rPr>
        <w:t>Tonapi</w:t>
      </w:r>
      <w:proofErr w:type="spellEnd"/>
      <w:r w:rsidRPr="00E042B1">
        <w:rPr>
          <w:rFonts w:ascii="Arial" w:hAnsi="Arial" w:cs="Arial"/>
          <w:sz w:val="20"/>
          <w:szCs w:val="20"/>
        </w:rPr>
        <w:t xml:space="preserve">, V. A. (2018). </w:t>
      </w:r>
      <w:r w:rsidRPr="00E042B1">
        <w:rPr>
          <w:rStyle w:val="Emphasis"/>
          <w:rFonts w:ascii="Arial" w:hAnsi="Arial" w:cs="Arial"/>
          <w:sz w:val="20"/>
          <w:szCs w:val="20"/>
        </w:rPr>
        <w:t>The story of millets</w:t>
      </w:r>
      <w:r w:rsidRPr="00E042B1">
        <w:rPr>
          <w:rFonts w:ascii="Arial" w:hAnsi="Arial" w:cs="Arial"/>
          <w:sz w:val="20"/>
          <w:szCs w:val="20"/>
        </w:rPr>
        <w:t>. Karnataka State Department of Agriculture in association with ICAR–Indian Institute of Millet Research, Hyderabad, India, 57–59.</w:t>
      </w:r>
      <w:r w:rsidR="007A5414">
        <w:rPr>
          <w:rFonts w:ascii="Arial" w:hAnsi="Arial" w:cs="Arial"/>
          <w:sz w:val="20"/>
          <w:szCs w:val="20"/>
        </w:rPr>
        <w:t xml:space="preserve"> </w:t>
      </w:r>
      <w:hyperlink r:id="rId17" w:history="1">
        <w:r w:rsidR="007A5414" w:rsidRPr="0036680F">
          <w:rPr>
            <w:rStyle w:val="Hyperlink"/>
            <w:rFonts w:ascii="Arial" w:hAnsi="Arial" w:cs="Arial"/>
            <w:sz w:val="20"/>
            <w:szCs w:val="20"/>
          </w:rPr>
          <w:t>https://www.millets.res.in/pub/2018/The_Story_of_Millets.pdf</w:t>
        </w:r>
      </w:hyperlink>
      <w:r w:rsidR="007A5414">
        <w:rPr>
          <w:rFonts w:ascii="Arial" w:hAnsi="Arial" w:cs="Arial"/>
          <w:sz w:val="20"/>
          <w:szCs w:val="20"/>
        </w:rPr>
        <w:t xml:space="preserve"> </w:t>
      </w:r>
    </w:p>
    <w:p w:rsidR="00274EF8" w:rsidRPr="00E042B1" w:rsidRDefault="00274EF8" w:rsidP="00274EF8">
      <w:pPr>
        <w:pStyle w:val="NormalWeb"/>
        <w:jc w:val="both"/>
        <w:rPr>
          <w:rFonts w:ascii="Arial" w:hAnsi="Arial" w:cs="Arial"/>
          <w:sz w:val="20"/>
          <w:szCs w:val="20"/>
        </w:rPr>
      </w:pPr>
      <w:r w:rsidRPr="00E042B1">
        <w:rPr>
          <w:rFonts w:ascii="Arial" w:hAnsi="Arial" w:cs="Arial"/>
          <w:sz w:val="20"/>
          <w:szCs w:val="20"/>
        </w:rPr>
        <w:t xml:space="preserve">Chauhan, D., </w:t>
      </w:r>
      <w:proofErr w:type="spellStart"/>
      <w:r w:rsidRPr="00E042B1">
        <w:rPr>
          <w:rFonts w:ascii="Arial" w:hAnsi="Arial" w:cs="Arial"/>
          <w:sz w:val="20"/>
          <w:szCs w:val="20"/>
        </w:rPr>
        <w:t>Sethi</w:t>
      </w:r>
      <w:proofErr w:type="spellEnd"/>
      <w:r w:rsidRPr="00E042B1">
        <w:rPr>
          <w:rFonts w:ascii="Arial" w:hAnsi="Arial" w:cs="Arial"/>
          <w:sz w:val="20"/>
          <w:szCs w:val="20"/>
        </w:rPr>
        <w:t xml:space="preserve">, L., Tyagi, M., &amp; Sharma, S. (2023). Millets: The sustainable ancient superfood for the modern world. </w:t>
      </w:r>
      <w:r w:rsidRPr="00E042B1">
        <w:rPr>
          <w:rStyle w:val="Emphasis"/>
          <w:rFonts w:ascii="Arial" w:hAnsi="Arial" w:cs="Arial"/>
          <w:sz w:val="20"/>
          <w:szCs w:val="20"/>
        </w:rPr>
        <w:t>Journal of Drug Research in Ayurvedic Sciences</w:t>
      </w:r>
      <w:r w:rsidRPr="00E042B1">
        <w:rPr>
          <w:rFonts w:ascii="Arial" w:hAnsi="Arial" w:cs="Arial"/>
          <w:sz w:val="20"/>
          <w:szCs w:val="20"/>
        </w:rPr>
        <w:t>, 8(Suppl 1), S34–S41.</w:t>
      </w:r>
      <w:r w:rsidR="007A5414">
        <w:rPr>
          <w:rFonts w:ascii="Arial" w:hAnsi="Arial" w:cs="Arial"/>
          <w:sz w:val="20"/>
          <w:szCs w:val="20"/>
        </w:rPr>
        <w:t xml:space="preserve"> </w:t>
      </w:r>
      <w:hyperlink r:id="rId18" w:history="1">
        <w:r w:rsidR="007A5414" w:rsidRPr="0036680F">
          <w:rPr>
            <w:rStyle w:val="Hyperlink"/>
            <w:rFonts w:ascii="Arial" w:hAnsi="Arial" w:cs="Arial"/>
            <w:sz w:val="20"/>
            <w:szCs w:val="20"/>
          </w:rPr>
          <w:t>https://doi.org/10.4103/jdras.jdras_248_23</w:t>
        </w:r>
      </w:hyperlink>
      <w:r w:rsidR="007A5414">
        <w:rPr>
          <w:rFonts w:ascii="Arial" w:hAnsi="Arial" w:cs="Arial"/>
          <w:sz w:val="20"/>
          <w:szCs w:val="20"/>
        </w:rPr>
        <w:t xml:space="preserve"> </w:t>
      </w:r>
    </w:p>
    <w:p w:rsidR="00274EF8" w:rsidRPr="00E042B1" w:rsidRDefault="007A5414" w:rsidP="00274EF8">
      <w:pPr>
        <w:pStyle w:val="NormalWeb"/>
        <w:jc w:val="both"/>
        <w:rPr>
          <w:rFonts w:ascii="Arial" w:hAnsi="Arial" w:cs="Arial"/>
          <w:sz w:val="20"/>
          <w:szCs w:val="20"/>
        </w:rPr>
      </w:pPr>
      <w:r w:rsidRPr="007A5414">
        <w:rPr>
          <w:rFonts w:ascii="Arial" w:hAnsi="Arial" w:cs="Arial"/>
          <w:sz w:val="20"/>
          <w:szCs w:val="20"/>
        </w:rPr>
        <w:t>Gupta, S. P. (2000). Statistical methods (Revised ed.). Sultan Chand and Sons</w:t>
      </w:r>
      <w:r w:rsidR="00274EF8" w:rsidRPr="00E042B1">
        <w:rPr>
          <w:rFonts w:ascii="Arial" w:hAnsi="Arial" w:cs="Arial"/>
          <w:sz w:val="20"/>
          <w:szCs w:val="20"/>
        </w:rPr>
        <w:t>.</w:t>
      </w:r>
    </w:p>
    <w:p w:rsidR="00274EF8" w:rsidRPr="00E042B1" w:rsidRDefault="00274EF8" w:rsidP="00274EF8">
      <w:pPr>
        <w:pStyle w:val="NormalWeb"/>
        <w:jc w:val="both"/>
        <w:rPr>
          <w:rFonts w:ascii="Arial" w:hAnsi="Arial" w:cs="Arial"/>
          <w:sz w:val="20"/>
          <w:szCs w:val="20"/>
        </w:rPr>
      </w:pPr>
      <w:r w:rsidRPr="00E042B1">
        <w:rPr>
          <w:rFonts w:ascii="Arial" w:hAnsi="Arial" w:cs="Arial"/>
          <w:sz w:val="20"/>
          <w:szCs w:val="20"/>
        </w:rPr>
        <w:t xml:space="preserve">Khalid, W., Ali, A., Arshad, M. S., Afzal, F., </w:t>
      </w:r>
      <w:proofErr w:type="spellStart"/>
      <w:r w:rsidRPr="00E042B1">
        <w:rPr>
          <w:rFonts w:ascii="Arial" w:hAnsi="Arial" w:cs="Arial"/>
          <w:sz w:val="20"/>
          <w:szCs w:val="20"/>
        </w:rPr>
        <w:t>Akram</w:t>
      </w:r>
      <w:proofErr w:type="spellEnd"/>
      <w:r w:rsidRPr="00E042B1">
        <w:rPr>
          <w:rFonts w:ascii="Arial" w:hAnsi="Arial" w:cs="Arial"/>
          <w:sz w:val="20"/>
          <w:szCs w:val="20"/>
        </w:rPr>
        <w:t xml:space="preserve">, R., </w:t>
      </w:r>
      <w:proofErr w:type="spellStart"/>
      <w:r w:rsidRPr="00E042B1">
        <w:rPr>
          <w:rFonts w:ascii="Arial" w:hAnsi="Arial" w:cs="Arial"/>
          <w:sz w:val="20"/>
          <w:szCs w:val="20"/>
        </w:rPr>
        <w:t>Siddeeg</w:t>
      </w:r>
      <w:proofErr w:type="spellEnd"/>
      <w:r w:rsidRPr="00E042B1">
        <w:rPr>
          <w:rFonts w:ascii="Arial" w:hAnsi="Arial" w:cs="Arial"/>
          <w:sz w:val="20"/>
          <w:szCs w:val="20"/>
        </w:rPr>
        <w:t xml:space="preserve">, A., &amp; Saeed, A. (2022). Nutrients and bioactive compounds of </w:t>
      </w:r>
      <w:r w:rsidRPr="00E042B1">
        <w:rPr>
          <w:rStyle w:val="Emphasis"/>
          <w:rFonts w:ascii="Arial" w:hAnsi="Arial" w:cs="Arial"/>
          <w:sz w:val="20"/>
          <w:szCs w:val="20"/>
        </w:rPr>
        <w:t>Sorghum bicolor</w:t>
      </w:r>
      <w:r w:rsidRPr="00E042B1">
        <w:rPr>
          <w:rFonts w:ascii="Arial" w:hAnsi="Arial" w:cs="Arial"/>
          <w:sz w:val="20"/>
          <w:szCs w:val="20"/>
        </w:rPr>
        <w:t xml:space="preserve"> L. used to prepare functional foods: A review on the efficacy against different chronic disorders. </w:t>
      </w:r>
      <w:r w:rsidRPr="00E042B1">
        <w:rPr>
          <w:rStyle w:val="Emphasis"/>
          <w:rFonts w:ascii="Arial" w:hAnsi="Arial" w:cs="Arial"/>
          <w:sz w:val="20"/>
          <w:szCs w:val="20"/>
        </w:rPr>
        <w:t>International Journal of Food Properties</w:t>
      </w:r>
      <w:r w:rsidRPr="00E042B1">
        <w:rPr>
          <w:rFonts w:ascii="Arial" w:hAnsi="Arial" w:cs="Arial"/>
          <w:sz w:val="20"/>
          <w:szCs w:val="20"/>
        </w:rPr>
        <w:t>, 25(1), 1045–1062.</w:t>
      </w:r>
      <w:r w:rsidR="007A5414">
        <w:rPr>
          <w:rFonts w:ascii="Arial" w:hAnsi="Arial" w:cs="Arial"/>
          <w:sz w:val="20"/>
          <w:szCs w:val="20"/>
        </w:rPr>
        <w:t xml:space="preserve"> </w:t>
      </w:r>
      <w:hyperlink r:id="rId19" w:history="1">
        <w:r w:rsidR="007A5414" w:rsidRPr="0036680F">
          <w:rPr>
            <w:rStyle w:val="Hyperlink"/>
            <w:rFonts w:ascii="Arial" w:hAnsi="Arial" w:cs="Arial"/>
            <w:sz w:val="20"/>
            <w:szCs w:val="20"/>
          </w:rPr>
          <w:t>https://doi.org/10.1080/10942912.2022.2071293</w:t>
        </w:r>
      </w:hyperlink>
      <w:r w:rsidR="007A5414">
        <w:rPr>
          <w:rFonts w:ascii="Arial" w:hAnsi="Arial" w:cs="Arial"/>
          <w:sz w:val="20"/>
          <w:szCs w:val="20"/>
        </w:rPr>
        <w:t xml:space="preserve"> </w:t>
      </w:r>
    </w:p>
    <w:p w:rsidR="00274EF8" w:rsidRPr="00E042B1" w:rsidRDefault="00274EF8" w:rsidP="00274EF8">
      <w:pPr>
        <w:pStyle w:val="NormalWeb"/>
        <w:jc w:val="both"/>
        <w:rPr>
          <w:rFonts w:ascii="Arial" w:hAnsi="Arial" w:cs="Arial"/>
          <w:sz w:val="20"/>
          <w:szCs w:val="20"/>
        </w:rPr>
      </w:pPr>
      <w:proofErr w:type="spellStart"/>
      <w:r w:rsidRPr="00E042B1">
        <w:rPr>
          <w:rFonts w:ascii="Arial" w:hAnsi="Arial" w:cs="Arial"/>
          <w:sz w:val="20"/>
          <w:szCs w:val="20"/>
        </w:rPr>
        <w:t>Lukinac</w:t>
      </w:r>
      <w:proofErr w:type="spellEnd"/>
      <w:r w:rsidRPr="00E042B1">
        <w:rPr>
          <w:rFonts w:ascii="Arial" w:hAnsi="Arial" w:cs="Arial"/>
          <w:sz w:val="20"/>
          <w:szCs w:val="20"/>
        </w:rPr>
        <w:t xml:space="preserve">, J., </w:t>
      </w:r>
      <w:proofErr w:type="spellStart"/>
      <w:r w:rsidRPr="00E042B1">
        <w:rPr>
          <w:rFonts w:ascii="Arial" w:hAnsi="Arial" w:cs="Arial"/>
          <w:sz w:val="20"/>
          <w:szCs w:val="20"/>
        </w:rPr>
        <w:t>Komlenić</w:t>
      </w:r>
      <w:proofErr w:type="spellEnd"/>
      <w:r w:rsidRPr="00E042B1">
        <w:rPr>
          <w:rFonts w:ascii="Arial" w:hAnsi="Arial" w:cs="Arial"/>
          <w:sz w:val="20"/>
          <w:szCs w:val="20"/>
        </w:rPr>
        <w:t xml:space="preserve">, D. K., </w:t>
      </w:r>
      <w:proofErr w:type="spellStart"/>
      <w:r w:rsidRPr="00E042B1">
        <w:rPr>
          <w:rFonts w:ascii="Arial" w:hAnsi="Arial" w:cs="Arial"/>
          <w:sz w:val="20"/>
          <w:szCs w:val="20"/>
        </w:rPr>
        <w:t>Čolić</w:t>
      </w:r>
      <w:proofErr w:type="spellEnd"/>
      <w:r w:rsidRPr="00E042B1">
        <w:rPr>
          <w:rFonts w:ascii="Arial" w:hAnsi="Arial" w:cs="Arial"/>
          <w:sz w:val="20"/>
          <w:szCs w:val="20"/>
        </w:rPr>
        <w:t xml:space="preserve">, M. L., </w:t>
      </w:r>
      <w:proofErr w:type="spellStart"/>
      <w:r w:rsidRPr="00E042B1">
        <w:rPr>
          <w:rFonts w:ascii="Arial" w:hAnsi="Arial" w:cs="Arial"/>
          <w:sz w:val="20"/>
          <w:szCs w:val="20"/>
        </w:rPr>
        <w:t>Nakov</w:t>
      </w:r>
      <w:proofErr w:type="spellEnd"/>
      <w:r w:rsidRPr="00E042B1">
        <w:rPr>
          <w:rFonts w:ascii="Arial" w:hAnsi="Arial" w:cs="Arial"/>
          <w:sz w:val="20"/>
          <w:szCs w:val="20"/>
        </w:rPr>
        <w:t xml:space="preserve">, G., &amp; </w:t>
      </w:r>
      <w:proofErr w:type="spellStart"/>
      <w:r w:rsidRPr="00E042B1">
        <w:rPr>
          <w:rFonts w:ascii="Arial" w:hAnsi="Arial" w:cs="Arial"/>
          <w:sz w:val="20"/>
          <w:szCs w:val="20"/>
        </w:rPr>
        <w:t>Jukić</w:t>
      </w:r>
      <w:proofErr w:type="spellEnd"/>
      <w:r w:rsidRPr="00E042B1">
        <w:rPr>
          <w:rFonts w:ascii="Arial" w:hAnsi="Arial" w:cs="Arial"/>
          <w:sz w:val="20"/>
          <w:szCs w:val="20"/>
        </w:rPr>
        <w:t xml:space="preserve">, M. (2022). Modelling the browning of bakery products during baking: A review. </w:t>
      </w:r>
      <w:r w:rsidRPr="00E042B1">
        <w:rPr>
          <w:rStyle w:val="Emphasis"/>
          <w:rFonts w:ascii="Arial" w:hAnsi="Arial" w:cs="Arial"/>
          <w:sz w:val="20"/>
          <w:szCs w:val="20"/>
        </w:rPr>
        <w:t>Ukrainian Food Journal</w:t>
      </w:r>
      <w:r w:rsidRPr="00E042B1">
        <w:rPr>
          <w:rFonts w:ascii="Arial" w:hAnsi="Arial" w:cs="Arial"/>
          <w:sz w:val="20"/>
          <w:szCs w:val="20"/>
        </w:rPr>
        <w:t>, 11(2), 217–234.</w:t>
      </w:r>
      <w:r w:rsidR="007A5414">
        <w:rPr>
          <w:rFonts w:ascii="Arial" w:hAnsi="Arial" w:cs="Arial"/>
          <w:sz w:val="20"/>
          <w:szCs w:val="20"/>
        </w:rPr>
        <w:t xml:space="preserve"> </w:t>
      </w:r>
      <w:hyperlink r:id="rId20" w:history="1">
        <w:r w:rsidR="007A5414" w:rsidRPr="0036680F">
          <w:rPr>
            <w:rStyle w:val="Hyperlink"/>
            <w:rFonts w:ascii="Arial" w:hAnsi="Arial" w:cs="Arial"/>
            <w:sz w:val="20"/>
            <w:szCs w:val="20"/>
          </w:rPr>
          <w:t>https://doi.org/10.24263/2304-974X-2022-11-2-3</w:t>
        </w:r>
      </w:hyperlink>
      <w:r w:rsidR="007A5414">
        <w:rPr>
          <w:rFonts w:ascii="Arial" w:hAnsi="Arial" w:cs="Arial"/>
          <w:sz w:val="20"/>
          <w:szCs w:val="20"/>
        </w:rPr>
        <w:t xml:space="preserve"> </w:t>
      </w:r>
    </w:p>
    <w:p w:rsidR="00274EF8" w:rsidRPr="00E042B1" w:rsidRDefault="00274EF8" w:rsidP="00274EF8">
      <w:pPr>
        <w:pStyle w:val="NormalWeb"/>
        <w:jc w:val="both"/>
        <w:rPr>
          <w:rFonts w:ascii="Arial" w:hAnsi="Arial" w:cs="Arial"/>
          <w:sz w:val="20"/>
          <w:szCs w:val="20"/>
        </w:rPr>
      </w:pPr>
      <w:proofErr w:type="spellStart"/>
      <w:r w:rsidRPr="00E042B1">
        <w:rPr>
          <w:rFonts w:ascii="Arial" w:hAnsi="Arial" w:cs="Arial"/>
          <w:sz w:val="20"/>
          <w:szCs w:val="20"/>
        </w:rPr>
        <w:t>Mawouma</w:t>
      </w:r>
      <w:proofErr w:type="spellEnd"/>
      <w:r w:rsidRPr="00E042B1">
        <w:rPr>
          <w:rFonts w:ascii="Arial" w:hAnsi="Arial" w:cs="Arial"/>
          <w:sz w:val="20"/>
          <w:szCs w:val="20"/>
        </w:rPr>
        <w:t xml:space="preserve">, S., </w:t>
      </w:r>
      <w:proofErr w:type="spellStart"/>
      <w:r w:rsidRPr="00E042B1">
        <w:rPr>
          <w:rFonts w:ascii="Arial" w:hAnsi="Arial" w:cs="Arial"/>
          <w:sz w:val="20"/>
          <w:szCs w:val="20"/>
        </w:rPr>
        <w:t>Condurache</w:t>
      </w:r>
      <w:proofErr w:type="spellEnd"/>
      <w:r w:rsidRPr="00E042B1">
        <w:rPr>
          <w:rFonts w:ascii="Arial" w:hAnsi="Arial" w:cs="Arial"/>
          <w:sz w:val="20"/>
          <w:szCs w:val="20"/>
        </w:rPr>
        <w:t xml:space="preserve">, N. N., </w:t>
      </w:r>
      <w:proofErr w:type="spellStart"/>
      <w:r w:rsidRPr="00E042B1">
        <w:rPr>
          <w:rFonts w:ascii="Arial" w:hAnsi="Arial" w:cs="Arial"/>
          <w:sz w:val="20"/>
          <w:szCs w:val="20"/>
        </w:rPr>
        <w:t>Turturică</w:t>
      </w:r>
      <w:proofErr w:type="spellEnd"/>
      <w:r w:rsidRPr="00E042B1">
        <w:rPr>
          <w:rFonts w:ascii="Arial" w:hAnsi="Arial" w:cs="Arial"/>
          <w:sz w:val="20"/>
          <w:szCs w:val="20"/>
        </w:rPr>
        <w:t xml:space="preserve">, M., Constantin, O. E., </w:t>
      </w:r>
      <w:proofErr w:type="spellStart"/>
      <w:r w:rsidRPr="00E042B1">
        <w:rPr>
          <w:rFonts w:ascii="Arial" w:hAnsi="Arial" w:cs="Arial"/>
          <w:sz w:val="20"/>
          <w:szCs w:val="20"/>
        </w:rPr>
        <w:t>Croitoru</w:t>
      </w:r>
      <w:proofErr w:type="spellEnd"/>
      <w:r w:rsidRPr="00E042B1">
        <w:rPr>
          <w:rFonts w:ascii="Arial" w:hAnsi="Arial" w:cs="Arial"/>
          <w:sz w:val="20"/>
          <w:szCs w:val="20"/>
        </w:rPr>
        <w:t xml:space="preserve">, C., &amp; </w:t>
      </w:r>
      <w:proofErr w:type="spellStart"/>
      <w:r w:rsidRPr="00E042B1">
        <w:rPr>
          <w:rFonts w:ascii="Arial" w:hAnsi="Arial" w:cs="Arial"/>
          <w:sz w:val="20"/>
          <w:szCs w:val="20"/>
        </w:rPr>
        <w:t>Rapeanu</w:t>
      </w:r>
      <w:proofErr w:type="spellEnd"/>
      <w:r w:rsidRPr="00E042B1">
        <w:rPr>
          <w:rFonts w:ascii="Arial" w:hAnsi="Arial" w:cs="Arial"/>
          <w:sz w:val="20"/>
          <w:szCs w:val="20"/>
        </w:rPr>
        <w:t>, G. (2022). Chemical composition and antioxidant profile of sorghum (</w:t>
      </w:r>
      <w:r w:rsidRPr="00E042B1">
        <w:rPr>
          <w:rStyle w:val="Emphasis"/>
          <w:rFonts w:ascii="Arial" w:hAnsi="Arial" w:cs="Arial"/>
          <w:sz w:val="20"/>
          <w:szCs w:val="20"/>
        </w:rPr>
        <w:t>Sorghum bicolor</w:t>
      </w:r>
      <w:r w:rsidRPr="00E042B1">
        <w:rPr>
          <w:rFonts w:ascii="Arial" w:hAnsi="Arial" w:cs="Arial"/>
          <w:sz w:val="20"/>
          <w:szCs w:val="20"/>
        </w:rPr>
        <w:t xml:space="preserve"> (L.) </w:t>
      </w:r>
      <w:proofErr w:type="spellStart"/>
      <w:r w:rsidRPr="00E042B1">
        <w:rPr>
          <w:rFonts w:ascii="Arial" w:hAnsi="Arial" w:cs="Arial"/>
          <w:sz w:val="20"/>
          <w:szCs w:val="20"/>
        </w:rPr>
        <w:t>Moench</w:t>
      </w:r>
      <w:proofErr w:type="spellEnd"/>
      <w:r w:rsidRPr="00E042B1">
        <w:rPr>
          <w:rFonts w:ascii="Arial" w:hAnsi="Arial" w:cs="Arial"/>
          <w:sz w:val="20"/>
          <w:szCs w:val="20"/>
        </w:rPr>
        <w:t>) and pearl millet (</w:t>
      </w:r>
      <w:proofErr w:type="spellStart"/>
      <w:r w:rsidRPr="00E042B1">
        <w:rPr>
          <w:rStyle w:val="Emphasis"/>
          <w:rFonts w:ascii="Arial" w:hAnsi="Arial" w:cs="Arial"/>
          <w:sz w:val="20"/>
          <w:szCs w:val="20"/>
        </w:rPr>
        <w:t>Pennisetum</w:t>
      </w:r>
      <w:proofErr w:type="spellEnd"/>
      <w:r w:rsidRPr="00E042B1">
        <w:rPr>
          <w:rStyle w:val="Emphasis"/>
          <w:rFonts w:ascii="Arial" w:hAnsi="Arial" w:cs="Arial"/>
          <w:sz w:val="20"/>
          <w:szCs w:val="20"/>
        </w:rPr>
        <w:t xml:space="preserve"> </w:t>
      </w:r>
      <w:proofErr w:type="spellStart"/>
      <w:r w:rsidRPr="00E042B1">
        <w:rPr>
          <w:rStyle w:val="Emphasis"/>
          <w:rFonts w:ascii="Arial" w:hAnsi="Arial" w:cs="Arial"/>
          <w:sz w:val="20"/>
          <w:szCs w:val="20"/>
        </w:rPr>
        <w:t>glaucum</w:t>
      </w:r>
      <w:proofErr w:type="spellEnd"/>
      <w:r w:rsidRPr="00E042B1">
        <w:rPr>
          <w:rFonts w:ascii="Arial" w:hAnsi="Arial" w:cs="Arial"/>
          <w:sz w:val="20"/>
          <w:szCs w:val="20"/>
        </w:rPr>
        <w:t xml:space="preserve"> (L.) R. Br.) grains cultivated in the Far-North region of Cameroon. </w:t>
      </w:r>
      <w:r w:rsidRPr="00E042B1">
        <w:rPr>
          <w:rStyle w:val="Emphasis"/>
          <w:rFonts w:ascii="Arial" w:hAnsi="Arial" w:cs="Arial"/>
          <w:sz w:val="20"/>
          <w:szCs w:val="20"/>
        </w:rPr>
        <w:t>Foods</w:t>
      </w:r>
      <w:r w:rsidRPr="00E042B1">
        <w:rPr>
          <w:rFonts w:ascii="Arial" w:hAnsi="Arial" w:cs="Arial"/>
          <w:sz w:val="20"/>
          <w:szCs w:val="20"/>
        </w:rPr>
        <w:t>, 11(14), 2026.</w:t>
      </w:r>
      <w:r w:rsidR="007A5414">
        <w:rPr>
          <w:rFonts w:ascii="Arial" w:hAnsi="Arial" w:cs="Arial"/>
          <w:sz w:val="20"/>
          <w:szCs w:val="20"/>
        </w:rPr>
        <w:t xml:space="preserve"> </w:t>
      </w:r>
      <w:hyperlink r:id="rId21" w:history="1">
        <w:r w:rsidR="007A5414" w:rsidRPr="0036680F">
          <w:rPr>
            <w:rStyle w:val="Hyperlink"/>
            <w:rFonts w:ascii="Arial" w:hAnsi="Arial" w:cs="Arial"/>
            <w:sz w:val="20"/>
            <w:szCs w:val="20"/>
          </w:rPr>
          <w:t>https://doi.org/10.3390/foods11142026</w:t>
        </w:r>
      </w:hyperlink>
      <w:r w:rsidR="007A5414">
        <w:rPr>
          <w:rFonts w:ascii="Arial" w:hAnsi="Arial" w:cs="Arial"/>
          <w:sz w:val="20"/>
          <w:szCs w:val="20"/>
        </w:rPr>
        <w:t xml:space="preserve"> </w:t>
      </w:r>
    </w:p>
    <w:p w:rsidR="009A22CC" w:rsidRPr="00E042B1" w:rsidRDefault="009A22CC" w:rsidP="00274EF8">
      <w:pPr>
        <w:pStyle w:val="NormalWeb"/>
        <w:jc w:val="both"/>
        <w:rPr>
          <w:rFonts w:ascii="Arial" w:hAnsi="Arial" w:cs="Arial"/>
          <w:sz w:val="20"/>
          <w:szCs w:val="20"/>
        </w:rPr>
      </w:pPr>
      <w:r w:rsidRPr="00E042B1">
        <w:rPr>
          <w:rFonts w:ascii="Arial" w:hAnsi="Arial" w:cs="Arial"/>
          <w:sz w:val="20"/>
          <w:szCs w:val="20"/>
        </w:rPr>
        <w:t xml:space="preserve">Om Priya, B., Vijayakumar, B. N., </w:t>
      </w:r>
      <w:proofErr w:type="spellStart"/>
      <w:r w:rsidRPr="00E042B1">
        <w:rPr>
          <w:rFonts w:ascii="Arial" w:hAnsi="Arial" w:cs="Arial"/>
          <w:sz w:val="20"/>
          <w:szCs w:val="20"/>
        </w:rPr>
        <w:t>Narayanapur</w:t>
      </w:r>
      <w:proofErr w:type="spellEnd"/>
      <w:r w:rsidRPr="00E042B1">
        <w:rPr>
          <w:rFonts w:ascii="Arial" w:hAnsi="Arial" w:cs="Arial"/>
          <w:sz w:val="20"/>
          <w:szCs w:val="20"/>
        </w:rPr>
        <w:t xml:space="preserve">, B., </w:t>
      </w:r>
      <w:proofErr w:type="spellStart"/>
      <w:r w:rsidRPr="00E042B1">
        <w:rPr>
          <w:rFonts w:ascii="Arial" w:hAnsi="Arial" w:cs="Arial"/>
          <w:sz w:val="20"/>
          <w:szCs w:val="20"/>
        </w:rPr>
        <w:t>Bhuvaneshwari</w:t>
      </w:r>
      <w:proofErr w:type="spellEnd"/>
      <w:r w:rsidRPr="00E042B1">
        <w:rPr>
          <w:rFonts w:ascii="Arial" w:hAnsi="Arial" w:cs="Arial"/>
          <w:sz w:val="20"/>
          <w:szCs w:val="20"/>
        </w:rPr>
        <w:t xml:space="preserve">, G., </w:t>
      </w:r>
      <w:proofErr w:type="spellStart"/>
      <w:r w:rsidRPr="00E042B1">
        <w:rPr>
          <w:rFonts w:ascii="Arial" w:hAnsi="Arial" w:cs="Arial"/>
          <w:sz w:val="20"/>
          <w:szCs w:val="20"/>
        </w:rPr>
        <w:t>Chittapur</w:t>
      </w:r>
      <w:proofErr w:type="spellEnd"/>
      <w:r w:rsidRPr="00E042B1">
        <w:rPr>
          <w:rFonts w:ascii="Arial" w:hAnsi="Arial" w:cs="Arial"/>
          <w:sz w:val="20"/>
          <w:szCs w:val="20"/>
        </w:rPr>
        <w:t xml:space="preserve">, R., &amp; Lokesh. (2025). </w:t>
      </w:r>
      <w:r w:rsidRPr="00E042B1">
        <w:rPr>
          <w:rStyle w:val="Emphasis"/>
          <w:rFonts w:ascii="Arial" w:hAnsi="Arial" w:cs="Arial"/>
          <w:sz w:val="20"/>
          <w:szCs w:val="20"/>
        </w:rPr>
        <w:t>Unlocking the biochemical potential of high-yielding buckwheat genotypes</w:t>
      </w:r>
      <w:r w:rsidRPr="00E042B1">
        <w:rPr>
          <w:rFonts w:ascii="Arial" w:hAnsi="Arial" w:cs="Arial"/>
          <w:sz w:val="20"/>
          <w:szCs w:val="20"/>
        </w:rPr>
        <w:t xml:space="preserve">. International Journal of Agriculture and Food Science, 7(6), 259–262. </w:t>
      </w:r>
      <w:r w:rsidR="007A5414">
        <w:rPr>
          <w:rFonts w:ascii="Arial" w:hAnsi="Arial" w:cs="Arial"/>
          <w:sz w:val="20"/>
          <w:szCs w:val="20"/>
        </w:rPr>
        <w:t xml:space="preserve"> </w:t>
      </w:r>
      <w:hyperlink r:id="rId22" w:history="1">
        <w:r w:rsidR="007A5414" w:rsidRPr="0036680F">
          <w:rPr>
            <w:rStyle w:val="Hyperlink"/>
            <w:rFonts w:ascii="Arial" w:hAnsi="Arial" w:cs="Arial"/>
            <w:sz w:val="20"/>
            <w:szCs w:val="20"/>
          </w:rPr>
          <w:t>https://doi.org/10.33545/2664844X.2025.v7.i6d.463</w:t>
        </w:r>
      </w:hyperlink>
      <w:r w:rsidR="007A5414">
        <w:rPr>
          <w:rFonts w:ascii="Arial" w:hAnsi="Arial" w:cs="Arial"/>
          <w:sz w:val="20"/>
          <w:szCs w:val="20"/>
        </w:rPr>
        <w:t xml:space="preserve"> </w:t>
      </w:r>
    </w:p>
    <w:p w:rsidR="007A5414" w:rsidRDefault="007A5414" w:rsidP="00274EF8">
      <w:pPr>
        <w:pStyle w:val="NormalWeb"/>
        <w:jc w:val="both"/>
        <w:rPr>
          <w:rFonts w:ascii="Arial" w:hAnsi="Arial" w:cs="Arial"/>
          <w:sz w:val="20"/>
          <w:szCs w:val="20"/>
        </w:rPr>
      </w:pPr>
      <w:r w:rsidRPr="007A5414">
        <w:rPr>
          <w:rFonts w:ascii="Arial" w:hAnsi="Arial" w:cs="Arial"/>
          <w:sz w:val="20"/>
          <w:szCs w:val="20"/>
        </w:rPr>
        <w:t>Potter, N. N. (1978). *Food science* (3rd ed.). AVI Publishing Co.</w:t>
      </w:r>
      <w:r>
        <w:rPr>
          <w:rFonts w:ascii="Arial" w:hAnsi="Arial" w:cs="Arial"/>
          <w:sz w:val="20"/>
          <w:szCs w:val="20"/>
        </w:rPr>
        <w:t xml:space="preserve"> </w:t>
      </w:r>
    </w:p>
    <w:p w:rsidR="007A5414" w:rsidRDefault="007A5414" w:rsidP="00274EF8">
      <w:pPr>
        <w:pStyle w:val="NormalWeb"/>
        <w:jc w:val="both"/>
        <w:rPr>
          <w:rFonts w:ascii="Arial" w:hAnsi="Arial" w:cs="Arial"/>
          <w:sz w:val="20"/>
          <w:szCs w:val="20"/>
        </w:rPr>
      </w:pPr>
      <w:proofErr w:type="spellStart"/>
      <w:r w:rsidRPr="007A5414">
        <w:rPr>
          <w:rFonts w:ascii="Arial" w:hAnsi="Arial" w:cs="Arial"/>
          <w:sz w:val="20"/>
          <w:szCs w:val="20"/>
        </w:rPr>
        <w:t>Puligundla</w:t>
      </w:r>
      <w:proofErr w:type="spellEnd"/>
      <w:r w:rsidRPr="007A5414">
        <w:rPr>
          <w:rFonts w:ascii="Arial" w:hAnsi="Arial" w:cs="Arial"/>
          <w:sz w:val="20"/>
          <w:szCs w:val="20"/>
        </w:rPr>
        <w:t xml:space="preserve">, P., &amp; Lim, S. (2021). Buckwheat noodles: processing and quality enhancement. Food Science and Biotechnology. </w:t>
      </w:r>
      <w:hyperlink r:id="rId23" w:history="1">
        <w:r w:rsidRPr="0036680F">
          <w:rPr>
            <w:rStyle w:val="Hyperlink"/>
            <w:rFonts w:ascii="Arial" w:hAnsi="Arial" w:cs="Arial"/>
            <w:sz w:val="20"/>
            <w:szCs w:val="20"/>
          </w:rPr>
          <w:t>https://doi.org/10.1007/s10068-021-00960-6</w:t>
        </w:r>
      </w:hyperlink>
      <w:r>
        <w:rPr>
          <w:rFonts w:ascii="Arial" w:hAnsi="Arial" w:cs="Arial"/>
          <w:sz w:val="20"/>
          <w:szCs w:val="20"/>
        </w:rPr>
        <w:t xml:space="preserve"> </w:t>
      </w:r>
    </w:p>
    <w:p w:rsidR="007A5414" w:rsidRDefault="007A5414" w:rsidP="00274EF8">
      <w:pPr>
        <w:pStyle w:val="NormalWeb"/>
        <w:jc w:val="both"/>
        <w:rPr>
          <w:rFonts w:ascii="Arial" w:hAnsi="Arial" w:cs="Arial"/>
          <w:sz w:val="20"/>
          <w:szCs w:val="20"/>
        </w:rPr>
      </w:pPr>
      <w:r w:rsidRPr="007A5414">
        <w:rPr>
          <w:rFonts w:ascii="Arial" w:hAnsi="Arial" w:cs="Arial"/>
          <w:sz w:val="20"/>
          <w:szCs w:val="20"/>
        </w:rPr>
        <w:t xml:space="preserve">Saini, S., Saxena, S., </w:t>
      </w:r>
      <w:proofErr w:type="spellStart"/>
      <w:r w:rsidRPr="007A5414">
        <w:rPr>
          <w:rFonts w:ascii="Arial" w:hAnsi="Arial" w:cs="Arial"/>
          <w:sz w:val="20"/>
          <w:szCs w:val="20"/>
        </w:rPr>
        <w:t>Samtiya</w:t>
      </w:r>
      <w:proofErr w:type="spellEnd"/>
      <w:r w:rsidRPr="007A5414">
        <w:rPr>
          <w:rFonts w:ascii="Arial" w:hAnsi="Arial" w:cs="Arial"/>
          <w:sz w:val="20"/>
          <w:szCs w:val="20"/>
        </w:rPr>
        <w:t xml:space="preserve">, M., </w:t>
      </w:r>
      <w:proofErr w:type="spellStart"/>
      <w:r w:rsidRPr="007A5414">
        <w:rPr>
          <w:rFonts w:ascii="Arial" w:hAnsi="Arial" w:cs="Arial"/>
          <w:sz w:val="20"/>
          <w:szCs w:val="20"/>
        </w:rPr>
        <w:t>Puniya</w:t>
      </w:r>
      <w:proofErr w:type="spellEnd"/>
      <w:r w:rsidRPr="007A5414">
        <w:rPr>
          <w:rFonts w:ascii="Arial" w:hAnsi="Arial" w:cs="Arial"/>
          <w:sz w:val="20"/>
          <w:szCs w:val="20"/>
        </w:rPr>
        <w:t xml:space="preserve">, M., &amp; </w:t>
      </w:r>
      <w:proofErr w:type="spellStart"/>
      <w:r w:rsidRPr="007A5414">
        <w:rPr>
          <w:rFonts w:ascii="Arial" w:hAnsi="Arial" w:cs="Arial"/>
          <w:sz w:val="20"/>
          <w:szCs w:val="20"/>
        </w:rPr>
        <w:t>Dhewa</w:t>
      </w:r>
      <w:proofErr w:type="spellEnd"/>
      <w:r w:rsidRPr="007A5414">
        <w:rPr>
          <w:rFonts w:ascii="Arial" w:hAnsi="Arial" w:cs="Arial"/>
          <w:sz w:val="20"/>
          <w:szCs w:val="20"/>
        </w:rPr>
        <w:t xml:space="preserve">, T. (2021). Potential of underutilized millets as Nutri-cereal: an overview. Journal of Food Science and Technology, 58(12), 4465–4477. </w:t>
      </w:r>
      <w:hyperlink r:id="rId24" w:history="1">
        <w:r w:rsidRPr="0036680F">
          <w:rPr>
            <w:rStyle w:val="Hyperlink"/>
            <w:rFonts w:ascii="Arial" w:hAnsi="Arial" w:cs="Arial"/>
            <w:sz w:val="20"/>
            <w:szCs w:val="20"/>
          </w:rPr>
          <w:t>https://doi.org/10.1007/s13197-021-04985-x</w:t>
        </w:r>
      </w:hyperlink>
      <w:r>
        <w:rPr>
          <w:rFonts w:ascii="Arial" w:hAnsi="Arial" w:cs="Arial"/>
          <w:sz w:val="20"/>
          <w:szCs w:val="20"/>
        </w:rPr>
        <w:t xml:space="preserve"> </w:t>
      </w:r>
    </w:p>
    <w:p w:rsidR="007A5414" w:rsidRDefault="007A5414" w:rsidP="00274EF8">
      <w:pPr>
        <w:pStyle w:val="NormalWeb"/>
        <w:jc w:val="both"/>
        <w:rPr>
          <w:rFonts w:ascii="Arial" w:hAnsi="Arial" w:cs="Arial"/>
          <w:sz w:val="20"/>
          <w:szCs w:val="20"/>
        </w:rPr>
      </w:pPr>
      <w:r w:rsidRPr="007A5414">
        <w:rPr>
          <w:rFonts w:ascii="Arial" w:hAnsi="Arial" w:cs="Arial"/>
          <w:sz w:val="20"/>
          <w:szCs w:val="20"/>
        </w:rPr>
        <w:t xml:space="preserve">Sarita, E. S., &amp; Singh, E. (2016). Potential of millets: Nutrient composition and health benefits. Journal of Scientific and Innovative Research, 5(2), 46–50. </w:t>
      </w:r>
      <w:hyperlink r:id="rId25" w:history="1">
        <w:r w:rsidRPr="0036680F">
          <w:rPr>
            <w:rStyle w:val="Hyperlink"/>
            <w:rFonts w:ascii="Arial" w:hAnsi="Arial" w:cs="Arial"/>
            <w:sz w:val="20"/>
            <w:szCs w:val="20"/>
          </w:rPr>
          <w:t>https://doi.org/10.31254/jsir.2016.5204</w:t>
        </w:r>
      </w:hyperlink>
      <w:r>
        <w:rPr>
          <w:rFonts w:ascii="Arial" w:hAnsi="Arial" w:cs="Arial"/>
          <w:sz w:val="20"/>
          <w:szCs w:val="20"/>
        </w:rPr>
        <w:t xml:space="preserve"> </w:t>
      </w:r>
    </w:p>
    <w:p w:rsidR="007A5414" w:rsidRDefault="007A5414" w:rsidP="00274EF8">
      <w:pPr>
        <w:pStyle w:val="NormalWeb"/>
        <w:jc w:val="both"/>
        <w:rPr>
          <w:rFonts w:ascii="Arial" w:hAnsi="Arial" w:cs="Arial"/>
          <w:sz w:val="20"/>
          <w:szCs w:val="20"/>
        </w:rPr>
      </w:pPr>
      <w:r w:rsidRPr="007A5414">
        <w:rPr>
          <w:rFonts w:ascii="Arial" w:hAnsi="Arial" w:cs="Arial"/>
          <w:sz w:val="20"/>
          <w:szCs w:val="20"/>
        </w:rPr>
        <w:t xml:space="preserve">Saxena, R., </w:t>
      </w:r>
      <w:proofErr w:type="spellStart"/>
      <w:r w:rsidRPr="007A5414">
        <w:rPr>
          <w:rFonts w:ascii="Arial" w:hAnsi="Arial" w:cs="Arial"/>
          <w:sz w:val="20"/>
          <w:szCs w:val="20"/>
        </w:rPr>
        <w:t>Vanga</w:t>
      </w:r>
      <w:proofErr w:type="spellEnd"/>
      <w:r w:rsidRPr="007A5414">
        <w:rPr>
          <w:rFonts w:ascii="Arial" w:hAnsi="Arial" w:cs="Arial"/>
          <w:sz w:val="20"/>
          <w:szCs w:val="20"/>
        </w:rPr>
        <w:t xml:space="preserve">, S. K., Wang, J., </w:t>
      </w:r>
      <w:proofErr w:type="spellStart"/>
      <w:r w:rsidRPr="007A5414">
        <w:rPr>
          <w:rFonts w:ascii="Arial" w:hAnsi="Arial" w:cs="Arial"/>
          <w:sz w:val="20"/>
          <w:szCs w:val="20"/>
        </w:rPr>
        <w:t>Orsat</w:t>
      </w:r>
      <w:proofErr w:type="spellEnd"/>
      <w:r w:rsidRPr="007A5414">
        <w:rPr>
          <w:rFonts w:ascii="Arial" w:hAnsi="Arial" w:cs="Arial"/>
          <w:sz w:val="20"/>
          <w:szCs w:val="20"/>
        </w:rPr>
        <w:t xml:space="preserve">, V., &amp; Raghavan, V. (2018). Millets for Food Security in the Context of Climate Change: A Review. Sustainability, 10(7), 2228. </w:t>
      </w:r>
      <w:hyperlink r:id="rId26" w:history="1">
        <w:r w:rsidRPr="0036680F">
          <w:rPr>
            <w:rStyle w:val="Hyperlink"/>
            <w:rFonts w:ascii="Arial" w:hAnsi="Arial" w:cs="Arial"/>
            <w:sz w:val="20"/>
            <w:szCs w:val="20"/>
          </w:rPr>
          <w:t>https://doi.org/10.3390/su10072228</w:t>
        </w:r>
      </w:hyperlink>
      <w:r>
        <w:rPr>
          <w:rFonts w:ascii="Arial" w:hAnsi="Arial" w:cs="Arial"/>
          <w:sz w:val="20"/>
          <w:szCs w:val="20"/>
        </w:rPr>
        <w:t xml:space="preserve"> </w:t>
      </w:r>
    </w:p>
    <w:p w:rsidR="007A5414" w:rsidRDefault="007A5414" w:rsidP="00274EF8">
      <w:pPr>
        <w:pStyle w:val="NormalWeb"/>
        <w:jc w:val="both"/>
        <w:rPr>
          <w:rFonts w:ascii="Arial" w:hAnsi="Arial" w:cs="Arial"/>
          <w:sz w:val="20"/>
          <w:szCs w:val="20"/>
        </w:rPr>
      </w:pPr>
      <w:r w:rsidRPr="007A5414">
        <w:rPr>
          <w:rFonts w:ascii="Arial" w:hAnsi="Arial" w:cs="Arial"/>
          <w:sz w:val="20"/>
          <w:szCs w:val="20"/>
        </w:rPr>
        <w:lastRenderedPageBreak/>
        <w:t xml:space="preserve">Singh, P., Singh, R., </w:t>
      </w:r>
      <w:proofErr w:type="spellStart"/>
      <w:r w:rsidRPr="007A5414">
        <w:rPr>
          <w:rFonts w:ascii="Arial" w:hAnsi="Arial" w:cs="Arial"/>
          <w:sz w:val="20"/>
          <w:szCs w:val="20"/>
        </w:rPr>
        <w:t>Bhadauria</w:t>
      </w:r>
      <w:proofErr w:type="spellEnd"/>
      <w:r w:rsidRPr="007A5414">
        <w:rPr>
          <w:rFonts w:ascii="Arial" w:hAnsi="Arial" w:cs="Arial"/>
          <w:sz w:val="20"/>
          <w:szCs w:val="20"/>
        </w:rPr>
        <w:t xml:space="preserve">, V., &amp; Singh, H. (2024). The functionality and extraction of protein from sorghum, finger millet, and </w:t>
      </w:r>
      <w:proofErr w:type="spellStart"/>
      <w:r w:rsidRPr="007A5414">
        <w:rPr>
          <w:rFonts w:ascii="Arial" w:hAnsi="Arial" w:cs="Arial"/>
          <w:sz w:val="20"/>
          <w:szCs w:val="20"/>
        </w:rPr>
        <w:t>Kodo</w:t>
      </w:r>
      <w:proofErr w:type="spellEnd"/>
      <w:r w:rsidRPr="007A5414">
        <w:rPr>
          <w:rFonts w:ascii="Arial" w:hAnsi="Arial" w:cs="Arial"/>
          <w:sz w:val="20"/>
          <w:szCs w:val="20"/>
        </w:rPr>
        <w:t xml:space="preserve"> millet: a review. International Journal of Food Science and Technology, 59(1), 512–521. </w:t>
      </w:r>
      <w:hyperlink r:id="rId27" w:history="1">
        <w:r w:rsidRPr="0036680F">
          <w:rPr>
            <w:rStyle w:val="Hyperlink"/>
            <w:rFonts w:ascii="Arial" w:hAnsi="Arial" w:cs="Arial"/>
            <w:sz w:val="20"/>
            <w:szCs w:val="20"/>
          </w:rPr>
          <w:t>https://doi.org/10.1111/ijfs.16747</w:t>
        </w:r>
      </w:hyperlink>
      <w:r>
        <w:rPr>
          <w:rFonts w:ascii="Arial" w:hAnsi="Arial" w:cs="Arial"/>
          <w:sz w:val="20"/>
          <w:szCs w:val="20"/>
        </w:rPr>
        <w:t xml:space="preserve"> </w:t>
      </w:r>
    </w:p>
    <w:p w:rsidR="007A5414" w:rsidRDefault="007A5414" w:rsidP="00274EF8">
      <w:pPr>
        <w:pStyle w:val="NormalWeb"/>
        <w:jc w:val="both"/>
        <w:rPr>
          <w:rFonts w:ascii="Arial" w:hAnsi="Arial" w:cs="Arial"/>
          <w:sz w:val="20"/>
          <w:szCs w:val="20"/>
        </w:rPr>
      </w:pPr>
      <w:proofErr w:type="spellStart"/>
      <w:r w:rsidRPr="007A5414">
        <w:rPr>
          <w:rFonts w:ascii="Arial" w:hAnsi="Arial" w:cs="Arial"/>
          <w:sz w:val="20"/>
          <w:szCs w:val="20"/>
        </w:rPr>
        <w:t>Soni</w:t>
      </w:r>
      <w:proofErr w:type="spellEnd"/>
      <w:r w:rsidRPr="007A5414">
        <w:rPr>
          <w:rFonts w:ascii="Arial" w:hAnsi="Arial" w:cs="Arial"/>
          <w:sz w:val="20"/>
          <w:szCs w:val="20"/>
        </w:rPr>
        <w:t>, A. (2022). Studies on development of low-calorie cookies (Master's thesis, Dr. Yashwant Singh Parmar University of Horticulture and Forestry).</w:t>
      </w:r>
      <w:r>
        <w:rPr>
          <w:rFonts w:ascii="Arial" w:hAnsi="Arial" w:cs="Arial"/>
          <w:sz w:val="20"/>
          <w:szCs w:val="20"/>
        </w:rPr>
        <w:t xml:space="preserve"> </w:t>
      </w:r>
    </w:p>
    <w:p w:rsidR="007A5414" w:rsidRDefault="007A5414" w:rsidP="00274EF8">
      <w:pPr>
        <w:pStyle w:val="NormalWeb"/>
        <w:jc w:val="both"/>
        <w:rPr>
          <w:rFonts w:ascii="Arial" w:hAnsi="Arial" w:cs="Arial"/>
          <w:sz w:val="20"/>
          <w:szCs w:val="20"/>
        </w:rPr>
      </w:pPr>
      <w:proofErr w:type="spellStart"/>
      <w:r w:rsidRPr="007A5414">
        <w:rPr>
          <w:rFonts w:ascii="Arial" w:hAnsi="Arial" w:cs="Arial"/>
          <w:sz w:val="20"/>
          <w:szCs w:val="20"/>
        </w:rPr>
        <w:t>Sonawane</w:t>
      </w:r>
      <w:proofErr w:type="spellEnd"/>
      <w:r w:rsidRPr="007A5414">
        <w:rPr>
          <w:rFonts w:ascii="Arial" w:hAnsi="Arial" w:cs="Arial"/>
          <w:sz w:val="20"/>
          <w:szCs w:val="20"/>
        </w:rPr>
        <w:t xml:space="preserve">, S., Shams, R., Dash, K. K., Patil, V., Pandey, V. K., &amp; Dar, A. H. (2024). Nutritional profile, bioactive properties and potential health benefits of buckwheat: A review. </w:t>
      </w:r>
      <w:proofErr w:type="spellStart"/>
      <w:r w:rsidRPr="007A5414">
        <w:rPr>
          <w:rFonts w:ascii="Arial" w:hAnsi="Arial" w:cs="Arial"/>
          <w:sz w:val="20"/>
          <w:szCs w:val="20"/>
        </w:rPr>
        <w:t>EFood</w:t>
      </w:r>
      <w:proofErr w:type="spellEnd"/>
      <w:r w:rsidRPr="007A5414">
        <w:rPr>
          <w:rFonts w:ascii="Arial" w:hAnsi="Arial" w:cs="Arial"/>
          <w:sz w:val="20"/>
          <w:szCs w:val="20"/>
        </w:rPr>
        <w:t xml:space="preserve">, 5(4), e171. </w:t>
      </w:r>
      <w:hyperlink r:id="rId28" w:history="1">
        <w:r w:rsidRPr="0036680F">
          <w:rPr>
            <w:rStyle w:val="Hyperlink"/>
            <w:rFonts w:ascii="Arial" w:hAnsi="Arial" w:cs="Arial"/>
            <w:sz w:val="20"/>
            <w:szCs w:val="20"/>
          </w:rPr>
          <w:t>https://doi.org/10.1002/efd2.171</w:t>
        </w:r>
      </w:hyperlink>
      <w:r>
        <w:rPr>
          <w:rFonts w:ascii="Arial" w:hAnsi="Arial" w:cs="Arial"/>
          <w:sz w:val="20"/>
          <w:szCs w:val="20"/>
        </w:rPr>
        <w:t xml:space="preserve"> </w:t>
      </w:r>
    </w:p>
    <w:p w:rsidR="007A5414" w:rsidRDefault="007A5414" w:rsidP="00274EF8">
      <w:pPr>
        <w:pStyle w:val="NormalWeb"/>
        <w:jc w:val="both"/>
        <w:rPr>
          <w:rFonts w:ascii="Arial" w:hAnsi="Arial" w:cs="Arial"/>
          <w:sz w:val="20"/>
          <w:szCs w:val="20"/>
        </w:rPr>
      </w:pPr>
      <w:proofErr w:type="spellStart"/>
      <w:r w:rsidRPr="007A5414">
        <w:rPr>
          <w:rFonts w:ascii="Arial" w:hAnsi="Arial" w:cs="Arial"/>
          <w:sz w:val="20"/>
          <w:szCs w:val="20"/>
        </w:rPr>
        <w:t>Stefoska</w:t>
      </w:r>
      <w:proofErr w:type="spellEnd"/>
      <w:r w:rsidRPr="007A5414">
        <w:rPr>
          <w:rFonts w:ascii="Arial" w:hAnsi="Arial" w:cs="Arial"/>
          <w:sz w:val="20"/>
          <w:szCs w:val="20"/>
        </w:rPr>
        <w:t xml:space="preserve">-Needham, A. (2024). Sorghum and health: An overview of potential protective health effects. Journal of Food Science. </w:t>
      </w:r>
      <w:hyperlink r:id="rId29" w:history="1">
        <w:r w:rsidRPr="0036680F">
          <w:rPr>
            <w:rStyle w:val="Hyperlink"/>
            <w:rFonts w:ascii="Arial" w:hAnsi="Arial" w:cs="Arial"/>
            <w:sz w:val="20"/>
            <w:szCs w:val="20"/>
          </w:rPr>
          <w:t>https://doi.org/10.1111/1750-3841.16978</w:t>
        </w:r>
      </w:hyperlink>
      <w:r>
        <w:rPr>
          <w:rFonts w:ascii="Arial" w:hAnsi="Arial" w:cs="Arial"/>
          <w:sz w:val="20"/>
          <w:szCs w:val="20"/>
        </w:rPr>
        <w:t xml:space="preserve"> </w:t>
      </w:r>
    </w:p>
    <w:p w:rsidR="00274EF8" w:rsidRPr="00E042B1" w:rsidRDefault="00274EF8" w:rsidP="00274EF8">
      <w:pPr>
        <w:pStyle w:val="NormalWeb"/>
        <w:jc w:val="both"/>
        <w:rPr>
          <w:rFonts w:ascii="Arial" w:hAnsi="Arial" w:cs="Arial"/>
          <w:sz w:val="20"/>
          <w:szCs w:val="20"/>
        </w:rPr>
      </w:pPr>
      <w:r w:rsidRPr="00E042B1">
        <w:rPr>
          <w:rFonts w:ascii="Arial" w:hAnsi="Arial" w:cs="Arial"/>
          <w:sz w:val="20"/>
          <w:szCs w:val="20"/>
        </w:rPr>
        <w:t xml:space="preserve">Swaminathan. (1987). </w:t>
      </w:r>
      <w:r w:rsidRPr="00E042B1">
        <w:rPr>
          <w:rStyle w:val="Emphasis"/>
          <w:rFonts w:ascii="Arial" w:hAnsi="Arial" w:cs="Arial"/>
          <w:sz w:val="20"/>
          <w:szCs w:val="20"/>
        </w:rPr>
        <w:t>Food science, chemistry and experimental food</w:t>
      </w:r>
      <w:r w:rsidRPr="00E042B1">
        <w:rPr>
          <w:rFonts w:ascii="Arial" w:hAnsi="Arial" w:cs="Arial"/>
          <w:sz w:val="20"/>
          <w:szCs w:val="20"/>
        </w:rPr>
        <w:t>. The Bangalore Printing and Publishing Co. Ltd., Mysore Road, Bangalore.</w:t>
      </w:r>
    </w:p>
    <w:p w:rsidR="00B01FCD" w:rsidRPr="00E042B1" w:rsidRDefault="007A5414" w:rsidP="007A5414">
      <w:pPr>
        <w:pStyle w:val="NormalWeb"/>
        <w:jc w:val="both"/>
        <w:rPr>
          <w:rFonts w:ascii="Arial" w:hAnsi="Arial" w:cs="Arial"/>
          <w:sz w:val="20"/>
          <w:szCs w:val="20"/>
        </w:rPr>
      </w:pPr>
      <w:r w:rsidRPr="007A5414">
        <w:rPr>
          <w:rFonts w:ascii="Arial" w:hAnsi="Arial" w:cs="Arial"/>
          <w:sz w:val="20"/>
          <w:szCs w:val="20"/>
        </w:rPr>
        <w:t xml:space="preserve">United States Department of Agriculture, Foreign Agricultural Service. (2019). World Agricultural Production. Circular Series WAP 3-19. </w:t>
      </w:r>
      <w:hyperlink r:id="rId30" w:history="1">
        <w:r w:rsidRPr="0036680F">
          <w:rPr>
            <w:rStyle w:val="Hyperlink"/>
            <w:rFonts w:ascii="Arial" w:hAnsi="Arial" w:cs="Arial"/>
            <w:sz w:val="20"/>
            <w:szCs w:val="20"/>
          </w:rPr>
          <w:t>https://usda-esmis.library.cornell.edu/content/usda_wap/2019/wap0319.pdf</w:t>
        </w:r>
      </w:hyperlink>
      <w:r>
        <w:rPr>
          <w:rFonts w:ascii="Arial" w:hAnsi="Arial" w:cs="Arial"/>
          <w:sz w:val="20"/>
          <w:szCs w:val="20"/>
        </w:rPr>
        <w:t xml:space="preserve"> </w:t>
      </w:r>
    </w:p>
    <w:sectPr w:rsidR="00B01FCD" w:rsidRPr="00E042B1" w:rsidSect="00CD66CB">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469" w:rsidRDefault="00FA7469" w:rsidP="00C37E61">
      <w:r>
        <w:separator/>
      </w:r>
    </w:p>
  </w:endnote>
  <w:endnote w:type="continuationSeparator" w:id="0">
    <w:p w:rsidR="00FA7469" w:rsidRDefault="00FA74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6CB" w:rsidRDefault="00CD6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7C" w:rsidRDefault="00887A7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7C" w:rsidRPr="007E2FDE" w:rsidRDefault="00887A7C" w:rsidP="007E2FD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7C" w:rsidRPr="00C37E61" w:rsidRDefault="00887A7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469" w:rsidRDefault="00FA7469" w:rsidP="00C37E61">
      <w:r>
        <w:separator/>
      </w:r>
    </w:p>
  </w:footnote>
  <w:footnote w:type="continuationSeparator" w:id="0">
    <w:p w:rsidR="00FA7469" w:rsidRDefault="00FA74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6CB" w:rsidRDefault="00CD66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6CB" w:rsidRDefault="00CD66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A7C" w:rsidRPr="00296529" w:rsidRDefault="00CD66CB"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887A7C" w:rsidRPr="00296529" w:rsidRDefault="00887A7C" w:rsidP="00296529">
    <w:pPr>
      <w:ind w:left="4320"/>
      <w:rPr>
        <w:rFonts w:ascii="Times New Roman" w:eastAsia="Calibri" w:hAnsi="Times New Roman"/>
        <w:i/>
        <w:sz w:val="18"/>
        <w:szCs w:val="22"/>
      </w:rPr>
    </w:pPr>
    <w:r>
      <w:rPr>
        <w:rFonts w:ascii="Times New Roman" w:eastAsia="Calibri" w:hAnsi="Times New Roman"/>
        <w:i/>
        <w:sz w:val="18"/>
        <w:szCs w:val="22"/>
      </w:rPr>
      <w:t>.</w:t>
    </w:r>
  </w:p>
  <w:p w:rsidR="00887A7C" w:rsidRPr="00296529" w:rsidRDefault="00887A7C" w:rsidP="00296529">
    <w:pPr>
      <w:jc w:val="center"/>
      <w:rPr>
        <w:rFonts w:ascii="Times New Roman" w:eastAsia="Calibri" w:hAnsi="Times New Roman"/>
        <w:i/>
        <w:sz w:val="18"/>
        <w:szCs w:val="22"/>
      </w:rPr>
    </w:pPr>
    <w:r>
      <w:rPr>
        <w:rFonts w:ascii="Times New Roman" w:eastAsia="Calibri" w:hAnsi="Times New Roman"/>
        <w:i/>
        <w:sz w:val="18"/>
        <w:szCs w:val="22"/>
      </w:rPr>
      <w:t>.</w:t>
    </w:r>
  </w:p>
  <w:p w:rsidR="00887A7C" w:rsidRPr="00296529" w:rsidRDefault="00887A7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887A7C" w:rsidRDefault="00887A7C" w:rsidP="00296529">
    <w:pPr>
      <w:jc w:val="center"/>
      <w:rPr>
        <w:rFonts w:ascii="Times New Roman" w:eastAsia="Calibri" w:hAnsi="Times New Roman"/>
        <w:i/>
        <w:sz w:val="18"/>
        <w:szCs w:val="22"/>
      </w:rPr>
    </w:pPr>
  </w:p>
  <w:p w:rsidR="00887A7C" w:rsidRDefault="00887A7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87A7C" w:rsidRDefault="00887A7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6CB" w:rsidRDefault="00CD66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6CB" w:rsidRDefault="00CD66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6CB" w:rsidRDefault="00CD66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665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166"/>
    <w:rsid w:val="00030174"/>
    <w:rsid w:val="0004579C"/>
    <w:rsid w:val="00052E17"/>
    <w:rsid w:val="00084FBA"/>
    <w:rsid w:val="000A0A03"/>
    <w:rsid w:val="000A47FA"/>
    <w:rsid w:val="000A65D3"/>
    <w:rsid w:val="000B1E33"/>
    <w:rsid w:val="000B783D"/>
    <w:rsid w:val="000D5B0A"/>
    <w:rsid w:val="000D689F"/>
    <w:rsid w:val="000E15D3"/>
    <w:rsid w:val="000E7B7B"/>
    <w:rsid w:val="000E7D62"/>
    <w:rsid w:val="00103357"/>
    <w:rsid w:val="00123C9F"/>
    <w:rsid w:val="00126190"/>
    <w:rsid w:val="00130F17"/>
    <w:rsid w:val="001320BF"/>
    <w:rsid w:val="001406C2"/>
    <w:rsid w:val="00163BC4"/>
    <w:rsid w:val="00191062"/>
    <w:rsid w:val="00192B72"/>
    <w:rsid w:val="001A29D8"/>
    <w:rsid w:val="001A5CAA"/>
    <w:rsid w:val="001B0427"/>
    <w:rsid w:val="001B2B42"/>
    <w:rsid w:val="001D3A51"/>
    <w:rsid w:val="001E10D2"/>
    <w:rsid w:val="001E25B4"/>
    <w:rsid w:val="001E44FE"/>
    <w:rsid w:val="001F5770"/>
    <w:rsid w:val="00200595"/>
    <w:rsid w:val="00204835"/>
    <w:rsid w:val="00213171"/>
    <w:rsid w:val="002228E8"/>
    <w:rsid w:val="00231920"/>
    <w:rsid w:val="0023195C"/>
    <w:rsid w:val="00234A31"/>
    <w:rsid w:val="0024282C"/>
    <w:rsid w:val="002460DC"/>
    <w:rsid w:val="00250985"/>
    <w:rsid w:val="002556F6"/>
    <w:rsid w:val="002643E7"/>
    <w:rsid w:val="00264C50"/>
    <w:rsid w:val="00267CCD"/>
    <w:rsid w:val="00274EF8"/>
    <w:rsid w:val="00283105"/>
    <w:rsid w:val="00284C4C"/>
    <w:rsid w:val="00287E68"/>
    <w:rsid w:val="00296529"/>
    <w:rsid w:val="002B27FB"/>
    <w:rsid w:val="002B4818"/>
    <w:rsid w:val="002B5AF4"/>
    <w:rsid w:val="002B685A"/>
    <w:rsid w:val="002C57D2"/>
    <w:rsid w:val="002E0D56"/>
    <w:rsid w:val="002F2258"/>
    <w:rsid w:val="00315186"/>
    <w:rsid w:val="0033343E"/>
    <w:rsid w:val="00337F9A"/>
    <w:rsid w:val="003512C2"/>
    <w:rsid w:val="00355EB2"/>
    <w:rsid w:val="00371FB6"/>
    <w:rsid w:val="003722C1"/>
    <w:rsid w:val="00372B48"/>
    <w:rsid w:val="00375363"/>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09C9"/>
    <w:rsid w:val="004D305E"/>
    <w:rsid w:val="004D4277"/>
    <w:rsid w:val="00502516"/>
    <w:rsid w:val="00505F06"/>
    <w:rsid w:val="00506828"/>
    <w:rsid w:val="005260D7"/>
    <w:rsid w:val="0053056E"/>
    <w:rsid w:val="00554FDA"/>
    <w:rsid w:val="005C61FE"/>
    <w:rsid w:val="005C784C"/>
    <w:rsid w:val="005D17F6"/>
    <w:rsid w:val="005D5E55"/>
    <w:rsid w:val="005E5539"/>
    <w:rsid w:val="005F182B"/>
    <w:rsid w:val="00602BF5"/>
    <w:rsid w:val="00617FDD"/>
    <w:rsid w:val="00621553"/>
    <w:rsid w:val="00633614"/>
    <w:rsid w:val="00633F68"/>
    <w:rsid w:val="00636EB2"/>
    <w:rsid w:val="006375B8"/>
    <w:rsid w:val="00663A66"/>
    <w:rsid w:val="0066510A"/>
    <w:rsid w:val="00673F9F"/>
    <w:rsid w:val="00686953"/>
    <w:rsid w:val="00687DEA"/>
    <w:rsid w:val="00687E67"/>
    <w:rsid w:val="006967F7"/>
    <w:rsid w:val="006A250C"/>
    <w:rsid w:val="006B21D3"/>
    <w:rsid w:val="006B57D0"/>
    <w:rsid w:val="006B6872"/>
    <w:rsid w:val="006D30FF"/>
    <w:rsid w:val="006D6940"/>
    <w:rsid w:val="006E660C"/>
    <w:rsid w:val="006F11EC"/>
    <w:rsid w:val="0070082C"/>
    <w:rsid w:val="00732D3A"/>
    <w:rsid w:val="007369E6"/>
    <w:rsid w:val="00742498"/>
    <w:rsid w:val="00746E59"/>
    <w:rsid w:val="00754C9A"/>
    <w:rsid w:val="0075599A"/>
    <w:rsid w:val="00761D52"/>
    <w:rsid w:val="0077749E"/>
    <w:rsid w:val="00790ADA"/>
    <w:rsid w:val="007A5414"/>
    <w:rsid w:val="007D2288"/>
    <w:rsid w:val="007E088F"/>
    <w:rsid w:val="007E2FDE"/>
    <w:rsid w:val="007F7B32"/>
    <w:rsid w:val="00803323"/>
    <w:rsid w:val="00804BC2"/>
    <w:rsid w:val="0081431A"/>
    <w:rsid w:val="0083216F"/>
    <w:rsid w:val="00833C2B"/>
    <w:rsid w:val="00860000"/>
    <w:rsid w:val="00863BD3"/>
    <w:rsid w:val="008641ED"/>
    <w:rsid w:val="00866D66"/>
    <w:rsid w:val="008671C6"/>
    <w:rsid w:val="00875803"/>
    <w:rsid w:val="00887A7C"/>
    <w:rsid w:val="008A4539"/>
    <w:rsid w:val="008B459E"/>
    <w:rsid w:val="008D0B91"/>
    <w:rsid w:val="008D796A"/>
    <w:rsid w:val="008E13AE"/>
    <w:rsid w:val="008E1506"/>
    <w:rsid w:val="008E710C"/>
    <w:rsid w:val="008F69D6"/>
    <w:rsid w:val="00902823"/>
    <w:rsid w:val="00915CA6"/>
    <w:rsid w:val="009167C0"/>
    <w:rsid w:val="00927834"/>
    <w:rsid w:val="009500A6"/>
    <w:rsid w:val="00957C18"/>
    <w:rsid w:val="009659BA"/>
    <w:rsid w:val="00983040"/>
    <w:rsid w:val="00994B64"/>
    <w:rsid w:val="009A22CC"/>
    <w:rsid w:val="009B3FB9"/>
    <w:rsid w:val="009C2465"/>
    <w:rsid w:val="009D35A0"/>
    <w:rsid w:val="009D5F86"/>
    <w:rsid w:val="009D7EB7"/>
    <w:rsid w:val="009E048A"/>
    <w:rsid w:val="009E08E9"/>
    <w:rsid w:val="009E3DB9"/>
    <w:rsid w:val="009E6E35"/>
    <w:rsid w:val="009F0EDA"/>
    <w:rsid w:val="00A00B5C"/>
    <w:rsid w:val="00A02646"/>
    <w:rsid w:val="00A03B96"/>
    <w:rsid w:val="00A05B19"/>
    <w:rsid w:val="00A1134E"/>
    <w:rsid w:val="00A24E7E"/>
    <w:rsid w:val="00A258C3"/>
    <w:rsid w:val="00A347C0"/>
    <w:rsid w:val="00A51431"/>
    <w:rsid w:val="00A539AD"/>
    <w:rsid w:val="00A94063"/>
    <w:rsid w:val="00A95260"/>
    <w:rsid w:val="00AA6219"/>
    <w:rsid w:val="00AA74E0"/>
    <w:rsid w:val="00AB703F"/>
    <w:rsid w:val="00AC6BB8"/>
    <w:rsid w:val="00AE008F"/>
    <w:rsid w:val="00AF5549"/>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3B7D"/>
    <w:rsid w:val="00C37A31"/>
    <w:rsid w:val="00C37E61"/>
    <w:rsid w:val="00C50B57"/>
    <w:rsid w:val="00C60C0B"/>
    <w:rsid w:val="00C70F1B"/>
    <w:rsid w:val="00C71A47"/>
    <w:rsid w:val="00C7464C"/>
    <w:rsid w:val="00C77A6C"/>
    <w:rsid w:val="00C85588"/>
    <w:rsid w:val="00CD03A5"/>
    <w:rsid w:val="00CD66CB"/>
    <w:rsid w:val="00CD6755"/>
    <w:rsid w:val="00CD6856"/>
    <w:rsid w:val="00CE0089"/>
    <w:rsid w:val="00CE793C"/>
    <w:rsid w:val="00CF193C"/>
    <w:rsid w:val="00D047D3"/>
    <w:rsid w:val="00D15441"/>
    <w:rsid w:val="00D173F1"/>
    <w:rsid w:val="00D265DF"/>
    <w:rsid w:val="00D34662"/>
    <w:rsid w:val="00D6049F"/>
    <w:rsid w:val="00D74CB0"/>
    <w:rsid w:val="00D8295D"/>
    <w:rsid w:val="00D85622"/>
    <w:rsid w:val="00D911C8"/>
    <w:rsid w:val="00DA5260"/>
    <w:rsid w:val="00DC2A65"/>
    <w:rsid w:val="00DD2E7C"/>
    <w:rsid w:val="00DE15F0"/>
    <w:rsid w:val="00DE5663"/>
    <w:rsid w:val="00DE78AA"/>
    <w:rsid w:val="00DF0F44"/>
    <w:rsid w:val="00E042B1"/>
    <w:rsid w:val="00E04348"/>
    <w:rsid w:val="00E053D0"/>
    <w:rsid w:val="00E15994"/>
    <w:rsid w:val="00E15D6A"/>
    <w:rsid w:val="00E3114E"/>
    <w:rsid w:val="00E31A70"/>
    <w:rsid w:val="00E35B02"/>
    <w:rsid w:val="00E66496"/>
    <w:rsid w:val="00E66B35"/>
    <w:rsid w:val="00E66E10"/>
    <w:rsid w:val="00E769F6"/>
    <w:rsid w:val="00E8407C"/>
    <w:rsid w:val="00E84F3C"/>
    <w:rsid w:val="00E93B04"/>
    <w:rsid w:val="00EA012C"/>
    <w:rsid w:val="00EB567D"/>
    <w:rsid w:val="00EB5EF9"/>
    <w:rsid w:val="00EB7675"/>
    <w:rsid w:val="00EC6A55"/>
    <w:rsid w:val="00ED0288"/>
    <w:rsid w:val="00ED108F"/>
    <w:rsid w:val="00EE52CB"/>
    <w:rsid w:val="00EF581D"/>
    <w:rsid w:val="00EF7FD8"/>
    <w:rsid w:val="00F06F59"/>
    <w:rsid w:val="00F17988"/>
    <w:rsid w:val="00F37BB7"/>
    <w:rsid w:val="00F469F0"/>
    <w:rsid w:val="00F478BD"/>
    <w:rsid w:val="00F53273"/>
    <w:rsid w:val="00F6544E"/>
    <w:rsid w:val="00F755E4"/>
    <w:rsid w:val="00F77D02"/>
    <w:rsid w:val="00FA7469"/>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7"/>
      </o:rules>
    </o:shapelayout>
  </w:shapeDefaults>
  <w:decimalSymbol w:val="."/>
  <w:listSeparator w:val=","/>
  <w14:docId w14:val="4FC05244"/>
  <w15:docId w15:val="{096CA788-48B3-4290-BCC4-4781141E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654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9526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B783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34A31"/>
    <w:pPr>
      <w:spacing w:before="100" w:beforeAutospacing="1" w:after="100" w:afterAutospacing="1"/>
    </w:pPr>
    <w:rPr>
      <w:rFonts w:ascii="Times New Roman" w:hAnsi="Times New Roman"/>
      <w:sz w:val="24"/>
      <w:szCs w:val="24"/>
      <w:lang w:bidi="hi-IN"/>
    </w:rPr>
  </w:style>
  <w:style w:type="character" w:styleId="Strong">
    <w:name w:val="Strong"/>
    <w:basedOn w:val="DefaultParagraphFont"/>
    <w:uiPriority w:val="22"/>
    <w:qFormat/>
    <w:rsid w:val="00234A31"/>
    <w:rPr>
      <w:b/>
      <w:bCs/>
    </w:rPr>
  </w:style>
  <w:style w:type="paragraph" w:styleId="ListParagraph">
    <w:name w:val="List Paragraph"/>
    <w:basedOn w:val="Normal"/>
    <w:uiPriority w:val="34"/>
    <w:qFormat/>
    <w:rsid w:val="00C60C0B"/>
    <w:pPr>
      <w:spacing w:after="160" w:line="259" w:lineRule="auto"/>
      <w:ind w:left="720"/>
      <w:contextualSpacing/>
    </w:pPr>
    <w:rPr>
      <w:rFonts w:asciiTheme="minorHAnsi" w:eastAsiaTheme="minorHAnsi" w:hAnsiTheme="minorHAnsi" w:cstheme="minorBidi"/>
      <w:sz w:val="22"/>
      <w:szCs w:val="22"/>
      <w:lang w:val="en-IN"/>
    </w:rPr>
  </w:style>
  <w:style w:type="character" w:customStyle="1" w:styleId="Heading2Char">
    <w:name w:val="Heading 2 Char"/>
    <w:basedOn w:val="DefaultParagraphFont"/>
    <w:link w:val="Heading2"/>
    <w:semiHidden/>
    <w:rsid w:val="00F6544E"/>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6544E"/>
    <w:pPr>
      <w:widowControl w:val="0"/>
      <w:autoSpaceDE w:val="0"/>
      <w:autoSpaceDN w:val="0"/>
      <w:spacing w:before="114"/>
      <w:jc w:val="center"/>
    </w:pPr>
    <w:rPr>
      <w:rFonts w:ascii="Times New Roman" w:hAnsi="Times New Roman"/>
      <w:sz w:val="22"/>
      <w:szCs w:val="22"/>
    </w:rPr>
  </w:style>
  <w:style w:type="character" w:customStyle="1" w:styleId="citationsource-journal">
    <w:name w:val="citation_source-journal"/>
    <w:basedOn w:val="DefaultParagraphFont"/>
    <w:rsid w:val="005D5E55"/>
  </w:style>
  <w:style w:type="character" w:customStyle="1" w:styleId="Heading4Char">
    <w:name w:val="Heading 4 Char"/>
    <w:basedOn w:val="DefaultParagraphFont"/>
    <w:link w:val="Heading4"/>
    <w:rsid w:val="000B783D"/>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semiHidden/>
    <w:rsid w:val="00A95260"/>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0A0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0560947">
      <w:bodyDiv w:val="1"/>
      <w:marLeft w:val="0"/>
      <w:marRight w:val="0"/>
      <w:marTop w:val="0"/>
      <w:marBottom w:val="0"/>
      <w:divBdr>
        <w:top w:val="none" w:sz="0" w:space="0" w:color="auto"/>
        <w:left w:val="none" w:sz="0" w:space="0" w:color="auto"/>
        <w:bottom w:val="none" w:sz="0" w:space="0" w:color="auto"/>
        <w:right w:val="none" w:sz="0" w:space="0" w:color="auto"/>
      </w:divBdr>
    </w:div>
    <w:div w:id="12590332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888468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1926981">
      <w:bodyDiv w:val="1"/>
      <w:marLeft w:val="0"/>
      <w:marRight w:val="0"/>
      <w:marTop w:val="0"/>
      <w:marBottom w:val="0"/>
      <w:divBdr>
        <w:top w:val="none" w:sz="0" w:space="0" w:color="auto"/>
        <w:left w:val="none" w:sz="0" w:space="0" w:color="auto"/>
        <w:bottom w:val="none" w:sz="0" w:space="0" w:color="auto"/>
        <w:right w:val="none" w:sz="0" w:space="0" w:color="auto"/>
      </w:divBdr>
    </w:div>
    <w:div w:id="407114901">
      <w:bodyDiv w:val="1"/>
      <w:marLeft w:val="0"/>
      <w:marRight w:val="0"/>
      <w:marTop w:val="0"/>
      <w:marBottom w:val="0"/>
      <w:divBdr>
        <w:top w:val="none" w:sz="0" w:space="0" w:color="auto"/>
        <w:left w:val="none" w:sz="0" w:space="0" w:color="auto"/>
        <w:bottom w:val="none" w:sz="0" w:space="0" w:color="auto"/>
        <w:right w:val="none" w:sz="0" w:space="0" w:color="auto"/>
      </w:divBdr>
    </w:div>
    <w:div w:id="619453230">
      <w:bodyDiv w:val="1"/>
      <w:marLeft w:val="0"/>
      <w:marRight w:val="0"/>
      <w:marTop w:val="0"/>
      <w:marBottom w:val="0"/>
      <w:divBdr>
        <w:top w:val="none" w:sz="0" w:space="0" w:color="auto"/>
        <w:left w:val="none" w:sz="0" w:space="0" w:color="auto"/>
        <w:bottom w:val="none" w:sz="0" w:space="0" w:color="auto"/>
        <w:right w:val="none" w:sz="0" w:space="0" w:color="auto"/>
      </w:divBdr>
    </w:div>
    <w:div w:id="6307496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591160">
      <w:bodyDiv w:val="1"/>
      <w:marLeft w:val="0"/>
      <w:marRight w:val="0"/>
      <w:marTop w:val="0"/>
      <w:marBottom w:val="0"/>
      <w:divBdr>
        <w:top w:val="none" w:sz="0" w:space="0" w:color="auto"/>
        <w:left w:val="none" w:sz="0" w:space="0" w:color="auto"/>
        <w:bottom w:val="none" w:sz="0" w:space="0" w:color="auto"/>
        <w:right w:val="none" w:sz="0" w:space="0" w:color="auto"/>
      </w:divBdr>
    </w:div>
    <w:div w:id="1176920161">
      <w:bodyDiv w:val="1"/>
      <w:marLeft w:val="0"/>
      <w:marRight w:val="0"/>
      <w:marTop w:val="0"/>
      <w:marBottom w:val="0"/>
      <w:divBdr>
        <w:top w:val="none" w:sz="0" w:space="0" w:color="auto"/>
        <w:left w:val="none" w:sz="0" w:space="0" w:color="auto"/>
        <w:bottom w:val="none" w:sz="0" w:space="0" w:color="auto"/>
        <w:right w:val="none" w:sz="0" w:space="0" w:color="auto"/>
      </w:divBdr>
    </w:div>
    <w:div w:id="1440643366">
      <w:bodyDiv w:val="1"/>
      <w:marLeft w:val="0"/>
      <w:marRight w:val="0"/>
      <w:marTop w:val="0"/>
      <w:marBottom w:val="0"/>
      <w:divBdr>
        <w:top w:val="none" w:sz="0" w:space="0" w:color="auto"/>
        <w:left w:val="none" w:sz="0" w:space="0" w:color="auto"/>
        <w:bottom w:val="none" w:sz="0" w:space="0" w:color="auto"/>
        <w:right w:val="none" w:sz="0" w:space="0" w:color="auto"/>
      </w:divBdr>
    </w:div>
    <w:div w:id="1470589876">
      <w:bodyDiv w:val="1"/>
      <w:marLeft w:val="0"/>
      <w:marRight w:val="0"/>
      <w:marTop w:val="0"/>
      <w:marBottom w:val="0"/>
      <w:divBdr>
        <w:top w:val="none" w:sz="0" w:space="0" w:color="auto"/>
        <w:left w:val="none" w:sz="0" w:space="0" w:color="auto"/>
        <w:bottom w:val="none" w:sz="0" w:space="0" w:color="auto"/>
        <w:right w:val="none" w:sz="0" w:space="0" w:color="auto"/>
      </w:divBdr>
    </w:div>
    <w:div w:id="1577281563">
      <w:bodyDiv w:val="1"/>
      <w:marLeft w:val="0"/>
      <w:marRight w:val="0"/>
      <w:marTop w:val="0"/>
      <w:marBottom w:val="0"/>
      <w:divBdr>
        <w:top w:val="none" w:sz="0" w:space="0" w:color="auto"/>
        <w:left w:val="none" w:sz="0" w:space="0" w:color="auto"/>
        <w:bottom w:val="none" w:sz="0" w:space="0" w:color="auto"/>
        <w:right w:val="none" w:sz="0" w:space="0" w:color="auto"/>
      </w:divBdr>
    </w:div>
    <w:div w:id="17136533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2117344">
      <w:bodyDiv w:val="1"/>
      <w:marLeft w:val="0"/>
      <w:marRight w:val="0"/>
      <w:marTop w:val="0"/>
      <w:marBottom w:val="0"/>
      <w:divBdr>
        <w:top w:val="none" w:sz="0" w:space="0" w:color="auto"/>
        <w:left w:val="none" w:sz="0" w:space="0" w:color="auto"/>
        <w:bottom w:val="none" w:sz="0" w:space="0" w:color="auto"/>
        <w:right w:val="none" w:sz="0" w:space="0" w:color="auto"/>
      </w:divBdr>
    </w:div>
    <w:div w:id="183561033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79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103/jdras.jdras_248_23" TargetMode="External"/><Relationship Id="rId26" Type="http://schemas.openxmlformats.org/officeDocument/2006/relationships/hyperlink" Target="https://doi.org/10.3390/su10072228" TargetMode="External"/><Relationship Id="rId3" Type="http://schemas.openxmlformats.org/officeDocument/2006/relationships/styles" Target="styles.xml"/><Relationship Id="rId21" Type="http://schemas.openxmlformats.org/officeDocument/2006/relationships/hyperlink" Target="https://doi.org/10.3390/foods11142026"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millets.res.in/pub/2018/The_Story_of_Millets.pdf" TargetMode="External"/><Relationship Id="rId25" Type="http://schemas.openxmlformats.org/officeDocument/2006/relationships/hyperlink" Target="https://doi.org/10.31254/jsir.2016.5204"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hepharmajournal.com/archives/2023/vol12issue12S/PartB/12-12S-10-100.pdf" TargetMode="External"/><Relationship Id="rId20" Type="http://schemas.openxmlformats.org/officeDocument/2006/relationships/hyperlink" Target="https://doi.org/10.24263/2304-974X-2022-11-2-3" TargetMode="External"/><Relationship Id="rId29" Type="http://schemas.openxmlformats.org/officeDocument/2006/relationships/hyperlink" Target="https://doi.org/10.1111/1750-3841.169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3197-021-04985-x"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krishikosh.egranth.ac.in/handle/1/5810000000" TargetMode="External"/><Relationship Id="rId23" Type="http://schemas.openxmlformats.org/officeDocument/2006/relationships/hyperlink" Target="https://doi.org/10.1007/s10068-021-00960-6" TargetMode="External"/><Relationship Id="rId28" Type="http://schemas.openxmlformats.org/officeDocument/2006/relationships/hyperlink" Target="https://doi.org/10.1002/efd2.171"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80/10942912.2022.2071293"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33545/2664844X.2025.v7.i6d.463" TargetMode="External"/><Relationship Id="rId27" Type="http://schemas.openxmlformats.org/officeDocument/2006/relationships/hyperlink" Target="https://doi.org/10.1111/ijfs.16747" TargetMode="External"/><Relationship Id="rId30" Type="http://schemas.openxmlformats.org/officeDocument/2006/relationships/hyperlink" Target="https://usda-esmis.library.cornell.edu/content/usda_wap/2019/wap0319.pdf"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0552F-1870-4073-9838-21AF6821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1224</TotalTime>
  <Pages>9</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47</cp:revision>
  <cp:lastPrinted>1999-07-06T11:00:00Z</cp:lastPrinted>
  <dcterms:created xsi:type="dcterms:W3CDTF">2014-10-25T14:34:00Z</dcterms:created>
  <dcterms:modified xsi:type="dcterms:W3CDTF">2025-12-29T13:17:00Z</dcterms:modified>
</cp:coreProperties>
</file>