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9C234" w14:textId="77777777" w:rsidR="00754C9A" w:rsidRPr="00D95A1A" w:rsidRDefault="00754C9A" w:rsidP="00441B6F">
      <w:pPr>
        <w:pStyle w:val="Title"/>
        <w:spacing w:after="0"/>
        <w:jc w:val="both"/>
        <w:rPr>
          <w:rFonts w:ascii="Arial" w:hAnsi="Arial" w:cs="Arial"/>
        </w:rPr>
      </w:pPr>
    </w:p>
    <w:p w14:paraId="5E7BFEDE" w14:textId="77777777" w:rsidR="00145342" w:rsidRDefault="00BA5FC1" w:rsidP="003A2C56">
      <w:pPr>
        <w:pStyle w:val="Author"/>
        <w:spacing w:line="240" w:lineRule="auto"/>
        <w:jc w:val="center"/>
        <w:rPr>
          <w:rFonts w:ascii="Arial" w:hAnsi="Arial" w:cs="Arial"/>
          <w:bCs/>
          <w:iCs/>
          <w:kern w:val="28"/>
          <w:sz w:val="36"/>
        </w:rPr>
      </w:pPr>
      <w:r w:rsidRPr="00D95A1A">
        <w:rPr>
          <w:rFonts w:ascii="Arial" w:hAnsi="Arial" w:cs="Arial"/>
          <w:bCs/>
          <w:iCs/>
          <w:kern w:val="28"/>
          <w:sz w:val="36"/>
        </w:rPr>
        <w:t>INTEGRATED TEACHING METHODS</w:t>
      </w:r>
    </w:p>
    <w:p w14:paraId="5ED4200E" w14:textId="77777777" w:rsidR="00145342" w:rsidRDefault="00BA5FC1" w:rsidP="003A2C56">
      <w:pPr>
        <w:pStyle w:val="Author"/>
        <w:spacing w:line="240" w:lineRule="auto"/>
        <w:jc w:val="center"/>
        <w:rPr>
          <w:rFonts w:ascii="Arial" w:hAnsi="Arial" w:cs="Arial"/>
          <w:bCs/>
          <w:iCs/>
          <w:kern w:val="28"/>
          <w:sz w:val="36"/>
        </w:rPr>
      </w:pPr>
      <w:r w:rsidRPr="00D95A1A">
        <w:rPr>
          <w:rFonts w:ascii="Arial" w:hAnsi="Arial" w:cs="Arial"/>
          <w:bCs/>
          <w:iCs/>
          <w:kern w:val="28"/>
          <w:sz w:val="36"/>
        </w:rPr>
        <w:t>FOR DEVELOPING THE COMPETENCE</w:t>
      </w:r>
    </w:p>
    <w:p w14:paraId="1435F112" w14:textId="77777777" w:rsidR="00145342" w:rsidRDefault="00BA5FC1" w:rsidP="003A2C56">
      <w:pPr>
        <w:pStyle w:val="Author"/>
        <w:spacing w:line="240" w:lineRule="auto"/>
        <w:jc w:val="center"/>
        <w:rPr>
          <w:rFonts w:ascii="Arial" w:hAnsi="Arial" w:cs="Arial"/>
          <w:bCs/>
          <w:iCs/>
          <w:kern w:val="28"/>
          <w:sz w:val="36"/>
        </w:rPr>
      </w:pPr>
      <w:r w:rsidRPr="00D95A1A">
        <w:rPr>
          <w:rFonts w:ascii="Arial" w:hAnsi="Arial" w:cs="Arial"/>
          <w:bCs/>
          <w:iCs/>
          <w:kern w:val="28"/>
          <w:sz w:val="36"/>
        </w:rPr>
        <w:t>TO APPLY KNOWLEDGE AND SKILLS</w:t>
      </w:r>
    </w:p>
    <w:p w14:paraId="5C2C20E7" w14:textId="16A1922C" w:rsidR="00163BC4" w:rsidRPr="00D95A1A" w:rsidRDefault="00BA5FC1" w:rsidP="003A2C56">
      <w:pPr>
        <w:pStyle w:val="Author"/>
        <w:spacing w:line="240" w:lineRule="auto"/>
        <w:jc w:val="center"/>
        <w:rPr>
          <w:rFonts w:ascii="Arial" w:hAnsi="Arial" w:cs="Arial"/>
          <w:bCs/>
          <w:iCs/>
          <w:kern w:val="28"/>
          <w:sz w:val="36"/>
        </w:rPr>
      </w:pPr>
      <w:r w:rsidRPr="00D95A1A">
        <w:rPr>
          <w:rFonts w:ascii="Arial" w:hAnsi="Arial" w:cs="Arial"/>
          <w:bCs/>
          <w:iCs/>
          <w:kern w:val="28"/>
          <w:sz w:val="36"/>
        </w:rPr>
        <w:t>IN THE OXYGEN – SULFUR COURSE</w:t>
      </w:r>
    </w:p>
    <w:p w14:paraId="23F719DB" w14:textId="77777777" w:rsidR="00A258C3" w:rsidRPr="00D95A1A" w:rsidRDefault="00A258C3" w:rsidP="00441B6F">
      <w:pPr>
        <w:pStyle w:val="Author"/>
        <w:spacing w:line="240" w:lineRule="auto"/>
        <w:jc w:val="both"/>
        <w:rPr>
          <w:rFonts w:ascii="Arial" w:hAnsi="Arial" w:cs="Arial"/>
          <w:sz w:val="36"/>
        </w:rPr>
      </w:pPr>
    </w:p>
    <w:p w14:paraId="3773C4BD" w14:textId="77777777" w:rsidR="00BA5FC1" w:rsidRPr="00D95A1A" w:rsidRDefault="00BA5FC1" w:rsidP="00441B6F">
      <w:pPr>
        <w:pStyle w:val="Affiliation"/>
        <w:spacing w:after="0" w:line="240" w:lineRule="auto"/>
        <w:jc w:val="both"/>
        <w:rPr>
          <w:rFonts w:ascii="Arial" w:hAnsi="Arial" w:cs="Arial"/>
        </w:rPr>
      </w:pPr>
      <w:bookmarkStart w:id="0" w:name="_GoBack"/>
      <w:bookmarkEnd w:id="0"/>
    </w:p>
    <w:p w14:paraId="731A67A4" w14:textId="77777777" w:rsidR="00B01FCD" w:rsidRPr="00D95A1A" w:rsidRDefault="00BA5FC1" w:rsidP="00441B6F">
      <w:pPr>
        <w:pStyle w:val="Copyright"/>
        <w:spacing w:after="0" w:line="240" w:lineRule="auto"/>
        <w:jc w:val="both"/>
        <w:rPr>
          <w:rFonts w:ascii="Arial" w:hAnsi="Arial" w:cs="Arial"/>
        </w:rPr>
        <w:sectPr w:rsidR="00B01FCD" w:rsidRPr="00D95A1A" w:rsidSect="00BA5F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95A1A">
        <w:rPr>
          <w:rFonts w:ascii="Arial" w:hAnsi="Arial" w:cs="Arial"/>
          <w:noProof/>
        </w:rPr>
        <mc:AlternateContent>
          <mc:Choice Requires="wps">
            <w:drawing>
              <wp:inline distT="0" distB="0" distL="0" distR="0" wp14:anchorId="136DAF12" wp14:editId="71E21064">
                <wp:extent cx="5303520" cy="635"/>
                <wp:effectExtent l="0" t="12700" r="5080" b="12065"/>
                <wp:docPr id="11240934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C225D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" strokeweight="1.5pt">
                <o:lock v:ext="edit" shapetype="f"/>
                <w10:anchorlock/>
              </v:shape>
            </w:pict>
          </mc:Fallback>
        </mc:AlternateContent>
      </w:r>
      <w:r w:rsidR="00FB3A86" w:rsidRPr="00D95A1A">
        <w:rPr>
          <w:rFonts w:ascii="Arial" w:hAnsi="Arial" w:cs="Arial"/>
        </w:rPr>
        <w:t>.</w:t>
      </w:r>
    </w:p>
    <w:p w14:paraId="5706E59A" w14:textId="1C3DACCD" w:rsidR="00B01FCD" w:rsidRPr="00D95A1A" w:rsidRDefault="00B01FCD" w:rsidP="00441B6F">
      <w:pPr>
        <w:pStyle w:val="AbstHead"/>
        <w:spacing w:after="0"/>
        <w:jc w:val="both"/>
        <w:rPr>
          <w:rFonts w:ascii="Arial" w:hAnsi="Arial" w:cs="Arial"/>
        </w:rPr>
      </w:pPr>
      <w:r w:rsidRPr="00D95A1A">
        <w:rPr>
          <w:rFonts w:ascii="Arial" w:hAnsi="Arial" w:cs="Arial"/>
        </w:rPr>
        <w:t>ABSTRACT</w:t>
      </w:r>
    </w:p>
    <w:p w14:paraId="3EA33BDB" w14:textId="77777777" w:rsidR="00790ADA" w:rsidRPr="00D95A1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87"/>
      </w:tblGrid>
      <w:tr w:rsidR="00296529" w:rsidRPr="00D95A1A" w14:paraId="5C2E8860" w14:textId="77777777" w:rsidTr="00FF3690">
        <w:trPr>
          <w:trHeight w:val="1047"/>
        </w:trPr>
        <w:tc>
          <w:tcPr>
            <w:tcW w:w="10787" w:type="dxa"/>
            <w:shd w:val="clear" w:color="auto" w:fill="F2F2F2"/>
          </w:tcPr>
          <w:p w14:paraId="073D77EE" w14:textId="6D4D89D8" w:rsidR="00505F06" w:rsidRPr="00D95A1A" w:rsidRDefault="0036510B" w:rsidP="00441B6F">
            <w:pPr>
              <w:pStyle w:val="Body"/>
              <w:spacing w:after="0"/>
              <w:rPr>
                <w:rFonts w:ascii="Arial" w:eastAsia="Calibri" w:hAnsi="Arial" w:cs="Arial"/>
                <w:szCs w:val="22"/>
              </w:rPr>
            </w:pPr>
            <w:r w:rsidRPr="00D95A1A">
              <w:rPr>
                <w:rFonts w:ascii="Arial" w:eastAsia="Calibri" w:hAnsi="Arial" w:cs="Arial"/>
                <w:szCs w:val="22"/>
              </w:rPr>
              <w:t>Applying active teaching methods has become a dominant trend in current educational research and practice. Integrated teaching of selected topics within the Oxygen</w:t>
            </w:r>
            <w:r w:rsidR="00232C15" w:rsidRPr="00D95A1A">
              <w:rPr>
                <w:rFonts w:ascii="Arial" w:eastAsia="Calibri" w:hAnsi="Arial" w:cs="Arial"/>
                <w:szCs w:val="22"/>
              </w:rPr>
              <w:t xml:space="preserve"> </w:t>
            </w:r>
            <w:r w:rsidRPr="00D95A1A">
              <w:rPr>
                <w:rFonts w:ascii="Arial" w:eastAsia="Calibri" w:hAnsi="Arial" w:cs="Arial"/>
                <w:szCs w:val="22"/>
              </w:rPr>
              <w:t>–</w:t>
            </w:r>
            <w:r w:rsidR="00232C15" w:rsidRPr="00D95A1A">
              <w:rPr>
                <w:rFonts w:ascii="Arial" w:eastAsia="Calibri" w:hAnsi="Arial" w:cs="Arial"/>
                <w:szCs w:val="22"/>
              </w:rPr>
              <w:t xml:space="preserve"> </w:t>
            </w:r>
            <w:r w:rsidRPr="00D95A1A">
              <w:rPr>
                <w:rFonts w:ascii="Arial" w:eastAsia="Calibri" w:hAnsi="Arial" w:cs="Arial"/>
                <w:szCs w:val="22"/>
              </w:rPr>
              <w:t>Sulfur content is considered an effective approach to developing learners’ competence in applying knowledge and skills. This paper examines the theoretical foundations, analyzes the current situation, and proposes solutions for organizing integrated teaching in the Oxygen</w:t>
            </w:r>
            <w:r w:rsidR="00232C15" w:rsidRPr="00D95A1A">
              <w:rPr>
                <w:rFonts w:ascii="Arial" w:eastAsia="Calibri" w:hAnsi="Arial" w:cs="Arial"/>
                <w:szCs w:val="22"/>
              </w:rPr>
              <w:t xml:space="preserve"> </w:t>
            </w:r>
            <w:r w:rsidRPr="00D95A1A">
              <w:rPr>
                <w:rFonts w:ascii="Arial" w:eastAsia="Calibri" w:hAnsi="Arial" w:cs="Arial"/>
                <w:szCs w:val="22"/>
              </w:rPr>
              <w:t>–</w:t>
            </w:r>
            <w:r w:rsidR="00232C15" w:rsidRPr="00D95A1A">
              <w:rPr>
                <w:rFonts w:ascii="Arial" w:eastAsia="Calibri" w:hAnsi="Arial" w:cs="Arial"/>
                <w:szCs w:val="22"/>
              </w:rPr>
              <w:t xml:space="preserve"> </w:t>
            </w:r>
            <w:r w:rsidRPr="00D95A1A">
              <w:rPr>
                <w:rFonts w:ascii="Arial" w:eastAsia="Calibri" w:hAnsi="Arial" w:cs="Arial"/>
                <w:szCs w:val="22"/>
              </w:rPr>
              <w:t>Sulfur course.</w:t>
            </w:r>
          </w:p>
        </w:tc>
      </w:tr>
    </w:tbl>
    <w:p w14:paraId="0032BD72" w14:textId="77777777" w:rsidR="00636EB2" w:rsidRPr="00D95A1A" w:rsidRDefault="00636EB2" w:rsidP="00441B6F">
      <w:pPr>
        <w:pStyle w:val="Body"/>
        <w:spacing w:after="0"/>
        <w:rPr>
          <w:rFonts w:ascii="Arial" w:hAnsi="Arial" w:cs="Arial"/>
          <w:i/>
        </w:rPr>
      </w:pPr>
    </w:p>
    <w:p w14:paraId="359A677A" w14:textId="24353970" w:rsidR="00A24E7E" w:rsidRPr="00D95A1A" w:rsidRDefault="00A24E7E" w:rsidP="00441B6F">
      <w:pPr>
        <w:pStyle w:val="Body"/>
        <w:spacing w:after="0"/>
        <w:rPr>
          <w:rFonts w:ascii="Arial" w:hAnsi="Arial" w:cs="Arial"/>
          <w:i/>
        </w:rPr>
      </w:pPr>
      <w:r w:rsidRPr="00D95A1A">
        <w:rPr>
          <w:rFonts w:ascii="Arial" w:hAnsi="Arial" w:cs="Arial"/>
          <w:i/>
        </w:rPr>
        <w:t xml:space="preserve">Keywords: </w:t>
      </w:r>
      <w:r w:rsidR="0036510B" w:rsidRPr="00D95A1A">
        <w:rPr>
          <w:rFonts w:ascii="Arial" w:hAnsi="Arial" w:cs="Arial"/>
          <w:i/>
        </w:rPr>
        <w:t>teaching, chemistry, skills, integration</w:t>
      </w:r>
    </w:p>
    <w:p w14:paraId="7F807B79" w14:textId="77777777" w:rsidR="00790ADA" w:rsidRPr="00D95A1A" w:rsidRDefault="00790ADA" w:rsidP="00441B6F">
      <w:pPr>
        <w:pStyle w:val="Body"/>
        <w:spacing w:after="0"/>
        <w:rPr>
          <w:rFonts w:ascii="Arial" w:hAnsi="Arial" w:cs="Arial"/>
          <w:i/>
        </w:rPr>
      </w:pPr>
    </w:p>
    <w:p w14:paraId="6D3C7B09" w14:textId="6AE10B5F" w:rsidR="007F7B32" w:rsidRPr="00D95A1A" w:rsidRDefault="00902823" w:rsidP="00441B6F">
      <w:pPr>
        <w:pStyle w:val="AbstHead"/>
        <w:spacing w:after="0"/>
        <w:jc w:val="both"/>
        <w:rPr>
          <w:rFonts w:ascii="Arial" w:hAnsi="Arial" w:cs="Arial"/>
        </w:rPr>
      </w:pPr>
      <w:r w:rsidRPr="00D95A1A">
        <w:rPr>
          <w:rFonts w:ascii="Arial" w:hAnsi="Arial" w:cs="Arial"/>
        </w:rPr>
        <w:t xml:space="preserve">1. </w:t>
      </w:r>
      <w:r w:rsidR="00B01FCD" w:rsidRPr="00D95A1A">
        <w:rPr>
          <w:rFonts w:ascii="Arial" w:hAnsi="Arial" w:cs="Arial"/>
        </w:rPr>
        <w:t>INTRODUCTION</w:t>
      </w:r>
    </w:p>
    <w:p w14:paraId="2BBC2A2B" w14:textId="77777777" w:rsidR="00CE08FB" w:rsidRPr="00D95A1A" w:rsidRDefault="00CE08FB" w:rsidP="00441B6F">
      <w:pPr>
        <w:pStyle w:val="Body"/>
        <w:spacing w:after="0"/>
        <w:rPr>
          <w:rFonts w:ascii="Arial" w:hAnsi="Arial" w:cs="Arial"/>
        </w:rPr>
        <w:sectPr w:rsidR="00CE08FB" w:rsidRPr="00D95A1A" w:rsidSect="00BA5FC1">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065A12B6" w14:textId="77777777" w:rsidR="00505F06" w:rsidRPr="00D95A1A" w:rsidRDefault="00505F06" w:rsidP="00441B6F">
      <w:pPr>
        <w:pStyle w:val="Body"/>
        <w:spacing w:after="0"/>
        <w:rPr>
          <w:rFonts w:ascii="Arial" w:hAnsi="Arial" w:cs="Arial"/>
        </w:rPr>
      </w:pPr>
    </w:p>
    <w:p w14:paraId="25F4C26F" w14:textId="77777777" w:rsidR="00F7275F" w:rsidRPr="00D95A1A" w:rsidRDefault="00F7275F" w:rsidP="00F7275F">
      <w:pPr>
        <w:pStyle w:val="Body"/>
        <w:spacing w:after="0"/>
        <w:rPr>
          <w:rFonts w:ascii="Arial" w:hAnsi="Arial" w:cs="Arial"/>
        </w:rPr>
      </w:pPr>
      <w:r w:rsidRPr="00D95A1A">
        <w:rPr>
          <w:rFonts w:ascii="Arial" w:hAnsi="Arial" w:cs="Arial"/>
        </w:rPr>
        <w:t>The integrated teaching approach aims to form and develop essential competencies for learners, with particular emphasis on the ability to apply knowledge to effectively solve real-life situations. Through the integration of educational content into existing subjects, teachers organize appropriate teaching activities and directly guide learners in collecting, selecting, and processing information, as well as applying knowledge and skills to address problems in learning and everyday life. As a result, learners’ learning experiences become more meaningful, contributing to the development of problem-solving competence and meeting the requirements of educational innovation.</w:t>
      </w:r>
    </w:p>
    <w:p w14:paraId="39D3D100" w14:textId="77777777" w:rsidR="00F7275F" w:rsidRPr="00D95A1A" w:rsidRDefault="00F7275F" w:rsidP="00F7275F">
      <w:pPr>
        <w:pStyle w:val="Body"/>
        <w:spacing w:after="0"/>
        <w:rPr>
          <w:rFonts w:ascii="Arial" w:hAnsi="Arial" w:cs="Arial"/>
        </w:rPr>
      </w:pPr>
      <w:r w:rsidRPr="00D95A1A">
        <w:rPr>
          <w:rFonts w:ascii="Arial" w:hAnsi="Arial" w:cs="Arial"/>
        </w:rPr>
        <w:t>The fundamental objective of integrated teaching is to establish a foundation for the comprehensive development of learners’ competencies, strengthen connections among subjects and different learning domains, and link knowledge with practice. This approach enables learners to access and acquire a broad system of human knowledge while minimizing content overlap between subjects. Integrated curricula are designed by embedding essential content into existing subject matter and supplementing it with selected advanced elements from international curricula to enhance educational quality. Consequently, learners have opportunities to develop foreign language competence, update new knowledge, and continuously improve themselves to meet the demands of international integration.</w:t>
      </w:r>
    </w:p>
    <w:p w14:paraId="0E05BB14" w14:textId="77777777" w:rsidR="00F7275F" w:rsidRPr="00D95A1A" w:rsidRDefault="00F7275F" w:rsidP="00F7275F">
      <w:pPr>
        <w:pStyle w:val="Body"/>
        <w:spacing w:after="0"/>
        <w:rPr>
          <w:rFonts w:ascii="Arial" w:hAnsi="Arial" w:cs="Arial"/>
        </w:rPr>
      </w:pPr>
      <w:r w:rsidRPr="00D95A1A">
        <w:rPr>
          <w:rFonts w:ascii="Arial" w:hAnsi="Arial" w:cs="Arial"/>
        </w:rPr>
        <w:t>To date, integrated teaching has been studied from various perspectives, leading to the formation of multiple approaches. In practice, integrated teaching may be implemented through different forms, including integration by embedding or contextual linkage, integration through interdisciplinary knowledge application, and integration through full blending.</w:t>
      </w:r>
    </w:p>
    <w:p w14:paraId="0CE6AC16" w14:textId="77777777" w:rsidR="00F7275F" w:rsidRPr="00D95A1A" w:rsidRDefault="00F7275F" w:rsidP="00F7275F">
      <w:pPr>
        <w:pStyle w:val="Body"/>
        <w:spacing w:after="0"/>
        <w:rPr>
          <w:rFonts w:ascii="Arial" w:hAnsi="Arial" w:cs="Arial"/>
        </w:rPr>
      </w:pPr>
      <w:r w:rsidRPr="00D95A1A">
        <w:rPr>
          <w:rFonts w:ascii="Arial" w:hAnsi="Arial" w:cs="Arial"/>
        </w:rPr>
        <w:t>In addition to the aforementioned benefits, integrated teaching also contributes to redefining the roles of teachers and learners in the teaching–learning process. Teachers are not only transmitters of knowledge but also designers, organizers, and facilitators of experiential learning activities that enable learners to actively explore, construct knowledge, and develop essential skills. Learners shift from passive recipients to central participants in the learning process, actively engaging in diverse learning activities such as group discussions, case studies, project-based learning, and practice-oriented tasks. Through these activities, competencies such as critical thinking, collaboration, communication, creativity, and self – directed learning are formed and sustainably developed.</w:t>
      </w:r>
    </w:p>
    <w:p w14:paraId="488C804C" w14:textId="086475DA" w:rsidR="00B01FCD" w:rsidRPr="00D95A1A" w:rsidRDefault="00F7275F" w:rsidP="00F7275F">
      <w:pPr>
        <w:pStyle w:val="Body"/>
        <w:spacing w:after="0"/>
        <w:rPr>
          <w:rFonts w:ascii="Arial" w:hAnsi="Arial" w:cs="Arial"/>
        </w:rPr>
      </w:pPr>
      <w:r w:rsidRPr="00D95A1A">
        <w:rPr>
          <w:rFonts w:ascii="Arial" w:hAnsi="Arial" w:cs="Arial"/>
        </w:rPr>
        <w:t xml:space="preserve">However, for integrated teaching to be implemented effectively in educational institutions, comprehensive preparation is required in terms of curriculum design, teaching materials, facilities, and teachers’ professional competencies. Providing professional development for teachers in integrated teaching methods, developing flexible teaching plans, and assessing learning outcomes based on a competency-oriented approach </w:t>
      </w:r>
      <w:r w:rsidRPr="00D95A1A">
        <w:rPr>
          <w:rFonts w:ascii="Arial" w:hAnsi="Arial" w:cs="Arial"/>
        </w:rPr>
        <w:lastRenderedPageBreak/>
        <w:t>are crucial factors that contribute to improving educational quality and meeting the requirements of fundamental and comprehensive educational reform in the current context.</w:t>
      </w:r>
    </w:p>
    <w:p w14:paraId="6CB99802" w14:textId="2FC71FD5" w:rsidR="0076254E" w:rsidRPr="00D95A1A" w:rsidRDefault="0076254E" w:rsidP="00F7275F">
      <w:pPr>
        <w:pStyle w:val="Body"/>
        <w:spacing w:after="0"/>
        <w:rPr>
          <w:rFonts w:ascii="Arial" w:hAnsi="Arial" w:cs="Arial"/>
        </w:rPr>
      </w:pPr>
      <w:r w:rsidRPr="00D95A1A">
        <w:rPr>
          <w:rFonts w:ascii="Arial" w:hAnsi="Arial" w:cs="Arial"/>
        </w:rPr>
        <w:t>Moreover, the effectiveness of integrated teaching largely depends on the consistency between instructional design and learners’ real learning experiences. Meaningful integration requires that learning tasks be situated in authentic contexts, allowing learners to perceive the relevance of knowledge and actively transfer it across different situations. The incorporation of real-world problems, interdisciplinary projects, and practical case studies enhances learners’ engagement and motivation, while also strengthening their ability to connect theoretical knowledge with practice. Through continuous reflection and feedback, integrated teaching supports learners in developing adaptive learning strategies and lifelong learning competencies, thereby reinforcing the long-term impact of this approach on both academic achievement and professional readiness.</w:t>
      </w:r>
    </w:p>
    <w:p w14:paraId="5122B595" w14:textId="77777777" w:rsidR="00790ADA" w:rsidRPr="00D95A1A" w:rsidRDefault="00790ADA" w:rsidP="00441B6F">
      <w:pPr>
        <w:pStyle w:val="Body"/>
        <w:spacing w:after="0"/>
        <w:rPr>
          <w:rFonts w:ascii="Arial" w:hAnsi="Arial" w:cs="Arial"/>
        </w:rPr>
      </w:pPr>
    </w:p>
    <w:p w14:paraId="3B9CE407" w14:textId="40F15489" w:rsidR="007F7B32" w:rsidRPr="00D95A1A" w:rsidRDefault="00902823" w:rsidP="00441B6F">
      <w:pPr>
        <w:pStyle w:val="AbstHead"/>
        <w:spacing w:after="0"/>
        <w:jc w:val="both"/>
        <w:rPr>
          <w:rFonts w:ascii="Arial" w:hAnsi="Arial" w:cs="Arial"/>
        </w:rPr>
      </w:pPr>
      <w:r w:rsidRPr="00D95A1A">
        <w:rPr>
          <w:rFonts w:ascii="Arial" w:hAnsi="Arial" w:cs="Arial"/>
        </w:rPr>
        <w:t xml:space="preserve">2. </w:t>
      </w:r>
      <w:r w:rsidR="00F7275F" w:rsidRPr="00D95A1A">
        <w:rPr>
          <w:rFonts w:ascii="Arial" w:hAnsi="Arial" w:cs="Arial"/>
        </w:rPr>
        <w:t>General Theoretical Framework of the Integrated Teaching Method</w:t>
      </w:r>
    </w:p>
    <w:p w14:paraId="4FD1E8D7" w14:textId="77777777" w:rsidR="00790ADA" w:rsidRPr="00D95A1A" w:rsidRDefault="00790ADA" w:rsidP="00441B6F">
      <w:pPr>
        <w:pStyle w:val="Body"/>
        <w:spacing w:after="0"/>
        <w:rPr>
          <w:rFonts w:ascii="Arial" w:hAnsi="Arial" w:cs="Arial"/>
        </w:rPr>
      </w:pPr>
    </w:p>
    <w:p w14:paraId="175C972E" w14:textId="77777777" w:rsidR="00F7275F" w:rsidRPr="00D95A1A" w:rsidRDefault="00F7275F" w:rsidP="00F7275F">
      <w:pPr>
        <w:pStyle w:val="Body"/>
        <w:spacing w:after="0"/>
        <w:rPr>
          <w:rFonts w:ascii="Arial" w:hAnsi="Arial" w:cs="Arial"/>
        </w:rPr>
      </w:pPr>
      <w:r w:rsidRPr="00D95A1A">
        <w:rPr>
          <w:rFonts w:ascii="Arial" w:hAnsi="Arial" w:cs="Arial"/>
        </w:rPr>
        <w:t>Resolution No. 29-NQ/TW dated November 4, 2013, of the 8th Plenary Session of the 11th Central Committee on fundamental and comprehensive reform of education and training emphasized the need to continue strongly innovating teaching and learning methods in a modern direction. The Resolution highlights the promotion of learners’ activeness, initiative, creativity, and competence in applying knowledge and skills, while overcoming one-way knowledge transmission and rote memorization. It also underscores the importance of teaching learners how to learn and how to think, encouraging self-directed learning, diversifying forms of learning organization, and enhancing the application of information technology in teaching. In this context, improving learning quality through the innovation of teaching methods, especially the application of active teaching approaches, has become an urgent requirement of contemporary education.</w:t>
      </w:r>
    </w:p>
    <w:p w14:paraId="5620895D" w14:textId="77777777" w:rsidR="00F7275F" w:rsidRPr="00D95A1A" w:rsidRDefault="00F7275F" w:rsidP="00F7275F">
      <w:pPr>
        <w:pStyle w:val="Body"/>
        <w:spacing w:after="0"/>
        <w:rPr>
          <w:rFonts w:ascii="Arial" w:hAnsi="Arial" w:cs="Arial"/>
        </w:rPr>
      </w:pPr>
      <w:r w:rsidRPr="00D95A1A">
        <w:rPr>
          <w:rFonts w:ascii="Arial" w:hAnsi="Arial" w:cs="Arial"/>
        </w:rPr>
        <w:t>Integrated teaching programs demonstrate many outstanding advantages, notably the renewal of teaching organization toward a learner-centered approach, strengthening interaction between teachers and learners, reducing excessive theoretical content, and increasing practical learning time. As a result, learners are better able to master core knowledge, develop practical skills, and reduce learning pressure. Integrated teaching content can be implemented at various levels, including intradisciplinary integration, multidisciplinary integration, interdisciplinary integration, and transdisciplinary integration.</w:t>
      </w:r>
    </w:p>
    <w:p w14:paraId="3942A3D4" w14:textId="77777777" w:rsidR="00F7275F" w:rsidRPr="00D95A1A" w:rsidRDefault="00F7275F" w:rsidP="00F7275F">
      <w:pPr>
        <w:pStyle w:val="Body"/>
        <w:spacing w:after="0"/>
        <w:rPr>
          <w:rFonts w:ascii="Arial" w:hAnsi="Arial" w:cs="Arial"/>
        </w:rPr>
      </w:pPr>
      <w:r w:rsidRPr="00D95A1A">
        <w:rPr>
          <w:rFonts w:ascii="Arial" w:hAnsi="Arial" w:cs="Arial"/>
        </w:rPr>
        <w:t xml:space="preserve">Intradisciplinary integration refers to the organization of teaching within a single subject, in which teachers flexibly combine topics, content, and methods to help learners achieve deep understanding and effective knowledge application. Multidisciplinary integration </w:t>
      </w:r>
      <w:r w:rsidRPr="00D95A1A">
        <w:rPr>
          <w:rFonts w:ascii="Arial" w:hAnsi="Arial" w:cs="Arial"/>
        </w:rPr>
        <w:t>involves combining topics from different subjects around a common theme, often implemented through experiential activities or project-based learning. Interdisciplinary integration emphasizes mobilizing knowledge from various subjects to address shared problems, thereby enabling learners to apply knowledge in a comprehensive manner. Transdisciplinary integration represents the highest level, in which learners apply knowledge and skills from multiple subjects to solve real-life situations or carry out comprehensive learning projects.</w:t>
      </w:r>
    </w:p>
    <w:p w14:paraId="4C93DD32" w14:textId="77777777" w:rsidR="00F7275F" w:rsidRPr="00D95A1A" w:rsidRDefault="00F7275F" w:rsidP="00F7275F">
      <w:pPr>
        <w:pStyle w:val="Body"/>
        <w:spacing w:after="0"/>
        <w:rPr>
          <w:rFonts w:ascii="Arial" w:hAnsi="Arial" w:cs="Arial"/>
        </w:rPr>
      </w:pPr>
      <w:r w:rsidRPr="00D95A1A">
        <w:rPr>
          <w:rFonts w:ascii="Arial" w:hAnsi="Arial" w:cs="Arial"/>
        </w:rPr>
        <w:t>In addition to these classifications, current teaching practice commonly employs three popular forms of integration: embedding or contextual linkage, interdisciplinary knowledge application, and blending. Embedding or contextual linkage integrates educational content and real-world issues into the core content of a subject to enhance the attractiveness and relevance of lessons. Interdisciplinary knowledge application requires learners to draw on knowledge from different subjects to solve given problems while maintaining the systematic structure of each individual subject. Blending represents a high level of integration, in which learning content is constructed by combining knowledge from multiple subjects within a unified theme, without separating content by individual disciplines.</w:t>
      </w:r>
    </w:p>
    <w:p w14:paraId="5BA95CEF" w14:textId="5F99B78E" w:rsidR="00E66E10" w:rsidRPr="00D95A1A" w:rsidRDefault="00F7275F" w:rsidP="00F7275F">
      <w:pPr>
        <w:pStyle w:val="Body"/>
        <w:spacing w:after="0"/>
        <w:rPr>
          <w:rFonts w:ascii="Arial" w:hAnsi="Arial" w:cs="Arial"/>
        </w:rPr>
      </w:pPr>
      <w:r w:rsidRPr="00D95A1A">
        <w:rPr>
          <w:rFonts w:ascii="Arial" w:hAnsi="Arial" w:cs="Arial"/>
        </w:rPr>
        <w:t>In teaching, the integrated approach plays an important role in organizing learning activities that promote learners’ activeness and initiative. The application of integrated teaching enables learners not only to master knowledge but also to relate and apply knowledge and skills to practical situations. Through integrated learning activities such as discussions, problem-solving, and practice, learners have opportunities to develop logical thinking, critical thinking, and collaborative skills. With notable advantages such as flexibility, reduced content overload, enhanced practical relevance, and suitability for diverse learner groups, integrated teaching is increasingly being widely applied in educational institutions. This approach contributes to helping learners grasp core knowledge, develop essential skills, and establish a solid foundation for lifelong learning as well as future professional practice.</w:t>
      </w:r>
    </w:p>
    <w:p w14:paraId="15F5233A" w14:textId="77777777" w:rsidR="00715704" w:rsidRPr="00D95A1A" w:rsidRDefault="00715704" w:rsidP="00715704">
      <w:pPr>
        <w:pStyle w:val="Body"/>
        <w:spacing w:after="0"/>
        <w:rPr>
          <w:rFonts w:ascii="Arial" w:hAnsi="Arial" w:cs="Arial"/>
        </w:rPr>
      </w:pPr>
      <w:r w:rsidRPr="00D95A1A">
        <w:rPr>
          <w:rFonts w:ascii="Arial" w:hAnsi="Arial" w:cs="Arial"/>
        </w:rPr>
        <w:t>Building on the above theoretical foundations, the effective implementation of integrated teaching requires systematic planning and close alignment among learning objectives, instructional content, teaching methods, and assessment strategies. In practice, instructors need to design meaningful learning activities that connect knowledge across disciplines while ensuring scientific rigor and coherence. Integrated themes should be selected based on real-world contexts or professional issues relevant to learners’ academic and occupational orientations, thereby enhancing learning motivation and engagement.</w:t>
      </w:r>
    </w:p>
    <w:p w14:paraId="7855383E" w14:textId="77777777" w:rsidR="00715704" w:rsidRPr="00D95A1A" w:rsidRDefault="00715704" w:rsidP="00715704">
      <w:pPr>
        <w:pStyle w:val="Body"/>
        <w:spacing w:after="0"/>
        <w:rPr>
          <w:rFonts w:ascii="Arial" w:hAnsi="Arial" w:cs="Arial"/>
        </w:rPr>
      </w:pPr>
      <w:r w:rsidRPr="00D95A1A">
        <w:rPr>
          <w:rFonts w:ascii="Arial" w:hAnsi="Arial" w:cs="Arial"/>
        </w:rPr>
        <w:t xml:space="preserve">Assessment in integrated teaching should move beyond traditional content-based examinations toward competency-oriented evaluation. A variety of assessment methods, such as performance-based tasks, project products, presentations, reflective reports, </w:t>
      </w:r>
      <w:r w:rsidRPr="00D95A1A">
        <w:rPr>
          <w:rFonts w:ascii="Arial" w:hAnsi="Arial" w:cs="Arial"/>
        </w:rPr>
        <w:lastRenderedPageBreak/>
        <w:t>and collaborative assignments, can be employed to capture learners’ ability to apply knowledge and skills in authentic contexts. Formative assessment plays a crucial role by providing timely feedback, supporting continuous improvement, and enabling instructors to adjust teaching strategies in response to learners’ needs.</w:t>
      </w:r>
    </w:p>
    <w:p w14:paraId="785B957F" w14:textId="77777777" w:rsidR="00715704" w:rsidRPr="00D95A1A" w:rsidRDefault="00715704" w:rsidP="00715704">
      <w:pPr>
        <w:pStyle w:val="Body"/>
        <w:spacing w:after="0"/>
        <w:rPr>
          <w:rFonts w:ascii="Arial" w:hAnsi="Arial" w:cs="Arial"/>
        </w:rPr>
      </w:pPr>
      <w:r w:rsidRPr="00D95A1A">
        <w:rPr>
          <w:rFonts w:ascii="Arial" w:hAnsi="Arial" w:cs="Arial"/>
        </w:rPr>
        <w:t>The successful adoption of integrated teaching also depends significantly on instructors’ professional capacity. Instructors are expected not only to possess solid subject-matter expertise but also to have interdisciplinary understanding, instructional design skills, and the ability to facilitate learner-centered and experiential learning activities. Therefore, professional development programs focusing on integrated curriculum design, active learning methodologies, and competency-based assessment are essential to enhance teaching effectiveness.</w:t>
      </w:r>
    </w:p>
    <w:p w14:paraId="6C833207" w14:textId="77777777" w:rsidR="00715704" w:rsidRPr="00D95A1A" w:rsidRDefault="00715704" w:rsidP="00715704">
      <w:pPr>
        <w:pStyle w:val="Body"/>
        <w:spacing w:after="0"/>
        <w:rPr>
          <w:rFonts w:ascii="Arial" w:hAnsi="Arial" w:cs="Arial"/>
        </w:rPr>
      </w:pPr>
      <w:r w:rsidRPr="00D95A1A">
        <w:rPr>
          <w:rFonts w:ascii="Arial" w:hAnsi="Arial" w:cs="Arial"/>
        </w:rPr>
        <w:t>Furthermore, adequate learning resources and supportive learning environments are indispensable conditions for integrated teaching. The effective use of information and communication technologies, digital learning platforms, and open educational resources facilitates interdisciplinary connections and promotes learners’ autonomy in knowledge exploration. When implemented effectively, integrated teaching helps bridge the gap between theory and practice, fosters critical thinking, creativity, and problem-solving competence, and better prepares learners to meet the demands of educational reform and the rapidly changing labor market.</w:t>
      </w:r>
    </w:p>
    <w:p w14:paraId="2C4A0500" w14:textId="77777777" w:rsidR="0076254E" w:rsidRPr="00D95A1A" w:rsidRDefault="0076254E" w:rsidP="0076254E">
      <w:pPr>
        <w:pStyle w:val="Body"/>
        <w:spacing w:after="0"/>
        <w:rPr>
          <w:rFonts w:ascii="Arial" w:hAnsi="Arial" w:cs="Arial"/>
        </w:rPr>
      </w:pPr>
      <w:r w:rsidRPr="00D95A1A">
        <w:rPr>
          <w:rFonts w:ascii="Arial" w:hAnsi="Arial" w:cs="Arial"/>
        </w:rPr>
        <w:t>In addition, the implementation of integrated teaching should be accompanied by institutional support mechanisms to ensure sustainability and effectiveness. Educational institutions need to provide flexible curricula, appropriate policies, and sufficient resources that enable instructors to design and implement integrated learning activities. Collaboration among departments and disciplines should be encouraged to create coherent learning pathways and avoid fragmentation of knowledge. Such collaboration also facilitates the sharing of teaching experiences, instructional materials, and assessment practices, thereby enhancing overall teaching quality.</w:t>
      </w:r>
    </w:p>
    <w:p w14:paraId="2EAEA5BF" w14:textId="77777777" w:rsidR="0076254E" w:rsidRPr="00D95A1A" w:rsidRDefault="0076254E" w:rsidP="0076254E">
      <w:pPr>
        <w:pStyle w:val="Body"/>
        <w:spacing w:after="0"/>
        <w:rPr>
          <w:rFonts w:ascii="Arial" w:hAnsi="Arial" w:cs="Arial"/>
        </w:rPr>
      </w:pPr>
      <w:r w:rsidRPr="00D95A1A">
        <w:rPr>
          <w:rFonts w:ascii="Arial" w:hAnsi="Arial" w:cs="Arial"/>
        </w:rPr>
        <w:t>Moreover, learners’ readiness and learning habits play an important role in the success of integrated teaching. Learners need to be gradually guided to adapt to active learning environments that require greater autonomy, responsibility, and collaboration. Through continuous exposure to integrated learning tasks, learners can develop self-regulation skills, reflective thinking, and the ability to transfer knowledge across contexts. These competencies are essential not only for academic success but also for professional development in a rapidly changing knowledge-based society.</w:t>
      </w:r>
    </w:p>
    <w:p w14:paraId="7D195491" w14:textId="77777777" w:rsidR="0076254E" w:rsidRPr="00D95A1A" w:rsidRDefault="0076254E" w:rsidP="0076254E">
      <w:pPr>
        <w:pStyle w:val="Body"/>
        <w:spacing w:after="0"/>
        <w:rPr>
          <w:rFonts w:ascii="Arial" w:hAnsi="Arial" w:cs="Arial"/>
        </w:rPr>
      </w:pPr>
      <w:r w:rsidRPr="00D95A1A">
        <w:rPr>
          <w:rFonts w:ascii="Arial" w:hAnsi="Arial" w:cs="Arial"/>
        </w:rPr>
        <w:t xml:space="preserve">Finally, the application of integrated teaching should be continuously evaluated and refined based on empirical evidence and feedback from both instructors and learners. Systematic research on learning outcomes, teaching effectiveness, and learner experiences can </w:t>
      </w:r>
      <w:r w:rsidRPr="00D95A1A">
        <w:rPr>
          <w:rFonts w:ascii="Arial" w:hAnsi="Arial" w:cs="Arial"/>
        </w:rPr>
        <w:t>provide valuable insights for improving instructional design and implementation. By combining theoretical foundations with practical reflection and evidence-based improvement, integrated teaching can be further optimized to meet the evolving demands of education reform and contribute to the development of high-quality human resources in the modern era.</w:t>
      </w:r>
    </w:p>
    <w:p w14:paraId="6B671E5D" w14:textId="77777777" w:rsidR="00790ADA" w:rsidRPr="00D95A1A" w:rsidRDefault="00790ADA" w:rsidP="00441B6F">
      <w:pPr>
        <w:pStyle w:val="Body"/>
        <w:spacing w:after="0"/>
        <w:rPr>
          <w:rFonts w:ascii="Arial" w:hAnsi="Arial" w:cs="Arial"/>
        </w:rPr>
      </w:pPr>
    </w:p>
    <w:p w14:paraId="6E04D7C9" w14:textId="7D7A488A" w:rsidR="00902823" w:rsidRPr="00D95A1A" w:rsidRDefault="00000F8F" w:rsidP="00441B6F">
      <w:pPr>
        <w:pStyle w:val="Head1"/>
        <w:spacing w:after="0"/>
        <w:jc w:val="both"/>
        <w:rPr>
          <w:rFonts w:ascii="Arial" w:hAnsi="Arial" w:cs="Arial"/>
        </w:rPr>
      </w:pPr>
      <w:r w:rsidRPr="00D95A1A">
        <w:rPr>
          <w:rFonts w:ascii="Arial" w:hAnsi="Arial" w:cs="Arial"/>
        </w:rPr>
        <w:t>3</w:t>
      </w:r>
      <w:r w:rsidR="003332D4">
        <w:rPr>
          <w:rFonts w:ascii="Arial" w:hAnsi="Arial" w:cs="Arial"/>
        </w:rPr>
        <w:t>.</w:t>
      </w:r>
      <w:r w:rsidR="00F7275F" w:rsidRPr="00D95A1A">
        <w:rPr>
          <w:rFonts w:ascii="Arial" w:hAnsi="Arial" w:cs="Arial"/>
        </w:rPr>
        <w:t>Application in Designing and Organizing Integrated Teaching for the Oxygen – Sulfur Course</w:t>
      </w:r>
    </w:p>
    <w:p w14:paraId="4AD7198E" w14:textId="77777777" w:rsidR="00790ADA" w:rsidRPr="00D95A1A" w:rsidRDefault="00790ADA" w:rsidP="00441B6F">
      <w:pPr>
        <w:pStyle w:val="Head1"/>
        <w:spacing w:after="0"/>
        <w:jc w:val="both"/>
        <w:rPr>
          <w:rFonts w:ascii="Arial" w:hAnsi="Arial" w:cs="Arial"/>
        </w:rPr>
      </w:pPr>
    </w:p>
    <w:p w14:paraId="022E2C39" w14:textId="5AF1F4E2" w:rsidR="00F7275F" w:rsidRPr="00D95A1A" w:rsidRDefault="00F7275F" w:rsidP="00F7275F">
      <w:pPr>
        <w:pStyle w:val="Body"/>
        <w:spacing w:after="0"/>
        <w:rPr>
          <w:rFonts w:ascii="Arial" w:hAnsi="Arial" w:cs="Arial"/>
        </w:rPr>
      </w:pPr>
      <w:r w:rsidRPr="00D95A1A">
        <w:rPr>
          <w:rFonts w:ascii="Arial" w:hAnsi="Arial" w:cs="Arial"/>
        </w:rPr>
        <w:t>The Oxygen</w:t>
      </w:r>
      <w:r w:rsidR="00715704" w:rsidRPr="00D95A1A">
        <w:rPr>
          <w:rFonts w:ascii="Arial" w:hAnsi="Arial" w:cs="Arial"/>
        </w:rPr>
        <w:t xml:space="preserve"> </w:t>
      </w:r>
      <w:r w:rsidRPr="00D95A1A">
        <w:rPr>
          <w:rFonts w:ascii="Arial" w:hAnsi="Arial" w:cs="Arial"/>
        </w:rPr>
        <w:t>–</w:t>
      </w:r>
      <w:r w:rsidR="00715704" w:rsidRPr="00D95A1A">
        <w:rPr>
          <w:rFonts w:ascii="Arial" w:hAnsi="Arial" w:cs="Arial"/>
        </w:rPr>
        <w:t xml:space="preserve"> </w:t>
      </w:r>
      <w:r w:rsidRPr="00D95A1A">
        <w:rPr>
          <w:rFonts w:ascii="Arial" w:hAnsi="Arial" w:cs="Arial"/>
        </w:rPr>
        <w:t xml:space="preserve">Sulfur content focuses on the study of the </w:t>
      </w:r>
      <w:proofErr w:type="gramStart"/>
      <w:r w:rsidRPr="00D95A1A">
        <w:rPr>
          <w:rFonts w:ascii="Arial" w:hAnsi="Arial" w:cs="Arial"/>
        </w:rPr>
        <w:t>elements</w:t>
      </w:r>
      <w:proofErr w:type="gramEnd"/>
      <w:r w:rsidRPr="00D95A1A">
        <w:rPr>
          <w:rFonts w:ascii="Arial" w:hAnsi="Arial" w:cs="Arial"/>
        </w:rPr>
        <w:t xml:space="preserve"> oxygen and sulfur and their important compounds. The objective of the course is to enable learners to present the position, outer-shell electron configuration, atomic and molecular structural characteristics of oxygen and sulfur, and to describe the physical properties, chemical properties, preparation methods, and applications of representative elements and compounds. At the same time, learners are required to explain the strong oxidizing properties of oxygen and ozone, as well as the oxidizing and reducing properties of sulfur, based on atomic and molecular structural characteristics.</w:t>
      </w:r>
    </w:p>
    <w:p w14:paraId="40633371" w14:textId="77777777" w:rsidR="00F7275F" w:rsidRPr="00D95A1A" w:rsidRDefault="00F7275F" w:rsidP="00F7275F">
      <w:pPr>
        <w:pStyle w:val="Body"/>
        <w:spacing w:after="0"/>
        <w:rPr>
          <w:rFonts w:ascii="Arial" w:hAnsi="Arial" w:cs="Arial"/>
        </w:rPr>
      </w:pPr>
      <w:r w:rsidRPr="00D95A1A">
        <w:rPr>
          <w:rFonts w:ascii="Arial" w:hAnsi="Arial" w:cs="Arial"/>
        </w:rPr>
        <w:t>In addition to knowledge formation, the course content also aims to develop learners’ competence in applying chemical knowledge and skills. Specifically, learners are able to predict the chemical properties of oxygen, sulfur, and certain compounds based on atomic structure, electronegativity, and oxidation states; observe and explain phenomena in relevant chemical experiments; independently conduct simple experiments; write chemical equations for oxidation–reduction reactions; and solve related problem types. Furthermore, learners are trained to develop activeness and initiative in individual learning and group activities, exploit experimental resources, and form a sense of responsibility in the use and handling of chemicals related to health, daily life, and the environment.</w:t>
      </w:r>
    </w:p>
    <w:p w14:paraId="38B93A63" w14:textId="77777777" w:rsidR="00F7275F" w:rsidRPr="00D95A1A" w:rsidRDefault="00F7275F" w:rsidP="00F7275F">
      <w:pPr>
        <w:pStyle w:val="Body"/>
        <w:spacing w:after="0"/>
        <w:rPr>
          <w:rFonts w:ascii="Arial" w:hAnsi="Arial" w:cs="Arial"/>
        </w:rPr>
      </w:pPr>
      <w:r w:rsidRPr="00D95A1A">
        <w:rPr>
          <w:rFonts w:ascii="Arial" w:hAnsi="Arial" w:cs="Arial"/>
        </w:rPr>
        <w:t>In the textile industry, knowledge of oxygen and sulfur is widely applied in various stages of production and textile material processing. Oxygen-based compounds such as hydrogen peroxide and ozone are commonly used in bleaching, cleaning, and finishing processes, contributing to improved product quality, enhanced whiteness, and increased color fastness of fabrics. In particular, the application of ozone technology in denim processing helps reduce water, energy, and chemical consumption, thereby minimizing negative environmental impacts.</w:t>
      </w:r>
    </w:p>
    <w:p w14:paraId="3501CB9F" w14:textId="77777777" w:rsidR="00F7275F" w:rsidRPr="00D95A1A" w:rsidRDefault="00F7275F" w:rsidP="00F7275F">
      <w:pPr>
        <w:pStyle w:val="Body"/>
        <w:spacing w:after="0"/>
        <w:rPr>
          <w:rFonts w:ascii="Arial" w:hAnsi="Arial" w:cs="Arial"/>
        </w:rPr>
      </w:pPr>
      <w:r w:rsidRPr="00D95A1A">
        <w:rPr>
          <w:rFonts w:ascii="Arial" w:hAnsi="Arial" w:cs="Arial"/>
        </w:rPr>
        <w:t xml:space="preserve">In addition, sulfur and its compounds play an important role in textile dyeing technology, especially sulfur dyes used for cotton fibers. Oxidation–reduction reactions involving sulfur provide the basis for explaining dyeing mechanisms, color fixation, and post-dyeing treatments. Applying knowledge from the Oxygen–Sulfur course to textile practice helps learners develop problem-solving competence, understand the requirements of </w:t>
      </w:r>
      <w:r w:rsidRPr="00D95A1A">
        <w:rPr>
          <w:rFonts w:ascii="Arial" w:hAnsi="Arial" w:cs="Arial"/>
        </w:rPr>
        <w:lastRenderedPageBreak/>
        <w:t>sustainable production, and enhance awareness of safe chemical use in industrial contexts.</w:t>
      </w:r>
    </w:p>
    <w:p w14:paraId="2F0EA838" w14:textId="77777777" w:rsidR="00715704" w:rsidRPr="00D95A1A" w:rsidRDefault="00715704" w:rsidP="00715704">
      <w:pPr>
        <w:pStyle w:val="Body"/>
        <w:spacing w:after="0"/>
        <w:rPr>
          <w:rFonts w:ascii="Arial" w:hAnsi="Arial" w:cs="Arial"/>
        </w:rPr>
      </w:pPr>
      <w:r w:rsidRPr="00D95A1A">
        <w:rPr>
          <w:rFonts w:ascii="Arial" w:hAnsi="Arial" w:cs="Arial"/>
        </w:rPr>
        <w:t>Beyond industrial and textile applications, oxygen and sulfur play essential roles in many aspects of daily life, medicine, agriculture, and environmental protection. Oxygen is indispensable for respiration and metabolic processes in living organisms and is widely used in medical oxygen therapy to support patients with respiratory disorders. Ozone, an allotrope of oxygen, is applied in water and air purification systems due to its strong oxidizing ability, effectively eliminating microorganisms and organic pollutants without leaving harmful residues. In food preservation and household sanitation, ozone and oxygen-based compounds contribute to improving hygiene and extending product shelf life.</w:t>
      </w:r>
    </w:p>
    <w:p w14:paraId="60583F5D" w14:textId="77777777" w:rsidR="00715704" w:rsidRPr="00D95A1A" w:rsidRDefault="00715704" w:rsidP="00715704">
      <w:pPr>
        <w:pStyle w:val="Body"/>
        <w:spacing w:after="0"/>
        <w:rPr>
          <w:rFonts w:ascii="Arial" w:hAnsi="Arial" w:cs="Arial"/>
        </w:rPr>
      </w:pPr>
      <w:r w:rsidRPr="00D95A1A">
        <w:rPr>
          <w:rFonts w:ascii="Arial" w:hAnsi="Arial" w:cs="Arial"/>
        </w:rPr>
        <w:t>Sulfur and its compounds are also closely associated with everyday life. Sulfuric acid is one of the most important industrial chemicals, widely used in fertilizer production, petroleum refining, battery manufacturing, and wastewater treatment. In agriculture, sulfur-containing fertilizers improve soil quality and support plant growth by providing essential nutrients. Additionally, sulfur compounds are employed in pharmaceuticals, rubber vulcanization, and the production of detergents and personal care products.</w:t>
      </w:r>
    </w:p>
    <w:p w14:paraId="3483B684" w14:textId="77777777" w:rsidR="00715704" w:rsidRPr="00D95A1A" w:rsidRDefault="00715704" w:rsidP="00715704">
      <w:pPr>
        <w:pStyle w:val="Body"/>
        <w:spacing w:after="0"/>
        <w:rPr>
          <w:rFonts w:ascii="Arial" w:hAnsi="Arial" w:cs="Arial"/>
        </w:rPr>
      </w:pPr>
      <w:r w:rsidRPr="00D95A1A">
        <w:rPr>
          <w:rFonts w:ascii="Arial" w:hAnsi="Arial" w:cs="Arial"/>
        </w:rPr>
        <w:t>From an environmental perspective, understanding the chemical behavior of oxygen and sulfur is crucial for addressing air pollution, acid rain formation, and corrosion processes. Knowledge of oxidation–reduction reactions involving sulfur oxides supports the development of effective strategies for emission control and environmental remediation. Therefore, integrating real-life applications of oxygen and sulfur into teaching not only enriches learners’ understanding of chemical concepts but also enhances their awareness of health, environmental sustainability, and responsible chemical use in everyday life.</w:t>
      </w:r>
    </w:p>
    <w:p w14:paraId="20ED5C91" w14:textId="77777777" w:rsidR="00F7275F" w:rsidRPr="00D95A1A" w:rsidRDefault="00F7275F" w:rsidP="00F7275F">
      <w:pPr>
        <w:pStyle w:val="Body"/>
        <w:spacing w:after="0"/>
        <w:rPr>
          <w:rFonts w:ascii="Arial" w:hAnsi="Arial" w:cs="Arial"/>
        </w:rPr>
      </w:pPr>
      <w:r w:rsidRPr="00D95A1A">
        <w:rPr>
          <w:rFonts w:ascii="Arial" w:hAnsi="Arial" w:cs="Arial"/>
        </w:rPr>
        <w:t>Based on teaching practice and research related to oxygen and sulfur, to effectively apply the integrated teaching method in organizing instruction for selected topics, attention should be paid to the following key aspects:</w:t>
      </w:r>
    </w:p>
    <w:p w14:paraId="4D04FD4B" w14:textId="77777777" w:rsidR="00F7275F" w:rsidRPr="00D95A1A" w:rsidRDefault="00F7275F" w:rsidP="00F7275F">
      <w:pPr>
        <w:pStyle w:val="Body"/>
        <w:spacing w:after="0"/>
        <w:rPr>
          <w:rFonts w:ascii="Arial" w:hAnsi="Arial" w:cs="Arial"/>
        </w:rPr>
      </w:pPr>
      <w:r w:rsidRPr="00D95A1A">
        <w:rPr>
          <w:rFonts w:ascii="Arial" w:hAnsi="Arial" w:cs="Arial"/>
        </w:rPr>
        <w:t>First, regarding content knowledge: Teachers should guide learners to review and systematize previously acquired knowledge related to oxygen, sulfur dioxide, sulfuric acid, atomic structure, chemical bonding, and oxidation–reduction reactions. On this basis, learners apply the knowledge to explain the nature of the strong oxidizing properties of oxygen and ozone, the oxidizing and reducing properties of sulfur and sulfur dioxide, and the strong oxidizing property of sulfuric acid, while making connections to practical issues. Integrating prior knowledge with the formation of new knowledge helps learners consolidate core concepts. For compounds such as SO</w:t>
      </w:r>
      <w:r w:rsidRPr="00D95A1A">
        <w:rPr>
          <w:rFonts w:ascii="Cambria Math" w:hAnsi="Cambria Math" w:cs="Cambria Math"/>
        </w:rPr>
        <w:t>₂</w:t>
      </w:r>
      <w:r w:rsidRPr="00D95A1A">
        <w:rPr>
          <w:rFonts w:ascii="Arial" w:hAnsi="Arial" w:cs="Arial"/>
        </w:rPr>
        <w:t xml:space="preserve"> and SO</w:t>
      </w:r>
      <w:r w:rsidRPr="00D95A1A">
        <w:rPr>
          <w:rFonts w:ascii="Cambria Math" w:hAnsi="Cambria Math" w:cs="Cambria Math"/>
        </w:rPr>
        <w:t>₃</w:t>
      </w:r>
      <w:r w:rsidRPr="00D95A1A">
        <w:rPr>
          <w:rFonts w:ascii="Arial" w:hAnsi="Arial" w:cs="Arial"/>
        </w:rPr>
        <w:t>, structural formulas may be represented based on shared electron pairs or the octet rule, depending on the purpose of explaining specific properties.</w:t>
      </w:r>
    </w:p>
    <w:p w14:paraId="5375FF2F" w14:textId="77777777" w:rsidR="00F7275F" w:rsidRPr="00D95A1A" w:rsidRDefault="00F7275F" w:rsidP="00F7275F">
      <w:pPr>
        <w:pStyle w:val="Body"/>
        <w:spacing w:after="0"/>
        <w:rPr>
          <w:rFonts w:ascii="Arial" w:hAnsi="Arial" w:cs="Arial"/>
        </w:rPr>
      </w:pPr>
      <w:r w:rsidRPr="00D95A1A">
        <w:rPr>
          <w:rFonts w:ascii="Arial" w:hAnsi="Arial" w:cs="Arial"/>
        </w:rPr>
        <w:t>Second, regarding teaching methods: As this course focuses on the study of specific substances, the knowledge formation process should be organized in the following sequence: analysis of atomic and molecular structural characteristics → prediction of chemical properties → verification and confirmation through experiments or scientific materials. Experiments should be carefully selected to avoid duplication of those already performed by learners. When studying molecular structure, problem-based learning and guided inquiry may be applied; for physical and chemical properties, visual methods, experiments, and chemical equations should be combined; for applications and production, active teaching techniques such as group work, projects, and dialogic discussion should be employed to clarify the relationship between properties and practical applications of substances.</w:t>
      </w:r>
    </w:p>
    <w:p w14:paraId="70CB9F37" w14:textId="77777777" w:rsidR="00F7275F" w:rsidRPr="00D95A1A" w:rsidRDefault="00F7275F" w:rsidP="00F7275F">
      <w:pPr>
        <w:pStyle w:val="Body"/>
        <w:spacing w:after="0"/>
        <w:rPr>
          <w:rFonts w:ascii="Arial" w:hAnsi="Arial" w:cs="Arial"/>
        </w:rPr>
      </w:pPr>
      <w:r w:rsidRPr="00D95A1A">
        <w:rPr>
          <w:rFonts w:ascii="Arial" w:hAnsi="Arial" w:cs="Arial"/>
        </w:rPr>
        <w:t>Third, regarding the process of developing integrated teaching topics, the following steps should be followed:</w:t>
      </w:r>
    </w:p>
    <w:p w14:paraId="4EA7E575" w14:textId="77777777" w:rsidR="00F7275F" w:rsidRPr="00D95A1A" w:rsidRDefault="00F7275F" w:rsidP="00F7275F">
      <w:pPr>
        <w:pStyle w:val="Body"/>
        <w:spacing w:after="0"/>
        <w:rPr>
          <w:rFonts w:ascii="Arial" w:hAnsi="Arial" w:cs="Arial"/>
        </w:rPr>
      </w:pPr>
      <w:r w:rsidRPr="00D95A1A">
        <w:rPr>
          <w:rFonts w:ascii="Arial" w:hAnsi="Arial" w:cs="Arial"/>
        </w:rPr>
        <w:t>Step 1: Study the theoretical foundations of integrated teaching.</w:t>
      </w:r>
    </w:p>
    <w:p w14:paraId="1A1AA9AD" w14:textId="77777777" w:rsidR="00F7275F" w:rsidRPr="00D95A1A" w:rsidRDefault="00F7275F" w:rsidP="00F7275F">
      <w:pPr>
        <w:pStyle w:val="Body"/>
        <w:spacing w:after="0"/>
        <w:rPr>
          <w:rFonts w:ascii="Arial" w:hAnsi="Arial" w:cs="Arial"/>
        </w:rPr>
      </w:pPr>
      <w:r w:rsidRPr="00D95A1A">
        <w:rPr>
          <w:rFonts w:ascii="Arial" w:hAnsi="Arial" w:cs="Arial"/>
        </w:rPr>
        <w:t>Step 2: Analyze the curriculum and textbooks to identify closely related content connected to local, national, or global practical issues.</w:t>
      </w:r>
    </w:p>
    <w:p w14:paraId="0BEC021B" w14:textId="77777777" w:rsidR="00F7275F" w:rsidRPr="00D95A1A" w:rsidRDefault="00F7275F" w:rsidP="00F7275F">
      <w:pPr>
        <w:pStyle w:val="Body"/>
        <w:spacing w:after="0"/>
        <w:rPr>
          <w:rFonts w:ascii="Arial" w:hAnsi="Arial" w:cs="Arial"/>
        </w:rPr>
      </w:pPr>
      <w:r w:rsidRPr="00D95A1A">
        <w:rPr>
          <w:rFonts w:ascii="Arial" w:hAnsi="Arial" w:cs="Arial"/>
        </w:rPr>
        <w:t>Step 3: Determine the integrated topic, participating subject areas, and implementation duration.</w:t>
      </w:r>
    </w:p>
    <w:p w14:paraId="78197862" w14:textId="77777777" w:rsidR="00F7275F" w:rsidRPr="00D95A1A" w:rsidRDefault="00F7275F" w:rsidP="00F7275F">
      <w:pPr>
        <w:pStyle w:val="Body"/>
        <w:spacing w:after="0"/>
        <w:rPr>
          <w:rFonts w:ascii="Arial" w:hAnsi="Arial" w:cs="Arial"/>
        </w:rPr>
      </w:pPr>
      <w:r w:rsidRPr="00D95A1A">
        <w:rPr>
          <w:rFonts w:ascii="Arial" w:hAnsi="Arial" w:cs="Arial"/>
        </w:rPr>
        <w:t>Step 4: Define integrated lesson objectives in terms of knowledge, skills, attitudes, and orientation toward developing competence in applying knowledge and skills.</w:t>
      </w:r>
    </w:p>
    <w:p w14:paraId="042C38BF" w14:textId="77777777" w:rsidR="00F7275F" w:rsidRPr="00D95A1A" w:rsidRDefault="00F7275F" w:rsidP="00F7275F">
      <w:pPr>
        <w:pStyle w:val="Body"/>
        <w:spacing w:after="0"/>
        <w:rPr>
          <w:rFonts w:ascii="Arial" w:hAnsi="Arial" w:cs="Arial"/>
        </w:rPr>
      </w:pPr>
      <w:r w:rsidRPr="00D95A1A">
        <w:rPr>
          <w:rFonts w:ascii="Arial" w:hAnsi="Arial" w:cs="Arial"/>
        </w:rPr>
        <w:t>Step 5: Develop the core content of the topic in alignment with objectives, learner characteristics, and practical conditions.</w:t>
      </w:r>
    </w:p>
    <w:p w14:paraId="2F89B581" w14:textId="77777777" w:rsidR="00F7275F" w:rsidRPr="00D95A1A" w:rsidRDefault="00F7275F" w:rsidP="00F7275F">
      <w:pPr>
        <w:pStyle w:val="Body"/>
        <w:spacing w:after="0"/>
        <w:rPr>
          <w:rFonts w:ascii="Arial" w:hAnsi="Arial" w:cs="Arial"/>
        </w:rPr>
      </w:pPr>
      <w:r w:rsidRPr="00D95A1A">
        <w:rPr>
          <w:rFonts w:ascii="Arial" w:hAnsi="Arial" w:cs="Arial"/>
        </w:rPr>
        <w:t>Step 6: Design guiding questions, recommend learning resources, and identify supporting instructional tools.</w:t>
      </w:r>
    </w:p>
    <w:p w14:paraId="6F7C7468" w14:textId="5104DF98" w:rsidR="00E053D0" w:rsidRPr="00D95A1A" w:rsidRDefault="00F7275F" w:rsidP="00F7275F">
      <w:pPr>
        <w:pStyle w:val="Body"/>
        <w:spacing w:after="0"/>
        <w:rPr>
          <w:rFonts w:ascii="Arial" w:hAnsi="Arial" w:cs="Arial"/>
        </w:rPr>
      </w:pPr>
      <w:r w:rsidRPr="00D95A1A">
        <w:rPr>
          <w:rFonts w:ascii="Arial" w:hAnsi="Arial" w:cs="Arial"/>
        </w:rPr>
        <w:t>Step 7: Establish criteria for evaluating the level of achievement of the integrated topic and the effectiveness of developing learners’ competence in applying knowledge and skills.</w:t>
      </w:r>
    </w:p>
    <w:p w14:paraId="071F1CC4" w14:textId="77777777" w:rsidR="00992029" w:rsidRPr="00D95A1A" w:rsidRDefault="00992029" w:rsidP="00992029">
      <w:pPr>
        <w:pStyle w:val="Body"/>
        <w:spacing w:after="0"/>
        <w:rPr>
          <w:rFonts w:ascii="Arial" w:hAnsi="Arial" w:cs="Arial"/>
        </w:rPr>
      </w:pPr>
      <w:r w:rsidRPr="00D95A1A">
        <w:rPr>
          <w:rFonts w:ascii="Arial" w:hAnsi="Arial" w:cs="Arial"/>
        </w:rPr>
        <w:t>In addition to the aspects mentioned above, attention should also be given to the organization of learning environments and assessment strategies to ensure the effectiveness of integrated teaching. Learning environments need to be flexible, allowing for a combination of classroom instruction, laboratory activities, and self-directed or collaborative learning supported by digital resources. The use of information and communication technology, such as simulations, virtual experiments, and online learning platforms, can enhance learners’ understanding of abstract chemical concepts and facilitate interdisciplinary connections.</w:t>
      </w:r>
    </w:p>
    <w:p w14:paraId="4F9F419A" w14:textId="331971CC" w:rsidR="00992029" w:rsidRPr="00D95A1A" w:rsidRDefault="00992029" w:rsidP="00992029">
      <w:pPr>
        <w:pStyle w:val="Body"/>
        <w:spacing w:after="0"/>
        <w:rPr>
          <w:rFonts w:ascii="Arial" w:hAnsi="Arial" w:cs="Arial"/>
        </w:rPr>
      </w:pPr>
      <w:r w:rsidRPr="00D95A1A">
        <w:rPr>
          <w:rFonts w:ascii="Arial" w:hAnsi="Arial" w:cs="Arial"/>
        </w:rPr>
        <w:t xml:space="preserve">Assessment in integrated teaching should be designed in alignment with learning objectives and focus on evaluating learners’ competence in applying knowledge and skills rather than solely recalling information. A combination of formative and summative assessment methods, including observation, project-based evaluation, presentations, and reflective tasks, can provide comprehensive evidence of learners’ learning outcomes. Through continuous feedback and reflection, </w:t>
      </w:r>
      <w:r w:rsidRPr="00D95A1A">
        <w:rPr>
          <w:rFonts w:ascii="Arial" w:hAnsi="Arial" w:cs="Arial"/>
        </w:rPr>
        <w:lastRenderedPageBreak/>
        <w:t>learners are encouraged to actively adjust their learning strategies, thereby improving learning effectiveness and fostering lifelong learning habits. At the same time, strengthening collaboration among instructors of related courses contributes to improving the effectiveness of integrated teaching implementation, ensuring consistency in content and pedagogical approaches, and enabling learners to develop a holistic perspective and apply knowledge flexibly and effectively in both academic learning and professional practice.</w:t>
      </w:r>
    </w:p>
    <w:p w14:paraId="08DBD598" w14:textId="6E48752A" w:rsidR="00715704" w:rsidRPr="00D95A1A" w:rsidRDefault="00715704" w:rsidP="00F7275F">
      <w:pPr>
        <w:pStyle w:val="Body"/>
        <w:spacing w:after="0"/>
        <w:rPr>
          <w:rFonts w:ascii="Arial" w:hAnsi="Arial" w:cs="Arial"/>
        </w:rPr>
      </w:pPr>
      <w:r w:rsidRPr="00D95A1A">
        <w:rPr>
          <w:rFonts w:ascii="Arial" w:hAnsi="Arial" w:cs="Arial"/>
        </w:rPr>
        <w:t>In summary, the application of integrated teaching in the design and organization of the Oxygen–Sulfur course provides a coherent framework for connecting chemical theory with real-world contexts. By linking atomic and molecular structures, chemical properties, experimental activities, and practical applications, integrated teaching enables learners to develop a deeper and more meaningful understanding of core chemical concepts. The systematic combination of content knowledge, active teaching methods, and competency-oriented assessment not only enhances learners’ ability to apply knowledge and skills but also promotes critical thinking, problem-solving, and responsible attitudes toward chemical use. Moreover, the integration of applications related to industry, daily life, and environmental protection helps bridge the gap between academic learning and practical demands, thereby increasing the relevance and effectiveness of the course. Overall, integrated teaching proves to be a feasible and effective approach for organizing the Oxygen–Sulfur course, contributing to the development of learners’ professional competence and supporting the goals of educational innovation and sustainable development.</w:t>
      </w:r>
    </w:p>
    <w:p w14:paraId="148A9E0A" w14:textId="77777777" w:rsidR="00790ADA" w:rsidRPr="00D95A1A" w:rsidRDefault="00790ADA" w:rsidP="00441B6F">
      <w:pPr>
        <w:pStyle w:val="Body"/>
        <w:spacing w:after="0"/>
        <w:rPr>
          <w:rFonts w:ascii="Arial" w:hAnsi="Arial" w:cs="Arial"/>
        </w:rPr>
      </w:pPr>
    </w:p>
    <w:p w14:paraId="24DD9A76" w14:textId="77777777" w:rsidR="00B01FCD" w:rsidRPr="00D95A1A" w:rsidRDefault="00000F8F" w:rsidP="00441B6F">
      <w:pPr>
        <w:pStyle w:val="ConcHead"/>
        <w:spacing w:after="0"/>
        <w:jc w:val="both"/>
        <w:rPr>
          <w:rFonts w:ascii="Arial" w:hAnsi="Arial" w:cs="Arial"/>
        </w:rPr>
      </w:pPr>
      <w:r w:rsidRPr="00D95A1A">
        <w:rPr>
          <w:rFonts w:ascii="Arial" w:hAnsi="Arial" w:cs="Arial"/>
        </w:rPr>
        <w:t xml:space="preserve">4. </w:t>
      </w:r>
      <w:r w:rsidR="00B01FCD" w:rsidRPr="00D95A1A">
        <w:rPr>
          <w:rFonts w:ascii="Arial" w:hAnsi="Arial" w:cs="Arial"/>
        </w:rPr>
        <w:t>Conclusion</w:t>
      </w:r>
    </w:p>
    <w:p w14:paraId="647B5684" w14:textId="77777777" w:rsidR="00790ADA" w:rsidRPr="00D95A1A" w:rsidRDefault="00790ADA" w:rsidP="00441B6F">
      <w:pPr>
        <w:pStyle w:val="ConcHead"/>
        <w:spacing w:after="0"/>
        <w:jc w:val="both"/>
        <w:rPr>
          <w:rFonts w:ascii="Arial" w:hAnsi="Arial" w:cs="Arial"/>
        </w:rPr>
      </w:pPr>
    </w:p>
    <w:p w14:paraId="6377B565" w14:textId="0276DCC8" w:rsidR="00F7275F" w:rsidRPr="00D95A1A" w:rsidRDefault="00F7275F" w:rsidP="00441B6F">
      <w:pPr>
        <w:pStyle w:val="Body"/>
        <w:spacing w:after="0"/>
        <w:rPr>
          <w:rFonts w:ascii="Arial" w:hAnsi="Arial" w:cs="Arial"/>
        </w:rPr>
      </w:pPr>
      <w:r w:rsidRPr="00D95A1A">
        <w:rPr>
          <w:rFonts w:ascii="Arial" w:hAnsi="Arial" w:cs="Arial"/>
        </w:rPr>
        <w:t>Integrated teaching represents an effective pedagogical approach for fostering learners’ competence in applying knowledge and skills. Implementing this approach in the Oxygen–Sulfur course enables learners to consolidate core concepts while enhancing higher-order thinking, self-directed learning, and problem-solving capabilities. The findings demonstrate that integrated teaching is not only a feasible instructional approach but also well aligned with current educational reform requirements, contributing to improved teaching effectiveness and sustainable learner development.</w:t>
      </w:r>
    </w:p>
    <w:p w14:paraId="03E1C49F" w14:textId="77777777" w:rsidR="00860000" w:rsidRPr="00D95A1A" w:rsidRDefault="00860000" w:rsidP="00441B6F">
      <w:pPr>
        <w:pStyle w:val="ReferHead"/>
        <w:spacing w:after="0"/>
        <w:jc w:val="both"/>
        <w:rPr>
          <w:rFonts w:ascii="Arial" w:hAnsi="Arial" w:cs="Arial"/>
        </w:rPr>
      </w:pPr>
    </w:p>
    <w:p w14:paraId="0740C342" w14:textId="77777777" w:rsidR="00B01FCD" w:rsidRPr="00D95A1A" w:rsidRDefault="00B01FCD" w:rsidP="00441B6F">
      <w:pPr>
        <w:pStyle w:val="ReferHead"/>
        <w:spacing w:after="0"/>
        <w:jc w:val="both"/>
        <w:rPr>
          <w:rFonts w:ascii="Arial" w:hAnsi="Arial" w:cs="Arial"/>
        </w:rPr>
      </w:pPr>
      <w:r w:rsidRPr="00D95A1A">
        <w:rPr>
          <w:rFonts w:ascii="Arial" w:hAnsi="Arial" w:cs="Arial"/>
        </w:rPr>
        <w:t>References</w:t>
      </w:r>
    </w:p>
    <w:p w14:paraId="11B993AF" w14:textId="77777777" w:rsidR="00284C4C" w:rsidRPr="00D95A1A" w:rsidRDefault="00284C4C" w:rsidP="00441B6F">
      <w:pPr>
        <w:pStyle w:val="Body"/>
        <w:spacing w:after="0"/>
        <w:rPr>
          <w:rFonts w:ascii="Arial" w:hAnsi="Arial" w:cs="Arial"/>
          <w:i/>
          <w:u w:val="single"/>
        </w:rPr>
      </w:pPr>
    </w:p>
    <w:p w14:paraId="263649F2" w14:textId="77777777" w:rsidR="00F7275F" w:rsidRPr="00D95A1A" w:rsidRDefault="00F7275F" w:rsidP="00402D87">
      <w:pPr>
        <w:pStyle w:val="Body"/>
        <w:spacing w:after="0"/>
        <w:ind w:left="450" w:hanging="450"/>
        <w:rPr>
          <w:rFonts w:ascii="Arial" w:hAnsi="Arial" w:cs="Arial"/>
        </w:rPr>
      </w:pPr>
      <w:r w:rsidRPr="00D95A1A">
        <w:rPr>
          <w:rFonts w:ascii="Arial" w:hAnsi="Arial" w:cs="Arial"/>
        </w:rPr>
        <w:t xml:space="preserve">Bernd Meier, &amp; Nguyen, V. C. (2014). </w:t>
      </w:r>
      <w:r w:rsidRPr="00D95A1A">
        <w:rPr>
          <w:rFonts w:ascii="Arial" w:hAnsi="Arial" w:cs="Arial"/>
          <w:iCs/>
        </w:rPr>
        <w:t>Modern didactics: Foundations for innovating educational objectives, content, and teaching methods</w:t>
      </w:r>
      <w:r w:rsidRPr="00D95A1A">
        <w:rPr>
          <w:rFonts w:ascii="Arial" w:hAnsi="Arial" w:cs="Arial"/>
        </w:rPr>
        <w:t>. Hanoi: Hanoi National University of Education Press.</w:t>
      </w:r>
    </w:p>
    <w:p w14:paraId="0BBF7F8A" w14:textId="77777777" w:rsidR="00F7275F" w:rsidRPr="00D95A1A" w:rsidRDefault="00F7275F" w:rsidP="00402D87">
      <w:pPr>
        <w:pStyle w:val="Body"/>
        <w:spacing w:after="0"/>
        <w:ind w:left="450" w:hanging="450"/>
        <w:rPr>
          <w:rFonts w:ascii="Arial" w:hAnsi="Arial" w:cs="Arial"/>
        </w:rPr>
      </w:pPr>
      <w:r w:rsidRPr="00D95A1A">
        <w:rPr>
          <w:rFonts w:ascii="Arial" w:hAnsi="Arial" w:cs="Arial"/>
        </w:rPr>
        <w:t xml:space="preserve">Biggs, J., &amp; Tang, C. (2011). </w:t>
      </w:r>
      <w:r w:rsidRPr="00D95A1A">
        <w:rPr>
          <w:rFonts w:ascii="Arial" w:hAnsi="Arial" w:cs="Arial"/>
          <w:iCs/>
        </w:rPr>
        <w:t>Teaching for quality learning at university</w:t>
      </w:r>
      <w:r w:rsidRPr="00D95A1A">
        <w:rPr>
          <w:rFonts w:ascii="Arial" w:hAnsi="Arial" w:cs="Arial"/>
        </w:rPr>
        <w:t>. Maidenhead: Open University Press.</w:t>
      </w:r>
    </w:p>
    <w:p w14:paraId="4C8C9491" w14:textId="77777777" w:rsidR="00F7275F" w:rsidRPr="00D95A1A" w:rsidRDefault="00F7275F" w:rsidP="00402D87">
      <w:pPr>
        <w:pStyle w:val="Body"/>
        <w:spacing w:after="0"/>
        <w:ind w:left="540" w:hanging="540"/>
        <w:rPr>
          <w:rFonts w:ascii="Arial" w:hAnsi="Arial" w:cs="Arial"/>
        </w:rPr>
      </w:pPr>
      <w:proofErr w:type="spellStart"/>
      <w:r w:rsidRPr="00D95A1A">
        <w:rPr>
          <w:rFonts w:ascii="Arial" w:hAnsi="Arial" w:cs="Arial"/>
        </w:rPr>
        <w:t>Bretz</w:t>
      </w:r>
      <w:proofErr w:type="spellEnd"/>
      <w:r w:rsidRPr="00D95A1A">
        <w:rPr>
          <w:rFonts w:ascii="Arial" w:hAnsi="Arial" w:cs="Arial"/>
        </w:rPr>
        <w:t xml:space="preserve">, S. L. (2012). Evidence for the importance of laboratory courses. </w:t>
      </w:r>
      <w:r w:rsidRPr="00D95A1A">
        <w:rPr>
          <w:rFonts w:ascii="Arial" w:hAnsi="Arial" w:cs="Arial"/>
          <w:iCs/>
        </w:rPr>
        <w:t>Journal of Chemical Education</w:t>
      </w:r>
      <w:r w:rsidRPr="00D95A1A">
        <w:rPr>
          <w:rFonts w:ascii="Arial" w:hAnsi="Arial" w:cs="Arial"/>
        </w:rPr>
        <w:t>, 89(1), 87–92.</w:t>
      </w:r>
    </w:p>
    <w:p w14:paraId="482C6ACC" w14:textId="77777777" w:rsidR="00F7275F" w:rsidRPr="00D95A1A" w:rsidRDefault="00F7275F" w:rsidP="00402D87">
      <w:pPr>
        <w:pStyle w:val="Body"/>
        <w:spacing w:after="0"/>
        <w:ind w:left="540" w:hanging="540"/>
        <w:rPr>
          <w:rFonts w:ascii="Arial" w:hAnsi="Arial" w:cs="Arial"/>
        </w:rPr>
      </w:pPr>
      <w:r w:rsidRPr="00D95A1A">
        <w:rPr>
          <w:rFonts w:ascii="Arial" w:hAnsi="Arial" w:cs="Arial"/>
        </w:rPr>
        <w:t xml:space="preserve">Bybee, R. W. (2013). </w:t>
      </w:r>
      <w:r w:rsidRPr="00D95A1A">
        <w:rPr>
          <w:rFonts w:ascii="Arial" w:hAnsi="Arial" w:cs="Arial"/>
          <w:iCs/>
        </w:rPr>
        <w:t>The case for STEM education: Challenges and opportunities</w:t>
      </w:r>
      <w:r w:rsidRPr="00D95A1A">
        <w:rPr>
          <w:rFonts w:ascii="Arial" w:hAnsi="Arial" w:cs="Arial"/>
        </w:rPr>
        <w:t>. Arlington, VA: NSTA Press.</w:t>
      </w:r>
    </w:p>
    <w:p w14:paraId="6B09F211" w14:textId="77777777" w:rsidR="00F7275F" w:rsidRPr="00D95A1A" w:rsidRDefault="00F7275F" w:rsidP="00402D87">
      <w:pPr>
        <w:pStyle w:val="Body"/>
        <w:spacing w:after="0"/>
        <w:ind w:left="540" w:hanging="540"/>
        <w:rPr>
          <w:rFonts w:ascii="Arial" w:hAnsi="Arial" w:cs="Arial"/>
        </w:rPr>
      </w:pPr>
      <w:r w:rsidRPr="00D95A1A">
        <w:rPr>
          <w:rFonts w:ascii="Arial" w:hAnsi="Arial" w:cs="Arial"/>
        </w:rPr>
        <w:t xml:space="preserve">Cooper, M. M., &amp; </w:t>
      </w:r>
      <w:proofErr w:type="spellStart"/>
      <w:r w:rsidRPr="00D95A1A">
        <w:rPr>
          <w:rFonts w:ascii="Arial" w:hAnsi="Arial" w:cs="Arial"/>
        </w:rPr>
        <w:t>Klymkowsky</w:t>
      </w:r>
      <w:proofErr w:type="spellEnd"/>
      <w:r w:rsidRPr="00D95A1A">
        <w:rPr>
          <w:rFonts w:ascii="Arial" w:hAnsi="Arial" w:cs="Arial"/>
        </w:rPr>
        <w:t xml:space="preserve">, M. W. (2013). Chemistry, life, the universe, and everything. </w:t>
      </w:r>
      <w:r w:rsidRPr="00D95A1A">
        <w:rPr>
          <w:rFonts w:ascii="Arial" w:hAnsi="Arial" w:cs="Arial"/>
          <w:iCs/>
        </w:rPr>
        <w:t>Journal of Chemical Education</w:t>
      </w:r>
      <w:r w:rsidRPr="00D95A1A">
        <w:rPr>
          <w:rFonts w:ascii="Arial" w:hAnsi="Arial" w:cs="Arial"/>
        </w:rPr>
        <w:t>, 90(9), 1116–1122.</w:t>
      </w:r>
    </w:p>
    <w:p w14:paraId="03D7BCB6" w14:textId="066F5555" w:rsidR="00402D87" w:rsidRPr="00D95A1A" w:rsidRDefault="00402D87" w:rsidP="00402D87">
      <w:pPr>
        <w:pStyle w:val="Body"/>
        <w:spacing w:after="0"/>
        <w:ind w:left="540" w:hanging="540"/>
        <w:rPr>
          <w:rFonts w:ascii="Arial" w:hAnsi="Arial" w:cs="Arial"/>
        </w:rPr>
      </w:pPr>
      <w:r w:rsidRPr="00D95A1A">
        <w:rPr>
          <w:rFonts w:ascii="Arial" w:hAnsi="Arial" w:cs="Arial"/>
        </w:rPr>
        <w:t xml:space="preserve">Espinosa, A. A., </w:t>
      </w:r>
      <w:proofErr w:type="spellStart"/>
      <w:r w:rsidRPr="00D95A1A">
        <w:rPr>
          <w:rFonts w:ascii="Arial" w:hAnsi="Arial" w:cs="Arial"/>
        </w:rPr>
        <w:t>Koperová</w:t>
      </w:r>
      <w:proofErr w:type="spellEnd"/>
      <w:r w:rsidRPr="00D95A1A">
        <w:rPr>
          <w:rFonts w:ascii="Arial" w:hAnsi="Arial" w:cs="Arial"/>
        </w:rPr>
        <w:t xml:space="preserve">, D., </w:t>
      </w:r>
      <w:proofErr w:type="spellStart"/>
      <w:r w:rsidRPr="00D95A1A">
        <w:rPr>
          <w:rFonts w:ascii="Arial" w:hAnsi="Arial" w:cs="Arial"/>
        </w:rPr>
        <w:t>Kuhnová</w:t>
      </w:r>
      <w:proofErr w:type="spellEnd"/>
      <w:r w:rsidRPr="00D95A1A">
        <w:rPr>
          <w:rFonts w:ascii="Arial" w:hAnsi="Arial" w:cs="Arial"/>
        </w:rPr>
        <w:t xml:space="preserve">, M., &amp; </w:t>
      </w:r>
      <w:proofErr w:type="spellStart"/>
      <w:r w:rsidRPr="00D95A1A">
        <w:rPr>
          <w:rFonts w:ascii="Arial" w:hAnsi="Arial" w:cs="Arial"/>
        </w:rPr>
        <w:t>Rusek</w:t>
      </w:r>
      <w:proofErr w:type="spellEnd"/>
      <w:r w:rsidRPr="00D95A1A">
        <w:rPr>
          <w:rFonts w:ascii="Arial" w:hAnsi="Arial" w:cs="Arial"/>
        </w:rPr>
        <w:t xml:space="preserve">, M. (2024). Preservice chemistry teachers’ conceptual understanding and confidence judgment: Insights from a three-tier chemistry concept inventory. </w:t>
      </w:r>
      <w:r w:rsidRPr="00D95A1A">
        <w:rPr>
          <w:rFonts w:ascii="Arial" w:hAnsi="Arial" w:cs="Arial"/>
          <w:iCs/>
        </w:rPr>
        <w:t>Journal of Chemical Education, 102 (1), 53 - 65</w:t>
      </w:r>
    </w:p>
    <w:p w14:paraId="77986DD5" w14:textId="77777777" w:rsidR="00F7275F" w:rsidRPr="00D95A1A" w:rsidRDefault="00F7275F" w:rsidP="00402D87">
      <w:pPr>
        <w:pStyle w:val="Body"/>
        <w:spacing w:after="0"/>
        <w:ind w:left="540" w:hanging="540"/>
        <w:rPr>
          <w:rFonts w:ascii="Arial" w:hAnsi="Arial" w:cs="Arial"/>
        </w:rPr>
      </w:pPr>
      <w:r w:rsidRPr="00D95A1A">
        <w:rPr>
          <w:rFonts w:ascii="Arial" w:hAnsi="Arial" w:cs="Arial"/>
        </w:rPr>
        <w:t xml:space="preserve">Freeman, S., Eddy, S. L., McDonough, M., Smith, M. K., </w:t>
      </w:r>
      <w:proofErr w:type="spellStart"/>
      <w:r w:rsidRPr="00D95A1A">
        <w:rPr>
          <w:rFonts w:ascii="Arial" w:hAnsi="Arial" w:cs="Arial"/>
        </w:rPr>
        <w:t>Okoroafor</w:t>
      </w:r>
      <w:proofErr w:type="spellEnd"/>
      <w:r w:rsidRPr="00D95A1A">
        <w:rPr>
          <w:rFonts w:ascii="Arial" w:hAnsi="Arial" w:cs="Arial"/>
        </w:rPr>
        <w:t xml:space="preserve">, N., </w:t>
      </w:r>
      <w:proofErr w:type="spellStart"/>
      <w:r w:rsidRPr="00D95A1A">
        <w:rPr>
          <w:rFonts w:ascii="Arial" w:hAnsi="Arial" w:cs="Arial"/>
        </w:rPr>
        <w:t>Jordt</w:t>
      </w:r>
      <w:proofErr w:type="spellEnd"/>
      <w:r w:rsidRPr="00D95A1A">
        <w:rPr>
          <w:rFonts w:ascii="Arial" w:hAnsi="Arial" w:cs="Arial"/>
        </w:rPr>
        <w:t xml:space="preserve">, H., &amp; </w:t>
      </w:r>
      <w:proofErr w:type="spellStart"/>
      <w:r w:rsidRPr="00D95A1A">
        <w:rPr>
          <w:rFonts w:ascii="Arial" w:hAnsi="Arial" w:cs="Arial"/>
        </w:rPr>
        <w:t>Wenderoth</w:t>
      </w:r>
      <w:proofErr w:type="spellEnd"/>
      <w:r w:rsidRPr="00D95A1A">
        <w:rPr>
          <w:rFonts w:ascii="Arial" w:hAnsi="Arial" w:cs="Arial"/>
        </w:rPr>
        <w:t xml:space="preserve">, M. P. (2014). Active learning increases student performance in science, engineering, and mathematics. </w:t>
      </w:r>
      <w:r w:rsidRPr="00D95A1A">
        <w:rPr>
          <w:rFonts w:ascii="Arial" w:hAnsi="Arial" w:cs="Arial"/>
          <w:iCs/>
        </w:rPr>
        <w:t>Proceedings of the National Academy of Sciences</w:t>
      </w:r>
      <w:r w:rsidRPr="00D95A1A">
        <w:rPr>
          <w:rFonts w:ascii="Arial" w:hAnsi="Arial" w:cs="Arial"/>
        </w:rPr>
        <w:t>, 111(23), 8410–8415.</w:t>
      </w:r>
    </w:p>
    <w:p w14:paraId="2DBA87BB" w14:textId="77777777" w:rsidR="00F7275F" w:rsidRPr="00D95A1A" w:rsidRDefault="00F7275F" w:rsidP="00402D87">
      <w:pPr>
        <w:pStyle w:val="Body"/>
        <w:spacing w:after="0"/>
        <w:ind w:left="540" w:hanging="540"/>
        <w:rPr>
          <w:rFonts w:ascii="Arial" w:hAnsi="Arial" w:cs="Arial"/>
        </w:rPr>
      </w:pPr>
      <w:r w:rsidRPr="00D95A1A">
        <w:rPr>
          <w:rFonts w:ascii="Arial" w:hAnsi="Arial" w:cs="Arial"/>
        </w:rPr>
        <w:t xml:space="preserve">Le, H. A. (2019). </w:t>
      </w:r>
      <w:r w:rsidRPr="00D95A1A">
        <w:rPr>
          <w:rFonts w:ascii="Arial" w:hAnsi="Arial" w:cs="Arial"/>
          <w:iCs/>
        </w:rPr>
        <w:t>Developing students’ competence in applying knowledge through project-based learning in Chapters 8 and 9 – Chemistry 11</w:t>
      </w:r>
      <w:r w:rsidRPr="00D95A1A">
        <w:rPr>
          <w:rFonts w:ascii="Arial" w:hAnsi="Arial" w:cs="Arial"/>
        </w:rPr>
        <w:t xml:space="preserve"> (Master’s thesis). Hanoi National University of Education 2, Vietnam.</w:t>
      </w:r>
    </w:p>
    <w:p w14:paraId="67F5D471" w14:textId="77777777" w:rsidR="00F7275F" w:rsidRPr="00D95A1A" w:rsidRDefault="00F7275F" w:rsidP="00402D87">
      <w:pPr>
        <w:pStyle w:val="Body"/>
        <w:spacing w:after="0"/>
        <w:ind w:left="540" w:hanging="540"/>
        <w:rPr>
          <w:rFonts w:ascii="Arial" w:hAnsi="Arial" w:cs="Arial"/>
        </w:rPr>
      </w:pPr>
      <w:r w:rsidRPr="00D95A1A">
        <w:rPr>
          <w:rFonts w:ascii="Arial" w:hAnsi="Arial" w:cs="Arial"/>
        </w:rPr>
        <w:t xml:space="preserve">Ministry of Education and Training. (2018). </w:t>
      </w:r>
      <w:r w:rsidRPr="00D95A1A">
        <w:rPr>
          <w:rFonts w:ascii="Arial" w:hAnsi="Arial" w:cs="Arial"/>
          <w:iCs/>
        </w:rPr>
        <w:t>The general education curriculum for chemistry</w:t>
      </w:r>
      <w:r w:rsidRPr="00D95A1A">
        <w:rPr>
          <w:rFonts w:ascii="Arial" w:hAnsi="Arial" w:cs="Arial"/>
        </w:rPr>
        <w:t xml:space="preserve"> (Issued with Circular No. 32/2018/TT-BGDĐT, December 26, 2018). Hanoi, Vietnam.</w:t>
      </w:r>
    </w:p>
    <w:p w14:paraId="30EC1FEC" w14:textId="6D915FE5" w:rsidR="00402D87" w:rsidRPr="00D95A1A" w:rsidRDefault="00402D87" w:rsidP="00402D87">
      <w:pPr>
        <w:pStyle w:val="Body"/>
        <w:spacing w:after="0"/>
        <w:ind w:left="540" w:hanging="540"/>
        <w:rPr>
          <w:rFonts w:ascii="Arial" w:hAnsi="Arial" w:cs="Arial"/>
        </w:rPr>
      </w:pPr>
      <w:r w:rsidRPr="00D95A1A">
        <w:rPr>
          <w:rFonts w:ascii="Arial" w:hAnsi="Arial" w:cs="Arial"/>
        </w:rPr>
        <w:t xml:space="preserve">Nguyen, H. T., &amp; Trang, D. T. (2024). Developing the ability to apply chemical knowledge for students through experience of “visiting the clean water supply station”. </w:t>
      </w:r>
      <w:r w:rsidRPr="00D95A1A">
        <w:rPr>
          <w:rFonts w:ascii="Arial" w:hAnsi="Arial" w:cs="Arial"/>
          <w:iCs/>
        </w:rPr>
        <w:t>VNU Journal of Science: Education Research</w:t>
      </w:r>
      <w:r w:rsidRPr="00D95A1A">
        <w:rPr>
          <w:rFonts w:ascii="Arial" w:hAnsi="Arial" w:cs="Arial"/>
        </w:rPr>
        <w:t>, 40(2), 73–80</w:t>
      </w:r>
    </w:p>
    <w:p w14:paraId="5CE3E624" w14:textId="77777777" w:rsidR="00F7275F" w:rsidRPr="00D95A1A" w:rsidRDefault="00F7275F" w:rsidP="00402D87">
      <w:pPr>
        <w:pStyle w:val="Body"/>
        <w:spacing w:after="0"/>
        <w:ind w:left="540" w:hanging="540"/>
        <w:rPr>
          <w:rFonts w:ascii="Arial" w:hAnsi="Arial" w:cs="Arial"/>
        </w:rPr>
      </w:pPr>
      <w:r w:rsidRPr="00D95A1A">
        <w:rPr>
          <w:rFonts w:ascii="Arial" w:hAnsi="Arial" w:cs="Arial"/>
        </w:rPr>
        <w:t xml:space="preserve">Nguyen, C. T. (2015). </w:t>
      </w:r>
      <w:r w:rsidRPr="00D95A1A">
        <w:rPr>
          <w:rFonts w:ascii="Arial" w:hAnsi="Arial" w:cs="Arial"/>
          <w:iCs/>
        </w:rPr>
        <w:t>Teaching for the development of learners’ competencies</w:t>
      </w:r>
      <w:r w:rsidRPr="00D95A1A">
        <w:rPr>
          <w:rFonts w:ascii="Arial" w:hAnsi="Arial" w:cs="Arial"/>
        </w:rPr>
        <w:t>. Hanoi: Vietnam Education Publishing House.</w:t>
      </w:r>
    </w:p>
    <w:p w14:paraId="2E00CCEB" w14:textId="77777777" w:rsidR="00F7275F" w:rsidRPr="00D95A1A" w:rsidRDefault="00F7275F" w:rsidP="00402D87">
      <w:pPr>
        <w:pStyle w:val="Body"/>
        <w:spacing w:after="0"/>
        <w:ind w:left="540" w:hanging="540"/>
        <w:rPr>
          <w:rFonts w:ascii="Arial" w:hAnsi="Arial" w:cs="Arial"/>
        </w:rPr>
      </w:pPr>
      <w:r w:rsidRPr="00D95A1A">
        <w:rPr>
          <w:rFonts w:ascii="Arial" w:hAnsi="Arial" w:cs="Arial"/>
        </w:rPr>
        <w:t xml:space="preserve">Nguyen, V. B. (2016). </w:t>
      </w:r>
      <w:r w:rsidRPr="00D95A1A">
        <w:rPr>
          <w:rFonts w:ascii="Arial" w:hAnsi="Arial" w:cs="Arial"/>
          <w:iCs/>
        </w:rPr>
        <w:t>Integrated teaching and the development of learners’ competencies in chemistry</w:t>
      </w:r>
      <w:r w:rsidRPr="00D95A1A">
        <w:rPr>
          <w:rFonts w:ascii="Arial" w:hAnsi="Arial" w:cs="Arial"/>
        </w:rPr>
        <w:t>. Hanoi: Hanoi National University of Education Press.</w:t>
      </w:r>
    </w:p>
    <w:p w14:paraId="6FC2250A" w14:textId="77777777" w:rsidR="00F7275F" w:rsidRPr="00D95A1A" w:rsidRDefault="00F7275F" w:rsidP="00402D87">
      <w:pPr>
        <w:pStyle w:val="Body"/>
        <w:spacing w:after="0"/>
        <w:ind w:left="540" w:hanging="540"/>
        <w:rPr>
          <w:rFonts w:ascii="Arial" w:hAnsi="Arial" w:cs="Arial"/>
        </w:rPr>
      </w:pPr>
      <w:r w:rsidRPr="00D95A1A">
        <w:rPr>
          <w:rFonts w:ascii="Arial" w:hAnsi="Arial" w:cs="Arial"/>
        </w:rPr>
        <w:t xml:space="preserve">Nguyen, V. C. (2018). </w:t>
      </w:r>
      <w:r w:rsidRPr="00D95A1A">
        <w:rPr>
          <w:rFonts w:ascii="Arial" w:hAnsi="Arial" w:cs="Arial"/>
          <w:iCs/>
        </w:rPr>
        <w:t>Innovating teaching and assessment toward competency-based education in higher education</w:t>
      </w:r>
      <w:r w:rsidRPr="00D95A1A">
        <w:rPr>
          <w:rFonts w:ascii="Arial" w:hAnsi="Arial" w:cs="Arial"/>
        </w:rPr>
        <w:t>. Hanoi: Hanoi National University of Education Press.</w:t>
      </w:r>
    </w:p>
    <w:p w14:paraId="0613F064" w14:textId="77777777" w:rsidR="00F7275F" w:rsidRPr="00D95A1A" w:rsidRDefault="00F7275F" w:rsidP="00402D87">
      <w:pPr>
        <w:pStyle w:val="Body"/>
        <w:spacing w:after="0"/>
        <w:ind w:left="540" w:hanging="540"/>
        <w:rPr>
          <w:rFonts w:ascii="Arial" w:hAnsi="Arial" w:cs="Arial"/>
        </w:rPr>
      </w:pPr>
      <w:r w:rsidRPr="00D95A1A">
        <w:rPr>
          <w:rFonts w:ascii="Arial" w:hAnsi="Arial" w:cs="Arial"/>
        </w:rPr>
        <w:t xml:space="preserve">Pham, X. Q. (2017). </w:t>
      </w:r>
      <w:r w:rsidRPr="00D95A1A">
        <w:rPr>
          <w:rFonts w:ascii="Arial" w:hAnsi="Arial" w:cs="Arial"/>
          <w:iCs/>
        </w:rPr>
        <w:t>Teaching methods in chemistry education</w:t>
      </w:r>
      <w:r w:rsidRPr="00D95A1A">
        <w:rPr>
          <w:rFonts w:ascii="Arial" w:hAnsi="Arial" w:cs="Arial"/>
        </w:rPr>
        <w:t>. Hanoi: Vietnam Education Publishing House.</w:t>
      </w:r>
    </w:p>
    <w:p w14:paraId="45F9D444" w14:textId="77777777" w:rsidR="00F7275F" w:rsidRPr="00D95A1A" w:rsidRDefault="00F7275F" w:rsidP="00402D87">
      <w:pPr>
        <w:pStyle w:val="Body"/>
        <w:spacing w:after="0"/>
        <w:ind w:left="540" w:hanging="540"/>
        <w:rPr>
          <w:rFonts w:ascii="Arial" w:hAnsi="Arial" w:cs="Arial"/>
        </w:rPr>
      </w:pPr>
      <w:r w:rsidRPr="00D95A1A">
        <w:rPr>
          <w:rFonts w:ascii="Arial" w:hAnsi="Arial" w:cs="Arial"/>
        </w:rPr>
        <w:t xml:space="preserve">Prince, M., &amp; Felder, R. M. (2006). Inductive teaching and learning methods: Definitions, comparisons, and research bases. </w:t>
      </w:r>
      <w:r w:rsidRPr="00D95A1A">
        <w:rPr>
          <w:rFonts w:ascii="Arial" w:hAnsi="Arial" w:cs="Arial"/>
          <w:iCs/>
        </w:rPr>
        <w:t>Journal of Engineering Education</w:t>
      </w:r>
      <w:r w:rsidRPr="00D95A1A">
        <w:rPr>
          <w:rFonts w:ascii="Arial" w:hAnsi="Arial" w:cs="Arial"/>
        </w:rPr>
        <w:t>, 95(2), 123–138.</w:t>
      </w:r>
    </w:p>
    <w:p w14:paraId="56B25B84" w14:textId="55B2A75D" w:rsidR="00B01FCD" w:rsidRPr="00D95A1A" w:rsidRDefault="00F7275F" w:rsidP="00402D87">
      <w:pPr>
        <w:pStyle w:val="Body"/>
        <w:spacing w:after="0"/>
        <w:ind w:left="540" w:hanging="540"/>
        <w:rPr>
          <w:rFonts w:ascii="Arial" w:hAnsi="Arial" w:cs="Arial"/>
        </w:rPr>
      </w:pPr>
      <w:r w:rsidRPr="00D95A1A">
        <w:rPr>
          <w:rFonts w:ascii="Arial" w:hAnsi="Arial" w:cs="Arial"/>
        </w:rPr>
        <w:t xml:space="preserve">Taber, K. S. (2015). </w:t>
      </w:r>
      <w:r w:rsidRPr="00D95A1A">
        <w:rPr>
          <w:rFonts w:ascii="Arial" w:hAnsi="Arial" w:cs="Arial"/>
          <w:iCs/>
        </w:rPr>
        <w:t>Learning chemistry: An introduction to chemical education research</w:t>
      </w:r>
      <w:r w:rsidRPr="00D95A1A">
        <w:rPr>
          <w:rFonts w:ascii="Arial" w:hAnsi="Arial" w:cs="Arial"/>
        </w:rPr>
        <w:t>. Cambridge: Royal Society of Chemistry.</w:t>
      </w:r>
    </w:p>
    <w:p w14:paraId="6A4CEE39" w14:textId="77777777" w:rsidR="00402D87" w:rsidRPr="00D95A1A" w:rsidRDefault="00402D87" w:rsidP="00402D87">
      <w:pPr>
        <w:pStyle w:val="NormalWeb"/>
        <w:spacing w:before="0" w:beforeAutospacing="0" w:after="0" w:afterAutospacing="0" w:line="276" w:lineRule="auto"/>
        <w:ind w:left="540" w:hanging="540"/>
        <w:jc w:val="both"/>
        <w:rPr>
          <w:rFonts w:ascii="Arial" w:hAnsi="Arial" w:cs="Arial"/>
          <w:sz w:val="20"/>
          <w:szCs w:val="20"/>
        </w:rPr>
      </w:pPr>
      <w:r w:rsidRPr="00D95A1A">
        <w:rPr>
          <w:rFonts w:ascii="Arial" w:hAnsi="Arial" w:cs="Arial"/>
          <w:sz w:val="20"/>
          <w:szCs w:val="20"/>
        </w:rPr>
        <w:t xml:space="preserve">Vu, T. B. N. (2015). </w:t>
      </w:r>
      <w:r w:rsidRPr="00D95A1A">
        <w:rPr>
          <w:rFonts w:ascii="Arial" w:hAnsi="Arial" w:cs="Arial"/>
          <w:iCs/>
          <w:sz w:val="20"/>
          <w:szCs w:val="20"/>
        </w:rPr>
        <w:t xml:space="preserve">Developing problem-solving competence for students in </w:t>
      </w:r>
      <w:proofErr w:type="spellStart"/>
      <w:r w:rsidRPr="00D95A1A">
        <w:rPr>
          <w:rFonts w:ascii="Arial" w:hAnsi="Arial" w:cs="Arial"/>
          <w:iCs/>
          <w:sz w:val="20"/>
          <w:szCs w:val="20"/>
        </w:rPr>
        <w:t>Dien</w:t>
      </w:r>
      <w:proofErr w:type="spellEnd"/>
      <w:r w:rsidRPr="00D95A1A">
        <w:rPr>
          <w:rFonts w:ascii="Arial" w:hAnsi="Arial" w:cs="Arial"/>
          <w:iCs/>
          <w:sz w:val="20"/>
          <w:szCs w:val="20"/>
        </w:rPr>
        <w:t xml:space="preserve"> Bien province through non-metal chemistry exercises in grade 10</w:t>
      </w:r>
      <w:r w:rsidRPr="00D95A1A">
        <w:rPr>
          <w:rFonts w:ascii="Arial" w:hAnsi="Arial" w:cs="Arial"/>
          <w:sz w:val="20"/>
          <w:szCs w:val="20"/>
        </w:rPr>
        <w:t xml:space="preserve"> (Master’s thesis in Educational Science). Hanoi National University of Education.</w:t>
      </w:r>
    </w:p>
    <w:p w14:paraId="245BEE67" w14:textId="77777777" w:rsidR="00402D87" w:rsidRPr="00D95A1A" w:rsidRDefault="00402D87" w:rsidP="00402D87">
      <w:pPr>
        <w:pStyle w:val="NormalWeb"/>
        <w:spacing w:before="0" w:beforeAutospacing="0" w:after="0" w:afterAutospacing="0" w:line="276" w:lineRule="auto"/>
        <w:ind w:left="540" w:hanging="540"/>
        <w:jc w:val="both"/>
        <w:rPr>
          <w:rFonts w:ascii="Arial" w:hAnsi="Arial" w:cs="Arial"/>
          <w:iCs/>
          <w:sz w:val="20"/>
          <w:szCs w:val="20"/>
        </w:rPr>
      </w:pPr>
      <w:r w:rsidRPr="00D95A1A">
        <w:rPr>
          <w:rFonts w:ascii="Arial" w:hAnsi="Arial" w:cs="Arial"/>
          <w:iCs/>
          <w:sz w:val="20"/>
          <w:szCs w:val="20"/>
        </w:rPr>
        <w:lastRenderedPageBreak/>
        <w:t xml:space="preserve">Vu T.T.H., Duong N.K. </w:t>
      </w:r>
      <w:proofErr w:type="spellStart"/>
      <w:proofErr w:type="gramStart"/>
      <w:r w:rsidRPr="00D95A1A">
        <w:rPr>
          <w:rFonts w:ascii="Arial" w:hAnsi="Arial" w:cs="Arial"/>
          <w:iCs/>
          <w:sz w:val="20"/>
          <w:szCs w:val="20"/>
        </w:rPr>
        <w:t>L.,Nguyen</w:t>
      </w:r>
      <w:proofErr w:type="spellEnd"/>
      <w:proofErr w:type="gramEnd"/>
      <w:r w:rsidRPr="00D95A1A">
        <w:rPr>
          <w:rFonts w:ascii="Arial" w:hAnsi="Arial" w:cs="Arial"/>
          <w:iCs/>
          <w:sz w:val="20"/>
          <w:szCs w:val="20"/>
        </w:rPr>
        <w:t xml:space="preserve"> M.N. (2019). </w:t>
      </w:r>
      <w:r w:rsidRPr="00D95A1A">
        <w:rPr>
          <w:rFonts w:ascii="Arial" w:hAnsi="Arial" w:cs="Arial"/>
          <w:sz w:val="20"/>
          <w:szCs w:val="20"/>
        </w:rPr>
        <w:t>Using WebQuest in project-based teaching “Investigating the presence of chlorine in domestic water” (Chemistry 10) to develop students’ competence in exploring the natural world</w:t>
      </w:r>
      <w:r w:rsidRPr="00D95A1A">
        <w:rPr>
          <w:rFonts w:ascii="Arial" w:hAnsi="Arial" w:cs="Arial"/>
          <w:iCs/>
          <w:sz w:val="20"/>
          <w:szCs w:val="20"/>
        </w:rPr>
        <w:t xml:space="preserve">. </w:t>
      </w:r>
      <w:r w:rsidRPr="00D95A1A">
        <w:rPr>
          <w:rFonts w:ascii="Arial" w:hAnsi="Arial" w:cs="Arial"/>
          <w:bCs/>
          <w:iCs/>
          <w:sz w:val="20"/>
          <w:szCs w:val="20"/>
        </w:rPr>
        <w:t>Journal of Education</w:t>
      </w:r>
      <w:r w:rsidRPr="00D95A1A">
        <w:rPr>
          <w:rFonts w:ascii="Arial" w:hAnsi="Arial" w:cs="Arial"/>
          <w:iCs/>
          <w:sz w:val="20"/>
          <w:szCs w:val="20"/>
        </w:rPr>
        <w:t>, 457 (1), 53–59.</w:t>
      </w:r>
    </w:p>
    <w:p w14:paraId="5844BF85" w14:textId="60742E9A" w:rsidR="00402D87" w:rsidRPr="00D95A1A" w:rsidRDefault="00402D87" w:rsidP="00402D87">
      <w:pPr>
        <w:pStyle w:val="NormalWeb"/>
        <w:spacing w:before="0" w:beforeAutospacing="0" w:after="0" w:afterAutospacing="0" w:line="276" w:lineRule="auto"/>
        <w:ind w:left="540" w:hanging="540"/>
        <w:jc w:val="both"/>
        <w:rPr>
          <w:rFonts w:ascii="Arial" w:hAnsi="Arial" w:cs="Arial"/>
          <w:iCs/>
          <w:sz w:val="20"/>
          <w:szCs w:val="20"/>
        </w:rPr>
      </w:pPr>
      <w:r w:rsidRPr="00D95A1A">
        <w:rPr>
          <w:rFonts w:ascii="Arial" w:hAnsi="Arial" w:cs="Arial"/>
          <w:sz w:val="20"/>
          <w:szCs w:val="20"/>
        </w:rPr>
        <w:t xml:space="preserve">L. (2025). Chemistry teachers’ knowledge in assessing scientific inquiry competence. </w:t>
      </w:r>
      <w:r w:rsidRPr="00D95A1A">
        <w:rPr>
          <w:rFonts w:ascii="Arial" w:hAnsi="Arial" w:cs="Arial"/>
          <w:iCs/>
          <w:sz w:val="20"/>
          <w:szCs w:val="20"/>
        </w:rPr>
        <w:t>Journal of Baltic Science Education, 24 (4), 774 - 793</w:t>
      </w:r>
    </w:p>
    <w:p w14:paraId="395418EC" w14:textId="77777777" w:rsidR="00402D87" w:rsidRPr="00D95A1A" w:rsidRDefault="00402D87" w:rsidP="00715704">
      <w:pPr>
        <w:pStyle w:val="Body"/>
        <w:spacing w:after="0"/>
        <w:rPr>
          <w:rFonts w:ascii="Arial" w:hAnsi="Arial" w:cs="Arial"/>
        </w:rPr>
      </w:pPr>
    </w:p>
    <w:sectPr w:rsidR="00402D87" w:rsidRPr="00D95A1A" w:rsidSect="00CE08F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4883F" w14:textId="77777777" w:rsidR="000225D8" w:rsidRDefault="000225D8" w:rsidP="00C37E61">
      <w:r>
        <w:separator/>
      </w:r>
    </w:p>
  </w:endnote>
  <w:endnote w:type="continuationSeparator" w:id="0">
    <w:p w14:paraId="6FEB64C2" w14:textId="77777777" w:rsidR="000225D8" w:rsidRDefault="000225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568F" w14:textId="77777777" w:rsidR="00C25213" w:rsidRDefault="00C25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0430" w14:textId="31471045" w:rsidR="00C37E61" w:rsidRPr="00C34741" w:rsidRDefault="00C37E61" w:rsidP="00C34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658E" w14:textId="77777777" w:rsidR="009E048A" w:rsidRDefault="009E048A">
    <w:pPr>
      <w:pStyle w:val="Footer"/>
      <w:rPr>
        <w:rFonts w:ascii="Arial" w:hAnsi="Arial" w:cs="Arial"/>
        <w:sz w:val="16"/>
      </w:rPr>
    </w:pPr>
  </w:p>
  <w:p w14:paraId="2729DD1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129EE9" w14:textId="77777777" w:rsidR="009E048A" w:rsidRDefault="009E048A">
    <w:pPr>
      <w:pStyle w:val="Footer"/>
      <w:rPr>
        <w:rFonts w:ascii="Arial" w:hAnsi="Arial" w:cs="Arial"/>
        <w:sz w:val="16"/>
      </w:rPr>
    </w:pPr>
  </w:p>
  <w:p w14:paraId="4166F9E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6B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AA4E3" w14:textId="77777777" w:rsidR="000225D8" w:rsidRDefault="000225D8" w:rsidP="00C37E61">
      <w:r>
        <w:separator/>
      </w:r>
    </w:p>
  </w:footnote>
  <w:footnote w:type="continuationSeparator" w:id="0">
    <w:p w14:paraId="3A23BE51" w14:textId="77777777" w:rsidR="000225D8" w:rsidRDefault="000225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F942" w14:textId="517C6787" w:rsidR="00C25213" w:rsidRDefault="00C25213">
    <w:pPr>
      <w:pStyle w:val="Header"/>
    </w:pPr>
    <w:r>
      <w:rPr>
        <w:noProof/>
      </w:rPr>
      <w:pict w14:anchorId="3F7A4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B241" w14:textId="5359395B" w:rsidR="00C25213" w:rsidRDefault="00C25213">
    <w:pPr>
      <w:pStyle w:val="Header"/>
    </w:pPr>
    <w:r>
      <w:rPr>
        <w:noProof/>
      </w:rPr>
      <w:pict w14:anchorId="1528A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C90B" w14:textId="64994ED3" w:rsidR="00296529" w:rsidRPr="00296529" w:rsidRDefault="00C25213" w:rsidP="00296529">
    <w:pPr>
      <w:ind w:left="2160"/>
      <w:jc w:val="center"/>
      <w:rPr>
        <w:rFonts w:ascii="Times New Roman" w:eastAsia="Calibri" w:hAnsi="Times New Roman"/>
        <w:i/>
        <w:sz w:val="18"/>
        <w:szCs w:val="22"/>
      </w:rPr>
    </w:pPr>
    <w:r>
      <w:rPr>
        <w:noProof/>
      </w:rPr>
      <w:pict w14:anchorId="1D0F0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B54BB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2779F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7EA6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BB49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F6CC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05F06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EC79" w14:textId="4F8F1D24" w:rsidR="00C25213" w:rsidRDefault="00C25213">
    <w:pPr>
      <w:pStyle w:val="Header"/>
    </w:pPr>
    <w:r>
      <w:rPr>
        <w:noProof/>
      </w:rPr>
      <w:pict w14:anchorId="01FC8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3530" w14:textId="08770AB4" w:rsidR="00C25213" w:rsidRDefault="00C25213">
    <w:pPr>
      <w:pStyle w:val="Header"/>
    </w:pPr>
    <w:r>
      <w:rPr>
        <w:noProof/>
      </w:rPr>
      <w:pict w14:anchorId="1886D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3498" w14:textId="323ACCED" w:rsidR="00C25213" w:rsidRDefault="00C25213">
    <w:pPr>
      <w:pStyle w:val="Header"/>
    </w:pPr>
    <w:r>
      <w:rPr>
        <w:noProof/>
      </w:rPr>
      <w:pict w14:anchorId="1581D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25D8"/>
    <w:rsid w:val="00030174"/>
    <w:rsid w:val="0004579C"/>
    <w:rsid w:val="000A47FA"/>
    <w:rsid w:val="000A65D3"/>
    <w:rsid w:val="000B1E33"/>
    <w:rsid w:val="000D689F"/>
    <w:rsid w:val="000E7B7B"/>
    <w:rsid w:val="000E7D62"/>
    <w:rsid w:val="00103357"/>
    <w:rsid w:val="00123C9F"/>
    <w:rsid w:val="00126190"/>
    <w:rsid w:val="00130F17"/>
    <w:rsid w:val="001320BF"/>
    <w:rsid w:val="00145342"/>
    <w:rsid w:val="00157205"/>
    <w:rsid w:val="00163BC4"/>
    <w:rsid w:val="00191062"/>
    <w:rsid w:val="00192B72"/>
    <w:rsid w:val="001A29D8"/>
    <w:rsid w:val="001A5CAA"/>
    <w:rsid w:val="001B0427"/>
    <w:rsid w:val="001C0D97"/>
    <w:rsid w:val="001D3A51"/>
    <w:rsid w:val="001E10D2"/>
    <w:rsid w:val="001E25B4"/>
    <w:rsid w:val="001E44FE"/>
    <w:rsid w:val="00200595"/>
    <w:rsid w:val="00204835"/>
    <w:rsid w:val="00231920"/>
    <w:rsid w:val="0023195C"/>
    <w:rsid w:val="00232C15"/>
    <w:rsid w:val="0024282C"/>
    <w:rsid w:val="002460DC"/>
    <w:rsid w:val="00250985"/>
    <w:rsid w:val="002556F6"/>
    <w:rsid w:val="00283105"/>
    <w:rsid w:val="00284C4C"/>
    <w:rsid w:val="00287E68"/>
    <w:rsid w:val="00296529"/>
    <w:rsid w:val="002B27FB"/>
    <w:rsid w:val="002B685A"/>
    <w:rsid w:val="002C57D2"/>
    <w:rsid w:val="002E0D56"/>
    <w:rsid w:val="00315186"/>
    <w:rsid w:val="003332D4"/>
    <w:rsid w:val="0033343E"/>
    <w:rsid w:val="003512C2"/>
    <w:rsid w:val="00352278"/>
    <w:rsid w:val="0036510B"/>
    <w:rsid w:val="00371FB6"/>
    <w:rsid w:val="003763C1"/>
    <w:rsid w:val="00376BBE"/>
    <w:rsid w:val="0039224F"/>
    <w:rsid w:val="003A2C56"/>
    <w:rsid w:val="003A43A4"/>
    <w:rsid w:val="003A7E18"/>
    <w:rsid w:val="003C4C86"/>
    <w:rsid w:val="003C6258"/>
    <w:rsid w:val="003E2904"/>
    <w:rsid w:val="00401927"/>
    <w:rsid w:val="00402D87"/>
    <w:rsid w:val="0041027F"/>
    <w:rsid w:val="00412475"/>
    <w:rsid w:val="00423789"/>
    <w:rsid w:val="00440F43"/>
    <w:rsid w:val="00441B6F"/>
    <w:rsid w:val="00446221"/>
    <w:rsid w:val="00450E62"/>
    <w:rsid w:val="004539DB"/>
    <w:rsid w:val="00471A80"/>
    <w:rsid w:val="004D305E"/>
    <w:rsid w:val="004D4277"/>
    <w:rsid w:val="00500DCC"/>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704"/>
    <w:rsid w:val="007369E6"/>
    <w:rsid w:val="00746E59"/>
    <w:rsid w:val="00754C9A"/>
    <w:rsid w:val="0075599A"/>
    <w:rsid w:val="00757F70"/>
    <w:rsid w:val="00761D52"/>
    <w:rsid w:val="0076254E"/>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202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561"/>
    <w:rsid w:val="00A347C0"/>
    <w:rsid w:val="00A35C98"/>
    <w:rsid w:val="00A51431"/>
    <w:rsid w:val="00A539AD"/>
    <w:rsid w:val="00A94063"/>
    <w:rsid w:val="00AA6219"/>
    <w:rsid w:val="00AA74E0"/>
    <w:rsid w:val="00AB703F"/>
    <w:rsid w:val="00AC6BB8"/>
    <w:rsid w:val="00AE008F"/>
    <w:rsid w:val="00B01FCD"/>
    <w:rsid w:val="00B1776C"/>
    <w:rsid w:val="00B4396D"/>
    <w:rsid w:val="00B52583"/>
    <w:rsid w:val="00B52896"/>
    <w:rsid w:val="00B95236"/>
    <w:rsid w:val="00B96BD9"/>
    <w:rsid w:val="00BA1B01"/>
    <w:rsid w:val="00BA2641"/>
    <w:rsid w:val="00BA5FC1"/>
    <w:rsid w:val="00BB37AA"/>
    <w:rsid w:val="00BC53A0"/>
    <w:rsid w:val="00BE62AD"/>
    <w:rsid w:val="00BF121F"/>
    <w:rsid w:val="00BF1F80"/>
    <w:rsid w:val="00C166EF"/>
    <w:rsid w:val="00C17EB0"/>
    <w:rsid w:val="00C25213"/>
    <w:rsid w:val="00C27F5F"/>
    <w:rsid w:val="00C30A0F"/>
    <w:rsid w:val="00C34741"/>
    <w:rsid w:val="00C37E61"/>
    <w:rsid w:val="00C70F1B"/>
    <w:rsid w:val="00C71A47"/>
    <w:rsid w:val="00C7289D"/>
    <w:rsid w:val="00C7464C"/>
    <w:rsid w:val="00C85588"/>
    <w:rsid w:val="00CD6755"/>
    <w:rsid w:val="00CD6856"/>
    <w:rsid w:val="00CE0089"/>
    <w:rsid w:val="00CE08FB"/>
    <w:rsid w:val="00CE4F2D"/>
    <w:rsid w:val="00CE793C"/>
    <w:rsid w:val="00CF193C"/>
    <w:rsid w:val="00D173F1"/>
    <w:rsid w:val="00D74CB0"/>
    <w:rsid w:val="00D8295D"/>
    <w:rsid w:val="00D95A1A"/>
    <w:rsid w:val="00DC2A65"/>
    <w:rsid w:val="00DE15F0"/>
    <w:rsid w:val="00DE5663"/>
    <w:rsid w:val="00DE78AA"/>
    <w:rsid w:val="00E053D0"/>
    <w:rsid w:val="00E15994"/>
    <w:rsid w:val="00E3114E"/>
    <w:rsid w:val="00E31A70"/>
    <w:rsid w:val="00E35B02"/>
    <w:rsid w:val="00E4505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275F"/>
    <w:rsid w:val="00F755E4"/>
    <w:rsid w:val="00F77D02"/>
    <w:rsid w:val="00FB3A86"/>
    <w:rsid w:val="00FD36C8"/>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508A45"/>
  <w15:docId w15:val="{62B09EDF-4906-42D0-BDEE-2A599DEC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7275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F7275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7275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F7275F"/>
    <w:pPr>
      <w:spacing w:before="100" w:beforeAutospacing="1" w:after="100" w:afterAutospacing="1"/>
    </w:pPr>
    <w:rPr>
      <w:rFonts w:ascii="Times New Roman" w:hAnsi="Times New Roman"/>
      <w:sz w:val="24"/>
      <w:szCs w:val="24"/>
    </w:rPr>
  </w:style>
  <w:style w:type="character" w:customStyle="1" w:styleId="Heading7Char">
    <w:name w:val="Heading 7 Char"/>
    <w:basedOn w:val="DefaultParagraphFont"/>
    <w:link w:val="Heading7"/>
    <w:uiPriority w:val="9"/>
    <w:semiHidden/>
    <w:rsid w:val="00F7275F"/>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C34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CB785-F713-447D-8AF0-1A84316B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6</Pages>
  <Words>4052</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2026-01-16T08:02:00Z</cp:lastPrinted>
  <dcterms:created xsi:type="dcterms:W3CDTF">2026-01-16T08:12:00Z</dcterms:created>
  <dcterms:modified xsi:type="dcterms:W3CDTF">2026-01-17T06:45:00Z</dcterms:modified>
</cp:coreProperties>
</file>