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541A" w:rsidRDefault="00CD36EC" w:rsidP="00FE177B">
      <w:pPr>
        <w:spacing w:line="276" w:lineRule="auto"/>
        <w:jc w:val="center"/>
        <w:rPr>
          <w:rFonts w:ascii="Times New Roman" w:hAnsi="Times New Roman" w:cs="Times New Roman"/>
          <w:b/>
          <w:sz w:val="24"/>
          <w:szCs w:val="24"/>
        </w:rPr>
      </w:pPr>
      <w:r w:rsidRPr="00FE177B">
        <w:rPr>
          <w:rFonts w:ascii="Times New Roman" w:hAnsi="Times New Roman" w:cs="Times New Roman"/>
          <w:b/>
          <w:sz w:val="24"/>
          <w:szCs w:val="24"/>
        </w:rPr>
        <w:t>Advances in Micropropagation and Tissue Culture for Horticultural Crops: A Review</w:t>
      </w:r>
    </w:p>
    <w:p w:rsidR="00F96D04" w:rsidRPr="00F96D04" w:rsidRDefault="00F96D04" w:rsidP="00F96D04">
      <w:pPr>
        <w:spacing w:line="276" w:lineRule="auto"/>
        <w:jc w:val="center"/>
        <w:rPr>
          <w:rFonts w:ascii="Times New Roman" w:hAnsi="Times New Roman" w:cs="Times New Roman"/>
          <w:b/>
          <w:sz w:val="24"/>
          <w:szCs w:val="24"/>
        </w:rPr>
      </w:pPr>
    </w:p>
    <w:p w:rsidR="00212CD2" w:rsidRPr="00787457" w:rsidRDefault="00212CD2"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Abstract</w:t>
      </w:r>
    </w:p>
    <w:p w:rsidR="00FF431B" w:rsidRDefault="00FF431B" w:rsidP="00FF431B">
      <w:pPr>
        <w:spacing w:line="276" w:lineRule="auto"/>
        <w:jc w:val="both"/>
        <w:rPr>
          <w:rFonts w:ascii="Times New Roman" w:hAnsi="Times New Roman" w:cs="Times New Roman"/>
          <w:sz w:val="24"/>
          <w:szCs w:val="24"/>
        </w:rPr>
      </w:pPr>
      <w:r w:rsidRPr="00FF431B">
        <w:rPr>
          <w:rFonts w:ascii="Times New Roman" w:hAnsi="Times New Roman" w:cs="Times New Roman"/>
          <w:sz w:val="24"/>
          <w:szCs w:val="24"/>
          <w:highlight w:val="yellow"/>
        </w:rPr>
        <w:t>High-quality planting material that is genetically uniform, physiologically vigorous, and pathogen-free is essential for sustainable horticultural crop production. Traditional</w:t>
      </w:r>
      <w:r w:rsidRPr="00FF431B">
        <w:rPr>
          <w:rFonts w:ascii="Times New Roman" w:hAnsi="Times New Roman" w:cs="Times New Roman"/>
          <w:sz w:val="24"/>
          <w:szCs w:val="24"/>
          <w:highlight w:val="yellow"/>
        </w:rPr>
        <w:t xml:space="preserve"> vegetative propagation methods </w:t>
      </w:r>
      <w:r w:rsidRPr="00FF431B">
        <w:rPr>
          <w:rFonts w:ascii="Times New Roman" w:hAnsi="Times New Roman" w:cs="Times New Roman"/>
          <w:sz w:val="24"/>
          <w:szCs w:val="24"/>
          <w:highlight w:val="yellow"/>
        </w:rPr>
        <w:t xml:space="preserve">such as </w:t>
      </w:r>
      <w:r w:rsidRPr="00FF431B">
        <w:rPr>
          <w:rFonts w:ascii="Times New Roman" w:hAnsi="Times New Roman" w:cs="Times New Roman"/>
          <w:sz w:val="24"/>
          <w:szCs w:val="24"/>
          <w:highlight w:val="yellow"/>
        </w:rPr>
        <w:t xml:space="preserve">cuttings, suckers, and grafting </w:t>
      </w:r>
      <w:r w:rsidRPr="00FF431B">
        <w:rPr>
          <w:rFonts w:ascii="Times New Roman" w:hAnsi="Times New Roman" w:cs="Times New Roman"/>
          <w:sz w:val="24"/>
          <w:szCs w:val="24"/>
          <w:highlight w:val="yellow"/>
        </w:rPr>
        <w:t xml:space="preserve">are limited by low multiplication rates and the high risk of transmitting systemic pathogens, particularly viruses, bacteria, and </w:t>
      </w:r>
      <w:proofErr w:type="spellStart"/>
      <w:r w:rsidRPr="00FF431B">
        <w:rPr>
          <w:rFonts w:ascii="Times New Roman" w:hAnsi="Times New Roman" w:cs="Times New Roman"/>
          <w:sz w:val="24"/>
          <w:szCs w:val="24"/>
          <w:highlight w:val="yellow"/>
        </w:rPr>
        <w:t>viroids</w:t>
      </w:r>
      <w:proofErr w:type="spellEnd"/>
      <w:r w:rsidRPr="00FF431B">
        <w:rPr>
          <w:rFonts w:ascii="Times New Roman" w:hAnsi="Times New Roman" w:cs="Times New Roman"/>
          <w:sz w:val="24"/>
          <w:szCs w:val="24"/>
          <w:highlight w:val="yellow"/>
        </w:rPr>
        <w:t xml:space="preserve">. Plant tissue culture offers a reliable alternative, enabling rapid clonal multiplication and reducing disease transmission through the use of clean, meristematic tissues. Key </w:t>
      </w:r>
      <w:proofErr w:type="spellStart"/>
      <w:r w:rsidRPr="00FF431B">
        <w:rPr>
          <w:rFonts w:ascii="Times New Roman" w:hAnsi="Times New Roman" w:cs="Times New Roman"/>
          <w:sz w:val="24"/>
          <w:szCs w:val="24"/>
          <w:highlight w:val="yellow"/>
        </w:rPr>
        <w:t>micropropagation</w:t>
      </w:r>
      <w:proofErr w:type="spellEnd"/>
      <w:r w:rsidRPr="00FF431B">
        <w:rPr>
          <w:rFonts w:ascii="Times New Roman" w:hAnsi="Times New Roman" w:cs="Times New Roman"/>
          <w:sz w:val="24"/>
          <w:szCs w:val="24"/>
          <w:highlight w:val="yellow"/>
        </w:rPr>
        <w:t xml:space="preserve"> stages, including establishment, multiplication, rooting, and acclimatization, collectively facilitate the large-scale production of true-to-type plants. Advanced regeneration pathways such as organogenesis and somatic embryogenesis further support the propagation of elite and recalcitrant genotypes, germplasm conservation, and genetic improvement programs. R</w:t>
      </w:r>
      <w:r w:rsidRPr="00FF431B">
        <w:rPr>
          <w:rFonts w:ascii="Times New Roman" w:hAnsi="Times New Roman" w:cs="Times New Roman"/>
          <w:sz w:val="24"/>
          <w:szCs w:val="24"/>
          <w:highlight w:val="yellow"/>
        </w:rPr>
        <w:t xml:space="preserve">ecent technological innovations </w:t>
      </w:r>
      <w:r w:rsidRPr="00FF431B">
        <w:rPr>
          <w:rFonts w:ascii="Times New Roman" w:hAnsi="Times New Roman" w:cs="Times New Roman"/>
          <w:sz w:val="24"/>
          <w:szCs w:val="24"/>
          <w:highlight w:val="yellow"/>
        </w:rPr>
        <w:t>including bioreactor systems, low-cost culture strategies, LED lighting, molecular diagnostics, and</w:t>
      </w:r>
      <w:r w:rsidRPr="00FF431B">
        <w:rPr>
          <w:rFonts w:ascii="Times New Roman" w:hAnsi="Times New Roman" w:cs="Times New Roman"/>
          <w:sz w:val="24"/>
          <w:szCs w:val="24"/>
          <w:highlight w:val="yellow"/>
        </w:rPr>
        <w:t xml:space="preserve"> AI-assisted culture </w:t>
      </w:r>
      <w:r w:rsidR="00F15095" w:rsidRPr="00FF431B">
        <w:rPr>
          <w:rFonts w:ascii="Times New Roman" w:hAnsi="Times New Roman" w:cs="Times New Roman"/>
          <w:sz w:val="24"/>
          <w:szCs w:val="24"/>
          <w:highlight w:val="yellow"/>
        </w:rPr>
        <w:t>management have</w:t>
      </w:r>
      <w:bookmarkStart w:id="0" w:name="_GoBack"/>
      <w:bookmarkEnd w:id="0"/>
      <w:r w:rsidRPr="00FF431B">
        <w:rPr>
          <w:rFonts w:ascii="Times New Roman" w:hAnsi="Times New Roman" w:cs="Times New Roman"/>
          <w:sz w:val="24"/>
          <w:szCs w:val="24"/>
          <w:highlight w:val="yellow"/>
        </w:rPr>
        <w:t xml:space="preserve"> significantly enhanced the efficiency, scalability, and commercial feasibility of </w:t>
      </w:r>
      <w:proofErr w:type="spellStart"/>
      <w:r w:rsidRPr="00FF431B">
        <w:rPr>
          <w:rFonts w:ascii="Times New Roman" w:hAnsi="Times New Roman" w:cs="Times New Roman"/>
          <w:sz w:val="24"/>
          <w:szCs w:val="24"/>
          <w:highlight w:val="yellow"/>
        </w:rPr>
        <w:t>micropropagation</w:t>
      </w:r>
      <w:proofErr w:type="spellEnd"/>
      <w:r w:rsidRPr="00FF431B">
        <w:rPr>
          <w:rFonts w:ascii="Times New Roman" w:hAnsi="Times New Roman" w:cs="Times New Roman"/>
          <w:sz w:val="24"/>
          <w:szCs w:val="24"/>
          <w:highlight w:val="yellow"/>
        </w:rPr>
        <w:t>. Integration of tissue culture with molecular biology and precision agriculture is increasingly strengthening global efforts to supply high-quality, disease-free planting material for diverse horticultural crops.</w:t>
      </w:r>
    </w:p>
    <w:p w:rsidR="00212CD2" w:rsidRPr="00787457" w:rsidRDefault="00212CD2" w:rsidP="00FF431B">
      <w:pPr>
        <w:spacing w:line="276" w:lineRule="auto"/>
        <w:jc w:val="both"/>
        <w:rPr>
          <w:rFonts w:ascii="Times New Roman" w:hAnsi="Times New Roman" w:cs="Times New Roman"/>
          <w:sz w:val="24"/>
          <w:szCs w:val="24"/>
        </w:rPr>
      </w:pPr>
      <w:r w:rsidRPr="00A63D84">
        <w:rPr>
          <w:rFonts w:ascii="Times New Roman" w:hAnsi="Times New Roman" w:cs="Times New Roman"/>
          <w:b/>
          <w:sz w:val="24"/>
          <w:szCs w:val="24"/>
        </w:rPr>
        <w:t>Keywords:</w:t>
      </w:r>
      <w:r w:rsidRPr="00787457">
        <w:rPr>
          <w:rFonts w:ascii="Times New Roman" w:hAnsi="Times New Roman" w:cs="Times New Roman"/>
          <w:sz w:val="24"/>
          <w:szCs w:val="24"/>
        </w:rPr>
        <w:t xml:space="preserve"> </w:t>
      </w:r>
      <w:proofErr w:type="spellStart"/>
      <w:r w:rsidRPr="00787457">
        <w:rPr>
          <w:rFonts w:ascii="Times New Roman" w:hAnsi="Times New Roman" w:cs="Times New Roman"/>
          <w:sz w:val="24"/>
          <w:szCs w:val="24"/>
        </w:rPr>
        <w:t>micropropagation</w:t>
      </w:r>
      <w:proofErr w:type="spellEnd"/>
      <w:r w:rsidRPr="00787457">
        <w:rPr>
          <w:rFonts w:ascii="Times New Roman" w:hAnsi="Times New Roman" w:cs="Times New Roman"/>
          <w:sz w:val="24"/>
          <w:szCs w:val="24"/>
        </w:rPr>
        <w:t>, tissue culture, temporary immersion system, somatic embryogenesis, synthetic seed, bioreactor, genome editing, horticulture</w:t>
      </w:r>
    </w:p>
    <w:p w:rsidR="00772C30" w:rsidRPr="00787457" w:rsidRDefault="00E7566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1.</w:t>
      </w:r>
      <w:r w:rsidR="00772C30" w:rsidRPr="00787457">
        <w:rPr>
          <w:rFonts w:ascii="Times New Roman" w:hAnsi="Times New Roman" w:cs="Times New Roman"/>
          <w:b/>
          <w:sz w:val="24"/>
          <w:szCs w:val="24"/>
        </w:rPr>
        <w:t>Introduction</w:t>
      </w:r>
    </w:p>
    <w:p w:rsidR="00C061BB" w:rsidRPr="00C061BB" w:rsidRDefault="00C061BB" w:rsidP="00C061BB">
      <w:pPr>
        <w:spacing w:line="276" w:lineRule="auto"/>
        <w:jc w:val="both"/>
        <w:rPr>
          <w:rFonts w:ascii="Times New Roman" w:hAnsi="Times New Roman" w:cs="Times New Roman"/>
          <w:sz w:val="24"/>
          <w:szCs w:val="24"/>
          <w:highlight w:val="yellow"/>
        </w:rPr>
      </w:pPr>
      <w:r w:rsidRPr="00C061BB">
        <w:rPr>
          <w:rFonts w:ascii="Times New Roman" w:hAnsi="Times New Roman" w:cs="Times New Roman"/>
          <w:sz w:val="24"/>
          <w:szCs w:val="24"/>
          <w:highlight w:val="yellow"/>
        </w:rPr>
        <w:t>Horticultural crop production requires planting material that is genetically uniform, physiologically vigorous, and free from pathogens (</w:t>
      </w:r>
      <w:proofErr w:type="spellStart"/>
      <w:r w:rsidRPr="00C061BB">
        <w:rPr>
          <w:rFonts w:ascii="Times New Roman" w:hAnsi="Times New Roman" w:cs="Times New Roman"/>
          <w:sz w:val="24"/>
          <w:szCs w:val="24"/>
          <w:highlight w:val="yellow"/>
        </w:rPr>
        <w:t>Abdalla</w:t>
      </w:r>
      <w:proofErr w:type="spellEnd"/>
      <w:r w:rsidRPr="00C061BB">
        <w:rPr>
          <w:rFonts w:ascii="Times New Roman" w:hAnsi="Times New Roman" w:cs="Times New Roman"/>
          <w:sz w:val="24"/>
          <w:szCs w:val="24"/>
          <w:highlight w:val="yellow"/>
        </w:rPr>
        <w:t xml:space="preserve"> et al., 2022). However, conventional methods of vegetative propagation such as cuttings, suckers, layering, grafting, and division often limit the multiplication rate and increase the chances of transmitting systemic pathogens, particularly viruses, bacteria, and </w:t>
      </w:r>
      <w:proofErr w:type="spellStart"/>
      <w:r w:rsidRPr="00C061BB">
        <w:rPr>
          <w:rFonts w:ascii="Times New Roman" w:hAnsi="Times New Roman" w:cs="Times New Roman"/>
          <w:sz w:val="24"/>
          <w:szCs w:val="24"/>
          <w:highlight w:val="yellow"/>
        </w:rPr>
        <w:t>viroids</w:t>
      </w:r>
      <w:proofErr w:type="spellEnd"/>
      <w:r w:rsidRPr="00C061BB">
        <w:rPr>
          <w:rFonts w:ascii="Times New Roman" w:hAnsi="Times New Roman" w:cs="Times New Roman"/>
          <w:sz w:val="24"/>
          <w:szCs w:val="24"/>
          <w:highlight w:val="yellow"/>
        </w:rPr>
        <w:t xml:space="preserve"> (</w:t>
      </w:r>
      <w:proofErr w:type="spellStart"/>
      <w:r w:rsidRPr="00C061BB">
        <w:rPr>
          <w:rFonts w:ascii="Times New Roman" w:hAnsi="Times New Roman" w:cs="Times New Roman"/>
          <w:sz w:val="24"/>
          <w:szCs w:val="24"/>
          <w:highlight w:val="yellow"/>
        </w:rPr>
        <w:t>Awotedu</w:t>
      </w:r>
      <w:proofErr w:type="spellEnd"/>
      <w:r w:rsidRPr="00C061BB">
        <w:rPr>
          <w:rFonts w:ascii="Times New Roman" w:hAnsi="Times New Roman" w:cs="Times New Roman"/>
          <w:sz w:val="24"/>
          <w:szCs w:val="24"/>
          <w:highlight w:val="yellow"/>
        </w:rPr>
        <w:t xml:space="preserve"> et al., 2021). These limitations are especially critical in </w:t>
      </w:r>
      <w:proofErr w:type="spellStart"/>
      <w:r w:rsidRPr="00C061BB">
        <w:rPr>
          <w:rFonts w:ascii="Times New Roman" w:hAnsi="Times New Roman" w:cs="Times New Roman"/>
          <w:sz w:val="24"/>
          <w:szCs w:val="24"/>
          <w:highlight w:val="yellow"/>
        </w:rPr>
        <w:t>vegetatively</w:t>
      </w:r>
      <w:proofErr w:type="spellEnd"/>
      <w:r w:rsidRPr="00C061BB">
        <w:rPr>
          <w:rFonts w:ascii="Times New Roman" w:hAnsi="Times New Roman" w:cs="Times New Roman"/>
          <w:sz w:val="24"/>
          <w:szCs w:val="24"/>
          <w:highlight w:val="yellow"/>
        </w:rPr>
        <w:t xml:space="preserve"> propagated horticultural crops such as banana, potato, strawberry, sugarcane, citrus, grapevine, and ornamentals, where the demand for true-to-type and disease-free stoc</w:t>
      </w:r>
      <w:r w:rsidRPr="00C061BB">
        <w:rPr>
          <w:rFonts w:ascii="Times New Roman" w:hAnsi="Times New Roman" w:cs="Times New Roman"/>
          <w:sz w:val="24"/>
          <w:szCs w:val="24"/>
          <w:highlight w:val="yellow"/>
        </w:rPr>
        <w:t>k plants is high (Sidhu, 2011).</w:t>
      </w:r>
    </w:p>
    <w:p w:rsidR="00C061BB" w:rsidRPr="00C061BB" w:rsidRDefault="00C061BB" w:rsidP="00C061BB">
      <w:pPr>
        <w:spacing w:line="276" w:lineRule="auto"/>
        <w:jc w:val="both"/>
        <w:rPr>
          <w:rFonts w:ascii="Times New Roman" w:hAnsi="Times New Roman" w:cs="Times New Roman"/>
          <w:sz w:val="24"/>
          <w:szCs w:val="24"/>
          <w:highlight w:val="yellow"/>
        </w:rPr>
      </w:pPr>
      <w:r w:rsidRPr="00C061BB">
        <w:rPr>
          <w:rFonts w:ascii="Times New Roman" w:hAnsi="Times New Roman" w:cs="Times New Roman"/>
          <w:sz w:val="24"/>
          <w:szCs w:val="24"/>
          <w:highlight w:val="yellow"/>
        </w:rPr>
        <w:t>Plant tissue culture has emerged as a transformative solution to these challenges, providing a precise, controlled, and efficient method of clonal propagation (</w:t>
      </w:r>
      <w:proofErr w:type="spellStart"/>
      <w:r w:rsidRPr="00C061BB">
        <w:rPr>
          <w:rFonts w:ascii="Times New Roman" w:hAnsi="Times New Roman" w:cs="Times New Roman"/>
          <w:sz w:val="24"/>
          <w:szCs w:val="24"/>
          <w:highlight w:val="yellow"/>
        </w:rPr>
        <w:t>Pithiya</w:t>
      </w:r>
      <w:proofErr w:type="spellEnd"/>
      <w:r w:rsidRPr="00C061BB">
        <w:rPr>
          <w:rFonts w:ascii="Times New Roman" w:hAnsi="Times New Roman" w:cs="Times New Roman"/>
          <w:sz w:val="24"/>
          <w:szCs w:val="24"/>
          <w:highlight w:val="yellow"/>
        </w:rPr>
        <w:t xml:space="preserve"> et al., 2021). Techniques such as meristem culture, </w:t>
      </w:r>
      <w:proofErr w:type="spellStart"/>
      <w:r w:rsidRPr="00C061BB">
        <w:rPr>
          <w:rFonts w:ascii="Times New Roman" w:hAnsi="Times New Roman" w:cs="Times New Roman"/>
          <w:sz w:val="24"/>
          <w:szCs w:val="24"/>
          <w:highlight w:val="yellow"/>
        </w:rPr>
        <w:t>microshoot</w:t>
      </w:r>
      <w:proofErr w:type="spellEnd"/>
      <w:r w:rsidRPr="00C061BB">
        <w:rPr>
          <w:rFonts w:ascii="Times New Roman" w:hAnsi="Times New Roman" w:cs="Times New Roman"/>
          <w:sz w:val="24"/>
          <w:szCs w:val="24"/>
          <w:highlight w:val="yellow"/>
        </w:rPr>
        <w:t xml:space="preserve"> proliferation, organogenesis, somatic embryogenesis, and protoplast-based regeneration enable rapid multiplication and minimize pathogen transmission by utilizing clean, small, and genetically stable tissues. Tissue culture also supports long-term germplasm conservation, facilitates the multiplication of elite or recalcitrant genotypes, and provides platform material for genetic transformation, genome editing, and synthetic seed productio</w:t>
      </w:r>
      <w:r>
        <w:rPr>
          <w:rFonts w:ascii="Times New Roman" w:hAnsi="Times New Roman" w:cs="Times New Roman"/>
          <w:sz w:val="24"/>
          <w:szCs w:val="24"/>
          <w:highlight w:val="yellow"/>
        </w:rPr>
        <w:t>n (</w:t>
      </w:r>
      <w:proofErr w:type="spellStart"/>
      <w:r>
        <w:rPr>
          <w:rFonts w:ascii="Times New Roman" w:hAnsi="Times New Roman" w:cs="Times New Roman"/>
          <w:sz w:val="24"/>
          <w:szCs w:val="24"/>
          <w:highlight w:val="yellow"/>
        </w:rPr>
        <w:t>Yasemin</w:t>
      </w:r>
      <w:proofErr w:type="spellEnd"/>
      <w:r>
        <w:rPr>
          <w:rFonts w:ascii="Times New Roman" w:hAnsi="Times New Roman" w:cs="Times New Roman"/>
          <w:sz w:val="24"/>
          <w:szCs w:val="24"/>
          <w:highlight w:val="yellow"/>
        </w:rPr>
        <w:t xml:space="preserve"> and </w:t>
      </w:r>
      <w:proofErr w:type="spellStart"/>
      <w:r>
        <w:rPr>
          <w:rFonts w:ascii="Times New Roman" w:hAnsi="Times New Roman" w:cs="Times New Roman"/>
          <w:sz w:val="24"/>
          <w:szCs w:val="24"/>
          <w:highlight w:val="yellow"/>
        </w:rPr>
        <w:t>Beruto</w:t>
      </w:r>
      <w:proofErr w:type="spellEnd"/>
      <w:r>
        <w:rPr>
          <w:rFonts w:ascii="Times New Roman" w:hAnsi="Times New Roman" w:cs="Times New Roman"/>
          <w:sz w:val="24"/>
          <w:szCs w:val="24"/>
          <w:highlight w:val="yellow"/>
        </w:rPr>
        <w:t>, 2024).</w:t>
      </w:r>
    </w:p>
    <w:p w:rsidR="00C061BB" w:rsidRPr="00C061BB" w:rsidRDefault="00C061BB" w:rsidP="00C061BB">
      <w:pPr>
        <w:spacing w:line="276" w:lineRule="auto"/>
        <w:jc w:val="both"/>
        <w:rPr>
          <w:rFonts w:ascii="Times New Roman" w:hAnsi="Times New Roman" w:cs="Times New Roman"/>
          <w:sz w:val="24"/>
          <w:szCs w:val="24"/>
          <w:highlight w:val="yellow"/>
        </w:rPr>
      </w:pPr>
      <w:r w:rsidRPr="00C061BB">
        <w:rPr>
          <w:rFonts w:ascii="Times New Roman" w:hAnsi="Times New Roman" w:cs="Times New Roman"/>
          <w:sz w:val="24"/>
          <w:szCs w:val="24"/>
          <w:highlight w:val="yellow"/>
        </w:rPr>
        <w:lastRenderedPageBreak/>
        <w:t xml:space="preserve">In recent years, significant improvements in the efficiency, scalability, and economic viability of </w:t>
      </w:r>
      <w:proofErr w:type="spellStart"/>
      <w:r w:rsidRPr="00C061BB">
        <w:rPr>
          <w:rFonts w:ascii="Times New Roman" w:hAnsi="Times New Roman" w:cs="Times New Roman"/>
          <w:sz w:val="24"/>
          <w:szCs w:val="24"/>
          <w:highlight w:val="yellow"/>
        </w:rPr>
        <w:t>micropropagation</w:t>
      </w:r>
      <w:proofErr w:type="spellEnd"/>
      <w:r w:rsidRPr="00C061BB">
        <w:rPr>
          <w:rFonts w:ascii="Times New Roman" w:hAnsi="Times New Roman" w:cs="Times New Roman"/>
          <w:sz w:val="24"/>
          <w:szCs w:val="24"/>
          <w:highlight w:val="yellow"/>
        </w:rPr>
        <w:t xml:space="preserve"> have been achieved through innovations such as temporary immersion bioreactors, automation, low-cost media formulation, LED-based lighting, molecular diagnostics, and AI-assisted culture management (</w:t>
      </w:r>
      <w:proofErr w:type="spellStart"/>
      <w:r w:rsidRPr="00C061BB">
        <w:rPr>
          <w:rFonts w:ascii="Times New Roman" w:hAnsi="Times New Roman" w:cs="Times New Roman"/>
          <w:sz w:val="24"/>
          <w:szCs w:val="24"/>
          <w:highlight w:val="yellow"/>
        </w:rPr>
        <w:t>Kartha</w:t>
      </w:r>
      <w:proofErr w:type="spellEnd"/>
      <w:r w:rsidRPr="00C061BB">
        <w:rPr>
          <w:rFonts w:ascii="Times New Roman" w:hAnsi="Times New Roman" w:cs="Times New Roman"/>
          <w:sz w:val="24"/>
          <w:szCs w:val="24"/>
          <w:highlight w:val="yellow"/>
        </w:rPr>
        <w:t xml:space="preserve"> et al., 2024). These technological advances are increasingly integrating plant tissue culture with molecular biology, engineering, and precision agriculture to address commercial production needs, conservation priorities, and global demand for high-quality planting material in horticultur</w:t>
      </w:r>
      <w:r w:rsidRPr="00C061BB">
        <w:rPr>
          <w:rFonts w:ascii="Times New Roman" w:hAnsi="Times New Roman" w:cs="Times New Roman"/>
          <w:sz w:val="24"/>
          <w:szCs w:val="24"/>
          <w:highlight w:val="yellow"/>
        </w:rPr>
        <w:t>al crops (</w:t>
      </w:r>
      <w:proofErr w:type="spellStart"/>
      <w:r w:rsidRPr="00C061BB">
        <w:rPr>
          <w:rFonts w:ascii="Times New Roman" w:hAnsi="Times New Roman" w:cs="Times New Roman"/>
          <w:sz w:val="24"/>
          <w:szCs w:val="24"/>
          <w:highlight w:val="yellow"/>
        </w:rPr>
        <w:t>Koti</w:t>
      </w:r>
      <w:proofErr w:type="spellEnd"/>
      <w:r w:rsidRPr="00C061BB">
        <w:rPr>
          <w:rFonts w:ascii="Times New Roman" w:hAnsi="Times New Roman" w:cs="Times New Roman"/>
          <w:sz w:val="24"/>
          <w:szCs w:val="24"/>
          <w:highlight w:val="yellow"/>
        </w:rPr>
        <w:t xml:space="preserve"> and Bill, 2025).</w:t>
      </w:r>
    </w:p>
    <w:p w:rsidR="00C061BB" w:rsidRPr="00C061BB" w:rsidRDefault="00C061BB" w:rsidP="00C061BB">
      <w:pPr>
        <w:spacing w:line="276" w:lineRule="auto"/>
        <w:jc w:val="both"/>
        <w:rPr>
          <w:rFonts w:ascii="Times New Roman" w:hAnsi="Times New Roman" w:cs="Times New Roman"/>
          <w:b/>
          <w:sz w:val="24"/>
          <w:szCs w:val="24"/>
          <w:highlight w:val="yellow"/>
        </w:rPr>
      </w:pPr>
      <w:r w:rsidRPr="00C061BB">
        <w:rPr>
          <w:rFonts w:ascii="Times New Roman" w:hAnsi="Times New Roman" w:cs="Times New Roman"/>
          <w:b/>
          <w:sz w:val="24"/>
          <w:szCs w:val="24"/>
          <w:highlight w:val="yellow"/>
        </w:rPr>
        <w:t xml:space="preserve">2. Core Techniques of </w:t>
      </w:r>
      <w:proofErr w:type="spellStart"/>
      <w:r w:rsidRPr="00C061BB">
        <w:rPr>
          <w:rFonts w:ascii="Times New Roman" w:hAnsi="Times New Roman" w:cs="Times New Roman"/>
          <w:b/>
          <w:sz w:val="24"/>
          <w:szCs w:val="24"/>
          <w:highlight w:val="yellow"/>
        </w:rPr>
        <w:t>Micropropagation</w:t>
      </w:r>
      <w:proofErr w:type="spellEnd"/>
      <w:r w:rsidRPr="00C061BB">
        <w:rPr>
          <w:rFonts w:ascii="Times New Roman" w:hAnsi="Times New Roman" w:cs="Times New Roman"/>
          <w:b/>
          <w:sz w:val="24"/>
          <w:szCs w:val="24"/>
          <w:highlight w:val="yellow"/>
        </w:rPr>
        <w:t xml:space="preserve"> and Technological Evolution</w:t>
      </w:r>
    </w:p>
    <w:p w:rsidR="00C061BB" w:rsidRPr="00C061BB" w:rsidRDefault="00C061BB" w:rsidP="00C061BB">
      <w:pPr>
        <w:spacing w:line="276" w:lineRule="auto"/>
        <w:jc w:val="both"/>
        <w:rPr>
          <w:rFonts w:ascii="Times New Roman" w:hAnsi="Times New Roman" w:cs="Times New Roman"/>
          <w:b/>
          <w:sz w:val="24"/>
          <w:szCs w:val="24"/>
          <w:highlight w:val="yellow"/>
        </w:rPr>
      </w:pPr>
      <w:r w:rsidRPr="00C061BB">
        <w:rPr>
          <w:rFonts w:ascii="Times New Roman" w:hAnsi="Times New Roman" w:cs="Times New Roman"/>
          <w:b/>
          <w:sz w:val="24"/>
          <w:szCs w:val="24"/>
          <w:highlight w:val="yellow"/>
        </w:rPr>
        <w:t>2.1 Traditional Stages an</w:t>
      </w:r>
      <w:r w:rsidRPr="00C061BB">
        <w:rPr>
          <w:rFonts w:ascii="Times New Roman" w:hAnsi="Times New Roman" w:cs="Times New Roman"/>
          <w:b/>
          <w:sz w:val="24"/>
          <w:szCs w:val="24"/>
          <w:highlight w:val="yellow"/>
        </w:rPr>
        <w:t>d Goals</w:t>
      </w:r>
    </w:p>
    <w:p w:rsidR="00C061BB" w:rsidRPr="00C061BB" w:rsidRDefault="00C061BB" w:rsidP="00C061BB">
      <w:pPr>
        <w:spacing w:line="276" w:lineRule="auto"/>
        <w:jc w:val="both"/>
        <w:rPr>
          <w:rFonts w:ascii="Times New Roman" w:hAnsi="Times New Roman" w:cs="Times New Roman"/>
          <w:sz w:val="24"/>
          <w:szCs w:val="24"/>
          <w:highlight w:val="yellow"/>
        </w:rPr>
      </w:pPr>
      <w:r w:rsidRPr="00C061BB">
        <w:rPr>
          <w:rFonts w:ascii="Times New Roman" w:hAnsi="Times New Roman" w:cs="Times New Roman"/>
          <w:sz w:val="24"/>
          <w:szCs w:val="24"/>
          <w:highlight w:val="yellow"/>
        </w:rPr>
        <w:t>Tissue culture propagation is generally carried out in four well-defined stages, each with specific technical requirements and biological obj</w:t>
      </w:r>
      <w:r w:rsidRPr="00C061BB">
        <w:rPr>
          <w:rFonts w:ascii="Times New Roman" w:hAnsi="Times New Roman" w:cs="Times New Roman"/>
          <w:sz w:val="24"/>
          <w:szCs w:val="24"/>
          <w:highlight w:val="yellow"/>
        </w:rPr>
        <w:t>ectives (</w:t>
      </w:r>
      <w:proofErr w:type="spellStart"/>
      <w:r w:rsidRPr="00C061BB">
        <w:rPr>
          <w:rFonts w:ascii="Times New Roman" w:hAnsi="Times New Roman" w:cs="Times New Roman"/>
          <w:sz w:val="24"/>
          <w:szCs w:val="24"/>
          <w:highlight w:val="yellow"/>
        </w:rPr>
        <w:t>Abdalla</w:t>
      </w:r>
      <w:proofErr w:type="spellEnd"/>
      <w:r w:rsidRPr="00C061BB">
        <w:rPr>
          <w:rFonts w:ascii="Times New Roman" w:hAnsi="Times New Roman" w:cs="Times New Roman"/>
          <w:sz w:val="24"/>
          <w:szCs w:val="24"/>
          <w:highlight w:val="yellow"/>
        </w:rPr>
        <w:t xml:space="preserve"> et al., 2022).</w:t>
      </w:r>
    </w:p>
    <w:p w:rsidR="00C061BB" w:rsidRPr="00C061BB" w:rsidRDefault="00C061BB" w:rsidP="00C061BB">
      <w:pPr>
        <w:spacing w:line="276" w:lineRule="auto"/>
        <w:jc w:val="both"/>
        <w:rPr>
          <w:rFonts w:ascii="Times New Roman" w:hAnsi="Times New Roman" w:cs="Times New Roman"/>
          <w:sz w:val="24"/>
          <w:szCs w:val="24"/>
          <w:highlight w:val="yellow"/>
        </w:rPr>
      </w:pPr>
      <w:r w:rsidRPr="00C061BB">
        <w:rPr>
          <w:rFonts w:ascii="Times New Roman" w:hAnsi="Times New Roman" w:cs="Times New Roman"/>
          <w:sz w:val="24"/>
          <w:szCs w:val="24"/>
          <w:highlight w:val="yellow"/>
        </w:rPr>
        <w:t>Stage I (Establishment) involves selecting, excising, and surface-sterilizing explants—</w:t>
      </w:r>
      <w:r w:rsidRPr="00C061BB">
        <w:rPr>
          <w:rFonts w:ascii="Times New Roman" w:hAnsi="Times New Roman" w:cs="Times New Roman"/>
          <w:sz w:val="24"/>
          <w:szCs w:val="24"/>
          <w:highlight w:val="yellow"/>
        </w:rPr>
        <w:t xml:space="preserve">usually shoot tips or meristems </w:t>
      </w:r>
      <w:r w:rsidRPr="00C061BB">
        <w:rPr>
          <w:rFonts w:ascii="Times New Roman" w:hAnsi="Times New Roman" w:cs="Times New Roman"/>
          <w:sz w:val="24"/>
          <w:szCs w:val="24"/>
          <w:highlight w:val="yellow"/>
        </w:rPr>
        <w:t xml:space="preserve">and introducing them into a sterile culture environment. The objective is to achieve aseptic establishment while maintaining viability and regenerative capacity. In many horticultural crops, meristem culture is essential for producing pathogen-free plants because apical meristems are typically free of systemic viruses due to high metabolic activity and lack of vascular connections (Kane et </w:t>
      </w:r>
      <w:r w:rsidRPr="00C061BB">
        <w:rPr>
          <w:rFonts w:ascii="Times New Roman" w:hAnsi="Times New Roman" w:cs="Times New Roman"/>
          <w:sz w:val="24"/>
          <w:szCs w:val="24"/>
          <w:highlight w:val="yellow"/>
        </w:rPr>
        <w:t>al., 2016).</w:t>
      </w:r>
    </w:p>
    <w:p w:rsidR="00C061BB" w:rsidRPr="00C061BB" w:rsidRDefault="00C061BB" w:rsidP="00C061BB">
      <w:pPr>
        <w:spacing w:line="276" w:lineRule="auto"/>
        <w:jc w:val="both"/>
        <w:rPr>
          <w:rFonts w:ascii="Times New Roman" w:hAnsi="Times New Roman" w:cs="Times New Roman"/>
          <w:sz w:val="24"/>
          <w:szCs w:val="24"/>
          <w:highlight w:val="yellow"/>
        </w:rPr>
      </w:pPr>
      <w:r w:rsidRPr="00C061BB">
        <w:rPr>
          <w:rFonts w:ascii="Times New Roman" w:hAnsi="Times New Roman" w:cs="Times New Roman"/>
          <w:sz w:val="24"/>
          <w:szCs w:val="24"/>
          <w:highlight w:val="yellow"/>
        </w:rPr>
        <w:t xml:space="preserve">Stage II (Multiplication) consists of rapid shoot proliferation through axillary bud activation or de novo organogenesis. </w:t>
      </w:r>
      <w:proofErr w:type="spellStart"/>
      <w:r w:rsidRPr="00C061BB">
        <w:rPr>
          <w:rFonts w:ascii="Times New Roman" w:hAnsi="Times New Roman" w:cs="Times New Roman"/>
          <w:sz w:val="24"/>
          <w:szCs w:val="24"/>
          <w:highlight w:val="yellow"/>
        </w:rPr>
        <w:t>Cytokinins</w:t>
      </w:r>
      <w:proofErr w:type="spellEnd"/>
      <w:r w:rsidRPr="00C061BB">
        <w:rPr>
          <w:rFonts w:ascii="Times New Roman" w:hAnsi="Times New Roman" w:cs="Times New Roman"/>
          <w:sz w:val="24"/>
          <w:szCs w:val="24"/>
          <w:highlight w:val="yellow"/>
        </w:rPr>
        <w:t xml:space="preserve"> such as BAP, kinetin, or TDZ are commonly used to induce multiple shoots, while optimization of light, carbon sources, and subculture intervals enhances multiplication rates. The goal is to obtain a large number of uniform </w:t>
      </w:r>
      <w:proofErr w:type="spellStart"/>
      <w:r w:rsidRPr="00C061BB">
        <w:rPr>
          <w:rFonts w:ascii="Times New Roman" w:hAnsi="Times New Roman" w:cs="Times New Roman"/>
          <w:sz w:val="24"/>
          <w:szCs w:val="24"/>
          <w:highlight w:val="yellow"/>
        </w:rPr>
        <w:t>microshoots</w:t>
      </w:r>
      <w:proofErr w:type="spellEnd"/>
      <w:r w:rsidRPr="00C061BB">
        <w:rPr>
          <w:rFonts w:ascii="Times New Roman" w:hAnsi="Times New Roman" w:cs="Times New Roman"/>
          <w:sz w:val="24"/>
          <w:szCs w:val="24"/>
          <w:highlight w:val="yellow"/>
        </w:rPr>
        <w:t xml:space="preserve"> without genetic variation. Responses vary among horticultural crops, requiring species- and genotype-specific protocol refinement (</w:t>
      </w:r>
      <w:r w:rsidRPr="00C061BB">
        <w:rPr>
          <w:rFonts w:ascii="Times New Roman" w:hAnsi="Times New Roman" w:cs="Times New Roman"/>
          <w:sz w:val="24"/>
          <w:szCs w:val="24"/>
          <w:highlight w:val="yellow"/>
        </w:rPr>
        <w:t>Singh, 2015).</w:t>
      </w:r>
    </w:p>
    <w:p w:rsidR="00C061BB" w:rsidRPr="00C061BB" w:rsidRDefault="00C061BB" w:rsidP="00C061BB">
      <w:pPr>
        <w:spacing w:line="276" w:lineRule="auto"/>
        <w:jc w:val="both"/>
        <w:rPr>
          <w:rFonts w:ascii="Times New Roman" w:hAnsi="Times New Roman" w:cs="Times New Roman"/>
          <w:sz w:val="24"/>
          <w:szCs w:val="24"/>
          <w:highlight w:val="yellow"/>
        </w:rPr>
      </w:pPr>
      <w:r w:rsidRPr="00C061BB">
        <w:rPr>
          <w:rFonts w:ascii="Times New Roman" w:hAnsi="Times New Roman" w:cs="Times New Roman"/>
          <w:sz w:val="24"/>
          <w:szCs w:val="24"/>
          <w:highlight w:val="yellow"/>
        </w:rPr>
        <w:t>Stage III (Rooting) involves inducing roots on regenerated shoots using exogenous auxins (IBA or NAA) or modifying the culture medium’s physical properties, such as gelling strength and nutrient concentration. Adequate rooting is crucial for successful ex vitro establishment. This stage remains a major bottleneck in many woody and perennial horticultural crops due to inherent difficulties in root induct</w:t>
      </w:r>
      <w:r w:rsidRPr="00C061BB">
        <w:rPr>
          <w:rFonts w:ascii="Times New Roman" w:hAnsi="Times New Roman" w:cs="Times New Roman"/>
          <w:sz w:val="24"/>
          <w:szCs w:val="24"/>
          <w:highlight w:val="yellow"/>
        </w:rPr>
        <w:t>ion (</w:t>
      </w:r>
      <w:proofErr w:type="spellStart"/>
      <w:r w:rsidRPr="00C061BB">
        <w:rPr>
          <w:rFonts w:ascii="Times New Roman" w:hAnsi="Times New Roman" w:cs="Times New Roman"/>
          <w:sz w:val="24"/>
          <w:szCs w:val="24"/>
          <w:highlight w:val="yellow"/>
        </w:rPr>
        <w:t>Bhojwani</w:t>
      </w:r>
      <w:proofErr w:type="spellEnd"/>
      <w:r w:rsidRPr="00C061BB">
        <w:rPr>
          <w:rFonts w:ascii="Times New Roman" w:hAnsi="Times New Roman" w:cs="Times New Roman"/>
          <w:sz w:val="24"/>
          <w:szCs w:val="24"/>
          <w:highlight w:val="yellow"/>
        </w:rPr>
        <w:t xml:space="preserve"> and </w:t>
      </w:r>
      <w:proofErr w:type="spellStart"/>
      <w:r w:rsidRPr="00C061BB">
        <w:rPr>
          <w:rFonts w:ascii="Times New Roman" w:hAnsi="Times New Roman" w:cs="Times New Roman"/>
          <w:sz w:val="24"/>
          <w:szCs w:val="24"/>
          <w:highlight w:val="yellow"/>
        </w:rPr>
        <w:t>Dantu</w:t>
      </w:r>
      <w:proofErr w:type="spellEnd"/>
      <w:r w:rsidRPr="00C061BB">
        <w:rPr>
          <w:rFonts w:ascii="Times New Roman" w:hAnsi="Times New Roman" w:cs="Times New Roman"/>
          <w:sz w:val="24"/>
          <w:szCs w:val="24"/>
          <w:highlight w:val="yellow"/>
        </w:rPr>
        <w:t>, 2013).</w:t>
      </w:r>
    </w:p>
    <w:p w:rsidR="00C061BB" w:rsidRPr="00C061BB" w:rsidRDefault="00C061BB" w:rsidP="00C061BB">
      <w:pPr>
        <w:spacing w:line="276" w:lineRule="auto"/>
        <w:jc w:val="both"/>
        <w:rPr>
          <w:rFonts w:ascii="Times New Roman" w:hAnsi="Times New Roman" w:cs="Times New Roman"/>
          <w:sz w:val="24"/>
          <w:szCs w:val="24"/>
          <w:highlight w:val="yellow"/>
        </w:rPr>
      </w:pPr>
      <w:r w:rsidRPr="00C061BB">
        <w:rPr>
          <w:rFonts w:ascii="Times New Roman" w:hAnsi="Times New Roman" w:cs="Times New Roman"/>
          <w:sz w:val="24"/>
          <w:szCs w:val="24"/>
          <w:highlight w:val="yellow"/>
        </w:rPr>
        <w:t>Stage IV (Acclimatization) transfers in vitro–grown plantlets to greenhouse or nursery conditions. Gradual adjustment of humidity, light intensity, and temperature allows plantlets to develop structural and physiological adaptations such as cuticle formation, stomatal regulation, and functional root systems. Successful acclimatization ensures high survival and prepares plants for field trans</w:t>
      </w:r>
      <w:r w:rsidRPr="00C061BB">
        <w:rPr>
          <w:rFonts w:ascii="Times New Roman" w:hAnsi="Times New Roman" w:cs="Times New Roman"/>
          <w:sz w:val="24"/>
          <w:szCs w:val="24"/>
          <w:highlight w:val="yellow"/>
        </w:rPr>
        <w:t>plantation (Kane et al., 2016).</w:t>
      </w:r>
    </w:p>
    <w:p w:rsidR="00B70C38" w:rsidRDefault="00C061BB" w:rsidP="00C061BB">
      <w:pPr>
        <w:spacing w:line="276" w:lineRule="auto"/>
        <w:jc w:val="both"/>
        <w:rPr>
          <w:rFonts w:ascii="Times New Roman" w:hAnsi="Times New Roman" w:cs="Times New Roman"/>
          <w:sz w:val="24"/>
          <w:szCs w:val="24"/>
        </w:rPr>
      </w:pPr>
      <w:r w:rsidRPr="00C061BB">
        <w:rPr>
          <w:rFonts w:ascii="Times New Roman" w:hAnsi="Times New Roman" w:cs="Times New Roman"/>
          <w:sz w:val="24"/>
          <w:szCs w:val="24"/>
          <w:highlight w:val="yellow"/>
        </w:rPr>
        <w:t xml:space="preserve">Each stage aims to meet specific biological and commercial objectives. Major applications of </w:t>
      </w:r>
      <w:proofErr w:type="spellStart"/>
      <w:r w:rsidRPr="00C061BB">
        <w:rPr>
          <w:rFonts w:ascii="Times New Roman" w:hAnsi="Times New Roman" w:cs="Times New Roman"/>
          <w:sz w:val="24"/>
          <w:szCs w:val="24"/>
          <w:highlight w:val="yellow"/>
        </w:rPr>
        <w:t>micropropagation</w:t>
      </w:r>
      <w:proofErr w:type="spellEnd"/>
      <w:r w:rsidRPr="00C061BB">
        <w:rPr>
          <w:rFonts w:ascii="Times New Roman" w:hAnsi="Times New Roman" w:cs="Times New Roman"/>
          <w:sz w:val="24"/>
          <w:szCs w:val="24"/>
          <w:highlight w:val="yellow"/>
        </w:rPr>
        <w:t xml:space="preserve"> include large-scale multiplication of high-quality planting material, production of disease-free nursery stock using meristem and thermotherapy techniques, clonal preservation of </w:t>
      </w:r>
      <w:r w:rsidRPr="00C061BB">
        <w:rPr>
          <w:rFonts w:ascii="Times New Roman" w:hAnsi="Times New Roman" w:cs="Times New Roman"/>
          <w:sz w:val="24"/>
          <w:szCs w:val="24"/>
          <w:highlight w:val="yellow"/>
        </w:rPr>
        <w:lastRenderedPageBreak/>
        <w:t xml:space="preserve">elite horticultural genotypes, and provision of </w:t>
      </w:r>
      <w:proofErr w:type="spellStart"/>
      <w:r w:rsidRPr="00C061BB">
        <w:rPr>
          <w:rFonts w:ascii="Times New Roman" w:hAnsi="Times New Roman" w:cs="Times New Roman"/>
          <w:sz w:val="24"/>
          <w:szCs w:val="24"/>
          <w:highlight w:val="yellow"/>
        </w:rPr>
        <w:t>regenerable</w:t>
      </w:r>
      <w:proofErr w:type="spellEnd"/>
      <w:r w:rsidRPr="00C061BB">
        <w:rPr>
          <w:rFonts w:ascii="Times New Roman" w:hAnsi="Times New Roman" w:cs="Times New Roman"/>
          <w:sz w:val="24"/>
          <w:szCs w:val="24"/>
          <w:highlight w:val="yellow"/>
        </w:rPr>
        <w:t xml:space="preserve"> tissues for genetic transformation, genome editing, and other modern biotechnological tools (Roy, 2024). For instance, banana, strawberry, gerbera, and gladiolus rely heavily on </w:t>
      </w:r>
      <w:proofErr w:type="spellStart"/>
      <w:r w:rsidRPr="00C061BB">
        <w:rPr>
          <w:rFonts w:ascii="Times New Roman" w:hAnsi="Times New Roman" w:cs="Times New Roman"/>
          <w:sz w:val="24"/>
          <w:szCs w:val="24"/>
          <w:highlight w:val="yellow"/>
        </w:rPr>
        <w:t>micropropagation</w:t>
      </w:r>
      <w:proofErr w:type="spellEnd"/>
      <w:r w:rsidRPr="00C061BB">
        <w:rPr>
          <w:rFonts w:ascii="Times New Roman" w:hAnsi="Times New Roman" w:cs="Times New Roman"/>
          <w:sz w:val="24"/>
          <w:szCs w:val="24"/>
          <w:highlight w:val="yellow"/>
        </w:rPr>
        <w:t xml:space="preserve"> for commercial production, while crops such as citrus, grapevine, mango, and potato use tissue culture primarily for virus elimination and maintaining elite lines (</w:t>
      </w:r>
      <w:proofErr w:type="spellStart"/>
      <w:r w:rsidRPr="00C061BB">
        <w:rPr>
          <w:rFonts w:ascii="Times New Roman" w:hAnsi="Times New Roman" w:cs="Times New Roman"/>
          <w:sz w:val="24"/>
          <w:szCs w:val="24"/>
          <w:highlight w:val="yellow"/>
        </w:rPr>
        <w:t>Yaseen</w:t>
      </w:r>
      <w:proofErr w:type="spellEnd"/>
      <w:r w:rsidRPr="00C061BB">
        <w:rPr>
          <w:rFonts w:ascii="Times New Roman" w:hAnsi="Times New Roman" w:cs="Times New Roman"/>
          <w:sz w:val="24"/>
          <w:szCs w:val="24"/>
          <w:highlight w:val="yellow"/>
        </w:rPr>
        <w:t xml:space="preserve"> et al., 2023).</w:t>
      </w:r>
    </w:p>
    <w:p w:rsidR="00C061BB" w:rsidRDefault="00C061BB" w:rsidP="00C061BB">
      <w:pPr>
        <w:spacing w:line="276" w:lineRule="auto"/>
        <w:jc w:val="both"/>
        <w:rPr>
          <w:rFonts w:ascii="Times New Roman" w:hAnsi="Times New Roman" w:cs="Times New Roman"/>
          <w:sz w:val="24"/>
          <w:szCs w:val="24"/>
        </w:rPr>
      </w:pPr>
      <w:r w:rsidRPr="00787457">
        <w:rPr>
          <w:rFonts w:ascii="Times New Roman" w:hAnsi="Times New Roman" w:cs="Times New Roman"/>
          <w:noProof/>
          <w:sz w:val="24"/>
          <w:szCs w:val="24"/>
        </w:rPr>
        <w:drawing>
          <wp:anchor distT="0" distB="0" distL="114300" distR="114300" simplePos="0" relativeHeight="251659264" behindDoc="1" locked="0" layoutInCell="1" allowOverlap="1" wp14:anchorId="71CDE640" wp14:editId="03070BFB">
            <wp:simplePos x="0" y="0"/>
            <wp:positionH relativeFrom="column">
              <wp:posOffset>428625</wp:posOffset>
            </wp:positionH>
            <wp:positionV relativeFrom="paragraph">
              <wp:posOffset>304165</wp:posOffset>
            </wp:positionV>
            <wp:extent cx="5286375" cy="6086475"/>
            <wp:effectExtent l="0" t="0" r="9525" b="9525"/>
            <wp:wrapTight wrapText="bothSides">
              <wp:wrapPolygon edited="0">
                <wp:start x="0" y="0"/>
                <wp:lineTo x="0" y="21566"/>
                <wp:lineTo x="21561" y="21566"/>
                <wp:lineTo x="21561" y="0"/>
                <wp:lineTo x="0" y="0"/>
              </wp:wrapPolygon>
            </wp:wrapTight>
            <wp:docPr id="2" name="Picture 2" descr="C:\Users\Admin\Downloads\ChatGPT Image Dec 1, 2025, 08_14_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ChatGPT Image Dec 1, 2025, 08_14_44 AM.png"/>
                    <pic:cNvPicPr>
                      <a:picLocks noChangeAspect="1" noChangeArrowheads="1"/>
                    </pic:cNvPicPr>
                  </pic:nvPicPr>
                  <pic:blipFill rotWithShape="1">
                    <a:blip r:embed="rId8">
                      <a:extLst>
                        <a:ext uri="{28A0092B-C50C-407E-A947-70E740481C1C}">
                          <a14:useLocalDpi xmlns:a14="http://schemas.microsoft.com/office/drawing/2010/main" val="0"/>
                        </a:ext>
                      </a:extLst>
                    </a:blip>
                    <a:srcRect l="4969" t="2351" r="6089" b="8975"/>
                    <a:stretch/>
                  </pic:blipFill>
                  <pic:spPr bwMode="auto">
                    <a:xfrm>
                      <a:off x="0" y="0"/>
                      <a:ext cx="5286375" cy="6086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77509" w:rsidRDefault="00577509" w:rsidP="000252C8">
      <w:pPr>
        <w:spacing w:line="276" w:lineRule="auto"/>
        <w:jc w:val="both"/>
        <w:rPr>
          <w:rFonts w:ascii="Times New Roman" w:hAnsi="Times New Roman" w:cs="Times New Roman"/>
          <w:sz w:val="24"/>
          <w:szCs w:val="24"/>
        </w:rPr>
      </w:pPr>
    </w:p>
    <w:p w:rsidR="00577509" w:rsidRDefault="00577509" w:rsidP="000252C8">
      <w:pPr>
        <w:spacing w:line="276" w:lineRule="auto"/>
        <w:jc w:val="both"/>
        <w:rPr>
          <w:rFonts w:ascii="Times New Roman" w:hAnsi="Times New Roman" w:cs="Times New Roman"/>
          <w:sz w:val="24"/>
          <w:szCs w:val="24"/>
        </w:rPr>
      </w:pPr>
    </w:p>
    <w:p w:rsidR="00577509" w:rsidRDefault="00577509" w:rsidP="000252C8">
      <w:pPr>
        <w:spacing w:line="276" w:lineRule="auto"/>
        <w:jc w:val="both"/>
        <w:rPr>
          <w:rFonts w:ascii="Times New Roman" w:hAnsi="Times New Roman" w:cs="Times New Roman"/>
          <w:sz w:val="24"/>
          <w:szCs w:val="24"/>
        </w:rPr>
      </w:pPr>
    </w:p>
    <w:p w:rsidR="00577509" w:rsidRDefault="00577509" w:rsidP="000252C8">
      <w:pPr>
        <w:spacing w:line="276" w:lineRule="auto"/>
        <w:jc w:val="both"/>
        <w:rPr>
          <w:rFonts w:ascii="Times New Roman" w:hAnsi="Times New Roman" w:cs="Times New Roman"/>
          <w:sz w:val="24"/>
          <w:szCs w:val="24"/>
        </w:rPr>
      </w:pPr>
    </w:p>
    <w:p w:rsidR="00577509" w:rsidRDefault="00577509" w:rsidP="000252C8">
      <w:pPr>
        <w:spacing w:line="276" w:lineRule="auto"/>
        <w:jc w:val="both"/>
        <w:rPr>
          <w:rFonts w:ascii="Times New Roman" w:hAnsi="Times New Roman" w:cs="Times New Roman"/>
          <w:sz w:val="24"/>
          <w:szCs w:val="24"/>
        </w:rPr>
      </w:pPr>
    </w:p>
    <w:p w:rsidR="00577509" w:rsidRDefault="00577509" w:rsidP="000252C8">
      <w:pPr>
        <w:spacing w:line="276" w:lineRule="auto"/>
        <w:jc w:val="both"/>
        <w:rPr>
          <w:rFonts w:ascii="Times New Roman" w:hAnsi="Times New Roman" w:cs="Times New Roman"/>
          <w:sz w:val="24"/>
          <w:szCs w:val="24"/>
        </w:rPr>
      </w:pPr>
    </w:p>
    <w:p w:rsidR="00577509" w:rsidRDefault="00577509" w:rsidP="000252C8">
      <w:pPr>
        <w:spacing w:line="276" w:lineRule="auto"/>
        <w:jc w:val="both"/>
        <w:rPr>
          <w:rFonts w:ascii="Times New Roman" w:hAnsi="Times New Roman" w:cs="Times New Roman"/>
          <w:sz w:val="24"/>
          <w:szCs w:val="24"/>
        </w:rPr>
      </w:pPr>
    </w:p>
    <w:p w:rsidR="00577509" w:rsidRDefault="00577509" w:rsidP="000252C8">
      <w:pPr>
        <w:spacing w:line="276" w:lineRule="auto"/>
        <w:jc w:val="both"/>
        <w:rPr>
          <w:rFonts w:ascii="Times New Roman" w:hAnsi="Times New Roman" w:cs="Times New Roman"/>
          <w:sz w:val="24"/>
          <w:szCs w:val="24"/>
        </w:rPr>
      </w:pPr>
    </w:p>
    <w:p w:rsidR="00577509" w:rsidRDefault="00577509" w:rsidP="000252C8">
      <w:pPr>
        <w:spacing w:line="276" w:lineRule="auto"/>
        <w:jc w:val="both"/>
        <w:rPr>
          <w:rFonts w:ascii="Times New Roman" w:hAnsi="Times New Roman" w:cs="Times New Roman"/>
          <w:sz w:val="24"/>
          <w:szCs w:val="24"/>
        </w:rPr>
      </w:pPr>
    </w:p>
    <w:p w:rsidR="00577509" w:rsidRDefault="00577509" w:rsidP="000252C8">
      <w:pPr>
        <w:spacing w:line="276" w:lineRule="auto"/>
        <w:jc w:val="both"/>
        <w:rPr>
          <w:rFonts w:ascii="Times New Roman" w:hAnsi="Times New Roman" w:cs="Times New Roman"/>
          <w:sz w:val="24"/>
          <w:szCs w:val="24"/>
        </w:rPr>
      </w:pPr>
    </w:p>
    <w:p w:rsidR="00577509" w:rsidRDefault="00577509" w:rsidP="000252C8">
      <w:pPr>
        <w:spacing w:line="276" w:lineRule="auto"/>
        <w:jc w:val="both"/>
        <w:rPr>
          <w:rFonts w:ascii="Times New Roman" w:hAnsi="Times New Roman" w:cs="Times New Roman"/>
          <w:sz w:val="24"/>
          <w:szCs w:val="24"/>
        </w:rPr>
      </w:pPr>
    </w:p>
    <w:p w:rsidR="00577509" w:rsidRDefault="00577509" w:rsidP="000252C8">
      <w:pPr>
        <w:spacing w:line="276" w:lineRule="auto"/>
        <w:jc w:val="both"/>
        <w:rPr>
          <w:rFonts w:ascii="Times New Roman" w:hAnsi="Times New Roman" w:cs="Times New Roman"/>
          <w:sz w:val="24"/>
          <w:szCs w:val="24"/>
        </w:rPr>
      </w:pPr>
    </w:p>
    <w:p w:rsidR="00577509" w:rsidRDefault="00577509" w:rsidP="000252C8">
      <w:pPr>
        <w:spacing w:line="276" w:lineRule="auto"/>
        <w:jc w:val="both"/>
        <w:rPr>
          <w:rFonts w:ascii="Times New Roman" w:hAnsi="Times New Roman" w:cs="Times New Roman"/>
          <w:sz w:val="24"/>
          <w:szCs w:val="24"/>
        </w:rPr>
      </w:pPr>
    </w:p>
    <w:p w:rsidR="00577509" w:rsidRDefault="00577509" w:rsidP="000252C8">
      <w:pPr>
        <w:spacing w:line="276" w:lineRule="auto"/>
        <w:jc w:val="both"/>
        <w:rPr>
          <w:rFonts w:ascii="Times New Roman" w:hAnsi="Times New Roman" w:cs="Times New Roman"/>
          <w:sz w:val="24"/>
          <w:szCs w:val="24"/>
        </w:rPr>
      </w:pPr>
    </w:p>
    <w:p w:rsidR="00577509" w:rsidRDefault="00577509" w:rsidP="000252C8">
      <w:pPr>
        <w:spacing w:line="276" w:lineRule="auto"/>
        <w:jc w:val="both"/>
        <w:rPr>
          <w:rFonts w:ascii="Times New Roman" w:hAnsi="Times New Roman" w:cs="Times New Roman"/>
          <w:sz w:val="24"/>
          <w:szCs w:val="24"/>
        </w:rPr>
      </w:pPr>
    </w:p>
    <w:p w:rsidR="00577509" w:rsidRDefault="00577509" w:rsidP="000252C8">
      <w:pPr>
        <w:spacing w:line="276" w:lineRule="auto"/>
        <w:jc w:val="both"/>
        <w:rPr>
          <w:rFonts w:ascii="Times New Roman" w:hAnsi="Times New Roman" w:cs="Times New Roman"/>
          <w:sz w:val="24"/>
          <w:szCs w:val="24"/>
        </w:rPr>
      </w:pPr>
    </w:p>
    <w:p w:rsidR="00577509" w:rsidRDefault="00577509" w:rsidP="000252C8">
      <w:pPr>
        <w:spacing w:line="276" w:lineRule="auto"/>
        <w:jc w:val="both"/>
        <w:rPr>
          <w:rFonts w:ascii="Times New Roman" w:hAnsi="Times New Roman" w:cs="Times New Roman"/>
          <w:sz w:val="24"/>
          <w:szCs w:val="24"/>
        </w:rPr>
      </w:pPr>
    </w:p>
    <w:p w:rsidR="00577509" w:rsidRDefault="00577509" w:rsidP="000252C8">
      <w:pPr>
        <w:spacing w:line="276" w:lineRule="auto"/>
        <w:jc w:val="both"/>
        <w:rPr>
          <w:rFonts w:ascii="Times New Roman" w:hAnsi="Times New Roman" w:cs="Times New Roman"/>
          <w:sz w:val="24"/>
          <w:szCs w:val="24"/>
        </w:rPr>
      </w:pPr>
    </w:p>
    <w:p w:rsidR="00577509" w:rsidRDefault="00577509" w:rsidP="000252C8">
      <w:pPr>
        <w:spacing w:line="276" w:lineRule="auto"/>
        <w:jc w:val="both"/>
        <w:rPr>
          <w:rFonts w:ascii="Times New Roman" w:hAnsi="Times New Roman" w:cs="Times New Roman"/>
          <w:sz w:val="24"/>
          <w:szCs w:val="24"/>
        </w:rPr>
      </w:pPr>
    </w:p>
    <w:p w:rsidR="00577509" w:rsidRDefault="00577509" w:rsidP="000252C8">
      <w:pPr>
        <w:spacing w:line="276" w:lineRule="auto"/>
        <w:jc w:val="both"/>
        <w:rPr>
          <w:rFonts w:ascii="Times New Roman" w:hAnsi="Times New Roman" w:cs="Times New Roman"/>
          <w:sz w:val="24"/>
          <w:szCs w:val="24"/>
        </w:rPr>
      </w:pPr>
    </w:p>
    <w:p w:rsidR="00577509" w:rsidRDefault="00577509" w:rsidP="000252C8">
      <w:pPr>
        <w:spacing w:line="276" w:lineRule="auto"/>
        <w:jc w:val="both"/>
        <w:rPr>
          <w:rFonts w:ascii="Times New Roman" w:hAnsi="Times New Roman" w:cs="Times New Roman"/>
          <w:sz w:val="24"/>
          <w:szCs w:val="24"/>
        </w:rPr>
      </w:pPr>
    </w:p>
    <w:p w:rsidR="004D1CE8" w:rsidRPr="00787457" w:rsidRDefault="004D1CE8" w:rsidP="000252C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Flow chart 1: </w:t>
      </w:r>
      <w:r w:rsidR="00E75600" w:rsidRPr="00787457">
        <w:rPr>
          <w:rFonts w:ascii="Times New Roman" w:hAnsi="Times New Roman" w:cs="Times New Roman"/>
          <w:b/>
          <w:sz w:val="24"/>
          <w:szCs w:val="24"/>
        </w:rPr>
        <w:t>Acclimatization</w:t>
      </w:r>
      <w:r w:rsidR="00E75600">
        <w:rPr>
          <w:rFonts w:ascii="Times New Roman" w:hAnsi="Times New Roman" w:cs="Times New Roman"/>
          <w:b/>
          <w:sz w:val="24"/>
          <w:szCs w:val="24"/>
        </w:rPr>
        <w:t xml:space="preserve"> procedure</w:t>
      </w:r>
    </w:p>
    <w:p w:rsidR="008B64B4" w:rsidRPr="00787457" w:rsidRDefault="008B64B4" w:rsidP="000252C8">
      <w:pPr>
        <w:pStyle w:val="Heading3"/>
        <w:jc w:val="both"/>
        <w:rPr>
          <w:rFonts w:ascii="Times New Roman" w:hAnsi="Times New Roman" w:cs="Times New Roman"/>
          <w:color w:val="auto"/>
        </w:rPr>
      </w:pPr>
      <w:r w:rsidRPr="00787457">
        <w:rPr>
          <w:rStyle w:val="Strong"/>
          <w:rFonts w:ascii="Times New Roman" w:hAnsi="Times New Roman" w:cs="Times New Roman"/>
          <w:bCs w:val="0"/>
          <w:color w:val="auto"/>
        </w:rPr>
        <w:lastRenderedPageBreak/>
        <w:t>2.2 Somatic Embryogene</w:t>
      </w:r>
      <w:r w:rsidR="0084697E" w:rsidRPr="00787457">
        <w:rPr>
          <w:rStyle w:val="Strong"/>
          <w:rFonts w:ascii="Times New Roman" w:hAnsi="Times New Roman" w:cs="Times New Roman"/>
          <w:bCs w:val="0"/>
          <w:color w:val="auto"/>
        </w:rPr>
        <w:t xml:space="preserve">sis and Organogenesis </w:t>
      </w:r>
    </w:p>
    <w:p w:rsidR="008B64B4" w:rsidRPr="00787457" w:rsidRDefault="008B64B4" w:rsidP="000252C8">
      <w:pPr>
        <w:pStyle w:val="NormalWeb"/>
        <w:jc w:val="both"/>
      </w:pPr>
      <w:r w:rsidRPr="00787457">
        <w:t>Somatic embryogenesis and organogenesis represent two fundamental pathways of in vitro plant regeneration and remain central to micropropagation, genetic improvement, and conservation strategies in horticultural crops. Both routes rely heavily on cellular totipotency, but they differ significantly in developmental sequence, scalability, and responsiveness across species and genotypes</w:t>
      </w:r>
      <w:r w:rsidR="0059205D" w:rsidRPr="00787457">
        <w:t xml:space="preserve"> (</w:t>
      </w:r>
      <w:r w:rsidR="0059205D" w:rsidRPr="00787457">
        <w:rPr>
          <w:color w:val="222222"/>
          <w:shd w:val="clear" w:color="auto" w:fill="FFFFFF"/>
        </w:rPr>
        <w:t>Desai, et al., 2022)</w:t>
      </w:r>
      <w:r w:rsidRPr="00787457">
        <w:t>.</w:t>
      </w:r>
    </w:p>
    <w:p w:rsidR="008B64B4" w:rsidRPr="00787457" w:rsidRDefault="008B64B4" w:rsidP="000252C8">
      <w:pPr>
        <w:pStyle w:val="Heading4"/>
        <w:jc w:val="both"/>
        <w:rPr>
          <w:rFonts w:ascii="Times New Roman" w:hAnsi="Times New Roman" w:cs="Times New Roman"/>
          <w:i w:val="0"/>
          <w:sz w:val="24"/>
          <w:szCs w:val="24"/>
        </w:rPr>
      </w:pPr>
      <w:r w:rsidRPr="00787457">
        <w:rPr>
          <w:rStyle w:val="Strong"/>
          <w:rFonts w:ascii="Times New Roman" w:hAnsi="Times New Roman" w:cs="Times New Roman"/>
          <w:bCs w:val="0"/>
          <w:i w:val="0"/>
          <w:color w:val="auto"/>
          <w:sz w:val="24"/>
          <w:szCs w:val="24"/>
        </w:rPr>
        <w:t>2.2.1 Somatic Embryogenesis: Concept and Process</w:t>
      </w:r>
    </w:p>
    <w:p w:rsidR="008B64B4" w:rsidRPr="00787457" w:rsidRDefault="008B64B4" w:rsidP="000252C8">
      <w:pPr>
        <w:pStyle w:val="NormalWeb"/>
        <w:jc w:val="both"/>
      </w:pPr>
      <w:r w:rsidRPr="00787457">
        <w:t>Somatic embryogenesis involves the development of embryos from somatic or non-gametic cells that mimic the bipolar structure of zygotic embryos. These somatic embryos possess both root and shoot meristems, enabling complete plantlet regeneration without the need for separate rooting stages. The process generally follows the stages of induction, embryo formation, maturation, and conversion into plantlets</w:t>
      </w:r>
      <w:r w:rsidR="00F61EDE" w:rsidRPr="00787457">
        <w:t xml:space="preserve"> (</w:t>
      </w:r>
      <w:r w:rsidR="00F61EDE" w:rsidRPr="00787457">
        <w:rPr>
          <w:color w:val="222222"/>
          <w:shd w:val="clear" w:color="auto" w:fill="FFFFFF"/>
        </w:rPr>
        <w:t>Desai, et al., 2022)</w:t>
      </w:r>
      <w:r w:rsidRPr="00787457">
        <w:t>.</w:t>
      </w:r>
    </w:p>
    <w:p w:rsidR="008F6B78" w:rsidRPr="00C47035" w:rsidRDefault="00D71328" w:rsidP="00C47035">
      <w:pPr>
        <w:pStyle w:val="Heading4"/>
        <w:jc w:val="both"/>
        <w:rPr>
          <w:rFonts w:ascii="Times New Roman" w:eastAsia="Times New Roman" w:hAnsi="Times New Roman" w:cs="Times New Roman"/>
          <w:i w:val="0"/>
          <w:iCs w:val="0"/>
          <w:color w:val="auto"/>
          <w:sz w:val="24"/>
          <w:szCs w:val="24"/>
        </w:rPr>
      </w:pPr>
      <w:r w:rsidRPr="00787457">
        <w:rPr>
          <w:rFonts w:ascii="Times New Roman" w:eastAsia="Times New Roman" w:hAnsi="Times New Roman" w:cs="Times New Roman"/>
          <w:i w:val="0"/>
          <w:iCs w:val="0"/>
          <w:color w:val="auto"/>
          <w:sz w:val="24"/>
          <w:szCs w:val="24"/>
        </w:rPr>
        <w:t>Somatic embryogenesis involves several key stages, beginning with the induction of embryogenic callus using auxins such as 2,4-D or NAA, or through stress triggers like osmotic stress, desiccation, and temperature shock</w:t>
      </w:r>
      <w:r w:rsidR="000A6717" w:rsidRPr="00787457">
        <w:rPr>
          <w:rFonts w:ascii="Times New Roman" w:eastAsia="Times New Roman" w:hAnsi="Times New Roman" w:cs="Times New Roman"/>
          <w:i w:val="0"/>
          <w:iCs w:val="0"/>
          <w:color w:val="auto"/>
          <w:sz w:val="24"/>
          <w:szCs w:val="24"/>
        </w:rPr>
        <w:t xml:space="preserve"> (</w:t>
      </w:r>
      <w:r w:rsidR="000A6717" w:rsidRPr="00787457">
        <w:rPr>
          <w:rFonts w:ascii="Times New Roman" w:hAnsi="Times New Roman" w:cs="Times New Roman"/>
          <w:i w:val="0"/>
          <w:color w:val="222222"/>
          <w:sz w:val="24"/>
          <w:szCs w:val="24"/>
          <w:shd w:val="clear" w:color="auto" w:fill="FFFFFF"/>
        </w:rPr>
        <w:t>Garcia, et al., 2019</w:t>
      </w:r>
      <w:r w:rsidR="000A6717" w:rsidRPr="00787457">
        <w:rPr>
          <w:rFonts w:ascii="Times New Roman" w:hAnsi="Times New Roman" w:cs="Times New Roman"/>
          <w:color w:val="222222"/>
          <w:sz w:val="24"/>
          <w:szCs w:val="24"/>
          <w:shd w:val="clear" w:color="auto" w:fill="FFFFFF"/>
        </w:rPr>
        <w:t>)</w:t>
      </w:r>
      <w:r w:rsidRPr="00787457">
        <w:rPr>
          <w:rFonts w:ascii="Times New Roman" w:eastAsia="Times New Roman" w:hAnsi="Times New Roman" w:cs="Times New Roman"/>
          <w:i w:val="0"/>
          <w:iCs w:val="0"/>
          <w:color w:val="auto"/>
          <w:sz w:val="24"/>
          <w:szCs w:val="24"/>
        </w:rPr>
        <w:t>. This is followed by histodifferentiation and maturation of somatic embryos, which is supported by reduced auxin levels and increased cytokinin or ABA supply</w:t>
      </w:r>
      <w:r w:rsidR="003A3EB7" w:rsidRPr="00787457">
        <w:rPr>
          <w:rFonts w:ascii="Times New Roman" w:eastAsia="Times New Roman" w:hAnsi="Times New Roman" w:cs="Times New Roman"/>
          <w:i w:val="0"/>
          <w:iCs w:val="0"/>
          <w:color w:val="auto"/>
          <w:sz w:val="24"/>
          <w:szCs w:val="24"/>
        </w:rPr>
        <w:t xml:space="preserve"> (</w:t>
      </w:r>
      <w:r w:rsidR="003A3EB7" w:rsidRPr="00787457">
        <w:rPr>
          <w:rFonts w:ascii="Times New Roman" w:hAnsi="Times New Roman" w:cs="Times New Roman"/>
          <w:i w:val="0"/>
          <w:color w:val="222222"/>
          <w:sz w:val="24"/>
          <w:szCs w:val="24"/>
          <w:shd w:val="clear" w:color="auto" w:fill="FFFFFF"/>
        </w:rPr>
        <w:t>Pádua,</w:t>
      </w:r>
      <w:r w:rsidR="003A3EB7" w:rsidRPr="00787457">
        <w:rPr>
          <w:rFonts w:ascii="Times New Roman" w:eastAsia="Times New Roman" w:hAnsi="Times New Roman" w:cs="Times New Roman"/>
          <w:i w:val="0"/>
          <w:iCs w:val="0"/>
          <w:color w:val="auto"/>
          <w:sz w:val="24"/>
          <w:szCs w:val="24"/>
        </w:rPr>
        <w:t xml:space="preserve"> et al., 2018). </w:t>
      </w:r>
      <w:r w:rsidRPr="00787457">
        <w:rPr>
          <w:rFonts w:ascii="Times New Roman" w:eastAsia="Times New Roman" w:hAnsi="Times New Roman" w:cs="Times New Roman"/>
          <w:i w:val="0"/>
          <w:iCs w:val="0"/>
          <w:color w:val="auto"/>
          <w:sz w:val="24"/>
          <w:szCs w:val="24"/>
        </w:rPr>
        <w:t xml:space="preserve"> The final stage involves germination and conversion of embryos into complete plantlets under appropriate light and balanced nutrient conditions. Somatic embryogenesis offers several advantages, includ</w:t>
      </w:r>
      <w:r w:rsidR="007531E6" w:rsidRPr="00787457">
        <w:rPr>
          <w:rFonts w:ascii="Times New Roman" w:eastAsia="Times New Roman" w:hAnsi="Times New Roman" w:cs="Times New Roman"/>
          <w:i w:val="0"/>
          <w:iCs w:val="0"/>
          <w:color w:val="auto"/>
          <w:sz w:val="24"/>
          <w:szCs w:val="24"/>
        </w:rPr>
        <w:t xml:space="preserve">ing high-throughput propagation </w:t>
      </w:r>
      <w:r w:rsidRPr="00787457">
        <w:rPr>
          <w:rFonts w:ascii="Times New Roman" w:eastAsia="Times New Roman" w:hAnsi="Times New Roman" w:cs="Times New Roman"/>
          <w:i w:val="0"/>
          <w:iCs w:val="0"/>
          <w:color w:val="auto"/>
          <w:sz w:val="24"/>
          <w:szCs w:val="24"/>
        </w:rPr>
        <w:t>where thousands of embryos can be</w:t>
      </w:r>
      <w:r w:rsidR="007531E6" w:rsidRPr="00787457">
        <w:rPr>
          <w:rFonts w:ascii="Times New Roman" w:eastAsia="Times New Roman" w:hAnsi="Times New Roman" w:cs="Times New Roman"/>
          <w:i w:val="0"/>
          <w:iCs w:val="0"/>
          <w:color w:val="auto"/>
          <w:sz w:val="24"/>
          <w:szCs w:val="24"/>
        </w:rPr>
        <w:t xml:space="preserve"> produced from a single explant </w:t>
      </w:r>
      <w:r w:rsidRPr="00787457">
        <w:rPr>
          <w:rFonts w:ascii="Times New Roman" w:eastAsia="Times New Roman" w:hAnsi="Times New Roman" w:cs="Times New Roman"/>
          <w:i w:val="0"/>
          <w:iCs w:val="0"/>
          <w:color w:val="auto"/>
          <w:sz w:val="24"/>
          <w:szCs w:val="24"/>
        </w:rPr>
        <w:t xml:space="preserve">synthetic seed technology for easy handling, transportation, and sowing of encapsulated embryos, and germplasm conservation, particularly for recalcitrant-seeded species and clonally propagated horticultural crops such as mango, coconut, and date palm. It is also highly valuable in transformation </w:t>
      </w:r>
      <w:r w:rsidR="00F03F42" w:rsidRPr="00787457">
        <w:rPr>
          <w:rFonts w:ascii="Times New Roman" w:eastAsia="Times New Roman" w:hAnsi="Times New Roman" w:cs="Times New Roman"/>
          <w:i w:val="0"/>
          <w:iCs w:val="0"/>
          <w:color w:val="auto"/>
          <w:sz w:val="24"/>
          <w:szCs w:val="24"/>
        </w:rPr>
        <w:t>systems;</w:t>
      </w:r>
      <w:r w:rsidRPr="00787457">
        <w:rPr>
          <w:rFonts w:ascii="Times New Roman" w:eastAsia="Times New Roman" w:hAnsi="Times New Roman" w:cs="Times New Roman"/>
          <w:i w:val="0"/>
          <w:iCs w:val="0"/>
          <w:color w:val="auto"/>
          <w:sz w:val="24"/>
          <w:szCs w:val="24"/>
        </w:rPr>
        <w:t xml:space="preserve"> as somatic embryos provide uniform tissues ideal for Agrobacterium-mediated genetic transformation or genome editing</w:t>
      </w:r>
      <w:r w:rsidR="003A3EB7" w:rsidRPr="00787457">
        <w:rPr>
          <w:rFonts w:ascii="Times New Roman" w:eastAsia="Times New Roman" w:hAnsi="Times New Roman" w:cs="Times New Roman"/>
          <w:i w:val="0"/>
          <w:iCs w:val="0"/>
          <w:color w:val="auto"/>
          <w:sz w:val="24"/>
          <w:szCs w:val="24"/>
        </w:rPr>
        <w:t xml:space="preserve"> (</w:t>
      </w:r>
      <w:r w:rsidR="003A3EB7" w:rsidRPr="00787457">
        <w:rPr>
          <w:rFonts w:ascii="Times New Roman" w:hAnsi="Times New Roman" w:cs="Times New Roman"/>
          <w:i w:val="0"/>
          <w:color w:val="222222"/>
          <w:sz w:val="24"/>
          <w:szCs w:val="24"/>
          <w:shd w:val="clear" w:color="auto" w:fill="FFFFFF"/>
        </w:rPr>
        <w:t>Méndez-Hernández et al., 2019)</w:t>
      </w:r>
      <w:r w:rsidRPr="00787457">
        <w:rPr>
          <w:rFonts w:ascii="Times New Roman" w:eastAsia="Times New Roman" w:hAnsi="Times New Roman" w:cs="Times New Roman"/>
          <w:i w:val="0"/>
          <w:iCs w:val="0"/>
          <w:color w:val="auto"/>
          <w:sz w:val="24"/>
          <w:szCs w:val="24"/>
        </w:rPr>
        <w:t>. Recent advancements in this field include the use of temporary immersion bioreactors (TIBs) that significantly enhance embryogenic yield and uniformity, liquid culture systems that allow synchronized embryo development and improved scalability, and molecular markers and transcriptomic tools for identifying embryogenic competence and monitoring embryo quality</w:t>
      </w:r>
      <w:r w:rsidR="008F6B78" w:rsidRPr="00787457">
        <w:rPr>
          <w:rFonts w:ascii="Times New Roman" w:eastAsia="Times New Roman" w:hAnsi="Times New Roman" w:cs="Times New Roman"/>
          <w:i w:val="0"/>
          <w:iCs w:val="0"/>
          <w:color w:val="auto"/>
          <w:sz w:val="24"/>
          <w:szCs w:val="24"/>
        </w:rPr>
        <w:t xml:space="preserve"> (</w:t>
      </w:r>
      <w:r w:rsidR="008F6B78" w:rsidRPr="00787457">
        <w:rPr>
          <w:rFonts w:ascii="Times New Roman" w:hAnsi="Times New Roman" w:cs="Times New Roman"/>
          <w:i w:val="0"/>
          <w:color w:val="222222"/>
          <w:sz w:val="24"/>
          <w:szCs w:val="24"/>
          <w:shd w:val="clear" w:color="auto" w:fill="FFFFFF"/>
        </w:rPr>
        <w:t>Sengul,</w:t>
      </w:r>
      <w:r w:rsidR="008F6B78" w:rsidRPr="00787457">
        <w:rPr>
          <w:rFonts w:ascii="Times New Roman" w:eastAsia="Times New Roman" w:hAnsi="Times New Roman" w:cs="Times New Roman"/>
          <w:i w:val="0"/>
          <w:iCs w:val="0"/>
          <w:color w:val="auto"/>
          <w:sz w:val="24"/>
          <w:szCs w:val="24"/>
        </w:rPr>
        <w:t xml:space="preserve"> et al., 2015).</w:t>
      </w:r>
      <w:r w:rsidRPr="00787457">
        <w:rPr>
          <w:rFonts w:ascii="Times New Roman" w:eastAsia="Times New Roman" w:hAnsi="Times New Roman" w:cs="Times New Roman"/>
          <w:i w:val="0"/>
          <w:iCs w:val="0"/>
          <w:color w:val="auto"/>
          <w:sz w:val="24"/>
          <w:szCs w:val="24"/>
        </w:rPr>
        <w:t xml:space="preserve"> Additionally, innovations such as low-cost gelling agents and automated embryo sorting have improved the commercial feasibility of the technique. However, challenges remain, including </w:t>
      </w:r>
      <w:proofErr w:type="spellStart"/>
      <w:r w:rsidRPr="00787457">
        <w:rPr>
          <w:rFonts w:ascii="Times New Roman" w:eastAsia="Times New Roman" w:hAnsi="Times New Roman" w:cs="Times New Roman"/>
          <w:i w:val="0"/>
          <w:iCs w:val="0"/>
          <w:color w:val="auto"/>
          <w:sz w:val="24"/>
          <w:szCs w:val="24"/>
        </w:rPr>
        <w:t>somaclonal</w:t>
      </w:r>
      <w:proofErr w:type="spellEnd"/>
      <w:r w:rsidRPr="00787457">
        <w:rPr>
          <w:rFonts w:ascii="Times New Roman" w:eastAsia="Times New Roman" w:hAnsi="Times New Roman" w:cs="Times New Roman"/>
          <w:i w:val="0"/>
          <w:iCs w:val="0"/>
          <w:color w:val="auto"/>
          <w:sz w:val="24"/>
          <w:szCs w:val="24"/>
        </w:rPr>
        <w:t xml:space="preserve"> variation, asynchronous embryo development, and poor conversion rates of embryos into plantlets in certain woody perennial species.</w:t>
      </w:r>
    </w:p>
    <w:p w:rsidR="008B64B4" w:rsidRPr="00787457" w:rsidRDefault="008B64B4" w:rsidP="000252C8">
      <w:pPr>
        <w:pStyle w:val="Heading4"/>
        <w:jc w:val="both"/>
        <w:rPr>
          <w:rFonts w:ascii="Times New Roman" w:hAnsi="Times New Roman" w:cs="Times New Roman"/>
          <w:i w:val="0"/>
          <w:color w:val="auto"/>
          <w:sz w:val="24"/>
          <w:szCs w:val="24"/>
        </w:rPr>
      </w:pPr>
      <w:r w:rsidRPr="00787457">
        <w:rPr>
          <w:rStyle w:val="Strong"/>
          <w:rFonts w:ascii="Times New Roman" w:hAnsi="Times New Roman" w:cs="Times New Roman"/>
          <w:bCs w:val="0"/>
          <w:i w:val="0"/>
          <w:color w:val="auto"/>
          <w:sz w:val="24"/>
          <w:szCs w:val="24"/>
        </w:rPr>
        <w:t>2.2.2 Organogenesis: Direct and Indirect Pathways</w:t>
      </w:r>
    </w:p>
    <w:p w:rsidR="00E83D2D" w:rsidRPr="00D53E21" w:rsidRDefault="00E83D2D" w:rsidP="00E83D2D">
      <w:pPr>
        <w:jc w:val="both"/>
        <w:rPr>
          <w:rFonts w:ascii="Times New Roman" w:eastAsia="Times New Roman" w:hAnsi="Times New Roman" w:cs="Times New Roman"/>
          <w:sz w:val="24"/>
          <w:szCs w:val="24"/>
          <w:highlight w:val="yellow"/>
        </w:rPr>
      </w:pPr>
      <w:r w:rsidRPr="00D53E21">
        <w:rPr>
          <w:rFonts w:ascii="Times New Roman" w:eastAsia="Times New Roman" w:hAnsi="Times New Roman" w:cs="Times New Roman"/>
          <w:sz w:val="24"/>
          <w:szCs w:val="24"/>
          <w:highlight w:val="yellow"/>
        </w:rPr>
        <w:t xml:space="preserve">Organogenesis refers to the formation of shoots or roots from somatic tissues, occurring either through direct organogenesis (from meristems without callus) or indirect organogenesis (via callus). Direct organogenesis is preferred for </w:t>
      </w:r>
      <w:proofErr w:type="spellStart"/>
      <w:r w:rsidRPr="00D53E21">
        <w:rPr>
          <w:rFonts w:ascii="Times New Roman" w:eastAsia="Times New Roman" w:hAnsi="Times New Roman" w:cs="Times New Roman"/>
          <w:sz w:val="24"/>
          <w:szCs w:val="24"/>
          <w:highlight w:val="yellow"/>
        </w:rPr>
        <w:t>micropropagation</w:t>
      </w:r>
      <w:proofErr w:type="spellEnd"/>
      <w:r w:rsidRPr="00D53E21">
        <w:rPr>
          <w:rFonts w:ascii="Times New Roman" w:eastAsia="Times New Roman" w:hAnsi="Times New Roman" w:cs="Times New Roman"/>
          <w:sz w:val="24"/>
          <w:szCs w:val="24"/>
          <w:highlight w:val="yellow"/>
        </w:rPr>
        <w:t xml:space="preserve"> due to greater genetic stability, while the indirect pathway is useful for recalcitrant tissues despite a higher risk of </w:t>
      </w:r>
      <w:proofErr w:type="spellStart"/>
      <w:r w:rsidRPr="00D53E21">
        <w:rPr>
          <w:rFonts w:ascii="Times New Roman" w:eastAsia="Times New Roman" w:hAnsi="Times New Roman" w:cs="Times New Roman"/>
          <w:sz w:val="24"/>
          <w:szCs w:val="24"/>
          <w:highlight w:val="yellow"/>
        </w:rPr>
        <w:t>somaclonal</w:t>
      </w:r>
      <w:proofErr w:type="spellEnd"/>
      <w:r w:rsidRPr="00D53E21">
        <w:rPr>
          <w:rFonts w:ascii="Times New Roman" w:eastAsia="Times New Roman" w:hAnsi="Times New Roman" w:cs="Times New Roman"/>
          <w:sz w:val="24"/>
          <w:szCs w:val="24"/>
          <w:highlight w:val="yellow"/>
        </w:rPr>
        <w:t xml:space="preserve"> variation (Singh &amp; </w:t>
      </w:r>
      <w:proofErr w:type="spellStart"/>
      <w:r w:rsidRPr="00D53E21">
        <w:rPr>
          <w:rFonts w:ascii="Times New Roman" w:eastAsia="Times New Roman" w:hAnsi="Times New Roman" w:cs="Times New Roman"/>
          <w:sz w:val="24"/>
          <w:szCs w:val="24"/>
          <w:highlight w:val="yellow"/>
        </w:rPr>
        <w:t>Kundu</w:t>
      </w:r>
      <w:proofErr w:type="spellEnd"/>
      <w:r w:rsidRPr="00D53E21">
        <w:rPr>
          <w:rFonts w:ascii="Times New Roman" w:eastAsia="Times New Roman" w:hAnsi="Times New Roman" w:cs="Times New Roman"/>
          <w:sz w:val="24"/>
          <w:szCs w:val="24"/>
          <w:highlight w:val="yellow"/>
        </w:rPr>
        <w:t>, 2024).</w:t>
      </w:r>
    </w:p>
    <w:p w:rsidR="00E83D2D" w:rsidRPr="00D53E21" w:rsidRDefault="00E83D2D" w:rsidP="00E83D2D">
      <w:pPr>
        <w:jc w:val="both"/>
        <w:rPr>
          <w:rFonts w:ascii="Times New Roman" w:eastAsia="Times New Roman" w:hAnsi="Times New Roman" w:cs="Times New Roman"/>
          <w:b/>
          <w:sz w:val="24"/>
          <w:szCs w:val="24"/>
          <w:highlight w:val="yellow"/>
        </w:rPr>
      </w:pPr>
      <w:r w:rsidRPr="00D53E21">
        <w:rPr>
          <w:rFonts w:ascii="Times New Roman" w:eastAsia="Times New Roman" w:hAnsi="Times New Roman" w:cs="Times New Roman"/>
          <w:b/>
          <w:sz w:val="24"/>
          <w:szCs w:val="24"/>
          <w:highlight w:val="yellow"/>
        </w:rPr>
        <w:lastRenderedPageBreak/>
        <w:t>Key Features:</w:t>
      </w:r>
    </w:p>
    <w:p w:rsidR="00E83D2D" w:rsidRPr="00D53E21" w:rsidRDefault="00E83D2D" w:rsidP="00E83D2D">
      <w:pPr>
        <w:pStyle w:val="ListParagraph"/>
        <w:numPr>
          <w:ilvl w:val="0"/>
          <w:numId w:val="21"/>
        </w:numPr>
        <w:jc w:val="both"/>
        <w:rPr>
          <w:rFonts w:ascii="Times New Roman" w:eastAsia="Times New Roman" w:hAnsi="Times New Roman" w:cs="Times New Roman"/>
          <w:sz w:val="24"/>
          <w:szCs w:val="24"/>
          <w:highlight w:val="yellow"/>
        </w:rPr>
      </w:pPr>
      <w:r w:rsidRPr="00D53E21">
        <w:rPr>
          <w:rFonts w:ascii="Times New Roman" w:eastAsia="Times New Roman" w:hAnsi="Times New Roman" w:cs="Times New Roman"/>
          <w:sz w:val="24"/>
          <w:szCs w:val="24"/>
          <w:highlight w:val="yellow"/>
        </w:rPr>
        <w:t>Direct organogenesis: Arises from pre-existing meristems such as nodal explants and shoot tips; widely used in ba</w:t>
      </w:r>
      <w:r w:rsidRPr="00D53E21">
        <w:rPr>
          <w:rFonts w:ascii="Times New Roman" w:eastAsia="Times New Roman" w:hAnsi="Times New Roman" w:cs="Times New Roman"/>
          <w:sz w:val="24"/>
          <w:szCs w:val="24"/>
          <w:highlight w:val="yellow"/>
        </w:rPr>
        <w:t>nana, rose, gerbera, and grape.</w:t>
      </w:r>
    </w:p>
    <w:p w:rsidR="00E83D2D" w:rsidRPr="00D53E21" w:rsidRDefault="00E83D2D" w:rsidP="00E83D2D">
      <w:pPr>
        <w:pStyle w:val="ListParagraph"/>
        <w:numPr>
          <w:ilvl w:val="0"/>
          <w:numId w:val="21"/>
        </w:numPr>
        <w:jc w:val="both"/>
        <w:rPr>
          <w:rFonts w:ascii="Times New Roman" w:eastAsia="Times New Roman" w:hAnsi="Times New Roman" w:cs="Times New Roman"/>
          <w:sz w:val="24"/>
          <w:szCs w:val="24"/>
          <w:highlight w:val="yellow"/>
        </w:rPr>
      </w:pPr>
      <w:r w:rsidRPr="00D53E21">
        <w:rPr>
          <w:rFonts w:ascii="Times New Roman" w:eastAsia="Times New Roman" w:hAnsi="Times New Roman" w:cs="Times New Roman"/>
          <w:sz w:val="24"/>
          <w:szCs w:val="24"/>
          <w:highlight w:val="yellow"/>
        </w:rPr>
        <w:t xml:space="preserve">Indirect organogenesis: Involves callus formation followed by </w:t>
      </w:r>
      <w:proofErr w:type="spellStart"/>
      <w:r w:rsidRPr="00D53E21">
        <w:rPr>
          <w:rFonts w:ascii="Times New Roman" w:eastAsia="Times New Roman" w:hAnsi="Times New Roman" w:cs="Times New Roman"/>
          <w:sz w:val="24"/>
          <w:szCs w:val="24"/>
          <w:highlight w:val="yellow"/>
        </w:rPr>
        <w:t>redifferentiation</w:t>
      </w:r>
      <w:proofErr w:type="spellEnd"/>
      <w:r w:rsidRPr="00D53E21">
        <w:rPr>
          <w:rFonts w:ascii="Times New Roman" w:eastAsia="Times New Roman" w:hAnsi="Times New Roman" w:cs="Times New Roman"/>
          <w:sz w:val="24"/>
          <w:szCs w:val="24"/>
          <w:highlight w:val="yellow"/>
        </w:rPr>
        <w:t>; suitable for</w:t>
      </w:r>
      <w:r w:rsidRPr="00D53E21">
        <w:rPr>
          <w:rFonts w:ascii="Times New Roman" w:eastAsia="Times New Roman" w:hAnsi="Times New Roman" w:cs="Times New Roman"/>
          <w:sz w:val="24"/>
          <w:szCs w:val="24"/>
          <w:highlight w:val="yellow"/>
        </w:rPr>
        <w:t xml:space="preserve"> difficult-to-regenerate crops.</w:t>
      </w:r>
    </w:p>
    <w:p w:rsidR="00E83D2D" w:rsidRPr="00D53E21" w:rsidRDefault="00E83D2D" w:rsidP="00E83D2D">
      <w:pPr>
        <w:jc w:val="both"/>
        <w:rPr>
          <w:rFonts w:ascii="Times New Roman" w:eastAsia="Times New Roman" w:hAnsi="Times New Roman" w:cs="Times New Roman"/>
          <w:sz w:val="24"/>
          <w:szCs w:val="24"/>
          <w:highlight w:val="yellow"/>
        </w:rPr>
      </w:pPr>
      <w:r w:rsidRPr="00D53E21">
        <w:rPr>
          <w:rFonts w:ascii="Times New Roman" w:eastAsia="Times New Roman" w:hAnsi="Times New Roman" w:cs="Times New Roman"/>
          <w:sz w:val="24"/>
          <w:szCs w:val="24"/>
          <w:highlight w:val="yellow"/>
        </w:rPr>
        <w:t>Organogenesis is influenced by genotype, explant type, and</w:t>
      </w:r>
      <w:r w:rsidRPr="00D53E21">
        <w:rPr>
          <w:rFonts w:ascii="Times New Roman" w:eastAsia="Times New Roman" w:hAnsi="Times New Roman" w:cs="Times New Roman"/>
          <w:sz w:val="24"/>
          <w:szCs w:val="24"/>
          <w:highlight w:val="yellow"/>
        </w:rPr>
        <w:t xml:space="preserve"> plant growth regulator balance </w:t>
      </w:r>
      <w:r w:rsidRPr="00D53E21">
        <w:rPr>
          <w:rFonts w:ascii="Times New Roman" w:eastAsia="Times New Roman" w:hAnsi="Times New Roman" w:cs="Times New Roman"/>
          <w:sz w:val="24"/>
          <w:szCs w:val="24"/>
          <w:highlight w:val="yellow"/>
        </w:rPr>
        <w:t>especially the auxin–</w:t>
      </w:r>
      <w:proofErr w:type="spellStart"/>
      <w:r w:rsidRPr="00D53E21">
        <w:rPr>
          <w:rFonts w:ascii="Times New Roman" w:eastAsia="Times New Roman" w:hAnsi="Times New Roman" w:cs="Times New Roman"/>
          <w:sz w:val="24"/>
          <w:szCs w:val="24"/>
          <w:highlight w:val="yellow"/>
        </w:rPr>
        <w:t>cytokinin</w:t>
      </w:r>
      <w:proofErr w:type="spellEnd"/>
      <w:r w:rsidRPr="00D53E21">
        <w:rPr>
          <w:rFonts w:ascii="Times New Roman" w:eastAsia="Times New Roman" w:hAnsi="Times New Roman" w:cs="Times New Roman"/>
          <w:sz w:val="24"/>
          <w:szCs w:val="24"/>
          <w:highlight w:val="yellow"/>
        </w:rPr>
        <w:t xml:space="preserve"> ratio. Light, carbon source, micronutrients, and stress pre-treatments (wounding, osmotic stress, temperature shock) further enhance regeneration potential (Schw</w:t>
      </w:r>
      <w:r w:rsidRPr="00D53E21">
        <w:rPr>
          <w:rFonts w:ascii="Times New Roman" w:eastAsia="Times New Roman" w:hAnsi="Times New Roman" w:cs="Times New Roman"/>
          <w:sz w:val="24"/>
          <w:szCs w:val="24"/>
          <w:highlight w:val="yellow"/>
        </w:rPr>
        <w:t xml:space="preserve">arz &amp; </w:t>
      </w:r>
      <w:proofErr w:type="spellStart"/>
      <w:r w:rsidRPr="00D53E21">
        <w:rPr>
          <w:rFonts w:ascii="Times New Roman" w:eastAsia="Times New Roman" w:hAnsi="Times New Roman" w:cs="Times New Roman"/>
          <w:sz w:val="24"/>
          <w:szCs w:val="24"/>
          <w:highlight w:val="yellow"/>
        </w:rPr>
        <w:t>Beaty</w:t>
      </w:r>
      <w:proofErr w:type="spellEnd"/>
      <w:r w:rsidRPr="00D53E21">
        <w:rPr>
          <w:rFonts w:ascii="Times New Roman" w:eastAsia="Times New Roman" w:hAnsi="Times New Roman" w:cs="Times New Roman"/>
          <w:sz w:val="24"/>
          <w:szCs w:val="24"/>
          <w:highlight w:val="yellow"/>
        </w:rPr>
        <w:t>, 2018).</w:t>
      </w:r>
    </w:p>
    <w:p w:rsidR="008B64B4" w:rsidRPr="00787457" w:rsidRDefault="00E83D2D" w:rsidP="00E83D2D">
      <w:pPr>
        <w:jc w:val="both"/>
        <w:rPr>
          <w:rFonts w:ascii="Times New Roman" w:hAnsi="Times New Roman" w:cs="Times New Roman"/>
          <w:sz w:val="24"/>
          <w:szCs w:val="24"/>
        </w:rPr>
      </w:pPr>
      <w:r w:rsidRPr="00D53E21">
        <w:rPr>
          <w:rFonts w:ascii="Times New Roman" w:eastAsia="Times New Roman" w:hAnsi="Times New Roman" w:cs="Times New Roman"/>
          <w:sz w:val="24"/>
          <w:szCs w:val="24"/>
          <w:highlight w:val="yellow"/>
        </w:rPr>
        <w:t>It is widely applied in clonal multiplication of elite cultivars, virus elimination through meristem-based regeneration, and developing robust regeneration systems required for genetic transformation and CRISPR-mediated genome editing.</w:t>
      </w:r>
    </w:p>
    <w:p w:rsidR="003E460E" w:rsidRPr="00787457" w:rsidRDefault="001C60E2" w:rsidP="00745E34">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 xml:space="preserve">Tissue culture </w:t>
      </w:r>
    </w:p>
    <w:p w:rsidR="003E460E" w:rsidRPr="00787457" w:rsidRDefault="003E460E" w:rsidP="000252C8">
      <w:pPr>
        <w:spacing w:before="100" w:beforeAutospacing="1" w:after="100" w:afterAutospacing="1" w:line="240" w:lineRule="auto"/>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 xml:space="preserve">Tissue culture is a biotechnological technique in which plant cells, tissues, or organs are grown </w:t>
      </w:r>
      <w:r w:rsidRPr="00787457">
        <w:rPr>
          <w:rFonts w:ascii="Times New Roman" w:eastAsia="Times New Roman" w:hAnsi="Times New Roman" w:cs="Times New Roman"/>
          <w:bCs/>
          <w:sz w:val="24"/>
          <w:szCs w:val="24"/>
        </w:rPr>
        <w:t>in vitro</w:t>
      </w:r>
      <w:r w:rsidRPr="00787457">
        <w:rPr>
          <w:rFonts w:ascii="Times New Roman" w:eastAsia="Times New Roman" w:hAnsi="Times New Roman" w:cs="Times New Roman"/>
          <w:sz w:val="24"/>
          <w:szCs w:val="24"/>
        </w:rPr>
        <w:t xml:space="preserve"> under sterile and controlled environmental conditions on an artificial nutrient medium, utilizing the natural ability of plant cells to divide, differentiate, and regenerate into wh</w:t>
      </w:r>
      <w:r w:rsidR="00C556CD" w:rsidRPr="00787457">
        <w:rPr>
          <w:rFonts w:ascii="Times New Roman" w:eastAsia="Times New Roman" w:hAnsi="Times New Roman" w:cs="Times New Roman"/>
          <w:sz w:val="24"/>
          <w:szCs w:val="24"/>
        </w:rPr>
        <w:t>ole plants</w:t>
      </w:r>
      <w:r w:rsidR="007E1F08" w:rsidRPr="00787457">
        <w:rPr>
          <w:rFonts w:ascii="Times New Roman" w:eastAsia="Times New Roman" w:hAnsi="Times New Roman" w:cs="Times New Roman"/>
          <w:sz w:val="24"/>
          <w:szCs w:val="24"/>
        </w:rPr>
        <w:t xml:space="preserve"> (</w:t>
      </w:r>
      <w:proofErr w:type="spellStart"/>
      <w:r w:rsidR="007E1F08" w:rsidRPr="00787457">
        <w:rPr>
          <w:rFonts w:ascii="Times New Roman" w:hAnsi="Times New Roman" w:cs="Times New Roman"/>
          <w:color w:val="222222"/>
          <w:sz w:val="24"/>
          <w:szCs w:val="24"/>
          <w:shd w:val="clear" w:color="auto" w:fill="FFFFFF"/>
        </w:rPr>
        <w:t>Trigiano</w:t>
      </w:r>
      <w:proofErr w:type="spellEnd"/>
      <w:r w:rsidR="007E1F08" w:rsidRPr="00787457">
        <w:rPr>
          <w:rFonts w:ascii="Times New Roman" w:hAnsi="Times New Roman" w:cs="Times New Roman"/>
          <w:color w:val="222222"/>
          <w:sz w:val="24"/>
          <w:szCs w:val="24"/>
          <w:shd w:val="clear" w:color="auto" w:fill="FFFFFF"/>
        </w:rPr>
        <w:t>, and Gray,</w:t>
      </w:r>
      <w:r w:rsidR="007E1F08" w:rsidRPr="00787457">
        <w:rPr>
          <w:rFonts w:ascii="Times New Roman" w:eastAsia="Times New Roman" w:hAnsi="Times New Roman" w:cs="Times New Roman"/>
          <w:sz w:val="24"/>
          <w:szCs w:val="24"/>
        </w:rPr>
        <w:t xml:space="preserve"> 2016)</w:t>
      </w:r>
      <w:r w:rsidR="00C556CD" w:rsidRPr="00787457">
        <w:rPr>
          <w:rFonts w:ascii="Times New Roman" w:eastAsia="Times New Roman" w:hAnsi="Times New Roman" w:cs="Times New Roman"/>
          <w:sz w:val="24"/>
          <w:szCs w:val="24"/>
        </w:rPr>
        <w:br/>
      </w:r>
      <w:r w:rsidRPr="00787457">
        <w:rPr>
          <w:rFonts w:ascii="Times New Roman" w:eastAsia="Times New Roman" w:hAnsi="Times New Roman" w:cs="Times New Roman"/>
          <w:sz w:val="24"/>
          <w:szCs w:val="24"/>
        </w:rPr>
        <w:t>Tissue culture is the aseptic in vitro cultivation of plant tissues on artificial nutrient media under controlled conditions for rapid plant regeneration</w:t>
      </w:r>
      <w:r w:rsidR="007E53CA" w:rsidRPr="00787457">
        <w:rPr>
          <w:rFonts w:ascii="Times New Roman" w:eastAsia="Times New Roman" w:hAnsi="Times New Roman" w:cs="Times New Roman"/>
          <w:sz w:val="24"/>
          <w:szCs w:val="24"/>
        </w:rPr>
        <w:t xml:space="preserve"> (</w:t>
      </w:r>
      <w:r w:rsidR="007E53CA" w:rsidRPr="00787457">
        <w:rPr>
          <w:rFonts w:ascii="Times New Roman" w:hAnsi="Times New Roman" w:cs="Times New Roman"/>
          <w:color w:val="222222"/>
          <w:sz w:val="24"/>
          <w:szCs w:val="24"/>
          <w:shd w:val="clear" w:color="auto" w:fill="FFFFFF"/>
        </w:rPr>
        <w:t>Loyola-Vargas,</w:t>
      </w:r>
      <w:r w:rsidR="007E53CA" w:rsidRPr="00787457">
        <w:rPr>
          <w:rFonts w:ascii="Times New Roman" w:eastAsia="Times New Roman" w:hAnsi="Times New Roman" w:cs="Times New Roman"/>
          <w:sz w:val="24"/>
          <w:szCs w:val="24"/>
        </w:rPr>
        <w:t xml:space="preserve"> et al., 2018).</w:t>
      </w:r>
      <w:r w:rsidR="00C556CD" w:rsidRPr="00787457">
        <w:rPr>
          <w:rFonts w:ascii="Times New Roman" w:eastAsia="Times New Roman" w:hAnsi="Times New Roman" w:cs="Times New Roman"/>
          <w:sz w:val="24"/>
          <w:szCs w:val="24"/>
        </w:rPr>
        <w:br/>
      </w:r>
      <w:r w:rsidRPr="00787457">
        <w:rPr>
          <w:rFonts w:ascii="Times New Roman" w:eastAsia="Times New Roman" w:hAnsi="Times New Roman" w:cs="Times New Roman"/>
          <w:sz w:val="24"/>
          <w:szCs w:val="24"/>
        </w:rPr>
        <w:t>Tissue culture includes micropropagation, callus culture, cell suspension culture, organogenesis, somatic embryogenesis, haploid production, and protoplast culture, and it plays a vital role in plant breeding, germplasm conservation, horticulture, genetic engineering, and nursery production</w:t>
      </w:r>
      <w:r w:rsidR="00DF6CE1" w:rsidRPr="00787457">
        <w:rPr>
          <w:rFonts w:ascii="Times New Roman" w:eastAsia="Times New Roman" w:hAnsi="Times New Roman" w:cs="Times New Roman"/>
          <w:sz w:val="24"/>
          <w:szCs w:val="24"/>
        </w:rPr>
        <w:t xml:space="preserve"> (</w:t>
      </w:r>
      <w:r w:rsidR="00DF6CE1" w:rsidRPr="00787457">
        <w:rPr>
          <w:rFonts w:ascii="Times New Roman" w:hAnsi="Times New Roman" w:cs="Times New Roman"/>
          <w:color w:val="222222"/>
          <w:sz w:val="24"/>
          <w:szCs w:val="24"/>
          <w:shd w:val="clear" w:color="auto" w:fill="FFFFFF"/>
        </w:rPr>
        <w:t>Gupta, and Ibaraki 2006)</w:t>
      </w:r>
      <w:r w:rsidRPr="00787457">
        <w:rPr>
          <w:rFonts w:ascii="Times New Roman" w:eastAsia="Times New Roman" w:hAnsi="Times New Roman" w:cs="Times New Roman"/>
          <w:sz w:val="24"/>
          <w:szCs w:val="24"/>
        </w:rPr>
        <w:t>.</w:t>
      </w:r>
    </w:p>
    <w:p w:rsidR="00745E34" w:rsidRPr="00787457" w:rsidRDefault="007E53CA" w:rsidP="00745E34">
      <w:pPr>
        <w:spacing w:before="100" w:beforeAutospacing="1" w:after="100" w:afterAutospacing="1" w:line="240" w:lineRule="auto"/>
        <w:jc w:val="both"/>
        <w:rPr>
          <w:rFonts w:ascii="Times New Roman" w:eastAsia="Times New Roman" w:hAnsi="Times New Roman" w:cs="Times New Roman"/>
          <w:b/>
          <w:bCs/>
          <w:kern w:val="36"/>
          <w:sz w:val="24"/>
          <w:szCs w:val="24"/>
        </w:rPr>
      </w:pPr>
      <w:r w:rsidRPr="00787457">
        <w:rPr>
          <w:rFonts w:ascii="Times New Roman" w:eastAsia="Times New Roman" w:hAnsi="Times New Roman" w:cs="Times New Roman"/>
          <w:b/>
          <w:bCs/>
          <w:kern w:val="36"/>
          <w:sz w:val="24"/>
          <w:szCs w:val="24"/>
        </w:rPr>
        <w:t>Objectives of Tissue Culture</w:t>
      </w:r>
    </w:p>
    <w:p w:rsidR="00745E34" w:rsidRPr="00787457" w:rsidRDefault="00745E34" w:rsidP="00745E34">
      <w:pPr>
        <w:spacing w:before="100" w:beforeAutospacing="1" w:after="100" w:afterAutospacing="1" w:line="240" w:lineRule="auto"/>
        <w:jc w:val="both"/>
        <w:rPr>
          <w:rFonts w:ascii="Times New Roman" w:eastAsia="Times New Roman" w:hAnsi="Times New Roman" w:cs="Times New Roman"/>
          <w:bCs/>
          <w:kern w:val="36"/>
          <w:sz w:val="24"/>
          <w:szCs w:val="24"/>
        </w:rPr>
      </w:pPr>
      <w:r w:rsidRPr="00787457">
        <w:rPr>
          <w:rFonts w:ascii="Times New Roman" w:eastAsia="Times New Roman" w:hAnsi="Times New Roman" w:cs="Times New Roman"/>
          <w:bCs/>
          <w:kern w:val="36"/>
          <w:sz w:val="24"/>
          <w:szCs w:val="24"/>
        </w:rPr>
        <w:t xml:space="preserve">The major objectives of plant tissue culture include rapid clonal multiplication, which aims to produce a large number of genetically identical and true-to-type plants within a short period, especially for commercially important crops. Tissue culture is widely used for the production of pathogen-free planting material through meristem culture, helping eliminate viruses and generate disease-free stock for crops such as banana, potato, sugarcane, strawberry, grape, citrus, and ornamentals. Another important objective is the conservation of genetic resources, which is achieved through in vitro conservation, slow-growth storage, and cryopreservation of shoot tips, embryos, pollen, and rare plant species. Tissue culture also assists plant breeding programs by supporting embryo rescue, haploid production through </w:t>
      </w:r>
      <w:proofErr w:type="spellStart"/>
      <w:r w:rsidRPr="00787457">
        <w:rPr>
          <w:rFonts w:ascii="Times New Roman" w:eastAsia="Times New Roman" w:hAnsi="Times New Roman" w:cs="Times New Roman"/>
          <w:bCs/>
          <w:kern w:val="36"/>
          <w:sz w:val="24"/>
          <w:szCs w:val="24"/>
        </w:rPr>
        <w:t>anther</w:t>
      </w:r>
      <w:proofErr w:type="spellEnd"/>
      <w:r w:rsidRPr="00787457">
        <w:rPr>
          <w:rFonts w:ascii="Times New Roman" w:eastAsia="Times New Roman" w:hAnsi="Times New Roman" w:cs="Times New Roman"/>
          <w:bCs/>
          <w:kern w:val="36"/>
          <w:sz w:val="24"/>
          <w:szCs w:val="24"/>
        </w:rPr>
        <w:t xml:space="preserve"> culture, </w:t>
      </w:r>
      <w:proofErr w:type="spellStart"/>
      <w:r w:rsidRPr="00787457">
        <w:rPr>
          <w:rFonts w:ascii="Times New Roman" w:eastAsia="Times New Roman" w:hAnsi="Times New Roman" w:cs="Times New Roman"/>
          <w:bCs/>
          <w:kern w:val="36"/>
          <w:sz w:val="24"/>
          <w:szCs w:val="24"/>
        </w:rPr>
        <w:t>somaclonal</w:t>
      </w:r>
      <w:proofErr w:type="spellEnd"/>
      <w:r w:rsidRPr="00787457">
        <w:rPr>
          <w:rFonts w:ascii="Times New Roman" w:eastAsia="Times New Roman" w:hAnsi="Times New Roman" w:cs="Times New Roman"/>
          <w:bCs/>
          <w:kern w:val="36"/>
          <w:sz w:val="24"/>
          <w:szCs w:val="24"/>
        </w:rPr>
        <w:t xml:space="preserve"> variation, and protoplast fusion for somatic hybrid development. It enables the propagation of plants that are difficult to multiply through conventional methods, such as orchids, forest species, and medicinal plants. Tissue culture allows year-round production of planting material regardless of seasonal variations and serves as a platform for the prod</w:t>
      </w:r>
      <w:r w:rsidR="007E53CA" w:rsidRPr="00787457">
        <w:rPr>
          <w:rFonts w:ascii="Times New Roman" w:eastAsia="Times New Roman" w:hAnsi="Times New Roman" w:cs="Times New Roman"/>
          <w:bCs/>
          <w:kern w:val="36"/>
          <w:sz w:val="24"/>
          <w:szCs w:val="24"/>
        </w:rPr>
        <w:t xml:space="preserve">uction of secondary metabolites </w:t>
      </w:r>
      <w:r w:rsidRPr="00787457">
        <w:rPr>
          <w:rFonts w:ascii="Times New Roman" w:eastAsia="Times New Roman" w:hAnsi="Times New Roman" w:cs="Times New Roman"/>
          <w:bCs/>
          <w:kern w:val="36"/>
          <w:sz w:val="24"/>
          <w:szCs w:val="24"/>
        </w:rPr>
        <w:t>such as alka</w:t>
      </w:r>
      <w:r w:rsidR="007E53CA" w:rsidRPr="00787457">
        <w:rPr>
          <w:rFonts w:ascii="Times New Roman" w:eastAsia="Times New Roman" w:hAnsi="Times New Roman" w:cs="Times New Roman"/>
          <w:bCs/>
          <w:kern w:val="36"/>
          <w:sz w:val="24"/>
          <w:szCs w:val="24"/>
        </w:rPr>
        <w:t xml:space="preserve">loids, terpenoids, and pigments </w:t>
      </w:r>
      <w:r w:rsidRPr="00787457">
        <w:rPr>
          <w:rFonts w:ascii="Times New Roman" w:eastAsia="Times New Roman" w:hAnsi="Times New Roman" w:cs="Times New Roman"/>
          <w:bCs/>
          <w:kern w:val="36"/>
          <w:sz w:val="24"/>
          <w:szCs w:val="24"/>
        </w:rPr>
        <w:t>through cell suspension cultures</w:t>
      </w:r>
      <w:r w:rsidR="00AF2376" w:rsidRPr="00787457">
        <w:rPr>
          <w:rFonts w:ascii="Times New Roman" w:eastAsia="Times New Roman" w:hAnsi="Times New Roman" w:cs="Times New Roman"/>
          <w:bCs/>
          <w:kern w:val="36"/>
          <w:sz w:val="24"/>
          <w:szCs w:val="24"/>
        </w:rPr>
        <w:t xml:space="preserve"> (</w:t>
      </w:r>
      <w:proofErr w:type="spellStart"/>
      <w:r w:rsidR="00AF2376" w:rsidRPr="00787457">
        <w:rPr>
          <w:rFonts w:ascii="Times New Roman" w:hAnsi="Times New Roman" w:cs="Times New Roman"/>
          <w:color w:val="222222"/>
          <w:sz w:val="24"/>
          <w:szCs w:val="24"/>
          <w:shd w:val="clear" w:color="auto" w:fill="FFFFFF"/>
        </w:rPr>
        <w:t>Trigiano</w:t>
      </w:r>
      <w:proofErr w:type="spellEnd"/>
      <w:r w:rsidR="00AF2376" w:rsidRPr="00787457">
        <w:rPr>
          <w:rFonts w:ascii="Times New Roman" w:hAnsi="Times New Roman" w:cs="Times New Roman"/>
          <w:color w:val="222222"/>
          <w:sz w:val="24"/>
          <w:szCs w:val="24"/>
          <w:shd w:val="clear" w:color="auto" w:fill="FFFFFF"/>
        </w:rPr>
        <w:t>, and Gray 2016)</w:t>
      </w:r>
      <w:r w:rsidRPr="00787457">
        <w:rPr>
          <w:rFonts w:ascii="Times New Roman" w:eastAsia="Times New Roman" w:hAnsi="Times New Roman" w:cs="Times New Roman"/>
          <w:bCs/>
          <w:kern w:val="36"/>
          <w:sz w:val="24"/>
          <w:szCs w:val="24"/>
        </w:rPr>
        <w:t xml:space="preserve">. It plays a key role in conserving endangered species via rapid in vitro multiplication and contributes </w:t>
      </w:r>
      <w:r w:rsidRPr="00787457">
        <w:rPr>
          <w:rFonts w:ascii="Times New Roman" w:eastAsia="Times New Roman" w:hAnsi="Times New Roman" w:cs="Times New Roman"/>
          <w:bCs/>
          <w:kern w:val="36"/>
          <w:sz w:val="24"/>
          <w:szCs w:val="24"/>
        </w:rPr>
        <w:lastRenderedPageBreak/>
        <w:t>significantly to genetic transformation systems, including Agrobacterium-mediated transformation, CRISPR/Cas gene editing, and rege</w:t>
      </w:r>
      <w:r w:rsidR="007E53CA" w:rsidRPr="00787457">
        <w:rPr>
          <w:rFonts w:ascii="Times New Roman" w:eastAsia="Times New Roman" w:hAnsi="Times New Roman" w:cs="Times New Roman"/>
          <w:bCs/>
          <w:kern w:val="36"/>
          <w:sz w:val="24"/>
          <w:szCs w:val="24"/>
        </w:rPr>
        <w:t>neration of transformed plants.</w:t>
      </w:r>
    </w:p>
    <w:p w:rsidR="00745E34" w:rsidRPr="00787457" w:rsidRDefault="00745E34" w:rsidP="00745E34">
      <w:pPr>
        <w:spacing w:before="100" w:beforeAutospacing="1" w:after="100" w:afterAutospacing="1" w:line="240" w:lineRule="auto"/>
        <w:jc w:val="both"/>
        <w:rPr>
          <w:rFonts w:ascii="Times New Roman" w:eastAsia="Times New Roman" w:hAnsi="Times New Roman" w:cs="Times New Roman"/>
          <w:b/>
          <w:bCs/>
          <w:kern w:val="36"/>
          <w:sz w:val="24"/>
          <w:szCs w:val="24"/>
        </w:rPr>
      </w:pPr>
      <w:r w:rsidRPr="00787457">
        <w:rPr>
          <w:rFonts w:ascii="Times New Roman" w:eastAsia="Times New Roman" w:hAnsi="Times New Roman" w:cs="Times New Roman"/>
          <w:b/>
          <w:bCs/>
          <w:kern w:val="36"/>
          <w:sz w:val="24"/>
          <w:szCs w:val="24"/>
        </w:rPr>
        <w:t>Principles of Tissue Culture:</w:t>
      </w:r>
    </w:p>
    <w:p w:rsidR="00745E34" w:rsidRPr="00787457" w:rsidRDefault="00745E34" w:rsidP="00745E34">
      <w:pPr>
        <w:spacing w:before="100" w:beforeAutospacing="1" w:after="100" w:afterAutospacing="1" w:line="240" w:lineRule="auto"/>
        <w:jc w:val="both"/>
        <w:rPr>
          <w:rFonts w:ascii="Times New Roman" w:eastAsia="Times New Roman" w:hAnsi="Times New Roman" w:cs="Times New Roman"/>
          <w:bCs/>
          <w:kern w:val="36"/>
          <w:sz w:val="24"/>
          <w:szCs w:val="24"/>
        </w:rPr>
      </w:pPr>
      <w:r w:rsidRPr="00787457">
        <w:rPr>
          <w:rFonts w:ascii="Times New Roman" w:eastAsia="Times New Roman" w:hAnsi="Times New Roman" w:cs="Times New Roman"/>
          <w:bCs/>
          <w:kern w:val="36"/>
          <w:sz w:val="24"/>
          <w:szCs w:val="24"/>
        </w:rPr>
        <w:t>Plant tissue culture is fundamentally based on the principle of totipotency, which states that every plant cell possesses the genetic potential to regenerate into a complete plant under the right conditions. This process involves dedifferentiation, where specialized cells revert to a meristematic state to form callus, followed by redifferentiation, in which callus cells develop into shoots, roots, or embryos depending on hormonal cues</w:t>
      </w:r>
      <w:r w:rsidR="00020059" w:rsidRPr="00787457">
        <w:rPr>
          <w:rFonts w:ascii="Times New Roman" w:eastAsia="Times New Roman" w:hAnsi="Times New Roman" w:cs="Times New Roman"/>
          <w:bCs/>
          <w:kern w:val="36"/>
          <w:sz w:val="24"/>
          <w:szCs w:val="24"/>
        </w:rPr>
        <w:t xml:space="preserve"> (</w:t>
      </w:r>
      <w:r w:rsidR="00020059" w:rsidRPr="00787457">
        <w:rPr>
          <w:rFonts w:ascii="Times New Roman" w:hAnsi="Times New Roman" w:cs="Times New Roman"/>
          <w:color w:val="222222"/>
          <w:sz w:val="24"/>
          <w:szCs w:val="24"/>
          <w:shd w:val="clear" w:color="auto" w:fill="FFFFFF"/>
        </w:rPr>
        <w:t>Smith,</w:t>
      </w:r>
      <w:r w:rsidR="00020059" w:rsidRPr="00787457">
        <w:rPr>
          <w:rFonts w:ascii="Times New Roman" w:eastAsia="Times New Roman" w:hAnsi="Times New Roman" w:cs="Times New Roman"/>
          <w:bCs/>
          <w:kern w:val="36"/>
          <w:sz w:val="24"/>
          <w:szCs w:val="24"/>
        </w:rPr>
        <w:t xml:space="preserve"> 2013).</w:t>
      </w:r>
      <w:r w:rsidRPr="00787457">
        <w:rPr>
          <w:rFonts w:ascii="Times New Roman" w:eastAsia="Times New Roman" w:hAnsi="Times New Roman" w:cs="Times New Roman"/>
          <w:bCs/>
          <w:kern w:val="36"/>
          <w:sz w:val="24"/>
          <w:szCs w:val="24"/>
        </w:rPr>
        <w:t xml:space="preserve"> Aseptic conditions are essential and require strict sterilization of the working environment, tools, and media using laminar airflow cabinets, autoclaving, and aseptic handling techniques. Successful tissue culture also depends on controlled environmental conditions, including suitable nutrient media, appropriate concentrations of plant growth regulators, optimal temperature (24–28°C), a 16/8-hour photoperiod, 60–70% humidity, and a pH range of 5.6–5.8. Hormonal regulation plays a crucial role: high cytokinin levels stimulate shoot formation, high auxin levels promote rooting, and a balanced auxin-to-cytokinin ratio induces callus formation. The composition of the nutrient medium must include macronutrients, micronutrients, essential vitamins, a carbon source such as sucrose, and gelling agents like agar to su</w:t>
      </w:r>
      <w:r w:rsidR="004D050F" w:rsidRPr="00787457">
        <w:rPr>
          <w:rFonts w:ascii="Times New Roman" w:eastAsia="Times New Roman" w:hAnsi="Times New Roman" w:cs="Times New Roman"/>
          <w:bCs/>
          <w:kern w:val="36"/>
          <w:sz w:val="24"/>
          <w:szCs w:val="24"/>
        </w:rPr>
        <w:t>pport growth and morphogenesis (</w:t>
      </w:r>
      <w:r w:rsidR="004D050F" w:rsidRPr="00787457">
        <w:rPr>
          <w:rFonts w:ascii="Times New Roman" w:hAnsi="Times New Roman" w:cs="Times New Roman"/>
          <w:color w:val="222222"/>
          <w:sz w:val="24"/>
          <w:szCs w:val="24"/>
          <w:shd w:val="clear" w:color="auto" w:fill="FFFFFF"/>
        </w:rPr>
        <w:t>Shahzad, et al., 2017)</w:t>
      </w:r>
      <w:r w:rsidR="004D050F" w:rsidRPr="00787457">
        <w:rPr>
          <w:rFonts w:ascii="Times New Roman" w:eastAsia="Times New Roman" w:hAnsi="Times New Roman" w:cs="Times New Roman"/>
          <w:bCs/>
          <w:kern w:val="36"/>
          <w:sz w:val="24"/>
          <w:szCs w:val="24"/>
        </w:rPr>
        <w:t>.</w:t>
      </w:r>
    </w:p>
    <w:p w:rsidR="00745E34" w:rsidRPr="00787457" w:rsidRDefault="00745E34" w:rsidP="00745E34">
      <w:pPr>
        <w:spacing w:before="100" w:beforeAutospacing="1" w:after="100" w:afterAutospacing="1" w:line="240" w:lineRule="auto"/>
        <w:jc w:val="both"/>
        <w:rPr>
          <w:rFonts w:ascii="Times New Roman" w:eastAsia="Times New Roman" w:hAnsi="Times New Roman" w:cs="Times New Roman"/>
          <w:b/>
          <w:bCs/>
          <w:kern w:val="36"/>
          <w:sz w:val="24"/>
          <w:szCs w:val="24"/>
        </w:rPr>
      </w:pPr>
      <w:r w:rsidRPr="00787457">
        <w:rPr>
          <w:rFonts w:ascii="Times New Roman" w:eastAsia="Times New Roman" w:hAnsi="Times New Roman" w:cs="Times New Roman"/>
          <w:b/>
          <w:bCs/>
          <w:kern w:val="36"/>
          <w:sz w:val="24"/>
          <w:szCs w:val="24"/>
        </w:rPr>
        <w:t>Major Steps of Plant Tissue Culture:</w:t>
      </w:r>
    </w:p>
    <w:p w:rsidR="002A4BCE" w:rsidRPr="00787457" w:rsidRDefault="00745E34" w:rsidP="002A4BCE">
      <w:pPr>
        <w:spacing w:before="100" w:beforeAutospacing="1" w:after="100" w:afterAutospacing="1" w:line="240" w:lineRule="auto"/>
        <w:jc w:val="both"/>
        <w:rPr>
          <w:rFonts w:ascii="Times New Roman" w:eastAsia="Times New Roman" w:hAnsi="Times New Roman" w:cs="Times New Roman"/>
          <w:sz w:val="24"/>
          <w:szCs w:val="24"/>
        </w:rPr>
      </w:pPr>
      <w:r w:rsidRPr="00787457">
        <w:rPr>
          <w:rFonts w:ascii="Times New Roman" w:eastAsia="Times New Roman" w:hAnsi="Times New Roman" w:cs="Times New Roman"/>
          <w:bCs/>
          <w:kern w:val="36"/>
          <w:sz w:val="24"/>
          <w:szCs w:val="24"/>
        </w:rPr>
        <w:t>The tissue culture process begins with the selection of healthy, disease-free, and genetically uniform donor plants maintained under clean conditions. Explant collection follows, where tissues such as shoot tips, nodal segments, leaves, meristems, anthers, ovules, or cotyledons are excised, and the physiological age and season significantly influence their regenerative response. Surface sterilization is then carried out by washing explants with detergents, followed by treatment with ethanol and disinfectants such as sodium hypochlorite or mercuric chloride, and finally rinsing with sterile water to eliminate surface contaminants. Explants are inoculated onto sterilized nutrient media inside a laminar airflow cabinet using flame-sterilized tools</w:t>
      </w:r>
      <w:r w:rsidR="009809A2" w:rsidRPr="00787457">
        <w:rPr>
          <w:rFonts w:ascii="Times New Roman" w:eastAsia="Times New Roman" w:hAnsi="Times New Roman" w:cs="Times New Roman"/>
          <w:bCs/>
          <w:kern w:val="36"/>
          <w:sz w:val="24"/>
          <w:szCs w:val="24"/>
        </w:rPr>
        <w:t xml:space="preserve"> (</w:t>
      </w:r>
      <w:r w:rsidR="009809A2" w:rsidRPr="00787457">
        <w:rPr>
          <w:rFonts w:ascii="Times New Roman" w:hAnsi="Times New Roman" w:cs="Times New Roman"/>
          <w:color w:val="222222"/>
          <w:sz w:val="24"/>
          <w:szCs w:val="24"/>
          <w:shd w:val="clear" w:color="auto" w:fill="FFFFFF"/>
        </w:rPr>
        <w:t>Loyola-Vargas et al., 2018)</w:t>
      </w:r>
      <w:r w:rsidRPr="00787457">
        <w:rPr>
          <w:rFonts w:ascii="Times New Roman" w:eastAsia="Times New Roman" w:hAnsi="Times New Roman" w:cs="Times New Roman"/>
          <w:bCs/>
          <w:kern w:val="36"/>
          <w:sz w:val="24"/>
          <w:szCs w:val="24"/>
        </w:rPr>
        <w:t>. Depending on the hormonal composition of the medium, explants undergo shoot multiplication or callus induction, leading to organogenesis or somatic embryogenesis. Rooting is then achieved by transferring shoots to auxin-rich media, where the development of strong root systems indicates readiness for the next stage. The final step is hardening and acclimatization, in which plantlets are gradually adapted to external environmental conditions in mist chambers or polyhouses using substrates such as cocopeat and perlite to ensure their succes</w:t>
      </w:r>
      <w:r w:rsidR="002A4BCE" w:rsidRPr="00787457">
        <w:rPr>
          <w:rFonts w:ascii="Times New Roman" w:eastAsia="Times New Roman" w:hAnsi="Times New Roman" w:cs="Times New Roman"/>
          <w:bCs/>
          <w:kern w:val="36"/>
          <w:sz w:val="24"/>
          <w:szCs w:val="24"/>
        </w:rPr>
        <w:t>sful establishment and survival (</w:t>
      </w:r>
      <w:r w:rsidR="002A4BCE" w:rsidRPr="00787457">
        <w:rPr>
          <w:rFonts w:ascii="Times New Roman" w:hAnsi="Times New Roman" w:cs="Times New Roman"/>
          <w:color w:val="222222"/>
          <w:sz w:val="24"/>
          <w:szCs w:val="24"/>
          <w:shd w:val="clear" w:color="auto" w:fill="FFFFFF"/>
        </w:rPr>
        <w:t>Razdan,</w:t>
      </w:r>
      <w:r w:rsidR="002A4BCE" w:rsidRPr="00787457">
        <w:rPr>
          <w:rFonts w:ascii="Times New Roman" w:eastAsia="Times New Roman" w:hAnsi="Times New Roman" w:cs="Times New Roman"/>
          <w:sz w:val="24"/>
          <w:szCs w:val="24"/>
        </w:rPr>
        <w:t xml:space="preserve"> 2002)</w:t>
      </w:r>
      <w:r w:rsidR="009809A2" w:rsidRPr="00787457">
        <w:rPr>
          <w:rFonts w:ascii="Times New Roman" w:eastAsia="Times New Roman" w:hAnsi="Times New Roman" w:cs="Times New Roman"/>
          <w:sz w:val="24"/>
          <w:szCs w:val="24"/>
        </w:rPr>
        <w:t xml:space="preserve">. </w:t>
      </w:r>
    </w:p>
    <w:p w:rsidR="00F654FE" w:rsidRDefault="00F654FE" w:rsidP="000252C8">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787457">
        <w:rPr>
          <w:rFonts w:ascii="Times New Roman" w:eastAsia="Times New Roman" w:hAnsi="Times New Roman" w:cs="Times New Roman"/>
          <w:noProof/>
          <w:sz w:val="24"/>
          <w:szCs w:val="24"/>
        </w:rPr>
        <w:lastRenderedPageBreak/>
        <w:drawing>
          <wp:inline distT="0" distB="0" distL="0" distR="0" wp14:anchorId="392FF397" wp14:editId="7FA0BAF3">
            <wp:extent cx="5943600" cy="5657850"/>
            <wp:effectExtent l="0" t="0" r="0" b="0"/>
            <wp:docPr id="4" name="Picture 4" descr="C:\Users\Admin\Desktop\2ac4764c-5182-4506-863c-1e1b90fb53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2ac4764c-5182-4506-863c-1e1b90fb53f4.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3158"/>
                    <a:stretch/>
                  </pic:blipFill>
                  <pic:spPr bwMode="auto">
                    <a:xfrm>
                      <a:off x="0" y="0"/>
                      <a:ext cx="5943600" cy="5657850"/>
                    </a:xfrm>
                    <a:prstGeom prst="rect">
                      <a:avLst/>
                    </a:prstGeom>
                    <a:noFill/>
                    <a:ln>
                      <a:noFill/>
                    </a:ln>
                    <a:extLst>
                      <a:ext uri="{53640926-AAD7-44D8-BBD7-CCE9431645EC}">
                        <a14:shadowObscured xmlns:a14="http://schemas.microsoft.com/office/drawing/2010/main"/>
                      </a:ext>
                    </a:extLst>
                  </pic:spPr>
                </pic:pic>
              </a:graphicData>
            </a:graphic>
          </wp:inline>
        </w:drawing>
      </w:r>
    </w:p>
    <w:p w:rsidR="004D1CE8" w:rsidRPr="00787457" w:rsidRDefault="004D1CE8" w:rsidP="000252C8">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 xml:space="preserve">Fig 1: </w:t>
      </w:r>
      <w:r w:rsidR="00E75600">
        <w:rPr>
          <w:rFonts w:ascii="Times New Roman" w:eastAsia="Times New Roman" w:hAnsi="Times New Roman" w:cs="Times New Roman"/>
          <w:b/>
          <w:bCs/>
          <w:kern w:val="36"/>
          <w:sz w:val="24"/>
          <w:szCs w:val="24"/>
        </w:rPr>
        <w:t xml:space="preserve">Principle of </w:t>
      </w:r>
      <w:r w:rsidR="00E75600" w:rsidRPr="00787457">
        <w:rPr>
          <w:rFonts w:ascii="Times New Roman" w:eastAsia="Times New Roman" w:hAnsi="Times New Roman" w:cs="Times New Roman"/>
          <w:b/>
          <w:bCs/>
          <w:kern w:val="36"/>
          <w:sz w:val="24"/>
          <w:szCs w:val="24"/>
        </w:rPr>
        <w:t>Plant Tissue Culture</w:t>
      </w:r>
    </w:p>
    <w:p w:rsidR="00AF2376" w:rsidRPr="00787457" w:rsidRDefault="00AF2376" w:rsidP="00AF2376">
      <w:pPr>
        <w:spacing w:before="100" w:beforeAutospacing="1" w:after="100" w:afterAutospacing="1" w:line="240" w:lineRule="auto"/>
        <w:jc w:val="both"/>
        <w:rPr>
          <w:rFonts w:ascii="Times New Roman" w:eastAsia="Times New Roman" w:hAnsi="Times New Roman" w:cs="Times New Roman"/>
          <w:b/>
          <w:bCs/>
          <w:kern w:val="36"/>
          <w:sz w:val="24"/>
          <w:szCs w:val="24"/>
        </w:rPr>
      </w:pPr>
      <w:r w:rsidRPr="00787457">
        <w:rPr>
          <w:rFonts w:ascii="Times New Roman" w:eastAsia="Times New Roman" w:hAnsi="Times New Roman" w:cs="Times New Roman"/>
          <w:b/>
          <w:bCs/>
          <w:kern w:val="36"/>
          <w:sz w:val="24"/>
          <w:szCs w:val="24"/>
        </w:rPr>
        <w:t xml:space="preserve">Types of Tissue Culture </w:t>
      </w:r>
    </w:p>
    <w:p w:rsidR="005E4FED" w:rsidRPr="00787457" w:rsidRDefault="00AF2376" w:rsidP="00AF2376">
      <w:pPr>
        <w:spacing w:before="100" w:beforeAutospacing="1" w:after="100" w:afterAutospacing="1" w:line="240" w:lineRule="auto"/>
        <w:jc w:val="both"/>
        <w:rPr>
          <w:rFonts w:ascii="Times New Roman" w:eastAsia="Times New Roman" w:hAnsi="Times New Roman" w:cs="Times New Roman"/>
          <w:bCs/>
          <w:kern w:val="36"/>
          <w:sz w:val="24"/>
          <w:szCs w:val="24"/>
        </w:rPr>
      </w:pPr>
      <w:r w:rsidRPr="00787457">
        <w:rPr>
          <w:rFonts w:ascii="Times New Roman" w:eastAsia="Times New Roman" w:hAnsi="Times New Roman" w:cs="Times New Roman"/>
          <w:bCs/>
          <w:kern w:val="36"/>
          <w:sz w:val="24"/>
          <w:szCs w:val="24"/>
        </w:rPr>
        <w:t xml:space="preserve">Meristem culture involves culturing actively dividing meristems to eliminate viruses and rapidly multiply elite clones, as these cells are naturally disease-free. Callus culture is used to induce an unorganized mass of cells that serves as a platform for secondary metabolite production, </w:t>
      </w:r>
      <w:proofErr w:type="spellStart"/>
      <w:r w:rsidRPr="00787457">
        <w:rPr>
          <w:rFonts w:ascii="Times New Roman" w:eastAsia="Times New Roman" w:hAnsi="Times New Roman" w:cs="Times New Roman"/>
          <w:bCs/>
          <w:kern w:val="36"/>
          <w:sz w:val="24"/>
          <w:szCs w:val="24"/>
        </w:rPr>
        <w:t>somaclonal</w:t>
      </w:r>
      <w:proofErr w:type="spellEnd"/>
      <w:r w:rsidRPr="00787457">
        <w:rPr>
          <w:rFonts w:ascii="Times New Roman" w:eastAsia="Times New Roman" w:hAnsi="Times New Roman" w:cs="Times New Roman"/>
          <w:bCs/>
          <w:kern w:val="36"/>
          <w:sz w:val="24"/>
          <w:szCs w:val="24"/>
        </w:rPr>
        <w:t xml:space="preserve"> variation, and genetic transformation. Cell suspension culture consists of growing dispersed cells in liquid media under constant agitation, making it ideal for large-scale metabolite production, synthetic biology applications, and bioreactor-based cultivation. Organ culture focuses on growing specific plant organs such as shoots, roots, leaves, anthers, ovules, and embryos to study developmental processes, physiology, and regeneration</w:t>
      </w:r>
      <w:r w:rsidR="00E201A0" w:rsidRPr="00787457">
        <w:rPr>
          <w:rFonts w:ascii="Times New Roman" w:eastAsia="Times New Roman" w:hAnsi="Times New Roman" w:cs="Times New Roman"/>
          <w:bCs/>
          <w:kern w:val="36"/>
          <w:sz w:val="24"/>
          <w:szCs w:val="24"/>
        </w:rPr>
        <w:t xml:space="preserve"> (</w:t>
      </w:r>
      <w:r w:rsidR="00E201A0" w:rsidRPr="00787457">
        <w:rPr>
          <w:rFonts w:ascii="Times New Roman" w:hAnsi="Times New Roman" w:cs="Times New Roman"/>
          <w:color w:val="222222"/>
          <w:sz w:val="24"/>
          <w:szCs w:val="24"/>
          <w:shd w:val="clear" w:color="auto" w:fill="FFFFFF"/>
        </w:rPr>
        <w:t>Rai,</w:t>
      </w:r>
      <w:r w:rsidR="00E201A0" w:rsidRPr="00787457">
        <w:rPr>
          <w:rFonts w:ascii="Times New Roman" w:eastAsia="Times New Roman" w:hAnsi="Times New Roman" w:cs="Times New Roman"/>
          <w:bCs/>
          <w:kern w:val="36"/>
          <w:sz w:val="24"/>
          <w:szCs w:val="24"/>
        </w:rPr>
        <w:t xml:space="preserve"> et al., 2022).</w:t>
      </w:r>
      <w:r w:rsidRPr="00787457">
        <w:rPr>
          <w:rFonts w:ascii="Times New Roman" w:eastAsia="Times New Roman" w:hAnsi="Times New Roman" w:cs="Times New Roman"/>
          <w:bCs/>
          <w:kern w:val="36"/>
          <w:sz w:val="24"/>
          <w:szCs w:val="24"/>
        </w:rPr>
        <w:t xml:space="preserve"> Protoplast culture involves enzymatic removal of cell walls to obtain protoplasts, which are utilized for somatic </w:t>
      </w:r>
      <w:r w:rsidRPr="00787457">
        <w:rPr>
          <w:rFonts w:ascii="Times New Roman" w:eastAsia="Times New Roman" w:hAnsi="Times New Roman" w:cs="Times New Roman"/>
          <w:bCs/>
          <w:kern w:val="36"/>
          <w:sz w:val="24"/>
          <w:szCs w:val="24"/>
        </w:rPr>
        <w:lastRenderedPageBreak/>
        <w:t>hybridization, genetic engineering, and delivery systems for gene editing. Anther and pollen culture enables the production of haploids and doubled haploids, thereby accelerating breeding programs by rapidly achieving homozygosity. Somatic embryogenesis allows somatic cells to form embryo-like structures that develop into whole plants and is particularly valuable for synthetic seed production and large-scale forestry propagation. Shoot tip and nodal culture uses shoot tips or nodal segments for commercial clonal propagation of crops such as banana, sugarcane, bamboo, potato, and various ornamental plants. Synthetic seed culture involves encapsulating somatic embryos or shoot tips in alginate beads to create synthetic seeds that can be easily stored, transported, and handled with minimal contamination risk</w:t>
      </w:r>
      <w:r w:rsidR="00EE3AA8" w:rsidRPr="00787457">
        <w:rPr>
          <w:rFonts w:ascii="Times New Roman" w:eastAsia="Times New Roman" w:hAnsi="Times New Roman" w:cs="Times New Roman"/>
          <w:bCs/>
          <w:kern w:val="36"/>
          <w:sz w:val="24"/>
          <w:szCs w:val="24"/>
        </w:rPr>
        <w:t xml:space="preserve"> (</w:t>
      </w:r>
      <w:proofErr w:type="spellStart"/>
      <w:r w:rsidR="00EE3AA8" w:rsidRPr="00787457">
        <w:rPr>
          <w:rFonts w:ascii="Times New Roman" w:hAnsi="Times New Roman" w:cs="Times New Roman"/>
          <w:color w:val="222222"/>
          <w:sz w:val="24"/>
          <w:szCs w:val="24"/>
          <w:shd w:val="clear" w:color="auto" w:fill="FFFFFF"/>
        </w:rPr>
        <w:t>Twaij</w:t>
      </w:r>
      <w:proofErr w:type="spellEnd"/>
      <w:r w:rsidR="00EE3AA8" w:rsidRPr="00787457">
        <w:rPr>
          <w:rFonts w:ascii="Times New Roman" w:hAnsi="Times New Roman" w:cs="Times New Roman"/>
          <w:color w:val="222222"/>
          <w:sz w:val="24"/>
          <w:szCs w:val="24"/>
          <w:shd w:val="clear" w:color="auto" w:fill="FFFFFF"/>
        </w:rPr>
        <w:t>,</w:t>
      </w:r>
      <w:r w:rsidR="00EE3AA8" w:rsidRPr="00787457">
        <w:rPr>
          <w:rFonts w:ascii="Times New Roman" w:eastAsia="Times New Roman" w:hAnsi="Times New Roman" w:cs="Times New Roman"/>
          <w:bCs/>
          <w:kern w:val="36"/>
          <w:sz w:val="24"/>
          <w:szCs w:val="24"/>
        </w:rPr>
        <w:t xml:space="preserve"> et al., 2020)</w:t>
      </w:r>
      <w:r w:rsidR="00E201A0" w:rsidRPr="00787457">
        <w:rPr>
          <w:rFonts w:ascii="Times New Roman" w:eastAsia="Times New Roman" w:hAnsi="Times New Roman" w:cs="Times New Roman"/>
          <w:bCs/>
          <w:kern w:val="36"/>
          <w:sz w:val="24"/>
          <w:szCs w:val="24"/>
        </w:rPr>
        <w:t>.</w:t>
      </w:r>
    </w:p>
    <w:p w:rsidR="00AF2376" w:rsidRPr="00787457" w:rsidRDefault="00AF2376" w:rsidP="000252C8">
      <w:pPr>
        <w:spacing w:before="100" w:beforeAutospacing="1" w:after="100" w:afterAutospacing="1" w:line="240" w:lineRule="auto"/>
        <w:jc w:val="both"/>
        <w:rPr>
          <w:rFonts w:ascii="Times New Roman" w:eastAsia="Times New Roman" w:hAnsi="Times New Roman" w:cs="Times New Roman"/>
          <w:sz w:val="24"/>
          <w:szCs w:val="24"/>
        </w:rPr>
      </w:pPr>
    </w:p>
    <w:p w:rsidR="008B64B4" w:rsidRDefault="008B64B4" w:rsidP="000252C8">
      <w:pPr>
        <w:spacing w:before="100" w:beforeAutospacing="1" w:after="100" w:afterAutospacing="1" w:line="240" w:lineRule="auto"/>
        <w:jc w:val="both"/>
        <w:rPr>
          <w:rFonts w:ascii="Times New Roman" w:eastAsia="Times New Roman" w:hAnsi="Times New Roman" w:cs="Times New Roman"/>
          <w:sz w:val="24"/>
          <w:szCs w:val="24"/>
        </w:rPr>
      </w:pPr>
      <w:r w:rsidRPr="00787457">
        <w:rPr>
          <w:rFonts w:ascii="Times New Roman" w:eastAsia="Times New Roman" w:hAnsi="Times New Roman" w:cs="Times New Roman"/>
          <w:noProof/>
          <w:sz w:val="24"/>
          <w:szCs w:val="24"/>
        </w:rPr>
        <w:drawing>
          <wp:inline distT="0" distB="0" distL="0" distR="0">
            <wp:extent cx="5943600" cy="5162550"/>
            <wp:effectExtent l="0" t="0" r="0" b="0"/>
            <wp:docPr id="5" name="Picture 5" descr="C:\Users\Admin\Desktop\b576e44d-2235-42a6-ae4d-72219cbf9a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b576e44d-2235-42a6-ae4d-72219cbf9a99.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7627" b="5876"/>
                    <a:stretch/>
                  </pic:blipFill>
                  <pic:spPr bwMode="auto">
                    <a:xfrm>
                      <a:off x="0" y="0"/>
                      <a:ext cx="5943600" cy="5162550"/>
                    </a:xfrm>
                    <a:prstGeom prst="rect">
                      <a:avLst/>
                    </a:prstGeom>
                    <a:noFill/>
                    <a:ln>
                      <a:noFill/>
                    </a:ln>
                    <a:extLst>
                      <a:ext uri="{53640926-AAD7-44D8-BBD7-CCE9431645EC}">
                        <a14:shadowObscured xmlns:a14="http://schemas.microsoft.com/office/drawing/2010/main"/>
                      </a:ext>
                    </a:extLst>
                  </pic:spPr>
                </pic:pic>
              </a:graphicData>
            </a:graphic>
          </wp:inline>
        </w:drawing>
      </w:r>
    </w:p>
    <w:p w:rsidR="00E75600" w:rsidRPr="00787457" w:rsidRDefault="004D1CE8" w:rsidP="00E75600">
      <w:pPr>
        <w:spacing w:before="100" w:beforeAutospacing="1" w:after="100" w:afterAutospacing="1" w:line="240" w:lineRule="auto"/>
        <w:jc w:val="both"/>
        <w:rPr>
          <w:rFonts w:ascii="Times New Roman" w:eastAsia="Times New Roman" w:hAnsi="Times New Roman" w:cs="Times New Roman"/>
          <w:b/>
          <w:bCs/>
          <w:kern w:val="36"/>
          <w:sz w:val="24"/>
          <w:szCs w:val="24"/>
        </w:rPr>
      </w:pPr>
      <w:r>
        <w:rPr>
          <w:rFonts w:ascii="Times New Roman" w:eastAsia="Times New Roman" w:hAnsi="Times New Roman" w:cs="Times New Roman"/>
          <w:sz w:val="24"/>
          <w:szCs w:val="24"/>
        </w:rPr>
        <w:t xml:space="preserve">Fig 2: </w:t>
      </w:r>
      <w:r w:rsidR="00E75600" w:rsidRPr="00787457">
        <w:rPr>
          <w:rFonts w:ascii="Times New Roman" w:eastAsia="Times New Roman" w:hAnsi="Times New Roman" w:cs="Times New Roman"/>
          <w:b/>
          <w:bCs/>
          <w:kern w:val="36"/>
          <w:sz w:val="24"/>
          <w:szCs w:val="24"/>
        </w:rPr>
        <w:t xml:space="preserve">Types of Tissue Culture </w:t>
      </w:r>
    </w:p>
    <w:p w:rsidR="004D1CE8" w:rsidRPr="00787457" w:rsidRDefault="004D1CE8" w:rsidP="000252C8">
      <w:pPr>
        <w:spacing w:before="100" w:beforeAutospacing="1" w:after="100" w:afterAutospacing="1" w:line="240" w:lineRule="auto"/>
        <w:jc w:val="both"/>
        <w:rPr>
          <w:rFonts w:ascii="Times New Roman" w:eastAsia="Times New Roman" w:hAnsi="Times New Roman" w:cs="Times New Roman"/>
          <w:sz w:val="24"/>
          <w:szCs w:val="24"/>
        </w:rPr>
      </w:pPr>
    </w:p>
    <w:p w:rsidR="005246F0" w:rsidRPr="00787457" w:rsidRDefault="005246F0" w:rsidP="000252C8">
      <w:pPr>
        <w:spacing w:line="276" w:lineRule="auto"/>
        <w:jc w:val="both"/>
        <w:rPr>
          <w:rFonts w:ascii="Times New Roman" w:hAnsi="Times New Roman" w:cs="Times New Roman"/>
          <w:b/>
          <w:sz w:val="24"/>
          <w:szCs w:val="24"/>
        </w:rPr>
      </w:pPr>
    </w:p>
    <w:p w:rsidR="00FF3E0C" w:rsidRPr="00787457" w:rsidRDefault="00FF3E0C"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3. Scale-Up: Bioreactors and Temporary Imm</w:t>
      </w:r>
      <w:r w:rsidR="008C48AF" w:rsidRPr="00787457">
        <w:rPr>
          <w:rFonts w:ascii="Times New Roman" w:hAnsi="Times New Roman" w:cs="Times New Roman"/>
          <w:b/>
          <w:sz w:val="24"/>
          <w:szCs w:val="24"/>
        </w:rPr>
        <w:t xml:space="preserve">ersion Systems (TIS) </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Scaling up from small-scale laboratory culture vessels to commercial production systems remains one of the biggest bottlenecks in plant micropropagation. Traditional semisolid media-based systems, though reliable for protocol development, are labor- and cost-intensive and limited in scalability due to frequent subculturing requirements and high consumption of gelling agents and sterile consumables</w:t>
      </w:r>
      <w:r w:rsidR="00406B1B" w:rsidRPr="00787457">
        <w:rPr>
          <w:rFonts w:ascii="Times New Roman" w:hAnsi="Times New Roman" w:cs="Times New Roman"/>
          <w:sz w:val="24"/>
          <w:szCs w:val="24"/>
        </w:rPr>
        <w:t xml:space="preserve"> (</w:t>
      </w:r>
      <w:r w:rsidR="00406B1B" w:rsidRPr="00787457">
        <w:rPr>
          <w:rFonts w:ascii="Times New Roman" w:hAnsi="Times New Roman" w:cs="Times New Roman"/>
          <w:color w:val="222222"/>
          <w:sz w:val="24"/>
          <w:szCs w:val="24"/>
          <w:shd w:val="clear" w:color="auto" w:fill="FFFFFF"/>
        </w:rPr>
        <w:t>Verma, et al., 2021)</w:t>
      </w:r>
      <w:r w:rsidRPr="00787457">
        <w:rPr>
          <w:rFonts w:ascii="Times New Roman" w:hAnsi="Times New Roman" w:cs="Times New Roman"/>
          <w:sz w:val="24"/>
          <w:szCs w:val="24"/>
        </w:rPr>
        <w:t xml:space="preserve">. Bioreactor-based methods, especially those based on liquid culture, have emerged as effective alternatives that offer higher nutrient uptake, uniform growth conditions, and significantly higher multiplication rates than traditional methods. Elimination of solidifying agents not only saves money but also allows better mass transfer, which in turn facilitates faster and uniform </w:t>
      </w:r>
      <w:r w:rsidR="008C48AF" w:rsidRPr="00787457">
        <w:rPr>
          <w:rFonts w:ascii="Times New Roman" w:hAnsi="Times New Roman" w:cs="Times New Roman"/>
          <w:sz w:val="24"/>
          <w:szCs w:val="24"/>
        </w:rPr>
        <w:t>development of culture tissues</w:t>
      </w:r>
      <w:r w:rsidR="00E455CE" w:rsidRPr="00787457">
        <w:rPr>
          <w:rFonts w:ascii="Times New Roman" w:hAnsi="Times New Roman" w:cs="Times New Roman"/>
          <w:sz w:val="24"/>
          <w:szCs w:val="24"/>
        </w:rPr>
        <w:t xml:space="preserve"> (</w:t>
      </w:r>
      <w:r w:rsidR="00E455CE" w:rsidRPr="00787457">
        <w:rPr>
          <w:rFonts w:ascii="Times New Roman" w:hAnsi="Times New Roman" w:cs="Times New Roman"/>
          <w:color w:val="222222"/>
          <w:sz w:val="24"/>
          <w:szCs w:val="24"/>
          <w:shd w:val="clear" w:color="auto" w:fill="FFFFFF"/>
        </w:rPr>
        <w:t>Georgie et al., 2014)</w:t>
      </w:r>
      <w:r w:rsidR="008C48AF" w:rsidRPr="00787457">
        <w:rPr>
          <w:rFonts w:ascii="Times New Roman" w:hAnsi="Times New Roman" w:cs="Times New Roman"/>
          <w:sz w:val="24"/>
          <w:szCs w:val="24"/>
        </w:rPr>
        <w:t>.</w:t>
      </w:r>
    </w:p>
    <w:p w:rsidR="00213D92"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Of these, TIS came into broad focus due to their abilities to overcome physiological disorders commonly associated with continuous liquid immersion, such as </w:t>
      </w:r>
      <w:proofErr w:type="spellStart"/>
      <w:r w:rsidRPr="00787457">
        <w:rPr>
          <w:rFonts w:ascii="Times New Roman" w:hAnsi="Times New Roman" w:cs="Times New Roman"/>
          <w:sz w:val="24"/>
          <w:szCs w:val="24"/>
        </w:rPr>
        <w:t>hyperhydricity</w:t>
      </w:r>
      <w:proofErr w:type="spellEnd"/>
      <w:r w:rsidRPr="00787457">
        <w:rPr>
          <w:rFonts w:ascii="Times New Roman" w:hAnsi="Times New Roman" w:cs="Times New Roman"/>
          <w:sz w:val="24"/>
          <w:szCs w:val="24"/>
        </w:rPr>
        <w:t>, chlorosis, and poor structural integrity. Mechanistically, TIS devices operate to expose the explants intermittently to liquid nutrient medium, followed by periods of aeration, thus creating an optimal balance between nutrient availability and gas exchange. This pulsated exposure minimizes physiological stress, enhances shoot elongation, improves biomass accumulation, and significantly increases the survival rates of plantlets during ex vitro acclimatization</w:t>
      </w:r>
      <w:r w:rsidR="00BD49EF" w:rsidRPr="00787457">
        <w:rPr>
          <w:rFonts w:ascii="Times New Roman" w:hAnsi="Times New Roman" w:cs="Times New Roman"/>
          <w:sz w:val="24"/>
          <w:szCs w:val="24"/>
        </w:rPr>
        <w:t xml:space="preserve"> (</w:t>
      </w:r>
      <w:r w:rsidR="00BD49EF" w:rsidRPr="00787457">
        <w:rPr>
          <w:rFonts w:ascii="Times New Roman" w:hAnsi="Times New Roman" w:cs="Times New Roman"/>
          <w:color w:val="222222"/>
          <w:sz w:val="24"/>
          <w:szCs w:val="24"/>
          <w:shd w:val="clear" w:color="auto" w:fill="FFFFFF"/>
        </w:rPr>
        <w:t>Lyam, et al., 2012)</w:t>
      </w:r>
      <w:r w:rsidRPr="00787457">
        <w:rPr>
          <w:rFonts w:ascii="Times New Roman" w:hAnsi="Times New Roman" w:cs="Times New Roman"/>
          <w:sz w:val="24"/>
          <w:szCs w:val="24"/>
        </w:rPr>
        <w:t xml:space="preserve">. </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The various operational parameters, such as vessel geometry, medium volume, aeration efficiency, and material composition, have to be considered in detail for the successful deployment of the bioreactor systems</w:t>
      </w:r>
      <w:r w:rsidR="00CC597B" w:rsidRPr="00787457">
        <w:rPr>
          <w:rFonts w:ascii="Times New Roman" w:hAnsi="Times New Roman" w:cs="Times New Roman"/>
          <w:sz w:val="24"/>
          <w:szCs w:val="24"/>
        </w:rPr>
        <w:t xml:space="preserve"> (</w:t>
      </w:r>
      <w:r w:rsidR="00CC597B" w:rsidRPr="00787457">
        <w:rPr>
          <w:rFonts w:ascii="Times New Roman" w:hAnsi="Times New Roman" w:cs="Times New Roman"/>
          <w:color w:val="222222"/>
          <w:sz w:val="24"/>
          <w:szCs w:val="24"/>
          <w:shd w:val="clear" w:color="auto" w:fill="FFFFFF"/>
        </w:rPr>
        <w:t>Murthy, et al., 2023)</w:t>
      </w:r>
      <w:r w:rsidRPr="00787457">
        <w:rPr>
          <w:rFonts w:ascii="Times New Roman" w:hAnsi="Times New Roman" w:cs="Times New Roman"/>
          <w:sz w:val="24"/>
          <w:szCs w:val="24"/>
        </w:rPr>
        <w:t xml:space="preserve">. Immersion frequency and duration have to be fine-tuned with the metabolic and developmental requirements of each species, given that excessive immersion promotes </w:t>
      </w:r>
      <w:proofErr w:type="spellStart"/>
      <w:r w:rsidRPr="00787457">
        <w:rPr>
          <w:rFonts w:ascii="Times New Roman" w:hAnsi="Times New Roman" w:cs="Times New Roman"/>
          <w:sz w:val="24"/>
          <w:szCs w:val="24"/>
        </w:rPr>
        <w:t>hyperhydricity</w:t>
      </w:r>
      <w:proofErr w:type="spellEnd"/>
      <w:r w:rsidRPr="00787457">
        <w:rPr>
          <w:rFonts w:ascii="Times New Roman" w:hAnsi="Times New Roman" w:cs="Times New Roman"/>
          <w:sz w:val="24"/>
          <w:szCs w:val="24"/>
        </w:rPr>
        <w:t xml:space="preserve"> and insufficient immersion imposes limitation on nutrient uptake. Inoculum density is also critical to determining nutrient competition and micro</w:t>
      </w:r>
      <w:r w:rsidR="008C48AF" w:rsidRPr="00787457">
        <w:rPr>
          <w:rFonts w:ascii="Times New Roman" w:hAnsi="Times New Roman" w:cs="Times New Roman"/>
          <w:sz w:val="24"/>
          <w:szCs w:val="24"/>
        </w:rPr>
        <w:t xml:space="preserve"> </w:t>
      </w:r>
      <w:r w:rsidRPr="00787457">
        <w:rPr>
          <w:rFonts w:ascii="Times New Roman" w:hAnsi="Times New Roman" w:cs="Times New Roman"/>
          <w:sz w:val="24"/>
          <w:szCs w:val="24"/>
        </w:rPr>
        <w:t>environmental stability within the vessel. Incorporation of appropriate gas exchange filters is also an essential feature to avoid ethylene accumulation and other gaseous imbalances that may impede morphogenesis. Although TIS systems decrease labor and allow semi-automated production, they require careful management of contamination risks inherent in liquid media. Moreover, initial capital investment in bioreactor units is high; however, long-term cost savings, besides significantly higher multiplication efficiency, makes them commercially viable for commercial</w:t>
      </w:r>
      <w:r w:rsidR="008C48AF" w:rsidRPr="00787457">
        <w:rPr>
          <w:rFonts w:ascii="Times New Roman" w:hAnsi="Times New Roman" w:cs="Times New Roman"/>
          <w:sz w:val="24"/>
          <w:szCs w:val="24"/>
        </w:rPr>
        <w:t xml:space="preserve"> propagation industries</w:t>
      </w:r>
      <w:r w:rsidR="00D465C4" w:rsidRPr="00787457">
        <w:rPr>
          <w:rFonts w:ascii="Times New Roman" w:hAnsi="Times New Roman" w:cs="Times New Roman"/>
          <w:sz w:val="24"/>
          <w:szCs w:val="24"/>
        </w:rPr>
        <w:t xml:space="preserve"> (</w:t>
      </w:r>
      <w:r w:rsidR="00D465C4" w:rsidRPr="00787457">
        <w:rPr>
          <w:rFonts w:ascii="Times New Roman" w:hAnsi="Times New Roman" w:cs="Times New Roman"/>
          <w:color w:val="222222"/>
          <w:sz w:val="24"/>
          <w:szCs w:val="24"/>
          <w:shd w:val="clear" w:color="auto" w:fill="FFFFFF"/>
        </w:rPr>
        <w:t>De Carlo,</w:t>
      </w:r>
      <w:r w:rsidR="00D465C4" w:rsidRPr="00787457">
        <w:rPr>
          <w:rFonts w:ascii="Times New Roman" w:hAnsi="Times New Roman" w:cs="Times New Roman"/>
          <w:sz w:val="24"/>
          <w:szCs w:val="24"/>
        </w:rPr>
        <w:t xml:space="preserve"> et al., 2021).</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In general, the integration of bioreactor and TIS technologies marks a milestone in the commercialization of micropropagation by way of enhanced productivity, plant uniformity, a reduction in labor use, and superior acclimatization levels. Bioreactor-based micropropagation will undoubtedly assume an increasingly central role in world horticultural production systems as engineering innovations con</w:t>
      </w:r>
      <w:r w:rsidR="008C48AF" w:rsidRPr="00787457">
        <w:rPr>
          <w:rFonts w:ascii="Times New Roman" w:hAnsi="Times New Roman" w:cs="Times New Roman"/>
          <w:sz w:val="24"/>
          <w:szCs w:val="24"/>
        </w:rPr>
        <w:t>tinue to improve system design</w:t>
      </w:r>
      <w:r w:rsidR="009A745B" w:rsidRPr="00787457">
        <w:rPr>
          <w:rFonts w:ascii="Times New Roman" w:hAnsi="Times New Roman" w:cs="Times New Roman"/>
          <w:sz w:val="24"/>
          <w:szCs w:val="24"/>
        </w:rPr>
        <w:t xml:space="preserve"> (</w:t>
      </w:r>
      <w:r w:rsidR="009A745B" w:rsidRPr="00787457">
        <w:rPr>
          <w:rFonts w:ascii="Times New Roman" w:hAnsi="Times New Roman" w:cs="Times New Roman"/>
          <w:color w:val="222222"/>
          <w:sz w:val="24"/>
          <w:szCs w:val="24"/>
          <w:shd w:val="clear" w:color="auto" w:fill="FFFFFF"/>
        </w:rPr>
        <w:t>Rodríguez-</w:t>
      </w:r>
      <w:proofErr w:type="spellStart"/>
      <w:r w:rsidR="009A745B" w:rsidRPr="00787457">
        <w:rPr>
          <w:rFonts w:ascii="Times New Roman" w:hAnsi="Times New Roman" w:cs="Times New Roman"/>
          <w:color w:val="222222"/>
          <w:sz w:val="24"/>
          <w:szCs w:val="24"/>
          <w:shd w:val="clear" w:color="auto" w:fill="FFFFFF"/>
        </w:rPr>
        <w:t>Deméneghi</w:t>
      </w:r>
      <w:proofErr w:type="spellEnd"/>
      <w:r w:rsidR="009A745B" w:rsidRPr="00787457">
        <w:rPr>
          <w:rFonts w:ascii="Times New Roman" w:hAnsi="Times New Roman" w:cs="Times New Roman"/>
          <w:color w:val="222222"/>
          <w:sz w:val="24"/>
          <w:szCs w:val="24"/>
          <w:shd w:val="clear" w:color="auto" w:fill="FFFFFF"/>
        </w:rPr>
        <w:t xml:space="preserve"> 2024)</w:t>
      </w:r>
      <w:r w:rsidR="008C48AF" w:rsidRPr="00787457">
        <w:rPr>
          <w:rFonts w:ascii="Times New Roman" w:hAnsi="Times New Roman" w:cs="Times New Roman"/>
          <w:sz w:val="24"/>
          <w:szCs w:val="24"/>
        </w:rPr>
        <w:t>.</w:t>
      </w:r>
    </w:p>
    <w:p w:rsidR="00FF3E0C" w:rsidRPr="00787457" w:rsidRDefault="00FF3E0C"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4. Synthetic Seeds, Cryopreservation, and Germplasm Co</w:t>
      </w:r>
      <w:r w:rsidR="00F82D6E" w:rsidRPr="00787457">
        <w:rPr>
          <w:rFonts w:ascii="Times New Roman" w:hAnsi="Times New Roman" w:cs="Times New Roman"/>
          <w:b/>
          <w:sz w:val="24"/>
          <w:szCs w:val="24"/>
        </w:rPr>
        <w:t>nservation</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lastRenderedPageBreak/>
        <w:t xml:space="preserve">Synthetic seed technology is recognized for its versatility and novelty in storing, distributing, and direct field planting of in vitro–derived propagules. Conventionally, it involves the encapsulation of somatic embryos, axillary buds, nodal segments, or </w:t>
      </w:r>
      <w:proofErr w:type="spellStart"/>
      <w:r w:rsidRPr="00787457">
        <w:rPr>
          <w:rFonts w:ascii="Times New Roman" w:hAnsi="Times New Roman" w:cs="Times New Roman"/>
          <w:sz w:val="24"/>
          <w:szCs w:val="24"/>
        </w:rPr>
        <w:t>microshoots</w:t>
      </w:r>
      <w:proofErr w:type="spellEnd"/>
      <w:r w:rsidRPr="00787457">
        <w:rPr>
          <w:rFonts w:ascii="Times New Roman" w:hAnsi="Times New Roman" w:cs="Times New Roman"/>
          <w:sz w:val="24"/>
          <w:szCs w:val="24"/>
        </w:rPr>
        <w:t xml:space="preserve"> in a hydrogel matrix, generally sodium alginate, complexing with calcium salts into bead-like, </w:t>
      </w:r>
      <w:proofErr w:type="spellStart"/>
      <w:r w:rsidRPr="00787457">
        <w:rPr>
          <w:rFonts w:ascii="Times New Roman" w:hAnsi="Times New Roman" w:cs="Times New Roman"/>
          <w:sz w:val="24"/>
          <w:szCs w:val="24"/>
        </w:rPr>
        <w:t>sowable</w:t>
      </w:r>
      <w:proofErr w:type="spellEnd"/>
      <w:r w:rsidRPr="00787457">
        <w:rPr>
          <w:rFonts w:ascii="Times New Roman" w:hAnsi="Times New Roman" w:cs="Times New Roman"/>
          <w:sz w:val="24"/>
          <w:szCs w:val="24"/>
        </w:rPr>
        <w:t xml:space="preserve"> units. The encapsulated propagules therein assume the appearance and handling features of true seeds, thus allowing easy transport, short-term storage, and mechanized sowing while maintaining clonal fidelity. Synthetic seeds are useful in cases where species either do not form orthodox seeds or produce recalcitrant seed physiology or are vegetatively propagated, thus being highly relevant to many fruit, pl</w:t>
      </w:r>
      <w:r w:rsidR="008C48AF" w:rsidRPr="00787457">
        <w:rPr>
          <w:rFonts w:ascii="Times New Roman" w:hAnsi="Times New Roman" w:cs="Times New Roman"/>
          <w:sz w:val="24"/>
          <w:szCs w:val="24"/>
        </w:rPr>
        <w:t>antation, and ornamental crops</w:t>
      </w:r>
      <w:r w:rsidR="0097549D" w:rsidRPr="00787457">
        <w:rPr>
          <w:rFonts w:ascii="Times New Roman" w:hAnsi="Times New Roman" w:cs="Times New Roman"/>
          <w:sz w:val="24"/>
          <w:szCs w:val="24"/>
        </w:rPr>
        <w:t xml:space="preserve"> (</w:t>
      </w:r>
      <w:r w:rsidR="0097549D" w:rsidRPr="00787457">
        <w:rPr>
          <w:rFonts w:ascii="Times New Roman" w:hAnsi="Times New Roman" w:cs="Times New Roman"/>
          <w:color w:val="222222"/>
          <w:sz w:val="24"/>
          <w:szCs w:val="24"/>
          <w:shd w:val="clear" w:color="auto" w:fill="FFFFFF"/>
        </w:rPr>
        <w:t>Saxena, et al., 2019)</w:t>
      </w:r>
      <w:r w:rsidR="008C48AF" w:rsidRPr="00787457">
        <w:rPr>
          <w:rFonts w:ascii="Times New Roman" w:hAnsi="Times New Roman" w:cs="Times New Roman"/>
          <w:sz w:val="24"/>
          <w:szCs w:val="24"/>
        </w:rPr>
        <w:t>.</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Success within these synthetic seed systems is determined by a variety of technical factors that include the composition and concentration of the encapsulation matrix, the metabolic status of the propagule, and post-encapsulation storage conditions. Recent literature has discussed enhancements in gel formulations, including those with </w:t>
      </w:r>
      <w:proofErr w:type="spellStart"/>
      <w:r w:rsidRPr="00787457">
        <w:rPr>
          <w:rFonts w:ascii="Times New Roman" w:hAnsi="Times New Roman" w:cs="Times New Roman"/>
          <w:sz w:val="24"/>
          <w:szCs w:val="24"/>
        </w:rPr>
        <w:t>osmo</w:t>
      </w:r>
      <w:proofErr w:type="spellEnd"/>
      <w:r w:rsidR="008C48AF" w:rsidRPr="00787457">
        <w:rPr>
          <w:rFonts w:ascii="Times New Roman" w:hAnsi="Times New Roman" w:cs="Times New Roman"/>
          <w:sz w:val="24"/>
          <w:szCs w:val="24"/>
        </w:rPr>
        <w:t xml:space="preserve"> </w:t>
      </w:r>
      <w:r w:rsidRPr="00787457">
        <w:rPr>
          <w:rFonts w:ascii="Times New Roman" w:hAnsi="Times New Roman" w:cs="Times New Roman"/>
          <w:sz w:val="24"/>
          <w:szCs w:val="24"/>
        </w:rPr>
        <w:t>protectants, antifungal compounds, nutrient supplements, and growth regulators, all of which enhance the storage stability and conversion efficiency. Further strides in the area of desiccation-tolerant somatic embryos have also enhanced the feasibility of synthetic seed technology for long-term conservation and lar</w:t>
      </w:r>
      <w:r w:rsidR="008C48AF" w:rsidRPr="00787457">
        <w:rPr>
          <w:rFonts w:ascii="Times New Roman" w:hAnsi="Times New Roman" w:cs="Times New Roman"/>
          <w:sz w:val="24"/>
          <w:szCs w:val="24"/>
        </w:rPr>
        <w:t>ge-scale distribution programs.</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Cryopreservation plays a complementary role by enabling long-term germplasm storage through ultra-low temperature preservation, usually in liquid nitrogen at –196°C, where metabolic activity is effectively arrested. Novel cryopreservation methods like vitrification, encapsulation–dehydration, encapsulation–vitrification, and droplet vitrification have been successful on an array of horticultural crops in the modern day, ensuring genetic stability with high post-thaw recovery rates. Such protocols allow the preservation of elite genotypes, rare cultivars, and endangered species while minimizing the risks associated with field-based germplasm banks, such as pest outbreaks, climat</w:t>
      </w:r>
      <w:r w:rsidR="008C48AF" w:rsidRPr="00787457">
        <w:rPr>
          <w:rFonts w:ascii="Times New Roman" w:hAnsi="Times New Roman" w:cs="Times New Roman"/>
          <w:sz w:val="24"/>
          <w:szCs w:val="24"/>
        </w:rPr>
        <w:t>ic stresses, and genetic drift</w:t>
      </w:r>
      <w:r w:rsidR="004758AA" w:rsidRPr="00787457">
        <w:rPr>
          <w:rFonts w:ascii="Times New Roman" w:hAnsi="Times New Roman" w:cs="Times New Roman"/>
          <w:sz w:val="24"/>
          <w:szCs w:val="24"/>
        </w:rPr>
        <w:t xml:space="preserve"> (</w:t>
      </w:r>
      <w:proofErr w:type="spellStart"/>
      <w:r w:rsidR="004758AA" w:rsidRPr="00787457">
        <w:rPr>
          <w:rFonts w:ascii="Times New Roman" w:hAnsi="Times New Roman" w:cs="Times New Roman"/>
          <w:color w:val="222222"/>
          <w:sz w:val="24"/>
          <w:szCs w:val="24"/>
          <w:shd w:val="clear" w:color="auto" w:fill="FFFFFF"/>
        </w:rPr>
        <w:t>Gantait</w:t>
      </w:r>
      <w:proofErr w:type="spellEnd"/>
      <w:r w:rsidR="004758AA" w:rsidRPr="00787457">
        <w:rPr>
          <w:rFonts w:ascii="Times New Roman" w:hAnsi="Times New Roman" w:cs="Times New Roman"/>
          <w:color w:val="222222"/>
          <w:sz w:val="24"/>
          <w:szCs w:val="24"/>
          <w:shd w:val="clear" w:color="auto" w:fill="FFFFFF"/>
        </w:rPr>
        <w:t xml:space="preserve">, and </w:t>
      </w:r>
      <w:proofErr w:type="spellStart"/>
      <w:r w:rsidR="004758AA" w:rsidRPr="00787457">
        <w:rPr>
          <w:rFonts w:ascii="Times New Roman" w:hAnsi="Times New Roman" w:cs="Times New Roman"/>
          <w:color w:val="222222"/>
          <w:sz w:val="24"/>
          <w:szCs w:val="24"/>
          <w:shd w:val="clear" w:color="auto" w:fill="FFFFFF"/>
        </w:rPr>
        <w:t>Mitra</w:t>
      </w:r>
      <w:proofErr w:type="spellEnd"/>
      <w:r w:rsidR="004758AA" w:rsidRPr="00787457">
        <w:rPr>
          <w:rFonts w:ascii="Times New Roman" w:hAnsi="Times New Roman" w:cs="Times New Roman"/>
          <w:color w:val="222222"/>
          <w:sz w:val="24"/>
          <w:szCs w:val="24"/>
          <w:shd w:val="clear" w:color="auto" w:fill="FFFFFF"/>
        </w:rPr>
        <w:t xml:space="preserve"> 2019)</w:t>
      </w:r>
      <w:r w:rsidR="008C48AF" w:rsidRPr="00787457">
        <w:rPr>
          <w:rFonts w:ascii="Times New Roman" w:hAnsi="Times New Roman" w:cs="Times New Roman"/>
          <w:sz w:val="24"/>
          <w:szCs w:val="24"/>
        </w:rPr>
        <w:t>.</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The combination of synthetic seed technology with cryogenic storage has provided strong tools for both the short-term distribution and long-term conservation. For example, encapsulated somatic embryos can be stored at low temperature for immediate uses or dehydrated and cryopreserved for extended conservation periods. Additionally, molecular markers and viability assays are also in routine practice nowadays to verify the genetic fidelity and physiological stabil</w:t>
      </w:r>
      <w:r w:rsidR="008C48AF" w:rsidRPr="00787457">
        <w:rPr>
          <w:rFonts w:ascii="Times New Roman" w:hAnsi="Times New Roman" w:cs="Times New Roman"/>
          <w:sz w:val="24"/>
          <w:szCs w:val="24"/>
        </w:rPr>
        <w:t>ity after storage and recovery</w:t>
      </w:r>
      <w:r w:rsidR="00611C6E" w:rsidRPr="00787457">
        <w:rPr>
          <w:rFonts w:ascii="Times New Roman" w:hAnsi="Times New Roman" w:cs="Times New Roman"/>
          <w:sz w:val="24"/>
          <w:szCs w:val="24"/>
        </w:rPr>
        <w:t xml:space="preserve"> (</w:t>
      </w:r>
      <w:r w:rsidR="00611C6E" w:rsidRPr="00787457">
        <w:rPr>
          <w:rFonts w:ascii="Times New Roman" w:hAnsi="Times New Roman" w:cs="Times New Roman"/>
          <w:color w:val="222222"/>
          <w:sz w:val="24"/>
          <w:szCs w:val="24"/>
          <w:shd w:val="clear" w:color="auto" w:fill="FFFFFF"/>
        </w:rPr>
        <w:t>Ekinci et al., 2019)</w:t>
      </w:r>
      <w:r w:rsidR="008C48AF" w:rsidRPr="00787457">
        <w:rPr>
          <w:rFonts w:ascii="Times New Roman" w:hAnsi="Times New Roman" w:cs="Times New Roman"/>
          <w:sz w:val="24"/>
          <w:szCs w:val="24"/>
        </w:rPr>
        <w:t>.</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Together, synthetic seeds and cryopreservation technologies form a vital part of the contemporary horticultural germplasm management systems. They support the conservation of genetic diversity, facilitate global germplasm exchange, and ensure the availability of high-quality planting material for breeding, propagation, and </w:t>
      </w:r>
      <w:r w:rsidR="008C48AF" w:rsidRPr="00787457">
        <w:rPr>
          <w:rFonts w:ascii="Times New Roman" w:hAnsi="Times New Roman" w:cs="Times New Roman"/>
          <w:sz w:val="24"/>
          <w:szCs w:val="24"/>
        </w:rPr>
        <w:t>commercial production programs</w:t>
      </w:r>
      <w:r w:rsidR="00F40B1D" w:rsidRPr="00787457">
        <w:rPr>
          <w:rFonts w:ascii="Times New Roman" w:hAnsi="Times New Roman" w:cs="Times New Roman"/>
          <w:sz w:val="24"/>
          <w:szCs w:val="24"/>
        </w:rPr>
        <w:t xml:space="preserve"> (</w:t>
      </w:r>
      <w:r w:rsidR="00F40B1D" w:rsidRPr="00787457">
        <w:rPr>
          <w:rFonts w:ascii="Times New Roman" w:hAnsi="Times New Roman" w:cs="Times New Roman"/>
          <w:color w:val="222222"/>
          <w:sz w:val="24"/>
          <w:szCs w:val="24"/>
          <w:shd w:val="clear" w:color="auto" w:fill="FFFFFF"/>
        </w:rPr>
        <w:t>Sharma, et al., 2023)</w:t>
      </w:r>
      <w:r w:rsidR="008C48AF" w:rsidRPr="00787457">
        <w:rPr>
          <w:rFonts w:ascii="Times New Roman" w:hAnsi="Times New Roman" w:cs="Times New Roman"/>
          <w:sz w:val="24"/>
          <w:szCs w:val="24"/>
        </w:rPr>
        <w:t>.</w:t>
      </w:r>
    </w:p>
    <w:p w:rsidR="00FF3E0C" w:rsidRPr="00787457" w:rsidRDefault="00FF3E0C"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5. Integration of Molecular Tool</w:t>
      </w:r>
      <w:r w:rsidR="008C48AF" w:rsidRPr="00787457">
        <w:rPr>
          <w:rFonts w:ascii="Times New Roman" w:hAnsi="Times New Roman" w:cs="Times New Roman"/>
          <w:b/>
          <w:sz w:val="24"/>
          <w:szCs w:val="24"/>
        </w:rPr>
        <w:t xml:space="preserve">s and Genome Editing </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lastRenderedPageBreak/>
        <w:t>Recent advances in molecular biology have greatly redefined the scope, precision, and applications of plant tissue culture in horticultural science. Tissue culture remains the basic tool for plant genetic transformation, as it provides a controlled environment for DNA delivery, selection, and transformation of tissues. In</w:t>
      </w:r>
      <w:r w:rsidR="008C48AF" w:rsidRPr="00787457">
        <w:rPr>
          <w:rFonts w:ascii="Times New Roman" w:hAnsi="Times New Roman" w:cs="Times New Roman"/>
          <w:sz w:val="24"/>
          <w:szCs w:val="24"/>
        </w:rPr>
        <w:t xml:space="preserve"> classic transformation systems </w:t>
      </w:r>
      <w:r w:rsidRPr="00787457">
        <w:rPr>
          <w:rFonts w:ascii="Times New Roman" w:hAnsi="Times New Roman" w:cs="Times New Roman"/>
          <w:i/>
          <w:sz w:val="24"/>
          <w:szCs w:val="24"/>
        </w:rPr>
        <w:t>Agrobacterium tumefaciens-</w:t>
      </w:r>
      <w:r w:rsidRPr="00787457">
        <w:rPr>
          <w:rFonts w:ascii="Times New Roman" w:hAnsi="Times New Roman" w:cs="Times New Roman"/>
          <w:sz w:val="24"/>
          <w:szCs w:val="24"/>
        </w:rPr>
        <w:t>mediated gene transfer and</w:t>
      </w:r>
      <w:r w:rsidR="008C48AF" w:rsidRPr="00787457">
        <w:rPr>
          <w:rFonts w:ascii="Times New Roman" w:hAnsi="Times New Roman" w:cs="Times New Roman"/>
          <w:sz w:val="24"/>
          <w:szCs w:val="24"/>
        </w:rPr>
        <w:t xml:space="preserve"> biolistic particle bombardment </w:t>
      </w:r>
      <w:r w:rsidRPr="00787457">
        <w:rPr>
          <w:rFonts w:ascii="Times New Roman" w:hAnsi="Times New Roman" w:cs="Times New Roman"/>
          <w:sz w:val="24"/>
          <w:szCs w:val="24"/>
        </w:rPr>
        <w:t>the availability of responsive explants, optimized protocols for regeneration, and reliable schemes for selection remain basic prerequisites</w:t>
      </w:r>
      <w:r w:rsidR="00A878FA" w:rsidRPr="00787457">
        <w:rPr>
          <w:rFonts w:ascii="Times New Roman" w:hAnsi="Times New Roman" w:cs="Times New Roman"/>
          <w:sz w:val="24"/>
          <w:szCs w:val="24"/>
        </w:rPr>
        <w:t xml:space="preserve"> (</w:t>
      </w:r>
      <w:r w:rsidR="00A878FA" w:rsidRPr="00787457">
        <w:rPr>
          <w:rFonts w:ascii="Times New Roman" w:hAnsi="Times New Roman" w:cs="Times New Roman"/>
          <w:color w:val="222222"/>
          <w:sz w:val="24"/>
          <w:szCs w:val="24"/>
          <w:shd w:val="clear" w:color="auto" w:fill="FFFFFF"/>
        </w:rPr>
        <w:t>Tripathi, and Shukla, 2024)</w:t>
      </w:r>
      <w:r w:rsidRPr="00787457">
        <w:rPr>
          <w:rFonts w:ascii="Times New Roman" w:hAnsi="Times New Roman" w:cs="Times New Roman"/>
          <w:sz w:val="24"/>
          <w:szCs w:val="24"/>
        </w:rPr>
        <w:t>. Callus induction, shoot regeneration, and rooting efficiency are essential factors affecting transformation success, particularly in recalcitrant crops exhibiting species-specific o</w:t>
      </w:r>
      <w:r w:rsidR="008C48AF" w:rsidRPr="00787457">
        <w:rPr>
          <w:rFonts w:ascii="Times New Roman" w:hAnsi="Times New Roman" w:cs="Times New Roman"/>
          <w:sz w:val="24"/>
          <w:szCs w:val="24"/>
        </w:rPr>
        <w:t>r genotype-dependent responses</w:t>
      </w:r>
      <w:r w:rsidR="00B53558" w:rsidRPr="00787457">
        <w:rPr>
          <w:rFonts w:ascii="Times New Roman" w:hAnsi="Times New Roman" w:cs="Times New Roman"/>
          <w:sz w:val="24"/>
          <w:szCs w:val="24"/>
        </w:rPr>
        <w:t xml:space="preserve"> (</w:t>
      </w:r>
      <w:r w:rsidR="00B53558" w:rsidRPr="00787457">
        <w:rPr>
          <w:rFonts w:ascii="Times New Roman" w:hAnsi="Times New Roman" w:cs="Times New Roman"/>
          <w:color w:val="222222"/>
          <w:sz w:val="24"/>
          <w:szCs w:val="24"/>
          <w:shd w:val="clear" w:color="auto" w:fill="FFFFFF"/>
        </w:rPr>
        <w:t>Pandey,</w:t>
      </w:r>
      <w:r w:rsidR="00B53558" w:rsidRPr="00787457">
        <w:rPr>
          <w:rFonts w:ascii="Times New Roman" w:hAnsi="Times New Roman" w:cs="Times New Roman"/>
          <w:sz w:val="24"/>
          <w:szCs w:val="24"/>
        </w:rPr>
        <w:t xml:space="preserve"> et al., 2025).</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This rapid evolution of the CRISPR/Cas genome editing platforms has expanded these applications to include precise improvements for disease resistance, nutritional quality, abiotic stress tolerance, shelf-life, and other horticulturally important traits</w:t>
      </w:r>
      <w:r w:rsidR="008F04E9" w:rsidRPr="00787457">
        <w:rPr>
          <w:rFonts w:ascii="Times New Roman" w:hAnsi="Times New Roman" w:cs="Times New Roman"/>
          <w:sz w:val="24"/>
          <w:szCs w:val="24"/>
        </w:rPr>
        <w:t xml:space="preserve"> (</w:t>
      </w:r>
      <w:r w:rsidR="008F04E9" w:rsidRPr="00787457">
        <w:rPr>
          <w:rFonts w:ascii="Times New Roman" w:hAnsi="Times New Roman" w:cs="Times New Roman"/>
          <w:color w:val="222222"/>
          <w:sz w:val="24"/>
          <w:szCs w:val="24"/>
          <w:shd w:val="clear" w:color="auto" w:fill="FFFFFF"/>
        </w:rPr>
        <w:t>Parmar,</w:t>
      </w:r>
      <w:r w:rsidR="008F04E9" w:rsidRPr="00787457">
        <w:rPr>
          <w:rFonts w:ascii="Times New Roman" w:hAnsi="Times New Roman" w:cs="Times New Roman"/>
          <w:sz w:val="24"/>
          <w:szCs w:val="24"/>
        </w:rPr>
        <w:t xml:space="preserve"> et al., 2017).</w:t>
      </w:r>
      <w:r w:rsidRPr="00787457">
        <w:rPr>
          <w:rFonts w:ascii="Times New Roman" w:hAnsi="Times New Roman" w:cs="Times New Roman"/>
          <w:sz w:val="24"/>
          <w:szCs w:val="24"/>
        </w:rPr>
        <w:t xml:space="preserve"> Although most editing approaches still depend on tissue culture for the regeneration of whole plants from edited cells, a number of emerging strategies attempt to circumvent or minimize the dependence on tissue culture</w:t>
      </w:r>
      <w:r w:rsidR="007038F8" w:rsidRPr="00787457">
        <w:rPr>
          <w:rFonts w:ascii="Times New Roman" w:hAnsi="Times New Roman" w:cs="Times New Roman"/>
          <w:sz w:val="24"/>
          <w:szCs w:val="24"/>
        </w:rPr>
        <w:t xml:space="preserve"> (</w:t>
      </w:r>
      <w:r w:rsidR="007038F8" w:rsidRPr="00787457">
        <w:rPr>
          <w:rFonts w:ascii="Times New Roman" w:hAnsi="Times New Roman" w:cs="Times New Roman"/>
          <w:color w:val="222222"/>
          <w:sz w:val="24"/>
          <w:szCs w:val="24"/>
          <w:shd w:val="clear" w:color="auto" w:fill="FFFFFF"/>
        </w:rPr>
        <w:t xml:space="preserve">Sharma, </w:t>
      </w:r>
      <w:r w:rsidR="007038F8" w:rsidRPr="00787457">
        <w:rPr>
          <w:rFonts w:ascii="Times New Roman" w:hAnsi="Times New Roman" w:cs="Times New Roman"/>
          <w:sz w:val="24"/>
          <w:szCs w:val="24"/>
        </w:rPr>
        <w:t>et al., 2023)</w:t>
      </w:r>
      <w:r w:rsidR="008A760D" w:rsidRPr="00787457">
        <w:rPr>
          <w:rFonts w:ascii="Times New Roman" w:hAnsi="Times New Roman" w:cs="Times New Roman"/>
          <w:sz w:val="24"/>
          <w:szCs w:val="24"/>
        </w:rPr>
        <w:t>.</w:t>
      </w:r>
      <w:r w:rsidRPr="00787457">
        <w:rPr>
          <w:rFonts w:ascii="Times New Roman" w:hAnsi="Times New Roman" w:cs="Times New Roman"/>
          <w:sz w:val="24"/>
          <w:szCs w:val="24"/>
        </w:rPr>
        <w:t xml:space="preserve"> Such innovations are focused on reducing </w:t>
      </w:r>
      <w:proofErr w:type="spellStart"/>
      <w:r w:rsidRPr="00787457">
        <w:rPr>
          <w:rFonts w:ascii="Times New Roman" w:hAnsi="Times New Roman" w:cs="Times New Roman"/>
          <w:sz w:val="24"/>
          <w:szCs w:val="24"/>
        </w:rPr>
        <w:t>somaclonal</w:t>
      </w:r>
      <w:proofErr w:type="spellEnd"/>
      <w:r w:rsidRPr="00787457">
        <w:rPr>
          <w:rFonts w:ascii="Times New Roman" w:hAnsi="Times New Roman" w:cs="Times New Roman"/>
          <w:sz w:val="24"/>
          <w:szCs w:val="24"/>
        </w:rPr>
        <w:t xml:space="preserve"> variation, improving editing efficiencies, reducing regeneration time, and mitigating regulatory concerns sometimes associated with convent</w:t>
      </w:r>
      <w:r w:rsidR="008C48AF" w:rsidRPr="00787457">
        <w:rPr>
          <w:rFonts w:ascii="Times New Roman" w:hAnsi="Times New Roman" w:cs="Times New Roman"/>
          <w:sz w:val="24"/>
          <w:szCs w:val="24"/>
        </w:rPr>
        <w:t>ional transgenic methodologies</w:t>
      </w:r>
      <w:r w:rsidR="009414EF" w:rsidRPr="00787457">
        <w:rPr>
          <w:rFonts w:ascii="Times New Roman" w:hAnsi="Times New Roman" w:cs="Times New Roman"/>
          <w:sz w:val="24"/>
          <w:szCs w:val="24"/>
        </w:rPr>
        <w:t xml:space="preserve"> (</w:t>
      </w:r>
      <w:r w:rsidR="009414EF" w:rsidRPr="00787457">
        <w:rPr>
          <w:rFonts w:ascii="Times New Roman" w:hAnsi="Times New Roman" w:cs="Times New Roman"/>
          <w:color w:val="222222"/>
          <w:sz w:val="24"/>
          <w:szCs w:val="24"/>
          <w:shd w:val="clear" w:color="auto" w:fill="FFFFFF"/>
        </w:rPr>
        <w:t>Sakthivel, et al., 2025)</w:t>
      </w:r>
      <w:r w:rsidR="008C48AF" w:rsidRPr="00787457">
        <w:rPr>
          <w:rFonts w:ascii="Times New Roman" w:hAnsi="Times New Roman" w:cs="Times New Roman"/>
          <w:sz w:val="24"/>
          <w:szCs w:val="24"/>
        </w:rPr>
        <w:t>.</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Despite these advances, for many horticultural species-especially woody perennials, recalcitrant fruit crops, and ornamentals-robust tissue culture and regeneration pipelines remain indispensable for obtaining stable, heritable edits. As genome editing technologies continue to advance, integration of molecular tools with optimized tissue culture protocols will be necessary for accelerating trait development and breeding innovations in horticultural crops</w:t>
      </w:r>
      <w:r w:rsidR="00F948F7" w:rsidRPr="00787457">
        <w:rPr>
          <w:rFonts w:ascii="Times New Roman" w:hAnsi="Times New Roman" w:cs="Times New Roman"/>
          <w:sz w:val="24"/>
          <w:szCs w:val="24"/>
        </w:rPr>
        <w:t xml:space="preserve"> (</w:t>
      </w:r>
      <w:r w:rsidR="00F948F7" w:rsidRPr="00787457">
        <w:rPr>
          <w:rFonts w:ascii="Times New Roman" w:hAnsi="Times New Roman" w:cs="Times New Roman"/>
          <w:color w:val="222222"/>
          <w:sz w:val="24"/>
          <w:szCs w:val="24"/>
          <w:shd w:val="clear" w:color="auto" w:fill="FFFFFF"/>
        </w:rPr>
        <w:t>Quiroz, et al., 2025)</w:t>
      </w:r>
      <w:r w:rsidRPr="00787457">
        <w:rPr>
          <w:rFonts w:ascii="Times New Roman" w:hAnsi="Times New Roman" w:cs="Times New Roman"/>
          <w:sz w:val="24"/>
          <w:szCs w:val="24"/>
        </w:rPr>
        <w:t>.</w:t>
      </w:r>
    </w:p>
    <w:p w:rsidR="00FF3E0C" w:rsidRPr="00787457" w:rsidRDefault="00FF3E0C"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6. Underpinning Technologies: Nanotechnology, Omics, and Automation</w:t>
      </w:r>
    </w:p>
    <w:p w:rsidR="00FF3E0C" w:rsidRPr="00787457" w:rsidRDefault="00034F18"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 xml:space="preserve">6.1 Nanotechnology </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Nanotechnology has lately emerged as a promising complementary tool in plant tissue culture, with new approaches to the improvement of delivery systems, increasing culture efficiency, and enhancing tolerance to stress in plants. Attempts have been made with a broad variety of nanoparticles, such as metal oxides, carbon nanotubes, silica nanoparticles, and polymeric nanocarriers, which are capable of delivering growth regulators, vitamins, elicitors, and nucleic acids through plant cell walls with enhanced efficiency and reduced degradation. </w:t>
      </w:r>
      <w:r w:rsidR="007C74AB" w:rsidRPr="00787457">
        <w:rPr>
          <w:rFonts w:ascii="Times New Roman" w:hAnsi="Times New Roman" w:cs="Times New Roman"/>
          <w:sz w:val="24"/>
          <w:szCs w:val="24"/>
        </w:rPr>
        <w:t>There</w:t>
      </w:r>
      <w:r w:rsidRPr="00787457">
        <w:rPr>
          <w:rFonts w:ascii="Times New Roman" w:hAnsi="Times New Roman" w:cs="Times New Roman"/>
          <w:sz w:val="24"/>
          <w:szCs w:val="24"/>
        </w:rPr>
        <w:t xml:space="preserve"> in vitro applications are expected to enhance nutrient uptake, improve germination, stimulate organogenesis, and increase the rate of somatic embryogenesis</w:t>
      </w:r>
      <w:r w:rsidR="00DF297B" w:rsidRPr="00787457">
        <w:rPr>
          <w:rFonts w:ascii="Times New Roman" w:hAnsi="Times New Roman" w:cs="Times New Roman"/>
          <w:sz w:val="24"/>
          <w:szCs w:val="24"/>
        </w:rPr>
        <w:t xml:space="preserve"> (</w:t>
      </w:r>
      <w:r w:rsidR="00DF297B" w:rsidRPr="00787457">
        <w:rPr>
          <w:rFonts w:ascii="Times New Roman" w:hAnsi="Times New Roman" w:cs="Times New Roman"/>
          <w:color w:val="222222"/>
          <w:sz w:val="24"/>
          <w:szCs w:val="24"/>
          <w:shd w:val="clear" w:color="auto" w:fill="FFFFFF"/>
        </w:rPr>
        <w:t>Balamurugan, et al., 2024)</w:t>
      </w:r>
      <w:r w:rsidRPr="00787457">
        <w:rPr>
          <w:rFonts w:ascii="Times New Roman" w:hAnsi="Times New Roman" w:cs="Times New Roman"/>
          <w:sz w:val="24"/>
          <w:szCs w:val="24"/>
        </w:rPr>
        <w:t>.</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Besides this, nanoparticles exhibit excellent antimicrobial properties and thus find application in sterilization and contamination control during inoculation. For example, silver nanoparticles have shown promise in depleting the microbial load with a minimum level of toxicity to tissues at optimized concentrations</w:t>
      </w:r>
      <w:r w:rsidR="00492E66" w:rsidRPr="00787457">
        <w:rPr>
          <w:rFonts w:ascii="Times New Roman" w:hAnsi="Times New Roman" w:cs="Times New Roman"/>
          <w:sz w:val="24"/>
          <w:szCs w:val="24"/>
        </w:rPr>
        <w:t xml:space="preserve"> (</w:t>
      </w:r>
      <w:r w:rsidR="00492E66" w:rsidRPr="00787457">
        <w:rPr>
          <w:rFonts w:ascii="Times New Roman" w:hAnsi="Times New Roman" w:cs="Times New Roman"/>
          <w:color w:val="222222"/>
          <w:sz w:val="24"/>
          <w:szCs w:val="24"/>
          <w:shd w:val="clear" w:color="auto" w:fill="FFFFFF"/>
        </w:rPr>
        <w:t>Al-</w:t>
      </w:r>
      <w:proofErr w:type="spellStart"/>
      <w:r w:rsidR="00492E66" w:rsidRPr="00787457">
        <w:rPr>
          <w:rFonts w:ascii="Times New Roman" w:hAnsi="Times New Roman" w:cs="Times New Roman"/>
          <w:color w:val="222222"/>
          <w:sz w:val="24"/>
          <w:szCs w:val="24"/>
          <w:shd w:val="clear" w:color="auto" w:fill="FFFFFF"/>
        </w:rPr>
        <w:t>Qudah</w:t>
      </w:r>
      <w:proofErr w:type="spellEnd"/>
      <w:r w:rsidR="00492E66" w:rsidRPr="00787457">
        <w:rPr>
          <w:rFonts w:ascii="Times New Roman" w:hAnsi="Times New Roman" w:cs="Times New Roman"/>
          <w:color w:val="222222"/>
          <w:sz w:val="24"/>
          <w:szCs w:val="24"/>
          <w:shd w:val="clear" w:color="auto" w:fill="FFFFFF"/>
        </w:rPr>
        <w:t>,</w:t>
      </w:r>
      <w:r w:rsidR="00492E66" w:rsidRPr="00787457">
        <w:rPr>
          <w:rFonts w:ascii="Times New Roman" w:hAnsi="Times New Roman" w:cs="Times New Roman"/>
          <w:sz w:val="24"/>
          <w:szCs w:val="24"/>
        </w:rPr>
        <w:t xml:space="preserve"> et al., 2022). </w:t>
      </w:r>
      <w:r w:rsidRPr="00787457">
        <w:rPr>
          <w:rFonts w:ascii="Times New Roman" w:hAnsi="Times New Roman" w:cs="Times New Roman"/>
          <w:sz w:val="24"/>
          <w:szCs w:val="24"/>
        </w:rPr>
        <w:t xml:space="preserve"> DNA or RNA delivery through the use of </w:t>
      </w:r>
      <w:r w:rsidRPr="00787457">
        <w:rPr>
          <w:rFonts w:ascii="Times New Roman" w:hAnsi="Times New Roman" w:cs="Times New Roman"/>
          <w:sz w:val="24"/>
          <w:szCs w:val="24"/>
        </w:rPr>
        <w:lastRenderedPageBreak/>
        <w:t>nanocarriers is another promising alternative to conventional transformation systems, although studies in horticultural crops are very limited.</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Despite encouraging findings, nanotechnology in micropropagation remains largely at an experimental level. Standardization of protocols, long-term biosafety assessment, environmental risk evaluation, and regulatory guidelines have to be done before widespread applications in commercial horticultural systems become possible</w:t>
      </w:r>
      <w:r w:rsidR="00E512D9" w:rsidRPr="00787457">
        <w:rPr>
          <w:rFonts w:ascii="Times New Roman" w:hAnsi="Times New Roman" w:cs="Times New Roman"/>
          <w:sz w:val="24"/>
          <w:szCs w:val="24"/>
        </w:rPr>
        <w:t xml:space="preserve"> (</w:t>
      </w:r>
      <w:r w:rsidR="00E512D9" w:rsidRPr="00787457">
        <w:rPr>
          <w:rFonts w:ascii="Times New Roman" w:hAnsi="Times New Roman" w:cs="Times New Roman"/>
          <w:color w:val="222222"/>
          <w:sz w:val="24"/>
          <w:szCs w:val="24"/>
          <w:shd w:val="clear" w:color="auto" w:fill="FFFFFF"/>
        </w:rPr>
        <w:t>Tariq,</w:t>
      </w:r>
      <w:r w:rsidR="00E512D9" w:rsidRPr="00787457">
        <w:rPr>
          <w:rFonts w:ascii="Times New Roman" w:hAnsi="Times New Roman" w:cs="Times New Roman"/>
          <w:sz w:val="24"/>
          <w:szCs w:val="24"/>
        </w:rPr>
        <w:t xml:space="preserve"> et al., 2020).</w:t>
      </w:r>
    </w:p>
    <w:p w:rsidR="00FF3E0C" w:rsidRPr="00787457" w:rsidRDefault="00FF3E0C"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 xml:space="preserve">6.2 Omics-Guided </w:t>
      </w:r>
      <w:r w:rsidR="0053759B" w:rsidRPr="00787457">
        <w:rPr>
          <w:rFonts w:ascii="Times New Roman" w:hAnsi="Times New Roman" w:cs="Times New Roman"/>
          <w:b/>
          <w:sz w:val="24"/>
          <w:szCs w:val="24"/>
        </w:rPr>
        <w:t xml:space="preserve">Protocol Optimization </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Omics approaches, including </w:t>
      </w:r>
      <w:r w:rsidR="00C970FF" w:rsidRPr="00787457">
        <w:rPr>
          <w:rFonts w:ascii="Times New Roman" w:hAnsi="Times New Roman" w:cs="Times New Roman"/>
          <w:sz w:val="24"/>
          <w:szCs w:val="24"/>
        </w:rPr>
        <w:t>transcriptomic</w:t>
      </w:r>
      <w:r w:rsidRPr="00787457">
        <w:rPr>
          <w:rFonts w:ascii="Times New Roman" w:hAnsi="Times New Roman" w:cs="Times New Roman"/>
          <w:sz w:val="24"/>
          <w:szCs w:val="24"/>
        </w:rPr>
        <w:t>, proteomics, metabolomics, and epigenomics, are all being used increasingly to elucidate the molecular basis of in vitro responses. These technologies offer in-depth views of genes, proteins, and metabolites involved in developmental transitions such as callus induction, shoot regeneration, and somatic embryogenesis. Identifying molecular markers of embryogenic competence or indicators of culture recalcitrance, omics analyses enable the rational, data-driven optimization of tissue culture protocols. In this regard, transcriptomic analyses identified the regulatory networks related to auxin- and cytokinin-responsive genes during induction phases, whereas metabolomic profiling established a relationship between some compounds and embryogenic potential. This enabled researcher to more precisely adjust media formulations, change plant growth regulator ratios, light, and carbon conditions to maximize regeneration frequencies for those species that are problematic in vitro. Omics-assisted approaches represent a powerful direction forward to overcome genotype-specific limitations and improve reproducibility in horticultural micropropagation systems</w:t>
      </w:r>
      <w:r w:rsidR="00E21244" w:rsidRPr="00787457">
        <w:rPr>
          <w:rFonts w:ascii="Times New Roman" w:hAnsi="Times New Roman" w:cs="Times New Roman"/>
          <w:sz w:val="24"/>
          <w:szCs w:val="24"/>
        </w:rPr>
        <w:t xml:space="preserve"> (</w:t>
      </w:r>
      <w:r w:rsidR="00E21244" w:rsidRPr="00787457">
        <w:rPr>
          <w:rFonts w:ascii="Times New Roman" w:hAnsi="Times New Roman" w:cs="Times New Roman"/>
          <w:color w:val="222222"/>
          <w:sz w:val="24"/>
          <w:szCs w:val="24"/>
          <w:shd w:val="clear" w:color="auto" w:fill="FFFFFF"/>
        </w:rPr>
        <w:t>Ramírez-Mosqueda et al., 2025)</w:t>
      </w:r>
      <w:r w:rsidRPr="00787457">
        <w:rPr>
          <w:rFonts w:ascii="Times New Roman" w:hAnsi="Times New Roman" w:cs="Times New Roman"/>
          <w:sz w:val="24"/>
          <w:szCs w:val="24"/>
        </w:rPr>
        <w:t xml:space="preserve">. </w:t>
      </w:r>
    </w:p>
    <w:p w:rsidR="00FF3E0C" w:rsidRPr="00787457" w:rsidRDefault="00FF3E0C"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6.3 Automation, Robotics, a</w:t>
      </w:r>
      <w:r w:rsidR="00F4346C" w:rsidRPr="00787457">
        <w:rPr>
          <w:rFonts w:ascii="Times New Roman" w:hAnsi="Times New Roman" w:cs="Times New Roman"/>
          <w:b/>
          <w:sz w:val="24"/>
          <w:szCs w:val="24"/>
        </w:rPr>
        <w:t xml:space="preserve">nd Digital Monitoring </w:t>
      </w:r>
      <w:r w:rsidRPr="00787457">
        <w:rPr>
          <w:rFonts w:ascii="Times New Roman" w:hAnsi="Times New Roman" w:cs="Times New Roman"/>
          <w:b/>
          <w:sz w:val="24"/>
          <w:szCs w:val="24"/>
        </w:rPr>
        <w:t xml:space="preserve"> </w:t>
      </w:r>
    </w:p>
    <w:p w:rsidR="00FF3E0C" w:rsidRPr="00787457" w:rsidRDefault="00FF3E0C"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Automation is rapidly replacing many aspects of the work in commercial micropropagation by minimizing labor, improving uniformity, and maintaining high levels of asepsis</w:t>
      </w:r>
      <w:r w:rsidR="00EC7DD1" w:rsidRPr="00787457">
        <w:rPr>
          <w:rFonts w:ascii="Times New Roman" w:hAnsi="Times New Roman" w:cs="Times New Roman"/>
          <w:sz w:val="24"/>
          <w:szCs w:val="24"/>
        </w:rPr>
        <w:t xml:space="preserve"> (</w:t>
      </w:r>
      <w:r w:rsidR="00EC7DD1" w:rsidRPr="00787457">
        <w:rPr>
          <w:rFonts w:ascii="Times New Roman" w:hAnsi="Times New Roman" w:cs="Times New Roman"/>
          <w:color w:val="222222"/>
          <w:sz w:val="24"/>
          <w:szCs w:val="24"/>
          <w:shd w:val="clear" w:color="auto" w:fill="FFFFFF"/>
        </w:rPr>
        <w:t>Bajaj,</w:t>
      </w:r>
      <w:r w:rsidR="00EC7DD1" w:rsidRPr="00787457">
        <w:rPr>
          <w:rFonts w:ascii="Times New Roman" w:hAnsi="Times New Roman" w:cs="Times New Roman"/>
          <w:sz w:val="24"/>
          <w:szCs w:val="24"/>
        </w:rPr>
        <w:t xml:space="preserve"> 2012).</w:t>
      </w:r>
      <w:r w:rsidRPr="00787457">
        <w:rPr>
          <w:rFonts w:ascii="Times New Roman" w:hAnsi="Times New Roman" w:cs="Times New Roman"/>
          <w:sz w:val="24"/>
          <w:szCs w:val="24"/>
        </w:rPr>
        <w:t xml:space="preserve"> Large-scale production workflows increasingly incorporate robotic systems that undertake repetitive operations, such as the cutting of explants, their transfer, and </w:t>
      </w:r>
      <w:proofErr w:type="spellStart"/>
      <w:r w:rsidRPr="00787457">
        <w:rPr>
          <w:rFonts w:ascii="Times New Roman" w:hAnsi="Times New Roman" w:cs="Times New Roman"/>
          <w:sz w:val="24"/>
          <w:szCs w:val="24"/>
        </w:rPr>
        <w:t>microshoot</w:t>
      </w:r>
      <w:proofErr w:type="spellEnd"/>
      <w:r w:rsidRPr="00787457">
        <w:rPr>
          <w:rFonts w:ascii="Times New Roman" w:hAnsi="Times New Roman" w:cs="Times New Roman"/>
          <w:sz w:val="24"/>
          <w:szCs w:val="24"/>
        </w:rPr>
        <w:t xml:space="preserve"> separation, to enhance speed and uniformity. Fully automated subculturing and conveyor-based handling platforms further rationalize production, offering semi-continuous production and minimizing the risk of human-borne contamination. Advanced sensing technologies allow real-time monitoring of key culture parameters, such as pH, dissolved oxygen, temperature, humidity, carbohydrate consumption, and volatile organic compounds indicative of physiological stress or contamination. The integration of digital imaging tools with AI-assisted analytics enables continuous assessment of growth patterns, the detection of morphological abnormalities, and the prediction of optimal subculture intervals. Such systems maintain stable microenvironments and improve decision-making in bioreactor and TIS operations. These three advanced technologies-robotics, sensor networks, and data-driven control systems-together will pave the way for developing intelligent, fully automated micropropagation facilities for large-scale, high-quality production at reduced operational costs</w:t>
      </w:r>
      <w:r w:rsidR="008C3A63" w:rsidRPr="00787457">
        <w:rPr>
          <w:rFonts w:ascii="Times New Roman" w:hAnsi="Times New Roman" w:cs="Times New Roman"/>
          <w:sz w:val="24"/>
          <w:szCs w:val="24"/>
        </w:rPr>
        <w:t xml:space="preserve"> (</w:t>
      </w:r>
      <w:r w:rsidR="008C3A63" w:rsidRPr="00787457">
        <w:rPr>
          <w:rFonts w:ascii="Times New Roman" w:hAnsi="Times New Roman" w:cs="Times New Roman"/>
          <w:color w:val="222222"/>
          <w:sz w:val="24"/>
          <w:szCs w:val="24"/>
          <w:shd w:val="clear" w:color="auto" w:fill="FFFFFF"/>
        </w:rPr>
        <w:t>Bethge, 2023)</w:t>
      </w:r>
      <w:r w:rsidRPr="00787457">
        <w:rPr>
          <w:rFonts w:ascii="Times New Roman" w:hAnsi="Times New Roman" w:cs="Times New Roman"/>
          <w:sz w:val="24"/>
          <w:szCs w:val="24"/>
        </w:rPr>
        <w:t>.</w:t>
      </w:r>
    </w:p>
    <w:p w:rsidR="00C52ED0" w:rsidRPr="00787457" w:rsidRDefault="00C52ED0"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lastRenderedPageBreak/>
        <w:t>7. Crop-Specific Applications and Success Stories</w:t>
      </w:r>
    </w:p>
    <w:p w:rsidR="00C52ED0" w:rsidRPr="00787457" w:rsidRDefault="00C52ED0"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7.1 Banana and Plantain</w:t>
      </w:r>
    </w:p>
    <w:p w:rsidR="00C52ED0" w:rsidRPr="00787457" w:rsidRDefault="00C52ED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Banana is among the most commercially </w:t>
      </w:r>
      <w:proofErr w:type="spellStart"/>
      <w:r w:rsidRPr="00787457">
        <w:rPr>
          <w:rFonts w:ascii="Times New Roman" w:hAnsi="Times New Roman" w:cs="Times New Roman"/>
          <w:sz w:val="24"/>
          <w:szCs w:val="24"/>
        </w:rPr>
        <w:t>micropropagated</w:t>
      </w:r>
      <w:proofErr w:type="spellEnd"/>
      <w:r w:rsidRPr="00787457">
        <w:rPr>
          <w:rFonts w:ascii="Times New Roman" w:hAnsi="Times New Roman" w:cs="Times New Roman"/>
          <w:sz w:val="24"/>
          <w:szCs w:val="24"/>
        </w:rPr>
        <w:t xml:space="preserve"> crops in the world</w:t>
      </w:r>
      <w:r w:rsidR="00EC7DD1" w:rsidRPr="00787457">
        <w:rPr>
          <w:rFonts w:ascii="Times New Roman" w:hAnsi="Times New Roman" w:cs="Times New Roman"/>
          <w:sz w:val="24"/>
          <w:szCs w:val="24"/>
        </w:rPr>
        <w:t xml:space="preserve"> (</w:t>
      </w:r>
      <w:r w:rsidR="00EC7DD1" w:rsidRPr="00787457">
        <w:rPr>
          <w:rFonts w:ascii="Times New Roman" w:hAnsi="Times New Roman" w:cs="Times New Roman"/>
          <w:color w:val="222222"/>
          <w:sz w:val="24"/>
          <w:szCs w:val="24"/>
          <w:shd w:val="clear" w:color="auto" w:fill="FFFFFF"/>
        </w:rPr>
        <w:t>Suman, 2017).</w:t>
      </w:r>
      <w:r w:rsidRPr="00787457">
        <w:rPr>
          <w:rFonts w:ascii="Times New Roman" w:hAnsi="Times New Roman" w:cs="Times New Roman"/>
          <w:sz w:val="24"/>
          <w:szCs w:val="24"/>
        </w:rPr>
        <w:t xml:space="preserve"> Its adoption of meristem culture and scalability through somatic embryogenesis marked a complete revolution in the production of planting </w:t>
      </w:r>
      <w:r w:rsidR="008C48AF" w:rsidRPr="00787457">
        <w:rPr>
          <w:rFonts w:ascii="Times New Roman" w:hAnsi="Times New Roman" w:cs="Times New Roman"/>
          <w:sz w:val="24"/>
          <w:szCs w:val="24"/>
        </w:rPr>
        <w:t>material. TC banana plants are:</w:t>
      </w:r>
    </w:p>
    <w:p w:rsidR="00C52ED0" w:rsidRPr="00787457" w:rsidRDefault="00C52ED0" w:rsidP="000252C8">
      <w:pPr>
        <w:pStyle w:val="ListParagraph"/>
        <w:numPr>
          <w:ilvl w:val="0"/>
          <w:numId w:val="1"/>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Pathogen-free, in particular from Fusariu</w:t>
      </w:r>
      <w:r w:rsidR="008C48AF" w:rsidRPr="00787457">
        <w:rPr>
          <w:rFonts w:ascii="Times New Roman" w:hAnsi="Times New Roman" w:cs="Times New Roman"/>
          <w:sz w:val="24"/>
          <w:szCs w:val="24"/>
        </w:rPr>
        <w:t>m wilt, viruses, and nematodes;</w:t>
      </w:r>
    </w:p>
    <w:p w:rsidR="00C52ED0" w:rsidRPr="00787457" w:rsidRDefault="008C48AF" w:rsidP="000252C8">
      <w:pPr>
        <w:pStyle w:val="ListParagraph"/>
        <w:numPr>
          <w:ilvl w:val="0"/>
          <w:numId w:val="1"/>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Uniform and vigorous,</w:t>
      </w:r>
    </w:p>
    <w:p w:rsidR="00C52ED0" w:rsidRPr="00787457" w:rsidRDefault="00C52ED0" w:rsidP="000252C8">
      <w:pPr>
        <w:pStyle w:val="ListParagraph"/>
        <w:numPr>
          <w:ilvl w:val="0"/>
          <w:numId w:val="1"/>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Available </w:t>
      </w:r>
      <w:r w:rsidR="008C48AF" w:rsidRPr="00787457">
        <w:rPr>
          <w:rFonts w:ascii="Times New Roman" w:hAnsi="Times New Roman" w:cs="Times New Roman"/>
          <w:sz w:val="24"/>
          <w:szCs w:val="24"/>
        </w:rPr>
        <w:t>year-round at commercial scale.</w:t>
      </w:r>
    </w:p>
    <w:p w:rsidR="00C52ED0" w:rsidRPr="00787457" w:rsidRDefault="00C52ED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The application of bioreactor systems, enhanced media formulations, and automated culture vessels has resulted in increased multiplication rates with reduced production costs. In many countries, TC banana has now formed the backbone of commercial nurseries </w:t>
      </w:r>
      <w:r w:rsidR="008C48AF" w:rsidRPr="00787457">
        <w:rPr>
          <w:rFonts w:ascii="Times New Roman" w:hAnsi="Times New Roman" w:cs="Times New Roman"/>
          <w:sz w:val="24"/>
          <w:szCs w:val="24"/>
        </w:rPr>
        <w:t>and export-oriented production.</w:t>
      </w:r>
    </w:p>
    <w:p w:rsidR="00C52ED0" w:rsidRPr="00787457" w:rsidRDefault="00C52ED0"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7.2 Ornamentals (Carnation</w:t>
      </w:r>
      <w:r w:rsidR="008C48AF" w:rsidRPr="00787457">
        <w:rPr>
          <w:rFonts w:ascii="Times New Roman" w:hAnsi="Times New Roman" w:cs="Times New Roman"/>
          <w:b/>
          <w:sz w:val="24"/>
          <w:szCs w:val="24"/>
        </w:rPr>
        <w:t>s, Orchids, Gerbera, Anthurium)</w:t>
      </w:r>
    </w:p>
    <w:p w:rsidR="00C52ED0" w:rsidRPr="00787457" w:rsidRDefault="00C52ED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Ornamental crops have benefited a lot from micropropa</w:t>
      </w:r>
      <w:r w:rsidR="008C48AF" w:rsidRPr="00787457">
        <w:rPr>
          <w:rFonts w:ascii="Times New Roman" w:hAnsi="Times New Roman" w:cs="Times New Roman"/>
          <w:sz w:val="24"/>
          <w:szCs w:val="24"/>
        </w:rPr>
        <w:t>gation owing to the demand for</w:t>
      </w:r>
      <w:r w:rsidR="008D0B5A" w:rsidRPr="00787457">
        <w:rPr>
          <w:rFonts w:ascii="Times New Roman" w:hAnsi="Times New Roman" w:cs="Times New Roman"/>
          <w:sz w:val="24"/>
          <w:szCs w:val="24"/>
        </w:rPr>
        <w:t xml:space="preserve"> (</w:t>
      </w:r>
      <w:r w:rsidR="008D0B5A" w:rsidRPr="00787457">
        <w:rPr>
          <w:rFonts w:ascii="Times New Roman" w:hAnsi="Times New Roman" w:cs="Times New Roman"/>
          <w:color w:val="222222"/>
          <w:sz w:val="24"/>
          <w:szCs w:val="24"/>
          <w:shd w:val="clear" w:color="auto" w:fill="FFFFFF"/>
        </w:rPr>
        <w:t>Rajeevan, et al., 2016)</w:t>
      </w:r>
      <w:r w:rsidR="008C48AF" w:rsidRPr="00787457">
        <w:rPr>
          <w:rFonts w:ascii="Times New Roman" w:hAnsi="Times New Roman" w:cs="Times New Roman"/>
          <w:sz w:val="24"/>
          <w:szCs w:val="24"/>
        </w:rPr>
        <w:t>:</w:t>
      </w:r>
    </w:p>
    <w:p w:rsidR="00C52ED0" w:rsidRPr="00787457" w:rsidRDefault="008C48AF" w:rsidP="000252C8">
      <w:pPr>
        <w:pStyle w:val="ListParagraph"/>
        <w:numPr>
          <w:ilvl w:val="0"/>
          <w:numId w:val="2"/>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High aesthetic uniformity,</w:t>
      </w:r>
    </w:p>
    <w:p w:rsidR="00C52ED0" w:rsidRPr="00787457" w:rsidRDefault="008C48AF" w:rsidP="000252C8">
      <w:pPr>
        <w:pStyle w:val="ListParagraph"/>
        <w:numPr>
          <w:ilvl w:val="0"/>
          <w:numId w:val="2"/>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Year-round supply,</w:t>
      </w:r>
    </w:p>
    <w:p w:rsidR="00C52ED0" w:rsidRPr="00787457" w:rsidRDefault="00C52ED0" w:rsidP="000252C8">
      <w:pPr>
        <w:pStyle w:val="ListParagraph"/>
        <w:numPr>
          <w:ilvl w:val="0"/>
          <w:numId w:val="2"/>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The rapi</w:t>
      </w:r>
      <w:r w:rsidR="008C48AF" w:rsidRPr="00787457">
        <w:rPr>
          <w:rFonts w:ascii="Times New Roman" w:hAnsi="Times New Roman" w:cs="Times New Roman"/>
          <w:sz w:val="24"/>
          <w:szCs w:val="24"/>
        </w:rPr>
        <w:t>d expansion of elite varieties.</w:t>
      </w:r>
    </w:p>
    <w:p w:rsidR="00C52ED0" w:rsidRPr="00787457" w:rsidRDefault="00C52ED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Most of the recent commercial propagation techniques include liquid-phase bioreactors, TIS, and synthetic seed technology. </w:t>
      </w:r>
      <w:proofErr w:type="spellStart"/>
      <w:r w:rsidRPr="00787457">
        <w:rPr>
          <w:rFonts w:ascii="Times New Roman" w:hAnsi="Times New Roman" w:cs="Times New Roman"/>
          <w:sz w:val="24"/>
          <w:szCs w:val="24"/>
        </w:rPr>
        <w:t>Asymbiotic</w:t>
      </w:r>
      <w:proofErr w:type="spellEnd"/>
      <w:r w:rsidRPr="00787457">
        <w:rPr>
          <w:rFonts w:ascii="Times New Roman" w:hAnsi="Times New Roman" w:cs="Times New Roman"/>
          <w:sz w:val="24"/>
          <w:szCs w:val="24"/>
        </w:rPr>
        <w:t xml:space="preserve"> seed germination, PLB culture, and somatic embryogenesis are considered the mainstays for mass multiplication of orchids, which often grow very slowly and are difficu</w:t>
      </w:r>
      <w:r w:rsidR="008C48AF" w:rsidRPr="00787457">
        <w:rPr>
          <w:rFonts w:ascii="Times New Roman" w:hAnsi="Times New Roman" w:cs="Times New Roman"/>
          <w:sz w:val="24"/>
          <w:szCs w:val="24"/>
        </w:rPr>
        <w:t>lt to propagate conventionally.</w:t>
      </w:r>
    </w:p>
    <w:p w:rsidR="00C52ED0" w:rsidRPr="00787457" w:rsidRDefault="00C52ED0"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7.3 Fruit Crops (Mango, Apple, Citrus,</w:t>
      </w:r>
      <w:r w:rsidR="008C48AF" w:rsidRPr="00787457">
        <w:rPr>
          <w:rFonts w:ascii="Times New Roman" w:hAnsi="Times New Roman" w:cs="Times New Roman"/>
          <w:b/>
          <w:sz w:val="24"/>
          <w:szCs w:val="24"/>
        </w:rPr>
        <w:t xml:space="preserve"> Grapes)</w:t>
      </w:r>
    </w:p>
    <w:p w:rsidR="00C52ED0" w:rsidRPr="00787457" w:rsidRDefault="00C52ED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While many woody perennials exhibit recalcitrance in vitro, major advan</w:t>
      </w:r>
      <w:r w:rsidR="008C48AF" w:rsidRPr="00787457">
        <w:rPr>
          <w:rFonts w:ascii="Times New Roman" w:hAnsi="Times New Roman" w:cs="Times New Roman"/>
          <w:sz w:val="24"/>
          <w:szCs w:val="24"/>
        </w:rPr>
        <w:t>ces have been achieved through</w:t>
      </w:r>
      <w:r w:rsidR="000A372D" w:rsidRPr="00787457">
        <w:rPr>
          <w:rFonts w:ascii="Times New Roman" w:hAnsi="Times New Roman" w:cs="Times New Roman"/>
          <w:sz w:val="24"/>
          <w:szCs w:val="24"/>
        </w:rPr>
        <w:t xml:space="preserve"> (</w:t>
      </w:r>
      <w:r w:rsidR="000A372D" w:rsidRPr="00787457">
        <w:rPr>
          <w:rFonts w:ascii="Times New Roman" w:hAnsi="Times New Roman" w:cs="Times New Roman"/>
          <w:color w:val="222222"/>
          <w:sz w:val="24"/>
          <w:szCs w:val="24"/>
          <w:shd w:val="clear" w:color="auto" w:fill="FFFFFF"/>
        </w:rPr>
        <w:t>Lal,</w:t>
      </w:r>
      <w:r w:rsidR="000A372D" w:rsidRPr="00787457">
        <w:rPr>
          <w:rFonts w:ascii="Times New Roman" w:hAnsi="Times New Roman" w:cs="Times New Roman"/>
          <w:sz w:val="24"/>
          <w:szCs w:val="24"/>
        </w:rPr>
        <w:t xml:space="preserve"> et al., 2023):</w:t>
      </w:r>
    </w:p>
    <w:p w:rsidR="00C52ED0" w:rsidRPr="00787457" w:rsidRDefault="00C52ED0" w:rsidP="000252C8">
      <w:pPr>
        <w:pStyle w:val="ListParagraph"/>
        <w:numPr>
          <w:ilvl w:val="0"/>
          <w:numId w:val="3"/>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Micrografting to rejuvenate and establish </w:t>
      </w:r>
      <w:r w:rsidR="005C6E3B" w:rsidRPr="00787457">
        <w:rPr>
          <w:rFonts w:ascii="Times New Roman" w:hAnsi="Times New Roman" w:cs="Times New Roman"/>
          <w:sz w:val="24"/>
          <w:szCs w:val="24"/>
        </w:rPr>
        <w:t>difficult-to-culture genotypes,</w:t>
      </w:r>
    </w:p>
    <w:p w:rsidR="00C52ED0" w:rsidRPr="00787457" w:rsidRDefault="00C52ED0" w:rsidP="000252C8">
      <w:pPr>
        <w:pStyle w:val="ListParagraph"/>
        <w:numPr>
          <w:ilvl w:val="0"/>
          <w:numId w:val="3"/>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Somatic embryogenesis for creating embryogenic lines in citrus and </w:t>
      </w:r>
      <w:r w:rsidR="005C6E3B" w:rsidRPr="00787457">
        <w:rPr>
          <w:rFonts w:ascii="Times New Roman" w:hAnsi="Times New Roman" w:cs="Times New Roman"/>
          <w:sz w:val="24"/>
          <w:szCs w:val="24"/>
        </w:rPr>
        <w:t>mango.</w:t>
      </w:r>
    </w:p>
    <w:p w:rsidR="00C52ED0" w:rsidRPr="00787457" w:rsidRDefault="00C52ED0" w:rsidP="000252C8">
      <w:pPr>
        <w:pStyle w:val="ListParagraph"/>
        <w:numPr>
          <w:ilvl w:val="0"/>
          <w:numId w:val="3"/>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In vitro rooting and acclimatization of clonal rootstocks, such as apple </w:t>
      </w:r>
      <w:r w:rsidR="005C6E3B" w:rsidRPr="00787457">
        <w:rPr>
          <w:rFonts w:ascii="Times New Roman" w:hAnsi="Times New Roman" w:cs="Times New Roman"/>
          <w:sz w:val="24"/>
          <w:szCs w:val="24"/>
        </w:rPr>
        <w:t>M-series and citrus rootstocks.</w:t>
      </w:r>
    </w:p>
    <w:p w:rsidR="00C52ED0" w:rsidRPr="00787457" w:rsidRDefault="00C52ED0"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Cryop</w:t>
      </w:r>
      <w:r w:rsidR="005C6E3B" w:rsidRPr="00787457">
        <w:rPr>
          <w:rFonts w:ascii="Times New Roman" w:hAnsi="Times New Roman" w:cs="Times New Roman"/>
          <w:b/>
          <w:sz w:val="24"/>
          <w:szCs w:val="24"/>
        </w:rPr>
        <w:t>reservation of elite germplasm.</w:t>
      </w:r>
    </w:p>
    <w:p w:rsidR="00C52ED0" w:rsidRPr="00787457" w:rsidRDefault="00C52ED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These techniques support both the conservation and commercial nursery programs. However, for many fruit trees, genotype dependence, low multiplication rates, and difficult accl</w:t>
      </w:r>
      <w:r w:rsidR="005C6E3B" w:rsidRPr="00787457">
        <w:rPr>
          <w:rFonts w:ascii="Times New Roman" w:hAnsi="Times New Roman" w:cs="Times New Roman"/>
          <w:sz w:val="24"/>
          <w:szCs w:val="24"/>
        </w:rPr>
        <w:t>imatization remain constraints.</w:t>
      </w:r>
    </w:p>
    <w:p w:rsidR="00C52ED0" w:rsidRPr="00787457" w:rsidRDefault="00C52ED0"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lastRenderedPageBreak/>
        <w:t>7.4 Specialty and Underutilized Horticultural C</w:t>
      </w:r>
      <w:r w:rsidR="005C6E3B" w:rsidRPr="00787457">
        <w:rPr>
          <w:rFonts w:ascii="Times New Roman" w:hAnsi="Times New Roman" w:cs="Times New Roman"/>
          <w:b/>
          <w:sz w:val="24"/>
          <w:szCs w:val="24"/>
        </w:rPr>
        <w:t>rops</w:t>
      </w:r>
    </w:p>
    <w:p w:rsidR="00C52ED0" w:rsidRPr="00787457" w:rsidRDefault="00C52ED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Several high-value but underused crops, e.g. stevia, medicinal plants, spice crops and rare ornamentals have recently demonstrated excellent response to:</w:t>
      </w:r>
    </w:p>
    <w:p w:rsidR="00C52ED0" w:rsidRPr="00787457" w:rsidRDefault="00C52ED0" w:rsidP="000252C8">
      <w:pPr>
        <w:pStyle w:val="ListParagraph"/>
        <w:numPr>
          <w:ilvl w:val="0"/>
          <w:numId w:val="4"/>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Temporary immersion systems reduce </w:t>
      </w:r>
      <w:proofErr w:type="spellStart"/>
      <w:r w:rsidRPr="00787457">
        <w:rPr>
          <w:rFonts w:ascii="Times New Roman" w:hAnsi="Times New Roman" w:cs="Times New Roman"/>
          <w:sz w:val="24"/>
          <w:szCs w:val="24"/>
        </w:rPr>
        <w:t>hyperhydricity</w:t>
      </w:r>
      <w:proofErr w:type="spellEnd"/>
      <w:r w:rsidR="005C6E3B" w:rsidRPr="00787457">
        <w:rPr>
          <w:rFonts w:ascii="Times New Roman" w:hAnsi="Times New Roman" w:cs="Times New Roman"/>
          <w:sz w:val="24"/>
          <w:szCs w:val="24"/>
        </w:rPr>
        <w:t>, thus improving shoot quality.</w:t>
      </w:r>
    </w:p>
    <w:p w:rsidR="00C52ED0" w:rsidRPr="00787457" w:rsidRDefault="00C52ED0" w:rsidP="000252C8">
      <w:pPr>
        <w:pStyle w:val="ListParagraph"/>
        <w:numPr>
          <w:ilvl w:val="0"/>
          <w:numId w:val="4"/>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Advanced somatic embryogenesis protocols allowi</w:t>
      </w:r>
      <w:r w:rsidR="005C6E3B" w:rsidRPr="00787457">
        <w:rPr>
          <w:rFonts w:ascii="Times New Roman" w:hAnsi="Times New Roman" w:cs="Times New Roman"/>
          <w:sz w:val="24"/>
          <w:szCs w:val="24"/>
        </w:rPr>
        <w:t>ng high frequency regeneration.</w:t>
      </w:r>
    </w:p>
    <w:p w:rsidR="00C52ED0" w:rsidRPr="00787457" w:rsidRDefault="00C52ED0" w:rsidP="000252C8">
      <w:pPr>
        <w:pStyle w:val="ListParagraph"/>
        <w:numPr>
          <w:ilvl w:val="0"/>
          <w:numId w:val="4"/>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Low-cost culture systems, supporting decentralized </w:t>
      </w:r>
      <w:r w:rsidR="005C6E3B" w:rsidRPr="00787457">
        <w:rPr>
          <w:rFonts w:ascii="Times New Roman" w:hAnsi="Times New Roman" w:cs="Times New Roman"/>
          <w:sz w:val="24"/>
          <w:szCs w:val="24"/>
        </w:rPr>
        <w:t>propagation in small nurseries.</w:t>
      </w:r>
    </w:p>
    <w:p w:rsidR="00C52ED0" w:rsidRPr="00787457" w:rsidRDefault="00C52ED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These technologies have made possible the pilot-scale production, germplasm rescue, and ex situ conservation of many species that previously were too diffi</w:t>
      </w:r>
      <w:r w:rsidR="005C6E3B" w:rsidRPr="00787457">
        <w:rPr>
          <w:rFonts w:ascii="Times New Roman" w:hAnsi="Times New Roman" w:cs="Times New Roman"/>
          <w:sz w:val="24"/>
          <w:szCs w:val="24"/>
        </w:rPr>
        <w:t>cult or expensive to propagate</w:t>
      </w:r>
      <w:r w:rsidR="008B0BF9" w:rsidRPr="00787457">
        <w:rPr>
          <w:rFonts w:ascii="Times New Roman" w:hAnsi="Times New Roman" w:cs="Times New Roman"/>
          <w:sz w:val="24"/>
          <w:szCs w:val="24"/>
        </w:rPr>
        <w:t xml:space="preserve"> (</w:t>
      </w:r>
      <w:r w:rsidR="008B0BF9" w:rsidRPr="00787457">
        <w:rPr>
          <w:rFonts w:ascii="Times New Roman" w:hAnsi="Times New Roman" w:cs="Times New Roman"/>
          <w:color w:val="222222"/>
          <w:sz w:val="24"/>
          <w:szCs w:val="24"/>
          <w:shd w:val="clear" w:color="auto" w:fill="FFFFFF"/>
        </w:rPr>
        <w:t>Tyagi, and Sharma 2024)</w:t>
      </w:r>
      <w:r w:rsidR="005C6E3B" w:rsidRPr="00787457">
        <w:rPr>
          <w:rFonts w:ascii="Times New Roman" w:hAnsi="Times New Roman" w:cs="Times New Roman"/>
          <w:sz w:val="24"/>
          <w:szCs w:val="24"/>
        </w:rPr>
        <w:t>.</w:t>
      </w:r>
    </w:p>
    <w:p w:rsidR="00C52ED0" w:rsidRPr="00787457" w:rsidRDefault="005C6E3B"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7.5 Emerging Frontiers</w:t>
      </w:r>
    </w:p>
    <w:p w:rsidR="00C52ED0" w:rsidRPr="00787457" w:rsidRDefault="00C52ED0" w:rsidP="000252C8">
      <w:pPr>
        <w:pStyle w:val="ListParagraph"/>
        <w:numPr>
          <w:ilvl w:val="0"/>
          <w:numId w:val="5"/>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Frontline research is int</w:t>
      </w:r>
      <w:r w:rsidR="005C6E3B" w:rsidRPr="00787457">
        <w:rPr>
          <w:rFonts w:ascii="Times New Roman" w:hAnsi="Times New Roman" w:cs="Times New Roman"/>
          <w:sz w:val="24"/>
          <w:szCs w:val="24"/>
        </w:rPr>
        <w:t>egrating micropropagation with:</w:t>
      </w:r>
    </w:p>
    <w:p w:rsidR="00C52ED0" w:rsidRPr="00787457" w:rsidRDefault="00C52ED0" w:rsidP="000252C8">
      <w:pPr>
        <w:pStyle w:val="ListParagraph"/>
        <w:numPr>
          <w:ilvl w:val="0"/>
          <w:numId w:val="5"/>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Genomic selection and marker-assisted scre</w:t>
      </w:r>
      <w:r w:rsidR="005C6E3B" w:rsidRPr="00787457">
        <w:rPr>
          <w:rFonts w:ascii="Times New Roman" w:hAnsi="Times New Roman" w:cs="Times New Roman"/>
          <w:sz w:val="24"/>
          <w:szCs w:val="24"/>
        </w:rPr>
        <w:t>ening for true-to-type fidelity</w:t>
      </w:r>
    </w:p>
    <w:p w:rsidR="00C52ED0" w:rsidRPr="00787457" w:rsidRDefault="00C52ED0" w:rsidP="000252C8">
      <w:pPr>
        <w:pStyle w:val="ListParagraph"/>
        <w:numPr>
          <w:ilvl w:val="0"/>
          <w:numId w:val="5"/>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CRISPR/Cas genome editing tools </w:t>
      </w:r>
      <w:r w:rsidR="005C6E3B" w:rsidRPr="00787457">
        <w:rPr>
          <w:rFonts w:ascii="Times New Roman" w:hAnsi="Times New Roman" w:cs="Times New Roman"/>
          <w:sz w:val="24"/>
          <w:szCs w:val="24"/>
        </w:rPr>
        <w:t>for targeted trait improvement.</w:t>
      </w:r>
    </w:p>
    <w:p w:rsidR="00C52ED0" w:rsidRPr="00787457" w:rsidRDefault="00C52ED0" w:rsidP="000252C8">
      <w:pPr>
        <w:pStyle w:val="ListParagraph"/>
        <w:numPr>
          <w:ilvl w:val="0"/>
          <w:numId w:val="5"/>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Metabolomics-guide</w:t>
      </w:r>
      <w:r w:rsidR="005C6E3B" w:rsidRPr="00787457">
        <w:rPr>
          <w:rFonts w:ascii="Times New Roman" w:hAnsi="Times New Roman" w:cs="Times New Roman"/>
          <w:sz w:val="24"/>
          <w:szCs w:val="24"/>
        </w:rPr>
        <w:t>d optimization of culture media</w:t>
      </w:r>
    </w:p>
    <w:p w:rsidR="00C52ED0" w:rsidRPr="00787457" w:rsidRDefault="00C52ED0" w:rsidP="000252C8">
      <w:pPr>
        <w:pStyle w:val="ListParagraph"/>
        <w:numPr>
          <w:ilvl w:val="0"/>
          <w:numId w:val="5"/>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Artificial intelligence and imaging f</w:t>
      </w:r>
      <w:r w:rsidR="005C6E3B" w:rsidRPr="00787457">
        <w:rPr>
          <w:rFonts w:ascii="Times New Roman" w:hAnsi="Times New Roman" w:cs="Times New Roman"/>
          <w:sz w:val="24"/>
          <w:szCs w:val="24"/>
        </w:rPr>
        <w:t>or automated quality assessment</w:t>
      </w:r>
    </w:p>
    <w:p w:rsidR="00C52ED0" w:rsidRPr="00787457" w:rsidRDefault="00C52ED0" w:rsidP="000252C8">
      <w:pPr>
        <w:pStyle w:val="ListParagraph"/>
        <w:numPr>
          <w:ilvl w:val="0"/>
          <w:numId w:val="5"/>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Smart bioreactors with precise environmental and nutrie</w:t>
      </w:r>
      <w:r w:rsidR="005C6E3B" w:rsidRPr="00787457">
        <w:rPr>
          <w:rFonts w:ascii="Times New Roman" w:hAnsi="Times New Roman" w:cs="Times New Roman"/>
          <w:sz w:val="24"/>
          <w:szCs w:val="24"/>
        </w:rPr>
        <w:t>nt control.</w:t>
      </w:r>
    </w:p>
    <w:p w:rsidR="00C52ED0" w:rsidRDefault="00C52ED0"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These advancements herald the transition toward next-generation plant tissue culture ecosystems that are high-throughput, cost-effe</w:t>
      </w:r>
      <w:r w:rsidR="005C6E3B" w:rsidRPr="00787457">
        <w:rPr>
          <w:rFonts w:ascii="Times New Roman" w:hAnsi="Times New Roman" w:cs="Times New Roman"/>
          <w:sz w:val="24"/>
          <w:szCs w:val="24"/>
        </w:rPr>
        <w:t>ctive, and genetically precise.</w:t>
      </w:r>
    </w:p>
    <w:p w:rsidR="00666E8F" w:rsidRPr="00E75600" w:rsidRDefault="00E75600" w:rsidP="00E75600">
      <w:pPr>
        <w:spacing w:line="276" w:lineRule="auto"/>
        <w:jc w:val="both"/>
        <w:rPr>
          <w:rFonts w:ascii="Times New Roman" w:hAnsi="Times New Roman" w:cs="Times New Roman"/>
          <w:sz w:val="24"/>
          <w:szCs w:val="24"/>
        </w:rPr>
      </w:pPr>
      <w:r w:rsidRPr="00787457">
        <w:rPr>
          <w:rFonts w:ascii="Times New Roman" w:eastAsia="Times New Roman" w:hAnsi="Times New Roman" w:cs="Times New Roman"/>
          <w:b/>
          <w:bCs/>
          <w:kern w:val="36"/>
          <w:sz w:val="24"/>
          <w:szCs w:val="24"/>
        </w:rPr>
        <w:t>Table 1. Major Micropropagation Techniques and Their Applications in Horticultural Crops</w:t>
      </w:r>
      <w:r>
        <w:rPr>
          <w:rFonts w:ascii="Times New Roman" w:eastAsia="Times New Roman" w:hAnsi="Times New Roman" w:cs="Times New Roman"/>
          <w:b/>
          <w:bCs/>
          <w:kern w:val="36"/>
          <w:sz w:val="24"/>
          <w:szCs w:val="24"/>
        </w:rPr>
        <w:t xml:space="preserve"> </w:t>
      </w:r>
    </w:p>
    <w:tbl>
      <w:tblPr>
        <w:tblStyle w:val="TableGrid"/>
        <w:tblW w:w="0" w:type="auto"/>
        <w:tblLook w:val="04A0" w:firstRow="1" w:lastRow="0" w:firstColumn="1" w:lastColumn="0" w:noHBand="0" w:noVBand="1"/>
      </w:tblPr>
      <w:tblGrid>
        <w:gridCol w:w="1848"/>
        <w:gridCol w:w="2190"/>
        <w:gridCol w:w="1855"/>
        <w:gridCol w:w="1784"/>
        <w:gridCol w:w="1673"/>
      </w:tblGrid>
      <w:tr w:rsidR="00666E8F" w:rsidRPr="00787457" w:rsidTr="00666E8F">
        <w:tc>
          <w:tcPr>
            <w:tcW w:w="0" w:type="auto"/>
            <w:hideMark/>
          </w:tcPr>
          <w:p w:rsidR="00666E8F" w:rsidRPr="00787457" w:rsidRDefault="00666E8F" w:rsidP="000252C8">
            <w:pPr>
              <w:jc w:val="both"/>
              <w:rPr>
                <w:rFonts w:ascii="Times New Roman" w:eastAsia="Times New Roman" w:hAnsi="Times New Roman" w:cs="Times New Roman"/>
                <w:b/>
                <w:bCs/>
                <w:sz w:val="24"/>
                <w:szCs w:val="24"/>
              </w:rPr>
            </w:pPr>
            <w:r w:rsidRPr="00787457">
              <w:rPr>
                <w:rFonts w:ascii="Times New Roman" w:eastAsia="Times New Roman" w:hAnsi="Times New Roman" w:cs="Times New Roman"/>
                <w:b/>
                <w:bCs/>
                <w:sz w:val="24"/>
                <w:szCs w:val="24"/>
              </w:rPr>
              <w:t>Technique</w:t>
            </w:r>
          </w:p>
        </w:tc>
        <w:tc>
          <w:tcPr>
            <w:tcW w:w="0" w:type="auto"/>
            <w:hideMark/>
          </w:tcPr>
          <w:p w:rsidR="00666E8F" w:rsidRPr="00787457" w:rsidRDefault="00666E8F" w:rsidP="000252C8">
            <w:pPr>
              <w:jc w:val="both"/>
              <w:rPr>
                <w:rFonts w:ascii="Times New Roman" w:eastAsia="Times New Roman" w:hAnsi="Times New Roman" w:cs="Times New Roman"/>
                <w:b/>
                <w:bCs/>
                <w:sz w:val="24"/>
                <w:szCs w:val="24"/>
              </w:rPr>
            </w:pPr>
            <w:r w:rsidRPr="00787457">
              <w:rPr>
                <w:rFonts w:ascii="Times New Roman" w:eastAsia="Times New Roman" w:hAnsi="Times New Roman" w:cs="Times New Roman"/>
                <w:b/>
                <w:bCs/>
                <w:sz w:val="24"/>
                <w:szCs w:val="24"/>
              </w:rPr>
              <w:t>Description</w:t>
            </w:r>
          </w:p>
        </w:tc>
        <w:tc>
          <w:tcPr>
            <w:tcW w:w="0" w:type="auto"/>
            <w:hideMark/>
          </w:tcPr>
          <w:p w:rsidR="00666E8F" w:rsidRPr="00787457" w:rsidRDefault="00666E8F" w:rsidP="000252C8">
            <w:pPr>
              <w:jc w:val="both"/>
              <w:rPr>
                <w:rFonts w:ascii="Times New Roman" w:eastAsia="Times New Roman" w:hAnsi="Times New Roman" w:cs="Times New Roman"/>
                <w:b/>
                <w:bCs/>
                <w:sz w:val="24"/>
                <w:szCs w:val="24"/>
              </w:rPr>
            </w:pPr>
            <w:r w:rsidRPr="00787457">
              <w:rPr>
                <w:rFonts w:ascii="Times New Roman" w:eastAsia="Times New Roman" w:hAnsi="Times New Roman" w:cs="Times New Roman"/>
                <w:b/>
                <w:bCs/>
                <w:sz w:val="24"/>
                <w:szCs w:val="24"/>
              </w:rPr>
              <w:t>Key Advantages</w:t>
            </w:r>
          </w:p>
        </w:tc>
        <w:tc>
          <w:tcPr>
            <w:tcW w:w="0" w:type="auto"/>
            <w:hideMark/>
          </w:tcPr>
          <w:p w:rsidR="00666E8F" w:rsidRPr="00787457" w:rsidRDefault="00666E8F" w:rsidP="000252C8">
            <w:pPr>
              <w:jc w:val="both"/>
              <w:rPr>
                <w:rFonts w:ascii="Times New Roman" w:eastAsia="Times New Roman" w:hAnsi="Times New Roman" w:cs="Times New Roman"/>
                <w:b/>
                <w:bCs/>
                <w:sz w:val="24"/>
                <w:szCs w:val="24"/>
              </w:rPr>
            </w:pPr>
            <w:r w:rsidRPr="00787457">
              <w:rPr>
                <w:rFonts w:ascii="Times New Roman" w:eastAsia="Times New Roman" w:hAnsi="Times New Roman" w:cs="Times New Roman"/>
                <w:b/>
                <w:bCs/>
                <w:sz w:val="24"/>
                <w:szCs w:val="24"/>
              </w:rPr>
              <w:t>Limitations</w:t>
            </w:r>
          </w:p>
        </w:tc>
        <w:tc>
          <w:tcPr>
            <w:tcW w:w="0" w:type="auto"/>
            <w:hideMark/>
          </w:tcPr>
          <w:p w:rsidR="00666E8F" w:rsidRPr="00787457" w:rsidRDefault="00666E8F" w:rsidP="000252C8">
            <w:pPr>
              <w:jc w:val="both"/>
              <w:rPr>
                <w:rFonts w:ascii="Times New Roman" w:eastAsia="Times New Roman" w:hAnsi="Times New Roman" w:cs="Times New Roman"/>
                <w:b/>
                <w:bCs/>
                <w:sz w:val="24"/>
                <w:szCs w:val="24"/>
              </w:rPr>
            </w:pPr>
            <w:r w:rsidRPr="00787457">
              <w:rPr>
                <w:rFonts w:ascii="Times New Roman" w:eastAsia="Times New Roman" w:hAnsi="Times New Roman" w:cs="Times New Roman"/>
                <w:b/>
                <w:bCs/>
                <w:sz w:val="24"/>
                <w:szCs w:val="24"/>
              </w:rPr>
              <w:t>Major Horticultural Crops</w:t>
            </w:r>
          </w:p>
        </w:tc>
      </w:tr>
      <w:tr w:rsidR="00666E8F" w:rsidRPr="00787457" w:rsidTr="00666E8F">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b/>
                <w:bCs/>
                <w:sz w:val="24"/>
                <w:szCs w:val="24"/>
              </w:rPr>
              <w:t>Meristem Culture</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Isolation and culture of apical/axillary meristems to regenerate virus-free plants.</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Produces pathogen-free stock; maintains genetic fidelity.</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Skilled handling required; low initial multiplication rate.</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Banana, potato, sugarcane, strawberry.</w:t>
            </w:r>
          </w:p>
        </w:tc>
      </w:tr>
      <w:tr w:rsidR="00666E8F" w:rsidRPr="00787457" w:rsidTr="00666E8F">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b/>
                <w:bCs/>
                <w:sz w:val="24"/>
                <w:szCs w:val="24"/>
              </w:rPr>
              <w:t>Axillary Bud Proliferation</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Shoot multiplication through activation of axillary buds.</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High clonal fidelity; scalable for commercial propagation.</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Requires repeated subculturing; risk of contamination.</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Ornamentals, banana, grape.</w:t>
            </w:r>
          </w:p>
        </w:tc>
      </w:tr>
      <w:tr w:rsidR="00666E8F" w:rsidRPr="00787457" w:rsidTr="00666E8F">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b/>
                <w:bCs/>
                <w:sz w:val="24"/>
                <w:szCs w:val="24"/>
              </w:rPr>
              <w:t>Organogenesis</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Induction of shoots or roots directly/indirectly from explants or callus.</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High regeneration potential; useful for transformation.</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proofErr w:type="spellStart"/>
            <w:r w:rsidRPr="00787457">
              <w:rPr>
                <w:rFonts w:ascii="Times New Roman" w:eastAsia="Times New Roman" w:hAnsi="Times New Roman" w:cs="Times New Roman"/>
                <w:sz w:val="24"/>
                <w:szCs w:val="24"/>
              </w:rPr>
              <w:t>Somaclonal</w:t>
            </w:r>
            <w:proofErr w:type="spellEnd"/>
            <w:r w:rsidRPr="00787457">
              <w:rPr>
                <w:rFonts w:ascii="Times New Roman" w:eastAsia="Times New Roman" w:hAnsi="Times New Roman" w:cs="Times New Roman"/>
                <w:sz w:val="24"/>
                <w:szCs w:val="24"/>
              </w:rPr>
              <w:t xml:space="preserve"> variation if callus phase prolonged.</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Tomato, pepper, apple, citrus.</w:t>
            </w:r>
          </w:p>
        </w:tc>
      </w:tr>
      <w:tr w:rsidR="00666E8F" w:rsidRPr="00787457" w:rsidTr="00666E8F">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b/>
                <w:bCs/>
                <w:sz w:val="24"/>
                <w:szCs w:val="24"/>
              </w:rPr>
              <w:lastRenderedPageBreak/>
              <w:t>Somatic Embryogenesis</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Formation of embryos from somatic cells for mass multiplication.</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Suitable for automation; synthetic seed production possible.</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Genotype dependence; risk of variation.</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Mango, citrus, coffee, ornamentals.</w:t>
            </w:r>
          </w:p>
        </w:tc>
      </w:tr>
      <w:tr w:rsidR="00666E8F" w:rsidRPr="00787457" w:rsidTr="00666E8F">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b/>
                <w:bCs/>
                <w:sz w:val="24"/>
                <w:szCs w:val="24"/>
              </w:rPr>
              <w:t>Temporary Immersion Systems (TIS)</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Alternating immersion of explants in liquid medium via automated cycles.</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 xml:space="preserve">Higher multiplication rate; reduced </w:t>
            </w:r>
            <w:proofErr w:type="spellStart"/>
            <w:r w:rsidRPr="00787457">
              <w:rPr>
                <w:rFonts w:ascii="Times New Roman" w:eastAsia="Times New Roman" w:hAnsi="Times New Roman" w:cs="Times New Roman"/>
                <w:sz w:val="24"/>
                <w:szCs w:val="24"/>
              </w:rPr>
              <w:t>hyperhydricity</w:t>
            </w:r>
            <w:proofErr w:type="spellEnd"/>
            <w:r w:rsidRPr="00787457">
              <w:rPr>
                <w:rFonts w:ascii="Times New Roman" w:eastAsia="Times New Roman" w:hAnsi="Times New Roman" w:cs="Times New Roman"/>
                <w:sz w:val="24"/>
                <w:szCs w:val="24"/>
              </w:rPr>
              <w:t>; low labor costs.</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Requires equipment and monitoring; risk of contamination.</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Banana, stevia, orchids, medicinal plants.</w:t>
            </w:r>
          </w:p>
        </w:tc>
      </w:tr>
      <w:tr w:rsidR="00666E8F" w:rsidRPr="00787457" w:rsidTr="00666E8F">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b/>
                <w:bCs/>
                <w:sz w:val="24"/>
                <w:szCs w:val="24"/>
              </w:rPr>
              <w:t>Bioreactor-Based Propagation</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Large-scale culture in automated liquid bioreactors.</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High throughput; cost-effective at scale.</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High initial investment; technical expertise needed.</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Banana, ornamentals, spices.</w:t>
            </w:r>
          </w:p>
        </w:tc>
      </w:tr>
      <w:tr w:rsidR="00666E8F" w:rsidRPr="00787457" w:rsidTr="00666E8F">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b/>
                <w:bCs/>
                <w:sz w:val="24"/>
                <w:szCs w:val="24"/>
              </w:rPr>
              <w:t>Synthetic Seed Technology</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Encapsulation of somatic embryos/protocols for storage and field planting.</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Easy handling and transport; long-term conservation.</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Low conversion rate in some species.</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Orchids, medicinal plants, citrus.</w:t>
            </w:r>
          </w:p>
        </w:tc>
      </w:tr>
      <w:tr w:rsidR="00666E8F" w:rsidRPr="00787457" w:rsidTr="00666E8F">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b/>
                <w:bCs/>
                <w:sz w:val="24"/>
                <w:szCs w:val="24"/>
              </w:rPr>
              <w:t>Protoplast Culture &amp; Fusion</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Isolation of protoplasts for regeneration or somatic hybridization.</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Allows novel hybrids; supports genome editing.</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Difficult regeneration; species-specific limitations.</w:t>
            </w:r>
          </w:p>
        </w:tc>
        <w:tc>
          <w:tcPr>
            <w:tcW w:w="0" w:type="auto"/>
            <w:hideMark/>
          </w:tcPr>
          <w:p w:rsidR="00666E8F" w:rsidRPr="00787457" w:rsidRDefault="00666E8F" w:rsidP="000252C8">
            <w:pPr>
              <w:jc w:val="both"/>
              <w:rPr>
                <w:rFonts w:ascii="Times New Roman" w:eastAsia="Times New Roman" w:hAnsi="Times New Roman" w:cs="Times New Roman"/>
                <w:sz w:val="24"/>
                <w:szCs w:val="24"/>
              </w:rPr>
            </w:pPr>
            <w:r w:rsidRPr="00787457">
              <w:rPr>
                <w:rFonts w:ascii="Times New Roman" w:eastAsia="Times New Roman" w:hAnsi="Times New Roman" w:cs="Times New Roman"/>
                <w:sz w:val="24"/>
                <w:szCs w:val="24"/>
              </w:rPr>
              <w:t>Citrus, brassicas, ornamentals</w:t>
            </w:r>
          </w:p>
        </w:tc>
      </w:tr>
    </w:tbl>
    <w:p w:rsidR="00666E8F" w:rsidRDefault="00666E8F" w:rsidP="000252C8">
      <w:pPr>
        <w:spacing w:line="276" w:lineRule="auto"/>
        <w:jc w:val="both"/>
        <w:rPr>
          <w:rFonts w:ascii="Times New Roman" w:hAnsi="Times New Roman" w:cs="Times New Roman"/>
          <w:sz w:val="24"/>
          <w:szCs w:val="24"/>
        </w:rPr>
      </w:pP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8. Challenges and Bottlenecks</w:t>
      </w: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8.1 Recalc</w:t>
      </w:r>
      <w:r w:rsidR="008F3DD2" w:rsidRPr="00787457">
        <w:rPr>
          <w:rFonts w:ascii="Times New Roman" w:hAnsi="Times New Roman" w:cs="Times New Roman"/>
          <w:b/>
          <w:sz w:val="24"/>
          <w:szCs w:val="24"/>
        </w:rPr>
        <w:t>itrance and Genotype Dependence</w:t>
      </w:r>
    </w:p>
    <w:p w:rsidR="00C62BCF"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One of the most persistent challenges in horticultural micropropagation is the strong influence of genotype on tissue culture responses. Many fruit, vegetable, plantation, and ornamental crops exhibit recalcitrance, meaning that standard regeneration protocols do not work uniformly across cultivars. Even within the same species, differences in endogenous hormone balance, phenolic exudation, and morphogenic potential result in highly variable responses. Consequently, protocols often require genotype-specific optimization of explant type, culture media, plant growth regulators (PGRs), and environmental conditions. This increases the time, cost, and research investment required before achie</w:t>
      </w:r>
      <w:r w:rsidR="008F3DD2" w:rsidRPr="00787457">
        <w:rPr>
          <w:rFonts w:ascii="Times New Roman" w:hAnsi="Times New Roman" w:cs="Times New Roman"/>
          <w:sz w:val="24"/>
          <w:szCs w:val="24"/>
        </w:rPr>
        <w:t>ving reliable mass propagation.</w:t>
      </w: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8.2 Contami</w:t>
      </w:r>
      <w:r w:rsidR="008F3DD2" w:rsidRPr="00787457">
        <w:rPr>
          <w:rFonts w:ascii="Times New Roman" w:hAnsi="Times New Roman" w:cs="Times New Roman"/>
          <w:b/>
          <w:sz w:val="24"/>
          <w:szCs w:val="24"/>
        </w:rPr>
        <w:t>nation and Microbial Management</w:t>
      </w:r>
    </w:p>
    <w:p w:rsidR="00C62BCF" w:rsidRPr="00787457" w:rsidRDefault="00787457"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Microbial contamination </w:t>
      </w:r>
      <w:r w:rsidR="00C62BCF" w:rsidRPr="00787457">
        <w:rPr>
          <w:rFonts w:ascii="Times New Roman" w:hAnsi="Times New Roman" w:cs="Times New Roman"/>
          <w:sz w:val="24"/>
          <w:szCs w:val="24"/>
        </w:rPr>
        <w:t>particularly from</w:t>
      </w:r>
      <w:r w:rsidRPr="00787457">
        <w:rPr>
          <w:rFonts w:ascii="Times New Roman" w:hAnsi="Times New Roman" w:cs="Times New Roman"/>
          <w:sz w:val="24"/>
          <w:szCs w:val="24"/>
        </w:rPr>
        <w:t xml:space="preserve"> endophytes and latent microbes </w:t>
      </w:r>
      <w:r w:rsidR="00C62BCF" w:rsidRPr="00787457">
        <w:rPr>
          <w:rFonts w:ascii="Times New Roman" w:hAnsi="Times New Roman" w:cs="Times New Roman"/>
          <w:sz w:val="24"/>
          <w:szCs w:val="24"/>
        </w:rPr>
        <w:t xml:space="preserve">remains a major bottleneck in both small- and large-scale propagation systems. Contamination risks are amplified in liquid-based cultures, bioreactors, and temporary immersion systems, where microbes can spread rapidly throughout production batches. Maintaining strict sterilization protocols, regular </w:t>
      </w:r>
      <w:r w:rsidR="00C62BCF" w:rsidRPr="00787457">
        <w:rPr>
          <w:rFonts w:ascii="Times New Roman" w:hAnsi="Times New Roman" w:cs="Times New Roman"/>
          <w:sz w:val="24"/>
          <w:szCs w:val="24"/>
        </w:rPr>
        <w:lastRenderedPageBreak/>
        <w:t>monitoring, high-quality water systems, and aseptic handling facilities is essential. However, these requirements increase operational cost and demand highly train</w:t>
      </w:r>
      <w:r w:rsidR="008F3DD2" w:rsidRPr="00787457">
        <w:rPr>
          <w:rFonts w:ascii="Times New Roman" w:hAnsi="Times New Roman" w:cs="Times New Roman"/>
          <w:sz w:val="24"/>
          <w:szCs w:val="24"/>
        </w:rPr>
        <w:t>ed personnel.</w:t>
      </w:r>
    </w:p>
    <w:p w:rsidR="008F3DD2"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 xml:space="preserve">8.3 </w:t>
      </w:r>
      <w:proofErr w:type="spellStart"/>
      <w:r w:rsidRPr="00787457">
        <w:rPr>
          <w:rFonts w:ascii="Times New Roman" w:hAnsi="Times New Roman" w:cs="Times New Roman"/>
          <w:b/>
          <w:sz w:val="24"/>
          <w:szCs w:val="24"/>
        </w:rPr>
        <w:t>Somaclonal</w:t>
      </w:r>
      <w:proofErr w:type="spellEnd"/>
      <w:r w:rsidR="008F3DD2" w:rsidRPr="00787457">
        <w:rPr>
          <w:rFonts w:ascii="Times New Roman" w:hAnsi="Times New Roman" w:cs="Times New Roman"/>
          <w:b/>
          <w:sz w:val="24"/>
          <w:szCs w:val="24"/>
        </w:rPr>
        <w:t xml:space="preserve"> Variation and Genetic Fidelity</w:t>
      </w: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sz w:val="24"/>
          <w:szCs w:val="24"/>
        </w:rPr>
        <w:t xml:space="preserve">Although micropropagation aims to produce true-to-type plants, certain culture conditions—such as long-term callus phases, stress induction, or repeated </w:t>
      </w:r>
      <w:proofErr w:type="spellStart"/>
      <w:r w:rsidRPr="00787457">
        <w:rPr>
          <w:rFonts w:ascii="Times New Roman" w:hAnsi="Times New Roman" w:cs="Times New Roman"/>
          <w:sz w:val="24"/>
          <w:szCs w:val="24"/>
        </w:rPr>
        <w:t>subculturing</w:t>
      </w:r>
      <w:proofErr w:type="spellEnd"/>
      <w:r w:rsidRPr="00787457">
        <w:rPr>
          <w:rFonts w:ascii="Times New Roman" w:hAnsi="Times New Roman" w:cs="Times New Roman"/>
          <w:sz w:val="24"/>
          <w:szCs w:val="24"/>
        </w:rPr>
        <w:t xml:space="preserve">—may lead to </w:t>
      </w:r>
      <w:proofErr w:type="spellStart"/>
      <w:r w:rsidRPr="00787457">
        <w:rPr>
          <w:rFonts w:ascii="Times New Roman" w:hAnsi="Times New Roman" w:cs="Times New Roman"/>
          <w:sz w:val="24"/>
          <w:szCs w:val="24"/>
        </w:rPr>
        <w:t>somaclonal</w:t>
      </w:r>
      <w:proofErr w:type="spellEnd"/>
      <w:r w:rsidRPr="00787457">
        <w:rPr>
          <w:rFonts w:ascii="Times New Roman" w:hAnsi="Times New Roman" w:cs="Times New Roman"/>
          <w:sz w:val="24"/>
          <w:szCs w:val="24"/>
        </w:rPr>
        <w:t xml:space="preserve"> variation. Such unintended genetic or epigenetic changes can compromise the uniformity, yield, or stress tolerance of distributed planting material. Ensuring genetic fidelity requires the integration of molecular markers (SSR, RAPD, AFLP, SNP) and epigenetic assays, which further increases the cost and complexity of commercial operations.</w:t>
      </w: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8.4 High Cost a</w:t>
      </w:r>
      <w:r w:rsidR="008F3DD2" w:rsidRPr="00787457">
        <w:rPr>
          <w:rFonts w:ascii="Times New Roman" w:hAnsi="Times New Roman" w:cs="Times New Roman"/>
          <w:b/>
          <w:sz w:val="24"/>
          <w:szCs w:val="24"/>
        </w:rPr>
        <w:t>nd Limited Economic Scalability</w:t>
      </w:r>
    </w:p>
    <w:p w:rsidR="00C62BCF"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Commercial-scale micropropagation demands significant investments in infrastructure, skilled labor, energy inputs, air filtration systems, consumables, and quality assurance. Additionally, advanced technologies such as automated bioreactors, robotics, and AI-controlled growth systems involve high capital expenditure. These financial barriers limit the adoption of modern tissue culture approaches by small and medium-scale nurseries, espe</w:t>
      </w:r>
      <w:r w:rsidR="008F3DD2" w:rsidRPr="00787457">
        <w:rPr>
          <w:rFonts w:ascii="Times New Roman" w:hAnsi="Times New Roman" w:cs="Times New Roman"/>
          <w:sz w:val="24"/>
          <w:szCs w:val="24"/>
        </w:rPr>
        <w:t>cially in developing countries.</w:t>
      </w: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8.5 Regulatory, Certifica</w:t>
      </w:r>
      <w:r w:rsidR="008F3DD2" w:rsidRPr="00787457">
        <w:rPr>
          <w:rFonts w:ascii="Times New Roman" w:hAnsi="Times New Roman" w:cs="Times New Roman"/>
          <w:b/>
          <w:sz w:val="24"/>
          <w:szCs w:val="24"/>
        </w:rPr>
        <w:t>tion, and Biosafety Constraints</w:t>
      </w:r>
    </w:p>
    <w:p w:rsidR="00C62BCF"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The commercialization of </w:t>
      </w:r>
      <w:proofErr w:type="spellStart"/>
      <w:r w:rsidRPr="00787457">
        <w:rPr>
          <w:rFonts w:ascii="Times New Roman" w:hAnsi="Times New Roman" w:cs="Times New Roman"/>
          <w:sz w:val="24"/>
          <w:szCs w:val="24"/>
        </w:rPr>
        <w:t>micropropagated</w:t>
      </w:r>
      <w:proofErr w:type="spellEnd"/>
      <w:r w:rsidRPr="00787457">
        <w:rPr>
          <w:rFonts w:ascii="Times New Roman" w:hAnsi="Times New Roman" w:cs="Times New Roman"/>
          <w:sz w:val="24"/>
          <w:szCs w:val="24"/>
        </w:rPr>
        <w:t xml:space="preserve"> plants, synthetic seeds, genome-edited materials, and pathogen-free planting stock requires compliance with diverse and evolving regulatory frameworks. Certification standards for virus indexing, pathogen-free status, GMO/GE classification, and germplasm exchange differ across countries, resulting in slow approvals and limiting global distribution. Industry stakeholders frequently request streamlined certification procedures, harmonization of standards, and clearer guidelines for genome-edited and</w:t>
      </w:r>
      <w:r w:rsidR="008F3DD2" w:rsidRPr="00787457">
        <w:rPr>
          <w:rFonts w:ascii="Times New Roman" w:hAnsi="Times New Roman" w:cs="Times New Roman"/>
          <w:sz w:val="24"/>
          <w:szCs w:val="24"/>
        </w:rPr>
        <w:t xml:space="preserve"> nanotechnology-based products.</w:t>
      </w: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9. Future Directions and Research Priorities</w:t>
      </w:r>
    </w:p>
    <w:p w:rsidR="00C62BCF"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b/>
          <w:sz w:val="24"/>
          <w:szCs w:val="24"/>
        </w:rPr>
        <w:t>9.1 Minimizing Tissue-Culture Dependence Through Novel Gene Editing Approaches</w:t>
      </w:r>
    </w:p>
    <w:p w:rsidR="00C62BCF"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Recent advances in CRISPR/Cas delivery methods—such as meristem-targeted editing, pollen-mediated transformation, nanoparticle delivery, and RNP-based systems—offer the possibility of editing plants without traditional tissue culture. Such “tissue-culture-free” pipelines can reduce regeneration-associated variation, shorten timelines, and improve cultivar transformation efficiency. Further research is needed to standardize these methods acro</w:t>
      </w:r>
      <w:r w:rsidR="008F3DD2" w:rsidRPr="00787457">
        <w:rPr>
          <w:rFonts w:ascii="Times New Roman" w:hAnsi="Times New Roman" w:cs="Times New Roman"/>
          <w:sz w:val="24"/>
          <w:szCs w:val="24"/>
        </w:rPr>
        <w:t>ss diverse horticultural crops.</w:t>
      </w: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9.2 Development of Species-Agnostic an</w:t>
      </w:r>
      <w:r w:rsidR="008F3DD2" w:rsidRPr="00787457">
        <w:rPr>
          <w:rFonts w:ascii="Times New Roman" w:hAnsi="Times New Roman" w:cs="Times New Roman"/>
          <w:b/>
          <w:sz w:val="24"/>
          <w:szCs w:val="24"/>
        </w:rPr>
        <w:t>d Low-Cost Bioreactor Platforms</w:t>
      </w:r>
    </w:p>
    <w:p w:rsidR="00C62BCF"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Improving the affordability and scalability of micropropagation requires new-generation, modular bioreactors designed for broad compatibility across species. Innovations such as </w:t>
      </w:r>
      <w:proofErr w:type="spellStart"/>
      <w:r w:rsidRPr="00787457">
        <w:rPr>
          <w:rFonts w:ascii="Times New Roman" w:hAnsi="Times New Roman" w:cs="Times New Roman"/>
          <w:sz w:val="24"/>
          <w:szCs w:val="24"/>
        </w:rPr>
        <w:t>GreenTray</w:t>
      </w:r>
      <w:proofErr w:type="spellEnd"/>
      <w:r w:rsidRPr="00787457">
        <w:rPr>
          <w:rFonts w:ascii="Times New Roman" w:hAnsi="Times New Roman" w:cs="Times New Roman"/>
          <w:sz w:val="24"/>
          <w:szCs w:val="24"/>
        </w:rPr>
        <w:t xml:space="preserve">®, low-cost TIS units, 3D-printed bioreactor components, and energy-efficient automated systems </w:t>
      </w:r>
      <w:r w:rsidRPr="00787457">
        <w:rPr>
          <w:rFonts w:ascii="Times New Roman" w:hAnsi="Times New Roman" w:cs="Times New Roman"/>
          <w:sz w:val="24"/>
          <w:szCs w:val="24"/>
        </w:rPr>
        <w:lastRenderedPageBreak/>
        <w:t>demonstrate promising cost reductions. Research should focus on optimizing immersion cycles, aeration patterns, nutrient delivery</w:t>
      </w:r>
      <w:r w:rsidR="008F3DD2" w:rsidRPr="00787457">
        <w:rPr>
          <w:rFonts w:ascii="Times New Roman" w:hAnsi="Times New Roman" w:cs="Times New Roman"/>
          <w:sz w:val="24"/>
          <w:szCs w:val="24"/>
        </w:rPr>
        <w:t>, and contamination resistance.</w:t>
      </w: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9.3 Standardization of Synthetic Seed and Cryopreservation Protocols</w:t>
      </w:r>
    </w:p>
    <w:p w:rsidR="00C62BCF"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Synthetic seed technology and </w:t>
      </w:r>
      <w:proofErr w:type="spellStart"/>
      <w:r w:rsidRPr="00787457">
        <w:rPr>
          <w:rFonts w:ascii="Times New Roman" w:hAnsi="Times New Roman" w:cs="Times New Roman"/>
          <w:sz w:val="24"/>
          <w:szCs w:val="24"/>
        </w:rPr>
        <w:t>cryostorage</w:t>
      </w:r>
      <w:proofErr w:type="spellEnd"/>
      <w:r w:rsidRPr="00787457">
        <w:rPr>
          <w:rFonts w:ascii="Times New Roman" w:hAnsi="Times New Roman" w:cs="Times New Roman"/>
          <w:sz w:val="24"/>
          <w:szCs w:val="24"/>
        </w:rPr>
        <w:t xml:space="preserve"> have immense potential for germplasm conservation and long-distance germplasm distribution. However, protocols vary widely between species and ti</w:t>
      </w:r>
      <w:r w:rsidR="008F3DD2" w:rsidRPr="00787457">
        <w:rPr>
          <w:rFonts w:ascii="Times New Roman" w:hAnsi="Times New Roman" w:cs="Times New Roman"/>
          <w:sz w:val="24"/>
          <w:szCs w:val="24"/>
        </w:rPr>
        <w:t>ssue types. Priorities include:</w:t>
      </w:r>
    </w:p>
    <w:p w:rsidR="00C62BCF" w:rsidRPr="00787457" w:rsidRDefault="00C62BCF" w:rsidP="000252C8">
      <w:pPr>
        <w:pStyle w:val="ListParagraph"/>
        <w:numPr>
          <w:ilvl w:val="0"/>
          <w:numId w:val="11"/>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opt</w:t>
      </w:r>
      <w:r w:rsidR="008F3DD2" w:rsidRPr="00787457">
        <w:rPr>
          <w:rFonts w:ascii="Times New Roman" w:hAnsi="Times New Roman" w:cs="Times New Roman"/>
          <w:sz w:val="24"/>
          <w:szCs w:val="24"/>
        </w:rPr>
        <w:t>imizing encapsulation matrices,</w:t>
      </w:r>
    </w:p>
    <w:p w:rsidR="00C62BCF" w:rsidRPr="00787457" w:rsidRDefault="00C62BCF" w:rsidP="000252C8">
      <w:pPr>
        <w:pStyle w:val="ListParagraph"/>
        <w:numPr>
          <w:ilvl w:val="0"/>
          <w:numId w:val="11"/>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validating dehydration and PVS (plant v</w:t>
      </w:r>
      <w:r w:rsidR="008F3DD2" w:rsidRPr="00787457">
        <w:rPr>
          <w:rFonts w:ascii="Times New Roman" w:hAnsi="Times New Roman" w:cs="Times New Roman"/>
          <w:sz w:val="24"/>
          <w:szCs w:val="24"/>
        </w:rPr>
        <w:t>itrification solution) regimes,</w:t>
      </w:r>
    </w:p>
    <w:p w:rsidR="00C62BCF" w:rsidRPr="00787457" w:rsidRDefault="00C62BCF" w:rsidP="000252C8">
      <w:pPr>
        <w:pStyle w:val="ListParagraph"/>
        <w:numPr>
          <w:ilvl w:val="0"/>
          <w:numId w:val="11"/>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improving re-growth and</w:t>
      </w:r>
      <w:r w:rsidR="008F3DD2" w:rsidRPr="00787457">
        <w:rPr>
          <w:rFonts w:ascii="Times New Roman" w:hAnsi="Times New Roman" w:cs="Times New Roman"/>
          <w:sz w:val="24"/>
          <w:szCs w:val="24"/>
        </w:rPr>
        <w:t xml:space="preserve"> field establishment rates, and</w:t>
      </w:r>
    </w:p>
    <w:p w:rsidR="00C62BCF" w:rsidRPr="00787457" w:rsidRDefault="00C62BCF" w:rsidP="000252C8">
      <w:pPr>
        <w:pStyle w:val="ListParagraph"/>
        <w:numPr>
          <w:ilvl w:val="0"/>
          <w:numId w:val="11"/>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creating standardized guideline</w:t>
      </w:r>
      <w:r w:rsidR="008F3DD2" w:rsidRPr="00787457">
        <w:rPr>
          <w:rFonts w:ascii="Times New Roman" w:hAnsi="Times New Roman" w:cs="Times New Roman"/>
          <w:sz w:val="24"/>
          <w:szCs w:val="24"/>
        </w:rPr>
        <w:t>s for major horticultural taxa.</w:t>
      </w:r>
    </w:p>
    <w:p w:rsidR="00C62BCF"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Such standardization will support wider commercial adoption and improve lon</w:t>
      </w:r>
      <w:r w:rsidR="008F3DD2" w:rsidRPr="00787457">
        <w:rPr>
          <w:rFonts w:ascii="Times New Roman" w:hAnsi="Times New Roman" w:cs="Times New Roman"/>
          <w:sz w:val="24"/>
          <w:szCs w:val="24"/>
        </w:rPr>
        <w:t>g-term conservation strategies.</w:t>
      </w: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9.4 Integration of Omics, AI, and Data-Driven O</w:t>
      </w:r>
      <w:r w:rsidR="008F3DD2" w:rsidRPr="00787457">
        <w:rPr>
          <w:rFonts w:ascii="Times New Roman" w:hAnsi="Times New Roman" w:cs="Times New Roman"/>
          <w:b/>
          <w:sz w:val="24"/>
          <w:szCs w:val="24"/>
        </w:rPr>
        <w:t>ptimization</w:t>
      </w:r>
    </w:p>
    <w:p w:rsidR="00C62BCF"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Machine learning and multi-omics (</w:t>
      </w:r>
      <w:r w:rsidR="008F3DD2" w:rsidRPr="00787457">
        <w:rPr>
          <w:rFonts w:ascii="Times New Roman" w:hAnsi="Times New Roman" w:cs="Times New Roman"/>
          <w:sz w:val="24"/>
          <w:szCs w:val="24"/>
        </w:rPr>
        <w:t>transcriptomic</w:t>
      </w:r>
      <w:r w:rsidRPr="00787457">
        <w:rPr>
          <w:rFonts w:ascii="Times New Roman" w:hAnsi="Times New Roman" w:cs="Times New Roman"/>
          <w:sz w:val="24"/>
          <w:szCs w:val="24"/>
        </w:rPr>
        <w:t xml:space="preserve">, proteomics, metabolomics, epigenomics) offer powerful tools for predicting explant responses and designing ideal culture conditions. </w:t>
      </w:r>
      <w:r w:rsidR="008F3DD2" w:rsidRPr="00787457">
        <w:rPr>
          <w:rFonts w:ascii="Times New Roman" w:hAnsi="Times New Roman" w:cs="Times New Roman"/>
          <w:sz w:val="24"/>
          <w:szCs w:val="24"/>
        </w:rPr>
        <w:t>Future research should explore:</w:t>
      </w:r>
    </w:p>
    <w:p w:rsidR="00C62BCF" w:rsidRPr="00787457" w:rsidRDefault="00C62BCF" w:rsidP="000252C8">
      <w:pPr>
        <w:pStyle w:val="ListParagraph"/>
        <w:numPr>
          <w:ilvl w:val="0"/>
          <w:numId w:val="12"/>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AI-driven media formulatio</w:t>
      </w:r>
      <w:r w:rsidR="008F3DD2" w:rsidRPr="00787457">
        <w:rPr>
          <w:rFonts w:ascii="Times New Roman" w:hAnsi="Times New Roman" w:cs="Times New Roman"/>
          <w:sz w:val="24"/>
          <w:szCs w:val="24"/>
        </w:rPr>
        <w:t>n,</w:t>
      </w:r>
    </w:p>
    <w:p w:rsidR="00C62BCF" w:rsidRPr="00787457" w:rsidRDefault="00C62BCF" w:rsidP="000252C8">
      <w:pPr>
        <w:pStyle w:val="ListParagraph"/>
        <w:numPr>
          <w:ilvl w:val="0"/>
          <w:numId w:val="12"/>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predictive mode</w:t>
      </w:r>
      <w:r w:rsidR="008F3DD2" w:rsidRPr="00787457">
        <w:rPr>
          <w:rFonts w:ascii="Times New Roman" w:hAnsi="Times New Roman" w:cs="Times New Roman"/>
          <w:sz w:val="24"/>
          <w:szCs w:val="24"/>
        </w:rPr>
        <w:t>ling of morphogenic competence,</w:t>
      </w:r>
    </w:p>
    <w:p w:rsidR="00C62BCF" w:rsidRPr="00787457" w:rsidRDefault="00C62BCF" w:rsidP="000252C8">
      <w:pPr>
        <w:pStyle w:val="ListParagraph"/>
        <w:numPr>
          <w:ilvl w:val="0"/>
          <w:numId w:val="12"/>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automa</w:t>
      </w:r>
      <w:r w:rsidR="008F3DD2" w:rsidRPr="00787457">
        <w:rPr>
          <w:rFonts w:ascii="Times New Roman" w:hAnsi="Times New Roman" w:cs="Times New Roman"/>
          <w:sz w:val="24"/>
          <w:szCs w:val="24"/>
        </w:rPr>
        <w:t>ted detection of contamination,</w:t>
      </w:r>
    </w:p>
    <w:p w:rsidR="00C62BCF" w:rsidRPr="00787457" w:rsidRDefault="00C62BCF" w:rsidP="000252C8">
      <w:pPr>
        <w:pStyle w:val="ListParagraph"/>
        <w:numPr>
          <w:ilvl w:val="0"/>
          <w:numId w:val="12"/>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integration of digital t</w:t>
      </w:r>
      <w:r w:rsidR="008F3DD2" w:rsidRPr="00787457">
        <w:rPr>
          <w:rFonts w:ascii="Times New Roman" w:hAnsi="Times New Roman" w:cs="Times New Roman"/>
          <w:sz w:val="24"/>
          <w:szCs w:val="24"/>
        </w:rPr>
        <w:t>wins for bioreactor management.</w:t>
      </w:r>
    </w:p>
    <w:p w:rsidR="00C62BCF" w:rsidRPr="00787457" w:rsidRDefault="00C62BCF" w:rsidP="000252C8">
      <w:pPr>
        <w:pStyle w:val="ListParagraph"/>
        <w:numPr>
          <w:ilvl w:val="0"/>
          <w:numId w:val="12"/>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Such innovations can reduce reliance on time-consuming empirical trial-and-error approaches.</w:t>
      </w: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9.5 Environmental, Biosaf</w:t>
      </w:r>
      <w:r w:rsidR="008F3DD2" w:rsidRPr="00787457">
        <w:rPr>
          <w:rFonts w:ascii="Times New Roman" w:hAnsi="Times New Roman" w:cs="Times New Roman"/>
          <w:b/>
          <w:sz w:val="24"/>
          <w:szCs w:val="24"/>
        </w:rPr>
        <w:t>ety, and Life-Cycle Assessments</w:t>
      </w:r>
    </w:p>
    <w:p w:rsidR="00C62BCF"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With the increasing use of nanomaterials, synthetic matrices, and novel delivery systems, it is necessary to evaluate their environmental fate, interactions with ecosystems, and long-term sustainability. Comprehensive hazard assessments, biodegradability studies, and life-cycle analyses will help ensure safe deployment a</w:t>
      </w:r>
      <w:r w:rsidR="008F3DD2" w:rsidRPr="00787457">
        <w:rPr>
          <w:rFonts w:ascii="Times New Roman" w:hAnsi="Times New Roman" w:cs="Times New Roman"/>
          <w:sz w:val="24"/>
          <w:szCs w:val="24"/>
        </w:rPr>
        <w:t>nd build regulatory confidence.</w:t>
      </w:r>
    </w:p>
    <w:p w:rsidR="00C62BCF" w:rsidRPr="00787457" w:rsidRDefault="00C62BCF"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9.6 Strengthening Capacity B</w:t>
      </w:r>
      <w:r w:rsidR="008F3DD2" w:rsidRPr="00787457">
        <w:rPr>
          <w:rFonts w:ascii="Times New Roman" w:hAnsi="Times New Roman" w:cs="Times New Roman"/>
          <w:b/>
          <w:sz w:val="24"/>
          <w:szCs w:val="24"/>
        </w:rPr>
        <w:t>uilding and Technology Transfer</w:t>
      </w:r>
    </w:p>
    <w:p w:rsidR="00C62BCF"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Expanding micropropagation adoption re</w:t>
      </w:r>
      <w:r w:rsidR="008F3DD2" w:rsidRPr="00787457">
        <w:rPr>
          <w:rFonts w:ascii="Times New Roman" w:hAnsi="Times New Roman" w:cs="Times New Roman"/>
          <w:sz w:val="24"/>
          <w:szCs w:val="24"/>
        </w:rPr>
        <w:t>quires:</w:t>
      </w:r>
    </w:p>
    <w:p w:rsidR="00C62BCF" w:rsidRPr="00787457" w:rsidRDefault="00C62BCF" w:rsidP="000252C8">
      <w:pPr>
        <w:pStyle w:val="ListParagraph"/>
        <w:numPr>
          <w:ilvl w:val="0"/>
          <w:numId w:val="13"/>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trainin</w:t>
      </w:r>
      <w:r w:rsidR="008F3DD2" w:rsidRPr="00787457">
        <w:rPr>
          <w:rFonts w:ascii="Times New Roman" w:hAnsi="Times New Roman" w:cs="Times New Roman"/>
          <w:sz w:val="24"/>
          <w:szCs w:val="24"/>
        </w:rPr>
        <w:t>g programs for small nurseries,</w:t>
      </w:r>
    </w:p>
    <w:p w:rsidR="00C62BCF" w:rsidRPr="00787457" w:rsidRDefault="008F3DD2" w:rsidP="000252C8">
      <w:pPr>
        <w:pStyle w:val="ListParagraph"/>
        <w:numPr>
          <w:ilvl w:val="0"/>
          <w:numId w:val="13"/>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public–private partnerships,</w:t>
      </w:r>
    </w:p>
    <w:p w:rsidR="00C62BCF" w:rsidRPr="00787457" w:rsidRDefault="008F3DD2" w:rsidP="000252C8">
      <w:pPr>
        <w:pStyle w:val="ListParagraph"/>
        <w:numPr>
          <w:ilvl w:val="0"/>
          <w:numId w:val="13"/>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subsidized technology packages,</w:t>
      </w:r>
    </w:p>
    <w:p w:rsidR="00C62BCF" w:rsidRPr="00787457" w:rsidRDefault="00C62BCF" w:rsidP="000252C8">
      <w:pPr>
        <w:pStyle w:val="ListParagraph"/>
        <w:numPr>
          <w:ilvl w:val="0"/>
          <w:numId w:val="13"/>
        </w:num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localized protocol development centers.</w:t>
      </w:r>
    </w:p>
    <w:p w:rsidR="00566646" w:rsidRPr="00787457" w:rsidRDefault="00C62BCF"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lastRenderedPageBreak/>
        <w:t>Such initiatives can democratize access to high-quality planting material and boost horticultural productivity.</w:t>
      </w:r>
    </w:p>
    <w:p w:rsidR="00986AE3" w:rsidRPr="00787457" w:rsidRDefault="00986AE3"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 xml:space="preserve">10. Practical Recommendations for Practitioners </w:t>
      </w:r>
    </w:p>
    <w:p w:rsidR="00986AE3" w:rsidRPr="00787457" w:rsidRDefault="00986AE3"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The genotype screening to select the responsive types of plants should be the starting point for practitioners involved in micropropagation and tissue culture-based plant production. It involves the testing of various explant sources, such as meristems, nodal segments, or leaf tissues, in combination with various PGR combinations and concentrations. These small-scale trials lay the groundwork for establishing the most effective and economical protocol prior</w:t>
      </w:r>
      <w:r w:rsidR="008F3DD2" w:rsidRPr="00787457">
        <w:rPr>
          <w:rFonts w:ascii="Times New Roman" w:hAnsi="Times New Roman" w:cs="Times New Roman"/>
          <w:sz w:val="24"/>
          <w:szCs w:val="24"/>
        </w:rPr>
        <w:t xml:space="preserve"> to large-scale multiplication.</w:t>
      </w:r>
    </w:p>
    <w:p w:rsidR="00986AE3" w:rsidRPr="00787457" w:rsidRDefault="00986AE3"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When scaling up from semisolid to liquid culture systems, it is desirable to start off with a pilot-scale TIS. At this stage, the protocol should include optimization of frequency and duration of immersion along with inoculum density, as these are the key factors contributing to shoot quality, development of </w:t>
      </w:r>
      <w:proofErr w:type="spellStart"/>
      <w:r w:rsidRPr="00787457">
        <w:rPr>
          <w:rFonts w:ascii="Times New Roman" w:hAnsi="Times New Roman" w:cs="Times New Roman"/>
          <w:sz w:val="24"/>
          <w:szCs w:val="24"/>
        </w:rPr>
        <w:t>hyperhydricity</w:t>
      </w:r>
      <w:proofErr w:type="spellEnd"/>
      <w:r w:rsidRPr="00787457">
        <w:rPr>
          <w:rFonts w:ascii="Times New Roman" w:hAnsi="Times New Roman" w:cs="Times New Roman"/>
          <w:sz w:val="24"/>
          <w:szCs w:val="24"/>
        </w:rPr>
        <w:t>, and overall contamination of cultures. Well-controlled immersion cycles can significantly enhance vigor while reducing physiological disorders relate</w:t>
      </w:r>
      <w:r w:rsidR="008F3DD2" w:rsidRPr="00787457">
        <w:rPr>
          <w:rFonts w:ascii="Times New Roman" w:hAnsi="Times New Roman" w:cs="Times New Roman"/>
          <w:sz w:val="24"/>
          <w:szCs w:val="24"/>
        </w:rPr>
        <w:t>d to continuous liquid contact.</w:t>
      </w:r>
    </w:p>
    <w:p w:rsidR="00986AE3" w:rsidRPr="00787457" w:rsidRDefault="00986AE3"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Confirmation of genetic fidelity in tissue culture-raised plants increasingly involves the incorporation of periodic molecular assessments. Simple sequence repeat markers, single nucleotide polymorphism markers, and other DNA fingerprinting tools can provide reliable confirmation that the regenerated plants remain true-to-type, especially in protocols involving callus phases where </w:t>
      </w:r>
      <w:proofErr w:type="spellStart"/>
      <w:r w:rsidRPr="00787457">
        <w:rPr>
          <w:rFonts w:ascii="Times New Roman" w:hAnsi="Times New Roman" w:cs="Times New Roman"/>
          <w:sz w:val="24"/>
          <w:szCs w:val="24"/>
        </w:rPr>
        <w:t>somaclonal</w:t>
      </w:r>
      <w:proofErr w:type="spellEnd"/>
      <w:r w:rsidRPr="00787457">
        <w:rPr>
          <w:rFonts w:ascii="Times New Roman" w:hAnsi="Times New Roman" w:cs="Times New Roman"/>
          <w:sz w:val="24"/>
          <w:szCs w:val="24"/>
        </w:rPr>
        <w:t xml:space="preserve"> var</w:t>
      </w:r>
      <w:r w:rsidR="008F3DD2" w:rsidRPr="00787457">
        <w:rPr>
          <w:rFonts w:ascii="Times New Roman" w:hAnsi="Times New Roman" w:cs="Times New Roman"/>
          <w:sz w:val="24"/>
          <w:szCs w:val="24"/>
        </w:rPr>
        <w:t>iation is more likely to occur.</w:t>
      </w:r>
    </w:p>
    <w:p w:rsidR="00986AE3" w:rsidRPr="00787457" w:rsidRDefault="00986AE3"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Large-scale production will require practitioners to compare the cost-per-plant for semisolid media, continuous liquid systems, and TIS platforms. This will need to take into consideration labor, electricity, consumables, bioreactor cost, and </w:t>
      </w:r>
      <w:proofErr w:type="spellStart"/>
      <w:r w:rsidRPr="00787457">
        <w:rPr>
          <w:rFonts w:ascii="Times New Roman" w:hAnsi="Times New Roman" w:cs="Times New Roman"/>
          <w:sz w:val="24"/>
          <w:szCs w:val="24"/>
        </w:rPr>
        <w:t>postculture</w:t>
      </w:r>
      <w:proofErr w:type="spellEnd"/>
      <w:r w:rsidRPr="00787457">
        <w:rPr>
          <w:rFonts w:ascii="Times New Roman" w:hAnsi="Times New Roman" w:cs="Times New Roman"/>
          <w:sz w:val="24"/>
          <w:szCs w:val="24"/>
        </w:rPr>
        <w:t xml:space="preserve"> acclimatization survival rates, since acclimatization is often the most resource-intensive step and can greatly influence the </w:t>
      </w:r>
      <w:r w:rsidR="008F3DD2" w:rsidRPr="00787457">
        <w:rPr>
          <w:rFonts w:ascii="Times New Roman" w:hAnsi="Times New Roman" w:cs="Times New Roman"/>
          <w:sz w:val="24"/>
          <w:szCs w:val="24"/>
        </w:rPr>
        <w:t>final cost of plant production.</w:t>
      </w:r>
    </w:p>
    <w:p w:rsidR="00986AE3" w:rsidRPr="00787457" w:rsidRDefault="00986AE3"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Lastly, producers must constantly be on the lookout for region-specific certification requirements governing the production, testing, and distribution of tissue-culture-derived planting materials. This relates to regulations touching on pathogen indexing, nursery accreditation, and phytosanitary certification. With recent regulatory discussions on genome-edited crops, practitioners in the field should likewise keep tabs on updated biosafety frameworks for their compliance, as well as for the unhindered commercialization of new</w:t>
      </w:r>
      <w:r w:rsidR="008F3DD2" w:rsidRPr="00787457">
        <w:rPr>
          <w:rFonts w:ascii="Times New Roman" w:hAnsi="Times New Roman" w:cs="Times New Roman"/>
          <w:sz w:val="24"/>
          <w:szCs w:val="24"/>
        </w:rPr>
        <w:t xml:space="preserve"> tissue culture-based products.</w:t>
      </w:r>
    </w:p>
    <w:p w:rsidR="00986AE3" w:rsidRPr="00787457" w:rsidRDefault="00986AE3" w:rsidP="000252C8">
      <w:pPr>
        <w:spacing w:line="276" w:lineRule="auto"/>
        <w:jc w:val="both"/>
        <w:rPr>
          <w:rFonts w:ascii="Times New Roman" w:hAnsi="Times New Roman" w:cs="Times New Roman"/>
          <w:b/>
          <w:sz w:val="24"/>
          <w:szCs w:val="24"/>
        </w:rPr>
      </w:pPr>
      <w:r w:rsidRPr="00787457">
        <w:rPr>
          <w:rFonts w:ascii="Times New Roman" w:hAnsi="Times New Roman" w:cs="Times New Roman"/>
          <w:b/>
          <w:sz w:val="24"/>
          <w:szCs w:val="24"/>
        </w:rPr>
        <w:t>11</w:t>
      </w:r>
      <w:r w:rsidR="008F3DD2" w:rsidRPr="00787457">
        <w:rPr>
          <w:rFonts w:ascii="Times New Roman" w:hAnsi="Times New Roman" w:cs="Times New Roman"/>
          <w:b/>
          <w:sz w:val="24"/>
          <w:szCs w:val="24"/>
        </w:rPr>
        <w:t xml:space="preserve">. Conclusion </w:t>
      </w:r>
    </w:p>
    <w:p w:rsidR="00986AE3" w:rsidRPr="00787457" w:rsidRDefault="00986AE3"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 xml:space="preserve">In the modern era, micropropagation and plant tissue culture have remained the base technologies of horticultural production systems. Within the past couple of decades, there have been significant enhancements in temporary immersion bioreactors, automated culturing platforms, synthetic seed technologies, molecular diagnostics, genome editing, and supportive tools such as nanomaterials </w:t>
      </w:r>
      <w:r w:rsidRPr="00787457">
        <w:rPr>
          <w:rFonts w:ascii="Times New Roman" w:hAnsi="Times New Roman" w:cs="Times New Roman"/>
          <w:sz w:val="24"/>
          <w:szCs w:val="24"/>
        </w:rPr>
        <w:lastRenderedPageBreak/>
        <w:t>and multi-omics approaches that have greatly increased the efficiency, reliability, and applicability of in vitro propagation across a wide array of horticultural crops. Such innovations have improved multiplication rates, lowered contamination risks, enhanced genetic fidelity monitoring, and allowed for long-term c</w:t>
      </w:r>
      <w:r w:rsidR="008F3DD2" w:rsidRPr="00787457">
        <w:rPr>
          <w:rFonts w:ascii="Times New Roman" w:hAnsi="Times New Roman" w:cs="Times New Roman"/>
          <w:sz w:val="24"/>
          <w:szCs w:val="24"/>
        </w:rPr>
        <w:t>onservation of elite germplasm.</w:t>
      </w:r>
    </w:p>
    <w:p w:rsidR="00986AE3" w:rsidRDefault="00986AE3" w:rsidP="000252C8">
      <w:pPr>
        <w:spacing w:line="276" w:lineRule="auto"/>
        <w:jc w:val="both"/>
        <w:rPr>
          <w:rFonts w:ascii="Times New Roman" w:hAnsi="Times New Roman" w:cs="Times New Roman"/>
          <w:sz w:val="24"/>
          <w:szCs w:val="24"/>
        </w:rPr>
      </w:pPr>
      <w:r w:rsidRPr="00787457">
        <w:rPr>
          <w:rFonts w:ascii="Times New Roman" w:hAnsi="Times New Roman" w:cs="Times New Roman"/>
          <w:sz w:val="24"/>
          <w:szCs w:val="24"/>
        </w:rPr>
        <w:t>In spite of these advances, some obstacles persist. Species-specific recalcitrance, genotype-dependent plant regeneration responses, and risks of contamination hinder the development of uniform protocols across horticultural taxa. Likewise, the high initial capital investment in bioreactors and automation systems, together with qualified labor, limits the spread to small- and medium-scale nurseries. Moreover, regulatory ambiguities related to certification of pathogen-free status and an upcoming policy framework for genome-edited plants add to the challenges in reaching global scales for these technologies. Multidisciplinary collaboration among plant biotechnologists, engineers, molecular scientists, economists, and regulatory authorities will be needed to overcome these constraints. This would help in refining the protocols, reducing the cost of production, enhancing biosafety, and harmonizing regulatory frameworks. Ultimately, strengthening and scaling these technologies will pave the way for the horticulture sectors globally to access resilient, disease-free, and high-quality planting material to further support growers' productivity, sustainability, and economic viability.</w:t>
      </w:r>
    </w:p>
    <w:p w:rsidR="001E3991" w:rsidRDefault="001E3991" w:rsidP="000252C8">
      <w:pPr>
        <w:spacing w:line="276" w:lineRule="auto"/>
        <w:jc w:val="both"/>
        <w:rPr>
          <w:rFonts w:ascii="Times New Roman" w:hAnsi="Times New Roman" w:cs="Times New Roman"/>
          <w:sz w:val="24"/>
          <w:szCs w:val="24"/>
        </w:rPr>
      </w:pPr>
    </w:p>
    <w:p w:rsidR="001E3991" w:rsidRDefault="001E3991" w:rsidP="000252C8">
      <w:pPr>
        <w:spacing w:line="276" w:lineRule="auto"/>
        <w:jc w:val="both"/>
        <w:rPr>
          <w:rFonts w:ascii="Times New Roman" w:hAnsi="Times New Roman" w:cs="Times New Roman"/>
          <w:sz w:val="24"/>
          <w:szCs w:val="24"/>
        </w:rPr>
      </w:pPr>
    </w:p>
    <w:p w:rsidR="00231359" w:rsidRDefault="00231359" w:rsidP="00231359">
      <w:pPr>
        <w:shd w:val="clear" w:color="auto" w:fill="FFFFFF"/>
        <w:spacing w:after="0" w:line="240" w:lineRule="auto"/>
        <w:jc w:val="both"/>
        <w:rPr>
          <w:rFonts w:ascii="Arial" w:hAnsi="Arial" w:cs="Arial"/>
          <w:sz w:val="20"/>
          <w:szCs w:val="20"/>
        </w:rPr>
      </w:pPr>
      <w:bookmarkStart w:id="1" w:name="_Hlk211509973"/>
    </w:p>
    <w:p w:rsidR="00231359" w:rsidRDefault="00231359" w:rsidP="00231359">
      <w:pPr>
        <w:rPr>
          <w:rFonts w:ascii="Calibri" w:eastAsia="Calibri" w:hAnsi="Calibri" w:cs="Times New Roman"/>
          <w:kern w:val="2"/>
          <w:highlight w:val="yellow"/>
        </w:rPr>
      </w:pPr>
      <w:bookmarkStart w:id="2" w:name="_Hlk204003461"/>
    </w:p>
    <w:p w:rsidR="00231359" w:rsidRPr="00046C34" w:rsidRDefault="00231359" w:rsidP="00231359">
      <w:pPr>
        <w:rPr>
          <w:rFonts w:ascii="Calibri" w:eastAsia="Calibri" w:hAnsi="Calibri" w:cs="Times New Roman"/>
          <w:kern w:val="2"/>
          <w:highlight w:val="yellow"/>
        </w:rPr>
      </w:pPr>
      <w:bookmarkStart w:id="3" w:name="_Hlk211509776"/>
      <w:r w:rsidRPr="00046C34">
        <w:rPr>
          <w:rFonts w:ascii="Calibri" w:eastAsia="Calibri" w:hAnsi="Calibri" w:cs="Times New Roman"/>
          <w:kern w:val="2"/>
          <w:highlight w:val="yellow"/>
        </w:rPr>
        <w:t>Disclaimer (Artificial intelligence)</w:t>
      </w:r>
    </w:p>
    <w:p w:rsidR="00231359" w:rsidRPr="00046C34" w:rsidRDefault="00231359" w:rsidP="00231359">
      <w:pPr>
        <w:rPr>
          <w:rFonts w:ascii="Calibri" w:eastAsia="Calibri" w:hAnsi="Calibri" w:cs="Times New Roman"/>
          <w:kern w:val="2"/>
          <w:highlight w:val="yellow"/>
        </w:rPr>
      </w:pPr>
      <w:r w:rsidRPr="00046C34">
        <w:rPr>
          <w:rFonts w:ascii="Calibri" w:eastAsia="Calibri" w:hAnsi="Calibri" w:cs="Times New Roman"/>
          <w:kern w:val="2"/>
          <w:highlight w:val="yellow"/>
        </w:rPr>
        <w:t xml:space="preserve">Option 1: </w:t>
      </w:r>
    </w:p>
    <w:p w:rsidR="00231359" w:rsidRPr="00046C34" w:rsidRDefault="00231359" w:rsidP="00231359">
      <w:pPr>
        <w:rPr>
          <w:rFonts w:ascii="Calibri" w:eastAsia="Calibri" w:hAnsi="Calibri" w:cs="Times New Roman"/>
          <w:kern w:val="2"/>
          <w:highlight w:val="yellow"/>
        </w:rPr>
      </w:pPr>
      <w:r w:rsidRPr="00046C34">
        <w:rPr>
          <w:rFonts w:ascii="Calibri" w:eastAsia="Calibri" w:hAnsi="Calibri" w:cs="Times New Roman"/>
          <w:kern w:val="2"/>
          <w:highlight w:val="yellow"/>
        </w:rPr>
        <w:t>Author(s) hereby declare that NO generative AI technologies such as Large Language Models (</w:t>
      </w:r>
      <w:proofErr w:type="spellStart"/>
      <w:r w:rsidRPr="00046C34">
        <w:rPr>
          <w:rFonts w:ascii="Calibri" w:eastAsia="Calibri" w:hAnsi="Calibri" w:cs="Times New Roman"/>
          <w:kern w:val="2"/>
          <w:highlight w:val="yellow"/>
        </w:rPr>
        <w:t>ChatGPT</w:t>
      </w:r>
      <w:proofErr w:type="spellEnd"/>
      <w:r w:rsidRPr="00046C34">
        <w:rPr>
          <w:rFonts w:ascii="Calibri" w:eastAsia="Calibri" w:hAnsi="Calibri" w:cs="Times New Roman"/>
          <w:kern w:val="2"/>
          <w:highlight w:val="yellow"/>
        </w:rPr>
        <w:t xml:space="preserve">, COPILOT, etc.) and text-to-image generators have been used during the writing or editing of this manuscript. </w:t>
      </w:r>
    </w:p>
    <w:p w:rsidR="00231359" w:rsidRPr="00046C34" w:rsidRDefault="00231359" w:rsidP="00231359">
      <w:pPr>
        <w:rPr>
          <w:rFonts w:ascii="Calibri" w:eastAsia="Calibri" w:hAnsi="Calibri" w:cs="Times New Roman"/>
          <w:kern w:val="2"/>
          <w:highlight w:val="yellow"/>
        </w:rPr>
      </w:pPr>
      <w:r w:rsidRPr="00046C34">
        <w:rPr>
          <w:rFonts w:ascii="Calibri" w:eastAsia="Calibri" w:hAnsi="Calibri" w:cs="Times New Roman"/>
          <w:kern w:val="2"/>
          <w:highlight w:val="yellow"/>
        </w:rPr>
        <w:t xml:space="preserve">Option 2: </w:t>
      </w:r>
    </w:p>
    <w:p w:rsidR="00231359" w:rsidRPr="00046C34" w:rsidRDefault="00231359" w:rsidP="00231359">
      <w:pPr>
        <w:rPr>
          <w:rFonts w:ascii="Calibri" w:eastAsia="Calibri" w:hAnsi="Calibri" w:cs="Times New Roman"/>
          <w:kern w:val="2"/>
          <w:highlight w:val="yellow"/>
        </w:rPr>
      </w:pPr>
      <w:r w:rsidRPr="00046C34">
        <w:rPr>
          <w:rFonts w:ascii="Calibri" w:eastAsia="Calibri" w:hAnsi="Calibri" w:cs="Times New Roman"/>
          <w:kern w:val="2"/>
          <w:highlight w:val="yellow"/>
        </w:rPr>
        <w:t xml:space="preserve">Author(s) hereby declare that generative AI technologies such as Large Language Models, etc. have been used during the </w:t>
      </w:r>
      <w:proofErr w:type="spellStart"/>
      <w:r w:rsidRPr="00046C34">
        <w:rPr>
          <w:rFonts w:ascii="Calibri" w:eastAsia="Calibri" w:hAnsi="Calibri" w:cs="Times New Roman"/>
          <w:kern w:val="2"/>
          <w:highlight w:val="yellow"/>
        </w:rPr>
        <w:t>witing</w:t>
      </w:r>
      <w:proofErr w:type="spellEnd"/>
      <w:r w:rsidRPr="00046C34">
        <w:rPr>
          <w:rFonts w:ascii="Calibri" w:eastAsia="Calibri" w:hAnsi="Calibri" w:cs="Times New Roman"/>
          <w:kern w:val="2"/>
          <w:highlight w:val="yellow"/>
        </w:rPr>
        <w:t xml:space="preserve"> or editing of manuscripts. This explanation will include the name, version, model, and source of the generative AI technology and as well as all input prompts provided to the generative AI technology</w:t>
      </w:r>
    </w:p>
    <w:p w:rsidR="00231359" w:rsidRPr="00046C34" w:rsidRDefault="00231359" w:rsidP="00231359">
      <w:pPr>
        <w:rPr>
          <w:rFonts w:ascii="Calibri" w:eastAsia="Calibri" w:hAnsi="Calibri" w:cs="Times New Roman"/>
          <w:kern w:val="2"/>
          <w:highlight w:val="yellow"/>
        </w:rPr>
      </w:pPr>
      <w:r w:rsidRPr="00046C34">
        <w:rPr>
          <w:rFonts w:ascii="Calibri" w:eastAsia="Calibri" w:hAnsi="Calibri" w:cs="Times New Roman"/>
          <w:kern w:val="2"/>
          <w:highlight w:val="yellow"/>
        </w:rPr>
        <w:t>Details of the AI usage are given below:</w:t>
      </w:r>
    </w:p>
    <w:p w:rsidR="00231359" w:rsidRPr="00046C34" w:rsidRDefault="00231359" w:rsidP="00231359">
      <w:pPr>
        <w:rPr>
          <w:rFonts w:ascii="Calibri" w:eastAsia="Calibri" w:hAnsi="Calibri" w:cs="Times New Roman"/>
          <w:kern w:val="2"/>
          <w:highlight w:val="yellow"/>
        </w:rPr>
      </w:pPr>
      <w:r w:rsidRPr="00046C34">
        <w:rPr>
          <w:rFonts w:ascii="Calibri" w:eastAsia="Calibri" w:hAnsi="Calibri" w:cs="Times New Roman"/>
          <w:kern w:val="2"/>
          <w:highlight w:val="yellow"/>
        </w:rPr>
        <w:t>1.</w:t>
      </w:r>
    </w:p>
    <w:p w:rsidR="00231359" w:rsidRPr="00046C34" w:rsidRDefault="00231359" w:rsidP="00231359">
      <w:pPr>
        <w:rPr>
          <w:rFonts w:ascii="Calibri" w:eastAsia="Calibri" w:hAnsi="Calibri" w:cs="Times New Roman"/>
          <w:kern w:val="2"/>
          <w:highlight w:val="yellow"/>
        </w:rPr>
      </w:pPr>
      <w:r w:rsidRPr="00046C34">
        <w:rPr>
          <w:rFonts w:ascii="Calibri" w:eastAsia="Calibri" w:hAnsi="Calibri" w:cs="Times New Roman"/>
          <w:kern w:val="2"/>
          <w:highlight w:val="yellow"/>
        </w:rPr>
        <w:t>2.</w:t>
      </w:r>
    </w:p>
    <w:p w:rsidR="00231359" w:rsidRDefault="00231359" w:rsidP="00231359">
      <w:pPr>
        <w:rPr>
          <w:rFonts w:ascii="Calibri" w:eastAsia="Calibri" w:hAnsi="Calibri" w:cs="Times New Roman"/>
          <w:kern w:val="2"/>
          <w:highlight w:val="yellow"/>
        </w:rPr>
      </w:pPr>
      <w:r w:rsidRPr="00046C34">
        <w:rPr>
          <w:rFonts w:ascii="Calibri" w:eastAsia="Calibri" w:hAnsi="Calibri" w:cs="Times New Roman"/>
          <w:kern w:val="2"/>
          <w:highlight w:val="yellow"/>
        </w:rPr>
        <w:t>3.</w:t>
      </w:r>
    </w:p>
    <w:bookmarkEnd w:id="1"/>
    <w:bookmarkEnd w:id="2"/>
    <w:bookmarkEnd w:id="3"/>
    <w:p w:rsidR="001E3991" w:rsidRPr="00787457" w:rsidRDefault="001E3991" w:rsidP="000252C8">
      <w:pPr>
        <w:spacing w:line="276" w:lineRule="auto"/>
        <w:jc w:val="both"/>
        <w:rPr>
          <w:rFonts w:ascii="Times New Roman" w:hAnsi="Times New Roman" w:cs="Times New Roman"/>
          <w:sz w:val="24"/>
          <w:szCs w:val="24"/>
        </w:rPr>
      </w:pPr>
    </w:p>
    <w:p w:rsidR="00787457" w:rsidRPr="00C81702" w:rsidRDefault="00787457" w:rsidP="000252C8">
      <w:pPr>
        <w:spacing w:line="276" w:lineRule="auto"/>
        <w:jc w:val="both"/>
        <w:rPr>
          <w:rFonts w:ascii="Times New Roman" w:hAnsi="Times New Roman" w:cs="Times New Roman"/>
          <w:b/>
          <w:sz w:val="24"/>
          <w:szCs w:val="24"/>
        </w:rPr>
      </w:pPr>
      <w:r w:rsidRPr="00C81702">
        <w:rPr>
          <w:rFonts w:ascii="Times New Roman" w:hAnsi="Times New Roman" w:cs="Times New Roman"/>
          <w:b/>
          <w:sz w:val="24"/>
          <w:szCs w:val="24"/>
        </w:rPr>
        <w:t xml:space="preserve">Reference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Abdalla, N., El-</w:t>
      </w:r>
      <w:proofErr w:type="spellStart"/>
      <w:r w:rsidRPr="00787457">
        <w:rPr>
          <w:rFonts w:ascii="Times New Roman" w:hAnsi="Times New Roman" w:cs="Times New Roman"/>
          <w:color w:val="222222"/>
          <w:sz w:val="24"/>
          <w:szCs w:val="24"/>
          <w:shd w:val="clear" w:color="auto" w:fill="FFFFFF"/>
        </w:rPr>
        <w:t>Ramady</w:t>
      </w:r>
      <w:proofErr w:type="spellEnd"/>
      <w:r w:rsidRPr="00787457">
        <w:rPr>
          <w:rFonts w:ascii="Times New Roman" w:hAnsi="Times New Roman" w:cs="Times New Roman"/>
          <w:color w:val="222222"/>
          <w:sz w:val="24"/>
          <w:szCs w:val="24"/>
          <w:shd w:val="clear" w:color="auto" w:fill="FFFFFF"/>
        </w:rPr>
        <w:t xml:space="preserve">, H., </w:t>
      </w:r>
      <w:proofErr w:type="spellStart"/>
      <w:r w:rsidRPr="00787457">
        <w:rPr>
          <w:rFonts w:ascii="Times New Roman" w:hAnsi="Times New Roman" w:cs="Times New Roman"/>
          <w:color w:val="222222"/>
          <w:sz w:val="24"/>
          <w:szCs w:val="24"/>
          <w:shd w:val="clear" w:color="auto" w:fill="FFFFFF"/>
        </w:rPr>
        <w:t>Seliem</w:t>
      </w:r>
      <w:proofErr w:type="spellEnd"/>
      <w:r w:rsidRPr="00787457">
        <w:rPr>
          <w:rFonts w:ascii="Times New Roman" w:hAnsi="Times New Roman" w:cs="Times New Roman"/>
          <w:color w:val="222222"/>
          <w:sz w:val="24"/>
          <w:szCs w:val="24"/>
          <w:shd w:val="clear" w:color="auto" w:fill="FFFFFF"/>
        </w:rPr>
        <w:t>, M. K., El-Mahrouk, M. E., Taha, N., Bayoumi, Y., ... &amp; Dobránszki, J. (2022). An academic and technical overview on plant micropropagation challenges. </w:t>
      </w:r>
      <w:proofErr w:type="spellStart"/>
      <w:r w:rsidRPr="00787457">
        <w:rPr>
          <w:rFonts w:ascii="Times New Roman" w:hAnsi="Times New Roman" w:cs="Times New Roman"/>
          <w:i/>
          <w:iCs/>
          <w:color w:val="222222"/>
          <w:sz w:val="24"/>
          <w:szCs w:val="24"/>
          <w:shd w:val="clear" w:color="auto" w:fill="FFFFFF"/>
        </w:rPr>
        <w:t>Horticulturae</w:t>
      </w:r>
      <w:proofErr w:type="spellEnd"/>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8</w:t>
      </w:r>
      <w:r w:rsidRPr="00787457">
        <w:rPr>
          <w:rFonts w:ascii="Times New Roman" w:hAnsi="Times New Roman" w:cs="Times New Roman"/>
          <w:color w:val="222222"/>
          <w:sz w:val="24"/>
          <w:szCs w:val="24"/>
          <w:shd w:val="clear" w:color="auto" w:fill="FFFFFF"/>
        </w:rPr>
        <w:t>(8), 677.</w:t>
      </w:r>
      <w:r w:rsidR="008B3651">
        <w:rPr>
          <w:rFonts w:ascii="Times New Roman" w:hAnsi="Times New Roman" w:cs="Times New Roman"/>
          <w:color w:val="222222"/>
          <w:sz w:val="24"/>
          <w:szCs w:val="24"/>
          <w:shd w:val="clear" w:color="auto" w:fill="FFFFFF"/>
        </w:rPr>
        <w:t xml:space="preserve"> </w:t>
      </w:r>
      <w:hyperlink r:id="rId11" w:history="1">
        <w:r w:rsidR="008B3651" w:rsidRPr="00156E82">
          <w:rPr>
            <w:rStyle w:val="Hyperlink"/>
            <w:rFonts w:ascii="Times New Roman" w:hAnsi="Times New Roman" w:cs="Times New Roman"/>
            <w:sz w:val="24"/>
            <w:szCs w:val="24"/>
            <w:shd w:val="clear" w:color="auto" w:fill="FFFFFF"/>
          </w:rPr>
          <w:t>https://doi.org/10.3390/horticulturae8080677</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Al-</w:t>
      </w:r>
      <w:proofErr w:type="spellStart"/>
      <w:r w:rsidRPr="00787457">
        <w:rPr>
          <w:rFonts w:ascii="Times New Roman" w:hAnsi="Times New Roman" w:cs="Times New Roman"/>
          <w:color w:val="222222"/>
          <w:sz w:val="24"/>
          <w:szCs w:val="24"/>
          <w:shd w:val="clear" w:color="auto" w:fill="FFFFFF"/>
        </w:rPr>
        <w:t>Qudah</w:t>
      </w:r>
      <w:proofErr w:type="spellEnd"/>
      <w:r w:rsidRPr="00787457">
        <w:rPr>
          <w:rFonts w:ascii="Times New Roman" w:hAnsi="Times New Roman" w:cs="Times New Roman"/>
          <w:color w:val="222222"/>
          <w:sz w:val="24"/>
          <w:szCs w:val="24"/>
          <w:shd w:val="clear" w:color="auto" w:fill="FFFFFF"/>
        </w:rPr>
        <w:t>, T., Mahmood, S. H., Abu-</w:t>
      </w:r>
      <w:proofErr w:type="spellStart"/>
      <w:r w:rsidRPr="00787457">
        <w:rPr>
          <w:rFonts w:ascii="Times New Roman" w:hAnsi="Times New Roman" w:cs="Times New Roman"/>
          <w:color w:val="222222"/>
          <w:sz w:val="24"/>
          <w:szCs w:val="24"/>
          <w:shd w:val="clear" w:color="auto" w:fill="FFFFFF"/>
        </w:rPr>
        <w:t>Zurayk</w:t>
      </w:r>
      <w:proofErr w:type="spellEnd"/>
      <w:r w:rsidRPr="00787457">
        <w:rPr>
          <w:rFonts w:ascii="Times New Roman" w:hAnsi="Times New Roman" w:cs="Times New Roman"/>
          <w:color w:val="222222"/>
          <w:sz w:val="24"/>
          <w:szCs w:val="24"/>
          <w:shd w:val="clear" w:color="auto" w:fill="FFFFFF"/>
        </w:rPr>
        <w:t xml:space="preserve">, R., Shibli, R., Khalaf, A., </w:t>
      </w:r>
      <w:proofErr w:type="spellStart"/>
      <w:r w:rsidRPr="00787457">
        <w:rPr>
          <w:rFonts w:ascii="Times New Roman" w:hAnsi="Times New Roman" w:cs="Times New Roman"/>
          <w:color w:val="222222"/>
          <w:sz w:val="24"/>
          <w:szCs w:val="24"/>
          <w:shd w:val="clear" w:color="auto" w:fill="FFFFFF"/>
        </w:rPr>
        <w:t>Lambat</w:t>
      </w:r>
      <w:proofErr w:type="spellEnd"/>
      <w:r w:rsidRPr="00787457">
        <w:rPr>
          <w:rFonts w:ascii="Times New Roman" w:hAnsi="Times New Roman" w:cs="Times New Roman"/>
          <w:color w:val="222222"/>
          <w:sz w:val="24"/>
          <w:szCs w:val="24"/>
          <w:shd w:val="clear" w:color="auto" w:fill="FFFFFF"/>
        </w:rPr>
        <w:t>, T. L., &amp; Chaudhary, R. G. (2022). Nanotechnology applications in plant tissue culture and molecular genetics: a holistic approach. </w:t>
      </w:r>
      <w:r w:rsidRPr="00787457">
        <w:rPr>
          <w:rFonts w:ascii="Times New Roman" w:hAnsi="Times New Roman" w:cs="Times New Roman"/>
          <w:i/>
          <w:iCs/>
          <w:color w:val="222222"/>
          <w:sz w:val="24"/>
          <w:szCs w:val="24"/>
          <w:shd w:val="clear" w:color="auto" w:fill="FFFFFF"/>
        </w:rPr>
        <w:t>Current Nanoscience</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18</w:t>
      </w:r>
      <w:r w:rsidRPr="00787457">
        <w:rPr>
          <w:rFonts w:ascii="Times New Roman" w:hAnsi="Times New Roman" w:cs="Times New Roman"/>
          <w:color w:val="222222"/>
          <w:sz w:val="24"/>
          <w:szCs w:val="24"/>
          <w:shd w:val="clear" w:color="auto" w:fill="FFFFFF"/>
        </w:rPr>
        <w:t>(4), 442-464.</w:t>
      </w:r>
      <w:r w:rsidR="008B3651">
        <w:rPr>
          <w:rFonts w:ascii="Times New Roman" w:hAnsi="Times New Roman" w:cs="Times New Roman"/>
          <w:color w:val="222222"/>
          <w:sz w:val="24"/>
          <w:szCs w:val="24"/>
          <w:shd w:val="clear" w:color="auto" w:fill="FFFFFF"/>
        </w:rPr>
        <w:t xml:space="preserve"> </w:t>
      </w:r>
      <w:hyperlink r:id="rId12" w:history="1">
        <w:r w:rsidR="008B3651" w:rsidRPr="00156E82">
          <w:rPr>
            <w:rStyle w:val="Hyperlink"/>
            <w:rFonts w:ascii="Times New Roman" w:hAnsi="Times New Roman" w:cs="Times New Roman"/>
            <w:sz w:val="24"/>
            <w:szCs w:val="24"/>
            <w:shd w:val="clear" w:color="auto" w:fill="FFFFFF"/>
          </w:rPr>
          <w:t>https://doi.org/10.2174/1573413717666211118111333</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 xml:space="preserve">Awotedu, B. F., Omolola, T. O., Akala, A. O., Awotedu, O. L., &amp; </w:t>
      </w:r>
      <w:proofErr w:type="spellStart"/>
      <w:r w:rsidRPr="00787457">
        <w:rPr>
          <w:rFonts w:ascii="Times New Roman" w:hAnsi="Times New Roman" w:cs="Times New Roman"/>
          <w:color w:val="222222"/>
          <w:sz w:val="24"/>
          <w:szCs w:val="24"/>
          <w:shd w:val="clear" w:color="auto" w:fill="FFFFFF"/>
        </w:rPr>
        <w:t>Olaoti-Laaro</w:t>
      </w:r>
      <w:proofErr w:type="spellEnd"/>
      <w:r w:rsidRPr="00787457">
        <w:rPr>
          <w:rFonts w:ascii="Times New Roman" w:hAnsi="Times New Roman" w:cs="Times New Roman"/>
          <w:color w:val="222222"/>
          <w:sz w:val="24"/>
          <w:szCs w:val="24"/>
          <w:shd w:val="clear" w:color="auto" w:fill="FFFFFF"/>
        </w:rPr>
        <w:t>, S. O. (2021). Vegetative propagation: A unique technique of improving plants growth. </w:t>
      </w:r>
      <w:r w:rsidRPr="00787457">
        <w:rPr>
          <w:rFonts w:ascii="Times New Roman" w:hAnsi="Times New Roman" w:cs="Times New Roman"/>
          <w:i/>
          <w:iCs/>
          <w:color w:val="222222"/>
          <w:sz w:val="24"/>
          <w:szCs w:val="24"/>
          <w:shd w:val="clear" w:color="auto" w:fill="FFFFFF"/>
        </w:rPr>
        <w:t>World News of Natural Sciences</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35</w:t>
      </w:r>
      <w:r w:rsidRPr="00787457">
        <w:rPr>
          <w:rFonts w:ascii="Times New Roman" w:hAnsi="Times New Roman" w:cs="Times New Roman"/>
          <w:color w:val="222222"/>
          <w:sz w:val="24"/>
          <w:szCs w:val="24"/>
          <w:shd w:val="clear" w:color="auto" w:fill="FFFFFF"/>
        </w:rPr>
        <w:t>, 83-101.</w:t>
      </w:r>
      <w:r w:rsidR="008B3651">
        <w:rPr>
          <w:rFonts w:ascii="Times New Roman" w:hAnsi="Times New Roman" w:cs="Times New Roman"/>
          <w:color w:val="222222"/>
          <w:sz w:val="24"/>
          <w:szCs w:val="24"/>
          <w:shd w:val="clear" w:color="auto" w:fill="FFFFFF"/>
        </w:rPr>
        <w:t xml:space="preserve"> </w:t>
      </w:r>
      <w:hyperlink r:id="rId13" w:history="1">
        <w:r w:rsidR="008B3651" w:rsidRPr="00156E82">
          <w:rPr>
            <w:rStyle w:val="Hyperlink"/>
            <w:rFonts w:ascii="Times New Roman" w:hAnsi="Times New Roman" w:cs="Times New Roman"/>
            <w:sz w:val="24"/>
            <w:szCs w:val="24"/>
            <w:shd w:val="clear" w:color="auto" w:fill="FFFFFF"/>
          </w:rPr>
          <w:t>https://bibliotekanauki.pl/articles/2090000.pdf</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Bajaj, Y. P. (2012). </w:t>
      </w:r>
      <w:r w:rsidRPr="00787457">
        <w:rPr>
          <w:rFonts w:ascii="Times New Roman" w:hAnsi="Times New Roman" w:cs="Times New Roman"/>
          <w:i/>
          <w:iCs/>
          <w:color w:val="222222"/>
          <w:sz w:val="24"/>
          <w:szCs w:val="24"/>
          <w:shd w:val="clear" w:color="auto" w:fill="FFFFFF"/>
        </w:rPr>
        <w:t>High-tech and Micropropagation I</w:t>
      </w:r>
      <w:r w:rsidRPr="00787457">
        <w:rPr>
          <w:rFonts w:ascii="Times New Roman" w:hAnsi="Times New Roman" w:cs="Times New Roman"/>
          <w:color w:val="222222"/>
          <w:sz w:val="24"/>
          <w:szCs w:val="24"/>
          <w:shd w:val="clear" w:color="auto" w:fill="FFFFFF"/>
        </w:rPr>
        <w:t> (Vol. 17). Springer Science &amp; Business Media.</w:t>
      </w:r>
      <w:r w:rsidR="008B3651">
        <w:rPr>
          <w:rFonts w:ascii="Times New Roman" w:hAnsi="Times New Roman" w:cs="Times New Roman"/>
          <w:color w:val="222222"/>
          <w:sz w:val="24"/>
          <w:szCs w:val="24"/>
          <w:shd w:val="clear" w:color="auto" w:fill="FFFFFF"/>
        </w:rPr>
        <w:t xml:space="preserve"> </w:t>
      </w:r>
      <w:hyperlink r:id="rId14" w:history="1">
        <w:r w:rsidR="008B3651" w:rsidRPr="00156E82">
          <w:rPr>
            <w:rStyle w:val="Hyperlink"/>
            <w:rFonts w:ascii="Times New Roman" w:hAnsi="Times New Roman" w:cs="Times New Roman"/>
            <w:sz w:val="24"/>
            <w:szCs w:val="24"/>
            <w:shd w:val="clear" w:color="auto" w:fill="FFFFFF"/>
          </w:rPr>
          <w:t>https://doi.org/10.1007/978-3-642-76415-8</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 xml:space="preserve">Balamurugan, V., Abdi, G., </w:t>
      </w:r>
      <w:proofErr w:type="spellStart"/>
      <w:r w:rsidRPr="00787457">
        <w:rPr>
          <w:rFonts w:ascii="Times New Roman" w:hAnsi="Times New Roman" w:cs="Times New Roman"/>
          <w:color w:val="222222"/>
          <w:sz w:val="24"/>
          <w:szCs w:val="24"/>
          <w:shd w:val="clear" w:color="auto" w:fill="FFFFFF"/>
        </w:rPr>
        <w:t>Karthiksaran</w:t>
      </w:r>
      <w:proofErr w:type="spellEnd"/>
      <w:r w:rsidRPr="00787457">
        <w:rPr>
          <w:rFonts w:ascii="Times New Roman" w:hAnsi="Times New Roman" w:cs="Times New Roman"/>
          <w:color w:val="222222"/>
          <w:sz w:val="24"/>
          <w:szCs w:val="24"/>
          <w:shd w:val="clear" w:color="auto" w:fill="FFFFFF"/>
        </w:rPr>
        <w:t xml:space="preserve">, C., </w:t>
      </w:r>
      <w:proofErr w:type="spellStart"/>
      <w:r w:rsidRPr="00787457">
        <w:rPr>
          <w:rFonts w:ascii="Times New Roman" w:hAnsi="Times New Roman" w:cs="Times New Roman"/>
          <w:color w:val="222222"/>
          <w:sz w:val="24"/>
          <w:szCs w:val="24"/>
          <w:shd w:val="clear" w:color="auto" w:fill="FFFFFF"/>
        </w:rPr>
        <w:t>Thillaigovindhan</w:t>
      </w:r>
      <w:proofErr w:type="spellEnd"/>
      <w:r w:rsidRPr="00787457">
        <w:rPr>
          <w:rFonts w:ascii="Times New Roman" w:hAnsi="Times New Roman" w:cs="Times New Roman"/>
          <w:color w:val="222222"/>
          <w:sz w:val="24"/>
          <w:szCs w:val="24"/>
          <w:shd w:val="clear" w:color="auto" w:fill="FFFFFF"/>
        </w:rPr>
        <w:t xml:space="preserve">, N., &amp; </w:t>
      </w:r>
      <w:proofErr w:type="spellStart"/>
      <w:r w:rsidRPr="00787457">
        <w:rPr>
          <w:rFonts w:ascii="Times New Roman" w:hAnsi="Times New Roman" w:cs="Times New Roman"/>
          <w:color w:val="222222"/>
          <w:sz w:val="24"/>
          <w:szCs w:val="24"/>
          <w:shd w:val="clear" w:color="auto" w:fill="FFFFFF"/>
        </w:rPr>
        <w:t>Arulbalachandran</w:t>
      </w:r>
      <w:proofErr w:type="spellEnd"/>
      <w:r w:rsidRPr="00787457">
        <w:rPr>
          <w:rFonts w:ascii="Times New Roman" w:hAnsi="Times New Roman" w:cs="Times New Roman"/>
          <w:color w:val="222222"/>
          <w:sz w:val="24"/>
          <w:szCs w:val="24"/>
          <w:shd w:val="clear" w:color="auto" w:fill="FFFFFF"/>
        </w:rPr>
        <w:t>, D. (2024). A review: improvement of plant tissue culture applications by using nanoparticles. </w:t>
      </w:r>
      <w:r w:rsidRPr="00787457">
        <w:rPr>
          <w:rFonts w:ascii="Times New Roman" w:hAnsi="Times New Roman" w:cs="Times New Roman"/>
          <w:i/>
          <w:iCs/>
          <w:color w:val="222222"/>
          <w:sz w:val="24"/>
          <w:szCs w:val="24"/>
          <w:shd w:val="clear" w:color="auto" w:fill="FFFFFF"/>
        </w:rPr>
        <w:t>Journal of Nanoparticle Research</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26</w:t>
      </w:r>
      <w:r w:rsidRPr="00787457">
        <w:rPr>
          <w:rFonts w:ascii="Times New Roman" w:hAnsi="Times New Roman" w:cs="Times New Roman"/>
          <w:color w:val="222222"/>
          <w:sz w:val="24"/>
          <w:szCs w:val="24"/>
          <w:shd w:val="clear" w:color="auto" w:fill="FFFFFF"/>
        </w:rPr>
        <w:t>(8), 188.</w:t>
      </w:r>
      <w:r w:rsidR="008B3651">
        <w:rPr>
          <w:rFonts w:ascii="Times New Roman" w:hAnsi="Times New Roman" w:cs="Times New Roman"/>
          <w:color w:val="222222"/>
          <w:sz w:val="24"/>
          <w:szCs w:val="24"/>
          <w:shd w:val="clear" w:color="auto" w:fill="FFFFFF"/>
        </w:rPr>
        <w:t xml:space="preserve"> </w:t>
      </w:r>
      <w:hyperlink r:id="rId15" w:history="1">
        <w:r w:rsidR="008B3651" w:rsidRPr="00156E82">
          <w:rPr>
            <w:rStyle w:val="Hyperlink"/>
            <w:rFonts w:ascii="Times New Roman" w:hAnsi="Times New Roman" w:cs="Times New Roman"/>
            <w:sz w:val="24"/>
            <w:szCs w:val="24"/>
            <w:shd w:val="clear" w:color="auto" w:fill="FFFFFF"/>
          </w:rPr>
          <w:t>https://doi.org/10.1007/s11051-024-06103-2</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Bethge, H. L. (2023). Towards automated phenotyping in plant tissue culture.</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Bhojwani, S. S., &amp; Dantu, P. K. (2013). Micropropagation. In </w:t>
      </w:r>
      <w:r w:rsidRPr="00787457">
        <w:rPr>
          <w:rFonts w:ascii="Times New Roman" w:hAnsi="Times New Roman" w:cs="Times New Roman"/>
          <w:i/>
          <w:iCs/>
          <w:color w:val="222222"/>
          <w:sz w:val="24"/>
          <w:szCs w:val="24"/>
          <w:shd w:val="clear" w:color="auto" w:fill="FFFFFF"/>
        </w:rPr>
        <w:t>Plant tissue culture: An introductory text</w:t>
      </w:r>
      <w:r w:rsidRPr="00787457">
        <w:rPr>
          <w:rFonts w:ascii="Times New Roman" w:hAnsi="Times New Roman" w:cs="Times New Roman"/>
          <w:color w:val="222222"/>
          <w:sz w:val="24"/>
          <w:szCs w:val="24"/>
          <w:shd w:val="clear" w:color="auto" w:fill="FFFFFF"/>
        </w:rPr>
        <w:t> (pp. 245-274). India: Springer India.</w:t>
      </w:r>
      <w:r w:rsidR="008B3651">
        <w:rPr>
          <w:rFonts w:ascii="Times New Roman" w:hAnsi="Times New Roman" w:cs="Times New Roman"/>
          <w:color w:val="222222"/>
          <w:sz w:val="24"/>
          <w:szCs w:val="24"/>
          <w:shd w:val="clear" w:color="auto" w:fill="FFFFFF"/>
        </w:rPr>
        <w:t xml:space="preserve"> </w:t>
      </w:r>
      <w:hyperlink r:id="rId16" w:history="1">
        <w:r w:rsidR="008B3651" w:rsidRPr="00156E82">
          <w:rPr>
            <w:rStyle w:val="Hyperlink"/>
            <w:rFonts w:ascii="Times New Roman" w:hAnsi="Times New Roman" w:cs="Times New Roman"/>
            <w:sz w:val="24"/>
            <w:szCs w:val="24"/>
            <w:shd w:val="clear" w:color="auto" w:fill="FFFFFF"/>
          </w:rPr>
          <w:t>https://doi.org/10.1007/978-81-322-1026-9</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 xml:space="preserve">De Carlo, A., Tarraf, W., </w:t>
      </w:r>
      <w:proofErr w:type="spellStart"/>
      <w:r w:rsidRPr="00787457">
        <w:rPr>
          <w:rFonts w:ascii="Times New Roman" w:hAnsi="Times New Roman" w:cs="Times New Roman"/>
          <w:color w:val="222222"/>
          <w:sz w:val="24"/>
          <w:szCs w:val="24"/>
          <w:shd w:val="clear" w:color="auto" w:fill="FFFFFF"/>
        </w:rPr>
        <w:t>Lambardi</w:t>
      </w:r>
      <w:proofErr w:type="spellEnd"/>
      <w:r w:rsidRPr="00787457">
        <w:rPr>
          <w:rFonts w:ascii="Times New Roman" w:hAnsi="Times New Roman" w:cs="Times New Roman"/>
          <w:color w:val="222222"/>
          <w:sz w:val="24"/>
          <w:szCs w:val="24"/>
          <w:shd w:val="clear" w:color="auto" w:fill="FFFFFF"/>
        </w:rPr>
        <w:t>, M., &amp; Benelli, C. (2021). Temporary immersion system for production of biomass and bioactive compounds from medicinal plants. </w:t>
      </w:r>
      <w:r w:rsidRPr="00787457">
        <w:rPr>
          <w:rFonts w:ascii="Times New Roman" w:hAnsi="Times New Roman" w:cs="Times New Roman"/>
          <w:i/>
          <w:iCs/>
          <w:color w:val="222222"/>
          <w:sz w:val="24"/>
          <w:szCs w:val="24"/>
          <w:shd w:val="clear" w:color="auto" w:fill="FFFFFF"/>
        </w:rPr>
        <w:t>Agronomy</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11</w:t>
      </w:r>
      <w:r w:rsidRPr="00787457">
        <w:rPr>
          <w:rFonts w:ascii="Times New Roman" w:hAnsi="Times New Roman" w:cs="Times New Roman"/>
          <w:color w:val="222222"/>
          <w:sz w:val="24"/>
          <w:szCs w:val="24"/>
          <w:shd w:val="clear" w:color="auto" w:fill="FFFFFF"/>
        </w:rPr>
        <w:t>(12), 2414.</w:t>
      </w:r>
      <w:r w:rsidR="008B3651">
        <w:rPr>
          <w:rFonts w:ascii="Times New Roman" w:hAnsi="Times New Roman" w:cs="Times New Roman"/>
          <w:color w:val="222222"/>
          <w:sz w:val="24"/>
          <w:szCs w:val="24"/>
          <w:shd w:val="clear" w:color="auto" w:fill="FFFFFF"/>
        </w:rPr>
        <w:t xml:space="preserve"> </w:t>
      </w:r>
      <w:hyperlink r:id="rId17" w:history="1">
        <w:r w:rsidR="008B3651" w:rsidRPr="00156E82">
          <w:rPr>
            <w:rStyle w:val="Hyperlink"/>
            <w:rFonts w:ascii="Times New Roman" w:hAnsi="Times New Roman" w:cs="Times New Roman"/>
            <w:sz w:val="24"/>
            <w:szCs w:val="24"/>
            <w:shd w:val="clear" w:color="auto" w:fill="FFFFFF"/>
          </w:rPr>
          <w:t>https://doi.org/10.3390/agronomy11122414</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pStyle w:val="NormalWeb"/>
        <w:jc w:val="both"/>
      </w:pPr>
      <w:r w:rsidRPr="00787457">
        <w:rPr>
          <w:color w:val="222222"/>
          <w:shd w:val="clear" w:color="auto" w:fill="FFFFFF"/>
        </w:rPr>
        <w:t xml:space="preserve">Desai, P., Desai, S., </w:t>
      </w:r>
      <w:proofErr w:type="spellStart"/>
      <w:r w:rsidRPr="00787457">
        <w:rPr>
          <w:color w:val="222222"/>
          <w:shd w:val="clear" w:color="auto" w:fill="FFFFFF"/>
        </w:rPr>
        <w:t>Rafaliya</w:t>
      </w:r>
      <w:proofErr w:type="spellEnd"/>
      <w:r w:rsidRPr="00787457">
        <w:rPr>
          <w:color w:val="222222"/>
          <w:shd w:val="clear" w:color="auto" w:fill="FFFFFF"/>
        </w:rPr>
        <w:t>, R., &amp; Patil, G. (2022). Plant tissue culture: Somatic embryogenesis and organogenesis. In </w:t>
      </w:r>
      <w:r w:rsidRPr="00787457">
        <w:rPr>
          <w:i/>
          <w:iCs/>
          <w:color w:val="222222"/>
          <w:shd w:val="clear" w:color="auto" w:fill="FFFFFF"/>
        </w:rPr>
        <w:t>Advances in plant tissue culture</w:t>
      </w:r>
      <w:r w:rsidRPr="00787457">
        <w:rPr>
          <w:color w:val="222222"/>
          <w:shd w:val="clear" w:color="auto" w:fill="FFFFFF"/>
        </w:rPr>
        <w:t> (pp. 109-130). Academic Press.</w:t>
      </w:r>
      <w:r w:rsidR="008B3651">
        <w:rPr>
          <w:color w:val="222222"/>
          <w:shd w:val="clear" w:color="auto" w:fill="FFFFFF"/>
        </w:rPr>
        <w:t xml:space="preserve"> </w:t>
      </w:r>
      <w:hyperlink r:id="rId18" w:history="1">
        <w:r w:rsidR="008B3651" w:rsidRPr="00156E82">
          <w:rPr>
            <w:rStyle w:val="Hyperlink"/>
            <w:shd w:val="clear" w:color="auto" w:fill="FFFFFF"/>
          </w:rPr>
          <w:t>https://doi.org/10.1016/B978-0-323-90795-8.00006-0</w:t>
        </w:r>
      </w:hyperlink>
      <w:r w:rsidR="008B3651">
        <w:rPr>
          <w:color w:val="222222"/>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Ekinci, H., Çiftçi, Y. Ö., &amp; Nadarajan, J. (2019). Medium-and long-term conservation of ornamental plants using synthetic seed technology. In </w:t>
      </w:r>
      <w:r w:rsidRPr="00787457">
        <w:rPr>
          <w:rFonts w:ascii="Times New Roman" w:hAnsi="Times New Roman" w:cs="Times New Roman"/>
          <w:i/>
          <w:iCs/>
          <w:color w:val="222222"/>
          <w:sz w:val="24"/>
          <w:szCs w:val="24"/>
          <w:shd w:val="clear" w:color="auto" w:fill="FFFFFF"/>
        </w:rPr>
        <w:t>Synthetic Seeds: Germplasm Regeneration, Preservation and Prospects</w:t>
      </w:r>
      <w:r w:rsidRPr="00787457">
        <w:rPr>
          <w:rFonts w:ascii="Times New Roman" w:hAnsi="Times New Roman" w:cs="Times New Roman"/>
          <w:color w:val="222222"/>
          <w:sz w:val="24"/>
          <w:szCs w:val="24"/>
          <w:shd w:val="clear" w:color="auto" w:fill="FFFFFF"/>
        </w:rPr>
        <w:t> (pp. 259-281). Cham: Springer International Publishing.</w:t>
      </w:r>
      <w:r w:rsidR="008B3651">
        <w:rPr>
          <w:rFonts w:ascii="Times New Roman" w:hAnsi="Times New Roman" w:cs="Times New Roman"/>
          <w:color w:val="222222"/>
          <w:sz w:val="24"/>
          <w:szCs w:val="24"/>
          <w:shd w:val="clear" w:color="auto" w:fill="FFFFFF"/>
        </w:rPr>
        <w:t xml:space="preserve"> </w:t>
      </w:r>
      <w:hyperlink r:id="rId19" w:history="1">
        <w:r w:rsidR="008B3651" w:rsidRPr="00156E82">
          <w:rPr>
            <w:rStyle w:val="Hyperlink"/>
            <w:rFonts w:ascii="Times New Roman" w:hAnsi="Times New Roman" w:cs="Times New Roman"/>
            <w:sz w:val="24"/>
            <w:szCs w:val="24"/>
            <w:shd w:val="clear" w:color="auto" w:fill="FFFFFF"/>
          </w:rPr>
          <w:t>https://doi.org/10.1007/978-3-030-24631-0_11</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proofErr w:type="spellStart"/>
      <w:r w:rsidRPr="00787457">
        <w:rPr>
          <w:rFonts w:ascii="Times New Roman" w:hAnsi="Times New Roman" w:cs="Times New Roman"/>
          <w:color w:val="222222"/>
          <w:sz w:val="24"/>
          <w:szCs w:val="24"/>
          <w:shd w:val="clear" w:color="auto" w:fill="FFFFFF"/>
        </w:rPr>
        <w:t>Gantait</w:t>
      </w:r>
      <w:proofErr w:type="spellEnd"/>
      <w:r w:rsidRPr="00787457">
        <w:rPr>
          <w:rFonts w:ascii="Times New Roman" w:hAnsi="Times New Roman" w:cs="Times New Roman"/>
          <w:color w:val="222222"/>
          <w:sz w:val="24"/>
          <w:szCs w:val="24"/>
          <w:shd w:val="clear" w:color="auto" w:fill="FFFFFF"/>
        </w:rPr>
        <w:t>, S., &amp; Mitra, M. (2019). Applications of synthetic seed technology for propagation, storage, and conservation of orchid germplasms. In </w:t>
      </w:r>
      <w:r w:rsidRPr="00787457">
        <w:rPr>
          <w:rFonts w:ascii="Times New Roman" w:hAnsi="Times New Roman" w:cs="Times New Roman"/>
          <w:i/>
          <w:iCs/>
          <w:color w:val="222222"/>
          <w:sz w:val="24"/>
          <w:szCs w:val="24"/>
          <w:shd w:val="clear" w:color="auto" w:fill="FFFFFF"/>
        </w:rPr>
        <w:t>Synthetic seeds: germplasm regeneration, preservation and prospects</w:t>
      </w:r>
      <w:r w:rsidRPr="00787457">
        <w:rPr>
          <w:rFonts w:ascii="Times New Roman" w:hAnsi="Times New Roman" w:cs="Times New Roman"/>
          <w:color w:val="222222"/>
          <w:sz w:val="24"/>
          <w:szCs w:val="24"/>
          <w:shd w:val="clear" w:color="auto" w:fill="FFFFFF"/>
        </w:rPr>
        <w:t> (pp. 301-321). Cham: Springer International Publishing.</w:t>
      </w:r>
      <w:r w:rsidR="008B3651" w:rsidRPr="008B3651">
        <w:t xml:space="preserve"> </w:t>
      </w:r>
      <w:hyperlink r:id="rId20" w:history="1">
        <w:r w:rsidR="008B3651" w:rsidRPr="00156E82">
          <w:rPr>
            <w:rStyle w:val="Hyperlink"/>
            <w:rFonts w:ascii="Times New Roman" w:hAnsi="Times New Roman" w:cs="Times New Roman"/>
            <w:sz w:val="24"/>
            <w:szCs w:val="24"/>
            <w:shd w:val="clear" w:color="auto" w:fill="FFFFFF"/>
          </w:rPr>
          <w:t>https://doi.org/10.1007/978-3-030-24631-0_13</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lastRenderedPageBreak/>
        <w:t xml:space="preserve">Garcia, C., Furtado de Almeida, A. A., Costa, M., Britto, D., Valle, R., </w:t>
      </w:r>
      <w:proofErr w:type="spellStart"/>
      <w:r w:rsidRPr="00787457">
        <w:rPr>
          <w:rFonts w:ascii="Times New Roman" w:hAnsi="Times New Roman" w:cs="Times New Roman"/>
          <w:color w:val="222222"/>
          <w:sz w:val="24"/>
          <w:szCs w:val="24"/>
          <w:shd w:val="clear" w:color="auto" w:fill="FFFFFF"/>
        </w:rPr>
        <w:t>Royaert</w:t>
      </w:r>
      <w:proofErr w:type="spellEnd"/>
      <w:r w:rsidRPr="00787457">
        <w:rPr>
          <w:rFonts w:ascii="Times New Roman" w:hAnsi="Times New Roman" w:cs="Times New Roman"/>
          <w:color w:val="222222"/>
          <w:sz w:val="24"/>
          <w:szCs w:val="24"/>
          <w:shd w:val="clear" w:color="auto" w:fill="FFFFFF"/>
        </w:rPr>
        <w:t>, S., &amp; Marelli, J. P. (2019). Abnormalities in somatic embryogenesis caused by 2, 4-D: an overview. </w:t>
      </w:r>
      <w:r w:rsidRPr="00787457">
        <w:rPr>
          <w:rFonts w:ascii="Times New Roman" w:hAnsi="Times New Roman" w:cs="Times New Roman"/>
          <w:i/>
          <w:iCs/>
          <w:color w:val="222222"/>
          <w:sz w:val="24"/>
          <w:szCs w:val="24"/>
          <w:shd w:val="clear" w:color="auto" w:fill="FFFFFF"/>
        </w:rPr>
        <w:t>Plant Cell, Tissue and Organ Culture (PCTOC)</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137</w:t>
      </w:r>
      <w:r w:rsidRPr="00787457">
        <w:rPr>
          <w:rFonts w:ascii="Times New Roman" w:hAnsi="Times New Roman" w:cs="Times New Roman"/>
          <w:color w:val="222222"/>
          <w:sz w:val="24"/>
          <w:szCs w:val="24"/>
          <w:shd w:val="clear" w:color="auto" w:fill="FFFFFF"/>
        </w:rPr>
        <w:t>(2), 193-212</w:t>
      </w:r>
      <w:r w:rsidR="008B3651">
        <w:rPr>
          <w:rFonts w:ascii="Times New Roman" w:hAnsi="Times New Roman" w:cs="Times New Roman"/>
          <w:color w:val="222222"/>
          <w:sz w:val="24"/>
          <w:szCs w:val="24"/>
          <w:shd w:val="clear" w:color="auto" w:fill="FFFFFF"/>
        </w:rPr>
        <w:t xml:space="preserve"> </w:t>
      </w:r>
      <w:hyperlink r:id="rId21" w:history="1">
        <w:r w:rsidR="008B3651" w:rsidRPr="00156E82">
          <w:rPr>
            <w:rStyle w:val="Hyperlink"/>
            <w:rFonts w:ascii="Times New Roman" w:hAnsi="Times New Roman" w:cs="Times New Roman"/>
            <w:sz w:val="24"/>
            <w:szCs w:val="24"/>
            <w:shd w:val="clear" w:color="auto" w:fill="FFFFFF"/>
          </w:rPr>
          <w:t>https://doi.org/10.1007/s11240-019-01569-8</w:t>
        </w:r>
      </w:hyperlink>
      <w:r w:rsidR="008B3651">
        <w:rPr>
          <w:rFonts w:ascii="Times New Roman" w:hAnsi="Times New Roman" w:cs="Times New Roman"/>
          <w:color w:val="222222"/>
          <w:sz w:val="24"/>
          <w:szCs w:val="24"/>
          <w:shd w:val="clear" w:color="auto" w:fill="FFFFFF"/>
        </w:rPr>
        <w:t xml:space="preserve"> </w:t>
      </w:r>
      <w:r w:rsidRPr="00787457">
        <w:rPr>
          <w:rFonts w:ascii="Times New Roman" w:hAnsi="Times New Roman" w:cs="Times New Roman"/>
          <w:color w:val="222222"/>
          <w:sz w:val="24"/>
          <w:szCs w:val="24"/>
          <w:shd w:val="clear" w:color="auto" w:fill="FFFFFF"/>
        </w:rPr>
        <w:t>.</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Georgiev, V., Schumann, A., Pavlov, A., &amp; Bley, T. (2014). Temporary immersion systems in plant biotechnology. </w:t>
      </w:r>
      <w:r w:rsidRPr="00787457">
        <w:rPr>
          <w:rFonts w:ascii="Times New Roman" w:hAnsi="Times New Roman" w:cs="Times New Roman"/>
          <w:i/>
          <w:iCs/>
          <w:color w:val="222222"/>
          <w:sz w:val="24"/>
          <w:szCs w:val="24"/>
          <w:shd w:val="clear" w:color="auto" w:fill="FFFFFF"/>
        </w:rPr>
        <w:t>Engineering in life sciences</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14</w:t>
      </w:r>
      <w:r w:rsidRPr="00787457">
        <w:rPr>
          <w:rFonts w:ascii="Times New Roman" w:hAnsi="Times New Roman" w:cs="Times New Roman"/>
          <w:color w:val="222222"/>
          <w:sz w:val="24"/>
          <w:szCs w:val="24"/>
          <w:shd w:val="clear" w:color="auto" w:fill="FFFFFF"/>
        </w:rPr>
        <w:t>(6), 607-621.</w:t>
      </w:r>
      <w:r w:rsidR="008B3651">
        <w:rPr>
          <w:rFonts w:ascii="Times New Roman" w:hAnsi="Times New Roman" w:cs="Times New Roman"/>
          <w:color w:val="222222"/>
          <w:sz w:val="24"/>
          <w:szCs w:val="24"/>
          <w:shd w:val="clear" w:color="auto" w:fill="FFFFFF"/>
        </w:rPr>
        <w:t xml:space="preserve"> </w:t>
      </w:r>
      <w:hyperlink r:id="rId22" w:history="1">
        <w:r w:rsidR="008B3651" w:rsidRPr="00156E82">
          <w:rPr>
            <w:rStyle w:val="Hyperlink"/>
            <w:rFonts w:ascii="Times New Roman" w:hAnsi="Times New Roman" w:cs="Times New Roman"/>
            <w:sz w:val="24"/>
            <w:szCs w:val="24"/>
            <w:shd w:val="clear" w:color="auto" w:fill="FFFFFF"/>
          </w:rPr>
          <w:t>https://doi.org/10.1002/elsc.201300166</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before="100" w:beforeAutospacing="1" w:after="100" w:afterAutospacing="1" w:line="240" w:lineRule="auto"/>
        <w:jc w:val="both"/>
        <w:rPr>
          <w:rFonts w:ascii="Times New Roman" w:eastAsia="Times New Roman" w:hAnsi="Times New Roman" w:cs="Times New Roman"/>
          <w:sz w:val="24"/>
          <w:szCs w:val="24"/>
        </w:rPr>
      </w:pPr>
      <w:r w:rsidRPr="00787457">
        <w:rPr>
          <w:rFonts w:ascii="Times New Roman" w:hAnsi="Times New Roman" w:cs="Times New Roman"/>
          <w:color w:val="222222"/>
          <w:sz w:val="24"/>
          <w:szCs w:val="24"/>
          <w:shd w:val="clear" w:color="auto" w:fill="FFFFFF"/>
        </w:rPr>
        <w:t>Gupta, S. D., &amp; Ibaraki, Y. (Eds.). (2006). </w:t>
      </w:r>
      <w:r w:rsidRPr="00787457">
        <w:rPr>
          <w:rFonts w:ascii="Times New Roman" w:hAnsi="Times New Roman" w:cs="Times New Roman"/>
          <w:i/>
          <w:iCs/>
          <w:color w:val="222222"/>
          <w:sz w:val="24"/>
          <w:szCs w:val="24"/>
          <w:shd w:val="clear" w:color="auto" w:fill="FFFFFF"/>
        </w:rPr>
        <w:t>Plant tissue culture engineering</w:t>
      </w:r>
      <w:r w:rsidRPr="00787457">
        <w:rPr>
          <w:rFonts w:ascii="Times New Roman" w:hAnsi="Times New Roman" w:cs="Times New Roman"/>
          <w:color w:val="222222"/>
          <w:sz w:val="24"/>
          <w:szCs w:val="24"/>
          <w:shd w:val="clear" w:color="auto" w:fill="FFFFFF"/>
        </w:rPr>
        <w:t> (Vol. 6, pp. 313-327). Netherlands: Springer.</w:t>
      </w:r>
      <w:r w:rsidR="008B3651">
        <w:rPr>
          <w:rFonts w:ascii="Times New Roman" w:hAnsi="Times New Roman" w:cs="Times New Roman"/>
          <w:color w:val="222222"/>
          <w:sz w:val="24"/>
          <w:szCs w:val="24"/>
          <w:shd w:val="clear" w:color="auto" w:fill="FFFFFF"/>
        </w:rPr>
        <w:t xml:space="preserve"> </w:t>
      </w:r>
      <w:hyperlink r:id="rId23" w:history="1">
        <w:r w:rsidR="008B3651" w:rsidRPr="00156E82">
          <w:rPr>
            <w:rStyle w:val="Hyperlink"/>
            <w:rFonts w:ascii="Times New Roman" w:hAnsi="Times New Roman" w:cs="Times New Roman"/>
            <w:sz w:val="24"/>
            <w:szCs w:val="24"/>
            <w:shd w:val="clear" w:color="auto" w:fill="FFFFFF"/>
          </w:rPr>
          <w:t>https://doi.org/10.1007/978-1-4020-3694-1</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Kane, M. E., Kauth, P. J., &amp; Stewart, S. L. (2016). 30 Micropropagation. </w:t>
      </w:r>
      <w:r w:rsidRPr="00787457">
        <w:rPr>
          <w:rFonts w:ascii="Times New Roman" w:hAnsi="Times New Roman" w:cs="Times New Roman"/>
          <w:i/>
          <w:iCs/>
          <w:color w:val="222222"/>
          <w:sz w:val="24"/>
          <w:szCs w:val="24"/>
          <w:shd w:val="clear" w:color="auto" w:fill="FFFFFF"/>
        </w:rPr>
        <w:t>Plant propagation Concepts and laboratory exercises</w:t>
      </w:r>
      <w:r w:rsidRPr="00787457">
        <w:rPr>
          <w:rFonts w:ascii="Times New Roman" w:hAnsi="Times New Roman" w:cs="Times New Roman"/>
          <w:color w:val="222222"/>
          <w:sz w:val="24"/>
          <w:szCs w:val="24"/>
          <w:shd w:val="clear" w:color="auto" w:fill="FFFFFF"/>
        </w:rPr>
        <w:t>, 359.</w:t>
      </w:r>
      <w:r w:rsidR="008B3651">
        <w:rPr>
          <w:rFonts w:ascii="Times New Roman" w:hAnsi="Times New Roman" w:cs="Times New Roman"/>
          <w:color w:val="222222"/>
          <w:sz w:val="24"/>
          <w:szCs w:val="24"/>
          <w:shd w:val="clear" w:color="auto" w:fill="FFFFFF"/>
        </w:rPr>
        <w:t xml:space="preserve">  </w:t>
      </w:r>
      <w:hyperlink r:id="rId24" w:history="1">
        <w:r w:rsidR="008B3651" w:rsidRPr="00156E82">
          <w:rPr>
            <w:rStyle w:val="Hyperlink"/>
            <w:rFonts w:ascii="Times New Roman" w:hAnsi="Times New Roman" w:cs="Times New Roman"/>
            <w:sz w:val="24"/>
            <w:szCs w:val="24"/>
            <w:shd w:val="clear" w:color="auto" w:fill="FFFFFF"/>
          </w:rPr>
          <w:t>https://doi.org/10.1201/b17340</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color w:val="222222"/>
          <w:sz w:val="24"/>
          <w:szCs w:val="24"/>
          <w:shd w:val="clear" w:color="auto" w:fill="FFFFFF"/>
        </w:rPr>
      </w:pPr>
      <w:r w:rsidRPr="00787457">
        <w:rPr>
          <w:rFonts w:ascii="Times New Roman" w:hAnsi="Times New Roman" w:cs="Times New Roman"/>
          <w:color w:val="222222"/>
          <w:sz w:val="24"/>
          <w:szCs w:val="24"/>
          <w:shd w:val="clear" w:color="auto" w:fill="FFFFFF"/>
        </w:rPr>
        <w:t>Kartha, K. K. (2024). Meristem culture and germplasm preservation. In </w:t>
      </w:r>
      <w:r w:rsidRPr="00787457">
        <w:rPr>
          <w:rFonts w:ascii="Times New Roman" w:hAnsi="Times New Roman" w:cs="Times New Roman"/>
          <w:i/>
          <w:iCs/>
          <w:color w:val="222222"/>
          <w:sz w:val="24"/>
          <w:szCs w:val="24"/>
          <w:shd w:val="clear" w:color="auto" w:fill="FFFFFF"/>
        </w:rPr>
        <w:t>Cryopreservation of plant cells and organs</w:t>
      </w:r>
      <w:r w:rsidRPr="00787457">
        <w:rPr>
          <w:rFonts w:ascii="Times New Roman" w:hAnsi="Times New Roman" w:cs="Times New Roman"/>
          <w:color w:val="222222"/>
          <w:sz w:val="24"/>
          <w:szCs w:val="24"/>
          <w:shd w:val="clear" w:color="auto" w:fill="FFFFFF"/>
        </w:rPr>
        <w:t xml:space="preserve"> (pp. 115-134). </w:t>
      </w:r>
      <w:proofErr w:type="spellStart"/>
      <w:r w:rsidRPr="00787457">
        <w:rPr>
          <w:rFonts w:ascii="Times New Roman" w:hAnsi="Times New Roman" w:cs="Times New Roman"/>
          <w:color w:val="222222"/>
          <w:sz w:val="24"/>
          <w:szCs w:val="24"/>
          <w:shd w:val="clear" w:color="auto" w:fill="FFFFFF"/>
        </w:rPr>
        <w:t>Crc</w:t>
      </w:r>
      <w:proofErr w:type="spellEnd"/>
      <w:r w:rsidRPr="00787457">
        <w:rPr>
          <w:rFonts w:ascii="Times New Roman" w:hAnsi="Times New Roman" w:cs="Times New Roman"/>
          <w:color w:val="222222"/>
          <w:sz w:val="24"/>
          <w:szCs w:val="24"/>
          <w:shd w:val="clear" w:color="auto" w:fill="FFFFFF"/>
        </w:rPr>
        <w:t xml:space="preserve"> Press.</w:t>
      </w:r>
      <w:r w:rsidR="008B3651">
        <w:rPr>
          <w:rFonts w:ascii="Times New Roman" w:hAnsi="Times New Roman" w:cs="Times New Roman"/>
          <w:color w:val="222222"/>
          <w:sz w:val="24"/>
          <w:szCs w:val="24"/>
          <w:shd w:val="clear" w:color="auto" w:fill="FFFFFF"/>
        </w:rPr>
        <w:t xml:space="preserve"> </w:t>
      </w:r>
      <w:hyperlink r:id="rId25" w:history="1">
        <w:r w:rsidR="008B3651" w:rsidRPr="00156E82">
          <w:rPr>
            <w:rStyle w:val="Hyperlink"/>
            <w:rFonts w:ascii="Times New Roman" w:hAnsi="Times New Roman" w:cs="Times New Roman"/>
            <w:sz w:val="24"/>
            <w:szCs w:val="24"/>
            <w:shd w:val="clear" w:color="auto" w:fill="FFFFFF"/>
          </w:rPr>
          <w:t>https://doi.org/10.1201/9781003574675</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Koti, P., &amp; Bill, T. (2025). Plant tissue culture and genetic transformation in crop improvement. </w:t>
      </w:r>
      <w:r w:rsidRPr="00787457">
        <w:rPr>
          <w:rFonts w:ascii="Times New Roman" w:hAnsi="Times New Roman" w:cs="Times New Roman"/>
          <w:i/>
          <w:iCs/>
          <w:color w:val="222222"/>
          <w:sz w:val="24"/>
          <w:szCs w:val="24"/>
          <w:shd w:val="clear" w:color="auto" w:fill="FFFFFF"/>
        </w:rPr>
        <w:t xml:space="preserve">J. </w:t>
      </w:r>
      <w:proofErr w:type="spellStart"/>
      <w:r w:rsidRPr="00787457">
        <w:rPr>
          <w:rFonts w:ascii="Times New Roman" w:hAnsi="Times New Roman" w:cs="Times New Roman"/>
          <w:i/>
          <w:iCs/>
          <w:color w:val="222222"/>
          <w:sz w:val="24"/>
          <w:szCs w:val="24"/>
          <w:shd w:val="clear" w:color="auto" w:fill="FFFFFF"/>
        </w:rPr>
        <w:t>Bacteriol</w:t>
      </w:r>
      <w:proofErr w:type="spellEnd"/>
      <w:r w:rsidRPr="00787457">
        <w:rPr>
          <w:rFonts w:ascii="Times New Roman" w:hAnsi="Times New Roman" w:cs="Times New Roman"/>
          <w:i/>
          <w:iCs/>
          <w:color w:val="222222"/>
          <w:sz w:val="24"/>
          <w:szCs w:val="24"/>
          <w:shd w:val="clear" w:color="auto" w:fill="FFFFFF"/>
        </w:rPr>
        <w:t xml:space="preserve"> </w:t>
      </w:r>
      <w:proofErr w:type="spellStart"/>
      <w:r w:rsidRPr="00787457">
        <w:rPr>
          <w:rFonts w:ascii="Times New Roman" w:hAnsi="Times New Roman" w:cs="Times New Roman"/>
          <w:i/>
          <w:iCs/>
          <w:color w:val="222222"/>
          <w:sz w:val="24"/>
          <w:szCs w:val="24"/>
          <w:shd w:val="clear" w:color="auto" w:fill="FFFFFF"/>
        </w:rPr>
        <w:t>Mycol</w:t>
      </w:r>
      <w:proofErr w:type="spellEnd"/>
      <w:r w:rsidRPr="00787457">
        <w:rPr>
          <w:rFonts w:ascii="Times New Roman" w:hAnsi="Times New Roman" w:cs="Times New Roman"/>
          <w:i/>
          <w:iCs/>
          <w:color w:val="222222"/>
          <w:sz w:val="24"/>
          <w:szCs w:val="24"/>
          <w:shd w:val="clear" w:color="auto" w:fill="FFFFFF"/>
        </w:rPr>
        <w:t xml:space="preserve"> Open Access</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13</w:t>
      </w:r>
      <w:r w:rsidRPr="00787457">
        <w:rPr>
          <w:rFonts w:ascii="Times New Roman" w:hAnsi="Times New Roman" w:cs="Times New Roman"/>
          <w:color w:val="222222"/>
          <w:sz w:val="24"/>
          <w:szCs w:val="24"/>
          <w:shd w:val="clear" w:color="auto" w:fill="FFFFFF"/>
        </w:rPr>
        <w:t>(1), 61-69.</w:t>
      </w:r>
      <w:r w:rsidR="008B3651">
        <w:rPr>
          <w:rFonts w:ascii="Times New Roman" w:hAnsi="Times New Roman" w:cs="Times New Roman"/>
          <w:color w:val="222222"/>
          <w:sz w:val="24"/>
          <w:szCs w:val="24"/>
          <w:shd w:val="clear" w:color="auto" w:fill="FFFFFF"/>
        </w:rPr>
        <w:t xml:space="preserve">  </w:t>
      </w:r>
      <w:hyperlink r:id="rId26" w:history="1">
        <w:r w:rsidR="008B3651" w:rsidRPr="00156E82">
          <w:rPr>
            <w:rStyle w:val="Hyperlink"/>
            <w:rFonts w:ascii="Times New Roman" w:hAnsi="Times New Roman" w:cs="Times New Roman"/>
            <w:sz w:val="24"/>
            <w:szCs w:val="24"/>
            <w:shd w:val="clear" w:color="auto" w:fill="FFFFFF"/>
          </w:rPr>
          <w:t>https://medcraveonline.com/JBMOA/JBMOA-13-00569</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Lal, M., Jamwal, M., Sood, Y., Bakshi, P., Sharma, N., Sharma, S., &amp; Kumar, S. (2023). Micropropagation of fruit crops: A review. </w:t>
      </w:r>
      <w:r w:rsidRPr="00787457">
        <w:rPr>
          <w:rFonts w:ascii="Times New Roman" w:hAnsi="Times New Roman" w:cs="Times New Roman"/>
          <w:i/>
          <w:iCs/>
          <w:color w:val="222222"/>
          <w:sz w:val="24"/>
          <w:szCs w:val="24"/>
          <w:shd w:val="clear" w:color="auto" w:fill="FFFFFF"/>
        </w:rPr>
        <w:t>Plant Science Today</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10</w:t>
      </w:r>
      <w:r w:rsidRPr="00787457">
        <w:rPr>
          <w:rFonts w:ascii="Times New Roman" w:hAnsi="Times New Roman" w:cs="Times New Roman"/>
          <w:color w:val="222222"/>
          <w:sz w:val="24"/>
          <w:szCs w:val="24"/>
          <w:shd w:val="clear" w:color="auto" w:fill="FFFFFF"/>
        </w:rPr>
        <w:t>(1), 108-117.</w:t>
      </w:r>
      <w:r w:rsidR="008B3651">
        <w:rPr>
          <w:rFonts w:ascii="Times New Roman" w:hAnsi="Times New Roman" w:cs="Times New Roman"/>
          <w:color w:val="222222"/>
          <w:sz w:val="24"/>
          <w:szCs w:val="24"/>
          <w:shd w:val="clear" w:color="auto" w:fill="FFFFFF"/>
        </w:rPr>
        <w:t xml:space="preserve"> </w:t>
      </w:r>
      <w:hyperlink r:id="rId27" w:history="1">
        <w:r w:rsidR="008B3651" w:rsidRPr="00156E82">
          <w:rPr>
            <w:rStyle w:val="Hyperlink"/>
            <w:rFonts w:ascii="Times New Roman" w:hAnsi="Times New Roman" w:cs="Times New Roman"/>
            <w:sz w:val="24"/>
            <w:szCs w:val="24"/>
            <w:shd w:val="clear" w:color="auto" w:fill="FFFFFF"/>
          </w:rPr>
          <w:t>https://doi.org/10.14719/pst.1891</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before="100" w:beforeAutospacing="1" w:after="100" w:afterAutospacing="1" w:line="240" w:lineRule="auto"/>
        <w:jc w:val="both"/>
        <w:rPr>
          <w:rFonts w:ascii="Times New Roman" w:eastAsia="Times New Roman" w:hAnsi="Times New Roman" w:cs="Times New Roman"/>
          <w:sz w:val="24"/>
          <w:szCs w:val="24"/>
        </w:rPr>
      </w:pPr>
      <w:r w:rsidRPr="00787457">
        <w:rPr>
          <w:rFonts w:ascii="Times New Roman" w:hAnsi="Times New Roman" w:cs="Times New Roman"/>
          <w:color w:val="222222"/>
          <w:sz w:val="24"/>
          <w:szCs w:val="24"/>
          <w:shd w:val="clear" w:color="auto" w:fill="FFFFFF"/>
        </w:rPr>
        <w:t>Loyola-Vargas, V. M., &amp; Ochoa-Alejo, N. (2018). An introduction to plant tissue culture: advances and perspectives. </w:t>
      </w:r>
      <w:r w:rsidRPr="00787457">
        <w:rPr>
          <w:rFonts w:ascii="Times New Roman" w:hAnsi="Times New Roman" w:cs="Times New Roman"/>
          <w:i/>
          <w:iCs/>
          <w:color w:val="222222"/>
          <w:sz w:val="24"/>
          <w:szCs w:val="24"/>
          <w:shd w:val="clear" w:color="auto" w:fill="FFFFFF"/>
        </w:rPr>
        <w:t>Plant cell culture protocols</w:t>
      </w:r>
      <w:r w:rsidRPr="00787457">
        <w:rPr>
          <w:rFonts w:ascii="Times New Roman" w:hAnsi="Times New Roman" w:cs="Times New Roman"/>
          <w:color w:val="222222"/>
          <w:sz w:val="24"/>
          <w:szCs w:val="24"/>
          <w:shd w:val="clear" w:color="auto" w:fill="FFFFFF"/>
        </w:rPr>
        <w:t>, 3-13.</w:t>
      </w:r>
      <w:r w:rsidR="008B3651">
        <w:rPr>
          <w:rFonts w:ascii="Times New Roman" w:hAnsi="Times New Roman" w:cs="Times New Roman"/>
          <w:color w:val="222222"/>
          <w:sz w:val="24"/>
          <w:szCs w:val="24"/>
          <w:shd w:val="clear" w:color="auto" w:fill="FFFFFF"/>
        </w:rPr>
        <w:t xml:space="preserve"> </w:t>
      </w:r>
      <w:hyperlink r:id="rId28" w:history="1">
        <w:r w:rsidR="008B3651" w:rsidRPr="00156E82">
          <w:rPr>
            <w:rStyle w:val="Hyperlink"/>
            <w:rFonts w:ascii="Times New Roman" w:hAnsi="Times New Roman" w:cs="Times New Roman"/>
            <w:sz w:val="24"/>
            <w:szCs w:val="24"/>
            <w:shd w:val="clear" w:color="auto" w:fill="FFFFFF"/>
          </w:rPr>
          <w:t>https://doi.org/10.1007/978-1-4939-8594-4_1</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 xml:space="preserve">Lyam, P. T., Musa, M., Jamaleddine, Z., Okere, U. A., &amp; </w:t>
      </w:r>
      <w:proofErr w:type="spellStart"/>
      <w:r w:rsidRPr="00787457">
        <w:rPr>
          <w:rFonts w:ascii="Times New Roman" w:hAnsi="Times New Roman" w:cs="Times New Roman"/>
          <w:color w:val="222222"/>
          <w:sz w:val="24"/>
          <w:szCs w:val="24"/>
          <w:shd w:val="clear" w:color="auto" w:fill="FFFFFF"/>
        </w:rPr>
        <w:t>Odofin</w:t>
      </w:r>
      <w:proofErr w:type="spellEnd"/>
      <w:r w:rsidRPr="00787457">
        <w:rPr>
          <w:rFonts w:ascii="Times New Roman" w:hAnsi="Times New Roman" w:cs="Times New Roman"/>
          <w:color w:val="222222"/>
          <w:sz w:val="24"/>
          <w:szCs w:val="24"/>
          <w:shd w:val="clear" w:color="auto" w:fill="FFFFFF"/>
        </w:rPr>
        <w:t>, W. T. (2012). Temporary Immersion Bioreactors (TIBs) potential in meeting crop production demand in Nigeria. </w:t>
      </w:r>
      <w:r w:rsidRPr="00787457">
        <w:rPr>
          <w:rFonts w:ascii="Times New Roman" w:hAnsi="Times New Roman" w:cs="Times New Roman"/>
          <w:i/>
          <w:iCs/>
          <w:color w:val="222222"/>
          <w:sz w:val="24"/>
          <w:szCs w:val="24"/>
          <w:shd w:val="clear" w:color="auto" w:fill="FFFFFF"/>
        </w:rPr>
        <w:t>Journal of Biology and Life Sciences</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3</w:t>
      </w:r>
      <w:r w:rsidRPr="00787457">
        <w:rPr>
          <w:rFonts w:ascii="Times New Roman" w:hAnsi="Times New Roman" w:cs="Times New Roman"/>
          <w:color w:val="222222"/>
          <w:sz w:val="24"/>
          <w:szCs w:val="24"/>
          <w:shd w:val="clear" w:color="auto" w:fill="FFFFFF"/>
        </w:rPr>
        <w:t>(1), 66-86.</w:t>
      </w:r>
      <w:r w:rsidR="008B3651">
        <w:rPr>
          <w:rFonts w:ascii="Times New Roman" w:hAnsi="Times New Roman" w:cs="Times New Roman"/>
          <w:color w:val="222222"/>
          <w:sz w:val="24"/>
          <w:szCs w:val="24"/>
          <w:shd w:val="clear" w:color="auto" w:fill="FFFFFF"/>
        </w:rPr>
        <w:t xml:space="preserve"> </w:t>
      </w:r>
      <w:hyperlink r:id="rId29" w:history="1">
        <w:r w:rsidR="008B3651" w:rsidRPr="00156E82">
          <w:rPr>
            <w:rStyle w:val="Hyperlink"/>
            <w:rFonts w:ascii="Times New Roman" w:hAnsi="Times New Roman" w:cs="Times New Roman"/>
            <w:sz w:val="24"/>
            <w:szCs w:val="24"/>
            <w:shd w:val="clear" w:color="auto" w:fill="FFFFFF"/>
          </w:rPr>
          <w:t>https://doi.org/10.5296/jbls.v3i1.1156</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Méndez-Hernández, H. A., Ledezma-Rodríguez, M., Avilez-Montalvo, R. N., Juárez-Gómez, Y. L., Skeete, A., Avilez-Montalvo, J., ... &amp; Loyola-Vargas, V. M. (2019). Signaling overview of plant somatic embryogenesis. </w:t>
      </w:r>
      <w:r w:rsidRPr="00787457">
        <w:rPr>
          <w:rFonts w:ascii="Times New Roman" w:hAnsi="Times New Roman" w:cs="Times New Roman"/>
          <w:i/>
          <w:iCs/>
          <w:color w:val="222222"/>
          <w:sz w:val="24"/>
          <w:szCs w:val="24"/>
          <w:shd w:val="clear" w:color="auto" w:fill="FFFFFF"/>
        </w:rPr>
        <w:t>Frontiers in plant science</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10</w:t>
      </w:r>
      <w:r w:rsidRPr="00787457">
        <w:rPr>
          <w:rFonts w:ascii="Times New Roman" w:hAnsi="Times New Roman" w:cs="Times New Roman"/>
          <w:color w:val="222222"/>
          <w:sz w:val="24"/>
          <w:szCs w:val="24"/>
          <w:shd w:val="clear" w:color="auto" w:fill="FFFFFF"/>
        </w:rPr>
        <w:t>, 77.</w:t>
      </w:r>
      <w:r w:rsidR="008B3651">
        <w:rPr>
          <w:rFonts w:ascii="Times New Roman" w:hAnsi="Times New Roman" w:cs="Times New Roman"/>
          <w:color w:val="222222"/>
          <w:sz w:val="24"/>
          <w:szCs w:val="24"/>
          <w:shd w:val="clear" w:color="auto" w:fill="FFFFFF"/>
        </w:rPr>
        <w:t xml:space="preserve"> </w:t>
      </w:r>
      <w:hyperlink r:id="rId30" w:history="1">
        <w:r w:rsidR="008B3651" w:rsidRPr="00156E82">
          <w:rPr>
            <w:rStyle w:val="Hyperlink"/>
            <w:rFonts w:ascii="Times New Roman" w:hAnsi="Times New Roman" w:cs="Times New Roman"/>
            <w:sz w:val="24"/>
            <w:szCs w:val="24"/>
            <w:shd w:val="clear" w:color="auto" w:fill="FFFFFF"/>
          </w:rPr>
          <w:t>https://doi.org/10.3389/fpls.2019.00077</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Murthy, H. N., Joseph, K. S., Paek, K. Y., &amp; Park, S. Y. (2023). Bioreactor systems for micropropagation of plants: present scenario and future prospects. </w:t>
      </w:r>
      <w:r w:rsidRPr="00787457">
        <w:rPr>
          <w:rFonts w:ascii="Times New Roman" w:hAnsi="Times New Roman" w:cs="Times New Roman"/>
          <w:i/>
          <w:iCs/>
          <w:color w:val="222222"/>
          <w:sz w:val="24"/>
          <w:szCs w:val="24"/>
          <w:shd w:val="clear" w:color="auto" w:fill="FFFFFF"/>
        </w:rPr>
        <w:t>Frontiers in plant science</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14</w:t>
      </w:r>
      <w:r w:rsidRPr="00787457">
        <w:rPr>
          <w:rFonts w:ascii="Times New Roman" w:hAnsi="Times New Roman" w:cs="Times New Roman"/>
          <w:color w:val="222222"/>
          <w:sz w:val="24"/>
          <w:szCs w:val="24"/>
          <w:shd w:val="clear" w:color="auto" w:fill="FFFFFF"/>
        </w:rPr>
        <w:t>, 1159588.</w:t>
      </w:r>
      <w:r w:rsidR="008B3651">
        <w:rPr>
          <w:rFonts w:ascii="Times New Roman" w:hAnsi="Times New Roman" w:cs="Times New Roman"/>
          <w:color w:val="222222"/>
          <w:sz w:val="24"/>
          <w:szCs w:val="24"/>
          <w:shd w:val="clear" w:color="auto" w:fill="FFFFFF"/>
        </w:rPr>
        <w:t xml:space="preserve"> </w:t>
      </w:r>
      <w:hyperlink r:id="rId31" w:history="1">
        <w:r w:rsidR="008B3651" w:rsidRPr="00156E82">
          <w:rPr>
            <w:rStyle w:val="Hyperlink"/>
            <w:rFonts w:ascii="Times New Roman" w:hAnsi="Times New Roman" w:cs="Times New Roman"/>
            <w:sz w:val="24"/>
            <w:szCs w:val="24"/>
            <w:shd w:val="clear" w:color="auto" w:fill="FFFFFF"/>
          </w:rPr>
          <w:t>https://doi.org/10.3389/fpls.2023.1159588</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 xml:space="preserve">Pádua, M. S., Santos, R. S., </w:t>
      </w:r>
      <w:proofErr w:type="spellStart"/>
      <w:r w:rsidRPr="00787457">
        <w:rPr>
          <w:rFonts w:ascii="Times New Roman" w:hAnsi="Times New Roman" w:cs="Times New Roman"/>
          <w:color w:val="222222"/>
          <w:sz w:val="24"/>
          <w:szCs w:val="24"/>
          <w:shd w:val="clear" w:color="auto" w:fill="FFFFFF"/>
        </w:rPr>
        <w:t>Labory</w:t>
      </w:r>
      <w:proofErr w:type="spellEnd"/>
      <w:r w:rsidRPr="00787457">
        <w:rPr>
          <w:rFonts w:ascii="Times New Roman" w:hAnsi="Times New Roman" w:cs="Times New Roman"/>
          <w:color w:val="222222"/>
          <w:sz w:val="24"/>
          <w:szCs w:val="24"/>
          <w:shd w:val="clear" w:color="auto" w:fill="FFFFFF"/>
        </w:rPr>
        <w:t>, C. R. G., Stein, V. C., Mendonça, E. G., Alves, E., &amp; Paiva, L. V. (2018). Histodifferentiation of oil palm somatic embryo development at low auxin concentration. </w:t>
      </w:r>
      <w:proofErr w:type="spellStart"/>
      <w:r w:rsidRPr="00787457">
        <w:rPr>
          <w:rFonts w:ascii="Times New Roman" w:hAnsi="Times New Roman" w:cs="Times New Roman"/>
          <w:i/>
          <w:iCs/>
          <w:color w:val="222222"/>
          <w:sz w:val="24"/>
          <w:szCs w:val="24"/>
          <w:shd w:val="clear" w:color="auto" w:fill="FFFFFF"/>
        </w:rPr>
        <w:t>Protoplasma</w:t>
      </w:r>
      <w:proofErr w:type="spellEnd"/>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255</w:t>
      </w:r>
      <w:r w:rsidRPr="00787457">
        <w:rPr>
          <w:rFonts w:ascii="Times New Roman" w:hAnsi="Times New Roman" w:cs="Times New Roman"/>
          <w:color w:val="222222"/>
          <w:sz w:val="24"/>
          <w:szCs w:val="24"/>
          <w:shd w:val="clear" w:color="auto" w:fill="FFFFFF"/>
        </w:rPr>
        <w:t>(1), 285-295.</w:t>
      </w:r>
      <w:r w:rsidR="008B3651">
        <w:rPr>
          <w:rFonts w:ascii="Times New Roman" w:hAnsi="Times New Roman" w:cs="Times New Roman"/>
          <w:color w:val="222222"/>
          <w:sz w:val="24"/>
          <w:szCs w:val="24"/>
          <w:shd w:val="clear" w:color="auto" w:fill="FFFFFF"/>
        </w:rPr>
        <w:t xml:space="preserve"> </w:t>
      </w:r>
      <w:hyperlink r:id="rId32" w:history="1">
        <w:r w:rsidR="008B3651" w:rsidRPr="00156E82">
          <w:rPr>
            <w:rStyle w:val="Hyperlink"/>
            <w:rFonts w:ascii="Times New Roman" w:hAnsi="Times New Roman" w:cs="Times New Roman"/>
            <w:sz w:val="24"/>
            <w:szCs w:val="24"/>
            <w:shd w:val="clear" w:color="auto" w:fill="FFFFFF"/>
          </w:rPr>
          <w:t>https://doi.org/10.1007/s00709-017-1143-7</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lastRenderedPageBreak/>
        <w:t>Pandey, H., Misra, V., Sharma, A., Chatterjee, B., Sutradhar, M., Kumar, R., ... &amp; Sharma, S. (2025). Interventions of plant tissue culture techniques and genome editing in medicinally important spice crops. </w:t>
      </w:r>
      <w:r w:rsidRPr="00787457">
        <w:rPr>
          <w:rFonts w:ascii="Times New Roman" w:hAnsi="Times New Roman" w:cs="Times New Roman"/>
          <w:i/>
          <w:iCs/>
          <w:color w:val="222222"/>
          <w:sz w:val="24"/>
          <w:szCs w:val="24"/>
          <w:shd w:val="clear" w:color="auto" w:fill="FFFFFF"/>
        </w:rPr>
        <w:t>Medicinal Plant Biology</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4</w:t>
      </w:r>
      <w:r w:rsidRPr="00787457">
        <w:rPr>
          <w:rFonts w:ascii="Times New Roman" w:hAnsi="Times New Roman" w:cs="Times New Roman"/>
          <w:color w:val="222222"/>
          <w:sz w:val="24"/>
          <w:szCs w:val="24"/>
          <w:shd w:val="clear" w:color="auto" w:fill="FFFFFF"/>
        </w:rPr>
        <w:t>(1).</w:t>
      </w:r>
      <w:r w:rsidR="008B3651">
        <w:rPr>
          <w:rFonts w:ascii="Times New Roman" w:hAnsi="Times New Roman" w:cs="Times New Roman"/>
          <w:color w:val="222222"/>
          <w:sz w:val="24"/>
          <w:szCs w:val="24"/>
          <w:shd w:val="clear" w:color="auto" w:fill="FFFFFF"/>
        </w:rPr>
        <w:t xml:space="preserve"> </w:t>
      </w:r>
      <w:hyperlink r:id="rId33" w:history="1">
        <w:r w:rsidR="008B3651" w:rsidRPr="00156E82">
          <w:rPr>
            <w:rStyle w:val="Hyperlink"/>
            <w:rFonts w:ascii="Times New Roman" w:hAnsi="Times New Roman" w:cs="Times New Roman"/>
            <w:sz w:val="24"/>
            <w:szCs w:val="24"/>
            <w:shd w:val="clear" w:color="auto" w:fill="FFFFFF"/>
          </w:rPr>
          <w:t>https://doi.org/10.48130/mpb-0025-0023</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 xml:space="preserve">Parmar, N., Singh, K. H., Sharma, D., Singh, L., Kumar, P., </w:t>
      </w:r>
      <w:proofErr w:type="spellStart"/>
      <w:r w:rsidRPr="00787457">
        <w:rPr>
          <w:rFonts w:ascii="Times New Roman" w:hAnsi="Times New Roman" w:cs="Times New Roman"/>
          <w:color w:val="222222"/>
          <w:sz w:val="24"/>
          <w:szCs w:val="24"/>
          <w:shd w:val="clear" w:color="auto" w:fill="FFFFFF"/>
        </w:rPr>
        <w:t>Nanjundan</w:t>
      </w:r>
      <w:proofErr w:type="spellEnd"/>
      <w:r w:rsidRPr="00787457">
        <w:rPr>
          <w:rFonts w:ascii="Times New Roman" w:hAnsi="Times New Roman" w:cs="Times New Roman"/>
          <w:color w:val="222222"/>
          <w:sz w:val="24"/>
          <w:szCs w:val="24"/>
          <w:shd w:val="clear" w:color="auto" w:fill="FFFFFF"/>
        </w:rPr>
        <w:t>, J., ... &amp; Thakur, A. K. (2017). Genetic engineering strategies for biotic and abiotic stress tolerance and quality enhancement in horticultural crops: a comprehensive review. </w:t>
      </w:r>
      <w:r w:rsidRPr="00787457">
        <w:rPr>
          <w:rFonts w:ascii="Times New Roman" w:hAnsi="Times New Roman" w:cs="Times New Roman"/>
          <w:i/>
          <w:iCs/>
          <w:color w:val="222222"/>
          <w:sz w:val="24"/>
          <w:szCs w:val="24"/>
          <w:shd w:val="clear" w:color="auto" w:fill="FFFFFF"/>
        </w:rPr>
        <w:t>3 Biotech</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7</w:t>
      </w:r>
      <w:r w:rsidRPr="00787457">
        <w:rPr>
          <w:rFonts w:ascii="Times New Roman" w:hAnsi="Times New Roman" w:cs="Times New Roman"/>
          <w:color w:val="222222"/>
          <w:sz w:val="24"/>
          <w:szCs w:val="24"/>
          <w:shd w:val="clear" w:color="auto" w:fill="FFFFFF"/>
        </w:rPr>
        <w:t>(4), 239.</w:t>
      </w:r>
      <w:r w:rsidR="008B3651">
        <w:rPr>
          <w:rFonts w:ascii="Times New Roman" w:hAnsi="Times New Roman" w:cs="Times New Roman"/>
          <w:color w:val="222222"/>
          <w:sz w:val="24"/>
          <w:szCs w:val="24"/>
          <w:shd w:val="clear" w:color="auto" w:fill="FFFFFF"/>
        </w:rPr>
        <w:t xml:space="preserve"> </w:t>
      </w:r>
      <w:hyperlink r:id="rId34" w:history="1">
        <w:r w:rsidR="008B3651" w:rsidRPr="00156E82">
          <w:rPr>
            <w:rStyle w:val="Hyperlink"/>
            <w:rFonts w:ascii="Times New Roman" w:hAnsi="Times New Roman" w:cs="Times New Roman"/>
            <w:sz w:val="24"/>
            <w:szCs w:val="24"/>
            <w:shd w:val="clear" w:color="auto" w:fill="FFFFFF"/>
          </w:rPr>
          <w:t>https://doi.org/10.1007/s13205-017-0870-y</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proofErr w:type="spellStart"/>
      <w:r w:rsidRPr="00787457">
        <w:rPr>
          <w:rFonts w:ascii="Times New Roman" w:hAnsi="Times New Roman" w:cs="Times New Roman"/>
          <w:color w:val="222222"/>
          <w:sz w:val="24"/>
          <w:szCs w:val="24"/>
          <w:shd w:val="clear" w:color="auto" w:fill="FFFFFF"/>
        </w:rPr>
        <w:t>Pithiya</w:t>
      </w:r>
      <w:proofErr w:type="spellEnd"/>
      <w:r w:rsidRPr="00787457">
        <w:rPr>
          <w:rFonts w:ascii="Times New Roman" w:hAnsi="Times New Roman" w:cs="Times New Roman"/>
          <w:color w:val="222222"/>
          <w:sz w:val="24"/>
          <w:szCs w:val="24"/>
          <w:shd w:val="clear" w:color="auto" w:fill="FFFFFF"/>
        </w:rPr>
        <w:t>, M. B., Sharma, S. K., Sharma, M., Sharma, M., &amp; Kotwal, N. (2022). Advancements and challenges in plant tissue culture: a comprehensive overview. </w:t>
      </w:r>
      <w:r w:rsidRPr="00787457">
        <w:rPr>
          <w:rFonts w:ascii="Times New Roman" w:hAnsi="Times New Roman" w:cs="Times New Roman"/>
          <w:i/>
          <w:iCs/>
          <w:color w:val="222222"/>
          <w:sz w:val="24"/>
          <w:szCs w:val="24"/>
          <w:shd w:val="clear" w:color="auto" w:fill="FFFFFF"/>
        </w:rPr>
        <w:t>J Plant Biota</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w:t>
      </w:r>
      <w:r w:rsidRPr="00787457">
        <w:rPr>
          <w:rFonts w:ascii="Times New Roman" w:hAnsi="Times New Roman" w:cs="Times New Roman"/>
          <w:color w:val="222222"/>
          <w:sz w:val="24"/>
          <w:szCs w:val="24"/>
          <w:shd w:val="clear" w:color="auto" w:fill="FFFFFF"/>
        </w:rPr>
        <w:t>, 12-16.</w:t>
      </w:r>
      <w:r w:rsidR="008B3651">
        <w:rPr>
          <w:rFonts w:ascii="Times New Roman" w:hAnsi="Times New Roman" w:cs="Times New Roman"/>
          <w:color w:val="222222"/>
          <w:sz w:val="24"/>
          <w:szCs w:val="24"/>
          <w:shd w:val="clear" w:color="auto" w:fill="FFFFFF"/>
        </w:rPr>
        <w:t xml:space="preserve"> </w:t>
      </w:r>
      <w:hyperlink r:id="rId35" w:history="1">
        <w:r w:rsidR="008B3651" w:rsidRPr="00156E82">
          <w:rPr>
            <w:rStyle w:val="Hyperlink"/>
            <w:rFonts w:ascii="Times New Roman" w:hAnsi="Times New Roman" w:cs="Times New Roman"/>
            <w:sz w:val="24"/>
            <w:szCs w:val="24"/>
            <w:shd w:val="clear" w:color="auto" w:fill="FFFFFF"/>
          </w:rPr>
          <w:t>https://doi.org/10.51470/JPB.2022.1.1.12</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 xml:space="preserve">Quiroz, L. F., Khan, M., </w:t>
      </w:r>
      <w:proofErr w:type="spellStart"/>
      <w:r w:rsidRPr="00787457">
        <w:rPr>
          <w:rFonts w:ascii="Times New Roman" w:hAnsi="Times New Roman" w:cs="Times New Roman"/>
          <w:color w:val="222222"/>
          <w:sz w:val="24"/>
          <w:szCs w:val="24"/>
          <w:shd w:val="clear" w:color="auto" w:fill="FFFFFF"/>
        </w:rPr>
        <w:t>Gondalia</w:t>
      </w:r>
      <w:proofErr w:type="spellEnd"/>
      <w:r w:rsidRPr="00787457">
        <w:rPr>
          <w:rFonts w:ascii="Times New Roman" w:hAnsi="Times New Roman" w:cs="Times New Roman"/>
          <w:color w:val="222222"/>
          <w:sz w:val="24"/>
          <w:szCs w:val="24"/>
          <w:shd w:val="clear" w:color="auto" w:fill="FFFFFF"/>
        </w:rPr>
        <w:t>, N., Lai, L., McKeown, P. C., Brychkova, G., &amp; Spillane, C. (2025). Tissue culture-independent approaches to revolutionizing plant transformation and gene editing. </w:t>
      </w:r>
      <w:r w:rsidRPr="00787457">
        <w:rPr>
          <w:rFonts w:ascii="Times New Roman" w:hAnsi="Times New Roman" w:cs="Times New Roman"/>
          <w:i/>
          <w:iCs/>
          <w:color w:val="222222"/>
          <w:sz w:val="24"/>
          <w:szCs w:val="24"/>
          <w:shd w:val="clear" w:color="auto" w:fill="FFFFFF"/>
        </w:rPr>
        <w:t>Horticulture Research</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12</w:t>
      </w:r>
      <w:r w:rsidRPr="00787457">
        <w:rPr>
          <w:rFonts w:ascii="Times New Roman" w:hAnsi="Times New Roman" w:cs="Times New Roman"/>
          <w:color w:val="222222"/>
          <w:sz w:val="24"/>
          <w:szCs w:val="24"/>
          <w:shd w:val="clear" w:color="auto" w:fill="FFFFFF"/>
        </w:rPr>
        <w:t>(2), uhae292.</w:t>
      </w:r>
      <w:r w:rsidR="008B3651">
        <w:rPr>
          <w:rFonts w:ascii="Times New Roman" w:hAnsi="Times New Roman" w:cs="Times New Roman"/>
          <w:color w:val="222222"/>
          <w:sz w:val="24"/>
          <w:szCs w:val="24"/>
          <w:shd w:val="clear" w:color="auto" w:fill="FFFFFF"/>
        </w:rPr>
        <w:t xml:space="preserve"> </w:t>
      </w:r>
      <w:hyperlink r:id="rId36" w:history="1">
        <w:r w:rsidR="008B3651" w:rsidRPr="00156E82">
          <w:rPr>
            <w:rStyle w:val="Hyperlink"/>
            <w:rFonts w:ascii="Times New Roman" w:hAnsi="Times New Roman" w:cs="Times New Roman"/>
            <w:sz w:val="24"/>
            <w:szCs w:val="24"/>
            <w:shd w:val="clear" w:color="auto" w:fill="FFFFFF"/>
          </w:rPr>
          <w:t>https://doi.org/10.1093/hr/uhae292</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before="100" w:beforeAutospacing="1" w:after="100" w:afterAutospacing="1" w:line="240" w:lineRule="auto"/>
        <w:jc w:val="both"/>
        <w:rPr>
          <w:rFonts w:ascii="Times New Roman" w:eastAsia="Times New Roman" w:hAnsi="Times New Roman" w:cs="Times New Roman"/>
          <w:sz w:val="24"/>
          <w:szCs w:val="24"/>
        </w:rPr>
      </w:pPr>
      <w:r w:rsidRPr="00787457">
        <w:rPr>
          <w:rFonts w:ascii="Times New Roman" w:hAnsi="Times New Roman" w:cs="Times New Roman"/>
          <w:color w:val="222222"/>
          <w:sz w:val="24"/>
          <w:szCs w:val="24"/>
          <w:shd w:val="clear" w:color="auto" w:fill="FFFFFF"/>
        </w:rPr>
        <w:t>Rai, A. C., Kumar, A., Modi, A., &amp; Singh, M. (Eds.). (2022). </w:t>
      </w:r>
      <w:r w:rsidRPr="00787457">
        <w:rPr>
          <w:rFonts w:ascii="Times New Roman" w:hAnsi="Times New Roman" w:cs="Times New Roman"/>
          <w:i/>
          <w:iCs/>
          <w:color w:val="222222"/>
          <w:sz w:val="24"/>
          <w:szCs w:val="24"/>
          <w:shd w:val="clear" w:color="auto" w:fill="FFFFFF"/>
        </w:rPr>
        <w:t>Advances in plant tissue culture: current developments and future trends</w:t>
      </w:r>
      <w:r w:rsidRPr="00787457">
        <w:rPr>
          <w:rFonts w:ascii="Times New Roman" w:hAnsi="Times New Roman" w:cs="Times New Roman"/>
          <w:color w:val="222222"/>
          <w:sz w:val="24"/>
          <w:szCs w:val="24"/>
          <w:shd w:val="clear" w:color="auto" w:fill="FFFFFF"/>
        </w:rPr>
        <w:t>. Academic Press.</w:t>
      </w:r>
      <w:r w:rsidR="008B3651">
        <w:rPr>
          <w:rFonts w:ascii="Times New Roman" w:hAnsi="Times New Roman" w:cs="Times New Roman"/>
          <w:color w:val="222222"/>
          <w:sz w:val="24"/>
          <w:szCs w:val="24"/>
          <w:shd w:val="clear" w:color="auto" w:fill="FFFFFF"/>
        </w:rPr>
        <w:t xml:space="preserve"> </w:t>
      </w:r>
      <w:hyperlink r:id="rId37" w:history="1">
        <w:r w:rsidR="008B3651" w:rsidRPr="00156E82">
          <w:rPr>
            <w:rStyle w:val="Hyperlink"/>
            <w:rFonts w:ascii="Times New Roman" w:hAnsi="Times New Roman" w:cs="Times New Roman"/>
            <w:sz w:val="24"/>
            <w:szCs w:val="24"/>
            <w:shd w:val="clear" w:color="auto" w:fill="FFFFFF"/>
          </w:rPr>
          <w:t>https://www.elsevier.com/books/advances-in-plant-tissue-culture/rai/978-0-323-90795-8</w:t>
        </w:r>
      </w:hyperlink>
      <w:r w:rsidR="008B3651">
        <w:rPr>
          <w:rFonts w:ascii="Times New Roman" w:hAnsi="Times New Roman" w:cs="Times New Roman"/>
          <w:color w:val="222222"/>
          <w:sz w:val="24"/>
          <w:szCs w:val="24"/>
          <w:shd w:val="clear" w:color="auto" w:fill="FFFFFF"/>
        </w:rPr>
        <w:t xml:space="preserve"> </w:t>
      </w:r>
    </w:p>
    <w:p w:rsidR="008B3651" w:rsidRPr="008B3651" w:rsidRDefault="008B3651" w:rsidP="008B3651">
      <w:pPr>
        <w:jc w:val="both"/>
        <w:rPr>
          <w:rFonts w:ascii="Arial" w:eastAsia="Times New Roman" w:hAnsi="Arial" w:cs="Arial"/>
        </w:rPr>
      </w:pPr>
      <w:proofErr w:type="spellStart"/>
      <w:r w:rsidRPr="008B3651">
        <w:rPr>
          <w:rFonts w:ascii="Arial" w:eastAsia="Times New Roman" w:hAnsi="Arial" w:cs="Arial"/>
        </w:rPr>
        <w:t>Rajeevan</w:t>
      </w:r>
      <w:proofErr w:type="spellEnd"/>
      <w:r w:rsidRPr="008B3651">
        <w:rPr>
          <w:rFonts w:ascii="Arial" w:eastAsia="Times New Roman" w:hAnsi="Arial" w:cs="Arial"/>
        </w:rPr>
        <w:t xml:space="preserve">, P. K., Geetha, C. K., &amp; Rajendran, P. (2017). Orchid-centric floriculture development in Kerala, India. </w:t>
      </w:r>
      <w:proofErr w:type="spellStart"/>
      <w:r w:rsidRPr="008B3651">
        <w:rPr>
          <w:rFonts w:ascii="Arial" w:eastAsia="Times New Roman" w:hAnsi="Arial" w:cs="Arial"/>
        </w:rPr>
        <w:t>Acta</w:t>
      </w:r>
      <w:proofErr w:type="spellEnd"/>
      <w:r w:rsidRPr="008B3651">
        <w:rPr>
          <w:rFonts w:ascii="Arial" w:eastAsia="Times New Roman" w:hAnsi="Arial" w:cs="Arial"/>
        </w:rPr>
        <w:t xml:space="preserve"> </w:t>
      </w:r>
      <w:proofErr w:type="spellStart"/>
      <w:r w:rsidRPr="008B3651">
        <w:rPr>
          <w:rFonts w:ascii="Arial" w:eastAsia="Times New Roman" w:hAnsi="Arial" w:cs="Arial"/>
        </w:rPr>
        <w:t>Horticulturae</w:t>
      </w:r>
      <w:proofErr w:type="spellEnd"/>
      <w:r w:rsidRPr="008B3651">
        <w:rPr>
          <w:rFonts w:ascii="Arial" w:eastAsia="Times New Roman" w:hAnsi="Arial" w:cs="Arial"/>
        </w:rPr>
        <w:t xml:space="preserve">, (1165), 15-26. </w:t>
      </w:r>
      <w:hyperlink r:id="rId38" w:history="1">
        <w:r w:rsidRPr="00156E82">
          <w:rPr>
            <w:rStyle w:val="Hyperlink"/>
            <w:rFonts w:ascii="Arial" w:eastAsia="Times New Roman" w:hAnsi="Arial" w:cs="Arial"/>
          </w:rPr>
          <w:t>https://doi.org/10.17660/ActaHortic.2017.1165.3</w:t>
        </w:r>
      </w:hyperlink>
      <w:r>
        <w:rPr>
          <w:rFonts w:ascii="Arial" w:eastAsia="Times New Roman" w:hAnsi="Arial" w:cs="Arial"/>
        </w:rPr>
        <w:t xml:space="preserve"> </w:t>
      </w:r>
    </w:p>
    <w:p w:rsidR="00787457" w:rsidRPr="00787457" w:rsidRDefault="008B3651" w:rsidP="00787457">
      <w:pPr>
        <w:spacing w:line="276"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 </w:t>
      </w:r>
      <w:proofErr w:type="spellStart"/>
      <w:r w:rsidR="00787457" w:rsidRPr="00787457">
        <w:rPr>
          <w:rFonts w:ascii="Times New Roman" w:hAnsi="Times New Roman" w:cs="Times New Roman"/>
          <w:color w:val="222222"/>
          <w:sz w:val="24"/>
          <w:szCs w:val="24"/>
          <w:shd w:val="clear" w:color="auto" w:fill="FFFFFF"/>
        </w:rPr>
        <w:t>Ramírez-Mosqueda</w:t>
      </w:r>
      <w:proofErr w:type="spellEnd"/>
      <w:r w:rsidR="00787457" w:rsidRPr="00787457">
        <w:rPr>
          <w:rFonts w:ascii="Times New Roman" w:hAnsi="Times New Roman" w:cs="Times New Roman"/>
          <w:color w:val="222222"/>
          <w:sz w:val="24"/>
          <w:szCs w:val="24"/>
          <w:shd w:val="clear" w:color="auto" w:fill="FFFFFF"/>
        </w:rPr>
        <w:t xml:space="preserve">, M. A., Cadena-Zamudio, J. D., Cruz-Cruz, C. A., Aguirre-Noyola, J. L., </w:t>
      </w:r>
      <w:proofErr w:type="spellStart"/>
      <w:r w:rsidR="00787457" w:rsidRPr="00787457">
        <w:rPr>
          <w:rFonts w:ascii="Times New Roman" w:hAnsi="Times New Roman" w:cs="Times New Roman"/>
          <w:color w:val="222222"/>
          <w:sz w:val="24"/>
          <w:szCs w:val="24"/>
          <w:shd w:val="clear" w:color="auto" w:fill="FFFFFF"/>
        </w:rPr>
        <w:t>Barbón</w:t>
      </w:r>
      <w:proofErr w:type="spellEnd"/>
      <w:r w:rsidR="00787457" w:rsidRPr="00787457">
        <w:rPr>
          <w:rFonts w:ascii="Times New Roman" w:hAnsi="Times New Roman" w:cs="Times New Roman"/>
          <w:color w:val="222222"/>
          <w:sz w:val="24"/>
          <w:szCs w:val="24"/>
          <w:shd w:val="clear" w:color="auto" w:fill="FFFFFF"/>
        </w:rPr>
        <w:t>, R., Gómez-Kosky, R., &amp; Angulo, C. (2025). Somatic Embryogenesis: A Biotechnological Route in the Production of Recombinant Proteins. </w:t>
      </w:r>
      <w:proofErr w:type="spellStart"/>
      <w:r w:rsidR="00787457" w:rsidRPr="00787457">
        <w:rPr>
          <w:rFonts w:ascii="Times New Roman" w:hAnsi="Times New Roman" w:cs="Times New Roman"/>
          <w:i/>
          <w:iCs/>
          <w:color w:val="222222"/>
          <w:sz w:val="24"/>
          <w:szCs w:val="24"/>
          <w:shd w:val="clear" w:color="auto" w:fill="FFFFFF"/>
        </w:rPr>
        <w:t>BioTech</w:t>
      </w:r>
      <w:proofErr w:type="spellEnd"/>
      <w:r w:rsidR="00787457" w:rsidRPr="00787457">
        <w:rPr>
          <w:rFonts w:ascii="Times New Roman" w:hAnsi="Times New Roman" w:cs="Times New Roman"/>
          <w:color w:val="222222"/>
          <w:sz w:val="24"/>
          <w:szCs w:val="24"/>
          <w:shd w:val="clear" w:color="auto" w:fill="FFFFFF"/>
        </w:rPr>
        <w:t>, </w:t>
      </w:r>
      <w:r w:rsidR="00787457" w:rsidRPr="00787457">
        <w:rPr>
          <w:rFonts w:ascii="Times New Roman" w:hAnsi="Times New Roman" w:cs="Times New Roman"/>
          <w:i/>
          <w:iCs/>
          <w:color w:val="222222"/>
          <w:sz w:val="24"/>
          <w:szCs w:val="24"/>
          <w:shd w:val="clear" w:color="auto" w:fill="FFFFFF"/>
        </w:rPr>
        <w:t>14</w:t>
      </w:r>
      <w:r w:rsidR="00787457" w:rsidRPr="00787457">
        <w:rPr>
          <w:rFonts w:ascii="Times New Roman" w:hAnsi="Times New Roman" w:cs="Times New Roman"/>
          <w:color w:val="222222"/>
          <w:sz w:val="24"/>
          <w:szCs w:val="24"/>
          <w:shd w:val="clear" w:color="auto" w:fill="FFFFFF"/>
        </w:rPr>
        <w:t>(4), 93.</w:t>
      </w:r>
      <w:r>
        <w:rPr>
          <w:rFonts w:ascii="Times New Roman" w:hAnsi="Times New Roman" w:cs="Times New Roman"/>
          <w:color w:val="222222"/>
          <w:sz w:val="24"/>
          <w:szCs w:val="24"/>
          <w:shd w:val="clear" w:color="auto" w:fill="FFFFFF"/>
        </w:rPr>
        <w:t xml:space="preserve"> </w:t>
      </w:r>
      <w:hyperlink r:id="rId39" w:history="1">
        <w:r w:rsidRPr="00156E82">
          <w:rPr>
            <w:rStyle w:val="Hyperlink"/>
            <w:rFonts w:ascii="Times New Roman" w:hAnsi="Times New Roman" w:cs="Times New Roman"/>
            <w:sz w:val="24"/>
            <w:szCs w:val="24"/>
            <w:shd w:val="clear" w:color="auto" w:fill="FFFFFF"/>
          </w:rPr>
          <w:t>https://doi.org/10.3390/biotech14040093</w:t>
        </w:r>
      </w:hyperlink>
      <w:r>
        <w:rPr>
          <w:rFonts w:ascii="Times New Roman" w:hAnsi="Times New Roman" w:cs="Times New Roman"/>
          <w:color w:val="222222"/>
          <w:sz w:val="24"/>
          <w:szCs w:val="24"/>
          <w:shd w:val="clear" w:color="auto" w:fill="FFFFFF"/>
        </w:rPr>
        <w:t xml:space="preserve"> </w:t>
      </w:r>
    </w:p>
    <w:p w:rsidR="00787457" w:rsidRPr="00787457" w:rsidRDefault="00787457" w:rsidP="00787457">
      <w:pPr>
        <w:spacing w:before="100" w:beforeAutospacing="1" w:after="100" w:afterAutospacing="1" w:line="240" w:lineRule="auto"/>
        <w:jc w:val="both"/>
        <w:rPr>
          <w:rFonts w:ascii="Times New Roman" w:eastAsia="Times New Roman" w:hAnsi="Times New Roman" w:cs="Times New Roman"/>
          <w:sz w:val="24"/>
          <w:szCs w:val="24"/>
        </w:rPr>
      </w:pPr>
      <w:r w:rsidRPr="00787457">
        <w:rPr>
          <w:rFonts w:ascii="Times New Roman" w:hAnsi="Times New Roman" w:cs="Times New Roman"/>
          <w:color w:val="222222"/>
          <w:sz w:val="24"/>
          <w:szCs w:val="24"/>
          <w:shd w:val="clear" w:color="auto" w:fill="FFFFFF"/>
        </w:rPr>
        <w:t>Razdan, M. K. (2002). </w:t>
      </w:r>
      <w:r w:rsidRPr="00787457">
        <w:rPr>
          <w:rFonts w:ascii="Times New Roman" w:hAnsi="Times New Roman" w:cs="Times New Roman"/>
          <w:i/>
          <w:iCs/>
          <w:color w:val="222222"/>
          <w:sz w:val="24"/>
          <w:szCs w:val="24"/>
          <w:shd w:val="clear" w:color="auto" w:fill="FFFFFF"/>
        </w:rPr>
        <w:t>An introduction to plant tissue culture</w:t>
      </w:r>
      <w:r w:rsidRPr="00787457">
        <w:rPr>
          <w:rFonts w:ascii="Times New Roman" w:hAnsi="Times New Roman" w:cs="Times New Roman"/>
          <w:color w:val="222222"/>
          <w:sz w:val="24"/>
          <w:szCs w:val="24"/>
          <w:shd w:val="clear" w:color="auto" w:fill="FFFFFF"/>
        </w:rPr>
        <w:t>. Oxford and IBH publishing.</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 xml:space="preserve">Rodríguez-Deméneghi, M. V. (2024). Use of Temporary Immersion Systems in the Establishment of </w:t>
      </w:r>
      <w:proofErr w:type="spellStart"/>
      <w:r w:rsidRPr="00787457">
        <w:rPr>
          <w:rFonts w:ascii="Times New Roman" w:hAnsi="Times New Roman" w:cs="Times New Roman"/>
          <w:color w:val="222222"/>
          <w:sz w:val="24"/>
          <w:szCs w:val="24"/>
          <w:shd w:val="clear" w:color="auto" w:fill="FFFFFF"/>
        </w:rPr>
        <w:t>Biofactories</w:t>
      </w:r>
      <w:proofErr w:type="spellEnd"/>
      <w:r w:rsidRPr="00787457">
        <w:rPr>
          <w:rFonts w:ascii="Times New Roman" w:hAnsi="Times New Roman" w:cs="Times New Roman"/>
          <w:color w:val="222222"/>
          <w:sz w:val="24"/>
          <w:szCs w:val="24"/>
          <w:shd w:val="clear" w:color="auto" w:fill="FFFFFF"/>
        </w:rPr>
        <w:t>. In </w:t>
      </w:r>
      <w:r w:rsidRPr="00787457">
        <w:rPr>
          <w:rFonts w:ascii="Times New Roman" w:hAnsi="Times New Roman" w:cs="Times New Roman"/>
          <w:i/>
          <w:iCs/>
          <w:color w:val="222222"/>
          <w:sz w:val="24"/>
          <w:szCs w:val="24"/>
          <w:shd w:val="clear" w:color="auto" w:fill="FFFFFF"/>
        </w:rPr>
        <w:t>Micropropagation Methods in Temporary Immersion Systems</w:t>
      </w:r>
      <w:r w:rsidRPr="00787457">
        <w:rPr>
          <w:rFonts w:ascii="Times New Roman" w:hAnsi="Times New Roman" w:cs="Times New Roman"/>
          <w:color w:val="222222"/>
          <w:sz w:val="24"/>
          <w:szCs w:val="24"/>
          <w:shd w:val="clear" w:color="auto" w:fill="FFFFFF"/>
        </w:rPr>
        <w:t> (pp. 25-41). New York, NY: Springer US.</w:t>
      </w:r>
      <w:r w:rsidR="008B3651">
        <w:rPr>
          <w:rFonts w:ascii="Times New Roman" w:hAnsi="Times New Roman" w:cs="Times New Roman"/>
          <w:color w:val="222222"/>
          <w:sz w:val="24"/>
          <w:szCs w:val="24"/>
          <w:shd w:val="clear" w:color="auto" w:fill="FFFFFF"/>
        </w:rPr>
        <w:t xml:space="preserve"> </w:t>
      </w:r>
      <w:hyperlink r:id="rId40" w:history="1">
        <w:r w:rsidR="008B3651" w:rsidRPr="00156E82">
          <w:rPr>
            <w:rStyle w:val="Hyperlink"/>
            <w:rFonts w:ascii="Times New Roman" w:hAnsi="Times New Roman" w:cs="Times New Roman"/>
            <w:sz w:val="24"/>
            <w:szCs w:val="24"/>
            <w:shd w:val="clear" w:color="auto" w:fill="FFFFFF"/>
          </w:rPr>
          <w:t>https://doi.org/10.1007/978-1-0716-3654-1_3</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color w:val="222222"/>
          <w:sz w:val="24"/>
          <w:szCs w:val="24"/>
          <w:shd w:val="clear" w:color="auto" w:fill="FFFFFF"/>
        </w:rPr>
      </w:pPr>
      <w:r w:rsidRPr="00787457">
        <w:rPr>
          <w:rFonts w:ascii="Times New Roman" w:hAnsi="Times New Roman" w:cs="Times New Roman"/>
          <w:color w:val="222222"/>
          <w:sz w:val="24"/>
          <w:szCs w:val="24"/>
          <w:shd w:val="clear" w:color="auto" w:fill="FFFFFF"/>
        </w:rPr>
        <w:t>Roy, S. (2024). Plant Tissue Culture as an Effective Tool for Virus-Free Medicinal Plant Production. </w:t>
      </w:r>
      <w:r w:rsidRPr="00787457">
        <w:rPr>
          <w:rFonts w:ascii="Times New Roman" w:hAnsi="Times New Roman" w:cs="Times New Roman"/>
          <w:i/>
          <w:iCs/>
          <w:color w:val="222222"/>
          <w:sz w:val="24"/>
          <w:szCs w:val="24"/>
          <w:shd w:val="clear" w:color="auto" w:fill="FFFFFF"/>
        </w:rPr>
        <w:t>Tissue Culture Techniques and Medicinal Plants</w:t>
      </w:r>
      <w:r w:rsidRPr="00787457">
        <w:rPr>
          <w:rFonts w:ascii="Times New Roman" w:hAnsi="Times New Roman" w:cs="Times New Roman"/>
          <w:color w:val="222222"/>
          <w:sz w:val="24"/>
          <w:szCs w:val="24"/>
          <w:shd w:val="clear" w:color="auto" w:fill="FFFFFF"/>
        </w:rPr>
        <w:t>, 162-191.</w:t>
      </w:r>
      <w:r w:rsidR="008B3651">
        <w:rPr>
          <w:rFonts w:ascii="Times New Roman" w:hAnsi="Times New Roman" w:cs="Times New Roman"/>
          <w:color w:val="222222"/>
          <w:sz w:val="24"/>
          <w:szCs w:val="24"/>
          <w:shd w:val="clear" w:color="auto" w:fill="FFFFFF"/>
        </w:rPr>
        <w:t xml:space="preserve"> </w:t>
      </w:r>
      <w:hyperlink r:id="rId41" w:history="1">
        <w:r w:rsidR="008B3651" w:rsidRPr="00156E82">
          <w:rPr>
            <w:rStyle w:val="Hyperlink"/>
            <w:rFonts w:ascii="Times New Roman" w:hAnsi="Times New Roman" w:cs="Times New Roman"/>
            <w:sz w:val="24"/>
            <w:szCs w:val="24"/>
            <w:shd w:val="clear" w:color="auto" w:fill="FFFFFF"/>
          </w:rPr>
          <w:t>https://doi.org/10.1201/b23374-8</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 xml:space="preserve">Sakthivel, S. K., </w:t>
      </w:r>
      <w:proofErr w:type="spellStart"/>
      <w:r w:rsidRPr="00787457">
        <w:rPr>
          <w:rFonts w:ascii="Times New Roman" w:hAnsi="Times New Roman" w:cs="Times New Roman"/>
          <w:color w:val="222222"/>
          <w:sz w:val="24"/>
          <w:szCs w:val="24"/>
          <w:shd w:val="clear" w:color="auto" w:fill="FFFFFF"/>
        </w:rPr>
        <w:t>Vennapusa</w:t>
      </w:r>
      <w:proofErr w:type="spellEnd"/>
      <w:r w:rsidRPr="00787457">
        <w:rPr>
          <w:rFonts w:ascii="Times New Roman" w:hAnsi="Times New Roman" w:cs="Times New Roman"/>
          <w:color w:val="222222"/>
          <w:sz w:val="24"/>
          <w:szCs w:val="24"/>
          <w:shd w:val="clear" w:color="auto" w:fill="FFFFFF"/>
        </w:rPr>
        <w:t xml:space="preserve">, A. R., &amp; </w:t>
      </w:r>
      <w:proofErr w:type="spellStart"/>
      <w:r w:rsidRPr="00787457">
        <w:rPr>
          <w:rFonts w:ascii="Times New Roman" w:hAnsi="Times New Roman" w:cs="Times New Roman"/>
          <w:color w:val="222222"/>
          <w:sz w:val="24"/>
          <w:szCs w:val="24"/>
          <w:shd w:val="clear" w:color="auto" w:fill="FFFFFF"/>
        </w:rPr>
        <w:t>Melmaiee</w:t>
      </w:r>
      <w:proofErr w:type="spellEnd"/>
      <w:r w:rsidRPr="00787457">
        <w:rPr>
          <w:rFonts w:ascii="Times New Roman" w:hAnsi="Times New Roman" w:cs="Times New Roman"/>
          <w:color w:val="222222"/>
          <w:sz w:val="24"/>
          <w:szCs w:val="24"/>
          <w:shd w:val="clear" w:color="auto" w:fill="FFFFFF"/>
        </w:rPr>
        <w:t>, K. (2025). Enhancing quality and climate resilient traits in vegetatively propagated polyploids: transgenic and genome editing advancements, challenges and future directions. </w:t>
      </w:r>
      <w:r w:rsidRPr="00787457">
        <w:rPr>
          <w:rFonts w:ascii="Times New Roman" w:hAnsi="Times New Roman" w:cs="Times New Roman"/>
          <w:i/>
          <w:iCs/>
          <w:color w:val="222222"/>
          <w:sz w:val="24"/>
          <w:szCs w:val="24"/>
          <w:shd w:val="clear" w:color="auto" w:fill="FFFFFF"/>
        </w:rPr>
        <w:t>Frontiers in Genetics</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16</w:t>
      </w:r>
      <w:r w:rsidRPr="00787457">
        <w:rPr>
          <w:rFonts w:ascii="Times New Roman" w:hAnsi="Times New Roman" w:cs="Times New Roman"/>
          <w:color w:val="222222"/>
          <w:sz w:val="24"/>
          <w:szCs w:val="24"/>
          <w:shd w:val="clear" w:color="auto" w:fill="FFFFFF"/>
        </w:rPr>
        <w:t>, 1599242.</w:t>
      </w:r>
      <w:r w:rsidR="008B3651">
        <w:rPr>
          <w:rFonts w:ascii="Times New Roman" w:hAnsi="Times New Roman" w:cs="Times New Roman"/>
          <w:color w:val="222222"/>
          <w:sz w:val="24"/>
          <w:szCs w:val="24"/>
          <w:shd w:val="clear" w:color="auto" w:fill="FFFFFF"/>
        </w:rPr>
        <w:t xml:space="preserve"> </w:t>
      </w:r>
      <w:hyperlink r:id="rId42" w:history="1">
        <w:r w:rsidR="008B3651" w:rsidRPr="00156E82">
          <w:rPr>
            <w:rStyle w:val="Hyperlink"/>
            <w:rFonts w:ascii="Times New Roman" w:hAnsi="Times New Roman" w:cs="Times New Roman"/>
            <w:sz w:val="24"/>
            <w:szCs w:val="24"/>
            <w:shd w:val="clear" w:color="auto" w:fill="FFFFFF"/>
          </w:rPr>
          <w:t>https://doi.org/10.3389/fgene.2025.1599242</w:t>
        </w:r>
      </w:hyperlink>
      <w:r w:rsidR="008B3651">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lastRenderedPageBreak/>
        <w:t>Saxena, A., Shukla, M., &amp; Saxena, P. (2019). Synthetic seeds: Relevance to endangered germplasm conservation in vitro. </w:t>
      </w:r>
      <w:r w:rsidRPr="00787457">
        <w:rPr>
          <w:rFonts w:ascii="Times New Roman" w:hAnsi="Times New Roman" w:cs="Times New Roman"/>
          <w:i/>
          <w:iCs/>
          <w:color w:val="222222"/>
          <w:sz w:val="24"/>
          <w:szCs w:val="24"/>
          <w:shd w:val="clear" w:color="auto" w:fill="FFFFFF"/>
        </w:rPr>
        <w:t>Synthetic Seeds: Germplasm Regeneration, Preservation and Prospects</w:t>
      </w:r>
      <w:r w:rsidRPr="00787457">
        <w:rPr>
          <w:rFonts w:ascii="Times New Roman" w:hAnsi="Times New Roman" w:cs="Times New Roman"/>
          <w:color w:val="222222"/>
          <w:sz w:val="24"/>
          <w:szCs w:val="24"/>
          <w:shd w:val="clear" w:color="auto" w:fill="FFFFFF"/>
        </w:rPr>
        <w:t>, 21-60.</w:t>
      </w:r>
      <w:r w:rsidR="008B3651">
        <w:rPr>
          <w:rFonts w:ascii="Times New Roman" w:hAnsi="Times New Roman" w:cs="Times New Roman"/>
          <w:color w:val="222222"/>
          <w:sz w:val="24"/>
          <w:szCs w:val="24"/>
          <w:shd w:val="clear" w:color="auto" w:fill="FFFFFF"/>
        </w:rPr>
        <w:t xml:space="preserve"> </w:t>
      </w:r>
      <w:hyperlink r:id="rId43" w:history="1">
        <w:r w:rsidR="008B3651" w:rsidRPr="00156E82">
          <w:rPr>
            <w:rStyle w:val="Hyperlink"/>
            <w:rFonts w:ascii="Times New Roman" w:hAnsi="Times New Roman" w:cs="Times New Roman"/>
            <w:sz w:val="24"/>
            <w:szCs w:val="24"/>
            <w:shd w:val="clear" w:color="auto" w:fill="FFFFFF"/>
          </w:rPr>
          <w:t>https://doi.org/10.1007/978-3-030-24631-0_2</w:t>
        </w:r>
      </w:hyperlink>
      <w:r w:rsidR="008B3651">
        <w:rPr>
          <w:rFonts w:ascii="Times New Roman" w:hAnsi="Times New Roman" w:cs="Times New Roman"/>
          <w:color w:val="222222"/>
          <w:sz w:val="24"/>
          <w:szCs w:val="24"/>
          <w:shd w:val="clear" w:color="auto" w:fill="FFFFFF"/>
        </w:rPr>
        <w:t xml:space="preserve"> </w:t>
      </w:r>
    </w:p>
    <w:p w:rsidR="008B3651" w:rsidRPr="008B3651" w:rsidRDefault="008B3651" w:rsidP="008B3651">
      <w:pPr>
        <w:jc w:val="both"/>
        <w:rPr>
          <w:rFonts w:ascii="Arial" w:eastAsia="Times New Roman" w:hAnsi="Arial" w:cs="Arial"/>
        </w:rPr>
      </w:pPr>
      <w:r w:rsidRPr="008B3651">
        <w:rPr>
          <w:rFonts w:ascii="Arial" w:eastAsia="Times New Roman" w:hAnsi="Arial" w:cs="Arial"/>
        </w:rPr>
        <w:t xml:space="preserve">Schwarz, O. J., &amp; </w:t>
      </w:r>
      <w:proofErr w:type="spellStart"/>
      <w:r w:rsidRPr="008B3651">
        <w:rPr>
          <w:rFonts w:ascii="Arial" w:eastAsia="Times New Roman" w:hAnsi="Arial" w:cs="Arial"/>
        </w:rPr>
        <w:t>Beaty</w:t>
      </w:r>
      <w:proofErr w:type="spellEnd"/>
      <w:r w:rsidRPr="008B3651">
        <w:rPr>
          <w:rFonts w:ascii="Arial" w:eastAsia="Times New Roman" w:hAnsi="Arial" w:cs="Arial"/>
        </w:rPr>
        <w:t xml:space="preserve">, R. M. (2018). Organogenesis. In Plant tissue culture concepts and laboratory exercises (pp. 95-104). Routledge. </w:t>
      </w:r>
      <w:hyperlink r:id="rId44" w:history="1">
        <w:r w:rsidRPr="008B3651">
          <w:rPr>
            <w:rStyle w:val="Hyperlink"/>
            <w:rFonts w:ascii="Arial" w:eastAsia="Times New Roman" w:hAnsi="Arial" w:cs="Arial"/>
          </w:rPr>
          <w:t>https://doi.org/10.1201/9780203743133</w:t>
        </w:r>
      </w:hyperlink>
      <w:r w:rsidRPr="008B3651">
        <w:rPr>
          <w:rFonts w:ascii="Arial" w:eastAsia="Times New Roman" w:hAnsi="Arial" w:cs="Arial"/>
        </w:rPr>
        <w:t xml:space="preserve"> </w:t>
      </w:r>
    </w:p>
    <w:p w:rsidR="00787457" w:rsidRPr="00787457" w:rsidRDefault="00787457" w:rsidP="00787457">
      <w:pPr>
        <w:jc w:val="both"/>
        <w:rPr>
          <w:rFonts w:ascii="Times New Roman" w:hAnsi="Times New Roman" w:cs="Times New Roman"/>
          <w:sz w:val="24"/>
          <w:szCs w:val="24"/>
        </w:rPr>
      </w:pPr>
      <w:proofErr w:type="spellStart"/>
      <w:r w:rsidRPr="00787457">
        <w:rPr>
          <w:rFonts w:ascii="Times New Roman" w:hAnsi="Times New Roman" w:cs="Times New Roman"/>
          <w:color w:val="222222"/>
          <w:sz w:val="24"/>
          <w:szCs w:val="24"/>
          <w:shd w:val="clear" w:color="auto" w:fill="FFFFFF"/>
        </w:rPr>
        <w:t>Sengul</w:t>
      </w:r>
      <w:proofErr w:type="spellEnd"/>
      <w:r w:rsidRPr="00787457">
        <w:rPr>
          <w:rFonts w:ascii="Times New Roman" w:hAnsi="Times New Roman" w:cs="Times New Roman"/>
          <w:color w:val="222222"/>
          <w:sz w:val="24"/>
          <w:szCs w:val="24"/>
          <w:shd w:val="clear" w:color="auto" w:fill="FFFFFF"/>
        </w:rPr>
        <w:t xml:space="preserve">, Y., </w:t>
      </w:r>
      <w:proofErr w:type="spellStart"/>
      <w:r w:rsidRPr="00787457">
        <w:rPr>
          <w:rFonts w:ascii="Times New Roman" w:hAnsi="Times New Roman" w:cs="Times New Roman"/>
          <w:color w:val="222222"/>
          <w:sz w:val="24"/>
          <w:szCs w:val="24"/>
          <w:shd w:val="clear" w:color="auto" w:fill="FFFFFF"/>
        </w:rPr>
        <w:t>Bener</w:t>
      </w:r>
      <w:proofErr w:type="spellEnd"/>
      <w:r w:rsidRPr="00787457">
        <w:rPr>
          <w:rFonts w:ascii="Times New Roman" w:hAnsi="Times New Roman" w:cs="Times New Roman"/>
          <w:color w:val="222222"/>
          <w:sz w:val="24"/>
          <w:szCs w:val="24"/>
          <w:shd w:val="clear" w:color="auto" w:fill="FFFFFF"/>
        </w:rPr>
        <w:t>, A., &amp; Uyar, A. (2015). Emerging technologies for improving embryo selection: a systematic review. </w:t>
      </w:r>
      <w:r w:rsidRPr="00787457">
        <w:rPr>
          <w:rFonts w:ascii="Times New Roman" w:hAnsi="Times New Roman" w:cs="Times New Roman"/>
          <w:i/>
          <w:iCs/>
          <w:color w:val="222222"/>
          <w:sz w:val="24"/>
          <w:szCs w:val="24"/>
          <w:shd w:val="clear" w:color="auto" w:fill="FFFFFF"/>
        </w:rPr>
        <w:t>Advanced health care technologies</w:t>
      </w:r>
      <w:r w:rsidRPr="00787457">
        <w:rPr>
          <w:rFonts w:ascii="Times New Roman" w:hAnsi="Times New Roman" w:cs="Times New Roman"/>
          <w:color w:val="222222"/>
          <w:sz w:val="24"/>
          <w:szCs w:val="24"/>
          <w:shd w:val="clear" w:color="auto" w:fill="FFFFFF"/>
        </w:rPr>
        <w:t>, 55-64.</w:t>
      </w:r>
      <w:r w:rsidR="008638BD">
        <w:rPr>
          <w:rFonts w:ascii="Times New Roman" w:hAnsi="Times New Roman" w:cs="Times New Roman"/>
          <w:color w:val="222222"/>
          <w:sz w:val="24"/>
          <w:szCs w:val="24"/>
          <w:shd w:val="clear" w:color="auto" w:fill="FFFFFF"/>
        </w:rPr>
        <w:t xml:space="preserve"> </w:t>
      </w:r>
      <w:hyperlink r:id="rId45" w:history="1">
        <w:r w:rsidR="008638BD" w:rsidRPr="00156E82">
          <w:rPr>
            <w:rStyle w:val="Hyperlink"/>
            <w:rFonts w:ascii="Times New Roman" w:hAnsi="Times New Roman" w:cs="Times New Roman"/>
            <w:sz w:val="24"/>
            <w:szCs w:val="24"/>
            <w:shd w:val="clear" w:color="auto" w:fill="FFFFFF"/>
          </w:rPr>
          <w:t>https://doi.org/10.2147/AHCT.S71272</w:t>
        </w:r>
      </w:hyperlink>
      <w:r w:rsidR="008638BD">
        <w:rPr>
          <w:rFonts w:ascii="Times New Roman" w:hAnsi="Times New Roman" w:cs="Times New Roman"/>
          <w:color w:val="222222"/>
          <w:sz w:val="24"/>
          <w:szCs w:val="24"/>
          <w:shd w:val="clear" w:color="auto" w:fill="FFFFFF"/>
        </w:rPr>
        <w:t xml:space="preserve"> </w:t>
      </w:r>
    </w:p>
    <w:p w:rsidR="00787457" w:rsidRPr="00787457" w:rsidRDefault="00787457" w:rsidP="00787457">
      <w:pPr>
        <w:spacing w:before="100" w:beforeAutospacing="1" w:after="100" w:afterAutospacing="1" w:line="240" w:lineRule="auto"/>
        <w:jc w:val="both"/>
        <w:rPr>
          <w:rFonts w:ascii="Times New Roman" w:eastAsia="Times New Roman" w:hAnsi="Times New Roman" w:cs="Times New Roman"/>
          <w:bCs/>
          <w:kern w:val="36"/>
          <w:sz w:val="24"/>
          <w:szCs w:val="24"/>
        </w:rPr>
      </w:pPr>
      <w:r w:rsidRPr="00787457">
        <w:rPr>
          <w:rFonts w:ascii="Times New Roman" w:hAnsi="Times New Roman" w:cs="Times New Roman"/>
          <w:color w:val="222222"/>
          <w:sz w:val="24"/>
          <w:szCs w:val="24"/>
          <w:shd w:val="clear" w:color="auto" w:fill="FFFFFF"/>
        </w:rPr>
        <w:t>Shahzad, A., Sharma, S., Parveen, S., Saeed, T., Shaheen, A., Akhtar, R., ... &amp; Ahmad, Z. (2017). Historical perspective and basic principles of plant tissue culture. In </w:t>
      </w:r>
      <w:r w:rsidRPr="00787457">
        <w:rPr>
          <w:rFonts w:ascii="Times New Roman" w:hAnsi="Times New Roman" w:cs="Times New Roman"/>
          <w:i/>
          <w:iCs/>
          <w:color w:val="222222"/>
          <w:sz w:val="24"/>
          <w:szCs w:val="24"/>
          <w:shd w:val="clear" w:color="auto" w:fill="FFFFFF"/>
        </w:rPr>
        <w:t>Plant biotechnology: principles and applications</w:t>
      </w:r>
      <w:r w:rsidRPr="00787457">
        <w:rPr>
          <w:rFonts w:ascii="Times New Roman" w:hAnsi="Times New Roman" w:cs="Times New Roman"/>
          <w:color w:val="222222"/>
          <w:sz w:val="24"/>
          <w:szCs w:val="24"/>
          <w:shd w:val="clear" w:color="auto" w:fill="FFFFFF"/>
        </w:rPr>
        <w:t> (pp. 1-36). Singapore: Springer Singapore.</w:t>
      </w:r>
      <w:r w:rsidR="008638BD">
        <w:rPr>
          <w:rFonts w:ascii="Times New Roman" w:hAnsi="Times New Roman" w:cs="Times New Roman"/>
          <w:color w:val="222222"/>
          <w:sz w:val="24"/>
          <w:szCs w:val="24"/>
          <w:shd w:val="clear" w:color="auto" w:fill="FFFFFF"/>
        </w:rPr>
        <w:t xml:space="preserve"> </w:t>
      </w:r>
      <w:hyperlink r:id="rId46" w:history="1">
        <w:r w:rsidR="008638BD" w:rsidRPr="00156E82">
          <w:rPr>
            <w:rStyle w:val="Hyperlink"/>
            <w:rFonts w:ascii="Times New Roman" w:hAnsi="Times New Roman" w:cs="Times New Roman"/>
            <w:sz w:val="24"/>
            <w:szCs w:val="24"/>
            <w:shd w:val="clear" w:color="auto" w:fill="FFFFFF"/>
          </w:rPr>
          <w:t>https://doi.org/10.1007/978-981-10-2961-5_1</w:t>
        </w:r>
      </w:hyperlink>
      <w:r w:rsidR="008638BD">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Sharma, M., Kumar, P., &amp; Dwivedi, P. (2023). Artificial seed production and cryopreservation technology for conservation of plant germplasm with special reference to medicinal plants. In </w:t>
      </w:r>
      <w:r w:rsidRPr="00787457">
        <w:rPr>
          <w:rFonts w:ascii="Times New Roman" w:hAnsi="Times New Roman" w:cs="Times New Roman"/>
          <w:i/>
          <w:iCs/>
          <w:color w:val="222222"/>
          <w:sz w:val="24"/>
          <w:szCs w:val="24"/>
          <w:shd w:val="clear" w:color="auto" w:fill="FFFFFF"/>
        </w:rPr>
        <w:t>Medicinal Plants: Biodiversity, Biotechnology and Conservation</w:t>
      </w:r>
      <w:r w:rsidRPr="00787457">
        <w:rPr>
          <w:rFonts w:ascii="Times New Roman" w:hAnsi="Times New Roman" w:cs="Times New Roman"/>
          <w:color w:val="222222"/>
          <w:sz w:val="24"/>
          <w:szCs w:val="24"/>
          <w:shd w:val="clear" w:color="auto" w:fill="FFFFFF"/>
        </w:rPr>
        <w:t> (pp. 581-593). Singapore: Springer Nature Singapore.</w:t>
      </w:r>
      <w:r w:rsidR="008638BD">
        <w:rPr>
          <w:rFonts w:ascii="Times New Roman" w:hAnsi="Times New Roman" w:cs="Times New Roman"/>
          <w:color w:val="222222"/>
          <w:sz w:val="24"/>
          <w:szCs w:val="24"/>
          <w:shd w:val="clear" w:color="auto" w:fill="FFFFFF"/>
        </w:rPr>
        <w:t xml:space="preserve"> </w:t>
      </w:r>
      <w:hyperlink r:id="rId47" w:history="1">
        <w:r w:rsidR="008638BD" w:rsidRPr="00156E82">
          <w:rPr>
            <w:rStyle w:val="Hyperlink"/>
            <w:rFonts w:ascii="Times New Roman" w:hAnsi="Times New Roman" w:cs="Times New Roman"/>
            <w:sz w:val="24"/>
            <w:szCs w:val="24"/>
            <w:shd w:val="clear" w:color="auto" w:fill="FFFFFF"/>
          </w:rPr>
          <w:t>https://doi.org/10.1007/978-981-19-9936-9</w:t>
        </w:r>
      </w:hyperlink>
      <w:r w:rsidR="008638BD">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Sharma, P., Pandey, A., Malviya, R., Dey, S., Karmakar, S., &amp; Gayen, D. (2023). Genome editing for improving nutritional quality, post-harvest shelf life and stress tolerance of fruits, vegetables, and ornamentals. </w:t>
      </w:r>
      <w:r w:rsidRPr="00787457">
        <w:rPr>
          <w:rFonts w:ascii="Times New Roman" w:hAnsi="Times New Roman" w:cs="Times New Roman"/>
          <w:i/>
          <w:iCs/>
          <w:color w:val="222222"/>
          <w:sz w:val="24"/>
          <w:szCs w:val="24"/>
          <w:shd w:val="clear" w:color="auto" w:fill="FFFFFF"/>
        </w:rPr>
        <w:t>Frontiers in Genome Editing</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5</w:t>
      </w:r>
      <w:r w:rsidRPr="00787457">
        <w:rPr>
          <w:rFonts w:ascii="Times New Roman" w:hAnsi="Times New Roman" w:cs="Times New Roman"/>
          <w:color w:val="222222"/>
          <w:sz w:val="24"/>
          <w:szCs w:val="24"/>
          <w:shd w:val="clear" w:color="auto" w:fill="FFFFFF"/>
        </w:rPr>
        <w:t>, 1094965.</w:t>
      </w:r>
      <w:r w:rsidR="008638BD">
        <w:rPr>
          <w:rFonts w:ascii="Times New Roman" w:hAnsi="Times New Roman" w:cs="Times New Roman"/>
          <w:color w:val="222222"/>
          <w:sz w:val="24"/>
          <w:szCs w:val="24"/>
          <w:shd w:val="clear" w:color="auto" w:fill="FFFFFF"/>
        </w:rPr>
        <w:t xml:space="preserve"> </w:t>
      </w:r>
      <w:hyperlink r:id="rId48" w:history="1">
        <w:r w:rsidR="008638BD" w:rsidRPr="00156E82">
          <w:rPr>
            <w:rStyle w:val="Hyperlink"/>
            <w:rFonts w:ascii="Times New Roman" w:hAnsi="Times New Roman" w:cs="Times New Roman"/>
            <w:sz w:val="24"/>
            <w:szCs w:val="24"/>
            <w:shd w:val="clear" w:color="auto" w:fill="FFFFFF"/>
          </w:rPr>
          <w:t>https://doi.org/10.3389/fgeed.2023.1094965</w:t>
        </w:r>
      </w:hyperlink>
      <w:r w:rsidR="008638BD">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Sidhu, Y. (2011). In vitro micropropagation of medicinal plants by tissue culture. </w:t>
      </w:r>
      <w:r w:rsidRPr="00787457">
        <w:rPr>
          <w:rFonts w:ascii="Times New Roman" w:hAnsi="Times New Roman" w:cs="Times New Roman"/>
          <w:i/>
          <w:iCs/>
          <w:color w:val="222222"/>
          <w:sz w:val="24"/>
          <w:szCs w:val="24"/>
          <w:shd w:val="clear" w:color="auto" w:fill="FFFFFF"/>
        </w:rPr>
        <w:t>The Plymouth Student Scientist</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4</w:t>
      </w:r>
      <w:r w:rsidRPr="00787457">
        <w:rPr>
          <w:rFonts w:ascii="Times New Roman" w:hAnsi="Times New Roman" w:cs="Times New Roman"/>
          <w:color w:val="222222"/>
          <w:sz w:val="24"/>
          <w:szCs w:val="24"/>
          <w:shd w:val="clear" w:color="auto" w:fill="FFFFFF"/>
        </w:rPr>
        <w:t>(1), 432-449.</w:t>
      </w:r>
      <w:r w:rsidR="008638BD">
        <w:rPr>
          <w:rFonts w:ascii="Times New Roman" w:hAnsi="Times New Roman" w:cs="Times New Roman"/>
          <w:color w:val="222222"/>
          <w:sz w:val="24"/>
          <w:szCs w:val="24"/>
          <w:shd w:val="clear" w:color="auto" w:fill="FFFFFF"/>
        </w:rPr>
        <w:t xml:space="preserve"> </w:t>
      </w:r>
      <w:hyperlink r:id="rId49" w:history="1">
        <w:r w:rsidR="008638BD" w:rsidRPr="00156E82">
          <w:rPr>
            <w:rStyle w:val="Hyperlink"/>
            <w:rFonts w:ascii="Times New Roman" w:hAnsi="Times New Roman" w:cs="Times New Roman"/>
            <w:sz w:val="24"/>
            <w:szCs w:val="24"/>
            <w:shd w:val="clear" w:color="auto" w:fill="FFFFFF"/>
          </w:rPr>
          <w:t>https://doi.org/10.24382/swyq-fr06</w:t>
        </w:r>
      </w:hyperlink>
      <w:r w:rsidR="008638BD">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Singh, A. (2015). Micropropagation of plants. In </w:t>
      </w:r>
      <w:r w:rsidRPr="00787457">
        <w:rPr>
          <w:rFonts w:ascii="Times New Roman" w:hAnsi="Times New Roman" w:cs="Times New Roman"/>
          <w:i/>
          <w:iCs/>
          <w:color w:val="222222"/>
          <w:sz w:val="24"/>
          <w:szCs w:val="24"/>
          <w:shd w:val="clear" w:color="auto" w:fill="FFFFFF"/>
        </w:rPr>
        <w:t>Plant biology and biotechnology: volume II: plant genomics and biotechnology</w:t>
      </w:r>
      <w:r w:rsidRPr="00787457">
        <w:rPr>
          <w:rFonts w:ascii="Times New Roman" w:hAnsi="Times New Roman" w:cs="Times New Roman"/>
          <w:color w:val="222222"/>
          <w:sz w:val="24"/>
          <w:szCs w:val="24"/>
          <w:shd w:val="clear" w:color="auto" w:fill="FFFFFF"/>
        </w:rPr>
        <w:t> (pp. 329-346). New Delhi: Springer India.</w:t>
      </w:r>
      <w:r w:rsidR="008638BD">
        <w:rPr>
          <w:rFonts w:ascii="Times New Roman" w:hAnsi="Times New Roman" w:cs="Times New Roman"/>
          <w:color w:val="222222"/>
          <w:sz w:val="24"/>
          <w:szCs w:val="24"/>
          <w:shd w:val="clear" w:color="auto" w:fill="FFFFFF"/>
        </w:rPr>
        <w:t xml:space="preserve"> </w:t>
      </w:r>
      <w:hyperlink r:id="rId50" w:history="1">
        <w:r w:rsidR="008638BD" w:rsidRPr="00156E82">
          <w:rPr>
            <w:rStyle w:val="Hyperlink"/>
            <w:rFonts w:ascii="Times New Roman" w:hAnsi="Times New Roman" w:cs="Times New Roman"/>
            <w:sz w:val="24"/>
            <w:szCs w:val="24"/>
            <w:shd w:val="clear" w:color="auto" w:fill="FFFFFF"/>
          </w:rPr>
          <w:t>https://doi.org/10.1007/978-81-322-2283-5_16</w:t>
        </w:r>
      </w:hyperlink>
      <w:r w:rsidR="008638BD">
        <w:rPr>
          <w:rFonts w:ascii="Times New Roman" w:hAnsi="Times New Roman" w:cs="Times New Roman"/>
          <w:color w:val="222222"/>
          <w:sz w:val="24"/>
          <w:szCs w:val="24"/>
          <w:shd w:val="clear" w:color="auto" w:fill="FFFFFF"/>
        </w:rPr>
        <w:t xml:space="preserve"> </w:t>
      </w:r>
    </w:p>
    <w:p w:rsidR="00787457" w:rsidRPr="00787457" w:rsidRDefault="00787457" w:rsidP="00787457">
      <w:pPr>
        <w:pStyle w:val="NormalWeb"/>
        <w:jc w:val="both"/>
      </w:pPr>
      <w:r w:rsidRPr="00787457">
        <w:rPr>
          <w:color w:val="222222"/>
          <w:shd w:val="clear" w:color="auto" w:fill="FFFFFF"/>
        </w:rPr>
        <w:t>Singh, A., &amp; Kundu, S. (2024). Impact of Direct and Indirect Organogenesis in Agriculture. </w:t>
      </w:r>
      <w:r w:rsidRPr="00787457">
        <w:rPr>
          <w:i/>
          <w:iCs/>
          <w:color w:val="222222"/>
          <w:shd w:val="clear" w:color="auto" w:fill="FFFFFF"/>
        </w:rPr>
        <w:t>Agriculture Re-imagined: Innovations and Strategies for Sustainable Growth</w:t>
      </w:r>
      <w:r w:rsidRPr="00787457">
        <w:rPr>
          <w:color w:val="222222"/>
          <w:shd w:val="clear" w:color="auto" w:fill="FFFFFF"/>
        </w:rPr>
        <w:t>, 47.</w:t>
      </w:r>
      <w:r w:rsidR="008638BD">
        <w:rPr>
          <w:color w:val="222222"/>
          <w:shd w:val="clear" w:color="auto" w:fill="FFFFFF"/>
        </w:rPr>
        <w:t xml:space="preserve"> </w:t>
      </w:r>
      <w:hyperlink r:id="rId51" w:history="1">
        <w:r w:rsidR="008638BD" w:rsidRPr="00156E82">
          <w:rPr>
            <w:rStyle w:val="Hyperlink"/>
            <w:shd w:val="clear" w:color="auto" w:fill="FFFFFF"/>
          </w:rPr>
          <w:t>https://doi.org/10.62906/bs.book.198</w:t>
        </w:r>
      </w:hyperlink>
      <w:r w:rsidR="008638BD">
        <w:rPr>
          <w:color w:val="222222"/>
          <w:shd w:val="clear" w:color="auto" w:fill="FFFFFF"/>
        </w:rPr>
        <w:t xml:space="preserve"> </w:t>
      </w:r>
    </w:p>
    <w:p w:rsidR="00787457" w:rsidRPr="00787457" w:rsidRDefault="00787457" w:rsidP="00787457">
      <w:pPr>
        <w:spacing w:before="100" w:beforeAutospacing="1" w:after="100" w:afterAutospacing="1" w:line="240" w:lineRule="auto"/>
        <w:jc w:val="both"/>
        <w:rPr>
          <w:rFonts w:ascii="Times New Roman" w:eastAsia="Times New Roman" w:hAnsi="Times New Roman" w:cs="Times New Roman"/>
          <w:bCs/>
          <w:kern w:val="36"/>
          <w:sz w:val="24"/>
          <w:szCs w:val="24"/>
        </w:rPr>
      </w:pPr>
      <w:r w:rsidRPr="00787457">
        <w:rPr>
          <w:rFonts w:ascii="Times New Roman" w:hAnsi="Times New Roman" w:cs="Times New Roman"/>
          <w:color w:val="222222"/>
          <w:sz w:val="24"/>
          <w:szCs w:val="24"/>
          <w:shd w:val="clear" w:color="auto" w:fill="FFFFFF"/>
        </w:rPr>
        <w:t>Smith, R. H. (2013). </w:t>
      </w:r>
      <w:r w:rsidRPr="00787457">
        <w:rPr>
          <w:rFonts w:ascii="Times New Roman" w:hAnsi="Times New Roman" w:cs="Times New Roman"/>
          <w:i/>
          <w:iCs/>
          <w:color w:val="222222"/>
          <w:sz w:val="24"/>
          <w:szCs w:val="24"/>
          <w:shd w:val="clear" w:color="auto" w:fill="FFFFFF"/>
        </w:rPr>
        <w:t>Plant tissue culture: techniques and experiments</w:t>
      </w:r>
      <w:r w:rsidRPr="00787457">
        <w:rPr>
          <w:rFonts w:ascii="Times New Roman" w:hAnsi="Times New Roman" w:cs="Times New Roman"/>
          <w:color w:val="222222"/>
          <w:sz w:val="24"/>
          <w:szCs w:val="24"/>
          <w:shd w:val="clear" w:color="auto" w:fill="FFFFFF"/>
        </w:rPr>
        <w:t>. academic press.</w:t>
      </w:r>
      <w:r w:rsidR="008638BD">
        <w:rPr>
          <w:rFonts w:ascii="Times New Roman" w:hAnsi="Times New Roman" w:cs="Times New Roman"/>
          <w:color w:val="222222"/>
          <w:sz w:val="24"/>
          <w:szCs w:val="24"/>
          <w:shd w:val="clear" w:color="auto" w:fill="FFFFFF"/>
        </w:rPr>
        <w:t xml:space="preserve"> </w:t>
      </w:r>
      <w:hyperlink r:id="rId52" w:history="1">
        <w:r w:rsidR="008638BD" w:rsidRPr="00156E82">
          <w:rPr>
            <w:rStyle w:val="Hyperlink"/>
            <w:rFonts w:ascii="Times New Roman" w:hAnsi="Times New Roman" w:cs="Times New Roman"/>
            <w:sz w:val="24"/>
            <w:szCs w:val="24"/>
            <w:shd w:val="clear" w:color="auto" w:fill="FFFFFF"/>
          </w:rPr>
          <w:t>https://www.elsevier.com/books/plant-tissue-culture/smith/978-0-12-415985-3</w:t>
        </w:r>
      </w:hyperlink>
      <w:r w:rsidR="008638BD">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Suman, S. (2017). Plant tissue culture: A promising tool of quality material production with special reference to micropropagation of banana. </w:t>
      </w:r>
      <w:r w:rsidRPr="00787457">
        <w:rPr>
          <w:rFonts w:ascii="Times New Roman" w:hAnsi="Times New Roman" w:cs="Times New Roman"/>
          <w:i/>
          <w:iCs/>
          <w:color w:val="222222"/>
          <w:sz w:val="24"/>
          <w:szCs w:val="24"/>
          <w:shd w:val="clear" w:color="auto" w:fill="FFFFFF"/>
        </w:rPr>
        <w:t>Biochemical &amp; Cellular Archives</w:t>
      </w:r>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17</w:t>
      </w:r>
      <w:r w:rsidRPr="00787457">
        <w:rPr>
          <w:rFonts w:ascii="Times New Roman" w:hAnsi="Times New Roman" w:cs="Times New Roman"/>
          <w:color w:val="222222"/>
          <w:sz w:val="24"/>
          <w:szCs w:val="24"/>
          <w:shd w:val="clear" w:color="auto" w:fill="FFFFFF"/>
        </w:rPr>
        <w:t>(1).</w:t>
      </w:r>
      <w:r w:rsidR="008638BD">
        <w:rPr>
          <w:rFonts w:ascii="Times New Roman" w:hAnsi="Times New Roman" w:cs="Times New Roman"/>
          <w:color w:val="222222"/>
          <w:sz w:val="24"/>
          <w:szCs w:val="24"/>
          <w:shd w:val="clear" w:color="auto" w:fill="FFFFFF"/>
        </w:rPr>
        <w:t xml:space="preserve"> </w:t>
      </w:r>
      <w:hyperlink r:id="rId53" w:history="1">
        <w:r w:rsidR="008638BD" w:rsidRPr="00156E82">
          <w:rPr>
            <w:rStyle w:val="Hyperlink"/>
            <w:rFonts w:ascii="Times New Roman" w:hAnsi="Times New Roman" w:cs="Times New Roman"/>
            <w:sz w:val="24"/>
            <w:szCs w:val="24"/>
            <w:shd w:val="clear" w:color="auto" w:fill="FFFFFF"/>
          </w:rPr>
          <w:t>https://connectjournals.com/archives.php?journal_id=3896&amp;volume_no=17</w:t>
        </w:r>
      </w:hyperlink>
      <w:r w:rsidR="008638BD">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lastRenderedPageBreak/>
        <w:t>Tariq, A., Ilyas, S., &amp; Naz, S. (2020). Nanotechnology and plant tissue culture. In </w:t>
      </w:r>
      <w:proofErr w:type="spellStart"/>
      <w:r w:rsidRPr="00787457">
        <w:rPr>
          <w:rFonts w:ascii="Times New Roman" w:hAnsi="Times New Roman" w:cs="Times New Roman"/>
          <w:i/>
          <w:iCs/>
          <w:color w:val="222222"/>
          <w:sz w:val="24"/>
          <w:szCs w:val="24"/>
          <w:shd w:val="clear" w:color="auto" w:fill="FFFFFF"/>
        </w:rPr>
        <w:t>Nanoagronomy</w:t>
      </w:r>
      <w:proofErr w:type="spellEnd"/>
      <w:r w:rsidRPr="00787457">
        <w:rPr>
          <w:rFonts w:ascii="Times New Roman" w:hAnsi="Times New Roman" w:cs="Times New Roman"/>
          <w:color w:val="222222"/>
          <w:sz w:val="24"/>
          <w:szCs w:val="24"/>
          <w:shd w:val="clear" w:color="auto" w:fill="FFFFFF"/>
        </w:rPr>
        <w:t> (pp. 23-35). Cham: Springer International Publishing.</w:t>
      </w:r>
      <w:r w:rsidR="008638BD">
        <w:rPr>
          <w:rFonts w:ascii="Times New Roman" w:hAnsi="Times New Roman" w:cs="Times New Roman"/>
          <w:color w:val="222222"/>
          <w:sz w:val="24"/>
          <w:szCs w:val="24"/>
          <w:shd w:val="clear" w:color="auto" w:fill="FFFFFF"/>
        </w:rPr>
        <w:t xml:space="preserve"> </w:t>
      </w:r>
      <w:hyperlink r:id="rId54" w:history="1">
        <w:r w:rsidR="008638BD" w:rsidRPr="00156E82">
          <w:rPr>
            <w:rStyle w:val="Hyperlink"/>
            <w:rFonts w:ascii="Times New Roman" w:hAnsi="Times New Roman" w:cs="Times New Roman"/>
            <w:sz w:val="24"/>
            <w:szCs w:val="24"/>
            <w:shd w:val="clear" w:color="auto" w:fill="FFFFFF"/>
          </w:rPr>
          <w:t>https://doi.org/10.1007/978-3-030-41275-3_2</w:t>
        </w:r>
      </w:hyperlink>
      <w:r w:rsidR="008638BD">
        <w:rPr>
          <w:rFonts w:ascii="Times New Roman" w:hAnsi="Times New Roman" w:cs="Times New Roman"/>
          <w:color w:val="222222"/>
          <w:sz w:val="24"/>
          <w:szCs w:val="24"/>
          <w:shd w:val="clear" w:color="auto" w:fill="FFFFFF"/>
        </w:rPr>
        <w:t xml:space="preserve"> </w:t>
      </w:r>
    </w:p>
    <w:p w:rsidR="00787457" w:rsidRPr="00787457" w:rsidRDefault="00787457" w:rsidP="00787457">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787457">
        <w:rPr>
          <w:rFonts w:ascii="Times New Roman" w:hAnsi="Times New Roman" w:cs="Times New Roman"/>
          <w:color w:val="222222"/>
          <w:sz w:val="24"/>
          <w:szCs w:val="24"/>
          <w:shd w:val="clear" w:color="auto" w:fill="FFFFFF"/>
        </w:rPr>
        <w:t>Trigiano</w:t>
      </w:r>
      <w:proofErr w:type="spellEnd"/>
      <w:r w:rsidRPr="00787457">
        <w:rPr>
          <w:rFonts w:ascii="Times New Roman" w:hAnsi="Times New Roman" w:cs="Times New Roman"/>
          <w:color w:val="222222"/>
          <w:sz w:val="24"/>
          <w:szCs w:val="24"/>
          <w:shd w:val="clear" w:color="auto" w:fill="FFFFFF"/>
        </w:rPr>
        <w:t>, R. N., &amp; Gray, D. J. (2016). </w:t>
      </w:r>
      <w:r w:rsidRPr="00787457">
        <w:rPr>
          <w:rFonts w:ascii="Times New Roman" w:hAnsi="Times New Roman" w:cs="Times New Roman"/>
          <w:i/>
          <w:iCs/>
          <w:color w:val="222222"/>
          <w:sz w:val="24"/>
          <w:szCs w:val="24"/>
          <w:shd w:val="clear" w:color="auto" w:fill="FFFFFF"/>
        </w:rPr>
        <w:t>Plant tissue culture, development, and biotechnology</w:t>
      </w:r>
      <w:r w:rsidRPr="00787457">
        <w:rPr>
          <w:rFonts w:ascii="Times New Roman" w:hAnsi="Times New Roman" w:cs="Times New Roman"/>
          <w:color w:val="222222"/>
          <w:sz w:val="24"/>
          <w:szCs w:val="24"/>
          <w:shd w:val="clear" w:color="auto" w:fill="FFFFFF"/>
        </w:rPr>
        <w:t>. CRC Press.</w:t>
      </w:r>
      <w:r w:rsidR="008638BD">
        <w:rPr>
          <w:rFonts w:ascii="Times New Roman" w:hAnsi="Times New Roman" w:cs="Times New Roman"/>
          <w:color w:val="222222"/>
          <w:sz w:val="24"/>
          <w:szCs w:val="24"/>
          <w:shd w:val="clear" w:color="auto" w:fill="FFFFFF"/>
        </w:rPr>
        <w:t xml:space="preserve"> </w:t>
      </w:r>
      <w:hyperlink r:id="rId55" w:history="1">
        <w:r w:rsidR="008638BD" w:rsidRPr="00156E82">
          <w:rPr>
            <w:rStyle w:val="Hyperlink"/>
            <w:rFonts w:ascii="Times New Roman" w:hAnsi="Times New Roman" w:cs="Times New Roman"/>
            <w:sz w:val="24"/>
            <w:szCs w:val="24"/>
            <w:shd w:val="clear" w:color="auto" w:fill="FFFFFF"/>
          </w:rPr>
          <w:t>https://doi.org/10.1201/9781439896143</w:t>
        </w:r>
      </w:hyperlink>
      <w:r w:rsidR="008638BD">
        <w:rPr>
          <w:rFonts w:ascii="Times New Roman" w:hAnsi="Times New Roman" w:cs="Times New Roman"/>
          <w:color w:val="222222"/>
          <w:sz w:val="24"/>
          <w:szCs w:val="24"/>
          <w:shd w:val="clear" w:color="auto" w:fill="FFFFFF"/>
        </w:rPr>
        <w:t xml:space="preserve"> </w:t>
      </w:r>
    </w:p>
    <w:p w:rsidR="008638BD" w:rsidRPr="008638BD" w:rsidRDefault="008638BD" w:rsidP="008638BD">
      <w:pPr>
        <w:jc w:val="both"/>
        <w:rPr>
          <w:rFonts w:ascii="Arial" w:eastAsia="Times New Roman" w:hAnsi="Arial" w:cs="Arial"/>
        </w:rPr>
      </w:pPr>
      <w:r w:rsidRPr="008638BD">
        <w:rPr>
          <w:rFonts w:ascii="Arial" w:eastAsia="Times New Roman" w:hAnsi="Arial" w:cs="Arial"/>
        </w:rPr>
        <w:t xml:space="preserve">Shruti, A., Tripathi, A., &amp; Shukla, S. (2024). Methods of genetic transformation: major emphasis to crop plants. Journal of Microbiology, Biotechnology and Food Sciences. </w:t>
      </w:r>
      <w:hyperlink r:id="rId56" w:history="1">
        <w:r w:rsidRPr="008638BD">
          <w:rPr>
            <w:rStyle w:val="Hyperlink"/>
            <w:rFonts w:ascii="Arial" w:eastAsia="Times New Roman" w:hAnsi="Arial" w:cs="Arial"/>
          </w:rPr>
          <w:t>https://doi.org/10.55251/jmbfs.10276</w:t>
        </w:r>
      </w:hyperlink>
      <w:r w:rsidRPr="008638BD">
        <w:rPr>
          <w:rFonts w:ascii="Arial" w:eastAsia="Times New Roman" w:hAnsi="Arial" w:cs="Arial"/>
        </w:rPr>
        <w:t xml:space="preserve"> </w:t>
      </w:r>
    </w:p>
    <w:p w:rsidR="00787457" w:rsidRPr="00787457" w:rsidRDefault="008638BD" w:rsidP="00787457">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hAnsi="Times New Roman" w:cs="Times New Roman"/>
          <w:color w:val="222222"/>
          <w:sz w:val="24"/>
          <w:szCs w:val="24"/>
          <w:shd w:val="clear" w:color="auto" w:fill="FFFFFF"/>
        </w:rPr>
        <w:t xml:space="preserve"> </w:t>
      </w:r>
      <w:proofErr w:type="spellStart"/>
      <w:r w:rsidR="00787457" w:rsidRPr="00787457">
        <w:rPr>
          <w:rFonts w:ascii="Times New Roman" w:hAnsi="Times New Roman" w:cs="Times New Roman"/>
          <w:color w:val="222222"/>
          <w:sz w:val="24"/>
          <w:szCs w:val="24"/>
          <w:shd w:val="clear" w:color="auto" w:fill="FFFFFF"/>
        </w:rPr>
        <w:t>Twaij</w:t>
      </w:r>
      <w:proofErr w:type="spellEnd"/>
      <w:r w:rsidR="00787457" w:rsidRPr="00787457">
        <w:rPr>
          <w:rFonts w:ascii="Times New Roman" w:hAnsi="Times New Roman" w:cs="Times New Roman"/>
          <w:color w:val="222222"/>
          <w:sz w:val="24"/>
          <w:szCs w:val="24"/>
          <w:shd w:val="clear" w:color="auto" w:fill="FFFFFF"/>
        </w:rPr>
        <w:t xml:space="preserve">, B. M., </w:t>
      </w:r>
      <w:proofErr w:type="spellStart"/>
      <w:r w:rsidR="00787457" w:rsidRPr="00787457">
        <w:rPr>
          <w:rFonts w:ascii="Times New Roman" w:hAnsi="Times New Roman" w:cs="Times New Roman"/>
          <w:color w:val="222222"/>
          <w:sz w:val="24"/>
          <w:szCs w:val="24"/>
          <w:shd w:val="clear" w:color="auto" w:fill="FFFFFF"/>
        </w:rPr>
        <w:t>Jazar</w:t>
      </w:r>
      <w:proofErr w:type="spellEnd"/>
      <w:r w:rsidR="00787457" w:rsidRPr="00787457">
        <w:rPr>
          <w:rFonts w:ascii="Times New Roman" w:hAnsi="Times New Roman" w:cs="Times New Roman"/>
          <w:color w:val="222222"/>
          <w:sz w:val="24"/>
          <w:szCs w:val="24"/>
          <w:shd w:val="clear" w:color="auto" w:fill="FFFFFF"/>
        </w:rPr>
        <w:t>, Z. H., &amp; Hasan, M. N. (2020). Trends in the use of tissue culture, applications and future aspects. </w:t>
      </w:r>
      <w:r w:rsidR="00787457" w:rsidRPr="00787457">
        <w:rPr>
          <w:rFonts w:ascii="Times New Roman" w:hAnsi="Times New Roman" w:cs="Times New Roman"/>
          <w:i/>
          <w:iCs/>
          <w:color w:val="222222"/>
          <w:sz w:val="24"/>
          <w:szCs w:val="24"/>
          <w:shd w:val="clear" w:color="auto" w:fill="FFFFFF"/>
        </w:rPr>
        <w:t>International Journal of plant biology</w:t>
      </w:r>
      <w:r w:rsidR="00787457" w:rsidRPr="00787457">
        <w:rPr>
          <w:rFonts w:ascii="Times New Roman" w:hAnsi="Times New Roman" w:cs="Times New Roman"/>
          <w:color w:val="222222"/>
          <w:sz w:val="24"/>
          <w:szCs w:val="24"/>
          <w:shd w:val="clear" w:color="auto" w:fill="FFFFFF"/>
        </w:rPr>
        <w:t>, </w:t>
      </w:r>
      <w:r w:rsidR="00787457" w:rsidRPr="00787457">
        <w:rPr>
          <w:rFonts w:ascii="Times New Roman" w:hAnsi="Times New Roman" w:cs="Times New Roman"/>
          <w:i/>
          <w:iCs/>
          <w:color w:val="222222"/>
          <w:sz w:val="24"/>
          <w:szCs w:val="24"/>
          <w:shd w:val="clear" w:color="auto" w:fill="FFFFFF"/>
        </w:rPr>
        <w:t>11</w:t>
      </w:r>
      <w:r w:rsidR="00787457" w:rsidRPr="00787457">
        <w:rPr>
          <w:rFonts w:ascii="Times New Roman" w:hAnsi="Times New Roman" w:cs="Times New Roman"/>
          <w:color w:val="222222"/>
          <w:sz w:val="24"/>
          <w:szCs w:val="24"/>
          <w:shd w:val="clear" w:color="auto" w:fill="FFFFFF"/>
        </w:rPr>
        <w:t>(1), 8385.</w:t>
      </w:r>
      <w:r w:rsidR="00E45E2B">
        <w:rPr>
          <w:rFonts w:ascii="Times New Roman" w:hAnsi="Times New Roman" w:cs="Times New Roman"/>
          <w:color w:val="222222"/>
          <w:sz w:val="24"/>
          <w:szCs w:val="24"/>
          <w:shd w:val="clear" w:color="auto" w:fill="FFFFFF"/>
        </w:rPr>
        <w:t xml:space="preserve"> </w:t>
      </w:r>
      <w:hyperlink r:id="rId57" w:history="1">
        <w:r w:rsidR="00E45E2B" w:rsidRPr="00156E82">
          <w:rPr>
            <w:rStyle w:val="Hyperlink"/>
            <w:rFonts w:ascii="Times New Roman" w:hAnsi="Times New Roman" w:cs="Times New Roman"/>
            <w:sz w:val="24"/>
            <w:szCs w:val="24"/>
            <w:shd w:val="clear" w:color="auto" w:fill="FFFFFF"/>
          </w:rPr>
          <w:t>https://doi.org/10.4081/pb.2020.8385</w:t>
        </w:r>
      </w:hyperlink>
      <w:r w:rsidR="00E45E2B">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Tyagi, S., &amp; Sharma, A. (2024). In Vitro Production of Some Underutilized and Unconventional Horticultural Crops. In </w:t>
      </w:r>
      <w:r w:rsidRPr="00787457">
        <w:rPr>
          <w:rFonts w:ascii="Times New Roman" w:hAnsi="Times New Roman" w:cs="Times New Roman"/>
          <w:i/>
          <w:iCs/>
          <w:color w:val="222222"/>
          <w:sz w:val="24"/>
          <w:szCs w:val="24"/>
          <w:shd w:val="clear" w:color="auto" w:fill="FFFFFF"/>
        </w:rPr>
        <w:t>Biotechnological Advances in Horticultural Crops</w:t>
      </w:r>
      <w:r w:rsidRPr="00787457">
        <w:rPr>
          <w:rFonts w:ascii="Times New Roman" w:hAnsi="Times New Roman" w:cs="Times New Roman"/>
          <w:color w:val="222222"/>
          <w:sz w:val="24"/>
          <w:szCs w:val="24"/>
          <w:shd w:val="clear" w:color="auto" w:fill="FFFFFF"/>
        </w:rPr>
        <w:t> (pp. 112-128). CRC Press.</w:t>
      </w:r>
      <w:r w:rsidR="00E45E2B">
        <w:rPr>
          <w:rFonts w:ascii="Times New Roman" w:hAnsi="Times New Roman" w:cs="Times New Roman"/>
          <w:color w:val="222222"/>
          <w:sz w:val="24"/>
          <w:szCs w:val="24"/>
          <w:shd w:val="clear" w:color="auto" w:fill="FFFFFF"/>
        </w:rPr>
        <w:t xml:space="preserve"> </w:t>
      </w:r>
      <w:hyperlink r:id="rId58" w:history="1">
        <w:r w:rsidR="00E45E2B" w:rsidRPr="00156E82">
          <w:rPr>
            <w:rStyle w:val="Hyperlink"/>
            <w:rFonts w:ascii="Times New Roman" w:hAnsi="Times New Roman" w:cs="Times New Roman"/>
            <w:sz w:val="24"/>
            <w:szCs w:val="24"/>
            <w:shd w:val="clear" w:color="auto" w:fill="FFFFFF"/>
          </w:rPr>
          <w:t>https://doi.org/10.1201/9781003343707</w:t>
        </w:r>
      </w:hyperlink>
      <w:r w:rsidR="00E45E2B">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 xml:space="preserve">Verma, P., Khan, S. A., &amp; </w:t>
      </w:r>
      <w:proofErr w:type="spellStart"/>
      <w:r w:rsidRPr="00787457">
        <w:rPr>
          <w:rFonts w:ascii="Times New Roman" w:hAnsi="Times New Roman" w:cs="Times New Roman"/>
          <w:color w:val="222222"/>
          <w:sz w:val="24"/>
          <w:szCs w:val="24"/>
          <w:shd w:val="clear" w:color="auto" w:fill="FFFFFF"/>
        </w:rPr>
        <w:t>Alhandhali</w:t>
      </w:r>
      <w:proofErr w:type="spellEnd"/>
      <w:r w:rsidRPr="00787457">
        <w:rPr>
          <w:rFonts w:ascii="Times New Roman" w:hAnsi="Times New Roman" w:cs="Times New Roman"/>
          <w:color w:val="222222"/>
          <w:sz w:val="24"/>
          <w:szCs w:val="24"/>
          <w:shd w:val="clear" w:color="auto" w:fill="FFFFFF"/>
        </w:rPr>
        <w:t>, A. J. A. (2021). Bioreactor Upscaling of Different Tissue. </w:t>
      </w:r>
      <w:r w:rsidRPr="00787457">
        <w:rPr>
          <w:rFonts w:ascii="Times New Roman" w:hAnsi="Times New Roman" w:cs="Times New Roman"/>
          <w:i/>
          <w:iCs/>
          <w:color w:val="222222"/>
          <w:sz w:val="24"/>
          <w:szCs w:val="24"/>
          <w:shd w:val="clear" w:color="auto" w:fill="FFFFFF"/>
        </w:rPr>
        <w:t xml:space="preserve">Plant Growth Regulators: </w:t>
      </w:r>
      <w:proofErr w:type="spellStart"/>
      <w:r w:rsidRPr="00787457">
        <w:rPr>
          <w:rFonts w:ascii="Times New Roman" w:hAnsi="Times New Roman" w:cs="Times New Roman"/>
          <w:i/>
          <w:iCs/>
          <w:color w:val="222222"/>
          <w:sz w:val="24"/>
          <w:szCs w:val="24"/>
          <w:shd w:val="clear" w:color="auto" w:fill="FFFFFF"/>
        </w:rPr>
        <w:t>Signalling</w:t>
      </w:r>
      <w:proofErr w:type="spellEnd"/>
      <w:r w:rsidRPr="00787457">
        <w:rPr>
          <w:rFonts w:ascii="Times New Roman" w:hAnsi="Times New Roman" w:cs="Times New Roman"/>
          <w:i/>
          <w:iCs/>
          <w:color w:val="222222"/>
          <w:sz w:val="24"/>
          <w:szCs w:val="24"/>
          <w:shd w:val="clear" w:color="auto" w:fill="FFFFFF"/>
        </w:rPr>
        <w:t xml:space="preserve"> under Stress Conditions</w:t>
      </w:r>
      <w:r w:rsidRPr="00787457">
        <w:rPr>
          <w:rFonts w:ascii="Times New Roman" w:hAnsi="Times New Roman" w:cs="Times New Roman"/>
          <w:color w:val="222222"/>
          <w:sz w:val="24"/>
          <w:szCs w:val="24"/>
          <w:shd w:val="clear" w:color="auto" w:fill="FFFFFF"/>
        </w:rPr>
        <w:t>, 455.</w:t>
      </w:r>
      <w:r w:rsidR="00E45E2B">
        <w:rPr>
          <w:rFonts w:ascii="Times New Roman" w:hAnsi="Times New Roman" w:cs="Times New Roman"/>
          <w:color w:val="222222"/>
          <w:sz w:val="24"/>
          <w:szCs w:val="24"/>
          <w:shd w:val="clear" w:color="auto" w:fill="FFFFFF"/>
        </w:rPr>
        <w:t xml:space="preserve"> </w:t>
      </w:r>
      <w:hyperlink r:id="rId59" w:history="1">
        <w:r w:rsidR="00E45E2B" w:rsidRPr="00156E82">
          <w:rPr>
            <w:rStyle w:val="Hyperlink"/>
            <w:rFonts w:ascii="Times New Roman" w:hAnsi="Times New Roman" w:cs="Times New Roman"/>
            <w:sz w:val="24"/>
            <w:szCs w:val="24"/>
            <w:shd w:val="clear" w:color="auto" w:fill="FFFFFF"/>
          </w:rPr>
          <w:t>https://doi.org/10.1007/978-3-030-61153-8_21</w:t>
        </w:r>
      </w:hyperlink>
      <w:r w:rsidR="00E45E2B">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b/>
          <w:sz w:val="24"/>
          <w:szCs w:val="24"/>
        </w:rPr>
      </w:pPr>
      <w:r w:rsidRPr="00787457">
        <w:rPr>
          <w:rFonts w:ascii="Times New Roman" w:hAnsi="Times New Roman" w:cs="Times New Roman"/>
          <w:color w:val="222222"/>
          <w:sz w:val="24"/>
          <w:szCs w:val="24"/>
          <w:shd w:val="clear" w:color="auto" w:fill="FFFFFF"/>
        </w:rPr>
        <w:t>Yaseen, I., Fayaz, S., Khursheed, A., Gupta, A., Hassan, G. I., Rajan, R., ... &amp; Jayarajan, S. (2022). Advances in Propagation and Nursery Management: Methods and Techniques. In </w:t>
      </w:r>
      <w:r w:rsidRPr="00787457">
        <w:rPr>
          <w:rFonts w:ascii="Times New Roman" w:hAnsi="Times New Roman" w:cs="Times New Roman"/>
          <w:i/>
          <w:iCs/>
          <w:color w:val="222222"/>
          <w:sz w:val="24"/>
          <w:szCs w:val="24"/>
          <w:shd w:val="clear" w:color="auto" w:fill="FFFFFF"/>
        </w:rPr>
        <w:t>Apples</w:t>
      </w:r>
      <w:r w:rsidRPr="00787457">
        <w:rPr>
          <w:rFonts w:ascii="Times New Roman" w:hAnsi="Times New Roman" w:cs="Times New Roman"/>
          <w:color w:val="222222"/>
          <w:sz w:val="24"/>
          <w:szCs w:val="24"/>
          <w:shd w:val="clear" w:color="auto" w:fill="FFFFFF"/>
        </w:rPr>
        <w:t> (pp. 45-57). CRC Press.</w:t>
      </w:r>
      <w:r w:rsidR="00E45E2B">
        <w:rPr>
          <w:rFonts w:ascii="Times New Roman" w:hAnsi="Times New Roman" w:cs="Times New Roman"/>
          <w:color w:val="222222"/>
          <w:sz w:val="24"/>
          <w:szCs w:val="24"/>
          <w:shd w:val="clear" w:color="auto" w:fill="FFFFFF"/>
        </w:rPr>
        <w:t xml:space="preserve"> </w:t>
      </w:r>
      <w:hyperlink r:id="rId60" w:history="1">
        <w:r w:rsidR="00E45E2B" w:rsidRPr="00156E82">
          <w:rPr>
            <w:rStyle w:val="Hyperlink"/>
            <w:rFonts w:ascii="Times New Roman" w:hAnsi="Times New Roman" w:cs="Times New Roman"/>
            <w:sz w:val="24"/>
            <w:szCs w:val="24"/>
            <w:shd w:val="clear" w:color="auto" w:fill="FFFFFF"/>
          </w:rPr>
          <w:t>https://doi.org/10.1201/9781003239925</w:t>
        </w:r>
      </w:hyperlink>
      <w:r w:rsidR="00E45E2B">
        <w:rPr>
          <w:rFonts w:ascii="Times New Roman" w:hAnsi="Times New Roman" w:cs="Times New Roman"/>
          <w:color w:val="222222"/>
          <w:sz w:val="24"/>
          <w:szCs w:val="24"/>
          <w:shd w:val="clear" w:color="auto" w:fill="FFFFFF"/>
        </w:rPr>
        <w:t xml:space="preserve"> </w:t>
      </w:r>
    </w:p>
    <w:p w:rsidR="00787457" w:rsidRPr="00787457" w:rsidRDefault="00787457" w:rsidP="00787457">
      <w:pPr>
        <w:spacing w:line="276" w:lineRule="auto"/>
        <w:jc w:val="both"/>
        <w:rPr>
          <w:rFonts w:ascii="Times New Roman" w:hAnsi="Times New Roman" w:cs="Times New Roman"/>
          <w:sz w:val="24"/>
          <w:szCs w:val="24"/>
        </w:rPr>
      </w:pPr>
      <w:r w:rsidRPr="00787457">
        <w:rPr>
          <w:rFonts w:ascii="Times New Roman" w:hAnsi="Times New Roman" w:cs="Times New Roman"/>
          <w:color w:val="222222"/>
          <w:sz w:val="24"/>
          <w:szCs w:val="24"/>
          <w:shd w:val="clear" w:color="auto" w:fill="FFFFFF"/>
        </w:rPr>
        <w:t>Yasemin, S., &amp; Beruto, M. (2024). A review on flower bulb micropropagation: Challenges and opportunities. </w:t>
      </w:r>
      <w:proofErr w:type="spellStart"/>
      <w:r w:rsidRPr="00787457">
        <w:rPr>
          <w:rFonts w:ascii="Times New Roman" w:hAnsi="Times New Roman" w:cs="Times New Roman"/>
          <w:i/>
          <w:iCs/>
          <w:color w:val="222222"/>
          <w:sz w:val="24"/>
          <w:szCs w:val="24"/>
          <w:shd w:val="clear" w:color="auto" w:fill="FFFFFF"/>
        </w:rPr>
        <w:t>Horticulturae</w:t>
      </w:r>
      <w:proofErr w:type="spellEnd"/>
      <w:r w:rsidRPr="00787457">
        <w:rPr>
          <w:rFonts w:ascii="Times New Roman" w:hAnsi="Times New Roman" w:cs="Times New Roman"/>
          <w:color w:val="222222"/>
          <w:sz w:val="24"/>
          <w:szCs w:val="24"/>
          <w:shd w:val="clear" w:color="auto" w:fill="FFFFFF"/>
        </w:rPr>
        <w:t>, </w:t>
      </w:r>
      <w:r w:rsidRPr="00787457">
        <w:rPr>
          <w:rFonts w:ascii="Times New Roman" w:hAnsi="Times New Roman" w:cs="Times New Roman"/>
          <w:i/>
          <w:iCs/>
          <w:color w:val="222222"/>
          <w:sz w:val="24"/>
          <w:szCs w:val="24"/>
          <w:shd w:val="clear" w:color="auto" w:fill="FFFFFF"/>
        </w:rPr>
        <w:t>10</w:t>
      </w:r>
      <w:r w:rsidRPr="00787457">
        <w:rPr>
          <w:rFonts w:ascii="Times New Roman" w:hAnsi="Times New Roman" w:cs="Times New Roman"/>
          <w:color w:val="222222"/>
          <w:sz w:val="24"/>
          <w:szCs w:val="24"/>
          <w:shd w:val="clear" w:color="auto" w:fill="FFFFFF"/>
        </w:rPr>
        <w:t>(3), 284.</w:t>
      </w:r>
      <w:r w:rsidR="00E45E2B">
        <w:rPr>
          <w:rFonts w:ascii="Times New Roman" w:hAnsi="Times New Roman" w:cs="Times New Roman"/>
          <w:color w:val="222222"/>
          <w:sz w:val="24"/>
          <w:szCs w:val="24"/>
          <w:shd w:val="clear" w:color="auto" w:fill="FFFFFF"/>
        </w:rPr>
        <w:t xml:space="preserve"> </w:t>
      </w:r>
      <w:hyperlink r:id="rId61" w:history="1">
        <w:r w:rsidR="00E45E2B" w:rsidRPr="00156E82">
          <w:rPr>
            <w:rStyle w:val="Hyperlink"/>
            <w:rFonts w:ascii="Times New Roman" w:hAnsi="Times New Roman" w:cs="Times New Roman"/>
            <w:sz w:val="24"/>
            <w:szCs w:val="24"/>
            <w:shd w:val="clear" w:color="auto" w:fill="FFFFFF"/>
          </w:rPr>
          <w:t>https://doi.org/10.3390/horticulturae10030284</w:t>
        </w:r>
      </w:hyperlink>
      <w:r w:rsidR="00E45E2B">
        <w:rPr>
          <w:rFonts w:ascii="Times New Roman" w:hAnsi="Times New Roman" w:cs="Times New Roman"/>
          <w:color w:val="222222"/>
          <w:sz w:val="24"/>
          <w:szCs w:val="24"/>
          <w:shd w:val="clear" w:color="auto" w:fill="FFFFFF"/>
        </w:rPr>
        <w:t xml:space="preserve"> </w:t>
      </w:r>
    </w:p>
    <w:sectPr w:rsidR="00787457" w:rsidRPr="00787457">
      <w:headerReference w:type="even" r:id="rId62"/>
      <w:headerReference w:type="default" r:id="rId63"/>
      <w:footerReference w:type="even" r:id="rId64"/>
      <w:footerReference w:type="default" r:id="rId65"/>
      <w:headerReference w:type="first" r:id="rId66"/>
      <w:footerReference w:type="firs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4CF1" w:rsidRDefault="00824CF1" w:rsidP="00895174">
      <w:pPr>
        <w:spacing w:after="0" w:line="240" w:lineRule="auto"/>
      </w:pPr>
      <w:r>
        <w:separator/>
      </w:r>
    </w:p>
  </w:endnote>
  <w:endnote w:type="continuationSeparator" w:id="0">
    <w:p w:rsidR="00824CF1" w:rsidRDefault="00824CF1" w:rsidP="00895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174" w:rsidRDefault="0089517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174" w:rsidRDefault="0089517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174" w:rsidRDefault="0089517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4CF1" w:rsidRDefault="00824CF1" w:rsidP="00895174">
      <w:pPr>
        <w:spacing w:after="0" w:line="240" w:lineRule="auto"/>
      </w:pPr>
      <w:r>
        <w:separator/>
      </w:r>
    </w:p>
  </w:footnote>
  <w:footnote w:type="continuationSeparator" w:id="0">
    <w:p w:rsidR="00824CF1" w:rsidRDefault="00824CF1" w:rsidP="008951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174" w:rsidRDefault="00824CF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90403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174" w:rsidRDefault="00824CF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90403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174" w:rsidRDefault="00824CF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90403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6677C"/>
    <w:multiLevelType w:val="hybridMultilevel"/>
    <w:tmpl w:val="8CA04C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F5555"/>
    <w:multiLevelType w:val="hybridMultilevel"/>
    <w:tmpl w:val="B4384D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115694"/>
    <w:multiLevelType w:val="multilevel"/>
    <w:tmpl w:val="56F6B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550FB8"/>
    <w:multiLevelType w:val="multilevel"/>
    <w:tmpl w:val="69A42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B7359"/>
    <w:multiLevelType w:val="multilevel"/>
    <w:tmpl w:val="8CFE61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455D6E"/>
    <w:multiLevelType w:val="hybridMultilevel"/>
    <w:tmpl w:val="3CD069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4F5BBC"/>
    <w:multiLevelType w:val="hybridMultilevel"/>
    <w:tmpl w:val="E84EBE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625C75"/>
    <w:multiLevelType w:val="hybridMultilevel"/>
    <w:tmpl w:val="5E8A32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12055A"/>
    <w:multiLevelType w:val="hybridMultilevel"/>
    <w:tmpl w:val="0EE601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930710"/>
    <w:multiLevelType w:val="multilevel"/>
    <w:tmpl w:val="E99821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B31373"/>
    <w:multiLevelType w:val="multilevel"/>
    <w:tmpl w:val="C50E3A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C06D38"/>
    <w:multiLevelType w:val="hybridMultilevel"/>
    <w:tmpl w:val="A1F0F7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F55BC3"/>
    <w:multiLevelType w:val="hybridMultilevel"/>
    <w:tmpl w:val="3CC241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224DA1"/>
    <w:multiLevelType w:val="hybridMultilevel"/>
    <w:tmpl w:val="DD360E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6F0238"/>
    <w:multiLevelType w:val="hybridMultilevel"/>
    <w:tmpl w:val="8EE691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5942BD"/>
    <w:multiLevelType w:val="hybridMultilevel"/>
    <w:tmpl w:val="3F24A8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2902D5"/>
    <w:multiLevelType w:val="multilevel"/>
    <w:tmpl w:val="8B420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8B34FC"/>
    <w:multiLevelType w:val="hybridMultilevel"/>
    <w:tmpl w:val="BCDE0F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5F543C"/>
    <w:multiLevelType w:val="hybridMultilevel"/>
    <w:tmpl w:val="7180C0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A2297A"/>
    <w:multiLevelType w:val="multilevel"/>
    <w:tmpl w:val="BA18A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E02339"/>
    <w:multiLevelType w:val="hybridMultilevel"/>
    <w:tmpl w:val="E20EF3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11"/>
  </w:num>
  <w:num w:numId="5">
    <w:abstractNumId w:val="15"/>
  </w:num>
  <w:num w:numId="6">
    <w:abstractNumId w:val="18"/>
  </w:num>
  <w:num w:numId="7">
    <w:abstractNumId w:val="12"/>
  </w:num>
  <w:num w:numId="8">
    <w:abstractNumId w:val="20"/>
  </w:num>
  <w:num w:numId="9">
    <w:abstractNumId w:val="17"/>
  </w:num>
  <w:num w:numId="10">
    <w:abstractNumId w:val="8"/>
  </w:num>
  <w:num w:numId="11">
    <w:abstractNumId w:val="14"/>
  </w:num>
  <w:num w:numId="12">
    <w:abstractNumId w:val="7"/>
  </w:num>
  <w:num w:numId="13">
    <w:abstractNumId w:val="5"/>
  </w:num>
  <w:num w:numId="14">
    <w:abstractNumId w:val="10"/>
  </w:num>
  <w:num w:numId="15">
    <w:abstractNumId w:val="4"/>
  </w:num>
  <w:num w:numId="16">
    <w:abstractNumId w:val="9"/>
  </w:num>
  <w:num w:numId="17">
    <w:abstractNumId w:val="19"/>
  </w:num>
  <w:num w:numId="18">
    <w:abstractNumId w:val="2"/>
  </w:num>
  <w:num w:numId="19">
    <w:abstractNumId w:val="16"/>
  </w:num>
  <w:num w:numId="20">
    <w:abstractNumId w:val="3"/>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6EC"/>
    <w:rsid w:val="00002C2F"/>
    <w:rsid w:val="00020059"/>
    <w:rsid w:val="000252C8"/>
    <w:rsid w:val="00034F18"/>
    <w:rsid w:val="00050C41"/>
    <w:rsid w:val="000A372D"/>
    <w:rsid w:val="000A6717"/>
    <w:rsid w:val="000B541C"/>
    <w:rsid w:val="000C4634"/>
    <w:rsid w:val="001058FE"/>
    <w:rsid w:val="00114DB1"/>
    <w:rsid w:val="00196B05"/>
    <w:rsid w:val="001C60E2"/>
    <w:rsid w:val="001E3991"/>
    <w:rsid w:val="00212CD2"/>
    <w:rsid w:val="00213D92"/>
    <w:rsid w:val="00231359"/>
    <w:rsid w:val="00251D74"/>
    <w:rsid w:val="002A4BCE"/>
    <w:rsid w:val="002E59A9"/>
    <w:rsid w:val="003836CC"/>
    <w:rsid w:val="003A3EB7"/>
    <w:rsid w:val="003E460E"/>
    <w:rsid w:val="003F4839"/>
    <w:rsid w:val="00406B1B"/>
    <w:rsid w:val="004408E0"/>
    <w:rsid w:val="004758AA"/>
    <w:rsid w:val="004865D4"/>
    <w:rsid w:val="00492E66"/>
    <w:rsid w:val="004D050F"/>
    <w:rsid w:val="004D1CE8"/>
    <w:rsid w:val="00504861"/>
    <w:rsid w:val="005246F0"/>
    <w:rsid w:val="0053759B"/>
    <w:rsid w:val="00566646"/>
    <w:rsid w:val="00577509"/>
    <w:rsid w:val="0059205D"/>
    <w:rsid w:val="005A0A0D"/>
    <w:rsid w:val="005C6E3B"/>
    <w:rsid w:val="005E4FED"/>
    <w:rsid w:val="005F5680"/>
    <w:rsid w:val="00606630"/>
    <w:rsid w:val="00611C6E"/>
    <w:rsid w:val="0064174E"/>
    <w:rsid w:val="00666E8F"/>
    <w:rsid w:val="007038F8"/>
    <w:rsid w:val="00716930"/>
    <w:rsid w:val="00740E62"/>
    <w:rsid w:val="00745E34"/>
    <w:rsid w:val="007531E6"/>
    <w:rsid w:val="007537C0"/>
    <w:rsid w:val="00772C30"/>
    <w:rsid w:val="00787457"/>
    <w:rsid w:val="007A541A"/>
    <w:rsid w:val="007C74AB"/>
    <w:rsid w:val="007E1F08"/>
    <w:rsid w:val="007E2B67"/>
    <w:rsid w:val="007E53CA"/>
    <w:rsid w:val="00812300"/>
    <w:rsid w:val="00814499"/>
    <w:rsid w:val="00824CF1"/>
    <w:rsid w:val="00826B85"/>
    <w:rsid w:val="0084697E"/>
    <w:rsid w:val="008638BD"/>
    <w:rsid w:val="00882D0F"/>
    <w:rsid w:val="00895174"/>
    <w:rsid w:val="0089706D"/>
    <w:rsid w:val="008A760D"/>
    <w:rsid w:val="008B0BF9"/>
    <w:rsid w:val="008B3651"/>
    <w:rsid w:val="008B64B4"/>
    <w:rsid w:val="008C3A63"/>
    <w:rsid w:val="008C48AF"/>
    <w:rsid w:val="008D0B5A"/>
    <w:rsid w:val="008D3A1B"/>
    <w:rsid w:val="008E5B1F"/>
    <w:rsid w:val="008F04E9"/>
    <w:rsid w:val="008F3DD2"/>
    <w:rsid w:val="008F6B78"/>
    <w:rsid w:val="009414EF"/>
    <w:rsid w:val="0097549D"/>
    <w:rsid w:val="009809A2"/>
    <w:rsid w:val="00986AE3"/>
    <w:rsid w:val="009A745B"/>
    <w:rsid w:val="00A63D84"/>
    <w:rsid w:val="00A7592A"/>
    <w:rsid w:val="00A8128A"/>
    <w:rsid w:val="00A878FA"/>
    <w:rsid w:val="00AF2376"/>
    <w:rsid w:val="00B2493A"/>
    <w:rsid w:val="00B53558"/>
    <w:rsid w:val="00B70C38"/>
    <w:rsid w:val="00B80FBA"/>
    <w:rsid w:val="00B95779"/>
    <w:rsid w:val="00BC72EA"/>
    <w:rsid w:val="00BD0288"/>
    <w:rsid w:val="00BD49EF"/>
    <w:rsid w:val="00BE5BBC"/>
    <w:rsid w:val="00C061BB"/>
    <w:rsid w:val="00C47035"/>
    <w:rsid w:val="00C52ED0"/>
    <w:rsid w:val="00C556CD"/>
    <w:rsid w:val="00C62BCF"/>
    <w:rsid w:val="00C80FAE"/>
    <w:rsid w:val="00C81702"/>
    <w:rsid w:val="00C970FF"/>
    <w:rsid w:val="00CA5DA1"/>
    <w:rsid w:val="00CB0806"/>
    <w:rsid w:val="00CC597B"/>
    <w:rsid w:val="00CD36EC"/>
    <w:rsid w:val="00D465C4"/>
    <w:rsid w:val="00D53E21"/>
    <w:rsid w:val="00D71328"/>
    <w:rsid w:val="00D8177D"/>
    <w:rsid w:val="00DB11D4"/>
    <w:rsid w:val="00DC0325"/>
    <w:rsid w:val="00DF297B"/>
    <w:rsid w:val="00DF6CE1"/>
    <w:rsid w:val="00E13F40"/>
    <w:rsid w:val="00E16E06"/>
    <w:rsid w:val="00E201A0"/>
    <w:rsid w:val="00E21244"/>
    <w:rsid w:val="00E31E17"/>
    <w:rsid w:val="00E455CE"/>
    <w:rsid w:val="00E45E2B"/>
    <w:rsid w:val="00E512D9"/>
    <w:rsid w:val="00E67A85"/>
    <w:rsid w:val="00E75600"/>
    <w:rsid w:val="00E7566F"/>
    <w:rsid w:val="00E83D2D"/>
    <w:rsid w:val="00EC7DD1"/>
    <w:rsid w:val="00EE3AA8"/>
    <w:rsid w:val="00EF0DBF"/>
    <w:rsid w:val="00F03F42"/>
    <w:rsid w:val="00F15095"/>
    <w:rsid w:val="00F240AC"/>
    <w:rsid w:val="00F40B1D"/>
    <w:rsid w:val="00F4346C"/>
    <w:rsid w:val="00F61EDE"/>
    <w:rsid w:val="00F654FE"/>
    <w:rsid w:val="00F82D6E"/>
    <w:rsid w:val="00F87CFF"/>
    <w:rsid w:val="00F948F7"/>
    <w:rsid w:val="00F96D04"/>
    <w:rsid w:val="00FA5AFE"/>
    <w:rsid w:val="00FE177B"/>
    <w:rsid w:val="00FF3E0C"/>
    <w:rsid w:val="00FF431B"/>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C41313"/>
  <w15:chartTrackingRefBased/>
  <w15:docId w15:val="{0A5DF742-53FB-4D98-BE1A-AFD830D79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66E8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8B64B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B64B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48AF"/>
    <w:pPr>
      <w:ind w:left="720"/>
      <w:contextualSpacing/>
    </w:pPr>
  </w:style>
  <w:style w:type="character" w:customStyle="1" w:styleId="Heading1Char">
    <w:name w:val="Heading 1 Char"/>
    <w:basedOn w:val="DefaultParagraphFont"/>
    <w:link w:val="Heading1"/>
    <w:uiPriority w:val="9"/>
    <w:rsid w:val="00666E8F"/>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666E8F"/>
    <w:rPr>
      <w:b/>
      <w:bCs/>
    </w:rPr>
  </w:style>
  <w:style w:type="table" w:styleId="TableGrid">
    <w:name w:val="Table Grid"/>
    <w:basedOn w:val="TableNormal"/>
    <w:uiPriority w:val="39"/>
    <w:rsid w:val="00666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E46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8B64B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B64B4"/>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8B64B4"/>
    <w:rPr>
      <w:i/>
      <w:iCs/>
    </w:rPr>
  </w:style>
  <w:style w:type="character" w:styleId="Hyperlink">
    <w:name w:val="Hyperlink"/>
    <w:basedOn w:val="DefaultParagraphFont"/>
    <w:uiPriority w:val="99"/>
    <w:unhideWhenUsed/>
    <w:rsid w:val="00F87CFF"/>
    <w:rPr>
      <w:color w:val="0563C1" w:themeColor="hyperlink"/>
      <w:u w:val="single"/>
    </w:rPr>
  </w:style>
  <w:style w:type="character" w:customStyle="1" w:styleId="UnresolvedMention">
    <w:name w:val="Unresolved Mention"/>
    <w:basedOn w:val="DefaultParagraphFont"/>
    <w:uiPriority w:val="99"/>
    <w:semiHidden/>
    <w:unhideWhenUsed/>
    <w:rsid w:val="00F87CFF"/>
    <w:rPr>
      <w:color w:val="605E5C"/>
      <w:shd w:val="clear" w:color="auto" w:fill="E1DFDD"/>
    </w:rPr>
  </w:style>
  <w:style w:type="paragraph" w:styleId="Header">
    <w:name w:val="header"/>
    <w:basedOn w:val="Normal"/>
    <w:link w:val="HeaderChar"/>
    <w:uiPriority w:val="99"/>
    <w:unhideWhenUsed/>
    <w:rsid w:val="008951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174"/>
  </w:style>
  <w:style w:type="paragraph" w:styleId="Footer">
    <w:name w:val="footer"/>
    <w:basedOn w:val="Normal"/>
    <w:link w:val="FooterChar"/>
    <w:uiPriority w:val="99"/>
    <w:unhideWhenUsed/>
    <w:rsid w:val="008951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178498">
      <w:bodyDiv w:val="1"/>
      <w:marLeft w:val="0"/>
      <w:marRight w:val="0"/>
      <w:marTop w:val="0"/>
      <w:marBottom w:val="0"/>
      <w:divBdr>
        <w:top w:val="none" w:sz="0" w:space="0" w:color="auto"/>
        <w:left w:val="none" w:sz="0" w:space="0" w:color="auto"/>
        <w:bottom w:val="none" w:sz="0" w:space="0" w:color="auto"/>
        <w:right w:val="none" w:sz="0" w:space="0" w:color="auto"/>
      </w:divBdr>
    </w:div>
    <w:div w:id="1315842760">
      <w:bodyDiv w:val="1"/>
      <w:marLeft w:val="0"/>
      <w:marRight w:val="0"/>
      <w:marTop w:val="0"/>
      <w:marBottom w:val="0"/>
      <w:divBdr>
        <w:top w:val="none" w:sz="0" w:space="0" w:color="auto"/>
        <w:left w:val="none" w:sz="0" w:space="0" w:color="auto"/>
        <w:bottom w:val="none" w:sz="0" w:space="0" w:color="auto"/>
        <w:right w:val="none" w:sz="0" w:space="0" w:color="auto"/>
      </w:divBdr>
      <w:divsChild>
        <w:div w:id="889609274">
          <w:marLeft w:val="0"/>
          <w:marRight w:val="0"/>
          <w:marTop w:val="0"/>
          <w:marBottom w:val="0"/>
          <w:divBdr>
            <w:top w:val="none" w:sz="0" w:space="0" w:color="auto"/>
            <w:left w:val="none" w:sz="0" w:space="0" w:color="auto"/>
            <w:bottom w:val="none" w:sz="0" w:space="0" w:color="auto"/>
            <w:right w:val="none" w:sz="0" w:space="0" w:color="auto"/>
          </w:divBdr>
          <w:divsChild>
            <w:div w:id="127273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677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craveonline.com/JBMOA/JBMOA-13-00569" TargetMode="External"/><Relationship Id="rId21" Type="http://schemas.openxmlformats.org/officeDocument/2006/relationships/hyperlink" Target="https://doi.org/10.1007/s11240-019-01569-8" TargetMode="External"/><Relationship Id="rId42" Type="http://schemas.openxmlformats.org/officeDocument/2006/relationships/hyperlink" Target="https://doi.org/10.3389/fgene.2025.1599242" TargetMode="External"/><Relationship Id="rId47" Type="http://schemas.openxmlformats.org/officeDocument/2006/relationships/hyperlink" Target="https://doi.org/10.1007/978-981-19-9936-9"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978-81-322-1026-9" TargetMode="External"/><Relationship Id="rId29" Type="http://schemas.openxmlformats.org/officeDocument/2006/relationships/hyperlink" Target="https://doi.org/10.5296/jbls.v3i1.1156" TargetMode="External"/><Relationship Id="rId11" Type="http://schemas.openxmlformats.org/officeDocument/2006/relationships/hyperlink" Target="https://doi.org/10.3390/horticulturae8080677" TargetMode="External"/><Relationship Id="rId24" Type="http://schemas.openxmlformats.org/officeDocument/2006/relationships/hyperlink" Target="https://doi.org/10.1201/b17340" TargetMode="External"/><Relationship Id="rId32" Type="http://schemas.openxmlformats.org/officeDocument/2006/relationships/hyperlink" Target="https://doi.org/10.1007/s00709-017-1143-7" TargetMode="External"/><Relationship Id="rId37" Type="http://schemas.openxmlformats.org/officeDocument/2006/relationships/hyperlink" Target="https://www.elsevier.com/books/advances-in-plant-tissue-culture/rai/978-0-323-90795-8" TargetMode="External"/><Relationship Id="rId40" Type="http://schemas.openxmlformats.org/officeDocument/2006/relationships/hyperlink" Target="https://doi.org/10.1007/978-1-0716-3654-1_3" TargetMode="External"/><Relationship Id="rId45" Type="http://schemas.openxmlformats.org/officeDocument/2006/relationships/hyperlink" Target="https://doi.org/10.2147/AHCT.S71272" TargetMode="External"/><Relationship Id="rId53" Type="http://schemas.openxmlformats.org/officeDocument/2006/relationships/hyperlink" Target="https://connectjournals.com/archives.php?journal_id=3896&amp;volume_no=17" TargetMode="External"/><Relationship Id="rId58" Type="http://schemas.openxmlformats.org/officeDocument/2006/relationships/hyperlink" Target="https://doi.org/10.1201/9781003343707" TargetMode="External"/><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doi.org/10.3390/horticulturae10030284" TargetMode="External"/><Relationship Id="rId19" Type="http://schemas.openxmlformats.org/officeDocument/2006/relationships/hyperlink" Target="https://doi.org/10.1007/978-3-030-24631-0_11" TargetMode="External"/><Relationship Id="rId14" Type="http://schemas.openxmlformats.org/officeDocument/2006/relationships/hyperlink" Target="https://doi.org/10.1007/978-3-642-76415-8" TargetMode="External"/><Relationship Id="rId22" Type="http://schemas.openxmlformats.org/officeDocument/2006/relationships/hyperlink" Target="https://doi.org/10.1002/elsc.201300166" TargetMode="External"/><Relationship Id="rId27" Type="http://schemas.openxmlformats.org/officeDocument/2006/relationships/hyperlink" Target="https://doi.org/10.14719/pst.1891" TargetMode="External"/><Relationship Id="rId30" Type="http://schemas.openxmlformats.org/officeDocument/2006/relationships/hyperlink" Target="https://doi.org/10.3389/fpls.2019.00077" TargetMode="External"/><Relationship Id="rId35" Type="http://schemas.openxmlformats.org/officeDocument/2006/relationships/hyperlink" Target="https://doi.org/10.51470/JPB.2022.1.1.12" TargetMode="External"/><Relationship Id="rId43" Type="http://schemas.openxmlformats.org/officeDocument/2006/relationships/hyperlink" Target="https://doi.org/10.1007/978-3-030-24631-0_2" TargetMode="External"/><Relationship Id="rId48" Type="http://schemas.openxmlformats.org/officeDocument/2006/relationships/hyperlink" Target="https://doi.org/10.3389/fgeed.2023.1094965" TargetMode="External"/><Relationship Id="rId56" Type="http://schemas.openxmlformats.org/officeDocument/2006/relationships/hyperlink" Target="https://doi.org/10.55251/jmbfs.10276"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62906/bs.book.198" TargetMode="External"/><Relationship Id="rId3" Type="http://schemas.openxmlformats.org/officeDocument/2006/relationships/styles" Target="styles.xml"/><Relationship Id="rId12" Type="http://schemas.openxmlformats.org/officeDocument/2006/relationships/hyperlink" Target="https://doi.org/10.2174/1573413717666211118111333" TargetMode="External"/><Relationship Id="rId17" Type="http://schemas.openxmlformats.org/officeDocument/2006/relationships/hyperlink" Target="https://doi.org/10.3390/agronomy11122414" TargetMode="External"/><Relationship Id="rId25" Type="http://schemas.openxmlformats.org/officeDocument/2006/relationships/hyperlink" Target="https://doi.org/10.1201/9781003574675" TargetMode="External"/><Relationship Id="rId33" Type="http://schemas.openxmlformats.org/officeDocument/2006/relationships/hyperlink" Target="https://doi.org/10.48130/mpb-0025-0023" TargetMode="External"/><Relationship Id="rId38" Type="http://schemas.openxmlformats.org/officeDocument/2006/relationships/hyperlink" Target="https://doi.org/10.17660/ActaHortic.2017.1165.3" TargetMode="External"/><Relationship Id="rId46" Type="http://schemas.openxmlformats.org/officeDocument/2006/relationships/hyperlink" Target="https://doi.org/10.1007/978-981-10-2961-5_1" TargetMode="External"/><Relationship Id="rId59" Type="http://schemas.openxmlformats.org/officeDocument/2006/relationships/hyperlink" Target="https://doi.org/10.1007/978-3-030-61153-8_21" TargetMode="External"/><Relationship Id="rId67" Type="http://schemas.openxmlformats.org/officeDocument/2006/relationships/footer" Target="footer3.xml"/><Relationship Id="rId20" Type="http://schemas.openxmlformats.org/officeDocument/2006/relationships/hyperlink" Target="https://doi.org/10.1007/978-3-030-24631-0_13" TargetMode="External"/><Relationship Id="rId41" Type="http://schemas.openxmlformats.org/officeDocument/2006/relationships/hyperlink" Target="https://doi.org/10.1201/b23374-8" TargetMode="External"/><Relationship Id="rId54" Type="http://schemas.openxmlformats.org/officeDocument/2006/relationships/hyperlink" Target="https://doi.org/10.1007/978-3-030-41275-3_2"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07/s11051-024-06103-2" TargetMode="External"/><Relationship Id="rId23" Type="http://schemas.openxmlformats.org/officeDocument/2006/relationships/hyperlink" Target="https://doi.org/10.1007/978-1-4020-3694-1" TargetMode="External"/><Relationship Id="rId28" Type="http://schemas.openxmlformats.org/officeDocument/2006/relationships/hyperlink" Target="https://doi.org/10.1007/978-1-4939-8594-4_1" TargetMode="External"/><Relationship Id="rId36" Type="http://schemas.openxmlformats.org/officeDocument/2006/relationships/hyperlink" Target="https://doi.org/10.1093/hr/uhae292" TargetMode="External"/><Relationship Id="rId49" Type="http://schemas.openxmlformats.org/officeDocument/2006/relationships/hyperlink" Target="https://doi.org/10.24382/swyq-fr06" TargetMode="External"/><Relationship Id="rId57" Type="http://schemas.openxmlformats.org/officeDocument/2006/relationships/hyperlink" Target="https://doi.org/10.4081/pb.2020.8385" TargetMode="External"/><Relationship Id="rId10" Type="http://schemas.openxmlformats.org/officeDocument/2006/relationships/image" Target="media/image3.png"/><Relationship Id="rId31" Type="http://schemas.openxmlformats.org/officeDocument/2006/relationships/hyperlink" Target="https://doi.org/10.3389/fpls.2023.1159588" TargetMode="External"/><Relationship Id="rId44" Type="http://schemas.openxmlformats.org/officeDocument/2006/relationships/hyperlink" Target="https://doi.org/10.1201/9780203743133" TargetMode="External"/><Relationship Id="rId52" Type="http://schemas.openxmlformats.org/officeDocument/2006/relationships/hyperlink" Target="https://www.elsevier.com/books/plant-tissue-culture/smith/978-0-12-415985-3" TargetMode="External"/><Relationship Id="rId60" Type="http://schemas.openxmlformats.org/officeDocument/2006/relationships/hyperlink" Target="https://doi.org/10.1201/9781003239925"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bibliotekanauki.pl/articles/2090000.pdf" TargetMode="External"/><Relationship Id="rId18" Type="http://schemas.openxmlformats.org/officeDocument/2006/relationships/hyperlink" Target="https://doi.org/10.1016/B978-0-323-90795-8.00006-0" TargetMode="External"/><Relationship Id="rId39" Type="http://schemas.openxmlformats.org/officeDocument/2006/relationships/hyperlink" Target="https://doi.org/10.3390/biotech14040093" TargetMode="External"/><Relationship Id="rId34" Type="http://schemas.openxmlformats.org/officeDocument/2006/relationships/hyperlink" Target="https://doi.org/10.1007/s13205-017-0870-y" TargetMode="External"/><Relationship Id="rId50" Type="http://schemas.openxmlformats.org/officeDocument/2006/relationships/hyperlink" Target="https://doi.org/10.1007/978-81-322-2283-5_16" TargetMode="External"/><Relationship Id="rId55" Type="http://schemas.openxmlformats.org/officeDocument/2006/relationships/hyperlink" Target="https://doi.org/10.1201/97814398961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32073-DD91-4981-8B26-4312EBE92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24</Pages>
  <Words>9339</Words>
  <Characters>53238</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138</cp:revision>
  <dcterms:created xsi:type="dcterms:W3CDTF">2025-11-30T13:50:00Z</dcterms:created>
  <dcterms:modified xsi:type="dcterms:W3CDTF">2025-12-10T15:38:00Z</dcterms:modified>
</cp:coreProperties>
</file>