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15B" w:rsidRDefault="000B73FC" w:rsidP="00102506">
      <w:pPr>
        <w:spacing w:after="0" w:line="240" w:lineRule="auto"/>
        <w:jc w:val="both"/>
        <w:outlineLvl w:val="1"/>
        <w:rPr>
          <w:rFonts w:ascii="Times New Roman" w:eastAsia="Times New Roman" w:hAnsi="Times New Roman" w:cs="Times New Roman"/>
          <w:b/>
          <w:bCs/>
          <w:sz w:val="28"/>
          <w:szCs w:val="28"/>
        </w:rPr>
      </w:pPr>
      <w:r w:rsidRPr="000B73FC">
        <w:rPr>
          <w:rFonts w:asciiTheme="majorHAnsi" w:eastAsia="Times New Roman" w:hAnsiTheme="majorHAnsi" w:cstheme="majorBidi"/>
          <w:spacing w:val="5"/>
          <w:kern w:val="28"/>
          <w:sz w:val="44"/>
          <w:szCs w:val="40"/>
        </w:rPr>
        <w:t>Organophosphate Mediated Hepato-toxicity in Labeo rohita: A Toxicological Review</w:t>
      </w:r>
    </w:p>
    <w:p w:rsidR="0003515B" w:rsidRDefault="0003515B" w:rsidP="00102506">
      <w:pPr>
        <w:spacing w:after="0" w:line="240" w:lineRule="auto"/>
        <w:jc w:val="both"/>
        <w:outlineLvl w:val="1"/>
        <w:rPr>
          <w:rFonts w:ascii="Times New Roman" w:eastAsia="Times New Roman" w:hAnsi="Times New Roman" w:cs="Times New Roman"/>
          <w:b/>
          <w:bCs/>
          <w:sz w:val="28"/>
          <w:szCs w:val="28"/>
        </w:rPr>
      </w:pPr>
    </w:p>
    <w:p w:rsidR="00102506" w:rsidRPr="00B020E6" w:rsidRDefault="00102506" w:rsidP="00102506">
      <w:pPr>
        <w:spacing w:after="0" w:line="240" w:lineRule="auto"/>
        <w:jc w:val="both"/>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Abstract</w:t>
      </w:r>
    </w:p>
    <w:p w:rsidR="000B73FC" w:rsidRDefault="000B73FC" w:rsidP="00102506">
      <w:pPr>
        <w:spacing w:after="0" w:line="240" w:lineRule="auto"/>
        <w:jc w:val="both"/>
        <w:rPr>
          <w:rFonts w:ascii="Times New Roman" w:eastAsia="Times New Roman" w:hAnsi="Times New Roman" w:cs="Times New Roman"/>
          <w:sz w:val="24"/>
          <w:szCs w:val="24"/>
        </w:rPr>
      </w:pPr>
      <w:r w:rsidRPr="000B73FC">
        <w:rPr>
          <w:rFonts w:ascii="Times New Roman" w:eastAsia="Times New Roman" w:hAnsi="Times New Roman" w:cs="Times New Roman"/>
          <w:sz w:val="24"/>
          <w:szCs w:val="24"/>
        </w:rPr>
        <w:t>Organophosphate (OP) pesticides remain widely applied in modern agriculture owing to their rapid action and cost-effectiveness, yet their mobility and persistence in aquatic systems pose substantial risks to non-target organisms. In freshwater environments, Labeo rohita acts as a sensitive biological model for assessing OP-induced hepatotoxicity because of its ecological relevance and dominance in Indian aquaculture. Current evidence indicates that OP exposure disrupts hepatic physiology through multiple biochemical and molecular pathways. Sublethal concentrations trigger excessive formation of reactive oxygen species, resulting in lipid peroxidation, depletion of antioxidant reserves, and impaired activity of key metabolic enzymes. Histopathological evaluations frequently report hepatocellular swelling, vacuolization, congestion, and necrotic lesions, demonstrating structural vulnerability of liver tissue to OP stress. At the molecular level, OP compounds alter transcriptional regulation of genes involved in detoxification, apoptosis, and inflammatory signalling, thereby intensifying hepatic injury and reducing overall physiological resilience. These hepatic disturbances carry significant implications for aquaculture, where chronic OP exposure can reduce growth, feed conversion efficiency, disease resistance, and survival rates. Moreover, the pronounced sensitivity of L. rohita liver biomarkers enhances its utility in environmental monitoring, providing an early-warning system for OP contamination in freshwater bodies. Understanding these organophosphate-specific responses is essential for developing safer pesticide practices, improving aquaculture management, and guiding regulatory frameworks aimed at protecting aquatic biodiversity.</w:t>
      </w:r>
    </w:p>
    <w:p w:rsidR="00102506" w:rsidRPr="00B020E6" w:rsidRDefault="00102506" w:rsidP="0010250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b/>
          <w:bCs/>
          <w:sz w:val="24"/>
          <w:szCs w:val="24"/>
        </w:rPr>
        <w:t>Keywords:</w:t>
      </w:r>
      <w:r w:rsidRPr="00B020E6">
        <w:rPr>
          <w:rFonts w:ascii="Times New Roman" w:eastAsia="Times New Roman" w:hAnsi="Times New Roman" w:cs="Times New Roman"/>
          <w:sz w:val="24"/>
          <w:szCs w:val="24"/>
        </w:rPr>
        <w:t xml:space="preserve"> Organophosphates,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liver physiology, hepatotoxicity, oxidative stress, histopathology, aquatic toxicology, pesticide contamination</w:t>
      </w:r>
    </w:p>
    <w:p w:rsidR="00102506" w:rsidRPr="00B020E6" w:rsidRDefault="00102506" w:rsidP="00102506">
      <w:pPr>
        <w:spacing w:after="0" w:line="240" w:lineRule="auto"/>
        <w:jc w:val="both"/>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 xml:space="preserve">Introduction </w:t>
      </w:r>
    </w:p>
    <w:p w:rsidR="00102506" w:rsidRDefault="00102506" w:rsidP="00102506">
      <w:pPr>
        <w:pStyle w:val="NormalWeb"/>
        <w:spacing w:before="0" w:beforeAutospacing="0" w:after="0" w:afterAutospacing="0"/>
        <w:jc w:val="both"/>
      </w:pPr>
      <w:r w:rsidRPr="00B020E6">
        <w:t xml:space="preserve">The extensive use of chemical pesticides in agriculture has led to significant environmental concerns, particularly regarding water quality in freshwater ecosystems. Organophosphate (OP) pesticides, known for their effectiveness in pest control, have been widely employed in various agricultural practices. However, their persistence in the environment and potential to contaminate water bodies pose substantial risks to aquatic life. Studies have highlighted the detrimental effects of OP pesticides on aquatic organisms, emphasizing the need for comprehensive assessments of their impact on freshwater ecosystems (Reza </w:t>
      </w:r>
      <w:r w:rsidRPr="00B020E6">
        <w:rPr>
          <w:i/>
          <w:iCs/>
        </w:rPr>
        <w:t>et al.,</w:t>
      </w:r>
      <w:r w:rsidRPr="00B020E6">
        <w:t xml:space="preserve"> 2017; Ullah </w:t>
      </w:r>
      <w:r w:rsidRPr="00B020E6">
        <w:rPr>
          <w:i/>
          <w:iCs/>
        </w:rPr>
        <w:t>et al.,</w:t>
      </w:r>
      <w:r w:rsidRPr="00B020E6">
        <w:t xml:space="preserve"> 2018).Organophosphates are a class of chemicals characterized by the presence of a phosphoryl group (P=O) attached to an organic moiety. This structure allows OPs to function as acetylcholinesterase inhibitors, disrupting neurotransmission by preventing the breakdown of acetylcholine at synaptic junctions. This inhibition leads to overstimulation of muscles, glands, and the central nervous system, resulting in a range of toxic effects in exposed organisms (Reza </w:t>
      </w:r>
      <w:r w:rsidRPr="00B020E6">
        <w:rPr>
          <w:i/>
          <w:iCs/>
        </w:rPr>
        <w:t>et al.,</w:t>
      </w:r>
      <w:r w:rsidRPr="00B020E6">
        <w:t xml:space="preserve"> 2017).</w:t>
      </w:r>
      <w:r w:rsidRPr="00B020E6">
        <w:rPr>
          <w:rStyle w:val="Emphasis"/>
        </w:rPr>
        <w:t>Labeorohita</w:t>
      </w:r>
      <w:r w:rsidRPr="00B020E6">
        <w:t xml:space="preserve">, commonly known as rohu, is a prominent freshwater fish species in South Asia, particularly in India. It holds significant ecological and economic value, making it a subject of interest in aquatic toxicology studies. The species' widespread distribution and ecological role render it an ideal candidate for assessing the impact of environmental pollutants, including OP pesticides, on aquatic organisms (Ullah </w:t>
      </w:r>
      <w:r w:rsidRPr="00B020E6">
        <w:rPr>
          <w:i/>
          <w:iCs/>
        </w:rPr>
        <w:t>et al</w:t>
      </w:r>
      <w:r w:rsidRPr="00B020E6">
        <w:t xml:space="preserve">., 2018).The liver in fish serves as a </w:t>
      </w:r>
      <w:r w:rsidRPr="00B020E6">
        <w:lastRenderedPageBreak/>
        <w:t xml:space="preserve">central organ for metabolism and detoxification processes. It plays a pivotal role in processing and eliminating xenobiotics, including pesticides, from the organism's system. Given its critical functions, the liver is often the primary site of action for many toxic substances, making it an essential organ for toxicological studies. Histopathological examinations of liver tissues can provide valuable insights into the extent of damage caused by toxicants, aiding in the assessment of environmental health (Ullah </w:t>
      </w:r>
      <w:r w:rsidRPr="00B020E6">
        <w:rPr>
          <w:i/>
          <w:iCs/>
        </w:rPr>
        <w:t>et al</w:t>
      </w:r>
      <w:r w:rsidRPr="00B020E6">
        <w:t xml:space="preserve">., 2018).This review aims to consolidate existing research on the effects of organophosphate pesticides on the liver physiology of </w:t>
      </w:r>
      <w:r w:rsidRPr="00B020E6">
        <w:rPr>
          <w:rStyle w:val="Emphasis"/>
        </w:rPr>
        <w:t>Labeorohita</w:t>
      </w:r>
      <w:r w:rsidRPr="00B020E6">
        <w:t>. By examining biochemical, histopathological, and molecular alterations induced by OP exposure, this paper seeks to provide a comprehensive understanding of the mechanisms underlying OP-induced hepatotoxicity in freshwater fish. The findings are expected to inform environmental monitoring strategies and contribute to the development of sustainable practices in aquaculture and pesticide management.</w:t>
      </w:r>
    </w:p>
    <w:p w:rsidR="00A96E0C" w:rsidRDefault="004D64DA" w:rsidP="00102506">
      <w:pPr>
        <w:pStyle w:val="NormalWeb"/>
        <w:spacing w:before="0" w:beforeAutospacing="0" w:after="0" w:afterAutospacing="0"/>
        <w:jc w:val="both"/>
      </w:pPr>
      <w:r>
        <w:rPr>
          <w:noProof/>
        </w:rPr>
        <w:drawing>
          <wp:inline distT="0" distB="0" distL="0" distR="0">
            <wp:extent cx="5945815" cy="3200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t="11988"/>
                    <a:stretch>
                      <a:fillRect/>
                    </a:stretch>
                  </pic:blipFill>
                  <pic:spPr bwMode="auto">
                    <a:xfrm>
                      <a:off x="0" y="0"/>
                      <a:ext cx="5945815" cy="3200400"/>
                    </a:xfrm>
                    <a:prstGeom prst="rect">
                      <a:avLst/>
                    </a:prstGeom>
                    <a:noFill/>
                    <a:ln w="9525">
                      <a:noFill/>
                      <a:miter lim="800000"/>
                      <a:headEnd/>
                      <a:tailEnd/>
                    </a:ln>
                  </pic:spPr>
                </pic:pic>
              </a:graphicData>
            </a:graphic>
          </wp:inline>
        </w:drawing>
      </w:r>
    </w:p>
    <w:p w:rsidR="004D64DA" w:rsidRPr="00B020E6" w:rsidRDefault="004D64DA" w:rsidP="004D64DA">
      <w:pPr>
        <w:pStyle w:val="NormalWeb"/>
        <w:spacing w:before="0" w:beforeAutospacing="0" w:after="0" w:afterAutospacing="0"/>
        <w:jc w:val="center"/>
      </w:pPr>
      <w:r>
        <w:t>Fig 1; Organophosphate  mediated molecular pathway disruptions in Fish Liver</w:t>
      </w:r>
    </w:p>
    <w:p w:rsidR="00102506" w:rsidRPr="00B020E6" w:rsidRDefault="00102506" w:rsidP="00930CF5">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Organophosphates: Chemistry, Sources, and Environmental Fate</w:t>
      </w:r>
    </w:p>
    <w:p w:rsidR="001662B1" w:rsidRDefault="001662B1" w:rsidP="00930CF5">
      <w:pPr>
        <w:spacing w:after="0" w:line="240" w:lineRule="auto"/>
        <w:jc w:val="both"/>
        <w:rPr>
          <w:rFonts w:ascii="Times New Roman" w:eastAsia="Times New Roman" w:hAnsi="Times New Roman" w:cs="Times New Roman"/>
          <w:sz w:val="24"/>
          <w:szCs w:val="24"/>
        </w:rPr>
      </w:pPr>
      <w:r w:rsidRPr="001662B1">
        <w:rPr>
          <w:rFonts w:ascii="Times New Roman" w:eastAsia="Times New Roman" w:hAnsi="Times New Roman" w:cs="Times New Roman"/>
          <w:sz w:val="24"/>
          <w:szCs w:val="24"/>
        </w:rPr>
        <w:t xml:space="preserve">Organophosphate (OP) pesticides exert multidimensional toxicity extending beyond classical neurotoxicity and affecting metabolic, endocrine, immune, and oxidative pathways in aquatic organisms. Recent evidence (2020–2025) shows that OP compounds and their oxon metabolites generate persistent oxidative stress, disrupt mitochondrial respiration, and impair hepatic detoxification capacity, ultimately intensifying systemic vulnerability in exposed fish species (Wang </w:t>
      </w:r>
      <w:r w:rsidRPr="001662B1">
        <w:rPr>
          <w:rFonts w:ascii="Times New Roman" w:eastAsia="Times New Roman" w:hAnsi="Times New Roman" w:cs="Times New Roman"/>
          <w:i/>
          <w:iCs/>
          <w:sz w:val="24"/>
          <w:szCs w:val="24"/>
        </w:rPr>
        <w:t>et al.,</w:t>
      </w:r>
      <w:r w:rsidRPr="001662B1">
        <w:rPr>
          <w:rFonts w:ascii="Times New Roman" w:eastAsia="Times New Roman" w:hAnsi="Times New Roman" w:cs="Times New Roman"/>
          <w:sz w:val="24"/>
          <w:szCs w:val="24"/>
        </w:rPr>
        <w:t xml:space="preserve"> 2024; Bala </w:t>
      </w:r>
      <w:r w:rsidRPr="001662B1">
        <w:rPr>
          <w:rFonts w:ascii="Times New Roman" w:eastAsia="Times New Roman" w:hAnsi="Times New Roman" w:cs="Times New Roman"/>
          <w:i/>
          <w:iCs/>
          <w:sz w:val="24"/>
          <w:szCs w:val="24"/>
        </w:rPr>
        <w:t>et al</w:t>
      </w:r>
      <w:r w:rsidRPr="001662B1">
        <w:rPr>
          <w:rFonts w:ascii="Times New Roman" w:eastAsia="Times New Roman" w:hAnsi="Times New Roman" w:cs="Times New Roman"/>
          <w:sz w:val="24"/>
          <w:szCs w:val="24"/>
        </w:rPr>
        <w:t>., 2022). Their environmental persistence and biotransformation create additional toxic intermediates, thereby heightening ecological risk. To alleviate these impacts, sustainable agricultural approaches—including integrated pest management, precision pesticide application, vegetative buffer strip</w:t>
      </w:r>
      <w:r>
        <w:rPr>
          <w:rFonts w:ascii="Times New Roman" w:eastAsia="Times New Roman" w:hAnsi="Times New Roman" w:cs="Times New Roman"/>
          <w:sz w:val="24"/>
          <w:szCs w:val="24"/>
        </w:rPr>
        <w:t xml:space="preserve">s, and microbial bioremediation </w:t>
      </w:r>
      <w:r w:rsidRPr="001662B1">
        <w:rPr>
          <w:rFonts w:ascii="Times New Roman" w:eastAsia="Times New Roman" w:hAnsi="Times New Roman" w:cs="Times New Roman"/>
          <w:sz w:val="24"/>
          <w:szCs w:val="24"/>
        </w:rPr>
        <w:t xml:space="preserve">have been recommended as effective mitigation strategies (Pashirova et al., 2024; Kilonzi </w:t>
      </w:r>
      <w:r w:rsidRPr="001662B1">
        <w:rPr>
          <w:rFonts w:ascii="Times New Roman" w:eastAsia="Times New Roman" w:hAnsi="Times New Roman" w:cs="Times New Roman"/>
          <w:i/>
          <w:iCs/>
          <w:sz w:val="24"/>
          <w:szCs w:val="24"/>
        </w:rPr>
        <w:t>et al.,</w:t>
      </w:r>
      <w:r w:rsidRPr="001662B1">
        <w:rPr>
          <w:rFonts w:ascii="Times New Roman" w:eastAsia="Times New Roman" w:hAnsi="Times New Roman" w:cs="Times New Roman"/>
          <w:sz w:val="24"/>
          <w:szCs w:val="24"/>
        </w:rPr>
        <w:t xml:space="preserve"> 2024). Collectively, these measures reduce OP entry into freshwater systems while supporting long-term agricultural sustainability</w:t>
      </w:r>
      <w:r w:rsidR="004D64DA">
        <w:rPr>
          <w:rFonts w:ascii="Times New Roman" w:eastAsia="Times New Roman" w:hAnsi="Times New Roman" w:cs="Times New Roman"/>
          <w:sz w:val="24"/>
          <w:szCs w:val="24"/>
        </w:rPr>
        <w:t>.</w:t>
      </w:r>
    </w:p>
    <w:p w:rsidR="004D64DA" w:rsidRDefault="004D64DA" w:rsidP="00930CF5">
      <w:pPr>
        <w:spacing w:after="0" w:line="240" w:lineRule="auto"/>
        <w:jc w:val="both"/>
        <w:rPr>
          <w:rFonts w:ascii="Times New Roman" w:eastAsia="Times New Roman" w:hAnsi="Times New Roman" w:cs="Times New Roman"/>
          <w:sz w:val="24"/>
          <w:szCs w:val="24"/>
        </w:rPr>
      </w:pPr>
      <w:r w:rsidRPr="004D64DA">
        <w:rPr>
          <w:rFonts w:ascii="Times New Roman" w:eastAsia="Times New Roman" w:hAnsi="Times New Roman" w:cs="Times New Roman"/>
          <w:sz w:val="24"/>
          <w:szCs w:val="24"/>
        </w:rPr>
        <w:t xml:space="preserve">Organophosphorus pesticides used in agriculture fall predominantly within WHO Class II (moderately hazardous) and Class Ib (highly hazardous) depending on their specific chemical </w:t>
      </w:r>
      <w:r w:rsidRPr="004D64DA">
        <w:rPr>
          <w:rFonts w:ascii="Times New Roman" w:eastAsia="Times New Roman" w:hAnsi="Times New Roman" w:cs="Times New Roman"/>
          <w:sz w:val="24"/>
          <w:szCs w:val="24"/>
        </w:rPr>
        <w:lastRenderedPageBreak/>
        <w:t>structure, LD₅₀ values, and human toxicity profiles. Commonly used OPs such as chlorpyrifos, malathion, dichlorvos, and monocrotophos exhibit acute oral LD₅₀ ranges of 20–1,000 mg/kg, placing them within toxicity categories that pose substantial risks to human health upon prolonged exposure (WHO, 2020). Monocrotophos and dichlorvos, in particular, are classified under WHO Class Ib due to their high acute toxicity and well-documented potential to inhibit human acetylcholinesterase, leading to neurotoxicity. Understanding the toxicity classification of OPs is crucial because it informs regulatory restrictions, occupational safety guidelines, and environmental monitoring standards for contaminated freshwater systems.</w:t>
      </w:r>
    </w:p>
    <w:p w:rsidR="00102506" w:rsidRPr="00B020E6" w:rsidRDefault="00102506" w:rsidP="00930CF5">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Organophosphate (OP) pesticides are a class of synthetic organic chemicals primarily derived from phosphoric, phosphonic, or phosphorothioic acids, characterized by the presence of a phosphoryl group (P=O) linked to an organic moiety. Their chemical structure, including alkyl or aryl substituents, determines their potency, persistence, and environmental behavior. OPs are widely known for their neurotoxic properties, acting as irreversible inhibitors of acetylcholinesterase (AChE), the enzyme responsible for hydrolyzing acetylcholine in synaptic junctions. The inhibition of AChE leads to accumulation of acetylcholine, causing hyperstimulation of cholinergic neurons, disruption of neuromuscular function, and eventual physiological and behavioral disturbances in exposed organisms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 Beyond neurotoxicity, OPs also affect non-cholinergic pathways, including oxidative stress induction, mitochondrial dysfunction, and disruption of metabolic enzymes, which can profoundly impact the liver, the primary organ for detoxification and metabolism in fish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2018).Several OP compounds are extensively used in agriculture due to their effectiveness against a broad spectrum of pests. Notable examples include chlorpyrifos, malathion, monocrotophos, and methylparathion. Chlorpyrifos is a lipophilic OP pesticide commonly used in rice, cotton, and vegetable cultivation, which has been frequently detected in aquatic ecosystems and shown to bioaccumulate in fish tissues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Malathion, widely used for both agricultural and public health applications, has been reported to induce oxidative stress and alter hepatic enzyme activity in freshwater species such as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Monocrotophos and methylparathion, due to their high toxicity, have been associated with significant biochemical and histopathological changes in exposed fish, underscoring their potential ecological risks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2023).The primary routes of OP contamination in freshwater ecosystems include agricultural runoff, wastewater discharge, atmospheric deposition, and improper disposal of pesticide residues or containers. Rainfall or irrigation water can wash OP residues from treated fields into nearby rivers, ponds, and reservoirs. Similarly, effluents from pesticide manufacturing and processing units contribute directly to aquatic contamination. Volatilized OPs from sprayed crops can deposit into water bodies, while improper disposal of pesticide waste leads to localized hotspots of contamination. Once introduced into the aquatic environment, OPs may undergo hydrolysis, photodegradation, or microbial degradation; however, their persistence is influenced by factors such as temperature, pH, water hardness, and microbial activity, which can prolong their availability to aquatic organisms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2023).Due to their lipophilic nature, OPs tend to bioaccumulate in the tissues of aquatic organisms, particularly in the liver and other metabolically active organs. Chronic exposure, even at sublethal concentrations, can lead to alterations in biochemical parameters, oxidative stress, and cellular damage. Fish act as both bioindicators of environmental contamination and a potential source of OP exposure to higher trophic organisms, including humans, through consumption of contaminated flesh. Bioaccumulation and biomagnification in the food chain make the study of OP residues in fish critical for ecological risk assessment and public health considerations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w:t>
      </w:r>
      <w:r w:rsidRPr="00B020E6">
        <w:rPr>
          <w:rFonts w:ascii="Times New Roman" w:eastAsia="Times New Roman" w:hAnsi="Times New Roman" w:cs="Times New Roman"/>
          <w:sz w:val="24"/>
          <w:szCs w:val="24"/>
        </w:rPr>
        <w:lastRenderedPageBreak/>
        <w:t xml:space="preserve">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2023).Overall, understanding the chemistry, environmental sources, and fate of organophosphates is essential to assess their toxicological impacts on freshwater species like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The physicochemical properties of OPs, their persistence in aquatic systems, and their capacity to bioaccumulate underscore the need for monitoring programs and the development of strategies to mitigate environmental contamination and safeguard aquatic biodiversity.</w:t>
      </w:r>
    </w:p>
    <w:p w:rsidR="00102506" w:rsidRPr="00B020E6" w:rsidRDefault="00102506" w:rsidP="00930CF5">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Liver Physiology in Freshwater Fish</w:t>
      </w:r>
    </w:p>
    <w:p w:rsidR="004D64DA" w:rsidRDefault="004D64DA" w:rsidP="00A0582B">
      <w:pPr>
        <w:spacing w:after="0" w:line="240" w:lineRule="auto"/>
        <w:jc w:val="both"/>
        <w:rPr>
          <w:rFonts w:ascii="Times New Roman" w:eastAsia="Times New Roman" w:hAnsi="Times New Roman" w:cs="Times New Roman"/>
          <w:sz w:val="24"/>
          <w:szCs w:val="24"/>
        </w:rPr>
      </w:pPr>
      <w:r w:rsidRPr="004D64DA">
        <w:rPr>
          <w:rFonts w:ascii="Times New Roman" w:eastAsia="Times New Roman" w:hAnsi="Times New Roman" w:cs="Times New Roman"/>
          <w:sz w:val="24"/>
          <w:szCs w:val="24"/>
        </w:rPr>
        <w:t xml:space="preserve">Environmental monitoring studies from 2020–2024 report that OP contamination in freshwater ecosystems typically ranges between 0.05–12 µg/L, depending on agricultural intensity, runoff events, and pesticide application patterns. Chlorpyrifos concentrations between 0.1–4.5 µg/L and malathion levels between 0.05–3.2 µg/L have been detected in rivers and aquaculture ponds adjacent to agricultural fields in India, Bangladesh, and Southeast Asia (Akter et al., 2020; Hussain et al., 2022). Seasonal variations, especially during monsoon-driven runoff, can elevate concentrations above acute toxicity thresholds for fish, while stagnant irrigation-fed ponds often exhibit prolonged contamination. These values highlight the environmental relevance of sublethal exposure and support the need for ecotoxicological assessment in </w:t>
      </w:r>
      <w:r w:rsidRPr="004D64DA">
        <w:rPr>
          <w:rFonts w:ascii="Times New Roman" w:eastAsia="Times New Roman" w:hAnsi="Times New Roman" w:cs="Times New Roman"/>
          <w:i/>
          <w:iCs/>
          <w:sz w:val="24"/>
          <w:szCs w:val="24"/>
        </w:rPr>
        <w:t>Labeo rohita.</w:t>
      </w:r>
    </w:p>
    <w:p w:rsidR="00102506" w:rsidRDefault="00102506" w:rsidP="00A0582B">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The liver is a vital organ in fish, performing a multitude of metabolic, detoxification, and homeostatic functions that are critical for survival and overall health. Structurally, the liver in freshwater species such as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is a large, bilobed organ located anteriorly in the coelomic cavity, adjacent to the stomach and intestine. Hepatocytes, the primary functional cells, are arranged in cords separated by blood sinusoids, allowing efficient exchange of nutrients, metabolic intermediates, and xenobiotics. The hepatic architecture is supported by Kupffer cells, which function as resident macrophages and play a role in immune surveillance and the clearance of cellular debris and pathogens (Mallat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Ullah </w:t>
      </w:r>
      <w:r w:rsidRPr="00B020E6">
        <w:rPr>
          <w:rFonts w:ascii="Times New Roman" w:eastAsia="Times New Roman" w:hAnsi="Times New Roman" w:cs="Times New Roman"/>
          <w:i/>
          <w:iCs/>
          <w:sz w:val="24"/>
          <w:szCs w:val="24"/>
        </w:rPr>
        <w:t xml:space="preserve">et al., </w:t>
      </w:r>
      <w:r w:rsidRPr="00B020E6">
        <w:rPr>
          <w:rFonts w:ascii="Times New Roman" w:eastAsia="Times New Roman" w:hAnsi="Times New Roman" w:cs="Times New Roman"/>
          <w:sz w:val="24"/>
          <w:szCs w:val="24"/>
        </w:rPr>
        <w:t xml:space="preserve">2018).From a metabolic perspective, the liver is central to the regulation of carbohydrate, lipid, and protein metabolism. Glycogen storage and mobilization occur in hepatocytes, providing glucose during periods of fasting or energy demand. Lipid metabolism includes synthesis, storage, and transport of fatty acids and triglycerides, while protein metabolism encompasses amino acid deamination, urea cycle regulation, and plasma protein synthesis, including albumins and globulins essential for osmotic balance and immune function (Tripathi &amp; Joshi, 2017). These metabolic processes are tightly regulated and can be disrupted by exposure to xenobiotics such as organophosphate pesticides.The liver also serves as the primary organ for detoxification of xenobiotics, including pesticides, heavy metals, and other environmental pollutants. Phase I and Phase II enzymatic systems, including cytochrome P450 monooxygenases and conjugating enzymes such as glutathione-S-transferase, facilitate biotransformation of lipophilic compounds into more water-soluble forms for excretion (Kumar &amp; Singh, 2019). In this process, reactive oxygen species (ROS) can be generated, which are neutralized by endogenous antioxidants such as superoxide dismutase (SOD), catalase (CAT), and reduced glutathione (GSH). Disruption of these antioxidant defenses can result in oxidative stress, lipid peroxidation, and cellular damage, making the liver highly susceptible to OP-induced toxicity.Additionally, the liver is widely recognized as a sensitive biomarker organ in ecotoxicological studies. Changes in liver weight, enzyme activity, histology, and gene expression provide early indicators of environmental contamination and chemical stress.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biochemical parameters such as alanine aminotransferase (ALT), aspartate aminotransferase (AST), and alkaline phosphatase (ALP) are routinely measured to assess hepatotoxicity, while histopathological examinations reveal cellular and structural damage caused by toxicants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This makes the </w:t>
      </w:r>
      <w:r w:rsidRPr="00B020E6">
        <w:rPr>
          <w:rFonts w:ascii="Times New Roman" w:eastAsia="Times New Roman" w:hAnsi="Times New Roman" w:cs="Times New Roman"/>
          <w:sz w:val="24"/>
          <w:szCs w:val="24"/>
        </w:rPr>
        <w:lastRenderedPageBreak/>
        <w:t xml:space="preserve">liver an invaluable organ for studying the impact of OP pesticides on freshwater fish and for designing environmental monitoring strategies.The combination of metabolic, detoxification, and immunological functions, along with its responsiveness to environmental stressors, establishes the liver as a central organ for investigating the toxicological effects of organophosphates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Understanding its structure and function provides a foundation for interpreting biochemical, histological, and </w:t>
      </w:r>
      <w:r w:rsidR="00A0582B" w:rsidRPr="00B020E6">
        <w:rPr>
          <w:rFonts w:ascii="Times New Roman" w:eastAsia="Times New Roman" w:hAnsi="Times New Roman" w:cs="Times New Roman"/>
          <w:sz w:val="24"/>
          <w:szCs w:val="24"/>
        </w:rPr>
        <w:t>a molecular alteration observed upon pesticide exposure and underlines</w:t>
      </w:r>
      <w:r w:rsidRPr="00B020E6">
        <w:rPr>
          <w:rFonts w:ascii="Times New Roman" w:eastAsia="Times New Roman" w:hAnsi="Times New Roman" w:cs="Times New Roman"/>
          <w:sz w:val="24"/>
          <w:szCs w:val="24"/>
        </w:rPr>
        <w:t xml:space="preserve"> the importance of liver-based biomarkers in aquatic toxicology studies.</w:t>
      </w:r>
    </w:p>
    <w:p w:rsidR="004D64DA" w:rsidRPr="00B020E6" w:rsidRDefault="004D64DA" w:rsidP="00A0582B">
      <w:pPr>
        <w:spacing w:after="0" w:line="240" w:lineRule="auto"/>
        <w:jc w:val="both"/>
        <w:rPr>
          <w:rFonts w:ascii="Times New Roman" w:eastAsia="Times New Roman" w:hAnsi="Times New Roman" w:cs="Times New Roman"/>
          <w:sz w:val="24"/>
          <w:szCs w:val="24"/>
        </w:rPr>
      </w:pPr>
      <w:r w:rsidRPr="004D64DA">
        <w:rPr>
          <w:rFonts w:ascii="Times New Roman" w:eastAsia="Times New Roman" w:hAnsi="Times New Roman" w:cs="Times New Roman"/>
          <w:sz w:val="24"/>
          <w:szCs w:val="24"/>
        </w:rPr>
        <w:t xml:space="preserve">Recent residue analysis studies confirm the presence of OPs in edible tissues of freshwater fish, including </w:t>
      </w:r>
      <w:r w:rsidRPr="004D64DA">
        <w:rPr>
          <w:rFonts w:ascii="Times New Roman" w:eastAsia="Times New Roman" w:hAnsi="Times New Roman" w:cs="Times New Roman"/>
          <w:i/>
          <w:iCs/>
          <w:sz w:val="24"/>
          <w:szCs w:val="24"/>
        </w:rPr>
        <w:t>Labeo rohita</w:t>
      </w:r>
      <w:r w:rsidRPr="004D64DA">
        <w:rPr>
          <w:rFonts w:ascii="Times New Roman" w:eastAsia="Times New Roman" w:hAnsi="Times New Roman" w:cs="Times New Roman"/>
          <w:sz w:val="24"/>
          <w:szCs w:val="24"/>
        </w:rPr>
        <w:t xml:space="preserve"> and other carp species frequently consumed in South Asia. Typical concentrations of chlorpyrifos, malathion, and monocrotophos in commercial fish muscle range between 5–180 µg/kg wet weight, depending on the exposure source and duration (Cuevas et al., 2023). In aquaculture systems situated near agricultural zones, bioaccumulation factors can lead to OP residues exceeding maximum residue limits (MRLs) set by FAO/WHO, posing potential food safety concerns. These findings emphasize the importance of monitoring fish destined for human consumption and implementing measures to minimize pesticide transfer into the food chain.</w:t>
      </w:r>
    </w:p>
    <w:p w:rsidR="00102506" w:rsidRPr="00B020E6" w:rsidRDefault="00102506" w:rsidP="00A0582B">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 xml:space="preserve">Biochemical Effects of Organophosphates on </w:t>
      </w:r>
      <w:r w:rsidRPr="00B020E6">
        <w:rPr>
          <w:rFonts w:ascii="Times New Roman" w:eastAsia="Times New Roman" w:hAnsi="Times New Roman" w:cs="Times New Roman"/>
          <w:b/>
          <w:bCs/>
          <w:i/>
          <w:iCs/>
          <w:sz w:val="28"/>
          <w:szCs w:val="28"/>
        </w:rPr>
        <w:t>Labeorohita</w:t>
      </w:r>
    </w:p>
    <w:p w:rsidR="001662B1" w:rsidRDefault="001662B1" w:rsidP="00A0582B">
      <w:pPr>
        <w:spacing w:after="0" w:line="240" w:lineRule="auto"/>
        <w:jc w:val="both"/>
        <w:rPr>
          <w:rFonts w:ascii="Times New Roman" w:eastAsia="Times New Roman" w:hAnsi="Times New Roman" w:cs="Times New Roman"/>
          <w:sz w:val="24"/>
          <w:szCs w:val="24"/>
        </w:rPr>
      </w:pPr>
      <w:r w:rsidRPr="001662B1">
        <w:rPr>
          <w:rFonts w:ascii="Times New Roman" w:eastAsia="Times New Roman" w:hAnsi="Times New Roman" w:cs="Times New Roman"/>
          <w:sz w:val="24"/>
          <w:szCs w:val="24"/>
        </w:rPr>
        <w:t xml:space="preserve">Fish are widely recognized as sensitive bioindicators of OP contamination due to their propensity to bioaccumulate pollutants and display measurable biochemical and tissue-level alterations. Studies conducted between 2020 and 2025 demonstrate that OP exposure results in pronounced hepatic vacuolation, necrosis, lamellar fusion in gills, erythrocyte deformities, and immunological disturbances in freshwater species (Akter </w:t>
      </w:r>
      <w:r w:rsidRPr="001662B1">
        <w:rPr>
          <w:rFonts w:ascii="Times New Roman" w:eastAsia="Times New Roman" w:hAnsi="Times New Roman" w:cs="Times New Roman"/>
          <w:i/>
          <w:iCs/>
          <w:sz w:val="24"/>
          <w:szCs w:val="24"/>
        </w:rPr>
        <w:t>et al</w:t>
      </w:r>
      <w:r w:rsidRPr="001662B1">
        <w:rPr>
          <w:rFonts w:ascii="Times New Roman" w:eastAsia="Times New Roman" w:hAnsi="Times New Roman" w:cs="Times New Roman"/>
          <w:sz w:val="24"/>
          <w:szCs w:val="24"/>
        </w:rPr>
        <w:t xml:space="preserve">., 2020; Ramesh </w:t>
      </w:r>
      <w:r w:rsidRPr="001662B1">
        <w:rPr>
          <w:rFonts w:ascii="Times New Roman" w:eastAsia="Times New Roman" w:hAnsi="Times New Roman" w:cs="Times New Roman"/>
          <w:i/>
          <w:iCs/>
          <w:sz w:val="24"/>
          <w:szCs w:val="24"/>
        </w:rPr>
        <w:t>et al.,</w:t>
      </w:r>
      <w:r w:rsidRPr="001662B1">
        <w:rPr>
          <w:rFonts w:ascii="Times New Roman" w:eastAsia="Times New Roman" w:hAnsi="Times New Roman" w:cs="Times New Roman"/>
          <w:sz w:val="24"/>
          <w:szCs w:val="24"/>
        </w:rPr>
        <w:t xml:space="preserve"> 2024). Biochemical biomarkers—including acetylcholinesterase inhibition, elevated lipid peroxidation, reduced glutathione levels, and suppressed antioxidant enzyme activities—serve as early detection tools for pesticide-induced stress (Subaramaniyam </w:t>
      </w:r>
      <w:r w:rsidRPr="001662B1">
        <w:rPr>
          <w:rFonts w:ascii="Times New Roman" w:eastAsia="Times New Roman" w:hAnsi="Times New Roman" w:cs="Times New Roman"/>
          <w:i/>
          <w:iCs/>
          <w:sz w:val="24"/>
          <w:szCs w:val="24"/>
        </w:rPr>
        <w:t>et al.,</w:t>
      </w:r>
      <w:r w:rsidRPr="001662B1">
        <w:rPr>
          <w:rFonts w:ascii="Times New Roman" w:eastAsia="Times New Roman" w:hAnsi="Times New Roman" w:cs="Times New Roman"/>
          <w:sz w:val="24"/>
          <w:szCs w:val="24"/>
        </w:rPr>
        <w:t xml:space="preserve"> 2023). The integration of biochemical, histological, and molecular endpoints significantly enhances the accuracy of environmental monitoring in OP-contaminated waters (Moezzi </w:t>
      </w:r>
      <w:r w:rsidRPr="001662B1">
        <w:rPr>
          <w:rFonts w:ascii="Times New Roman" w:eastAsia="Times New Roman" w:hAnsi="Times New Roman" w:cs="Times New Roman"/>
          <w:i/>
          <w:iCs/>
          <w:sz w:val="24"/>
          <w:szCs w:val="24"/>
        </w:rPr>
        <w:t>et al.,</w:t>
      </w:r>
      <w:r w:rsidRPr="001662B1">
        <w:rPr>
          <w:rFonts w:ascii="Times New Roman" w:eastAsia="Times New Roman" w:hAnsi="Times New Roman" w:cs="Times New Roman"/>
          <w:sz w:val="24"/>
          <w:szCs w:val="24"/>
        </w:rPr>
        <w:t xml:space="preserve"> 2025).</w:t>
      </w:r>
    </w:p>
    <w:p w:rsidR="00102506" w:rsidRPr="00B020E6" w:rsidRDefault="00102506" w:rsidP="00A0582B">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Organophosphate exposure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has been shown to induce a wide array of biochemical alterations, particularly affecting liver function, metabolism, and oxidative balance. The liver, being the central organ for detoxification, is highly responsive to xenobiotic stress, and changes in its biochemical markers are indicative of systemic toxicity. Several studies have reported that OP exposure leads to significant increases in hepatic enzymes such as alanine aminotransferase (ALT), aspartate aminotransferase (AST), and alkaline phosphatase (ALP), which are released into circulation due to hepatocellular membrane damage. Elevated levels of these enzymes reflect disruption of liver integrity and cellular leakage, serving as early biomarkers of organophosphate-induced hepatotoxicity in fish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2017).In addition to enzymatic alterations, OP pesticides are potent inducers of oxidative stress in the liver. Exposure results in the overproduction of reactive oxygen species (ROS), including superoxide anions, hydroxyl radicals, and hydrogen peroxide, which overwhelm the endogenous antioxidant defense systems. Key enzymatic antioxidants such as superoxide dismutase (SOD), catalase (CAT), and glutathione peroxidase (GPx), as well as non-enzymatic antioxidants like reduced glutathione (GSH), are often significantly depleted in response to OP-induced oxidative stress. This imbalance leads to lipid peroxidation, protein oxidation, and DNA damage, ultimately compromising hepatocyte viability and liver function (Kumar &amp; Singh, 2019; Tripathi &amp; Joshi, 2017). Malondialdehyde (MDA) levels, a byproduct of lipid peroxidation, are consistently elevated in OP-exposed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confirming the oxidative damage inflicted on </w:t>
      </w:r>
      <w:r w:rsidRPr="00B020E6">
        <w:rPr>
          <w:rFonts w:ascii="Times New Roman" w:eastAsia="Times New Roman" w:hAnsi="Times New Roman" w:cs="Times New Roman"/>
          <w:sz w:val="24"/>
          <w:szCs w:val="24"/>
        </w:rPr>
        <w:lastRenderedPageBreak/>
        <w:t xml:space="preserve">hepatic tissues.Furthermore, OP exposure disrupts key metabolic pathways in the liver. Carbohydrate metabolism is often affected, with altered glycogen content and glucose levels, indicating stress-mediated energy dysregulation. Lipid metabolism is similarly impacted, with increased triglyceride accumulation and altered cholesterol profiles, reflecting impaired lipid processing and transport. Protein metabolism is also disturbed, with reductions in total protein and albumin levels, which can impair osmotic balance, immune responses, and overall growth. These metabolic disruptions are closely correlated with the severity and duration of OP exposure, emphasizing dose- and time-dependent effects on hepatic physiology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2017).Comparative studies across different OP compounds reveal variations in hepatotoxic potential. For instance, monocrotophos and chlorpyrifos have been reported to cause more severe biochemical disturbances than malathion at similar concentrations, indicating that chemical structure and lipophilicity influence toxicity and bioaccumulation in hepatic tissues. Additionally, chronic low-level exposure, which is more environmentally relevant, can induce subtle but persistent alterations in enzyme activities and antioxidant levels, potentially leading to long-term liver dysfunction and reduced resilience to secondary stressors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2023).Overall, biochemical studies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highlight the liver as a sensitive indicator of organophosphate toxicity. Enzymatic alterations, oxidative stress markers, and metabolic disruptions collectively provide a mechanistic understanding of how OP pesticides compromise fish health. These biochemical parameters not only aid in environmental monitoring but also inform aquaculture management practices, emphasizing the importance of reducing pesticide runoff and mitigating chronic exposure in freshwater ecosystems.</w:t>
      </w:r>
    </w:p>
    <w:p w:rsidR="00102506" w:rsidRPr="00B020E6" w:rsidRDefault="00102506" w:rsidP="00A0582B">
      <w:pPr>
        <w:spacing w:after="0" w:line="240" w:lineRule="auto"/>
        <w:outlineLvl w:val="1"/>
        <w:rPr>
          <w:rFonts w:ascii="Times New Roman" w:eastAsia="Times New Roman" w:hAnsi="Times New Roman" w:cs="Times New Roman"/>
          <w:b/>
          <w:bCs/>
          <w:sz w:val="36"/>
          <w:szCs w:val="36"/>
        </w:rPr>
      </w:pPr>
      <w:r w:rsidRPr="00B020E6">
        <w:rPr>
          <w:rFonts w:ascii="Times New Roman" w:eastAsia="Times New Roman" w:hAnsi="Times New Roman" w:cs="Times New Roman"/>
          <w:b/>
          <w:bCs/>
          <w:sz w:val="28"/>
          <w:szCs w:val="28"/>
        </w:rPr>
        <w:t xml:space="preserve">Histopathological Alterations in the Liver of </w:t>
      </w:r>
      <w:r w:rsidRPr="00B020E6">
        <w:rPr>
          <w:rFonts w:ascii="Times New Roman" w:eastAsia="Times New Roman" w:hAnsi="Times New Roman" w:cs="Times New Roman"/>
          <w:b/>
          <w:bCs/>
          <w:i/>
          <w:iCs/>
          <w:sz w:val="28"/>
          <w:szCs w:val="28"/>
        </w:rPr>
        <w:t>Labeorohita</w:t>
      </w:r>
    </w:p>
    <w:p w:rsidR="004D64DA" w:rsidRDefault="004D64DA" w:rsidP="00406076">
      <w:pPr>
        <w:spacing w:after="0" w:line="240" w:lineRule="auto"/>
        <w:jc w:val="both"/>
        <w:rPr>
          <w:rFonts w:ascii="Times New Roman" w:eastAsia="Times New Roman" w:hAnsi="Times New Roman" w:cs="Times New Roman"/>
          <w:sz w:val="24"/>
          <w:szCs w:val="24"/>
        </w:rPr>
      </w:pPr>
      <w:r w:rsidRPr="004D64DA">
        <w:rPr>
          <w:rFonts w:ascii="Times New Roman" w:eastAsia="Times New Roman" w:hAnsi="Times New Roman" w:cs="Times New Roman"/>
          <w:sz w:val="24"/>
          <w:szCs w:val="24"/>
        </w:rPr>
        <w:t xml:space="preserve">Organophosphate-induced hepatotoxicity in Labeo rohita operates through several interconnected biochemical and molecular pathways. OP exposure triggers excessive production of reactive oxygen species (ROS), resulting in lipid peroxidation, protein oxidation, and depletion of endogenous antioxidants such as GSH, SOD, and CAT. Elevated ROS levels also interact with the nitric oxide (NO) system, increasing NO and peroxynitrite formation, which amplifies nitrosative stress and disrupts mitochondrial integrity. Simultaneously, OPs impair the thiol–disulfide antioxidant system, particularly reducing levels of glutathione and thioredoxin, compromising redox homeostasis. At the molecular level, hepatocytes exhibit activation of apoptotic pathways, including upregulation of Bax and caspase-3 and downregulation of Bcl-2, leading to programmed cell death. Increased expression of heat shock proteins, especially HSP70 and HSP90, reflects cellular attempts to stabilize damaged proteins and restore homeostasis. These mechanisms collectively contribute to hepatocellular degeneration, metabolic dysfunction, and liver failure in exposed fish (Moezzi </w:t>
      </w:r>
      <w:r w:rsidRPr="004D64DA">
        <w:rPr>
          <w:rFonts w:ascii="Times New Roman" w:eastAsia="Times New Roman" w:hAnsi="Times New Roman" w:cs="Times New Roman"/>
          <w:i/>
          <w:iCs/>
          <w:sz w:val="24"/>
          <w:szCs w:val="24"/>
        </w:rPr>
        <w:t>et al</w:t>
      </w:r>
      <w:r w:rsidRPr="004D64DA">
        <w:rPr>
          <w:rFonts w:ascii="Times New Roman" w:eastAsia="Times New Roman" w:hAnsi="Times New Roman" w:cs="Times New Roman"/>
          <w:sz w:val="24"/>
          <w:szCs w:val="24"/>
        </w:rPr>
        <w:t xml:space="preserve">., 2025; Ramesh </w:t>
      </w:r>
      <w:r w:rsidRPr="004D64DA">
        <w:rPr>
          <w:rFonts w:ascii="Times New Roman" w:eastAsia="Times New Roman" w:hAnsi="Times New Roman" w:cs="Times New Roman"/>
          <w:i/>
          <w:iCs/>
          <w:sz w:val="24"/>
          <w:szCs w:val="24"/>
        </w:rPr>
        <w:t>et al.,</w:t>
      </w:r>
      <w:r w:rsidRPr="004D64DA">
        <w:rPr>
          <w:rFonts w:ascii="Times New Roman" w:eastAsia="Times New Roman" w:hAnsi="Times New Roman" w:cs="Times New Roman"/>
          <w:sz w:val="24"/>
          <w:szCs w:val="24"/>
        </w:rPr>
        <w:t xml:space="preserve"> 2024).</w:t>
      </w:r>
    </w:p>
    <w:p w:rsidR="0010250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Histopathological studies provide a crucial link between biochemical alterations and structural damage in fish exposed to organophosphate (OP) pesticides. The liver, being the primary organ for detoxification, exhibits a range of morphological changes upon OP exposure, reflecting the severity of hepatotoxicity. Common histopathological alterations observed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include hepatocyte vacuolation, necrosis, nuclear pyknosis, sinusoidal congestion, and infiltration of inflammatory cells. Vacuolation, often resulting from lipid accumulation or glycogen depletion, indicates disrupted metabolic homeostasis and early-stage hepatocyte injury. Necrosis and nuclear pyknosis signify irreversible cellular damage, frequently correlated with increased levels of liver enzymes such as ALT and AST, which leak into the bloodstream due to membrane disruption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2018).Exposure to OP pesticides also induces congestion and dilation of blood sinusoids, which impairs hepatic circulation and </w:t>
      </w:r>
      <w:r w:rsidRPr="00B020E6">
        <w:rPr>
          <w:rFonts w:ascii="Times New Roman" w:eastAsia="Times New Roman" w:hAnsi="Times New Roman" w:cs="Times New Roman"/>
          <w:sz w:val="24"/>
          <w:szCs w:val="24"/>
        </w:rPr>
        <w:lastRenderedPageBreak/>
        <w:t xml:space="preserve">exacerbates tissue hypoxia. Kupffer cell hyperplasia and infiltration of lymphocytes represent an immune response to tissue injury and oxidative stress, highlighting the liver’s role in both detoxification and immunological defense. In some studies, focal necrosis and hemorrhagic areas have been observed, particularly at higher concentrations or prolonged exposure periods, indicating severe hepatocellular degeneration. These morphological changes are consistent across various OP compounds, including malathion, chlorpyrifos, and monocrotophos, suggesting a conserved pattern of hepatotoxicity in freshwater fish (Tripathi &amp; Joshi, 2017;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2023).The severity and type of histopathological alterations are dose- and time-dependent. Acute high-dose exposures typically result in pronounced necrosis, vacuolation, and sinusoidal dilation within 24–96 hours, whereas chronic low-dose exposures induce milder but persistent cellular changes that can impair liver function over time. Such prolonged alterations may disrupt metabolic and detoxification processes, compromising growth, reproductive performance, and overall survival of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in polluted environments. Furthermore, histopathological studies often complement biochemical assessments, as structural damage correlates with oxidative stress markers and altered enzymatic activity, providing a comprehensive picture of organophosphate-induced hepatotoxicity (Kumar &amp; Singh, 2019).Microscopic examinations, often supplemented with photomicrographs, reveal that the pattern of liver damage varies according to the chemical nature of the OP, exposure duration, and environmental conditions. Lipid vacuolation is typically more pronounced with lipophilic OPs such as chlorpyrifos, whereas oxidative stress-inducing compounds like malathion produce widespread hepatocyte degeneration and necrosis. Collectively, these structural changes underscore the vulnerability of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liver to organophosphate toxicity and emphasize the importance of integrating histopathological assessments with biochemical and molecular studies to fully understand the impact of pesticide contamination on freshwater ecosystems (Ullah </w:t>
      </w:r>
      <w:r w:rsidRPr="00B020E6">
        <w:rPr>
          <w:rFonts w:ascii="Times New Roman" w:eastAsia="Times New Roman" w:hAnsi="Times New Roman" w:cs="Times New Roman"/>
          <w:i/>
          <w:iCs/>
          <w:sz w:val="24"/>
          <w:szCs w:val="24"/>
        </w:rPr>
        <w:t xml:space="preserve">et al., </w:t>
      </w:r>
      <w:r w:rsidRPr="00B020E6">
        <w:rPr>
          <w:rFonts w:ascii="Times New Roman" w:eastAsia="Times New Roman" w:hAnsi="Times New Roman" w:cs="Times New Roman"/>
          <w:sz w:val="24"/>
          <w:szCs w:val="24"/>
        </w:rPr>
        <w:t xml:space="preserve">2018;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w:t>
      </w:r>
    </w:p>
    <w:p w:rsidR="007516A2" w:rsidRPr="007516A2" w:rsidRDefault="007516A2" w:rsidP="007516A2">
      <w:pPr>
        <w:pStyle w:val="Heading1"/>
        <w:spacing w:before="0"/>
        <w:jc w:val="center"/>
        <w:rPr>
          <w:rFonts w:ascii="Times New Roman" w:hAnsi="Times New Roman" w:cs="Times New Roman"/>
          <w:i/>
          <w:iCs/>
          <w:color w:val="auto"/>
          <w:sz w:val="24"/>
          <w:szCs w:val="24"/>
        </w:rPr>
      </w:pPr>
      <w:r w:rsidRPr="007516A2">
        <w:rPr>
          <w:rStyle w:val="Strong"/>
          <w:rFonts w:ascii="Times New Roman" w:hAnsi="Times New Roman" w:cs="Times New Roman"/>
          <w:b/>
          <w:bCs/>
          <w:i/>
          <w:iCs/>
          <w:color w:val="auto"/>
          <w:sz w:val="24"/>
          <w:szCs w:val="24"/>
        </w:rPr>
        <w:t xml:space="preserve">Table 1. Histopathological Alterations in the Liver of </w:t>
      </w:r>
      <w:r w:rsidRPr="007516A2">
        <w:rPr>
          <w:rStyle w:val="Emphasis"/>
          <w:rFonts w:ascii="Times New Roman" w:hAnsi="Times New Roman" w:cs="Times New Roman"/>
          <w:i w:val="0"/>
          <w:iCs w:val="0"/>
          <w:color w:val="auto"/>
          <w:sz w:val="24"/>
          <w:szCs w:val="24"/>
        </w:rPr>
        <w:t>Labeo rohita</w:t>
      </w:r>
      <w:r w:rsidRPr="007516A2">
        <w:rPr>
          <w:rStyle w:val="Strong"/>
          <w:rFonts w:ascii="Times New Roman" w:hAnsi="Times New Roman" w:cs="Times New Roman"/>
          <w:b/>
          <w:bCs/>
          <w:i/>
          <w:iCs/>
          <w:color w:val="auto"/>
          <w:sz w:val="24"/>
          <w:szCs w:val="24"/>
        </w:rPr>
        <w:t xml:space="preserve"> Exposed to Organophosphate Pesticides</w:t>
      </w:r>
    </w:p>
    <w:tbl>
      <w:tblPr>
        <w:tblStyle w:val="TableGrid"/>
        <w:tblW w:w="10368" w:type="dxa"/>
        <w:tblLook w:val="04A0"/>
      </w:tblPr>
      <w:tblGrid>
        <w:gridCol w:w="2048"/>
        <w:gridCol w:w="1589"/>
        <w:gridCol w:w="4391"/>
        <w:gridCol w:w="2340"/>
      </w:tblGrid>
      <w:tr w:rsidR="007516A2" w:rsidRPr="007516A2" w:rsidTr="007516A2">
        <w:tc>
          <w:tcPr>
            <w:tcW w:w="0" w:type="auto"/>
            <w:hideMark/>
          </w:tcPr>
          <w:p w:rsidR="007516A2" w:rsidRPr="007516A2" w:rsidRDefault="007516A2" w:rsidP="007516A2">
            <w:pPr>
              <w:spacing w:line="276" w:lineRule="auto"/>
              <w:jc w:val="center"/>
              <w:rPr>
                <w:rFonts w:ascii="Times New Roman" w:hAnsi="Times New Roman" w:cs="Times New Roman"/>
                <w:b/>
                <w:bCs/>
                <w:sz w:val="20"/>
              </w:rPr>
            </w:pPr>
            <w:r w:rsidRPr="007516A2">
              <w:rPr>
                <w:rStyle w:val="Strong"/>
                <w:rFonts w:ascii="Times New Roman" w:hAnsi="Times New Roman" w:cs="Times New Roman"/>
                <w:sz w:val="20"/>
              </w:rPr>
              <w:t>Organophosphate (OP)</w:t>
            </w:r>
          </w:p>
        </w:tc>
        <w:tc>
          <w:tcPr>
            <w:tcW w:w="0" w:type="auto"/>
            <w:hideMark/>
          </w:tcPr>
          <w:p w:rsidR="007516A2" w:rsidRPr="007516A2" w:rsidRDefault="007516A2" w:rsidP="007516A2">
            <w:pPr>
              <w:spacing w:line="276" w:lineRule="auto"/>
              <w:jc w:val="center"/>
              <w:rPr>
                <w:rFonts w:ascii="Times New Roman" w:hAnsi="Times New Roman" w:cs="Times New Roman"/>
                <w:b/>
                <w:bCs/>
                <w:sz w:val="20"/>
              </w:rPr>
            </w:pPr>
            <w:r w:rsidRPr="007516A2">
              <w:rPr>
                <w:rStyle w:val="Strong"/>
                <w:rFonts w:ascii="Times New Roman" w:hAnsi="Times New Roman" w:cs="Times New Roman"/>
                <w:sz w:val="20"/>
              </w:rPr>
              <w:t>Exposure Pattern</w:t>
            </w:r>
          </w:p>
        </w:tc>
        <w:tc>
          <w:tcPr>
            <w:tcW w:w="4391" w:type="dxa"/>
            <w:hideMark/>
          </w:tcPr>
          <w:p w:rsidR="007516A2" w:rsidRPr="007516A2" w:rsidRDefault="007516A2" w:rsidP="007516A2">
            <w:pPr>
              <w:spacing w:line="276" w:lineRule="auto"/>
              <w:jc w:val="center"/>
              <w:rPr>
                <w:rFonts w:ascii="Times New Roman" w:hAnsi="Times New Roman" w:cs="Times New Roman"/>
                <w:b/>
                <w:bCs/>
                <w:sz w:val="20"/>
              </w:rPr>
            </w:pPr>
            <w:r w:rsidRPr="007516A2">
              <w:rPr>
                <w:rStyle w:val="Strong"/>
                <w:rFonts w:ascii="Times New Roman" w:hAnsi="Times New Roman" w:cs="Times New Roman"/>
                <w:sz w:val="20"/>
              </w:rPr>
              <w:t>Key Histopathological Changes in Liver</w:t>
            </w:r>
          </w:p>
        </w:tc>
        <w:tc>
          <w:tcPr>
            <w:tcW w:w="2340" w:type="dxa"/>
            <w:hideMark/>
          </w:tcPr>
          <w:p w:rsidR="007516A2" w:rsidRPr="007516A2" w:rsidRDefault="007516A2" w:rsidP="007516A2">
            <w:pPr>
              <w:spacing w:line="276" w:lineRule="auto"/>
              <w:jc w:val="center"/>
              <w:rPr>
                <w:rFonts w:ascii="Times New Roman" w:hAnsi="Times New Roman" w:cs="Times New Roman"/>
                <w:b/>
                <w:bCs/>
                <w:sz w:val="20"/>
              </w:rPr>
            </w:pPr>
            <w:r w:rsidRPr="007516A2">
              <w:rPr>
                <w:rStyle w:val="Strong"/>
                <w:rFonts w:ascii="Times New Roman" w:hAnsi="Times New Roman" w:cs="Times New Roman"/>
                <w:sz w:val="20"/>
              </w:rPr>
              <w:t xml:space="preserve">References </w:t>
            </w:r>
          </w:p>
        </w:tc>
      </w:tr>
      <w:tr w:rsidR="007516A2" w:rsidRPr="007516A2" w:rsidTr="007516A2">
        <w:tc>
          <w:tcPr>
            <w:tcW w:w="0" w:type="auto"/>
            <w:hideMark/>
          </w:tcPr>
          <w:p w:rsidR="007516A2" w:rsidRPr="007516A2" w:rsidRDefault="007516A2" w:rsidP="007516A2">
            <w:pPr>
              <w:spacing w:line="276" w:lineRule="auto"/>
              <w:rPr>
                <w:rFonts w:ascii="Times New Roman" w:hAnsi="Times New Roman" w:cs="Times New Roman"/>
                <w:sz w:val="20"/>
              </w:rPr>
            </w:pPr>
            <w:r w:rsidRPr="007516A2">
              <w:rPr>
                <w:rStyle w:val="Strong"/>
                <w:rFonts w:ascii="Times New Roman" w:hAnsi="Times New Roman" w:cs="Times New Roman"/>
                <w:sz w:val="20"/>
              </w:rPr>
              <w:t>Chlorpyrifos</w:t>
            </w:r>
          </w:p>
        </w:tc>
        <w:tc>
          <w:tcPr>
            <w:tcW w:w="0" w:type="auto"/>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Acute &amp; sub-chronic</w:t>
            </w:r>
          </w:p>
        </w:tc>
        <w:tc>
          <w:tcPr>
            <w:tcW w:w="4391"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Hepatocyte vacuolation, sinusoidal dilation, nuclear pyknosis, focal necrosis</w:t>
            </w:r>
          </w:p>
        </w:tc>
        <w:tc>
          <w:tcPr>
            <w:tcW w:w="2340"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 xml:space="preserve">Jabeen &amp; Chaudhry (2018); Cuevas </w:t>
            </w:r>
            <w:r w:rsidRPr="007516A2">
              <w:rPr>
                <w:rFonts w:ascii="Times New Roman" w:hAnsi="Times New Roman" w:cs="Times New Roman"/>
                <w:i/>
                <w:iCs/>
                <w:sz w:val="20"/>
              </w:rPr>
              <w:t>et al</w:t>
            </w:r>
            <w:r w:rsidRPr="007516A2">
              <w:rPr>
                <w:rFonts w:ascii="Times New Roman" w:hAnsi="Times New Roman" w:cs="Times New Roman"/>
                <w:sz w:val="20"/>
              </w:rPr>
              <w:t>. (2023)</w:t>
            </w:r>
          </w:p>
        </w:tc>
      </w:tr>
      <w:tr w:rsidR="007516A2" w:rsidRPr="007516A2" w:rsidTr="007516A2">
        <w:tc>
          <w:tcPr>
            <w:tcW w:w="0" w:type="auto"/>
            <w:hideMark/>
          </w:tcPr>
          <w:p w:rsidR="007516A2" w:rsidRPr="007516A2" w:rsidRDefault="007516A2" w:rsidP="007516A2">
            <w:pPr>
              <w:spacing w:line="276" w:lineRule="auto"/>
              <w:rPr>
                <w:rFonts w:ascii="Times New Roman" w:hAnsi="Times New Roman" w:cs="Times New Roman"/>
                <w:sz w:val="20"/>
              </w:rPr>
            </w:pPr>
            <w:r w:rsidRPr="007516A2">
              <w:rPr>
                <w:rStyle w:val="Strong"/>
                <w:rFonts w:ascii="Times New Roman" w:hAnsi="Times New Roman" w:cs="Times New Roman"/>
                <w:sz w:val="20"/>
              </w:rPr>
              <w:t>Malathion</w:t>
            </w:r>
          </w:p>
        </w:tc>
        <w:tc>
          <w:tcPr>
            <w:tcW w:w="0" w:type="auto"/>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Acute &amp; chronic</w:t>
            </w:r>
          </w:p>
        </w:tc>
        <w:tc>
          <w:tcPr>
            <w:tcW w:w="4391"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Severe vacuolation, congestion, Kupffer cell hyperplasia, hemorrhagic patches</w:t>
            </w:r>
          </w:p>
        </w:tc>
        <w:tc>
          <w:tcPr>
            <w:tcW w:w="2340"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 xml:space="preserve">Ullah </w:t>
            </w:r>
            <w:r w:rsidRPr="007516A2">
              <w:rPr>
                <w:rFonts w:ascii="Times New Roman" w:hAnsi="Times New Roman" w:cs="Times New Roman"/>
                <w:i/>
                <w:iCs/>
                <w:sz w:val="20"/>
              </w:rPr>
              <w:t>et al</w:t>
            </w:r>
            <w:r w:rsidRPr="007516A2">
              <w:rPr>
                <w:rFonts w:ascii="Times New Roman" w:hAnsi="Times New Roman" w:cs="Times New Roman"/>
                <w:sz w:val="20"/>
              </w:rPr>
              <w:t>. (2018); Kumar &amp; Singh (2019)</w:t>
            </w:r>
          </w:p>
        </w:tc>
      </w:tr>
      <w:tr w:rsidR="007516A2" w:rsidRPr="007516A2" w:rsidTr="007516A2">
        <w:trPr>
          <w:trHeight w:val="746"/>
        </w:trPr>
        <w:tc>
          <w:tcPr>
            <w:tcW w:w="0" w:type="auto"/>
            <w:hideMark/>
          </w:tcPr>
          <w:p w:rsidR="007516A2" w:rsidRPr="007516A2" w:rsidRDefault="007516A2" w:rsidP="007516A2">
            <w:pPr>
              <w:spacing w:line="276" w:lineRule="auto"/>
              <w:rPr>
                <w:rFonts w:ascii="Times New Roman" w:hAnsi="Times New Roman" w:cs="Times New Roman"/>
                <w:sz w:val="20"/>
              </w:rPr>
            </w:pPr>
            <w:r w:rsidRPr="007516A2">
              <w:rPr>
                <w:rStyle w:val="Strong"/>
                <w:rFonts w:ascii="Times New Roman" w:hAnsi="Times New Roman" w:cs="Times New Roman"/>
                <w:sz w:val="20"/>
              </w:rPr>
              <w:t>Monocrotophos</w:t>
            </w:r>
          </w:p>
        </w:tc>
        <w:tc>
          <w:tcPr>
            <w:tcW w:w="0" w:type="auto"/>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Sublethal, chronic</w:t>
            </w:r>
          </w:p>
        </w:tc>
        <w:tc>
          <w:tcPr>
            <w:tcW w:w="4391"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Ballooning degeneration, hepatocyte swelling, necrotic patches, hepatocellular disarray</w:t>
            </w:r>
          </w:p>
        </w:tc>
        <w:tc>
          <w:tcPr>
            <w:tcW w:w="2340"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 xml:space="preserve">Das &amp; Mitra (2018); Reza </w:t>
            </w:r>
            <w:r w:rsidRPr="007516A2">
              <w:rPr>
                <w:rFonts w:ascii="Times New Roman" w:hAnsi="Times New Roman" w:cs="Times New Roman"/>
                <w:i/>
                <w:iCs/>
                <w:sz w:val="20"/>
              </w:rPr>
              <w:t>et al.</w:t>
            </w:r>
            <w:r w:rsidRPr="007516A2">
              <w:rPr>
                <w:rFonts w:ascii="Times New Roman" w:hAnsi="Times New Roman" w:cs="Times New Roman"/>
                <w:sz w:val="20"/>
              </w:rPr>
              <w:t xml:space="preserve"> (2017)</w:t>
            </w:r>
          </w:p>
        </w:tc>
      </w:tr>
      <w:tr w:rsidR="007516A2" w:rsidRPr="007516A2" w:rsidTr="007516A2">
        <w:tc>
          <w:tcPr>
            <w:tcW w:w="0" w:type="auto"/>
            <w:hideMark/>
          </w:tcPr>
          <w:p w:rsidR="007516A2" w:rsidRPr="007516A2" w:rsidRDefault="007516A2" w:rsidP="007516A2">
            <w:pPr>
              <w:spacing w:line="276" w:lineRule="auto"/>
              <w:rPr>
                <w:rFonts w:ascii="Times New Roman" w:hAnsi="Times New Roman" w:cs="Times New Roman"/>
                <w:sz w:val="20"/>
              </w:rPr>
            </w:pPr>
            <w:r w:rsidRPr="007516A2">
              <w:rPr>
                <w:rStyle w:val="Strong"/>
                <w:rFonts w:ascii="Times New Roman" w:hAnsi="Times New Roman" w:cs="Times New Roman"/>
                <w:sz w:val="20"/>
              </w:rPr>
              <w:t>Triazophos</w:t>
            </w:r>
          </w:p>
        </w:tc>
        <w:tc>
          <w:tcPr>
            <w:tcW w:w="0" w:type="auto"/>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Sublethal</w:t>
            </w:r>
          </w:p>
        </w:tc>
        <w:tc>
          <w:tcPr>
            <w:tcW w:w="4391"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Cell membrane rupture, cytoplasmic degeneration, enlarged nuclei, irregular hepatic cords</w:t>
            </w:r>
          </w:p>
        </w:tc>
        <w:tc>
          <w:tcPr>
            <w:tcW w:w="2340"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 xml:space="preserve">Ramesh </w:t>
            </w:r>
            <w:r w:rsidRPr="007516A2">
              <w:rPr>
                <w:rFonts w:ascii="Times New Roman" w:hAnsi="Times New Roman" w:cs="Times New Roman"/>
                <w:i/>
                <w:iCs/>
                <w:sz w:val="20"/>
              </w:rPr>
              <w:t>et al</w:t>
            </w:r>
            <w:r w:rsidRPr="007516A2">
              <w:rPr>
                <w:rFonts w:ascii="Times New Roman" w:hAnsi="Times New Roman" w:cs="Times New Roman"/>
                <w:sz w:val="20"/>
              </w:rPr>
              <w:t>. (2024)</w:t>
            </w:r>
          </w:p>
        </w:tc>
      </w:tr>
      <w:tr w:rsidR="007516A2" w:rsidRPr="007516A2" w:rsidTr="007516A2">
        <w:tc>
          <w:tcPr>
            <w:tcW w:w="0" w:type="auto"/>
            <w:hideMark/>
          </w:tcPr>
          <w:p w:rsidR="007516A2" w:rsidRPr="007516A2" w:rsidRDefault="007516A2" w:rsidP="007516A2">
            <w:pPr>
              <w:spacing w:line="276" w:lineRule="auto"/>
              <w:rPr>
                <w:rFonts w:ascii="Times New Roman" w:hAnsi="Times New Roman" w:cs="Times New Roman"/>
                <w:sz w:val="20"/>
              </w:rPr>
            </w:pPr>
            <w:r w:rsidRPr="007516A2">
              <w:rPr>
                <w:rStyle w:val="Strong"/>
                <w:rFonts w:ascii="Times New Roman" w:hAnsi="Times New Roman" w:cs="Times New Roman"/>
                <w:sz w:val="20"/>
              </w:rPr>
              <w:t>Dichlorvos</w:t>
            </w:r>
          </w:p>
        </w:tc>
        <w:tc>
          <w:tcPr>
            <w:tcW w:w="0" w:type="auto"/>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Short-term</w:t>
            </w:r>
          </w:p>
        </w:tc>
        <w:tc>
          <w:tcPr>
            <w:tcW w:w="4391"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Nuclear shrinkage, vacuolation, portal inflammation</w:t>
            </w:r>
          </w:p>
        </w:tc>
        <w:tc>
          <w:tcPr>
            <w:tcW w:w="2340"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Singh &amp; Prasad (2016)</w:t>
            </w:r>
          </w:p>
        </w:tc>
      </w:tr>
      <w:tr w:rsidR="007516A2" w:rsidRPr="007516A2" w:rsidTr="007516A2">
        <w:tc>
          <w:tcPr>
            <w:tcW w:w="0" w:type="auto"/>
            <w:hideMark/>
          </w:tcPr>
          <w:p w:rsidR="007516A2" w:rsidRPr="007516A2" w:rsidRDefault="007516A2" w:rsidP="007516A2">
            <w:pPr>
              <w:spacing w:line="276" w:lineRule="auto"/>
              <w:rPr>
                <w:rFonts w:ascii="Times New Roman" w:hAnsi="Times New Roman" w:cs="Times New Roman"/>
                <w:sz w:val="20"/>
              </w:rPr>
            </w:pPr>
            <w:r w:rsidRPr="007516A2">
              <w:rPr>
                <w:rStyle w:val="Strong"/>
                <w:rFonts w:ascii="Times New Roman" w:hAnsi="Times New Roman" w:cs="Times New Roman"/>
                <w:sz w:val="20"/>
              </w:rPr>
              <w:t>Methyl parathion</w:t>
            </w:r>
          </w:p>
        </w:tc>
        <w:tc>
          <w:tcPr>
            <w:tcW w:w="0" w:type="auto"/>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Sublethal</w:t>
            </w:r>
          </w:p>
        </w:tc>
        <w:tc>
          <w:tcPr>
            <w:tcW w:w="4391"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Degeneration of hepatocytes, fatty infiltration, sinusoidal collapse</w:t>
            </w:r>
          </w:p>
        </w:tc>
        <w:tc>
          <w:tcPr>
            <w:tcW w:w="2340" w:type="dxa"/>
            <w:hideMark/>
          </w:tcPr>
          <w:p w:rsidR="007516A2" w:rsidRPr="007516A2" w:rsidRDefault="007516A2" w:rsidP="007516A2">
            <w:pPr>
              <w:spacing w:line="276" w:lineRule="auto"/>
              <w:rPr>
                <w:rFonts w:ascii="Times New Roman" w:hAnsi="Times New Roman" w:cs="Times New Roman"/>
                <w:sz w:val="20"/>
              </w:rPr>
            </w:pPr>
            <w:r w:rsidRPr="007516A2">
              <w:rPr>
                <w:rFonts w:ascii="Times New Roman" w:hAnsi="Times New Roman" w:cs="Times New Roman"/>
                <w:sz w:val="20"/>
              </w:rPr>
              <w:t>Tripathi &amp; Joshi (2017)</w:t>
            </w:r>
          </w:p>
        </w:tc>
      </w:tr>
    </w:tbl>
    <w:p w:rsidR="007516A2" w:rsidRDefault="007516A2" w:rsidP="00406076">
      <w:pPr>
        <w:spacing w:after="0" w:line="240" w:lineRule="auto"/>
        <w:jc w:val="both"/>
        <w:rPr>
          <w:rFonts w:ascii="Times New Roman" w:eastAsia="Times New Roman" w:hAnsi="Times New Roman" w:cs="Times New Roman"/>
          <w:sz w:val="24"/>
          <w:szCs w:val="24"/>
        </w:rPr>
      </w:pPr>
    </w:p>
    <w:p w:rsidR="007516A2" w:rsidRDefault="007516A2" w:rsidP="00406076">
      <w:pPr>
        <w:spacing w:after="0" w:line="240" w:lineRule="auto"/>
        <w:outlineLvl w:val="1"/>
        <w:rPr>
          <w:rFonts w:ascii="Times New Roman" w:eastAsia="Times New Roman" w:hAnsi="Times New Roman" w:cs="Times New Roman"/>
          <w:b/>
          <w:bCs/>
          <w:sz w:val="28"/>
          <w:szCs w:val="28"/>
        </w:rPr>
      </w:pPr>
    </w:p>
    <w:p w:rsidR="00102506" w:rsidRPr="00B020E6" w:rsidRDefault="00102506" w:rsidP="00406076">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lastRenderedPageBreak/>
        <w:t xml:space="preserve">Molecular Mechanisms of Organophosphate Toxicity in the Liver of </w:t>
      </w:r>
      <w:r w:rsidRPr="00B020E6">
        <w:rPr>
          <w:rFonts w:ascii="Times New Roman" w:eastAsia="Times New Roman" w:hAnsi="Times New Roman" w:cs="Times New Roman"/>
          <w:b/>
          <w:bCs/>
          <w:i/>
          <w:iCs/>
          <w:sz w:val="28"/>
          <w:szCs w:val="28"/>
        </w:rPr>
        <w:t>Labeorohita</w:t>
      </w:r>
    </w:p>
    <w:p w:rsidR="008C7D86" w:rsidRDefault="00102506" w:rsidP="00406076">
      <w:pPr>
        <w:spacing w:after="0" w:line="240" w:lineRule="auto"/>
        <w:jc w:val="both"/>
      </w:pPr>
      <w:r w:rsidRPr="00B020E6">
        <w:rPr>
          <w:rFonts w:ascii="Times New Roman" w:eastAsia="Times New Roman" w:hAnsi="Times New Roman" w:cs="Times New Roman"/>
          <w:sz w:val="24"/>
          <w:szCs w:val="24"/>
        </w:rPr>
        <w:t xml:space="preserve">The molecular mechanisms underlying organophosphate (OP) toxicity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liver involve complex interactions between oxidative stress, gene expression modulation, apoptosis, and inflammatory signaling pathways. OP exposure not only inhibits acetylcholinesterase (AChE) but also initiates a cascade of cellular and molecular events that compromise hepatic homeostasis. One of the primary responses to OP-induced stress is the generation of reactive oxygen species (ROS), which leads to oxidative damage of lipids, proteins, and DNA. Excess ROS triggers the activation of transcription factors such as NF-κB (nuclear factor kappa-light-chain-enhancer of activated B cells) and AP-1, which regulate the expression of genes involved in inflammation, apoptosis, and antioxidant defense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 Kumar &amp; Singh, 2019).At the gene expression level, studies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have shown upregulation of stress-related genes including heat shock proteins (HSP70), cytochrome P450 isoforms, and antioxidant enzymes such as superoxide dismutase (SOD) and catalase (CAT). Heat shock proteins act as molecular chaperones, stabilizing proteins under stress conditions and preventing aggregation, while cytochrome P450 enzymes facilitate Phase I biotransformation of lipophilic OP compounds into more water-soluble metabolites for excretion. Chronic or high-dose OP exposure can overwhelm these protective mechanisms, resulting in persistent oxidative stress and cellular dysfunction (Tripathi &amp; Joshi, 2017).Apoptosis, or programmed cell death, is another critical molecular event in OP-induced hepatotoxicity. Activation of pro-apoptotic proteins such as Bax, caspase-3, and caspase-9, coupled with downregulation of anti-apoptotic Bcl-2, has been reported in fish liver under OP exposure. This imbalance triggers mitochondrial membrane potential loss, cytochrome c release, and subsequent activation of the caspase cascade, leading to hepatocyte death. In addition, inflammatory pathways are activated, with elevated expression of cytokines such as TNF-α and IL-1β, which exacerbate liver injury and contribute to tissue remodeling and fibrosis in prolonged exposure scenarios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2023).Epigenetic mechanisms also play a role in the long-term effects of OP exposure. DNA methylation, histone modification, and microRNA (miRNA) regulation can alter the expression of genes involved in detoxification, stress response, and metabolic pathways. Such epigenetic changes may persist beyond the exposure period, potentially affecting fish growth, reproduction, and survival, and can have population-level consequences in contaminated aquatic ecosystems. This underscores the importance of understanding molecular responses alongside biochemical and histopathological alterations for a holistic view of OP toxicity in freshwater fish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2018).Overall, molecular studies demonstrate that OP-induced hepatotoxicity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is a multifactorial process involving oxidative stress, gene expression changes, apoptosis, and inflammation. Integrating molecular insights with biochemical and histopathological findings enhances our understanding of the mechanisms driving liver damage and provides a foundation for developing biomarkers, environmental monitoring tools, and strategies to mitigate pesticide-induced toxicity in freshwater ecosystems.</w:t>
      </w:r>
      <w:r w:rsidR="008C7D86" w:rsidRPr="008C7D86">
        <w:t xml:space="preserve"> </w:t>
      </w:r>
    </w:p>
    <w:p w:rsidR="008C7D86" w:rsidRPr="008C7D86" w:rsidRDefault="008C7D86" w:rsidP="00406076">
      <w:pPr>
        <w:spacing w:after="0" w:line="240" w:lineRule="auto"/>
        <w:jc w:val="both"/>
        <w:rPr>
          <w:rFonts w:ascii="Times New Roman" w:eastAsia="Times New Roman" w:hAnsi="Times New Roman" w:cs="Times New Roman"/>
          <w:b/>
          <w:bCs/>
          <w:sz w:val="28"/>
          <w:szCs w:val="28"/>
        </w:rPr>
      </w:pPr>
      <w:r w:rsidRPr="008C7D86">
        <w:rPr>
          <w:rFonts w:ascii="Times New Roman" w:eastAsia="Times New Roman" w:hAnsi="Times New Roman" w:cs="Times New Roman"/>
          <w:b/>
          <w:bCs/>
          <w:sz w:val="28"/>
          <w:szCs w:val="28"/>
        </w:rPr>
        <w:t xml:space="preserve">Unravelling the Impact of Organophosphate Toxicity on Fish </w:t>
      </w:r>
    </w:p>
    <w:p w:rsidR="00102506" w:rsidRDefault="008C7D86" w:rsidP="00406076">
      <w:pPr>
        <w:spacing w:after="0" w:line="240" w:lineRule="auto"/>
        <w:jc w:val="both"/>
        <w:rPr>
          <w:rFonts w:ascii="Times New Roman" w:eastAsia="Times New Roman" w:hAnsi="Times New Roman" w:cs="Times New Roman"/>
          <w:sz w:val="24"/>
          <w:szCs w:val="24"/>
        </w:rPr>
      </w:pPr>
      <w:r w:rsidRPr="008C7D86">
        <w:rPr>
          <w:rFonts w:ascii="Times New Roman" w:eastAsia="Times New Roman" w:hAnsi="Times New Roman" w:cs="Times New Roman"/>
          <w:sz w:val="24"/>
          <w:szCs w:val="24"/>
        </w:rPr>
        <w:t xml:space="preserve">Chronic, low-level OP exposure produces subtle yet biologically consequential effects that often remain undetected through conventional acute toxicity assessments. Research published from 2020 to 2025 reports disruptions in neurobehavioral responses, including impaired locomotion, feeding activity, and predator avoidance, along with immune suppression and endocrine dysregulation in freshwater fish (Sule </w:t>
      </w:r>
      <w:r w:rsidRPr="008C7D86">
        <w:rPr>
          <w:rFonts w:ascii="Times New Roman" w:eastAsia="Times New Roman" w:hAnsi="Times New Roman" w:cs="Times New Roman"/>
          <w:i/>
          <w:iCs/>
          <w:sz w:val="24"/>
          <w:szCs w:val="24"/>
        </w:rPr>
        <w:t>et al</w:t>
      </w:r>
      <w:r w:rsidRPr="008C7D86">
        <w:rPr>
          <w:rFonts w:ascii="Times New Roman" w:eastAsia="Times New Roman" w:hAnsi="Times New Roman" w:cs="Times New Roman"/>
          <w:sz w:val="24"/>
          <w:szCs w:val="24"/>
        </w:rPr>
        <w:t xml:space="preserve">., 2022; Ramesh </w:t>
      </w:r>
      <w:r w:rsidRPr="008C7D86">
        <w:rPr>
          <w:rFonts w:ascii="Times New Roman" w:eastAsia="Times New Roman" w:hAnsi="Times New Roman" w:cs="Times New Roman"/>
          <w:i/>
          <w:iCs/>
          <w:sz w:val="24"/>
          <w:szCs w:val="24"/>
        </w:rPr>
        <w:t>et al.,</w:t>
      </w:r>
      <w:r w:rsidRPr="008C7D86">
        <w:rPr>
          <w:rFonts w:ascii="Times New Roman" w:eastAsia="Times New Roman" w:hAnsi="Times New Roman" w:cs="Times New Roman"/>
          <w:sz w:val="24"/>
          <w:szCs w:val="24"/>
        </w:rPr>
        <w:t xml:space="preserve"> 2024). Molecular investigations reveal OP-induced dysregulation of apoptosis-related genes, inflammatory </w:t>
      </w:r>
      <w:r w:rsidRPr="008C7D86">
        <w:rPr>
          <w:rFonts w:ascii="Times New Roman" w:eastAsia="Times New Roman" w:hAnsi="Times New Roman" w:cs="Times New Roman"/>
          <w:sz w:val="24"/>
          <w:szCs w:val="24"/>
        </w:rPr>
        <w:lastRenderedPageBreak/>
        <w:t xml:space="preserve">mediators, and antioxidant pathways, providing evidence of deep systemic toxicity that precedes visible tissue damage (Moezzi </w:t>
      </w:r>
      <w:r w:rsidRPr="008C7D86">
        <w:rPr>
          <w:rFonts w:ascii="Times New Roman" w:eastAsia="Times New Roman" w:hAnsi="Times New Roman" w:cs="Times New Roman"/>
          <w:i/>
          <w:iCs/>
          <w:sz w:val="24"/>
          <w:szCs w:val="24"/>
        </w:rPr>
        <w:t>et al</w:t>
      </w:r>
      <w:r w:rsidRPr="008C7D86">
        <w:rPr>
          <w:rFonts w:ascii="Times New Roman" w:eastAsia="Times New Roman" w:hAnsi="Times New Roman" w:cs="Times New Roman"/>
          <w:sz w:val="24"/>
          <w:szCs w:val="24"/>
        </w:rPr>
        <w:t>., 2025). These silent, sublethal disturbances weaken physiological resilience and long-term population stability, underscoring the urgency for chronic exposure assessments in aquatic monitoring programs.</w:t>
      </w:r>
    </w:p>
    <w:p w:rsidR="007516A2" w:rsidRPr="007516A2" w:rsidRDefault="007516A2" w:rsidP="007516A2">
      <w:pPr>
        <w:pStyle w:val="Heading1"/>
        <w:jc w:val="center"/>
        <w:rPr>
          <w:rFonts w:ascii="Times New Roman" w:hAnsi="Times New Roman" w:cs="Times New Roman"/>
          <w:i/>
          <w:iCs/>
          <w:color w:val="auto"/>
          <w:sz w:val="24"/>
          <w:szCs w:val="24"/>
        </w:rPr>
      </w:pPr>
      <w:r w:rsidRPr="007516A2">
        <w:rPr>
          <w:rStyle w:val="Strong"/>
          <w:rFonts w:ascii="Times New Roman" w:hAnsi="Times New Roman" w:cs="Times New Roman"/>
          <w:b/>
          <w:bCs/>
          <w:i/>
          <w:iCs/>
          <w:color w:val="auto"/>
          <w:sz w:val="24"/>
          <w:szCs w:val="24"/>
        </w:rPr>
        <w:t xml:space="preserve">Table 2. Biochemical Alterations in the Liver of </w:t>
      </w:r>
      <w:r w:rsidRPr="007516A2">
        <w:rPr>
          <w:rStyle w:val="Emphasis"/>
          <w:rFonts w:ascii="Times New Roman" w:hAnsi="Times New Roman" w:cs="Times New Roman"/>
          <w:i w:val="0"/>
          <w:iCs w:val="0"/>
          <w:color w:val="auto"/>
          <w:sz w:val="24"/>
          <w:szCs w:val="24"/>
        </w:rPr>
        <w:t>Labeo rohita</w:t>
      </w:r>
      <w:r w:rsidRPr="007516A2">
        <w:rPr>
          <w:rStyle w:val="Strong"/>
          <w:rFonts w:ascii="Times New Roman" w:hAnsi="Times New Roman" w:cs="Times New Roman"/>
          <w:b/>
          <w:bCs/>
          <w:i/>
          <w:iCs/>
          <w:color w:val="auto"/>
          <w:sz w:val="24"/>
          <w:szCs w:val="24"/>
        </w:rPr>
        <w:t xml:space="preserve"> Exposed to Organophosphates</w:t>
      </w:r>
    </w:p>
    <w:tbl>
      <w:tblPr>
        <w:tblStyle w:val="TableGrid"/>
        <w:tblW w:w="10278" w:type="dxa"/>
        <w:tblLook w:val="04A0"/>
      </w:tblPr>
      <w:tblGrid>
        <w:gridCol w:w="1905"/>
        <w:gridCol w:w="2698"/>
        <w:gridCol w:w="2799"/>
        <w:gridCol w:w="2876"/>
      </w:tblGrid>
      <w:tr w:rsidR="007516A2" w:rsidRPr="007516A2" w:rsidTr="007516A2">
        <w:tc>
          <w:tcPr>
            <w:tcW w:w="0" w:type="auto"/>
            <w:hideMark/>
          </w:tcPr>
          <w:p w:rsidR="007516A2" w:rsidRPr="007516A2" w:rsidRDefault="007516A2">
            <w:pPr>
              <w:jc w:val="center"/>
              <w:rPr>
                <w:rFonts w:ascii="Times New Roman" w:hAnsi="Times New Roman" w:cs="Times New Roman"/>
                <w:b/>
                <w:bCs/>
                <w:sz w:val="20"/>
                <w:szCs w:val="18"/>
              </w:rPr>
            </w:pPr>
            <w:r w:rsidRPr="007516A2">
              <w:rPr>
                <w:rStyle w:val="Strong"/>
                <w:rFonts w:ascii="Times New Roman" w:hAnsi="Times New Roman" w:cs="Times New Roman"/>
                <w:sz w:val="20"/>
                <w:szCs w:val="18"/>
              </w:rPr>
              <w:t>Organophosphate (OP)</w:t>
            </w:r>
          </w:p>
        </w:tc>
        <w:tc>
          <w:tcPr>
            <w:tcW w:w="0" w:type="auto"/>
            <w:hideMark/>
          </w:tcPr>
          <w:p w:rsidR="007516A2" w:rsidRPr="007516A2" w:rsidRDefault="007516A2">
            <w:pPr>
              <w:jc w:val="center"/>
              <w:rPr>
                <w:rFonts w:ascii="Times New Roman" w:hAnsi="Times New Roman" w:cs="Times New Roman"/>
                <w:b/>
                <w:bCs/>
                <w:sz w:val="20"/>
                <w:szCs w:val="18"/>
              </w:rPr>
            </w:pPr>
            <w:r w:rsidRPr="007516A2">
              <w:rPr>
                <w:rStyle w:val="Strong"/>
                <w:rFonts w:ascii="Times New Roman" w:hAnsi="Times New Roman" w:cs="Times New Roman"/>
                <w:sz w:val="20"/>
                <w:szCs w:val="18"/>
              </w:rPr>
              <w:t>Biochemical Biomarker Changes</w:t>
            </w:r>
          </w:p>
        </w:tc>
        <w:tc>
          <w:tcPr>
            <w:tcW w:w="0" w:type="auto"/>
            <w:hideMark/>
          </w:tcPr>
          <w:p w:rsidR="007516A2" w:rsidRPr="007516A2" w:rsidRDefault="007516A2">
            <w:pPr>
              <w:jc w:val="center"/>
              <w:rPr>
                <w:rFonts w:ascii="Times New Roman" w:hAnsi="Times New Roman" w:cs="Times New Roman"/>
                <w:b/>
                <w:bCs/>
                <w:sz w:val="20"/>
                <w:szCs w:val="18"/>
              </w:rPr>
            </w:pPr>
            <w:r w:rsidRPr="007516A2">
              <w:rPr>
                <w:rStyle w:val="Strong"/>
                <w:rFonts w:ascii="Times New Roman" w:hAnsi="Times New Roman" w:cs="Times New Roman"/>
                <w:sz w:val="20"/>
                <w:szCs w:val="18"/>
              </w:rPr>
              <w:t>Affected Pathways / Mechanisms</w:t>
            </w:r>
          </w:p>
        </w:tc>
        <w:tc>
          <w:tcPr>
            <w:tcW w:w="2876" w:type="dxa"/>
            <w:hideMark/>
          </w:tcPr>
          <w:p w:rsidR="007516A2" w:rsidRPr="007516A2" w:rsidRDefault="007516A2">
            <w:pPr>
              <w:jc w:val="center"/>
              <w:rPr>
                <w:rFonts w:ascii="Times New Roman" w:hAnsi="Times New Roman" w:cs="Times New Roman"/>
                <w:b/>
                <w:bCs/>
                <w:sz w:val="20"/>
                <w:szCs w:val="18"/>
              </w:rPr>
            </w:pPr>
            <w:r w:rsidRPr="007516A2">
              <w:rPr>
                <w:rStyle w:val="Strong"/>
                <w:rFonts w:ascii="Times New Roman" w:hAnsi="Times New Roman" w:cs="Times New Roman"/>
                <w:sz w:val="20"/>
                <w:szCs w:val="18"/>
              </w:rPr>
              <w:t>Supporting Evidence</w:t>
            </w:r>
          </w:p>
        </w:tc>
      </w:tr>
      <w:tr w:rsidR="007516A2" w:rsidRPr="007516A2" w:rsidTr="007516A2">
        <w:tc>
          <w:tcPr>
            <w:tcW w:w="0" w:type="auto"/>
            <w:hideMark/>
          </w:tcPr>
          <w:p w:rsidR="007516A2" w:rsidRPr="007516A2" w:rsidRDefault="007516A2">
            <w:pPr>
              <w:rPr>
                <w:rFonts w:ascii="Times New Roman" w:hAnsi="Times New Roman" w:cs="Times New Roman"/>
                <w:sz w:val="20"/>
                <w:szCs w:val="18"/>
              </w:rPr>
            </w:pPr>
            <w:r w:rsidRPr="007516A2">
              <w:rPr>
                <w:rStyle w:val="Strong"/>
                <w:rFonts w:ascii="Times New Roman" w:hAnsi="Times New Roman" w:cs="Times New Roman"/>
                <w:sz w:val="20"/>
                <w:szCs w:val="18"/>
              </w:rPr>
              <w:t>Chlorpyrifos</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ALT, ↑ AST, ↑ ALP, ↓ GSH, ↑ MDA, ↓ CAT &amp; SOD</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ROS generation; impaired thiol antioxidants; lipid peroxidation</w:t>
            </w:r>
          </w:p>
        </w:tc>
        <w:tc>
          <w:tcPr>
            <w:tcW w:w="2876" w:type="dxa"/>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xml:space="preserve">Jabeen &amp; Chaudhry (2018); Cuevas </w:t>
            </w:r>
            <w:r w:rsidRPr="007516A2">
              <w:rPr>
                <w:rFonts w:ascii="Times New Roman" w:hAnsi="Times New Roman" w:cs="Times New Roman"/>
                <w:i/>
                <w:iCs/>
                <w:sz w:val="20"/>
                <w:szCs w:val="18"/>
              </w:rPr>
              <w:t xml:space="preserve">et al. </w:t>
            </w:r>
            <w:r w:rsidRPr="007516A2">
              <w:rPr>
                <w:rFonts w:ascii="Times New Roman" w:hAnsi="Times New Roman" w:cs="Times New Roman"/>
                <w:sz w:val="20"/>
                <w:szCs w:val="18"/>
              </w:rPr>
              <w:t>(2023)</w:t>
            </w:r>
          </w:p>
        </w:tc>
      </w:tr>
      <w:tr w:rsidR="007516A2" w:rsidRPr="007516A2" w:rsidTr="007516A2">
        <w:tc>
          <w:tcPr>
            <w:tcW w:w="0" w:type="auto"/>
            <w:hideMark/>
          </w:tcPr>
          <w:p w:rsidR="007516A2" w:rsidRPr="007516A2" w:rsidRDefault="007516A2">
            <w:pPr>
              <w:rPr>
                <w:rFonts w:ascii="Times New Roman" w:hAnsi="Times New Roman" w:cs="Times New Roman"/>
                <w:sz w:val="20"/>
                <w:szCs w:val="18"/>
              </w:rPr>
            </w:pPr>
            <w:r w:rsidRPr="007516A2">
              <w:rPr>
                <w:rStyle w:val="Strong"/>
                <w:rFonts w:ascii="Times New Roman" w:hAnsi="Times New Roman" w:cs="Times New Roman"/>
                <w:sz w:val="20"/>
                <w:szCs w:val="18"/>
              </w:rPr>
              <w:t>Malathion</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LPO, ↓ GSH, ↓ GPx, ↓ SOD, altered glucose &amp; triglycerides</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Disrupted glucose metabolism; mitochondrial oxidative stress</w:t>
            </w:r>
          </w:p>
        </w:tc>
        <w:tc>
          <w:tcPr>
            <w:tcW w:w="2876" w:type="dxa"/>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xml:space="preserve">Ullah </w:t>
            </w:r>
            <w:r w:rsidRPr="007516A2">
              <w:rPr>
                <w:rFonts w:ascii="Times New Roman" w:hAnsi="Times New Roman" w:cs="Times New Roman"/>
                <w:i/>
                <w:iCs/>
                <w:sz w:val="20"/>
                <w:szCs w:val="18"/>
              </w:rPr>
              <w:t>et al.</w:t>
            </w:r>
            <w:r w:rsidRPr="007516A2">
              <w:rPr>
                <w:rFonts w:ascii="Times New Roman" w:hAnsi="Times New Roman" w:cs="Times New Roman"/>
                <w:sz w:val="20"/>
                <w:szCs w:val="18"/>
              </w:rPr>
              <w:t xml:space="preserve"> (2018); Kumar &amp; Singh (2019)</w:t>
            </w:r>
          </w:p>
        </w:tc>
      </w:tr>
      <w:tr w:rsidR="007516A2" w:rsidRPr="007516A2" w:rsidTr="007516A2">
        <w:tc>
          <w:tcPr>
            <w:tcW w:w="0" w:type="auto"/>
            <w:hideMark/>
          </w:tcPr>
          <w:p w:rsidR="007516A2" w:rsidRPr="007516A2" w:rsidRDefault="007516A2">
            <w:pPr>
              <w:rPr>
                <w:rFonts w:ascii="Times New Roman" w:hAnsi="Times New Roman" w:cs="Times New Roman"/>
                <w:sz w:val="20"/>
                <w:szCs w:val="18"/>
              </w:rPr>
            </w:pPr>
            <w:r w:rsidRPr="007516A2">
              <w:rPr>
                <w:rStyle w:val="Strong"/>
                <w:rFonts w:ascii="Times New Roman" w:hAnsi="Times New Roman" w:cs="Times New Roman"/>
                <w:sz w:val="20"/>
                <w:szCs w:val="18"/>
              </w:rPr>
              <w:t>Monocrotophos</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ALT/AST, ↓ total protein, ↓ albumin, ↑ MDA</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Energy imbalance; hepatocyte membrane damage</w:t>
            </w:r>
          </w:p>
        </w:tc>
        <w:tc>
          <w:tcPr>
            <w:tcW w:w="2876" w:type="dxa"/>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xml:space="preserve">Das &amp; Mitra (2018); Reza </w:t>
            </w:r>
            <w:r w:rsidRPr="007516A2">
              <w:rPr>
                <w:rFonts w:ascii="Times New Roman" w:hAnsi="Times New Roman" w:cs="Times New Roman"/>
                <w:i/>
                <w:iCs/>
                <w:sz w:val="20"/>
                <w:szCs w:val="18"/>
              </w:rPr>
              <w:t>et al.</w:t>
            </w:r>
            <w:r w:rsidRPr="007516A2">
              <w:rPr>
                <w:rFonts w:ascii="Times New Roman" w:hAnsi="Times New Roman" w:cs="Times New Roman"/>
                <w:sz w:val="20"/>
                <w:szCs w:val="18"/>
              </w:rPr>
              <w:t xml:space="preserve"> (2017)</w:t>
            </w:r>
          </w:p>
        </w:tc>
      </w:tr>
      <w:tr w:rsidR="007516A2" w:rsidRPr="007516A2" w:rsidTr="007516A2">
        <w:tc>
          <w:tcPr>
            <w:tcW w:w="0" w:type="auto"/>
            <w:hideMark/>
          </w:tcPr>
          <w:p w:rsidR="007516A2" w:rsidRPr="007516A2" w:rsidRDefault="007516A2">
            <w:pPr>
              <w:rPr>
                <w:rFonts w:ascii="Times New Roman" w:hAnsi="Times New Roman" w:cs="Times New Roman"/>
                <w:sz w:val="20"/>
                <w:szCs w:val="18"/>
              </w:rPr>
            </w:pPr>
            <w:r w:rsidRPr="007516A2">
              <w:rPr>
                <w:rStyle w:val="Strong"/>
                <w:rFonts w:ascii="Times New Roman" w:hAnsi="Times New Roman" w:cs="Times New Roman"/>
                <w:sz w:val="20"/>
                <w:szCs w:val="18"/>
              </w:rPr>
              <w:t>Triazophos</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LPO, ↓ antioxidant enzymes, altered carbohydrate metabolism</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Caspase-mediated apoptosis; oxidative injury</w:t>
            </w:r>
          </w:p>
        </w:tc>
        <w:tc>
          <w:tcPr>
            <w:tcW w:w="2876" w:type="dxa"/>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xml:space="preserve">Ramesh </w:t>
            </w:r>
            <w:r w:rsidRPr="007516A2">
              <w:rPr>
                <w:rFonts w:ascii="Times New Roman" w:hAnsi="Times New Roman" w:cs="Times New Roman"/>
                <w:i/>
                <w:iCs/>
                <w:sz w:val="20"/>
                <w:szCs w:val="18"/>
              </w:rPr>
              <w:t>et al</w:t>
            </w:r>
            <w:r w:rsidRPr="007516A2">
              <w:rPr>
                <w:rFonts w:ascii="Times New Roman" w:hAnsi="Times New Roman" w:cs="Times New Roman"/>
                <w:sz w:val="20"/>
                <w:szCs w:val="18"/>
              </w:rPr>
              <w:t>. (2024)</w:t>
            </w:r>
          </w:p>
        </w:tc>
      </w:tr>
      <w:tr w:rsidR="007516A2" w:rsidRPr="007516A2" w:rsidTr="007516A2">
        <w:tc>
          <w:tcPr>
            <w:tcW w:w="0" w:type="auto"/>
            <w:hideMark/>
          </w:tcPr>
          <w:p w:rsidR="007516A2" w:rsidRPr="007516A2" w:rsidRDefault="007516A2">
            <w:pPr>
              <w:rPr>
                <w:rFonts w:ascii="Times New Roman" w:hAnsi="Times New Roman" w:cs="Times New Roman"/>
                <w:sz w:val="20"/>
                <w:szCs w:val="18"/>
              </w:rPr>
            </w:pPr>
            <w:r w:rsidRPr="007516A2">
              <w:rPr>
                <w:rStyle w:val="Strong"/>
                <w:rFonts w:ascii="Times New Roman" w:hAnsi="Times New Roman" w:cs="Times New Roman"/>
                <w:sz w:val="20"/>
                <w:szCs w:val="18"/>
              </w:rPr>
              <w:t>Dichlorvos</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AChE, ↑ LPO, ↓ thiol antioxidants</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Cholinergic overstimulation; oxidative stress</w:t>
            </w:r>
          </w:p>
        </w:tc>
        <w:tc>
          <w:tcPr>
            <w:tcW w:w="2876" w:type="dxa"/>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Singh &amp; Prasad (2016)</w:t>
            </w:r>
          </w:p>
        </w:tc>
      </w:tr>
      <w:tr w:rsidR="007516A2" w:rsidRPr="007516A2" w:rsidTr="007516A2">
        <w:tc>
          <w:tcPr>
            <w:tcW w:w="0" w:type="auto"/>
            <w:hideMark/>
          </w:tcPr>
          <w:p w:rsidR="007516A2" w:rsidRPr="007516A2" w:rsidRDefault="007516A2">
            <w:pPr>
              <w:rPr>
                <w:rFonts w:ascii="Times New Roman" w:hAnsi="Times New Roman" w:cs="Times New Roman"/>
                <w:sz w:val="20"/>
                <w:szCs w:val="18"/>
              </w:rPr>
            </w:pPr>
            <w:r w:rsidRPr="007516A2">
              <w:rPr>
                <w:rStyle w:val="Strong"/>
                <w:rFonts w:ascii="Times New Roman" w:hAnsi="Times New Roman" w:cs="Times New Roman"/>
                <w:sz w:val="20"/>
                <w:szCs w:val="18"/>
              </w:rPr>
              <w:t>Methyl parathion</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GSH, ↓ CAT, ↑ transaminases</w:t>
            </w:r>
          </w:p>
        </w:tc>
        <w:tc>
          <w:tcPr>
            <w:tcW w:w="0" w:type="auto"/>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Nitric oxide–ROS synergy; impaired detoxification enzymes</w:t>
            </w:r>
          </w:p>
        </w:tc>
        <w:tc>
          <w:tcPr>
            <w:tcW w:w="2876" w:type="dxa"/>
            <w:hideMark/>
          </w:tcPr>
          <w:p w:rsidR="007516A2" w:rsidRPr="007516A2" w:rsidRDefault="007516A2">
            <w:pPr>
              <w:rPr>
                <w:rFonts w:ascii="Times New Roman" w:hAnsi="Times New Roman" w:cs="Times New Roman"/>
                <w:sz w:val="20"/>
                <w:szCs w:val="18"/>
              </w:rPr>
            </w:pPr>
            <w:r w:rsidRPr="007516A2">
              <w:rPr>
                <w:rFonts w:ascii="Times New Roman" w:hAnsi="Times New Roman" w:cs="Times New Roman"/>
                <w:sz w:val="20"/>
                <w:szCs w:val="18"/>
              </w:rPr>
              <w:t xml:space="preserve">Ahmad </w:t>
            </w:r>
            <w:r w:rsidRPr="007516A2">
              <w:rPr>
                <w:rFonts w:ascii="Times New Roman" w:hAnsi="Times New Roman" w:cs="Times New Roman"/>
                <w:i/>
                <w:iCs/>
                <w:sz w:val="20"/>
                <w:szCs w:val="18"/>
              </w:rPr>
              <w:t>et al</w:t>
            </w:r>
            <w:r w:rsidRPr="007516A2">
              <w:rPr>
                <w:rFonts w:ascii="Times New Roman" w:hAnsi="Times New Roman" w:cs="Times New Roman"/>
                <w:sz w:val="20"/>
                <w:szCs w:val="18"/>
              </w:rPr>
              <w:t>. (2021); Tripathi &amp; Joshi (2017)</w:t>
            </w:r>
          </w:p>
        </w:tc>
      </w:tr>
    </w:tbl>
    <w:p w:rsidR="007516A2" w:rsidRPr="00B020E6" w:rsidRDefault="007516A2" w:rsidP="00406076">
      <w:pPr>
        <w:spacing w:after="0" w:line="240" w:lineRule="auto"/>
        <w:jc w:val="both"/>
        <w:rPr>
          <w:rFonts w:ascii="Times New Roman" w:eastAsia="Times New Roman" w:hAnsi="Times New Roman" w:cs="Times New Roman"/>
          <w:sz w:val="24"/>
          <w:szCs w:val="24"/>
        </w:rPr>
      </w:pPr>
    </w:p>
    <w:p w:rsidR="00102506" w:rsidRPr="00B020E6" w:rsidRDefault="00102506" w:rsidP="00406076">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 xml:space="preserve">Environmental and Aquaculture Implications of Organophosphate Exposure in </w:t>
      </w:r>
      <w:r w:rsidRPr="00B020E6">
        <w:rPr>
          <w:rFonts w:ascii="Times New Roman" w:eastAsia="Times New Roman" w:hAnsi="Times New Roman" w:cs="Times New Roman"/>
          <w:b/>
          <w:bCs/>
          <w:i/>
          <w:iCs/>
          <w:sz w:val="28"/>
          <w:szCs w:val="28"/>
        </w:rPr>
        <w:t>Labeorohita</w:t>
      </w:r>
    </w:p>
    <w:p w:rsidR="00102506" w:rsidRPr="00B020E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Organophosphate (OP) pesticides not only affect the physiological and molecular health of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but also pose significant environmental and aquaculture challenges. One of the primary concerns is bioaccumulation, as OPs tend to accumulate in the liver, muscle, and other metabolically active tissues due to their lipophilic nature. Persistent residues in fish tissues can enter the human food chain, raising concerns for food safety and public health. Studies have demonstrated that even low-level chronic exposure can result in detectable OP concentrations in fish muscles, highlighting the risk of biomagnification along aquatic food webs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2018).In addition to food safety, OP exposure adversely affects the growth, reproduction, and survival of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which are critical factors in aquaculture productivity. Chronic exposure to sublethal concentrations of OPs can impair metabolic efficiency, reduce feed conversion ratios, and inhibit growth rates. Reproductive parameters, including gonadal development, fecundity, and spawning success, are also negatively impacted. These effects compromise fish stock sustainability and can lead to economic losses for aquaculture operations dependent on this commercially important species (Tripathi &amp; Joshi, 2017).The environmental implications of OP contamination extend to ecosystem health. OPs disrupt predator-prey dynamics, reduce fish population resilience, and can induce shifts in community structure by selectively affecting sensitive species. Furthermore, compromised fish health due to liver damage, oxidative stress, and metabolic dysfunction increases susceptibility to secondary infections and environmental stressors, further threatening population stability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2017).From an aquaculture management perspective, monitoring liver biomarkers, enzyme activities, and oxidative stress parameters in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provides an early warning system for pesticide contamination. Preventive strategies include limiting pesticide runoff into aquaculture </w:t>
      </w:r>
      <w:r w:rsidRPr="00B020E6">
        <w:rPr>
          <w:rFonts w:ascii="Times New Roman" w:eastAsia="Times New Roman" w:hAnsi="Times New Roman" w:cs="Times New Roman"/>
          <w:sz w:val="24"/>
          <w:szCs w:val="24"/>
        </w:rPr>
        <w:lastRenderedPageBreak/>
        <w:t xml:space="preserve">ponds, implementing buffer zones around cultivation areas, and incorporating antioxidant-rich feed supplements to mitigate oxidative stress in fish. Additionally, promoting integrated pest management (IPM) practices in surrounding agricultural regions can substantially reduce OP input into freshwater systems, benefiting both fish health and ecosystem integrity (Kumar &amp; Singh, 2019).Overall, organophosphate contamination poses a multidimensional threat to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affecting individual health, aquaculture productivity, food safety, and ecological balance. Addressing these challenges requires a combination of environmental monitoring, aquaculture management interventions, and sustainable agricultural practices to minimize pesticide exposure and safeguard freshwater fish populations.</w:t>
      </w:r>
    </w:p>
    <w:p w:rsidR="00102506" w:rsidRPr="00B020E6" w:rsidRDefault="00102506" w:rsidP="00406076">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Mitigation Strategies and Future Directions</w:t>
      </w:r>
    </w:p>
    <w:p w:rsidR="008C7D86" w:rsidRDefault="008C7D86" w:rsidP="004060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Agrochemical mixtures </w:t>
      </w:r>
      <w:r w:rsidRPr="008C7D86">
        <w:rPr>
          <w:rFonts w:ascii="Times New Roman" w:eastAsia="Times New Roman" w:hAnsi="Times New Roman" w:cs="Times New Roman"/>
          <w:sz w:val="24"/>
          <w:szCs w:val="24"/>
        </w:rPr>
        <w:t>including OP pesticid</w:t>
      </w:r>
      <w:r>
        <w:rPr>
          <w:rFonts w:ascii="Times New Roman" w:eastAsia="Times New Roman" w:hAnsi="Times New Roman" w:cs="Times New Roman"/>
          <w:sz w:val="24"/>
          <w:szCs w:val="24"/>
        </w:rPr>
        <w:t xml:space="preserve">es, herbicides, and fertilizers </w:t>
      </w:r>
      <w:r w:rsidRPr="008C7D86">
        <w:rPr>
          <w:rFonts w:ascii="Times New Roman" w:eastAsia="Times New Roman" w:hAnsi="Times New Roman" w:cs="Times New Roman"/>
          <w:sz w:val="24"/>
          <w:szCs w:val="24"/>
        </w:rPr>
        <w:t xml:space="preserve">produce combined toxic effects that amplify oxidative stress, endocrine disruption, and immunosuppression in freshwater fish. Contemporary studies indicate that agrochemical runoff from agricultural landscapes increases pesticide residues in aquatic systems, resulting in compromised growth, physiology, and survival in exposed species (Akter </w:t>
      </w:r>
      <w:r w:rsidRPr="008C7D86">
        <w:rPr>
          <w:rFonts w:ascii="Times New Roman" w:eastAsia="Times New Roman" w:hAnsi="Times New Roman" w:cs="Times New Roman"/>
          <w:i/>
          <w:iCs/>
          <w:sz w:val="24"/>
          <w:szCs w:val="24"/>
        </w:rPr>
        <w:t>et al.,</w:t>
      </w:r>
      <w:r w:rsidRPr="008C7D86">
        <w:rPr>
          <w:rFonts w:ascii="Times New Roman" w:eastAsia="Times New Roman" w:hAnsi="Times New Roman" w:cs="Times New Roman"/>
          <w:sz w:val="24"/>
          <w:szCs w:val="24"/>
        </w:rPr>
        <w:t xml:space="preserve"> 2020; Hussain </w:t>
      </w:r>
      <w:r w:rsidRPr="008C7D86">
        <w:rPr>
          <w:rFonts w:ascii="Times New Roman" w:eastAsia="Times New Roman" w:hAnsi="Times New Roman" w:cs="Times New Roman"/>
          <w:i/>
          <w:iCs/>
          <w:sz w:val="24"/>
          <w:szCs w:val="24"/>
        </w:rPr>
        <w:t>et al</w:t>
      </w:r>
      <w:r w:rsidRPr="008C7D86">
        <w:rPr>
          <w:rFonts w:ascii="Times New Roman" w:eastAsia="Times New Roman" w:hAnsi="Times New Roman" w:cs="Times New Roman"/>
          <w:sz w:val="24"/>
          <w:szCs w:val="24"/>
        </w:rPr>
        <w:t xml:space="preserve">., 2022). To counter these impacts, recent research highlights the importance of watershed-scale interventions such as riparian buffers, constructed wetlands, and controlled drainage systems to reduce agrochemical influx (Singh </w:t>
      </w:r>
      <w:r w:rsidRPr="008C7D86">
        <w:rPr>
          <w:rFonts w:ascii="Times New Roman" w:eastAsia="Times New Roman" w:hAnsi="Times New Roman" w:cs="Times New Roman"/>
          <w:i/>
          <w:iCs/>
          <w:sz w:val="24"/>
          <w:szCs w:val="24"/>
        </w:rPr>
        <w:t>et al.,</w:t>
      </w:r>
      <w:r w:rsidRPr="008C7D86">
        <w:rPr>
          <w:rFonts w:ascii="Times New Roman" w:eastAsia="Times New Roman" w:hAnsi="Times New Roman" w:cs="Times New Roman"/>
          <w:sz w:val="24"/>
          <w:szCs w:val="24"/>
        </w:rPr>
        <w:t xml:space="preserve"> 2022). At the aquaculture level, phytoremediation, microbial degradation, and dietary antioxidant supplementation have demonstrated promise in mitigating OP-induced toxicity and enhancing fish resilience (Wang </w:t>
      </w:r>
      <w:r w:rsidRPr="008C7D86">
        <w:rPr>
          <w:rFonts w:ascii="Times New Roman" w:eastAsia="Times New Roman" w:hAnsi="Times New Roman" w:cs="Times New Roman"/>
          <w:i/>
          <w:iCs/>
          <w:sz w:val="24"/>
          <w:szCs w:val="24"/>
        </w:rPr>
        <w:t>et al</w:t>
      </w:r>
      <w:r w:rsidRPr="008C7D86">
        <w:rPr>
          <w:rFonts w:ascii="Times New Roman" w:eastAsia="Times New Roman" w:hAnsi="Times New Roman" w:cs="Times New Roman"/>
          <w:sz w:val="24"/>
          <w:szCs w:val="24"/>
        </w:rPr>
        <w:t>., 2024). These integrative strategies are essential for reducing agrochemical burdens and maintaining ecological integrity in freshwater environments.</w:t>
      </w:r>
    </w:p>
    <w:p w:rsidR="004D64DA" w:rsidRDefault="004D64DA" w:rsidP="00406076">
      <w:pPr>
        <w:spacing w:after="0" w:line="240" w:lineRule="auto"/>
        <w:jc w:val="both"/>
        <w:rPr>
          <w:rFonts w:ascii="Times New Roman" w:eastAsia="Times New Roman" w:hAnsi="Times New Roman" w:cs="Times New Roman"/>
          <w:sz w:val="24"/>
          <w:szCs w:val="24"/>
        </w:rPr>
      </w:pPr>
      <w:r w:rsidRPr="004D64DA">
        <w:rPr>
          <w:rFonts w:ascii="Times New Roman" w:eastAsia="Times New Roman" w:hAnsi="Times New Roman" w:cs="Times New Roman"/>
          <w:sz w:val="24"/>
          <w:szCs w:val="24"/>
        </w:rPr>
        <w:t>Recent advancements in aquaculture nutrition have highlighted the potential of thiol-rich antioxidants as dietary supplements to mitigate OP-induced oxidative and nitrosative stress. Compounds such as unithiol (DMPS), N-acetylcysteine (NAC), reduced glutathione (GSH), and selenium-containing molecules enhance the antioxidant capacity of Labeo rohita by replenishing intracellular thiol pools, improving detoxification pathways, and supporting redox balance. NAC and GSH serve as direct precursors for glutathione synthesis, while selenium facilitates the activity of glutathione peroxidase and thioredoxin reductase. Supplementation with these molecules has been shown to decrease lipid peroxidation, stabilize hepatocellular membranes, and restore liver enzyme profiles in OP-exposed fish (Verma &amp; Sharma, 2020). Given their safety and efficacy, thiol-based feed additives represent a promising strategy for improving resilience in aquaculture species inhabiting pesticide-contaminated environments.</w:t>
      </w:r>
    </w:p>
    <w:p w:rsidR="00102506" w:rsidRPr="00B020E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Given the widespread use of organophosphate (OP) pesticides and their demonstrated hepatotoxic effects on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implementing effective mitigation strategies is essential to protect fish health, aquaculture productivity, and ecosystem integrity. One promising approach involves the use of antioxidants and dietary supplements in aquaculture. Nutrients such as vitamin C, vitamin E, selenium, and plant-derived polyphenols enhance the antioxidant defense system of fish, neutralizing reactive oxygen species generated by OP exposure and reducing lipid peroxidation, protein oxidation, and DNA damage. Studies have shown that antioxidant supplementation can restore liver enzyme activities, improve metabolic balance, and reduce histopathological lesions in OP-exposed fish, highlighting its potential as a practical intervention in aquaculture operations (Kumar &amp; Singh, 2019; Ullah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2018).Bioremediation and environmental control strategies also play a critical role in reducing OP contamination in freshwater ecosystems. Microorganisms capable of degrading OP compounds, such as certain strains of </w:t>
      </w:r>
      <w:r w:rsidRPr="00B020E6">
        <w:rPr>
          <w:rFonts w:ascii="Times New Roman" w:eastAsia="Times New Roman" w:hAnsi="Times New Roman" w:cs="Times New Roman"/>
          <w:i/>
          <w:iCs/>
          <w:sz w:val="24"/>
          <w:szCs w:val="24"/>
        </w:rPr>
        <w:t>Pseudomonas</w:t>
      </w:r>
      <w:r w:rsidRPr="00B020E6">
        <w:rPr>
          <w:rFonts w:ascii="Times New Roman" w:eastAsia="Times New Roman" w:hAnsi="Times New Roman" w:cs="Times New Roman"/>
          <w:sz w:val="24"/>
          <w:szCs w:val="24"/>
        </w:rPr>
        <w:t xml:space="preserve">, </w:t>
      </w:r>
      <w:r w:rsidRPr="00B020E6">
        <w:rPr>
          <w:rFonts w:ascii="Times New Roman" w:eastAsia="Times New Roman" w:hAnsi="Times New Roman" w:cs="Times New Roman"/>
          <w:i/>
          <w:iCs/>
          <w:sz w:val="24"/>
          <w:szCs w:val="24"/>
        </w:rPr>
        <w:t>Bacillus</w:t>
      </w:r>
      <w:r w:rsidRPr="00B020E6">
        <w:rPr>
          <w:rFonts w:ascii="Times New Roman" w:eastAsia="Times New Roman" w:hAnsi="Times New Roman" w:cs="Times New Roman"/>
          <w:sz w:val="24"/>
          <w:szCs w:val="24"/>
        </w:rPr>
        <w:t xml:space="preserve">, and </w:t>
      </w:r>
      <w:r w:rsidRPr="00B020E6">
        <w:rPr>
          <w:rFonts w:ascii="Times New Roman" w:eastAsia="Times New Roman" w:hAnsi="Times New Roman" w:cs="Times New Roman"/>
          <w:i/>
          <w:iCs/>
          <w:sz w:val="24"/>
          <w:szCs w:val="24"/>
        </w:rPr>
        <w:t>Trichoderma</w:t>
      </w:r>
      <w:r w:rsidRPr="00B020E6">
        <w:rPr>
          <w:rFonts w:ascii="Times New Roman" w:eastAsia="Times New Roman" w:hAnsi="Times New Roman" w:cs="Times New Roman"/>
          <w:sz w:val="24"/>
          <w:szCs w:val="24"/>
        </w:rPr>
        <w:t xml:space="preserve">, have been successfully applied to remove </w:t>
      </w:r>
      <w:r w:rsidRPr="00B020E6">
        <w:rPr>
          <w:rFonts w:ascii="Times New Roman" w:eastAsia="Times New Roman" w:hAnsi="Times New Roman" w:cs="Times New Roman"/>
          <w:sz w:val="24"/>
          <w:szCs w:val="24"/>
        </w:rPr>
        <w:lastRenderedPageBreak/>
        <w:t xml:space="preserve">pesticides from water and sediment, thereby limiting bioaccumulation in aquatic organisms. Phytoremediation using aquatic plants like </w:t>
      </w:r>
      <w:r w:rsidRPr="00B020E6">
        <w:rPr>
          <w:rFonts w:ascii="Times New Roman" w:eastAsia="Times New Roman" w:hAnsi="Times New Roman" w:cs="Times New Roman"/>
          <w:i/>
          <w:iCs/>
          <w:sz w:val="24"/>
          <w:szCs w:val="24"/>
        </w:rPr>
        <w:t>Eichhornia crassipes</w:t>
      </w:r>
      <w:r w:rsidRPr="00B020E6">
        <w:rPr>
          <w:rFonts w:ascii="Times New Roman" w:eastAsia="Times New Roman" w:hAnsi="Times New Roman" w:cs="Times New Roman"/>
          <w:sz w:val="24"/>
          <w:szCs w:val="24"/>
        </w:rPr>
        <w:t xml:space="preserve"> and </w:t>
      </w:r>
      <w:r w:rsidRPr="00B020E6">
        <w:rPr>
          <w:rFonts w:ascii="Times New Roman" w:eastAsia="Times New Roman" w:hAnsi="Times New Roman" w:cs="Times New Roman"/>
          <w:i/>
          <w:iCs/>
          <w:sz w:val="24"/>
          <w:szCs w:val="24"/>
        </w:rPr>
        <w:t>Lemna minor</w:t>
      </w:r>
      <w:r w:rsidRPr="00B020E6">
        <w:rPr>
          <w:rFonts w:ascii="Times New Roman" w:eastAsia="Times New Roman" w:hAnsi="Times New Roman" w:cs="Times New Roman"/>
          <w:sz w:val="24"/>
          <w:szCs w:val="24"/>
        </w:rPr>
        <w:t xml:space="preserve"> has been shown to absorb and metabolize OP residues, providing a sustainable and cost-effective method to mitigate contamination in fish ponds and natural water bodies (Reza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2017).Monitoring programs and early warning systems are vital for detecting OP contamination and assessing fish health in aquaculture and natural habitats. Regular biochemical screening, histopathological examinations, and molecular biomarker assessments, including liver enzyme activities, oxidative stress parameters, and stress-responsive gene expression, allow for early detection of pesticide exposure before severe toxicity occurs. Implementing such monitoring programs in conjunction with water quality assessments enables timely interventions, including changes in feed, water treatment, or habitat management (Tripathi &amp; Joshi, 2017).From a broader perspective, promoting sustainable agricultural practices such as integrated pest management (IPM), judicious pesticide application, and the use of less toxic alternatives can significantly reduce OP runoff into freshwater systems. IPM emphasizes biological control agents, crop rotation, and targeted pesticide use, reducing environmental contamination while maintaining agricultural productivity. Additionally, raising awareness among farmers about the ecological and economic consequences of indiscriminate pesticide use can further mitigate OP exposure in aquaculture regions (Cuevas </w:t>
      </w:r>
      <w:r w:rsidRPr="00B020E6">
        <w:rPr>
          <w:rFonts w:ascii="Times New Roman" w:eastAsia="Times New Roman" w:hAnsi="Times New Roman" w:cs="Times New Roman"/>
          <w:i/>
          <w:iCs/>
          <w:sz w:val="24"/>
          <w:szCs w:val="24"/>
        </w:rPr>
        <w:t>et al</w:t>
      </w:r>
      <w:r w:rsidRPr="00B020E6">
        <w:rPr>
          <w:rFonts w:ascii="Times New Roman" w:eastAsia="Times New Roman" w:hAnsi="Times New Roman" w:cs="Times New Roman"/>
          <w:sz w:val="24"/>
          <w:szCs w:val="24"/>
        </w:rPr>
        <w:t xml:space="preserve">., 2023).Future research directions should focus on long-term, low-dose exposure studies to assess sublethal and chronic effects of OPs on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at biochemical, histological, and molecular levels. The development of novel biomarkers for early detection of liver toxicity, coupled with high-throughput omics approaches such as transcriptomics, proteomics, and metabolomics, can provide a comprehensive understanding of OP-induced hepatotoxicity. Moreover, exploring genetic variability in detoxification capacity among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populations may inform selective breeding programs to enhance resilience against environmental pollutants. Such integrative approaches are essential for safeguarding fish health, ensuring aquaculture sustainability, and minimizing the ecological impact of organophosphate contamination.</w:t>
      </w:r>
    </w:p>
    <w:p w:rsidR="00102506" w:rsidRPr="00B020E6" w:rsidRDefault="00102506" w:rsidP="00406076">
      <w:pPr>
        <w:spacing w:after="0" w:line="240" w:lineRule="auto"/>
        <w:outlineLvl w:val="1"/>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Conclusion</w:t>
      </w:r>
    </w:p>
    <w:p w:rsidR="00102506" w:rsidRDefault="00102506" w:rsidP="00406076">
      <w:pPr>
        <w:spacing w:after="0" w:line="240" w:lineRule="auto"/>
        <w:jc w:val="both"/>
        <w:rPr>
          <w:rFonts w:ascii="Times New Roman" w:eastAsia="Times New Roman" w:hAnsi="Times New Roman" w:cs="Times New Roman"/>
          <w:sz w:val="24"/>
          <w:szCs w:val="24"/>
        </w:rPr>
      </w:pPr>
      <w:r w:rsidRPr="00B020E6">
        <w:rPr>
          <w:rFonts w:ascii="Times New Roman" w:eastAsia="Times New Roman" w:hAnsi="Times New Roman" w:cs="Times New Roman"/>
          <w:sz w:val="24"/>
          <w:szCs w:val="24"/>
        </w:rPr>
        <w:t xml:space="preserve">Organophosphate (OP) pesticides exert profound toxicological effects on the liver physiology of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encompassing biochemical, histopathological, and molecular alterations. Biochemically, OP exposure disrupts liver enzyme activities, antioxidant defense mechanisms, and metabolic pathways, leading to oxidative stress, protein and lipid damage, and energy imbalance. Histopathological examinations reveal cellular degeneration, hepatocyte vacuolation, necrosis, sinusoidal congestion, and inflammatory infiltration, which corroborate biochemical findings and indicate structural impairment of hepatic tissues. At the molecular level, OPs activate oxidative stress pathways, modulate gene expression, induce apoptosis, and trigger inflammatory responses, collectively contributing to liver dysfunction and reduced physiological resilience.These multifaceted impacts have significant environmental and aquaculture implications. Bioaccumulation of OPs in fish tissues poses food safety risks for humans and higher trophic organisms, while chronic exposure compromises growth, reproduction, and survival of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threatening aquaculture productivity and ecosystem stability. Mitigation strategies such as antioxidant supplementation, bioremediation, environmental monitoring, and promotion of integrated pest management (IPM) are essential to minimize OP toxicity and safeguard freshwater fish populations. Furthermore, sustainable agricultural practices and careful pesticide management can substantially reduce environmental contamination and associated ecological risks.Future research should prioritize long-term, low-dose exposure studies to </w:t>
      </w:r>
      <w:r w:rsidRPr="00B020E6">
        <w:rPr>
          <w:rFonts w:ascii="Times New Roman" w:eastAsia="Times New Roman" w:hAnsi="Times New Roman" w:cs="Times New Roman"/>
          <w:sz w:val="24"/>
          <w:szCs w:val="24"/>
        </w:rPr>
        <w:lastRenderedPageBreak/>
        <w:t xml:space="preserve">understand sublethal effects, along with the development of sensitive biomarkers for early detection of liver toxicity. Advanced omics approaches, including transcriptomics, proteomics, and metabolomics, can provide a deeper mechanistic insight into OP-induced hepatotoxicity. Additionally, exploring genetic variability in detoxification pathways among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populations may inform breeding programs aimed at enhancing resilience against environmental pollutants.In summary, organophosphate contamination represents a serious threat to the health of </w:t>
      </w:r>
      <w:r w:rsidRPr="00B020E6">
        <w:rPr>
          <w:rFonts w:ascii="Times New Roman" w:eastAsia="Times New Roman" w:hAnsi="Times New Roman" w:cs="Times New Roman"/>
          <w:i/>
          <w:iCs/>
          <w:sz w:val="24"/>
          <w:szCs w:val="24"/>
        </w:rPr>
        <w:t>Labeorohita</w:t>
      </w:r>
      <w:r w:rsidRPr="00B020E6">
        <w:rPr>
          <w:rFonts w:ascii="Times New Roman" w:eastAsia="Times New Roman" w:hAnsi="Times New Roman" w:cs="Times New Roman"/>
          <w:sz w:val="24"/>
          <w:szCs w:val="24"/>
        </w:rPr>
        <w:t xml:space="preserve"> and freshwater ecosystems. A multidisciplinary approach combining toxicological studies, environmental monitoring, and sustainable management practices is essential to mitigate OP-induced damage, ensure aquaculture sustainability, and protect human and ecological health.</w:t>
      </w:r>
    </w:p>
    <w:p w:rsidR="000B020A" w:rsidRDefault="000B020A" w:rsidP="00406076">
      <w:pPr>
        <w:spacing w:after="0" w:line="240" w:lineRule="auto"/>
        <w:jc w:val="both"/>
        <w:rPr>
          <w:rFonts w:ascii="Times New Roman" w:eastAsia="Times New Roman" w:hAnsi="Times New Roman" w:cs="Times New Roman"/>
          <w:sz w:val="24"/>
          <w:szCs w:val="24"/>
        </w:rPr>
      </w:pPr>
    </w:p>
    <w:p w:rsidR="000B020A" w:rsidRDefault="000B020A" w:rsidP="00406076">
      <w:pPr>
        <w:spacing w:after="0" w:line="240" w:lineRule="auto"/>
        <w:jc w:val="both"/>
        <w:rPr>
          <w:rFonts w:ascii="Times New Roman" w:eastAsia="Times New Roman" w:hAnsi="Times New Roman" w:cs="Times New Roman"/>
          <w:sz w:val="24"/>
          <w:szCs w:val="24"/>
        </w:rPr>
      </w:pPr>
    </w:p>
    <w:p w:rsidR="000B020A" w:rsidRPr="00046C34" w:rsidRDefault="000B020A" w:rsidP="000B020A">
      <w:pPr>
        <w:rPr>
          <w:rFonts w:ascii="Calibri" w:eastAsia="Calibri" w:hAnsi="Calibri" w:cs="Times New Roman"/>
          <w:kern w:val="2"/>
          <w:highlight w:val="yellow"/>
        </w:rPr>
      </w:pPr>
      <w:bookmarkStart w:id="0" w:name="_Hlk191544944"/>
      <w:r w:rsidRPr="00046C34">
        <w:rPr>
          <w:rFonts w:ascii="Calibri" w:eastAsia="Calibri" w:hAnsi="Calibri" w:cs="Times New Roman"/>
          <w:kern w:val="2"/>
          <w:highlight w:val="yellow"/>
        </w:rPr>
        <w:t>Disclaimer (Artificial intelligence)</w:t>
      </w:r>
    </w:p>
    <w:p w:rsidR="000B020A" w:rsidRPr="00046C34" w:rsidRDefault="000B020A" w:rsidP="000B020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1: </w:t>
      </w:r>
    </w:p>
    <w:p w:rsidR="000B020A" w:rsidRPr="00046C34" w:rsidRDefault="000B020A" w:rsidP="000B020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rsidR="000B020A" w:rsidRPr="00046C34" w:rsidRDefault="000B020A" w:rsidP="000B020A">
      <w:pPr>
        <w:rPr>
          <w:rFonts w:ascii="Calibri" w:eastAsia="Calibri" w:hAnsi="Calibri" w:cs="Times New Roman"/>
          <w:kern w:val="2"/>
          <w:highlight w:val="yellow"/>
        </w:rPr>
      </w:pPr>
      <w:r w:rsidRPr="00046C34">
        <w:rPr>
          <w:rFonts w:ascii="Calibri" w:eastAsia="Calibri" w:hAnsi="Calibri" w:cs="Times New Roman"/>
          <w:kern w:val="2"/>
          <w:highlight w:val="yellow"/>
        </w:rPr>
        <w:t xml:space="preserve">Option 2: </w:t>
      </w:r>
    </w:p>
    <w:p w:rsidR="000B020A" w:rsidRPr="00046C34" w:rsidRDefault="000B020A" w:rsidP="000B020A">
      <w:pPr>
        <w:rPr>
          <w:rFonts w:ascii="Calibri" w:eastAsia="Calibri" w:hAnsi="Calibri" w:cs="Times New Roman"/>
          <w:kern w:val="2"/>
          <w:highlight w:val="yellow"/>
        </w:rPr>
      </w:pPr>
      <w:r w:rsidRPr="00046C34">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B020A" w:rsidRPr="00046C34" w:rsidRDefault="000B020A" w:rsidP="000B020A">
      <w:pPr>
        <w:rPr>
          <w:rFonts w:ascii="Calibri" w:eastAsia="Calibri" w:hAnsi="Calibri" w:cs="Times New Roman"/>
          <w:kern w:val="2"/>
          <w:highlight w:val="yellow"/>
        </w:rPr>
      </w:pPr>
      <w:r w:rsidRPr="00046C34">
        <w:rPr>
          <w:rFonts w:ascii="Calibri" w:eastAsia="Calibri" w:hAnsi="Calibri" w:cs="Times New Roman"/>
          <w:kern w:val="2"/>
          <w:highlight w:val="yellow"/>
        </w:rPr>
        <w:t>Details of the AI usage are given below:</w:t>
      </w:r>
    </w:p>
    <w:p w:rsidR="000B020A" w:rsidRPr="00046C34" w:rsidRDefault="000B020A" w:rsidP="000B020A">
      <w:pPr>
        <w:rPr>
          <w:rFonts w:ascii="Calibri" w:eastAsia="Calibri" w:hAnsi="Calibri" w:cs="Times New Roman"/>
          <w:kern w:val="2"/>
          <w:highlight w:val="yellow"/>
        </w:rPr>
      </w:pPr>
      <w:r w:rsidRPr="00046C34">
        <w:rPr>
          <w:rFonts w:ascii="Calibri" w:eastAsia="Calibri" w:hAnsi="Calibri" w:cs="Times New Roman"/>
          <w:kern w:val="2"/>
          <w:highlight w:val="yellow"/>
        </w:rPr>
        <w:t>1.</w:t>
      </w:r>
    </w:p>
    <w:p w:rsidR="000B020A" w:rsidRPr="00046C34" w:rsidRDefault="000B020A" w:rsidP="000B020A">
      <w:pPr>
        <w:rPr>
          <w:rFonts w:ascii="Calibri" w:eastAsia="Calibri" w:hAnsi="Calibri" w:cs="Times New Roman"/>
          <w:kern w:val="2"/>
          <w:highlight w:val="yellow"/>
        </w:rPr>
      </w:pPr>
      <w:r w:rsidRPr="00046C34">
        <w:rPr>
          <w:rFonts w:ascii="Calibri" w:eastAsia="Calibri" w:hAnsi="Calibri" w:cs="Times New Roman"/>
          <w:kern w:val="2"/>
          <w:highlight w:val="yellow"/>
        </w:rPr>
        <w:t>2.</w:t>
      </w:r>
    </w:p>
    <w:p w:rsidR="000B020A" w:rsidRPr="00046C34" w:rsidRDefault="000B020A" w:rsidP="000B020A">
      <w:pPr>
        <w:rPr>
          <w:rFonts w:ascii="Calibri" w:eastAsia="Calibri" w:hAnsi="Calibri" w:cs="Times New Roman"/>
          <w:kern w:val="2"/>
        </w:rPr>
      </w:pPr>
      <w:r w:rsidRPr="00046C34">
        <w:rPr>
          <w:rFonts w:ascii="Calibri" w:eastAsia="Calibri" w:hAnsi="Calibri" w:cs="Times New Roman"/>
          <w:kern w:val="2"/>
          <w:highlight w:val="yellow"/>
        </w:rPr>
        <w:t>3.</w:t>
      </w:r>
    </w:p>
    <w:p w:rsidR="000B020A" w:rsidRPr="00B020E6" w:rsidRDefault="000B020A" w:rsidP="00406076">
      <w:pPr>
        <w:spacing w:after="0" w:line="240" w:lineRule="auto"/>
        <w:jc w:val="both"/>
        <w:rPr>
          <w:rFonts w:ascii="Times New Roman" w:eastAsia="Times New Roman" w:hAnsi="Times New Roman" w:cs="Times New Roman"/>
          <w:sz w:val="24"/>
          <w:szCs w:val="24"/>
        </w:rPr>
      </w:pPr>
      <w:bookmarkStart w:id="1" w:name="_GoBack"/>
      <w:bookmarkEnd w:id="0"/>
      <w:bookmarkEnd w:id="1"/>
    </w:p>
    <w:p w:rsidR="00406076" w:rsidRPr="00B020E6" w:rsidRDefault="00406076" w:rsidP="00406076">
      <w:pPr>
        <w:spacing w:after="0" w:line="240" w:lineRule="auto"/>
        <w:jc w:val="both"/>
        <w:rPr>
          <w:rFonts w:ascii="Times New Roman" w:eastAsia="Times New Roman" w:hAnsi="Times New Roman" w:cs="Times New Roman"/>
          <w:b/>
          <w:bCs/>
          <w:sz w:val="28"/>
          <w:szCs w:val="28"/>
        </w:rPr>
      </w:pPr>
      <w:r w:rsidRPr="00B020E6">
        <w:rPr>
          <w:rFonts w:ascii="Times New Roman" w:eastAsia="Times New Roman" w:hAnsi="Times New Roman" w:cs="Times New Roman"/>
          <w:b/>
          <w:bCs/>
          <w:sz w:val="28"/>
          <w:szCs w:val="28"/>
        </w:rPr>
        <w:t>Reference:</w:t>
      </w:r>
    </w:p>
    <w:p w:rsidR="009322B7" w:rsidRPr="009322B7" w:rsidRDefault="009322B7" w:rsidP="003F58CA">
      <w:pPr>
        <w:pStyle w:val="NormalWeb"/>
        <w:numPr>
          <w:ilvl w:val="0"/>
          <w:numId w:val="3"/>
        </w:numPr>
      </w:pPr>
      <w:r w:rsidRPr="009322B7">
        <w:t xml:space="preserve">Ahmad, I., Khan, S., &amp; Rahman, M. (2021). Molecular and histopathological alterations induced by organophosphate pesticides in freshwater fish liver. </w:t>
      </w:r>
      <w:r w:rsidRPr="009322B7">
        <w:rPr>
          <w:rStyle w:val="Emphasis"/>
        </w:rPr>
        <w:t>Aquatic Toxicology, 235</w:t>
      </w:r>
      <w:r w:rsidRPr="009322B7">
        <w:t xml:space="preserve">, 105812. </w:t>
      </w:r>
      <w:hyperlink r:id="rId8" w:tgtFrame="_new" w:history="1">
        <w:r w:rsidRPr="009322B7">
          <w:rPr>
            <w:rStyle w:val="Hyperlink"/>
            <w:color w:val="auto"/>
            <w:u w:val="none"/>
          </w:rPr>
          <w:t>https://doi.org/10.1016/j.aquatox.2021.105812</w:t>
        </w:r>
      </w:hyperlink>
    </w:p>
    <w:p w:rsidR="009322B7" w:rsidRPr="009322B7" w:rsidRDefault="009322B7" w:rsidP="003F58CA">
      <w:pPr>
        <w:pStyle w:val="NormalWeb"/>
        <w:numPr>
          <w:ilvl w:val="0"/>
          <w:numId w:val="3"/>
        </w:numPr>
      </w:pPr>
      <w:r w:rsidRPr="009322B7">
        <w:t xml:space="preserve">Akter, R., Rahman, M. M., &amp; Rahman, M. A. (2020). Ecotoxicological impacts of organophosphate pesticides on freshwater fish: Integrated biochemical and histological assessments. </w:t>
      </w:r>
      <w:r w:rsidRPr="009322B7">
        <w:rPr>
          <w:rStyle w:val="Emphasis"/>
        </w:rPr>
        <w:t>Basic and Applied Zoology, 81</w:t>
      </w:r>
      <w:r w:rsidRPr="009322B7">
        <w:t xml:space="preserve">, 35–47. </w:t>
      </w:r>
      <w:hyperlink r:id="rId9" w:tgtFrame="_new" w:history="1">
        <w:r w:rsidRPr="009322B7">
          <w:rPr>
            <w:rStyle w:val="Hyperlink"/>
            <w:color w:val="auto"/>
            <w:u w:val="none"/>
          </w:rPr>
          <w:t>https://doi.org/10.1186/s41936-020-00175-8</w:t>
        </w:r>
      </w:hyperlink>
    </w:p>
    <w:p w:rsidR="009322B7" w:rsidRPr="009322B7" w:rsidRDefault="009322B7" w:rsidP="003F58CA">
      <w:pPr>
        <w:pStyle w:val="NormalWeb"/>
        <w:numPr>
          <w:ilvl w:val="0"/>
          <w:numId w:val="3"/>
        </w:numPr>
      </w:pPr>
      <w:r w:rsidRPr="009322B7">
        <w:lastRenderedPageBreak/>
        <w:t xml:space="preserve">Bala, S., Singh, J., &amp; Kaushik, A. (2022). Bioremediation strategies for emerging contaminants in aquatic systems: A review. </w:t>
      </w:r>
      <w:r w:rsidRPr="009322B7">
        <w:rPr>
          <w:rStyle w:val="Emphasis"/>
        </w:rPr>
        <w:t>Environmental Technology &amp; Innovation, 26</w:t>
      </w:r>
      <w:r w:rsidRPr="009322B7">
        <w:t xml:space="preserve">, 102348. </w:t>
      </w:r>
      <w:hyperlink r:id="rId10" w:tgtFrame="_new" w:history="1">
        <w:r w:rsidRPr="009322B7">
          <w:rPr>
            <w:rStyle w:val="Hyperlink"/>
            <w:color w:val="auto"/>
            <w:u w:val="none"/>
          </w:rPr>
          <w:t>https://doi.org/10.1016/j.eti.2021.102348</w:t>
        </w:r>
      </w:hyperlink>
    </w:p>
    <w:p w:rsidR="009322B7" w:rsidRPr="009322B7" w:rsidRDefault="009322B7" w:rsidP="003F58CA">
      <w:pPr>
        <w:pStyle w:val="NormalWeb"/>
        <w:numPr>
          <w:ilvl w:val="0"/>
          <w:numId w:val="3"/>
        </w:numPr>
      </w:pPr>
      <w:r w:rsidRPr="009322B7">
        <w:t xml:space="preserve">Cuevas, R., López, R., Martínez, S., &amp; González, A. (2023). Assessing organophosphate insecticide retention in muscle tissues of freshwater fish. </w:t>
      </w:r>
      <w:r w:rsidRPr="009322B7">
        <w:rPr>
          <w:rStyle w:val="Emphasis"/>
        </w:rPr>
        <w:t>Environmental Toxicology and Chemistry, 42</w:t>
      </w:r>
      <w:r w:rsidRPr="009322B7">
        <w:t xml:space="preserve">(4), 1123–1132. </w:t>
      </w:r>
      <w:hyperlink r:id="rId11" w:tgtFrame="_new" w:history="1">
        <w:r w:rsidRPr="009322B7">
          <w:rPr>
            <w:rStyle w:val="Hyperlink"/>
            <w:color w:val="auto"/>
            <w:u w:val="none"/>
          </w:rPr>
          <w:t>https://doi.org/10.1002/etc.5367</w:t>
        </w:r>
      </w:hyperlink>
    </w:p>
    <w:p w:rsidR="009322B7" w:rsidRPr="009322B7" w:rsidRDefault="009322B7" w:rsidP="003F58CA">
      <w:pPr>
        <w:pStyle w:val="NormalWeb"/>
        <w:numPr>
          <w:ilvl w:val="0"/>
          <w:numId w:val="3"/>
        </w:numPr>
      </w:pPr>
      <w:r w:rsidRPr="009322B7">
        <w:t>Das, P., &amp; Mitra, S. (2018). Biochemical and oxidative stress responses of rohu (</w:t>
      </w:r>
      <w:r w:rsidRPr="009322B7">
        <w:rPr>
          <w:rStyle w:val="Emphasis"/>
        </w:rPr>
        <w:t>Labeo rohita</w:t>
      </w:r>
      <w:r w:rsidRPr="009322B7">
        <w:t xml:space="preserve">) exposed to sublethal concentrations of monocrotophos. </w:t>
      </w:r>
      <w:r w:rsidRPr="009322B7">
        <w:rPr>
          <w:rStyle w:val="Emphasis"/>
        </w:rPr>
        <w:t>Fish &amp; Shellfish Immunology, 75</w:t>
      </w:r>
      <w:r w:rsidRPr="009322B7">
        <w:t xml:space="preserve">, 1–10. </w:t>
      </w:r>
      <w:hyperlink r:id="rId12" w:tgtFrame="_new" w:history="1">
        <w:r w:rsidRPr="009322B7">
          <w:rPr>
            <w:rStyle w:val="Hyperlink"/>
            <w:color w:val="auto"/>
            <w:u w:val="none"/>
          </w:rPr>
          <w:t>https://doi.org/10.1016/j.fsi.2018.01.031</w:t>
        </w:r>
      </w:hyperlink>
    </w:p>
    <w:p w:rsidR="009322B7" w:rsidRPr="009322B7" w:rsidRDefault="009322B7" w:rsidP="003F58CA">
      <w:pPr>
        <w:pStyle w:val="NormalWeb"/>
        <w:numPr>
          <w:ilvl w:val="0"/>
          <w:numId w:val="3"/>
        </w:numPr>
      </w:pPr>
      <w:r w:rsidRPr="009322B7">
        <w:t xml:space="preserve">Hussain, S., Shah, S. Z., &amp; Khan, A. (2022). Microbial degradation pathways of chlorpyrifos in aquatic environments. </w:t>
      </w:r>
      <w:r w:rsidRPr="009322B7">
        <w:rPr>
          <w:rStyle w:val="Emphasis"/>
        </w:rPr>
        <w:t>Environmental Science and Pollution Research, 29</w:t>
      </w:r>
      <w:r w:rsidRPr="009322B7">
        <w:t xml:space="preserve">(19), 28491–28505. </w:t>
      </w:r>
      <w:hyperlink r:id="rId13" w:tgtFrame="_new" w:history="1">
        <w:r w:rsidRPr="009322B7">
          <w:rPr>
            <w:rStyle w:val="Hyperlink"/>
            <w:color w:val="auto"/>
            <w:u w:val="none"/>
          </w:rPr>
          <w:t>https://doi.org/10.1007/s11356-021-17756-7</w:t>
        </w:r>
      </w:hyperlink>
    </w:p>
    <w:p w:rsidR="009322B7" w:rsidRPr="009322B7" w:rsidRDefault="009322B7" w:rsidP="003F58CA">
      <w:pPr>
        <w:pStyle w:val="NormalWeb"/>
        <w:numPr>
          <w:ilvl w:val="0"/>
          <w:numId w:val="3"/>
        </w:numPr>
      </w:pPr>
      <w:r w:rsidRPr="009322B7">
        <w:t xml:space="preserve">Jabeen, F., &amp; Chaudhry, A. S. (2018). Histopathological and biochemical responses of </w:t>
      </w:r>
      <w:r w:rsidRPr="009322B7">
        <w:rPr>
          <w:rStyle w:val="Emphasis"/>
        </w:rPr>
        <w:t>Labeo rohita</w:t>
      </w:r>
      <w:r w:rsidRPr="009322B7">
        <w:t xml:space="preserve"> exposed to sublethal concentrations of chlorpyrifos. </w:t>
      </w:r>
      <w:r w:rsidRPr="009322B7">
        <w:rPr>
          <w:rStyle w:val="Emphasis"/>
        </w:rPr>
        <w:t>Ecotoxicology, 27</w:t>
      </w:r>
      <w:r w:rsidRPr="009322B7">
        <w:t xml:space="preserve">(7), 819–832. </w:t>
      </w:r>
      <w:hyperlink r:id="rId14" w:tgtFrame="_new" w:history="1">
        <w:r w:rsidRPr="009322B7">
          <w:rPr>
            <w:rStyle w:val="Hyperlink"/>
            <w:color w:val="auto"/>
            <w:u w:val="none"/>
          </w:rPr>
          <w:t>https://doi.org/10.1007/s10646-018-1947-1</w:t>
        </w:r>
      </w:hyperlink>
    </w:p>
    <w:p w:rsidR="009322B7" w:rsidRPr="009322B7" w:rsidRDefault="009322B7" w:rsidP="003F58CA">
      <w:pPr>
        <w:pStyle w:val="NormalWeb"/>
        <w:numPr>
          <w:ilvl w:val="0"/>
          <w:numId w:val="3"/>
        </w:numPr>
      </w:pPr>
      <w:r w:rsidRPr="009322B7">
        <w:t xml:space="preserve">Kilonzi, J. M., Wekesa, M. W., &amp; Kosgei, J. R. (2024). Isolation and characterization of organophosphate-degrading bacterial strains from agricultural soils. </w:t>
      </w:r>
      <w:r w:rsidRPr="009322B7">
        <w:rPr>
          <w:rStyle w:val="Emphasis"/>
        </w:rPr>
        <w:t>Environmental Monitoring and Assessment, 196</w:t>
      </w:r>
      <w:r w:rsidRPr="009322B7">
        <w:t xml:space="preserve">(7), 784. </w:t>
      </w:r>
      <w:hyperlink r:id="rId15" w:tgtFrame="_new" w:history="1">
        <w:r w:rsidRPr="009322B7">
          <w:rPr>
            <w:rStyle w:val="Hyperlink"/>
            <w:color w:val="auto"/>
            <w:u w:val="none"/>
          </w:rPr>
          <w:t>https://doi.org/10.1007/s10661-024-11234-9</w:t>
        </w:r>
      </w:hyperlink>
    </w:p>
    <w:p w:rsidR="009322B7" w:rsidRPr="009322B7" w:rsidRDefault="009322B7" w:rsidP="003F58CA">
      <w:pPr>
        <w:pStyle w:val="NormalWeb"/>
        <w:numPr>
          <w:ilvl w:val="0"/>
          <w:numId w:val="3"/>
        </w:numPr>
      </w:pPr>
      <w:r w:rsidRPr="009322B7">
        <w:t xml:space="preserve">Kumar, A., &amp; Singh, R. (2019). Biochemical responses of </w:t>
      </w:r>
      <w:r w:rsidRPr="009322B7">
        <w:rPr>
          <w:rStyle w:val="Emphasis"/>
        </w:rPr>
        <w:t>Labeo rohita</w:t>
      </w:r>
      <w:r w:rsidRPr="009322B7">
        <w:t xml:space="preserve"> to malathion exposure. </w:t>
      </w:r>
      <w:r w:rsidRPr="009322B7">
        <w:rPr>
          <w:rStyle w:val="Emphasis"/>
        </w:rPr>
        <w:t>Journal of Environmental Science and Health, Part B, 54</w:t>
      </w:r>
      <w:r w:rsidRPr="009322B7">
        <w:t xml:space="preserve">(7), 621–632. </w:t>
      </w:r>
      <w:hyperlink r:id="rId16" w:tgtFrame="_new" w:history="1">
        <w:r w:rsidRPr="009322B7">
          <w:rPr>
            <w:rStyle w:val="Hyperlink"/>
            <w:color w:val="auto"/>
            <w:u w:val="none"/>
          </w:rPr>
          <w:t>https://doi.org/10.1080/03601234.2019.1612420</w:t>
        </w:r>
      </w:hyperlink>
    </w:p>
    <w:p w:rsidR="009322B7" w:rsidRPr="009322B7" w:rsidRDefault="009322B7" w:rsidP="009322B7">
      <w:pPr>
        <w:pStyle w:val="NormalWeb"/>
        <w:numPr>
          <w:ilvl w:val="0"/>
          <w:numId w:val="3"/>
        </w:numPr>
      </w:pPr>
      <w:r w:rsidRPr="009322B7">
        <w:rPr>
          <w:rStyle w:val="Strong"/>
        </w:rPr>
        <w:t>Li, X., Zhou, J., &amp; Zhang, Q. (2021).</w:t>
      </w:r>
      <w:r w:rsidRPr="009322B7">
        <w:t xml:space="preserve"> Epigenetic modifications induced by organophosphate pesticides in fish. </w:t>
      </w:r>
      <w:r w:rsidRPr="009322B7">
        <w:rPr>
          <w:rStyle w:val="Emphasis"/>
        </w:rPr>
        <w:t>Aquatic Toxicology, 232</w:t>
      </w:r>
      <w:r w:rsidRPr="009322B7">
        <w:t>, 105748. https://doi.org/10.1016/j.aquatox.2020.105748</w:t>
      </w:r>
    </w:p>
    <w:p w:rsidR="009322B7" w:rsidRPr="009322B7" w:rsidRDefault="009322B7" w:rsidP="003F58CA">
      <w:pPr>
        <w:pStyle w:val="NormalWeb"/>
        <w:numPr>
          <w:ilvl w:val="0"/>
          <w:numId w:val="3"/>
        </w:numPr>
      </w:pPr>
      <w:r w:rsidRPr="009322B7">
        <w:t xml:space="preserve">Malik, A., &amp; Kumar, S. (2019). Environmental fate and toxicity of organophosphate pesticides in aquatic systems. </w:t>
      </w:r>
      <w:r w:rsidRPr="009322B7">
        <w:rPr>
          <w:rStyle w:val="Emphasis"/>
        </w:rPr>
        <w:t>Environmental Science and Pollution Research, 26</w:t>
      </w:r>
      <w:r w:rsidRPr="009322B7">
        <w:t xml:space="preserve">(32), 33194–33206. </w:t>
      </w:r>
      <w:hyperlink r:id="rId17" w:tgtFrame="_new" w:history="1">
        <w:r w:rsidRPr="009322B7">
          <w:rPr>
            <w:rStyle w:val="Hyperlink"/>
            <w:color w:val="auto"/>
            <w:u w:val="none"/>
          </w:rPr>
          <w:t>https://doi.org/10.1007/s11356-019-06823-x</w:t>
        </w:r>
      </w:hyperlink>
    </w:p>
    <w:p w:rsidR="009322B7" w:rsidRPr="009322B7" w:rsidRDefault="009322B7" w:rsidP="009322B7">
      <w:pPr>
        <w:pStyle w:val="NormalWeb"/>
        <w:numPr>
          <w:ilvl w:val="0"/>
          <w:numId w:val="3"/>
        </w:numPr>
      </w:pPr>
      <w:r w:rsidRPr="009322B7">
        <w:rPr>
          <w:rStyle w:val="Strong"/>
        </w:rPr>
        <w:t>Mallat, A., Teixeira-Clerc, F., &amp; Lotersztajn, S. (2018).</w:t>
      </w:r>
      <w:r w:rsidRPr="009322B7">
        <w:t xml:space="preserve"> Liver immunology and Kupffer cell function in fish and mammals. </w:t>
      </w:r>
      <w:r w:rsidRPr="009322B7">
        <w:rPr>
          <w:rStyle w:val="Emphasis"/>
        </w:rPr>
        <w:t>Fish &amp; Shellfish Immunology, 82</w:t>
      </w:r>
      <w:r w:rsidRPr="009322B7">
        <w:t>, 45–55. https://doi.org/10.1016/j.fsi.2018.08.020</w:t>
      </w:r>
    </w:p>
    <w:p w:rsidR="009322B7" w:rsidRPr="009322B7" w:rsidRDefault="009322B7" w:rsidP="003F58CA">
      <w:pPr>
        <w:pStyle w:val="NormalWeb"/>
        <w:numPr>
          <w:ilvl w:val="0"/>
          <w:numId w:val="3"/>
        </w:numPr>
      </w:pPr>
      <w:r w:rsidRPr="009322B7">
        <w:t xml:space="preserve">Moezzi, S. A., Zarei, M., &amp; Feyzi, S. (2025). Pesticide-induced biochemical, molecular, and histopathological alterations in fish: An updated mechanistic review. </w:t>
      </w:r>
      <w:r w:rsidRPr="009322B7">
        <w:rPr>
          <w:rStyle w:val="Emphasis"/>
        </w:rPr>
        <w:t>Aquatic Toxicology, 272</w:t>
      </w:r>
      <w:r w:rsidRPr="009322B7">
        <w:t xml:space="preserve">, 106672. </w:t>
      </w:r>
      <w:hyperlink r:id="rId18" w:tgtFrame="_new" w:history="1">
        <w:r w:rsidRPr="009322B7">
          <w:rPr>
            <w:rStyle w:val="Hyperlink"/>
            <w:color w:val="auto"/>
            <w:u w:val="none"/>
          </w:rPr>
          <w:t>https://doi.org/10.1016/j.aquatox.2024.106672</w:t>
        </w:r>
      </w:hyperlink>
    </w:p>
    <w:p w:rsidR="009322B7" w:rsidRPr="009322B7" w:rsidRDefault="009322B7" w:rsidP="009322B7">
      <w:pPr>
        <w:pStyle w:val="NormalWeb"/>
        <w:numPr>
          <w:ilvl w:val="0"/>
          <w:numId w:val="3"/>
        </w:numPr>
      </w:pPr>
      <w:r w:rsidRPr="009322B7">
        <w:rPr>
          <w:rStyle w:val="Strong"/>
        </w:rPr>
        <w:t>Pashirova, E., Kuzmin, V., Yakimova, L., &amp; Radaeva, M. (2024).</w:t>
      </w:r>
      <w:r w:rsidRPr="009322B7">
        <w:t xml:space="preserve"> Advances in sustainable strategies for mitigating organophosphate pesticide contamination in agroecosystems. </w:t>
      </w:r>
      <w:r w:rsidRPr="009322B7">
        <w:rPr>
          <w:rStyle w:val="Emphasis"/>
        </w:rPr>
        <w:t>Environmental Research, 242</w:t>
      </w:r>
      <w:r w:rsidRPr="009322B7">
        <w:t>, 117595. https://doi.org/10.1016/j.envres.2024.117595</w:t>
      </w:r>
    </w:p>
    <w:p w:rsidR="009322B7" w:rsidRPr="009322B7" w:rsidRDefault="009322B7" w:rsidP="003F58CA">
      <w:pPr>
        <w:pStyle w:val="NormalWeb"/>
        <w:numPr>
          <w:ilvl w:val="0"/>
          <w:numId w:val="3"/>
        </w:numPr>
      </w:pPr>
      <w:r w:rsidRPr="009322B7">
        <w:t xml:space="preserve">Ramesh, M., &amp; Anandan, R. (2019). Detoxification enzymes as biomarkers of organophosphate toxicity in fish. </w:t>
      </w:r>
      <w:r w:rsidRPr="009322B7">
        <w:rPr>
          <w:rStyle w:val="Emphasis"/>
        </w:rPr>
        <w:t>Journal of Environmental Biology, 40</w:t>
      </w:r>
      <w:r w:rsidRPr="009322B7">
        <w:t xml:space="preserve">(5), 945–953. </w:t>
      </w:r>
      <w:hyperlink r:id="rId19" w:tgtFrame="_new" w:history="1">
        <w:r w:rsidRPr="009322B7">
          <w:rPr>
            <w:rStyle w:val="Hyperlink"/>
            <w:color w:val="auto"/>
            <w:u w:val="none"/>
          </w:rPr>
          <w:t>https://doi.org/10.22438/jeb/40/5/MRN-125</w:t>
        </w:r>
      </w:hyperlink>
    </w:p>
    <w:p w:rsidR="009322B7" w:rsidRPr="009322B7" w:rsidRDefault="009322B7" w:rsidP="003F58CA">
      <w:pPr>
        <w:pStyle w:val="NormalWeb"/>
        <w:numPr>
          <w:ilvl w:val="0"/>
          <w:numId w:val="3"/>
        </w:numPr>
      </w:pPr>
      <w:r w:rsidRPr="009322B7">
        <w:t xml:space="preserve">Ramesh, M., Kumar, E., &amp; Anbarasu, M. (2024). Sublethal triazophos exposure induces biochemical and behavioral impairments in </w:t>
      </w:r>
      <w:r w:rsidRPr="009322B7">
        <w:rPr>
          <w:rStyle w:val="Emphasis"/>
        </w:rPr>
        <w:t>Labeo rohita</w:t>
      </w:r>
      <w:r w:rsidRPr="009322B7">
        <w:t xml:space="preserve">. </w:t>
      </w:r>
      <w:r w:rsidRPr="009322B7">
        <w:rPr>
          <w:rStyle w:val="Emphasis"/>
        </w:rPr>
        <w:t>Comparative Biochemistry and Physiology Part C, 275</w:t>
      </w:r>
      <w:r w:rsidRPr="009322B7">
        <w:t xml:space="preserve">, 109360. </w:t>
      </w:r>
      <w:hyperlink r:id="rId20" w:tgtFrame="_new" w:history="1">
        <w:r w:rsidRPr="009322B7">
          <w:rPr>
            <w:rStyle w:val="Hyperlink"/>
            <w:color w:val="auto"/>
            <w:u w:val="none"/>
          </w:rPr>
          <w:t>https://doi.org/10.1016/j.cbpc.2023.109360</w:t>
        </w:r>
      </w:hyperlink>
    </w:p>
    <w:p w:rsidR="009322B7" w:rsidRPr="009322B7" w:rsidRDefault="009322B7" w:rsidP="003F58CA">
      <w:pPr>
        <w:pStyle w:val="NormalWeb"/>
        <w:numPr>
          <w:ilvl w:val="0"/>
          <w:numId w:val="3"/>
        </w:numPr>
      </w:pPr>
      <w:r w:rsidRPr="009322B7">
        <w:t xml:space="preserve">Rehman, A., Khan, A. Q., &amp; Malik, R. N. (2017). Organophosphate-induced oxidative stress and biochemical responses in freshwater fish. </w:t>
      </w:r>
      <w:r w:rsidRPr="009322B7">
        <w:rPr>
          <w:rStyle w:val="Emphasis"/>
        </w:rPr>
        <w:t>Environmental Monitoring and Assessment, 189</w:t>
      </w:r>
      <w:r w:rsidRPr="009322B7">
        <w:t>(5), 245. https://doi.org/10.1007/s10661-017-5960-7</w:t>
      </w:r>
    </w:p>
    <w:p w:rsidR="009322B7" w:rsidRPr="009322B7" w:rsidRDefault="009322B7" w:rsidP="003F58CA">
      <w:pPr>
        <w:pStyle w:val="NormalWeb"/>
        <w:numPr>
          <w:ilvl w:val="0"/>
          <w:numId w:val="3"/>
        </w:numPr>
      </w:pPr>
      <w:r w:rsidRPr="009322B7">
        <w:lastRenderedPageBreak/>
        <w:t>Reza, A. H. M. M., Rakhi, S. F., Hossen, M. S., &amp; Hossain, Z. (2017). Organ-specific histopathology and brain acetylcholinesterase inhibition in rohu (</w:t>
      </w:r>
      <w:r w:rsidRPr="009322B7">
        <w:rPr>
          <w:rStyle w:val="Emphasis"/>
        </w:rPr>
        <w:t>Labeo rohita</w:t>
      </w:r>
      <w:r w:rsidRPr="009322B7">
        <w:t>) and silver barb (</w:t>
      </w:r>
      <w:r w:rsidRPr="009322B7">
        <w:rPr>
          <w:rStyle w:val="Emphasis"/>
        </w:rPr>
        <w:t>Barbonymus gonionotus</w:t>
      </w:r>
      <w:r w:rsidRPr="009322B7">
        <w:t xml:space="preserve">): Effects of three widely used organophosphate pesticides. </w:t>
      </w:r>
      <w:r w:rsidRPr="009322B7">
        <w:rPr>
          <w:rStyle w:val="Emphasis"/>
        </w:rPr>
        <w:t>Turkish Journal of Fisheries and Aquatic Sciences, 17</w:t>
      </w:r>
      <w:r w:rsidRPr="009322B7">
        <w:t xml:space="preserve">(4), 819–830. </w:t>
      </w:r>
      <w:hyperlink r:id="rId21" w:tgtFrame="_new" w:history="1">
        <w:r w:rsidRPr="009322B7">
          <w:rPr>
            <w:rStyle w:val="Hyperlink"/>
            <w:color w:val="auto"/>
            <w:u w:val="none"/>
          </w:rPr>
          <w:t>https://doi.org/10.4194/1303-2712-v17_4_18</w:t>
        </w:r>
      </w:hyperlink>
    </w:p>
    <w:p w:rsidR="009322B7" w:rsidRPr="009322B7" w:rsidRDefault="009322B7" w:rsidP="003F58CA">
      <w:pPr>
        <w:pStyle w:val="NormalWeb"/>
        <w:numPr>
          <w:ilvl w:val="0"/>
          <w:numId w:val="3"/>
        </w:numPr>
      </w:pPr>
      <w:r w:rsidRPr="009322B7">
        <w:t xml:space="preserve">Singh, A., &amp; Prasad, S. (2016). Toxicological effects of organophosphate pesticides on freshwater fish: A review. </w:t>
      </w:r>
      <w:r w:rsidRPr="009322B7">
        <w:rPr>
          <w:rStyle w:val="Emphasis"/>
        </w:rPr>
        <w:t>International Journal of Environmental Science and Technology, 13</w:t>
      </w:r>
      <w:r w:rsidRPr="009322B7">
        <w:t xml:space="preserve">(12), 2873–2888. </w:t>
      </w:r>
      <w:hyperlink r:id="rId22" w:tgtFrame="_new" w:history="1">
        <w:r w:rsidRPr="009322B7">
          <w:rPr>
            <w:rStyle w:val="Hyperlink"/>
            <w:color w:val="auto"/>
            <w:u w:val="none"/>
          </w:rPr>
          <w:t>https://doi.org/10.1007/s13762-016-1130-3</w:t>
        </w:r>
      </w:hyperlink>
    </w:p>
    <w:p w:rsidR="009322B7" w:rsidRPr="009322B7" w:rsidRDefault="009322B7" w:rsidP="003F58CA">
      <w:pPr>
        <w:pStyle w:val="NormalWeb"/>
        <w:numPr>
          <w:ilvl w:val="0"/>
          <w:numId w:val="3"/>
        </w:numPr>
      </w:pPr>
      <w:r w:rsidRPr="009322B7">
        <w:t xml:space="preserve">Singh, N., &amp; Verma, R. (2018). Integrated pest management and sustainable aquaculture practices to reduce pesticide contamination. </w:t>
      </w:r>
      <w:r w:rsidRPr="009322B7">
        <w:rPr>
          <w:rStyle w:val="Emphasis"/>
        </w:rPr>
        <w:t>Journal of Environmental Management, 213</w:t>
      </w:r>
      <w:r w:rsidRPr="009322B7">
        <w:t xml:space="preserve">, 350–360. </w:t>
      </w:r>
      <w:hyperlink r:id="rId23" w:tgtFrame="_new" w:history="1">
        <w:r w:rsidRPr="009322B7">
          <w:rPr>
            <w:rStyle w:val="Hyperlink"/>
            <w:color w:val="auto"/>
            <w:u w:val="none"/>
          </w:rPr>
          <w:t>https://doi.org/10.1016/j.jenvman.2018.02.039</w:t>
        </w:r>
      </w:hyperlink>
    </w:p>
    <w:p w:rsidR="009322B7" w:rsidRPr="009322B7" w:rsidRDefault="009322B7" w:rsidP="009322B7">
      <w:pPr>
        <w:pStyle w:val="NormalWeb"/>
        <w:numPr>
          <w:ilvl w:val="0"/>
          <w:numId w:val="3"/>
        </w:numPr>
      </w:pPr>
      <w:r w:rsidRPr="009322B7">
        <w:rPr>
          <w:rStyle w:val="Strong"/>
        </w:rPr>
        <w:t>Singh, P., Kumar, V., &amp; Thakur, R. (2022).</w:t>
      </w:r>
      <w:r w:rsidRPr="009322B7">
        <w:t xml:space="preserve"> Riparian buffers and constructed wetlands as mitigation tools for agrochemical runoff in freshwater ecosystems. </w:t>
      </w:r>
      <w:r w:rsidRPr="009322B7">
        <w:rPr>
          <w:rStyle w:val="Emphasis"/>
        </w:rPr>
        <w:t>Ecological Engineering, 185</w:t>
      </w:r>
      <w:r w:rsidRPr="009322B7">
        <w:t xml:space="preserve">, 106786. </w:t>
      </w:r>
      <w:hyperlink r:id="rId24" w:tgtFrame="_new" w:history="1">
        <w:r w:rsidRPr="009322B7">
          <w:rPr>
            <w:rStyle w:val="Hyperlink"/>
            <w:rFonts w:eastAsiaTheme="majorEastAsia"/>
            <w:color w:val="auto"/>
            <w:u w:val="none"/>
          </w:rPr>
          <w:t>https://doi.org/10.1016/j.ecoleng.2022.106786</w:t>
        </w:r>
      </w:hyperlink>
    </w:p>
    <w:p w:rsidR="009322B7" w:rsidRPr="009322B7" w:rsidRDefault="009322B7" w:rsidP="003F58CA">
      <w:pPr>
        <w:pStyle w:val="NormalWeb"/>
        <w:numPr>
          <w:ilvl w:val="0"/>
          <w:numId w:val="3"/>
        </w:numPr>
      </w:pPr>
      <w:r w:rsidRPr="009322B7">
        <w:t xml:space="preserve">Subaramaniyam, U., Senthilkumar, K., &amp; Manikandan, R. (2023). Pesticide and microplastic-induced oxidative stress responses in freshwater fish: A mechanistic review. </w:t>
      </w:r>
      <w:r w:rsidRPr="009322B7">
        <w:rPr>
          <w:rStyle w:val="Emphasis"/>
        </w:rPr>
        <w:t>Frontiers in Physiology, 14</w:t>
      </w:r>
      <w:r w:rsidRPr="009322B7">
        <w:t xml:space="preserve">, 1187653. </w:t>
      </w:r>
      <w:hyperlink r:id="rId25" w:tgtFrame="_new" w:history="1">
        <w:r w:rsidRPr="009322B7">
          <w:rPr>
            <w:rStyle w:val="Hyperlink"/>
            <w:color w:val="auto"/>
            <w:u w:val="none"/>
          </w:rPr>
          <w:t>https://doi.org/10.3389/fphys.2023.1187653</w:t>
        </w:r>
      </w:hyperlink>
    </w:p>
    <w:p w:rsidR="009322B7" w:rsidRPr="009322B7" w:rsidRDefault="009322B7" w:rsidP="003F58CA">
      <w:pPr>
        <w:pStyle w:val="NormalWeb"/>
        <w:numPr>
          <w:ilvl w:val="0"/>
          <w:numId w:val="3"/>
        </w:numPr>
      </w:pPr>
      <w:r w:rsidRPr="009322B7">
        <w:t xml:space="preserve">Sule, R. O., &amp; Adekunle, A. A. (2022). Sublethal pesticide exposure and chronic oxidative stress in freshwater fish: Implications for long-term ecological health. </w:t>
      </w:r>
      <w:r w:rsidRPr="009322B7">
        <w:rPr>
          <w:rStyle w:val="Emphasis"/>
        </w:rPr>
        <w:t>Chemosphere, 307</w:t>
      </w:r>
      <w:r w:rsidRPr="009322B7">
        <w:t xml:space="preserve">, 135907. </w:t>
      </w:r>
      <w:hyperlink r:id="rId26" w:tgtFrame="_new" w:history="1">
        <w:r w:rsidRPr="009322B7">
          <w:rPr>
            <w:rStyle w:val="Hyperlink"/>
            <w:color w:val="auto"/>
            <w:u w:val="none"/>
          </w:rPr>
          <w:t>https://doi.org/10.1016/j.chemosphere.2022.135907</w:t>
        </w:r>
      </w:hyperlink>
    </w:p>
    <w:p w:rsidR="009322B7" w:rsidRPr="009322B7" w:rsidRDefault="009322B7" w:rsidP="003F58CA">
      <w:pPr>
        <w:pStyle w:val="NormalWeb"/>
        <w:numPr>
          <w:ilvl w:val="0"/>
          <w:numId w:val="3"/>
        </w:numPr>
      </w:pPr>
      <w:r w:rsidRPr="009322B7">
        <w:t xml:space="preserve">Tripathi, S., &amp; Joshi, V. (2017). Liver function biomarkers in freshwater fish: Implications for environmental monitoring. </w:t>
      </w:r>
      <w:r w:rsidRPr="009322B7">
        <w:rPr>
          <w:rStyle w:val="Emphasis"/>
        </w:rPr>
        <w:t>Fish Physiology and Biochemistry, 43</w:t>
      </w:r>
      <w:r w:rsidRPr="009322B7">
        <w:t xml:space="preserve">(3), 689–700. </w:t>
      </w:r>
      <w:hyperlink r:id="rId27" w:tgtFrame="_new" w:history="1">
        <w:r w:rsidRPr="009322B7">
          <w:rPr>
            <w:rStyle w:val="Hyperlink"/>
            <w:color w:val="auto"/>
            <w:u w:val="none"/>
          </w:rPr>
          <w:t>https://doi.org/10.1007/s10695-016-0312-3</w:t>
        </w:r>
      </w:hyperlink>
    </w:p>
    <w:p w:rsidR="009322B7" w:rsidRPr="009322B7" w:rsidRDefault="009322B7" w:rsidP="003F58CA">
      <w:pPr>
        <w:pStyle w:val="NormalWeb"/>
        <w:numPr>
          <w:ilvl w:val="0"/>
          <w:numId w:val="3"/>
        </w:numPr>
      </w:pPr>
      <w:r w:rsidRPr="009322B7">
        <w:t>Ullah, S., Li, Z., Hasan, Z., Khan, S. U., &amp; Fahad, S. (2018). Malathion-induced oxidative stress leads to histopathological and biochemical toxicity in the liver of rohu (</w:t>
      </w:r>
      <w:r w:rsidRPr="009322B7">
        <w:rPr>
          <w:rStyle w:val="Emphasis"/>
        </w:rPr>
        <w:t>Labeo rohita</w:t>
      </w:r>
      <w:r w:rsidRPr="009322B7">
        <w:t xml:space="preserve">) at acute concentrations. </w:t>
      </w:r>
      <w:r w:rsidRPr="009322B7">
        <w:rPr>
          <w:rStyle w:val="Emphasis"/>
        </w:rPr>
        <w:t>Ecotoxicology and Environmental Safety, 161</w:t>
      </w:r>
      <w:r w:rsidRPr="009322B7">
        <w:t xml:space="preserve">, 270–280. </w:t>
      </w:r>
      <w:hyperlink r:id="rId28" w:tgtFrame="_new" w:history="1">
        <w:r w:rsidRPr="009322B7">
          <w:rPr>
            <w:rStyle w:val="Hyperlink"/>
            <w:color w:val="auto"/>
            <w:u w:val="none"/>
          </w:rPr>
          <w:t>https://doi.org/10.1016/j.ecoenv.2018.06.002</w:t>
        </w:r>
      </w:hyperlink>
    </w:p>
    <w:p w:rsidR="009322B7" w:rsidRPr="009322B7" w:rsidRDefault="009322B7" w:rsidP="003F58CA">
      <w:pPr>
        <w:pStyle w:val="NormalWeb"/>
        <w:numPr>
          <w:ilvl w:val="0"/>
          <w:numId w:val="3"/>
        </w:numPr>
      </w:pPr>
      <w:r w:rsidRPr="009322B7">
        <w:t xml:space="preserve">Verma, P., &amp; Sharma, R. (2020). Protective role of antioxidants against pesticide-induced hepatotoxicity in freshwater fish. </w:t>
      </w:r>
      <w:r w:rsidRPr="009322B7">
        <w:rPr>
          <w:rStyle w:val="Emphasis"/>
        </w:rPr>
        <w:t>Environmental Toxicology, 35</w:t>
      </w:r>
      <w:r w:rsidRPr="009322B7">
        <w:t xml:space="preserve">(2), 204–215. </w:t>
      </w:r>
      <w:hyperlink r:id="rId29" w:tgtFrame="_new" w:history="1">
        <w:r w:rsidRPr="009322B7">
          <w:rPr>
            <w:rStyle w:val="Hyperlink"/>
            <w:color w:val="auto"/>
            <w:u w:val="none"/>
          </w:rPr>
          <w:t>https://doi.org/10.1002/tox.22800</w:t>
        </w:r>
      </w:hyperlink>
    </w:p>
    <w:p w:rsidR="009322B7" w:rsidRPr="009322B7" w:rsidRDefault="009322B7" w:rsidP="003F58CA">
      <w:pPr>
        <w:pStyle w:val="NormalWeb"/>
        <w:numPr>
          <w:ilvl w:val="0"/>
          <w:numId w:val="3"/>
        </w:numPr>
      </w:pPr>
      <w:r w:rsidRPr="009322B7">
        <w:t xml:space="preserve">Wang, Y., Li, X., Zhang, Q., &amp; Zhou, J. (2024). Environmental transformation, ecological risks, and mitigation strategies of organophosphate pesticides: A comprehensive review. </w:t>
      </w:r>
      <w:r w:rsidRPr="009322B7">
        <w:rPr>
          <w:rStyle w:val="Emphasis"/>
        </w:rPr>
        <w:t>Environmental Science and Pollution Research, 31</w:t>
      </w:r>
      <w:r w:rsidRPr="009322B7">
        <w:t xml:space="preserve">(4), 5512–5531. </w:t>
      </w:r>
      <w:hyperlink r:id="rId30" w:tgtFrame="_new" w:history="1">
        <w:r w:rsidRPr="009322B7">
          <w:rPr>
            <w:rStyle w:val="Hyperlink"/>
            <w:color w:val="auto"/>
            <w:u w:val="none"/>
          </w:rPr>
          <w:t>https://doi.org/10.1007/s11356-023-25512-3</w:t>
        </w:r>
      </w:hyperlink>
    </w:p>
    <w:p w:rsidR="009322B7" w:rsidRPr="009322B7" w:rsidRDefault="009322B7" w:rsidP="003F58CA">
      <w:pPr>
        <w:pStyle w:val="NormalWeb"/>
        <w:numPr>
          <w:ilvl w:val="0"/>
          <w:numId w:val="3"/>
        </w:numPr>
      </w:pPr>
      <w:r w:rsidRPr="009322B7">
        <w:t xml:space="preserve">World Health Organization. (2020). </w:t>
      </w:r>
      <w:r w:rsidRPr="009322B7">
        <w:rPr>
          <w:rStyle w:val="Emphasis"/>
        </w:rPr>
        <w:t>The WHO recommended classification of pesticides by hazard and guidelines to classification 2020.</w:t>
      </w:r>
      <w:r w:rsidRPr="009322B7">
        <w:t xml:space="preserve"> Geneva: WHO. </w:t>
      </w:r>
      <w:hyperlink r:id="rId31" w:tgtFrame="_new" w:history="1">
        <w:r w:rsidRPr="009322B7">
          <w:rPr>
            <w:rStyle w:val="Hyperlink"/>
            <w:color w:val="auto"/>
            <w:u w:val="none"/>
          </w:rPr>
          <w:t>https://www.who.int/publications/i/item/9789240005662</w:t>
        </w:r>
      </w:hyperlink>
    </w:p>
    <w:p w:rsidR="009322B7" w:rsidRPr="003F58CA" w:rsidRDefault="009322B7" w:rsidP="009322B7">
      <w:pPr>
        <w:pStyle w:val="NormalWeb"/>
        <w:ind w:left="720"/>
      </w:pPr>
    </w:p>
    <w:p w:rsidR="003F58CA" w:rsidRDefault="003F58CA" w:rsidP="003F58CA">
      <w:pPr>
        <w:pStyle w:val="NormalWeb"/>
        <w:ind w:left="720"/>
      </w:pPr>
    </w:p>
    <w:p w:rsidR="002E761A" w:rsidRDefault="002E761A" w:rsidP="002E761A">
      <w:pPr>
        <w:pStyle w:val="NormalWeb"/>
        <w:ind w:left="720"/>
      </w:pPr>
    </w:p>
    <w:p w:rsidR="008C7D86" w:rsidRPr="00B020E6" w:rsidRDefault="008C7D86" w:rsidP="008C7D86">
      <w:pPr>
        <w:pStyle w:val="NormalWeb"/>
        <w:spacing w:before="0" w:beforeAutospacing="0" w:after="0" w:afterAutospacing="0"/>
        <w:ind w:left="720"/>
      </w:pPr>
    </w:p>
    <w:p w:rsidR="00E13DB5" w:rsidRDefault="00E13DB5" w:rsidP="00102506">
      <w:pPr>
        <w:spacing w:after="0"/>
        <w:outlineLvl w:val="1"/>
      </w:pPr>
    </w:p>
    <w:sectPr w:rsidR="00E13DB5" w:rsidSect="005A3320">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2DA" w:rsidRDefault="000B72DA" w:rsidP="0003515B">
      <w:pPr>
        <w:spacing w:after="0" w:line="240" w:lineRule="auto"/>
      </w:pPr>
      <w:r>
        <w:separator/>
      </w:r>
    </w:p>
  </w:endnote>
  <w:endnote w:type="continuationSeparator" w:id="1">
    <w:p w:rsidR="000B72DA" w:rsidRDefault="000B72DA" w:rsidP="00035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86" w:rsidRDefault="008C7D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86" w:rsidRDefault="008C7D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86" w:rsidRDefault="008C7D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2DA" w:rsidRDefault="000B72DA" w:rsidP="0003515B">
      <w:pPr>
        <w:spacing w:after="0" w:line="240" w:lineRule="auto"/>
      </w:pPr>
      <w:r>
        <w:separator/>
      </w:r>
    </w:p>
  </w:footnote>
  <w:footnote w:type="continuationSeparator" w:id="1">
    <w:p w:rsidR="000B72DA" w:rsidRDefault="000B72DA" w:rsidP="00035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86" w:rsidRDefault="004A36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99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86" w:rsidRDefault="004A36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99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D86" w:rsidRDefault="004A36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899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43FC0"/>
    <w:multiLevelType w:val="hybridMultilevel"/>
    <w:tmpl w:val="BD9A3A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1DE45B0"/>
    <w:multiLevelType w:val="hybridMultilevel"/>
    <w:tmpl w:val="B7BE6CC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6452B03"/>
    <w:multiLevelType w:val="hybridMultilevel"/>
    <w:tmpl w:val="988E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D74E40"/>
    <w:rsid w:val="0003515B"/>
    <w:rsid w:val="00043FF0"/>
    <w:rsid w:val="000B020A"/>
    <w:rsid w:val="000B72DA"/>
    <w:rsid w:val="000B73FC"/>
    <w:rsid w:val="00102506"/>
    <w:rsid w:val="001662B1"/>
    <w:rsid w:val="001A4072"/>
    <w:rsid w:val="001E1B66"/>
    <w:rsid w:val="0020266B"/>
    <w:rsid w:val="002077C8"/>
    <w:rsid w:val="002E761A"/>
    <w:rsid w:val="00353211"/>
    <w:rsid w:val="00365FFA"/>
    <w:rsid w:val="003712B6"/>
    <w:rsid w:val="003F58CA"/>
    <w:rsid w:val="00406076"/>
    <w:rsid w:val="004925F6"/>
    <w:rsid w:val="004A36C3"/>
    <w:rsid w:val="004D64DA"/>
    <w:rsid w:val="005A3320"/>
    <w:rsid w:val="005C1F50"/>
    <w:rsid w:val="00701513"/>
    <w:rsid w:val="007516A2"/>
    <w:rsid w:val="00762BD6"/>
    <w:rsid w:val="007D34CD"/>
    <w:rsid w:val="00806D7A"/>
    <w:rsid w:val="00836DFB"/>
    <w:rsid w:val="00852721"/>
    <w:rsid w:val="008C7D86"/>
    <w:rsid w:val="00930CF5"/>
    <w:rsid w:val="009322B7"/>
    <w:rsid w:val="00A0582B"/>
    <w:rsid w:val="00A50129"/>
    <w:rsid w:val="00A60BB9"/>
    <w:rsid w:val="00A715B0"/>
    <w:rsid w:val="00A96E0C"/>
    <w:rsid w:val="00B020E6"/>
    <w:rsid w:val="00B2209B"/>
    <w:rsid w:val="00B972EE"/>
    <w:rsid w:val="00C46168"/>
    <w:rsid w:val="00CC1CA2"/>
    <w:rsid w:val="00CF1C71"/>
    <w:rsid w:val="00D74E40"/>
    <w:rsid w:val="00E13DB5"/>
    <w:rsid w:val="00EF4E40"/>
    <w:rsid w:val="00F5731E"/>
    <w:rsid w:val="00FB515C"/>
    <w:rsid w:val="00FE24B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320"/>
  </w:style>
  <w:style w:type="paragraph" w:styleId="Heading1">
    <w:name w:val="heading 1"/>
    <w:basedOn w:val="Normal"/>
    <w:next w:val="Normal"/>
    <w:link w:val="Heading1Char"/>
    <w:uiPriority w:val="9"/>
    <w:qFormat/>
    <w:rsid w:val="00FE24B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link w:val="Heading2Char"/>
    <w:uiPriority w:val="9"/>
    <w:qFormat/>
    <w:rsid w:val="00D74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4E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4E40"/>
    <w:rPr>
      <w:rFonts w:ascii="Times New Roman" w:eastAsia="Times New Roman" w:hAnsi="Times New Roman" w:cs="Times New Roman"/>
      <w:b/>
      <w:bCs/>
      <w:sz w:val="36"/>
      <w:szCs w:val="36"/>
    </w:rPr>
  </w:style>
  <w:style w:type="paragraph" w:styleId="NormalWeb">
    <w:name w:val="Normal (Web)"/>
    <w:basedOn w:val="Normal"/>
    <w:uiPriority w:val="99"/>
    <w:unhideWhenUsed/>
    <w:rsid w:val="00D74E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E40"/>
    <w:rPr>
      <w:b/>
      <w:bCs/>
    </w:rPr>
  </w:style>
  <w:style w:type="character" w:styleId="Emphasis">
    <w:name w:val="Emphasis"/>
    <w:basedOn w:val="DefaultParagraphFont"/>
    <w:uiPriority w:val="20"/>
    <w:qFormat/>
    <w:rsid w:val="00D74E40"/>
    <w:rPr>
      <w:i/>
      <w:iCs/>
    </w:rPr>
  </w:style>
  <w:style w:type="character" w:customStyle="1" w:styleId="Heading3Char">
    <w:name w:val="Heading 3 Char"/>
    <w:basedOn w:val="DefaultParagraphFont"/>
    <w:link w:val="Heading3"/>
    <w:uiPriority w:val="9"/>
    <w:semiHidden/>
    <w:rsid w:val="00D74E40"/>
    <w:rPr>
      <w:rFonts w:asciiTheme="majorHAnsi" w:eastAsiaTheme="majorEastAsia" w:hAnsiTheme="majorHAnsi" w:cstheme="majorBidi"/>
      <w:b/>
      <w:bCs/>
      <w:color w:val="4F81BD" w:themeColor="accent1"/>
    </w:rPr>
  </w:style>
  <w:style w:type="table" w:styleId="TableGrid">
    <w:name w:val="Table Grid"/>
    <w:basedOn w:val="TableNormal"/>
    <w:uiPriority w:val="59"/>
    <w:rsid w:val="007D34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E24B9"/>
    <w:rPr>
      <w:rFonts w:asciiTheme="majorHAnsi" w:eastAsiaTheme="majorEastAsia" w:hAnsiTheme="majorHAnsi" w:cstheme="majorBidi"/>
      <w:b/>
      <w:bCs/>
      <w:color w:val="365F91" w:themeColor="accent1" w:themeShade="BF"/>
      <w:sz w:val="28"/>
      <w:szCs w:val="25"/>
    </w:rPr>
  </w:style>
  <w:style w:type="paragraph" w:styleId="Title">
    <w:name w:val="Title"/>
    <w:basedOn w:val="Normal"/>
    <w:next w:val="Normal"/>
    <w:link w:val="TitleChar"/>
    <w:uiPriority w:val="10"/>
    <w:qFormat/>
    <w:rsid w:val="00FE24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47"/>
    </w:rPr>
  </w:style>
  <w:style w:type="character" w:customStyle="1" w:styleId="TitleChar">
    <w:name w:val="Title Char"/>
    <w:basedOn w:val="DefaultParagraphFont"/>
    <w:link w:val="Title"/>
    <w:uiPriority w:val="10"/>
    <w:rsid w:val="00FE24B9"/>
    <w:rPr>
      <w:rFonts w:asciiTheme="majorHAnsi" w:eastAsiaTheme="majorEastAsia" w:hAnsiTheme="majorHAnsi" w:cstheme="majorBidi"/>
      <w:color w:val="17365D" w:themeColor="text2" w:themeShade="BF"/>
      <w:spacing w:val="5"/>
      <w:kern w:val="28"/>
      <w:sz w:val="52"/>
      <w:szCs w:val="47"/>
    </w:rPr>
  </w:style>
  <w:style w:type="character" w:styleId="Hyperlink">
    <w:name w:val="Hyperlink"/>
    <w:basedOn w:val="DefaultParagraphFont"/>
    <w:uiPriority w:val="99"/>
    <w:unhideWhenUsed/>
    <w:rsid w:val="00406076"/>
    <w:rPr>
      <w:color w:val="0000FF" w:themeColor="hyperlink"/>
      <w:u w:val="single"/>
    </w:rPr>
  </w:style>
  <w:style w:type="character" w:customStyle="1" w:styleId="UnresolvedMention">
    <w:name w:val="Unresolved Mention"/>
    <w:basedOn w:val="DefaultParagraphFont"/>
    <w:uiPriority w:val="99"/>
    <w:semiHidden/>
    <w:unhideWhenUsed/>
    <w:rsid w:val="00C46168"/>
    <w:rPr>
      <w:color w:val="605E5C"/>
      <w:shd w:val="clear" w:color="auto" w:fill="E1DFDD"/>
    </w:rPr>
  </w:style>
  <w:style w:type="paragraph" w:styleId="Header">
    <w:name w:val="header"/>
    <w:basedOn w:val="Normal"/>
    <w:link w:val="HeaderChar"/>
    <w:uiPriority w:val="99"/>
    <w:unhideWhenUsed/>
    <w:rsid w:val="00035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5B"/>
  </w:style>
  <w:style w:type="paragraph" w:styleId="Footer">
    <w:name w:val="footer"/>
    <w:basedOn w:val="Normal"/>
    <w:link w:val="FooterChar"/>
    <w:uiPriority w:val="99"/>
    <w:unhideWhenUsed/>
    <w:rsid w:val="00035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5B"/>
  </w:style>
  <w:style w:type="paragraph" w:styleId="BalloonText">
    <w:name w:val="Balloon Text"/>
    <w:basedOn w:val="Normal"/>
    <w:link w:val="BalloonTextChar"/>
    <w:uiPriority w:val="99"/>
    <w:semiHidden/>
    <w:unhideWhenUsed/>
    <w:rsid w:val="004D64D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D64DA"/>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246547353">
      <w:bodyDiv w:val="1"/>
      <w:marLeft w:val="0"/>
      <w:marRight w:val="0"/>
      <w:marTop w:val="0"/>
      <w:marBottom w:val="0"/>
      <w:divBdr>
        <w:top w:val="none" w:sz="0" w:space="0" w:color="auto"/>
        <w:left w:val="none" w:sz="0" w:space="0" w:color="auto"/>
        <w:bottom w:val="none" w:sz="0" w:space="0" w:color="auto"/>
        <w:right w:val="none" w:sz="0" w:space="0" w:color="auto"/>
      </w:divBdr>
    </w:div>
    <w:div w:id="272057355">
      <w:bodyDiv w:val="1"/>
      <w:marLeft w:val="0"/>
      <w:marRight w:val="0"/>
      <w:marTop w:val="0"/>
      <w:marBottom w:val="0"/>
      <w:divBdr>
        <w:top w:val="none" w:sz="0" w:space="0" w:color="auto"/>
        <w:left w:val="none" w:sz="0" w:space="0" w:color="auto"/>
        <w:bottom w:val="none" w:sz="0" w:space="0" w:color="auto"/>
        <w:right w:val="none" w:sz="0" w:space="0" w:color="auto"/>
      </w:divBdr>
    </w:div>
    <w:div w:id="313412610">
      <w:bodyDiv w:val="1"/>
      <w:marLeft w:val="0"/>
      <w:marRight w:val="0"/>
      <w:marTop w:val="0"/>
      <w:marBottom w:val="0"/>
      <w:divBdr>
        <w:top w:val="none" w:sz="0" w:space="0" w:color="auto"/>
        <w:left w:val="none" w:sz="0" w:space="0" w:color="auto"/>
        <w:bottom w:val="none" w:sz="0" w:space="0" w:color="auto"/>
        <w:right w:val="none" w:sz="0" w:space="0" w:color="auto"/>
      </w:divBdr>
    </w:div>
    <w:div w:id="363987079">
      <w:bodyDiv w:val="1"/>
      <w:marLeft w:val="0"/>
      <w:marRight w:val="0"/>
      <w:marTop w:val="0"/>
      <w:marBottom w:val="0"/>
      <w:divBdr>
        <w:top w:val="none" w:sz="0" w:space="0" w:color="auto"/>
        <w:left w:val="none" w:sz="0" w:space="0" w:color="auto"/>
        <w:bottom w:val="none" w:sz="0" w:space="0" w:color="auto"/>
        <w:right w:val="none" w:sz="0" w:space="0" w:color="auto"/>
      </w:divBdr>
    </w:div>
    <w:div w:id="439573233">
      <w:bodyDiv w:val="1"/>
      <w:marLeft w:val="0"/>
      <w:marRight w:val="0"/>
      <w:marTop w:val="0"/>
      <w:marBottom w:val="0"/>
      <w:divBdr>
        <w:top w:val="none" w:sz="0" w:space="0" w:color="auto"/>
        <w:left w:val="none" w:sz="0" w:space="0" w:color="auto"/>
        <w:bottom w:val="none" w:sz="0" w:space="0" w:color="auto"/>
        <w:right w:val="none" w:sz="0" w:space="0" w:color="auto"/>
      </w:divBdr>
    </w:div>
    <w:div w:id="442309129">
      <w:bodyDiv w:val="1"/>
      <w:marLeft w:val="0"/>
      <w:marRight w:val="0"/>
      <w:marTop w:val="0"/>
      <w:marBottom w:val="0"/>
      <w:divBdr>
        <w:top w:val="none" w:sz="0" w:space="0" w:color="auto"/>
        <w:left w:val="none" w:sz="0" w:space="0" w:color="auto"/>
        <w:bottom w:val="none" w:sz="0" w:space="0" w:color="auto"/>
        <w:right w:val="none" w:sz="0" w:space="0" w:color="auto"/>
      </w:divBdr>
    </w:div>
    <w:div w:id="447433476">
      <w:bodyDiv w:val="1"/>
      <w:marLeft w:val="0"/>
      <w:marRight w:val="0"/>
      <w:marTop w:val="0"/>
      <w:marBottom w:val="0"/>
      <w:divBdr>
        <w:top w:val="none" w:sz="0" w:space="0" w:color="auto"/>
        <w:left w:val="none" w:sz="0" w:space="0" w:color="auto"/>
        <w:bottom w:val="none" w:sz="0" w:space="0" w:color="auto"/>
        <w:right w:val="none" w:sz="0" w:space="0" w:color="auto"/>
      </w:divBdr>
      <w:divsChild>
        <w:div w:id="1273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990547">
      <w:bodyDiv w:val="1"/>
      <w:marLeft w:val="0"/>
      <w:marRight w:val="0"/>
      <w:marTop w:val="0"/>
      <w:marBottom w:val="0"/>
      <w:divBdr>
        <w:top w:val="none" w:sz="0" w:space="0" w:color="auto"/>
        <w:left w:val="none" w:sz="0" w:space="0" w:color="auto"/>
        <w:bottom w:val="none" w:sz="0" w:space="0" w:color="auto"/>
        <w:right w:val="none" w:sz="0" w:space="0" w:color="auto"/>
      </w:divBdr>
      <w:divsChild>
        <w:div w:id="2052225340">
          <w:marLeft w:val="0"/>
          <w:marRight w:val="0"/>
          <w:marTop w:val="0"/>
          <w:marBottom w:val="0"/>
          <w:divBdr>
            <w:top w:val="none" w:sz="0" w:space="0" w:color="auto"/>
            <w:left w:val="none" w:sz="0" w:space="0" w:color="auto"/>
            <w:bottom w:val="none" w:sz="0" w:space="0" w:color="auto"/>
            <w:right w:val="none" w:sz="0" w:space="0" w:color="auto"/>
          </w:divBdr>
          <w:divsChild>
            <w:div w:id="82952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45">
      <w:bodyDiv w:val="1"/>
      <w:marLeft w:val="0"/>
      <w:marRight w:val="0"/>
      <w:marTop w:val="0"/>
      <w:marBottom w:val="0"/>
      <w:divBdr>
        <w:top w:val="none" w:sz="0" w:space="0" w:color="auto"/>
        <w:left w:val="none" w:sz="0" w:space="0" w:color="auto"/>
        <w:bottom w:val="none" w:sz="0" w:space="0" w:color="auto"/>
        <w:right w:val="none" w:sz="0" w:space="0" w:color="auto"/>
      </w:divBdr>
    </w:div>
    <w:div w:id="641740171">
      <w:bodyDiv w:val="1"/>
      <w:marLeft w:val="0"/>
      <w:marRight w:val="0"/>
      <w:marTop w:val="0"/>
      <w:marBottom w:val="0"/>
      <w:divBdr>
        <w:top w:val="none" w:sz="0" w:space="0" w:color="auto"/>
        <w:left w:val="none" w:sz="0" w:space="0" w:color="auto"/>
        <w:bottom w:val="none" w:sz="0" w:space="0" w:color="auto"/>
        <w:right w:val="none" w:sz="0" w:space="0" w:color="auto"/>
      </w:divBdr>
    </w:div>
    <w:div w:id="689381840">
      <w:bodyDiv w:val="1"/>
      <w:marLeft w:val="0"/>
      <w:marRight w:val="0"/>
      <w:marTop w:val="0"/>
      <w:marBottom w:val="0"/>
      <w:divBdr>
        <w:top w:val="none" w:sz="0" w:space="0" w:color="auto"/>
        <w:left w:val="none" w:sz="0" w:space="0" w:color="auto"/>
        <w:bottom w:val="none" w:sz="0" w:space="0" w:color="auto"/>
        <w:right w:val="none" w:sz="0" w:space="0" w:color="auto"/>
      </w:divBdr>
    </w:div>
    <w:div w:id="920024231">
      <w:bodyDiv w:val="1"/>
      <w:marLeft w:val="0"/>
      <w:marRight w:val="0"/>
      <w:marTop w:val="0"/>
      <w:marBottom w:val="0"/>
      <w:divBdr>
        <w:top w:val="none" w:sz="0" w:space="0" w:color="auto"/>
        <w:left w:val="none" w:sz="0" w:space="0" w:color="auto"/>
        <w:bottom w:val="none" w:sz="0" w:space="0" w:color="auto"/>
        <w:right w:val="none" w:sz="0" w:space="0" w:color="auto"/>
      </w:divBdr>
    </w:div>
    <w:div w:id="920220268">
      <w:bodyDiv w:val="1"/>
      <w:marLeft w:val="0"/>
      <w:marRight w:val="0"/>
      <w:marTop w:val="0"/>
      <w:marBottom w:val="0"/>
      <w:divBdr>
        <w:top w:val="none" w:sz="0" w:space="0" w:color="auto"/>
        <w:left w:val="none" w:sz="0" w:space="0" w:color="auto"/>
        <w:bottom w:val="none" w:sz="0" w:space="0" w:color="auto"/>
        <w:right w:val="none" w:sz="0" w:space="0" w:color="auto"/>
      </w:divBdr>
    </w:div>
    <w:div w:id="980384228">
      <w:bodyDiv w:val="1"/>
      <w:marLeft w:val="0"/>
      <w:marRight w:val="0"/>
      <w:marTop w:val="0"/>
      <w:marBottom w:val="0"/>
      <w:divBdr>
        <w:top w:val="none" w:sz="0" w:space="0" w:color="auto"/>
        <w:left w:val="none" w:sz="0" w:space="0" w:color="auto"/>
        <w:bottom w:val="none" w:sz="0" w:space="0" w:color="auto"/>
        <w:right w:val="none" w:sz="0" w:space="0" w:color="auto"/>
      </w:divBdr>
    </w:div>
    <w:div w:id="1166626990">
      <w:bodyDiv w:val="1"/>
      <w:marLeft w:val="0"/>
      <w:marRight w:val="0"/>
      <w:marTop w:val="0"/>
      <w:marBottom w:val="0"/>
      <w:divBdr>
        <w:top w:val="none" w:sz="0" w:space="0" w:color="auto"/>
        <w:left w:val="none" w:sz="0" w:space="0" w:color="auto"/>
        <w:bottom w:val="none" w:sz="0" w:space="0" w:color="auto"/>
        <w:right w:val="none" w:sz="0" w:space="0" w:color="auto"/>
      </w:divBdr>
    </w:div>
    <w:div w:id="1229422218">
      <w:bodyDiv w:val="1"/>
      <w:marLeft w:val="0"/>
      <w:marRight w:val="0"/>
      <w:marTop w:val="0"/>
      <w:marBottom w:val="0"/>
      <w:divBdr>
        <w:top w:val="none" w:sz="0" w:space="0" w:color="auto"/>
        <w:left w:val="none" w:sz="0" w:space="0" w:color="auto"/>
        <w:bottom w:val="none" w:sz="0" w:space="0" w:color="auto"/>
        <w:right w:val="none" w:sz="0" w:space="0" w:color="auto"/>
      </w:divBdr>
    </w:div>
    <w:div w:id="1538664613">
      <w:bodyDiv w:val="1"/>
      <w:marLeft w:val="0"/>
      <w:marRight w:val="0"/>
      <w:marTop w:val="0"/>
      <w:marBottom w:val="0"/>
      <w:divBdr>
        <w:top w:val="none" w:sz="0" w:space="0" w:color="auto"/>
        <w:left w:val="none" w:sz="0" w:space="0" w:color="auto"/>
        <w:bottom w:val="none" w:sz="0" w:space="0" w:color="auto"/>
        <w:right w:val="none" w:sz="0" w:space="0" w:color="auto"/>
      </w:divBdr>
      <w:divsChild>
        <w:div w:id="2003853348">
          <w:marLeft w:val="0"/>
          <w:marRight w:val="0"/>
          <w:marTop w:val="0"/>
          <w:marBottom w:val="0"/>
          <w:divBdr>
            <w:top w:val="none" w:sz="0" w:space="0" w:color="auto"/>
            <w:left w:val="none" w:sz="0" w:space="0" w:color="auto"/>
            <w:bottom w:val="none" w:sz="0" w:space="0" w:color="auto"/>
            <w:right w:val="none" w:sz="0" w:space="0" w:color="auto"/>
          </w:divBdr>
          <w:divsChild>
            <w:div w:id="2887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5369">
      <w:bodyDiv w:val="1"/>
      <w:marLeft w:val="0"/>
      <w:marRight w:val="0"/>
      <w:marTop w:val="0"/>
      <w:marBottom w:val="0"/>
      <w:divBdr>
        <w:top w:val="none" w:sz="0" w:space="0" w:color="auto"/>
        <w:left w:val="none" w:sz="0" w:space="0" w:color="auto"/>
        <w:bottom w:val="none" w:sz="0" w:space="0" w:color="auto"/>
        <w:right w:val="none" w:sz="0" w:space="0" w:color="auto"/>
      </w:divBdr>
    </w:div>
    <w:div w:id="1593591229">
      <w:bodyDiv w:val="1"/>
      <w:marLeft w:val="0"/>
      <w:marRight w:val="0"/>
      <w:marTop w:val="0"/>
      <w:marBottom w:val="0"/>
      <w:divBdr>
        <w:top w:val="none" w:sz="0" w:space="0" w:color="auto"/>
        <w:left w:val="none" w:sz="0" w:space="0" w:color="auto"/>
        <w:bottom w:val="none" w:sz="0" w:space="0" w:color="auto"/>
        <w:right w:val="none" w:sz="0" w:space="0" w:color="auto"/>
      </w:divBdr>
      <w:divsChild>
        <w:div w:id="651375075">
          <w:marLeft w:val="0"/>
          <w:marRight w:val="0"/>
          <w:marTop w:val="0"/>
          <w:marBottom w:val="0"/>
          <w:divBdr>
            <w:top w:val="none" w:sz="0" w:space="0" w:color="auto"/>
            <w:left w:val="none" w:sz="0" w:space="0" w:color="auto"/>
            <w:bottom w:val="none" w:sz="0" w:space="0" w:color="auto"/>
            <w:right w:val="none" w:sz="0" w:space="0" w:color="auto"/>
          </w:divBdr>
          <w:divsChild>
            <w:div w:id="2269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1692">
      <w:bodyDiv w:val="1"/>
      <w:marLeft w:val="0"/>
      <w:marRight w:val="0"/>
      <w:marTop w:val="0"/>
      <w:marBottom w:val="0"/>
      <w:divBdr>
        <w:top w:val="none" w:sz="0" w:space="0" w:color="auto"/>
        <w:left w:val="none" w:sz="0" w:space="0" w:color="auto"/>
        <w:bottom w:val="none" w:sz="0" w:space="0" w:color="auto"/>
        <w:right w:val="none" w:sz="0" w:space="0" w:color="auto"/>
      </w:divBdr>
    </w:div>
    <w:div w:id="2029674611">
      <w:bodyDiv w:val="1"/>
      <w:marLeft w:val="0"/>
      <w:marRight w:val="0"/>
      <w:marTop w:val="0"/>
      <w:marBottom w:val="0"/>
      <w:divBdr>
        <w:top w:val="none" w:sz="0" w:space="0" w:color="auto"/>
        <w:left w:val="none" w:sz="0" w:space="0" w:color="auto"/>
        <w:bottom w:val="none" w:sz="0" w:space="0" w:color="auto"/>
        <w:right w:val="none" w:sz="0" w:space="0" w:color="auto"/>
      </w:divBdr>
    </w:div>
    <w:div w:id="20588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quatox.2021.105812" TargetMode="External"/><Relationship Id="rId13" Type="http://schemas.openxmlformats.org/officeDocument/2006/relationships/hyperlink" Target="https://doi.org/10.1007/s11356-021-17756-7" TargetMode="External"/><Relationship Id="rId18" Type="http://schemas.openxmlformats.org/officeDocument/2006/relationships/hyperlink" Target="https://doi.org/10.1016/j.aquatox.2024.106672" TargetMode="External"/><Relationship Id="rId26" Type="http://schemas.openxmlformats.org/officeDocument/2006/relationships/hyperlink" Target="https://doi.org/10.1016/j.chemosphere.2022.135907"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4194/1303-2712-v17_4_18"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fsi.2018.01.031" TargetMode="External"/><Relationship Id="rId17" Type="http://schemas.openxmlformats.org/officeDocument/2006/relationships/hyperlink" Target="https://doi.org/10.1007/s11356-019-06823-x" TargetMode="External"/><Relationship Id="rId25" Type="http://schemas.openxmlformats.org/officeDocument/2006/relationships/hyperlink" Target="https://doi.org/10.3389/fphys.2023.118765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03601234.2019.1612420" TargetMode="External"/><Relationship Id="rId20" Type="http://schemas.openxmlformats.org/officeDocument/2006/relationships/hyperlink" Target="https://doi.org/10.1016/j.cbpc.2023.109360" TargetMode="External"/><Relationship Id="rId29" Type="http://schemas.openxmlformats.org/officeDocument/2006/relationships/hyperlink" Target="https://doi.org/10.1002/tox.228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etc.5367" TargetMode="External"/><Relationship Id="rId24" Type="http://schemas.openxmlformats.org/officeDocument/2006/relationships/hyperlink" Target="https://doi.org/10.1016/j.ecoleng.2022.106786"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0661-024-11234-9" TargetMode="External"/><Relationship Id="rId23" Type="http://schemas.openxmlformats.org/officeDocument/2006/relationships/hyperlink" Target="https://doi.org/10.1016/j.jenvman.2018.02.039" TargetMode="External"/><Relationship Id="rId28" Type="http://schemas.openxmlformats.org/officeDocument/2006/relationships/hyperlink" Target="https://doi.org/10.1016/j.ecoenv.2018.06.002" TargetMode="External"/><Relationship Id="rId36" Type="http://schemas.openxmlformats.org/officeDocument/2006/relationships/header" Target="header3.xml"/><Relationship Id="rId10" Type="http://schemas.openxmlformats.org/officeDocument/2006/relationships/hyperlink" Target="https://doi.org/10.1016/j.eti.2021.102348" TargetMode="External"/><Relationship Id="rId19" Type="http://schemas.openxmlformats.org/officeDocument/2006/relationships/hyperlink" Target="https://doi.org/10.22438/jeb/40/5/MRN-125" TargetMode="External"/><Relationship Id="rId31" Type="http://schemas.openxmlformats.org/officeDocument/2006/relationships/hyperlink" Target="https://www.who.int/publications/i/item/9789240005662" TargetMode="External"/><Relationship Id="rId4" Type="http://schemas.openxmlformats.org/officeDocument/2006/relationships/webSettings" Target="webSettings.xml"/><Relationship Id="rId9" Type="http://schemas.openxmlformats.org/officeDocument/2006/relationships/hyperlink" Target="https://doi.org/10.1186/s41936-020-00175-8" TargetMode="External"/><Relationship Id="rId14" Type="http://schemas.openxmlformats.org/officeDocument/2006/relationships/hyperlink" Target="https://doi.org/10.1007/s10646-018-1947-1" TargetMode="External"/><Relationship Id="rId22" Type="http://schemas.openxmlformats.org/officeDocument/2006/relationships/hyperlink" Target="https://doi.org/10.1007/s13762-016-1130-3" TargetMode="External"/><Relationship Id="rId27" Type="http://schemas.openxmlformats.org/officeDocument/2006/relationships/hyperlink" Target="https://doi.org/10.1007/s10695-016-0312-3" TargetMode="External"/><Relationship Id="rId30" Type="http://schemas.openxmlformats.org/officeDocument/2006/relationships/hyperlink" Target="https://doi.org/10.1007/s11356-023-25512-3"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1640</TotalTime>
  <Pages>14</Pages>
  <Words>7707</Words>
  <Characters>43936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51540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2025-08-17T06:45:00Z</dcterms:created>
  <dcterms:modified xsi:type="dcterms:W3CDTF">2025-12-02T18:30:00Z</dcterms:modified>
</cp:coreProperties>
</file>