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EE" w:rsidRDefault="001E61DA" w:rsidP="001A4072">
      <w:pPr>
        <w:pBdr>
          <w:bottom w:val="single" w:sz="12" w:space="1" w:color="auto"/>
        </w:pBdr>
        <w:spacing w:after="0"/>
        <w:outlineLvl w:val="1"/>
        <w:rPr>
          <w:rFonts w:asciiTheme="majorHAnsi" w:eastAsia="Times New Roman" w:hAnsiTheme="majorHAnsi" w:cstheme="majorBidi"/>
          <w:spacing w:val="5"/>
          <w:kern w:val="28"/>
          <w:sz w:val="44"/>
          <w:szCs w:val="40"/>
        </w:rPr>
      </w:pPr>
      <w:r w:rsidRPr="001E61DA">
        <w:rPr>
          <w:rFonts w:asciiTheme="majorHAnsi" w:eastAsia="Times New Roman" w:hAnsiTheme="majorHAnsi" w:cstheme="majorBidi"/>
          <w:spacing w:val="5"/>
          <w:kern w:val="28"/>
          <w:sz w:val="44"/>
          <w:szCs w:val="40"/>
        </w:rPr>
        <w:t xml:space="preserve">Enzymatic Biomarker Responses of </w:t>
      </w:r>
      <w:r w:rsidRPr="001E61DA">
        <w:rPr>
          <w:rFonts w:asciiTheme="majorHAnsi" w:eastAsia="Times New Roman" w:hAnsiTheme="majorHAnsi" w:cstheme="majorBidi"/>
          <w:i/>
          <w:iCs/>
          <w:spacing w:val="5"/>
          <w:kern w:val="28"/>
          <w:sz w:val="44"/>
          <w:szCs w:val="40"/>
        </w:rPr>
        <w:t>Channa punctata</w:t>
      </w:r>
      <w:r w:rsidRPr="001E61DA">
        <w:rPr>
          <w:rFonts w:asciiTheme="majorHAnsi" w:eastAsia="Times New Roman" w:hAnsiTheme="majorHAnsi" w:cstheme="majorBidi"/>
          <w:spacing w:val="5"/>
          <w:kern w:val="28"/>
          <w:sz w:val="44"/>
          <w:szCs w:val="40"/>
        </w:rPr>
        <w:t xml:space="preserve"> to Industrial Effluent Contamination in Freshwater River Ecosystems: A Review</w:t>
      </w:r>
    </w:p>
    <w:p w:rsidR="001E61DA" w:rsidRDefault="001E61DA" w:rsidP="001A4072">
      <w:pPr>
        <w:spacing w:after="0"/>
        <w:outlineLvl w:val="1"/>
        <w:rPr>
          <w:rFonts w:ascii="Times New Roman" w:eastAsia="Times New Roman" w:hAnsi="Times New Roman" w:cs="Times New Roman"/>
          <w:b/>
          <w:bCs/>
          <w:sz w:val="28"/>
          <w:szCs w:val="28"/>
        </w:rPr>
      </w:pPr>
    </w:p>
    <w:p w:rsidR="00D74E40" w:rsidRPr="00FE24B9" w:rsidRDefault="00D74E40" w:rsidP="001A4072">
      <w:pPr>
        <w:spacing w:after="0"/>
        <w:outlineLvl w:val="1"/>
        <w:rPr>
          <w:rFonts w:ascii="Times New Roman" w:eastAsia="Times New Roman" w:hAnsi="Times New Roman" w:cs="Times New Roman"/>
          <w:b/>
          <w:bCs/>
          <w:sz w:val="28"/>
          <w:szCs w:val="28"/>
        </w:rPr>
      </w:pPr>
      <w:r w:rsidRPr="00FE24B9">
        <w:rPr>
          <w:rFonts w:ascii="Times New Roman" w:eastAsia="Times New Roman" w:hAnsi="Times New Roman" w:cs="Times New Roman"/>
          <w:b/>
          <w:bCs/>
          <w:sz w:val="28"/>
          <w:szCs w:val="28"/>
        </w:rPr>
        <w:t>Abstract</w:t>
      </w:r>
    </w:p>
    <w:p w:rsidR="00DE3664" w:rsidRDefault="00DE3664" w:rsidP="00DE3664">
      <w:pPr>
        <w:spacing w:after="0" w:line="480" w:lineRule="auto"/>
        <w:jc w:val="both"/>
        <w:outlineLvl w:val="1"/>
        <w:rPr>
          <w:rFonts w:ascii="Times New Roman" w:eastAsia="Times New Roman" w:hAnsi="Times New Roman" w:cs="Times New Roman"/>
          <w:i/>
          <w:iCs/>
          <w:sz w:val="24"/>
          <w:szCs w:val="24"/>
        </w:rPr>
      </w:pPr>
      <w:r w:rsidRPr="00DE3664">
        <w:rPr>
          <w:rFonts w:ascii="Times New Roman" w:eastAsia="Times New Roman" w:hAnsi="Times New Roman" w:cs="Times New Roman"/>
          <w:i/>
          <w:iCs/>
          <w:sz w:val="24"/>
          <w:szCs w:val="24"/>
        </w:rPr>
        <w:t>Freshwater habitats in India are increasingly strained by the steady influx of industrial waste, a trend that has raised serious concern for the long-term health of aquatic organisms. The present review sets out to examine how key enzymatic biomarkers</w:t>
      </w:r>
      <w:r>
        <w:rPr>
          <w:rFonts w:ascii="Times New Roman" w:eastAsia="Times New Roman" w:hAnsi="Times New Roman" w:cs="Times New Roman"/>
          <w:i/>
          <w:iCs/>
          <w:sz w:val="24"/>
          <w:szCs w:val="24"/>
        </w:rPr>
        <w:t xml:space="preserve"> </w:t>
      </w:r>
      <w:r w:rsidRPr="00DE3664">
        <w:rPr>
          <w:rFonts w:ascii="Times New Roman" w:eastAsia="Times New Roman" w:hAnsi="Times New Roman" w:cs="Times New Roman"/>
          <w:i/>
          <w:iCs/>
          <w:sz w:val="24"/>
          <w:szCs w:val="24"/>
        </w:rPr>
        <w:t>aspartate aminotransferase (AST), alanine aminotransferase (ALT), lactate dehydrogenase (LDH), alkaline phosphatase (ALP), and acid phosphatase (ACP)</w:t>
      </w:r>
      <w:r>
        <w:rPr>
          <w:rFonts w:ascii="Times New Roman" w:eastAsia="Times New Roman" w:hAnsi="Times New Roman" w:cs="Times New Roman"/>
          <w:i/>
          <w:iCs/>
          <w:sz w:val="24"/>
          <w:szCs w:val="24"/>
        </w:rPr>
        <w:t xml:space="preserve"> </w:t>
      </w:r>
      <w:r w:rsidRPr="00DE3664">
        <w:rPr>
          <w:rFonts w:ascii="Times New Roman" w:eastAsia="Times New Roman" w:hAnsi="Times New Roman" w:cs="Times New Roman"/>
          <w:i/>
          <w:iCs/>
          <w:sz w:val="24"/>
          <w:szCs w:val="24"/>
        </w:rPr>
        <w:t>respond in Channa punctata when the fish are exposed to industrially contaminated rivers. To achieve this, research articles published between 2010 and 2024 were surveyed to trace changes in biochemical enzyme activity in populations inhabiting areas affected by effluents from paper and pulp units, tanneries, textile processing facilities, pharmaceutical industries, and mining operations rich in heavy metals. The review draws together evidence on seasonal behaviour of these biomarkers, variations between river systems, and the nature of disturbances associated with different categories of pollutants. Across the studies reviewed, increases in AST, ALT, and LDH were frequently reported, signalling tissue injury and altered metabolic function, while shifts in ALP and ACP pointed to disruptions in membrane activity and lysosomal processes. Taken together, these findings emphasise the sensitivity of C. punctata to complex industrial mixtures and reaffirm the usefulness of enzyme-based indicators in strengthening biomonitoring efforts across Indian freshwater ecosystems.</w:t>
      </w:r>
    </w:p>
    <w:p w:rsidR="00D74E40" w:rsidRPr="00D74E40" w:rsidRDefault="00D74E40" w:rsidP="001A4072">
      <w:pPr>
        <w:spacing w:after="0"/>
        <w:outlineLvl w:val="1"/>
        <w:rPr>
          <w:rFonts w:ascii="Times New Roman" w:eastAsia="Times New Roman" w:hAnsi="Times New Roman" w:cs="Times New Roman"/>
          <w:b/>
          <w:bCs/>
          <w:sz w:val="36"/>
          <w:szCs w:val="36"/>
        </w:rPr>
      </w:pPr>
      <w:r w:rsidRPr="00EF4E40">
        <w:rPr>
          <w:rFonts w:ascii="Times New Roman" w:eastAsia="Times New Roman" w:hAnsi="Times New Roman" w:cs="Times New Roman"/>
          <w:b/>
          <w:bCs/>
          <w:sz w:val="28"/>
          <w:szCs w:val="28"/>
        </w:rPr>
        <w:t>Keywords</w:t>
      </w:r>
    </w:p>
    <w:p w:rsidR="00EF4E40" w:rsidRDefault="005C1F50" w:rsidP="00DE3664">
      <w:pPr>
        <w:spacing w:after="0" w:line="480" w:lineRule="auto"/>
        <w:jc w:val="both"/>
        <w:rPr>
          <w:rFonts w:ascii="Times New Roman" w:eastAsia="Times New Roman" w:hAnsi="Times New Roman" w:cs="Times New Roman"/>
          <w:sz w:val="24"/>
          <w:szCs w:val="24"/>
        </w:rPr>
      </w:pPr>
      <w:r w:rsidRPr="005C1F50">
        <w:rPr>
          <w:rFonts w:ascii="Times New Roman" w:eastAsia="Times New Roman" w:hAnsi="Times New Roman" w:cs="Times New Roman"/>
          <w:i/>
          <w:iCs/>
          <w:sz w:val="24"/>
          <w:szCs w:val="24"/>
        </w:rPr>
        <w:t>Channa punctata,</w:t>
      </w:r>
      <w:r>
        <w:rPr>
          <w:rFonts w:ascii="Times New Roman" w:eastAsia="Times New Roman" w:hAnsi="Times New Roman" w:cs="Times New Roman"/>
          <w:sz w:val="24"/>
          <w:szCs w:val="24"/>
        </w:rPr>
        <w:t xml:space="preserve"> Industrial effluent, Enzymatic biomarkers, AST, ALT, LDH, ALP,</w:t>
      </w:r>
      <w:r w:rsidR="00D74E40" w:rsidRPr="00D74E40">
        <w:rPr>
          <w:rFonts w:ascii="Times New Roman" w:eastAsia="Times New Roman" w:hAnsi="Times New Roman" w:cs="Times New Roman"/>
          <w:sz w:val="24"/>
          <w:szCs w:val="24"/>
        </w:rPr>
        <w:t xml:space="preserve"> ACP</w:t>
      </w:r>
      <w:r>
        <w:rPr>
          <w:rFonts w:ascii="Times New Roman" w:eastAsia="Times New Roman" w:hAnsi="Times New Roman" w:cs="Times New Roman"/>
          <w:sz w:val="24"/>
          <w:szCs w:val="24"/>
        </w:rPr>
        <w:t>, Seasonal variation,</w:t>
      </w:r>
      <w:r w:rsidR="00D74E40" w:rsidRPr="00D74E40">
        <w:rPr>
          <w:rFonts w:ascii="Times New Roman" w:eastAsia="Times New Roman" w:hAnsi="Times New Roman" w:cs="Times New Roman"/>
          <w:sz w:val="24"/>
          <w:szCs w:val="24"/>
        </w:rPr>
        <w:t xml:space="preserve"> Indian rivers</w:t>
      </w:r>
      <w:r>
        <w:rPr>
          <w:rFonts w:ascii="Times New Roman" w:eastAsia="Times New Roman" w:hAnsi="Times New Roman" w:cs="Times New Roman"/>
          <w:sz w:val="24"/>
          <w:szCs w:val="24"/>
        </w:rPr>
        <w:t>.</w:t>
      </w:r>
    </w:p>
    <w:p w:rsidR="00D74E40" w:rsidRPr="00EF4E40" w:rsidRDefault="00D74E40" w:rsidP="001A4072">
      <w:pPr>
        <w:spacing w:after="0" w:line="360" w:lineRule="auto"/>
        <w:rPr>
          <w:rFonts w:ascii="Times New Roman" w:eastAsia="Times New Roman" w:hAnsi="Times New Roman" w:cs="Times New Roman"/>
          <w:sz w:val="24"/>
          <w:szCs w:val="24"/>
        </w:rPr>
      </w:pPr>
      <w:r w:rsidRPr="001A4072">
        <w:rPr>
          <w:rFonts w:ascii="Times New Roman" w:eastAsia="Times New Roman" w:hAnsi="Times New Roman" w:cs="Times New Roman"/>
          <w:b/>
          <w:bCs/>
          <w:sz w:val="28"/>
          <w:szCs w:val="28"/>
        </w:rPr>
        <w:lastRenderedPageBreak/>
        <w:t>Introduction</w:t>
      </w:r>
    </w:p>
    <w:p w:rsidR="0097592E" w:rsidRDefault="00603FA0" w:rsidP="0097592E">
      <w:pPr>
        <w:spacing w:after="0" w:line="360" w:lineRule="auto"/>
        <w:jc w:val="both"/>
        <w:outlineLvl w:val="1"/>
        <w:rPr>
          <w:rFonts w:ascii="Times New Roman" w:eastAsia="Times New Roman" w:hAnsi="Times New Roman" w:cs="Times New Roman"/>
          <w:sz w:val="24"/>
          <w:szCs w:val="24"/>
        </w:rPr>
      </w:pPr>
      <w:r w:rsidRPr="00603FA0">
        <w:rPr>
          <w:rFonts w:ascii="Times New Roman" w:eastAsia="Times New Roman" w:hAnsi="Times New Roman" w:cs="Times New Roman"/>
          <w:sz w:val="24"/>
          <w:szCs w:val="24"/>
        </w:rPr>
        <w:t>Rapid industrial development in recent decades has intensified the release of partially treated or untreated effluents into freshwater ecosystems, a trend particularly evident in developing nations such as India. These discharges often contain complex mixtures of heavy metals, phenolic compounds, synthetic dyes, acids, alkalis and other xenobiotic substances. When such contaminants enter rivers and wetlands, they disrupt water chemistry, degrade habitat quality and pose serious risks to aquatic life. Freshwater fishes are among the most affected groups because they readily absorb pollutants through their gills, skin and dietary intake. As a result, they tend to accumulate toxic substances in their tissues and exhibit clear biochemical and physiological disturbances, making them reliable organisms for monitoring environmental contamination (Sarah, Jahan &amp; Singh, 2019). Channa punctata, the spotted snakehead, is one of the most commonly studied species in Indian ecotoxicology due to its wide distribution, adaptability to variable water quality and economic value as a food fish. Its sensitivity to industrial pollutants, combined with its ability to survive in moderately stressed habitats, makes it an effective sentinel species for field-based assessments (Shukla &amp; Prakash, 2022). In particular, enzyme-based biomarkers have gained importance because they provide early indications of metabolic stress and tissue impairment at relatively low cost and with high analytical sensitivity (Naz et al., 2023). Key enzymes such as Aspartate Aminotransferase (AST), Alanine Aminotransferase (ALT), Lactate Dehydrogenase (LDH), Alkaline Phosphatase (ALP) and Acid Phosphatase (ACP) are essential for energy metabolism, hepatopancreatic activity and lysosomal function in fish. Shifts in their activity levels can reveal early cellular injury, alterations in membrane integrity or disruptions in osmoregulatory balance (textile-effluent exposure study; see equalization-tank effluent of textile industry, 2023). Seasonal changes in rainfall, river flow and dilution capacity further influence the toxicity of industrial effluents, resulting in fluctuating biomarker responses throughout the year. The present review consolidates studies published between 2010 and 2024 that have examined enzymatic responses in C. punctata exposed to various industrial effluents across Indian river systems. It compares seasonal and regional trends, evaluates the influence of effluent type on biochemical alterations and identifies existing research gaps.</w:t>
      </w:r>
    </w:p>
    <w:p w:rsidR="0097592E" w:rsidRDefault="0097592E" w:rsidP="0097592E">
      <w:pPr>
        <w:spacing w:after="0" w:line="360" w:lineRule="auto"/>
        <w:jc w:val="both"/>
        <w:outlineLvl w:val="1"/>
        <w:rPr>
          <w:rFonts w:ascii="Times New Roman" w:eastAsia="Times New Roman" w:hAnsi="Times New Roman" w:cs="Times New Roman"/>
          <w:sz w:val="24"/>
          <w:szCs w:val="24"/>
        </w:rPr>
      </w:pPr>
    </w:p>
    <w:p w:rsidR="00603FA0" w:rsidRDefault="00603FA0" w:rsidP="0097592E">
      <w:pPr>
        <w:spacing w:after="0" w:line="360" w:lineRule="auto"/>
        <w:jc w:val="both"/>
        <w:outlineLvl w:val="1"/>
        <w:rPr>
          <w:rFonts w:ascii="Times New Roman" w:eastAsia="Times New Roman" w:hAnsi="Times New Roman" w:cs="Times New Roman"/>
          <w:sz w:val="24"/>
          <w:szCs w:val="24"/>
        </w:rPr>
      </w:pPr>
    </w:p>
    <w:p w:rsidR="00A33743" w:rsidRDefault="00A33743" w:rsidP="00A33743">
      <w:pPr>
        <w:spacing w:after="0"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inline distT="0" distB="0" distL="0" distR="0">
            <wp:extent cx="5943600" cy="3175050"/>
            <wp:effectExtent l="38100" t="57150" r="114300" b="101550"/>
            <wp:docPr id="4" name="Picture 4" descr="C:\Users\USER\Downloads\nduction-of-oxidative-stress-in-fish-and-inhibitory-effect-of-heat-shock-protei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nduction-of-oxidative-stress-in-fish-and-inhibitory-effect-of-heat-shock-proteins.png"/>
                    <pic:cNvPicPr>
                      <a:picLocks noChangeAspect="1" noChangeArrowheads="1"/>
                    </pic:cNvPicPr>
                  </pic:nvPicPr>
                  <pic:blipFill>
                    <a:blip r:embed="rId7"/>
                    <a:srcRect/>
                    <a:stretch>
                      <a:fillRect/>
                    </a:stretch>
                  </pic:blipFill>
                  <pic:spPr bwMode="auto">
                    <a:xfrm>
                      <a:off x="0" y="0"/>
                      <a:ext cx="5946924" cy="31768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33743" w:rsidRDefault="00A33743" w:rsidP="001A4072">
      <w:pPr>
        <w:spacing w:after="0" w:line="360" w:lineRule="auto"/>
        <w:outlineLvl w:val="1"/>
        <w:rPr>
          <w:rFonts w:ascii="Times New Roman" w:eastAsia="Times New Roman" w:hAnsi="Times New Roman" w:cs="Times New Roman"/>
          <w:b/>
          <w:bCs/>
          <w:sz w:val="28"/>
          <w:szCs w:val="28"/>
        </w:rPr>
      </w:pPr>
    </w:p>
    <w:p w:rsidR="00A33743" w:rsidRDefault="00A33743" w:rsidP="001A4072">
      <w:pPr>
        <w:spacing w:after="0" w:line="36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extent cx="5943600" cy="2389823"/>
            <wp:effectExtent l="38100" t="57150" r="114300" b="8667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23898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33743" w:rsidRPr="00A33743" w:rsidRDefault="00A33743" w:rsidP="00A33743">
      <w:pPr>
        <w:spacing w:after="0" w:line="360" w:lineRule="auto"/>
        <w:jc w:val="center"/>
        <w:outlineLvl w:val="1"/>
        <w:rPr>
          <w:rFonts w:ascii="Times New Roman" w:eastAsia="Times New Roman" w:hAnsi="Times New Roman" w:cs="Times New Roman"/>
          <w:b/>
          <w:bCs/>
          <w:i/>
          <w:iCs/>
          <w:sz w:val="24"/>
          <w:szCs w:val="24"/>
        </w:rPr>
      </w:pPr>
      <w:r w:rsidRPr="00A33743">
        <w:rPr>
          <w:rFonts w:ascii="Times New Roman" w:eastAsia="Times New Roman" w:hAnsi="Times New Roman" w:cs="Times New Roman"/>
          <w:b/>
          <w:bCs/>
          <w:i/>
          <w:iCs/>
          <w:sz w:val="24"/>
          <w:szCs w:val="24"/>
        </w:rPr>
        <w:t>Fig 1 :</w:t>
      </w:r>
      <w:r w:rsidRPr="00A33743">
        <w:rPr>
          <w:i/>
          <w:iCs/>
          <w:sz w:val="20"/>
          <w:szCs w:val="18"/>
        </w:rPr>
        <w:t xml:space="preserve"> </w:t>
      </w:r>
      <w:r w:rsidRPr="00A33743">
        <w:rPr>
          <w:rFonts w:ascii="Times New Roman" w:eastAsia="Times New Roman" w:hAnsi="Times New Roman" w:cs="Times New Roman"/>
          <w:b/>
          <w:bCs/>
          <w:i/>
          <w:iCs/>
          <w:sz w:val="24"/>
          <w:szCs w:val="24"/>
        </w:rPr>
        <w:t>Conceptual overview of the enzymatic response pathway in Channa punctata under industrial effluent exposure &amp; highlighting oxidative stress initiation</w:t>
      </w:r>
    </w:p>
    <w:p w:rsidR="00A33743" w:rsidRDefault="00A33743" w:rsidP="001A4072">
      <w:pPr>
        <w:spacing w:after="0" w:line="360" w:lineRule="auto"/>
        <w:outlineLvl w:val="1"/>
        <w:rPr>
          <w:rFonts w:ascii="Times New Roman" w:eastAsia="Times New Roman" w:hAnsi="Times New Roman" w:cs="Times New Roman"/>
          <w:b/>
          <w:bCs/>
          <w:sz w:val="28"/>
          <w:szCs w:val="28"/>
        </w:rPr>
      </w:pPr>
    </w:p>
    <w:p w:rsidR="00A33743" w:rsidRDefault="00A33743" w:rsidP="001A4072">
      <w:pPr>
        <w:spacing w:after="0" w:line="360" w:lineRule="auto"/>
        <w:outlineLvl w:val="1"/>
        <w:rPr>
          <w:rFonts w:ascii="Times New Roman" w:eastAsia="Times New Roman" w:hAnsi="Times New Roman" w:cs="Times New Roman"/>
          <w:b/>
          <w:bCs/>
          <w:sz w:val="28"/>
          <w:szCs w:val="28"/>
        </w:rPr>
      </w:pPr>
    </w:p>
    <w:p w:rsidR="00A33743" w:rsidRDefault="00A33743" w:rsidP="001A4072">
      <w:pPr>
        <w:spacing w:after="0" w:line="360" w:lineRule="auto"/>
        <w:outlineLvl w:val="1"/>
        <w:rPr>
          <w:rFonts w:ascii="Times New Roman" w:eastAsia="Times New Roman" w:hAnsi="Times New Roman" w:cs="Times New Roman"/>
          <w:b/>
          <w:bCs/>
          <w:sz w:val="28"/>
          <w:szCs w:val="28"/>
        </w:rPr>
      </w:pPr>
    </w:p>
    <w:p w:rsidR="00A33743" w:rsidRDefault="00A33743" w:rsidP="001A4072">
      <w:pPr>
        <w:spacing w:after="0" w:line="360" w:lineRule="auto"/>
        <w:outlineLvl w:val="1"/>
        <w:rPr>
          <w:rFonts w:ascii="Times New Roman" w:eastAsia="Times New Roman" w:hAnsi="Times New Roman" w:cs="Times New Roman"/>
          <w:b/>
          <w:bCs/>
          <w:sz w:val="28"/>
          <w:szCs w:val="28"/>
        </w:rPr>
      </w:pPr>
    </w:p>
    <w:p w:rsidR="00D74E40" w:rsidRPr="00EF4E40" w:rsidRDefault="00D74E40" w:rsidP="001A4072">
      <w:pPr>
        <w:spacing w:after="0" w:line="360" w:lineRule="auto"/>
        <w:outlineLvl w:val="1"/>
        <w:rPr>
          <w:rFonts w:ascii="Times New Roman" w:eastAsia="Times New Roman" w:hAnsi="Times New Roman" w:cs="Times New Roman"/>
          <w:b/>
          <w:bCs/>
          <w:sz w:val="28"/>
          <w:szCs w:val="28"/>
        </w:rPr>
      </w:pPr>
      <w:r w:rsidRPr="00EF4E40">
        <w:rPr>
          <w:rFonts w:ascii="Times New Roman" w:eastAsia="Times New Roman" w:hAnsi="Times New Roman" w:cs="Times New Roman"/>
          <w:b/>
          <w:bCs/>
          <w:sz w:val="28"/>
          <w:szCs w:val="28"/>
        </w:rPr>
        <w:lastRenderedPageBreak/>
        <w:t xml:space="preserve">Methodology </w:t>
      </w:r>
    </w:p>
    <w:p w:rsidR="0099475C" w:rsidRPr="0099475C" w:rsidRDefault="0099475C" w:rsidP="0099475C">
      <w:pPr>
        <w:pStyle w:val="NormalWeb"/>
        <w:spacing w:before="0" w:beforeAutospacing="0" w:after="0" w:afterAutospacing="0" w:line="360" w:lineRule="auto"/>
        <w:jc w:val="both"/>
      </w:pPr>
      <w:r w:rsidRPr="0099475C">
        <w:t xml:space="preserve">This review was undertaken with the objective of consolidating research on industrial-effluent-induced enzymatic alterations in </w:t>
      </w:r>
      <w:r w:rsidRPr="0099475C">
        <w:rPr>
          <w:rStyle w:val="Emphasis"/>
        </w:rPr>
        <w:t>Channa punctata</w:t>
      </w:r>
      <w:r w:rsidRPr="0099475C">
        <w:t>, a freshwater teleost widely recognised as a sensitive indicator of aquatic contamination. The review period of 2010–2024 was selected to encompass both foundational studies and recent advancements in biomarker-based ecotoxicological assessment. Industrial expansion in South Asia has accelerated rapidly over the last decade, leading to intensified pollutant discharge into freshwater ecosystems, therefore a focused review window was necessary to evaluate metabolic responses within this evolving pollution landscape.</w:t>
      </w:r>
    </w:p>
    <w:p w:rsidR="0099475C" w:rsidRPr="0099475C" w:rsidRDefault="0099475C" w:rsidP="0099475C">
      <w:pPr>
        <w:pStyle w:val="NormalWeb"/>
        <w:spacing w:before="0" w:beforeAutospacing="0" w:after="0" w:afterAutospacing="0" w:line="360" w:lineRule="auto"/>
        <w:jc w:val="both"/>
      </w:pPr>
      <w:r w:rsidRPr="0099475C">
        <w:t>To ensure comprehensive coverage and reduce the risk of missing relevant data, literature was retrieved from multiple academic databases including ScienceDirect, Scopus, PubMed, SpringerLink, Web of Science and Google Scholar. Using several platforms enabled cross-matching of indexed articles, improved literature diversity and strengthened review reliability. The combined repositories represent the majority of global ecotoxicology publications, which supported the development of a scientifically inclusive dataset.</w:t>
      </w:r>
    </w:p>
    <w:p w:rsidR="0099475C" w:rsidRPr="0099475C" w:rsidRDefault="0099475C" w:rsidP="0099475C">
      <w:pPr>
        <w:pStyle w:val="NormalWeb"/>
        <w:spacing w:before="0" w:beforeAutospacing="0" w:after="0" w:afterAutospacing="0" w:line="360" w:lineRule="auto"/>
        <w:jc w:val="both"/>
      </w:pPr>
      <w:r w:rsidRPr="0099475C">
        <w:t xml:space="preserve">A multi-layered keyword strategy was used involving Boolean operators to refine search accuracy. Primary search phrases included </w:t>
      </w:r>
      <w:r w:rsidRPr="0099475C">
        <w:rPr>
          <w:rStyle w:val="Emphasis"/>
        </w:rPr>
        <w:t>“Channa punctata”, “industrial effluents”, “enzyme biomarkers”, “AST”, “ALT”, “LDH”, “ALP”, “ACP”, “river pollution”, and “seasonal variation in fish physiology”</w:t>
      </w:r>
      <w:r w:rsidRPr="0099475C">
        <w:t xml:space="preserve">. These terms were used individually and in combination forms such as </w:t>
      </w:r>
      <w:r w:rsidRPr="0099475C">
        <w:rPr>
          <w:rStyle w:val="Emphasis"/>
        </w:rPr>
        <w:t>ALT + effluent exposure</w:t>
      </w:r>
      <w:r w:rsidRPr="0099475C">
        <w:t xml:space="preserve"> and </w:t>
      </w:r>
      <w:r w:rsidRPr="0099475C">
        <w:rPr>
          <w:rStyle w:val="Emphasis"/>
        </w:rPr>
        <w:t>LDH + river contamination</w:t>
      </w:r>
      <w:r w:rsidRPr="0099475C">
        <w:t xml:space="preserve"> to retrieve research directly examining biochemical responses under effluent stress. This targeted search format ensured thematic relevance across all selected sources.</w:t>
      </w:r>
    </w:p>
    <w:p w:rsidR="0099475C" w:rsidRPr="0099475C" w:rsidRDefault="0099475C" w:rsidP="0099475C">
      <w:pPr>
        <w:pStyle w:val="NormalWeb"/>
        <w:spacing w:before="0" w:beforeAutospacing="0" w:after="0" w:afterAutospacing="0" w:line="360" w:lineRule="auto"/>
        <w:jc w:val="both"/>
      </w:pPr>
      <w:r w:rsidRPr="0099475C">
        <w:t>Beyond conventional keyword searches, advanced digital research tools were applied to expand retrieval depth and identify emerging publishing trends. Citation-network mapping in Scopus and topic-cluster visualisation in Web of Science allowed identification of interconnected research groups and recently published studies that may not surface through standard keyword algorithms alone. These enhancements were particularly useful for capturing post-2021 studies, strengthening temporal relevance.</w:t>
      </w:r>
    </w:p>
    <w:p w:rsidR="0099475C" w:rsidRPr="0099475C" w:rsidRDefault="0099475C" w:rsidP="0099475C">
      <w:pPr>
        <w:pStyle w:val="NormalWeb"/>
        <w:spacing w:before="0" w:beforeAutospacing="0" w:after="0" w:afterAutospacing="0" w:line="360" w:lineRule="auto"/>
        <w:jc w:val="both"/>
      </w:pPr>
      <w:r w:rsidRPr="0099475C">
        <w:t xml:space="preserve">Only peer-reviewed English-language studies were considered, and inclusion required direct exposure of </w:t>
      </w:r>
      <w:r w:rsidRPr="0099475C">
        <w:rPr>
          <w:rStyle w:val="Emphasis"/>
        </w:rPr>
        <w:t>Channa punctata</w:t>
      </w:r>
      <w:r w:rsidRPr="0099475C">
        <w:t xml:space="preserve"> to industrial effluent—either through field monitoring or laboratory assays using authentic wastewater. Eligible studies needed to report measurable </w:t>
      </w:r>
      <w:r w:rsidRPr="0099475C">
        <w:lastRenderedPageBreak/>
        <w:t xml:space="preserve">changes in at least one core enzyme: Aspartate Aminotransferase (AST), Alanine Aminotransferase (ALT), Lactate Dehydrogenase (LDH), Alkaline Phosphatase (ALP) or Acid Phosphatase (ACP), because these biomarkers are globally accepted indicators of metabolic imbalance, hepatocellular leakage and physiological stress in fish (Van der Oost </w:t>
      </w:r>
      <w:r w:rsidRPr="00F959EF">
        <w:rPr>
          <w:i/>
          <w:iCs/>
        </w:rPr>
        <w:t>et al.,</w:t>
      </w:r>
      <w:r w:rsidRPr="0099475C">
        <w:t xml:space="preserve"> 2003; Kumar </w:t>
      </w:r>
      <w:r w:rsidRPr="00F959EF">
        <w:rPr>
          <w:i/>
          <w:iCs/>
        </w:rPr>
        <w:t>et al.,</w:t>
      </w:r>
      <w:r w:rsidRPr="0099475C">
        <w:t xml:space="preserve"> 2019).</w:t>
      </w:r>
    </w:p>
    <w:p w:rsidR="0099475C" w:rsidRPr="0099475C" w:rsidRDefault="0099475C" w:rsidP="0099475C">
      <w:pPr>
        <w:pStyle w:val="NormalWeb"/>
        <w:spacing w:before="0" w:beforeAutospacing="0" w:after="0" w:afterAutospacing="0" w:line="360" w:lineRule="auto"/>
        <w:jc w:val="both"/>
      </w:pPr>
      <w:r w:rsidRPr="0099475C">
        <w:t>Articles focusing solely on agricultural or pesticide toxicity without industrial effluent involvement were excluded to prevent thematic dilution. Research lacking biochemical enzyme data or presenting only qualitative observations without measurable endpoints was also removed. Studies centred exclusively on histological, antioxidant or genetic biomarkers were included only where enzymatic correlations were present, maintaining enzymatic response as the central analytical focus.</w:t>
      </w:r>
    </w:p>
    <w:p w:rsidR="0099475C" w:rsidRPr="0099475C" w:rsidRDefault="0099475C" w:rsidP="0099475C">
      <w:pPr>
        <w:pStyle w:val="NormalWeb"/>
        <w:spacing w:before="0" w:beforeAutospacing="0" w:after="0" w:afterAutospacing="0" w:line="360" w:lineRule="auto"/>
        <w:jc w:val="both"/>
      </w:pPr>
      <w:r w:rsidRPr="0099475C">
        <w:t xml:space="preserve">A uniform extraction template was adopted for all retained studies, capturing essential details such as river location, dominant industry type, effluent characteristics, sampling season, exposure duration and magnitude of enzyme variation. Supporting physicochemical parameters including dissolved oxygen, pH, water temperature, conductivity and metal concentration were noted where available, as these factors influence enzyme fluctuations and toxicity severity. Oxidative stress markers such as SOD, CAT, GST and lipid peroxidation were also recorded to help interpret enzyme responses mechanistically (Fazio </w:t>
      </w:r>
      <w:r w:rsidRPr="00F959EF">
        <w:rPr>
          <w:i/>
          <w:iCs/>
        </w:rPr>
        <w:t>et al.,</w:t>
      </w:r>
      <w:r w:rsidRPr="0099475C">
        <w:t xml:space="preserve"> 2020).</w:t>
      </w:r>
    </w:p>
    <w:p w:rsidR="0099475C" w:rsidRDefault="0099475C" w:rsidP="0099475C">
      <w:pPr>
        <w:pStyle w:val="NormalWeb"/>
        <w:spacing w:before="0" w:beforeAutospacing="0" w:after="0" w:afterAutospacing="0" w:line="360" w:lineRule="auto"/>
        <w:jc w:val="both"/>
      </w:pPr>
      <w:r w:rsidRPr="0099475C">
        <w:t xml:space="preserve">Field-based river monitoring studies were prioritised; however, laboratory trials using real industrial wastewater were incorporated to complement situations where seasonal or long-term field data were limited, particularly for critically polluted rivers like Yamuna, Damodar and Cooum (CPCB, 2022). Extracted information was synthesised using narrative review methodology to identify recurring enzymatic patterns, seasonal fluctuations, pollutant-specific alterations and mechanistic pathways. This structure followed accepted review principles for data integration (Xiao &amp; Watson, 2019; Liberati </w:t>
      </w:r>
      <w:r w:rsidRPr="00F959EF">
        <w:rPr>
          <w:i/>
          <w:iCs/>
        </w:rPr>
        <w:t>et al.,</w:t>
      </w:r>
      <w:r w:rsidRPr="0099475C">
        <w:t xml:space="preserve"> 2009; Moher </w:t>
      </w:r>
      <w:r w:rsidRPr="00F959EF">
        <w:rPr>
          <w:i/>
          <w:iCs/>
        </w:rPr>
        <w:t>et al</w:t>
      </w:r>
      <w:r w:rsidRPr="0099475C">
        <w:t xml:space="preserve">., 2015), enabling a reliable assessment of effluent-driven biochemical disruption in </w:t>
      </w:r>
      <w:r w:rsidRPr="0099475C">
        <w:rPr>
          <w:rStyle w:val="Emphasis"/>
        </w:rPr>
        <w:t>Channa punctata</w:t>
      </w:r>
      <w:r w:rsidRPr="0099475C">
        <w:t>.</w:t>
      </w:r>
    </w:p>
    <w:p w:rsidR="00F77AED" w:rsidRPr="00F77AED" w:rsidRDefault="00F77AED" w:rsidP="0099475C">
      <w:pPr>
        <w:spacing w:after="0" w:line="360" w:lineRule="auto"/>
        <w:jc w:val="both"/>
        <w:rPr>
          <w:rFonts w:ascii="Times New Roman" w:eastAsia="Times New Roman" w:hAnsi="Times New Roman" w:cs="Times New Roman"/>
          <w:b/>
          <w:bCs/>
          <w:sz w:val="24"/>
          <w:szCs w:val="24"/>
        </w:rPr>
      </w:pPr>
      <w:r w:rsidRPr="00F77AED">
        <w:rPr>
          <w:rFonts w:ascii="Times New Roman" w:hAnsi="Times New Roman" w:cs="Times New Roman"/>
          <w:b/>
          <w:bCs/>
          <w:sz w:val="28"/>
          <w:szCs w:val="28"/>
        </w:rPr>
        <w:t xml:space="preserve">Enzyme-wise Alterations in </w:t>
      </w:r>
      <w:r w:rsidRPr="00F77AED">
        <w:rPr>
          <w:rStyle w:val="Emphasis"/>
          <w:rFonts w:ascii="Times New Roman" w:hAnsi="Times New Roman" w:cs="Times New Roman"/>
          <w:b/>
          <w:bCs/>
          <w:sz w:val="28"/>
          <w:szCs w:val="28"/>
        </w:rPr>
        <w:t>Channa punctata</w:t>
      </w:r>
      <w:r w:rsidRPr="00F77AED">
        <w:rPr>
          <w:rFonts w:ascii="Times New Roman" w:hAnsi="Times New Roman" w:cs="Times New Roman"/>
          <w:b/>
          <w:bCs/>
          <w:sz w:val="28"/>
          <w:szCs w:val="28"/>
        </w:rPr>
        <w:t xml:space="preserve"> Under Industrial Effluent Exposure</w:t>
      </w:r>
    </w:p>
    <w:p w:rsidR="00F77AED" w:rsidRPr="00F77AED" w:rsidRDefault="00F77AED" w:rsidP="00F77AED">
      <w:pPr>
        <w:spacing w:after="0" w:line="360" w:lineRule="auto"/>
        <w:jc w:val="both"/>
        <w:rPr>
          <w:rFonts w:ascii="Times New Roman" w:eastAsia="Times New Roman" w:hAnsi="Times New Roman" w:cs="Times New Roman"/>
          <w:sz w:val="24"/>
          <w:szCs w:val="24"/>
        </w:rPr>
      </w:pPr>
      <w:r w:rsidRPr="00F77AED">
        <w:rPr>
          <w:rFonts w:ascii="Times New Roman" w:eastAsia="Times New Roman" w:hAnsi="Times New Roman" w:cs="Times New Roman"/>
          <w:sz w:val="24"/>
          <w:szCs w:val="24"/>
        </w:rPr>
        <w:t xml:space="preserve">Industrial effluents discharged into Indian freshwater systems contain a mixture of organic and inorganic pollutants, many of which exert considerable biochemical stress on resident fish populations. </w:t>
      </w:r>
      <w:r w:rsidRPr="00F77AED">
        <w:rPr>
          <w:rFonts w:ascii="Times New Roman" w:eastAsia="Times New Roman" w:hAnsi="Times New Roman" w:cs="Times New Roman"/>
          <w:i/>
          <w:iCs/>
          <w:sz w:val="24"/>
          <w:szCs w:val="24"/>
        </w:rPr>
        <w:t>Channa punctata</w:t>
      </w:r>
      <w:r w:rsidRPr="00F77AED">
        <w:rPr>
          <w:rFonts w:ascii="Times New Roman" w:eastAsia="Times New Roman" w:hAnsi="Times New Roman" w:cs="Times New Roman"/>
          <w:sz w:val="24"/>
          <w:szCs w:val="24"/>
        </w:rPr>
        <w:t xml:space="preserve">, a widely distributed air-breathing teleost, is frequently used as a </w:t>
      </w:r>
      <w:r w:rsidRPr="00F77AED">
        <w:rPr>
          <w:rFonts w:ascii="Times New Roman" w:eastAsia="Times New Roman" w:hAnsi="Times New Roman" w:cs="Times New Roman"/>
          <w:sz w:val="24"/>
          <w:szCs w:val="24"/>
        </w:rPr>
        <w:lastRenderedPageBreak/>
        <w:t xml:space="preserve">sentinel species due to its ecological tolerance and measurable physiological responses. Among the various biomarkers employed in ecotoxicological assessments, enzymatic indicators remain some of the most sensitive and diagnostically relevant. The following sections summarize enzyme-wise alterations documented in </w:t>
      </w:r>
      <w:r w:rsidRPr="00F77AED">
        <w:rPr>
          <w:rFonts w:ascii="Times New Roman" w:eastAsia="Times New Roman" w:hAnsi="Times New Roman" w:cs="Times New Roman"/>
          <w:i/>
          <w:iCs/>
          <w:sz w:val="24"/>
          <w:szCs w:val="24"/>
        </w:rPr>
        <w:t>C. punctata</w:t>
      </w:r>
      <w:r w:rsidRPr="00F77AED">
        <w:rPr>
          <w:rFonts w:ascii="Times New Roman" w:eastAsia="Times New Roman" w:hAnsi="Times New Roman" w:cs="Times New Roman"/>
          <w:sz w:val="24"/>
          <w:szCs w:val="24"/>
        </w:rPr>
        <w:t xml:space="preserve"> exposed to different types of industrial wastewaters, integrating findings from field investigations and controlled experimental studies conducted between 2010 and 2024.</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Aspartate Aminotransferase (AST)</w:t>
      </w:r>
    </w:p>
    <w:p w:rsidR="00F959EF" w:rsidRPr="00F959EF" w:rsidRDefault="00F959EF" w:rsidP="00AB0F75">
      <w:pPr>
        <w:pStyle w:val="NormalWeb"/>
        <w:spacing w:before="0" w:beforeAutospacing="0" w:after="0" w:afterAutospacing="0" w:line="360" w:lineRule="auto"/>
        <w:jc w:val="both"/>
      </w:pPr>
      <w:r w:rsidRPr="00F959EF">
        <w:t xml:space="preserve">Aspartate Aminotransferase (AST) is a major transaminase enzyme responsible for amino-group transfer during protein metabolism in fish. Its distribution is highest in the liver but also extends to the kidney, myocardium and gill epithelium. Under healthy physiological conditions, AST is retained inside cells; however, when hepatocyte membranes lose stability due to heavy metals, phenolic compounds, oxidative radicals or hypoxic pressure, the enzyme diffuses into the bloodstream. This leakage makes AST a dependable biochemical indicator of hepatocellular disruption. Studies demonstrate that industrial effluents containing chromium, surfactants, azo dyes or phenolic compounds frequently correspond to AST elevation in freshwater teleosts. Elevated AST usually accompanies ALT and LDH changes and is strongly associated with hepatic necrosis, mitochondrial stress, membrane lysis and loss of metabolic homeostasis (Kumar </w:t>
      </w:r>
      <w:r w:rsidRPr="00AB0F75">
        <w:rPr>
          <w:i/>
          <w:iCs/>
        </w:rPr>
        <w:t>et al.,</w:t>
      </w:r>
      <w:r w:rsidRPr="00F959EF">
        <w:t xml:space="preserve"> 2019). In polluted river stretches, AST elevation is also commonly supported by histopathological symptoms such as cell vacuolation, swollen hepatocytes, and sinusoidal dilation, indicating that enzyme rise is an early and quantifiable marker of tissue damage (Fazio </w:t>
      </w:r>
      <w:r w:rsidRPr="00AB0F75">
        <w:rPr>
          <w:i/>
          <w:iCs/>
        </w:rPr>
        <w:t>et al.,</w:t>
      </w:r>
      <w:r w:rsidRPr="00F959EF">
        <w:t xml:space="preserve"> 2020). Seasonal hydrodynamic</w:t>
      </w:r>
      <w:r w:rsidR="00AB0F75">
        <w:t xml:space="preserve">s further modulate AST behavior </w:t>
      </w:r>
      <w:r w:rsidRPr="00F959EF">
        <w:t xml:space="preserve">summer and pre-monsoon low-flow periods intensify pollutant load, making enzyme elevation more distinct than in monsoon months. Evaluated collectively, AST serves as a robust biomarker for early-stage hepatotoxicity and is reliable for field-based water-quality diagnosis in </w:t>
      </w:r>
      <w:r w:rsidRPr="00F959EF">
        <w:rPr>
          <w:rStyle w:val="Emphasis"/>
        </w:rPr>
        <w:t>Channa punctata</w:t>
      </w:r>
      <w:r w:rsidRPr="00F959EF">
        <w:t xml:space="preserve"> along industrial river corridors (Xiao &amp; Watson, 2019).</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Alanine Aminotransferase (ALT)</w:t>
      </w:r>
    </w:p>
    <w:p w:rsidR="00F959EF" w:rsidRPr="00F959EF" w:rsidRDefault="00F959EF" w:rsidP="00AB0F75">
      <w:pPr>
        <w:pStyle w:val="NormalWeb"/>
        <w:spacing w:before="0" w:beforeAutospacing="0" w:after="0" w:afterAutospacing="0" w:line="360" w:lineRule="auto"/>
        <w:jc w:val="both"/>
      </w:pPr>
      <w:r w:rsidRPr="00F959EF">
        <w:t xml:space="preserve">Alanine Aminotransferase (ALT) is a key gluconeogenic transaminase and is highly liver-specific compared to AST. Elevation in ALT reflects direct hepatic injury or impaired carbohydrate metabolism. Consistent ALT activation has been reported in </w:t>
      </w:r>
      <w:r w:rsidRPr="00F959EF">
        <w:rPr>
          <w:rStyle w:val="Emphasis"/>
        </w:rPr>
        <w:t>Channa punctata</w:t>
      </w:r>
      <w:r w:rsidRPr="00F959EF">
        <w:t xml:space="preserve"> exposed to industrial pollutants, particularly under metal-rich, thermally altered wastewater discharge. In effluent-impacted environments, ALT and AST often rise concurrently, indicating </w:t>
      </w:r>
      <w:r w:rsidRPr="00F959EF">
        <w:lastRenderedPageBreak/>
        <w:t xml:space="preserve">compound hepatotoxic stress. ALT is considered the more selective index of hepatic integrity, as ALT response is largely restricted to liver damage whereas AST may reflect injury in additional tissues. Thus, simultaneous elevation in AST and ALT strongly suggests metabolic imbalance, membrane disruption and progressive hepatic inflammation in </w:t>
      </w:r>
      <w:r w:rsidRPr="00F959EF">
        <w:rPr>
          <w:rStyle w:val="Emphasis"/>
        </w:rPr>
        <w:t>C. punctata</w:t>
      </w:r>
      <w:r w:rsidRPr="00F959EF">
        <w:t xml:space="preserve"> populations exposed to industrial effluents (Kumar </w:t>
      </w:r>
      <w:r w:rsidRPr="00AB0F75">
        <w:rPr>
          <w:i/>
          <w:iCs/>
        </w:rPr>
        <w:t>et al</w:t>
      </w:r>
      <w:r w:rsidRPr="00F959EF">
        <w:t xml:space="preserve">., 2019; Fazio </w:t>
      </w:r>
      <w:r w:rsidRPr="00AB0F75">
        <w:rPr>
          <w:i/>
          <w:iCs/>
        </w:rPr>
        <w:t>et al.,</w:t>
      </w:r>
      <w:r w:rsidRPr="00F959EF">
        <w:t xml:space="preserve"> 2020). Elevated ALT is therefore a reliable early-warning biomarker for hepatic necrosis, glucose imbalance and metabolic deterioration in polluted freshwater habitats.</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Lactate Dehydrogenase (LDH)</w:t>
      </w:r>
    </w:p>
    <w:p w:rsidR="00F959EF" w:rsidRPr="00F959EF" w:rsidRDefault="00F959EF" w:rsidP="00AB0F75">
      <w:pPr>
        <w:pStyle w:val="NormalWeb"/>
        <w:spacing w:before="0" w:beforeAutospacing="0" w:after="0" w:afterAutospacing="0" w:line="360" w:lineRule="auto"/>
        <w:jc w:val="both"/>
      </w:pPr>
      <w:r w:rsidRPr="00F959EF">
        <w:t xml:space="preserve">Lactate Dehydrogenase (LDH) regulates the pyruvate-to-lactate shift in anaerobic respiration. LDH elevation indicates metabolic divergence from aerobic ATP production and reflects mitochondrial stress, hypoxia or chemical interference with respiratory enzymes. Documented increases in LDH activity in </w:t>
      </w:r>
      <w:r w:rsidRPr="00F959EF">
        <w:rPr>
          <w:rStyle w:val="Emphasis"/>
        </w:rPr>
        <w:t>C. punctata</w:t>
      </w:r>
      <w:r w:rsidRPr="00F959EF">
        <w:t xml:space="preserve"> from effluent-contaminated rivers demonstrate that the species frequently shifts toward glycolytic dependence when oxygen availability declines due to wastewater discharge. Pollutants such as dyes, phenolic complexes and surfactants limit gill oxygen diffusion capacity, forcing anaerobic compensation. Studies further indicate that LDH ac</w:t>
      </w:r>
      <w:r w:rsidR="00AB0F75">
        <w:t xml:space="preserve">tivity is seasonally structured </w:t>
      </w:r>
      <w:r w:rsidRPr="00F959EF">
        <w:t xml:space="preserve">peaking during summer when river flow is minimal and pollutant concentration increases, followed by partial reduction during winter dilution phases (Fazio </w:t>
      </w:r>
      <w:r w:rsidRPr="00AB0F75">
        <w:rPr>
          <w:i/>
          <w:iCs/>
        </w:rPr>
        <w:t>et al</w:t>
      </w:r>
      <w:r w:rsidRPr="00F959EF">
        <w:t xml:space="preserve">., 2020). LDH can therefore be interpreted as a metabolic stress gauge, marking both pollutant intensity and respiratory adaptation intensity in </w:t>
      </w:r>
      <w:r w:rsidRPr="00F959EF">
        <w:rPr>
          <w:rStyle w:val="Emphasis"/>
        </w:rPr>
        <w:t>C. punctata</w:t>
      </w:r>
      <w:r w:rsidRPr="00F959EF">
        <w:t xml:space="preserve"> inhabiting contaminated waters.</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Alkaline Phosphatase (ALP)</w:t>
      </w:r>
    </w:p>
    <w:p w:rsidR="00F959EF" w:rsidRPr="00F959EF" w:rsidRDefault="00F959EF" w:rsidP="00AB0F75">
      <w:pPr>
        <w:pStyle w:val="NormalWeb"/>
        <w:spacing w:before="0" w:beforeAutospacing="0" w:after="0" w:afterAutospacing="0" w:line="360" w:lineRule="auto"/>
        <w:jc w:val="both"/>
      </w:pPr>
      <w:r w:rsidRPr="00F959EF">
        <w:t xml:space="preserve">Alkaline Phosphatase (ALP) is a membrane-associated enzyme linked to ion transport, osmoregulation and bone mineralization. Changes in ALP activity reveal disturbances in membrane permeability or internal ion balance. Industrial effluents often elevate ALP in </w:t>
      </w:r>
      <w:r w:rsidRPr="00F959EF">
        <w:rPr>
          <w:rStyle w:val="Emphasis"/>
        </w:rPr>
        <w:t>C. punctata</w:t>
      </w:r>
      <w:r w:rsidRPr="00F959EF">
        <w:t xml:space="preserve">, particularly under detergent- and surfactant-rich wastewater, where membrane leakage accelerates enzyme release into circulation. However, ALP does not always exhibit a uniform rise. Under high concentrations of heavy metals such as cadmium, nickel or lead, ALP may be suppressed due to catalytic-site inhibition and disruption of enzyme synthesis. This dual response pattern demonstrates that ALP can either act as a marker of membrane destabilization (moderate pollution) or metal-induced cellular inhibition (extreme contamination). Interpretation therefore requires consideration of pollutant class, concentration and exposure duration (Fazio </w:t>
      </w:r>
      <w:r w:rsidRPr="00AB0F75">
        <w:rPr>
          <w:i/>
          <w:iCs/>
        </w:rPr>
        <w:t>et al.,</w:t>
      </w:r>
      <w:r w:rsidRPr="00F959EF">
        <w:t xml:space="preserve"> 2020).</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lastRenderedPageBreak/>
        <w:t>Acid Phosphatase (ACP)</w:t>
      </w:r>
    </w:p>
    <w:p w:rsidR="00F959EF" w:rsidRPr="00F959EF" w:rsidRDefault="00F959EF" w:rsidP="00AB0F75">
      <w:pPr>
        <w:pStyle w:val="NormalWeb"/>
        <w:spacing w:before="0" w:beforeAutospacing="0" w:after="0" w:afterAutospacing="0" w:line="360" w:lineRule="auto"/>
        <w:jc w:val="both"/>
      </w:pPr>
      <w:r w:rsidRPr="00F959EF">
        <w:t xml:space="preserve">Acid Phosphatase (ACP) is a lysosomal hydrolase involved in intracellular digestion, autophagy and immune responses. ACP elevation is widely associated with lysosomal destabilization, oxidative degradation and inflammatory signaling in effluent-exposed fish. Under chronic pollutant accumulation, ACP often increases due to enhanced turnover of cellular debris and activation of detoxification pathways. Industrial wastewater containing xenobiotics elevates ACP particularly during pre-monsoon concentration phases, when reduced flow amplifies chemical stress. Enhanced ACP activity therefore reflects lysosomal stress, cellular breakdown and progressive metabolic burden in </w:t>
      </w:r>
      <w:r w:rsidRPr="00F959EF">
        <w:rPr>
          <w:rStyle w:val="Emphasis"/>
        </w:rPr>
        <w:t>Channa punctata</w:t>
      </w:r>
      <w:r w:rsidRPr="00F959EF">
        <w:t xml:space="preserve">, making ACP a valuable indicator of chronic toxicity and immune activation in polluted river systems (Kumar </w:t>
      </w:r>
      <w:r w:rsidRPr="00AB0F75">
        <w:rPr>
          <w:i/>
          <w:iCs/>
        </w:rPr>
        <w:t>et al.,</w:t>
      </w:r>
      <w:r w:rsidRPr="00F959EF">
        <w:t xml:space="preserve"> 2019; Fazio </w:t>
      </w:r>
      <w:r w:rsidRPr="00AB0F75">
        <w:rPr>
          <w:i/>
          <w:iCs/>
        </w:rPr>
        <w:t>et al.,</w:t>
      </w:r>
      <w:r w:rsidRPr="00F959EF">
        <w:t xml:space="preserve"> 2020).</w:t>
      </w:r>
    </w:p>
    <w:p w:rsidR="00D74E40" w:rsidRPr="00EF4E40" w:rsidRDefault="00D74E40" w:rsidP="00F959EF">
      <w:pPr>
        <w:pStyle w:val="Heading3"/>
        <w:spacing w:before="0" w:line="360" w:lineRule="auto"/>
        <w:jc w:val="center"/>
        <w:rPr>
          <w:color w:val="auto"/>
        </w:rPr>
      </w:pPr>
      <w:r w:rsidRPr="00EF4E40">
        <w:rPr>
          <w:rStyle w:val="Strong"/>
          <w:b/>
          <w:bCs/>
          <w:color w:val="auto"/>
        </w:rPr>
        <w:t xml:space="preserve">Table 1: Reported enzymatic responses in </w:t>
      </w:r>
      <w:r w:rsidRPr="00EF4E40">
        <w:rPr>
          <w:rStyle w:val="Emphasis"/>
          <w:color w:val="auto"/>
        </w:rPr>
        <w:t>Channa punctata</w:t>
      </w:r>
      <w:r w:rsidRPr="00EF4E40">
        <w:rPr>
          <w:rStyle w:val="Strong"/>
          <w:b/>
          <w:bCs/>
          <w:color w:val="auto"/>
        </w:rPr>
        <w:t xml:space="preserve"> from Indian rivers polluted by industrial effluents</w:t>
      </w:r>
    </w:p>
    <w:tbl>
      <w:tblPr>
        <w:tblStyle w:val="TableGrid"/>
        <w:tblW w:w="0" w:type="auto"/>
        <w:tblLook w:val="04A0"/>
      </w:tblPr>
      <w:tblGrid>
        <w:gridCol w:w="1646"/>
        <w:gridCol w:w="1918"/>
        <w:gridCol w:w="1807"/>
        <w:gridCol w:w="1182"/>
        <w:gridCol w:w="1465"/>
        <w:gridCol w:w="1558"/>
      </w:tblGrid>
      <w:tr w:rsidR="00D74E40" w:rsidTr="007D34CD">
        <w:tc>
          <w:tcPr>
            <w:tcW w:w="0" w:type="auto"/>
            <w:hideMark/>
          </w:tcPr>
          <w:p w:rsidR="00D74E40" w:rsidRDefault="00D74E40" w:rsidP="001A4072">
            <w:pPr>
              <w:spacing w:line="360" w:lineRule="auto"/>
              <w:jc w:val="center"/>
              <w:rPr>
                <w:b/>
                <w:bCs/>
                <w:sz w:val="24"/>
                <w:szCs w:val="24"/>
              </w:rPr>
            </w:pPr>
            <w:r>
              <w:rPr>
                <w:b/>
                <w:bCs/>
              </w:rPr>
              <w:t>River (State)</w:t>
            </w:r>
          </w:p>
        </w:tc>
        <w:tc>
          <w:tcPr>
            <w:tcW w:w="0" w:type="auto"/>
            <w:hideMark/>
          </w:tcPr>
          <w:p w:rsidR="00D74E40" w:rsidRDefault="00D74E40" w:rsidP="001A4072">
            <w:pPr>
              <w:spacing w:line="360" w:lineRule="auto"/>
              <w:jc w:val="center"/>
              <w:rPr>
                <w:b/>
                <w:bCs/>
                <w:sz w:val="24"/>
                <w:szCs w:val="24"/>
              </w:rPr>
            </w:pPr>
            <w:r>
              <w:rPr>
                <w:b/>
                <w:bCs/>
              </w:rPr>
              <w:t>Major Industrial Effluent Type</w:t>
            </w:r>
          </w:p>
        </w:tc>
        <w:tc>
          <w:tcPr>
            <w:tcW w:w="0" w:type="auto"/>
            <w:hideMark/>
          </w:tcPr>
          <w:p w:rsidR="00D74E40" w:rsidRDefault="00D74E40" w:rsidP="001A4072">
            <w:pPr>
              <w:spacing w:line="360" w:lineRule="auto"/>
              <w:jc w:val="center"/>
              <w:rPr>
                <w:b/>
                <w:bCs/>
                <w:sz w:val="24"/>
                <w:szCs w:val="24"/>
              </w:rPr>
            </w:pPr>
            <w:r>
              <w:rPr>
                <w:b/>
                <w:bCs/>
              </w:rPr>
              <w:t>Season Studied</w:t>
            </w:r>
          </w:p>
        </w:tc>
        <w:tc>
          <w:tcPr>
            <w:tcW w:w="0" w:type="auto"/>
            <w:hideMark/>
          </w:tcPr>
          <w:p w:rsidR="00D74E40" w:rsidRDefault="00D74E40" w:rsidP="001A4072">
            <w:pPr>
              <w:spacing w:line="360" w:lineRule="auto"/>
              <w:jc w:val="center"/>
              <w:rPr>
                <w:b/>
                <w:bCs/>
                <w:sz w:val="24"/>
                <w:szCs w:val="24"/>
              </w:rPr>
            </w:pPr>
            <w:r>
              <w:rPr>
                <w:b/>
                <w:bCs/>
              </w:rPr>
              <w:t>Enzymes Affected</w:t>
            </w:r>
          </w:p>
        </w:tc>
        <w:tc>
          <w:tcPr>
            <w:tcW w:w="0" w:type="auto"/>
            <w:hideMark/>
          </w:tcPr>
          <w:p w:rsidR="00D74E40" w:rsidRDefault="00D74E40" w:rsidP="001A4072">
            <w:pPr>
              <w:spacing w:line="360" w:lineRule="auto"/>
              <w:jc w:val="center"/>
              <w:rPr>
                <w:b/>
                <w:bCs/>
                <w:sz w:val="24"/>
                <w:szCs w:val="24"/>
              </w:rPr>
            </w:pPr>
            <w:r>
              <w:rPr>
                <w:b/>
                <w:bCs/>
              </w:rPr>
              <w:t>Direction of Change</w:t>
            </w:r>
          </w:p>
        </w:tc>
        <w:tc>
          <w:tcPr>
            <w:tcW w:w="0" w:type="auto"/>
            <w:hideMark/>
          </w:tcPr>
          <w:p w:rsidR="00D74E40" w:rsidRDefault="00D74E40" w:rsidP="001A4072">
            <w:pPr>
              <w:spacing w:line="360" w:lineRule="auto"/>
              <w:jc w:val="center"/>
              <w:rPr>
                <w:b/>
                <w:bCs/>
                <w:sz w:val="24"/>
                <w:szCs w:val="24"/>
              </w:rPr>
            </w:pPr>
            <w:r>
              <w:rPr>
                <w:b/>
                <w:bCs/>
              </w:rPr>
              <w:t>Key Reference(s)</w:t>
            </w:r>
          </w:p>
        </w:tc>
      </w:tr>
      <w:tr w:rsidR="00D74E40" w:rsidTr="007D34CD">
        <w:tc>
          <w:tcPr>
            <w:tcW w:w="0" w:type="auto"/>
            <w:hideMark/>
          </w:tcPr>
          <w:p w:rsidR="00D74E40" w:rsidRDefault="00D74E40" w:rsidP="001A4072">
            <w:pPr>
              <w:spacing w:line="360" w:lineRule="auto"/>
              <w:rPr>
                <w:sz w:val="24"/>
                <w:szCs w:val="24"/>
              </w:rPr>
            </w:pPr>
            <w:r>
              <w:t>Ganga (Kanpur, UP)</w:t>
            </w:r>
          </w:p>
        </w:tc>
        <w:tc>
          <w:tcPr>
            <w:tcW w:w="0" w:type="auto"/>
            <w:hideMark/>
          </w:tcPr>
          <w:p w:rsidR="00D74E40" w:rsidRDefault="00D74E40" w:rsidP="001A4072">
            <w:pPr>
              <w:spacing w:line="360" w:lineRule="auto"/>
              <w:rPr>
                <w:sz w:val="24"/>
                <w:szCs w:val="24"/>
              </w:rPr>
            </w:pPr>
            <w:r>
              <w:t>Tannery</w:t>
            </w:r>
          </w:p>
        </w:tc>
        <w:tc>
          <w:tcPr>
            <w:tcW w:w="0" w:type="auto"/>
            <w:hideMark/>
          </w:tcPr>
          <w:p w:rsidR="00D74E40" w:rsidRDefault="00D74E40" w:rsidP="001A4072">
            <w:pPr>
              <w:spacing w:line="360" w:lineRule="auto"/>
              <w:rPr>
                <w:sz w:val="24"/>
                <w:szCs w:val="24"/>
              </w:rPr>
            </w:pPr>
            <w:r>
              <w:t>Pre-monsoon</w:t>
            </w:r>
          </w:p>
        </w:tc>
        <w:tc>
          <w:tcPr>
            <w:tcW w:w="0" w:type="auto"/>
            <w:hideMark/>
          </w:tcPr>
          <w:p w:rsidR="00D74E40" w:rsidRDefault="00D74E40" w:rsidP="001A4072">
            <w:pPr>
              <w:spacing w:line="360" w:lineRule="auto"/>
              <w:rPr>
                <w:sz w:val="24"/>
                <w:szCs w:val="24"/>
              </w:rPr>
            </w:pPr>
            <w:r>
              <w:t>AST, ALT, LDH</w:t>
            </w:r>
          </w:p>
        </w:tc>
        <w:tc>
          <w:tcPr>
            <w:tcW w:w="0" w:type="auto"/>
            <w:hideMark/>
          </w:tcPr>
          <w:p w:rsidR="00D74E40" w:rsidRDefault="00D74E40" w:rsidP="001A4072">
            <w:pPr>
              <w:spacing w:line="360" w:lineRule="auto"/>
              <w:rPr>
                <w:sz w:val="24"/>
                <w:szCs w:val="24"/>
              </w:rPr>
            </w:pPr>
            <w:r>
              <w:t>↑↑ (significant increase)</w:t>
            </w:r>
          </w:p>
        </w:tc>
        <w:tc>
          <w:tcPr>
            <w:tcW w:w="0" w:type="auto"/>
            <w:hideMark/>
          </w:tcPr>
          <w:p w:rsidR="00D74E40" w:rsidRPr="001A4072" w:rsidRDefault="00D74E40" w:rsidP="001A4072">
            <w:pPr>
              <w:spacing w:line="360" w:lineRule="auto"/>
              <w:rPr>
                <w:i/>
                <w:iCs/>
                <w:sz w:val="24"/>
                <w:szCs w:val="24"/>
              </w:rPr>
            </w:pPr>
            <w:r w:rsidRPr="001A4072">
              <w:rPr>
                <w:i/>
                <w:iCs/>
              </w:rPr>
              <w:t>Pandey et al., 2012</w:t>
            </w:r>
          </w:p>
        </w:tc>
      </w:tr>
      <w:tr w:rsidR="00D74E40" w:rsidTr="007D34CD">
        <w:tc>
          <w:tcPr>
            <w:tcW w:w="0" w:type="auto"/>
            <w:hideMark/>
          </w:tcPr>
          <w:p w:rsidR="00D74E40" w:rsidRDefault="00D74E40" w:rsidP="001A4072">
            <w:pPr>
              <w:spacing w:line="360" w:lineRule="auto"/>
              <w:rPr>
                <w:sz w:val="24"/>
                <w:szCs w:val="24"/>
              </w:rPr>
            </w:pPr>
            <w:r>
              <w:t>Chambal (MP)</w:t>
            </w:r>
          </w:p>
        </w:tc>
        <w:tc>
          <w:tcPr>
            <w:tcW w:w="0" w:type="auto"/>
            <w:hideMark/>
          </w:tcPr>
          <w:p w:rsidR="00D74E40" w:rsidRDefault="00D74E40" w:rsidP="001A4072">
            <w:pPr>
              <w:spacing w:line="360" w:lineRule="auto"/>
              <w:rPr>
                <w:sz w:val="24"/>
                <w:szCs w:val="24"/>
              </w:rPr>
            </w:pPr>
            <w:r>
              <w:t>Thermal-power discharge</w:t>
            </w:r>
          </w:p>
        </w:tc>
        <w:tc>
          <w:tcPr>
            <w:tcW w:w="0" w:type="auto"/>
            <w:hideMark/>
          </w:tcPr>
          <w:p w:rsidR="00D74E40" w:rsidRDefault="00D74E40" w:rsidP="001A4072">
            <w:pPr>
              <w:spacing w:line="360" w:lineRule="auto"/>
              <w:rPr>
                <w:sz w:val="24"/>
                <w:szCs w:val="24"/>
              </w:rPr>
            </w:pPr>
            <w:r>
              <w:t>Summer</w:t>
            </w:r>
          </w:p>
        </w:tc>
        <w:tc>
          <w:tcPr>
            <w:tcW w:w="0" w:type="auto"/>
            <w:hideMark/>
          </w:tcPr>
          <w:p w:rsidR="00D74E40" w:rsidRDefault="00D74E40" w:rsidP="001A4072">
            <w:pPr>
              <w:spacing w:line="360" w:lineRule="auto"/>
              <w:rPr>
                <w:sz w:val="24"/>
                <w:szCs w:val="24"/>
              </w:rPr>
            </w:pPr>
            <w:r>
              <w:t>ALT, AST</w:t>
            </w:r>
          </w:p>
        </w:tc>
        <w:tc>
          <w:tcPr>
            <w:tcW w:w="0" w:type="auto"/>
            <w:hideMark/>
          </w:tcPr>
          <w:p w:rsidR="00D74E40" w:rsidRDefault="00D74E40" w:rsidP="001A4072">
            <w:pPr>
              <w:spacing w:line="360" w:lineRule="auto"/>
              <w:rPr>
                <w:sz w:val="24"/>
                <w:szCs w:val="24"/>
              </w:rPr>
            </w:pPr>
            <w:r>
              <w:t>↑ (52 %)</w:t>
            </w:r>
          </w:p>
        </w:tc>
        <w:tc>
          <w:tcPr>
            <w:tcW w:w="0" w:type="auto"/>
            <w:hideMark/>
          </w:tcPr>
          <w:p w:rsidR="00D74E40" w:rsidRPr="001A4072" w:rsidRDefault="00D74E40" w:rsidP="001A4072">
            <w:pPr>
              <w:spacing w:line="360" w:lineRule="auto"/>
              <w:rPr>
                <w:i/>
                <w:iCs/>
                <w:sz w:val="24"/>
                <w:szCs w:val="24"/>
              </w:rPr>
            </w:pPr>
            <w:r w:rsidRPr="001A4072">
              <w:rPr>
                <w:i/>
                <w:iCs/>
              </w:rPr>
              <w:t>Singh et al., 2014</w:t>
            </w:r>
          </w:p>
        </w:tc>
      </w:tr>
      <w:tr w:rsidR="00D74E40" w:rsidTr="007D34CD">
        <w:tc>
          <w:tcPr>
            <w:tcW w:w="0" w:type="auto"/>
            <w:hideMark/>
          </w:tcPr>
          <w:p w:rsidR="00D74E40" w:rsidRDefault="00D74E40" w:rsidP="001A4072">
            <w:pPr>
              <w:spacing w:line="360" w:lineRule="auto"/>
              <w:rPr>
                <w:sz w:val="24"/>
                <w:szCs w:val="24"/>
              </w:rPr>
            </w:pPr>
            <w:r>
              <w:t>Bichhiya (MP)</w:t>
            </w:r>
          </w:p>
        </w:tc>
        <w:tc>
          <w:tcPr>
            <w:tcW w:w="0" w:type="auto"/>
            <w:hideMark/>
          </w:tcPr>
          <w:p w:rsidR="00D74E40" w:rsidRDefault="00D74E40" w:rsidP="001A4072">
            <w:pPr>
              <w:spacing w:line="360" w:lineRule="auto"/>
              <w:rPr>
                <w:sz w:val="24"/>
                <w:szCs w:val="24"/>
              </w:rPr>
            </w:pPr>
            <w:r>
              <w:t>Paper-mill</w:t>
            </w:r>
          </w:p>
        </w:tc>
        <w:tc>
          <w:tcPr>
            <w:tcW w:w="0" w:type="auto"/>
            <w:hideMark/>
          </w:tcPr>
          <w:p w:rsidR="00D74E40" w:rsidRDefault="00D74E40" w:rsidP="001A4072">
            <w:pPr>
              <w:spacing w:line="360" w:lineRule="auto"/>
              <w:rPr>
                <w:sz w:val="24"/>
                <w:szCs w:val="24"/>
              </w:rPr>
            </w:pPr>
            <w:r>
              <w:t>Monsoon/pre-monsoon</w:t>
            </w:r>
          </w:p>
        </w:tc>
        <w:tc>
          <w:tcPr>
            <w:tcW w:w="0" w:type="auto"/>
            <w:hideMark/>
          </w:tcPr>
          <w:p w:rsidR="00D74E40" w:rsidRDefault="00D74E40" w:rsidP="001A4072">
            <w:pPr>
              <w:spacing w:line="360" w:lineRule="auto"/>
              <w:rPr>
                <w:sz w:val="24"/>
                <w:szCs w:val="24"/>
              </w:rPr>
            </w:pPr>
            <w:r>
              <w:t>AST, LDH, ALP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Sharma &amp; Verma, 2017</w:t>
            </w:r>
          </w:p>
        </w:tc>
      </w:tr>
      <w:tr w:rsidR="00D74E40" w:rsidTr="007D34CD">
        <w:tc>
          <w:tcPr>
            <w:tcW w:w="0" w:type="auto"/>
            <w:hideMark/>
          </w:tcPr>
          <w:p w:rsidR="00D74E40" w:rsidRDefault="00D74E40" w:rsidP="001A4072">
            <w:pPr>
              <w:spacing w:line="360" w:lineRule="auto"/>
              <w:rPr>
                <w:sz w:val="24"/>
                <w:szCs w:val="24"/>
              </w:rPr>
            </w:pPr>
            <w:r>
              <w:t>Damodar (Jharkhand)</w:t>
            </w:r>
          </w:p>
        </w:tc>
        <w:tc>
          <w:tcPr>
            <w:tcW w:w="0" w:type="auto"/>
            <w:hideMark/>
          </w:tcPr>
          <w:p w:rsidR="00D74E40" w:rsidRDefault="00D74E40" w:rsidP="001A4072">
            <w:pPr>
              <w:spacing w:line="360" w:lineRule="auto"/>
              <w:rPr>
                <w:sz w:val="24"/>
                <w:szCs w:val="24"/>
              </w:rPr>
            </w:pPr>
            <w:r>
              <w:t>Textile dyes</w:t>
            </w:r>
          </w:p>
        </w:tc>
        <w:tc>
          <w:tcPr>
            <w:tcW w:w="0" w:type="auto"/>
            <w:hideMark/>
          </w:tcPr>
          <w:p w:rsidR="00D74E40" w:rsidRDefault="00D74E40" w:rsidP="001A4072">
            <w:pPr>
              <w:spacing w:line="360" w:lineRule="auto"/>
              <w:rPr>
                <w:sz w:val="24"/>
                <w:szCs w:val="24"/>
              </w:rPr>
            </w:pPr>
            <w:r>
              <w:t>Summer</w:t>
            </w:r>
          </w:p>
        </w:tc>
        <w:tc>
          <w:tcPr>
            <w:tcW w:w="0" w:type="auto"/>
            <w:hideMark/>
          </w:tcPr>
          <w:p w:rsidR="00D74E40" w:rsidRDefault="00D74E40" w:rsidP="001A4072">
            <w:pPr>
              <w:spacing w:line="360" w:lineRule="auto"/>
              <w:rPr>
                <w:sz w:val="24"/>
                <w:szCs w:val="24"/>
              </w:rPr>
            </w:pPr>
            <w:r>
              <w:t>LDH, ALT</w:t>
            </w:r>
          </w:p>
        </w:tc>
        <w:tc>
          <w:tcPr>
            <w:tcW w:w="0" w:type="auto"/>
            <w:hideMark/>
          </w:tcPr>
          <w:p w:rsidR="00D74E40" w:rsidRDefault="00D74E40" w:rsidP="001A4072">
            <w:pPr>
              <w:spacing w:line="360" w:lineRule="auto"/>
              <w:rPr>
                <w:sz w:val="24"/>
                <w:szCs w:val="24"/>
              </w:rPr>
            </w:pPr>
            <w:r>
              <w:t>↑↑ (up to 72 %)</w:t>
            </w:r>
          </w:p>
        </w:tc>
        <w:tc>
          <w:tcPr>
            <w:tcW w:w="0" w:type="auto"/>
            <w:hideMark/>
          </w:tcPr>
          <w:p w:rsidR="00D74E40" w:rsidRPr="001A4072" w:rsidRDefault="00D74E40" w:rsidP="001A4072">
            <w:pPr>
              <w:spacing w:line="360" w:lineRule="auto"/>
              <w:rPr>
                <w:i/>
                <w:iCs/>
                <w:sz w:val="24"/>
                <w:szCs w:val="24"/>
              </w:rPr>
            </w:pPr>
            <w:r w:rsidRPr="001A4072">
              <w:rPr>
                <w:i/>
                <w:iCs/>
              </w:rPr>
              <w:t>Saha et al., 2016</w:t>
            </w:r>
          </w:p>
        </w:tc>
      </w:tr>
      <w:tr w:rsidR="00D74E40" w:rsidTr="007D34CD">
        <w:tc>
          <w:tcPr>
            <w:tcW w:w="0" w:type="auto"/>
            <w:hideMark/>
          </w:tcPr>
          <w:p w:rsidR="00D74E40" w:rsidRDefault="001A4072" w:rsidP="001A4072">
            <w:pPr>
              <w:spacing w:line="360" w:lineRule="auto"/>
              <w:rPr>
                <w:sz w:val="24"/>
                <w:szCs w:val="24"/>
              </w:rPr>
            </w:pPr>
            <w:r>
              <w:t>Yamuna (</w:t>
            </w:r>
            <w:r w:rsidR="00D74E40">
              <w:t>UP)</w:t>
            </w:r>
          </w:p>
        </w:tc>
        <w:tc>
          <w:tcPr>
            <w:tcW w:w="0" w:type="auto"/>
            <w:hideMark/>
          </w:tcPr>
          <w:p w:rsidR="00D74E40" w:rsidRDefault="00D74E40" w:rsidP="001A4072">
            <w:pPr>
              <w:spacing w:line="360" w:lineRule="auto"/>
              <w:rPr>
                <w:sz w:val="24"/>
                <w:szCs w:val="24"/>
              </w:rPr>
            </w:pPr>
            <w:r>
              <w:t>Pharmaceutical</w:t>
            </w:r>
          </w:p>
        </w:tc>
        <w:tc>
          <w:tcPr>
            <w:tcW w:w="0" w:type="auto"/>
            <w:hideMark/>
          </w:tcPr>
          <w:p w:rsidR="00D74E40" w:rsidRDefault="00D74E40" w:rsidP="001A4072">
            <w:pPr>
              <w:spacing w:line="360" w:lineRule="auto"/>
              <w:rPr>
                <w:sz w:val="24"/>
                <w:szCs w:val="24"/>
              </w:rPr>
            </w:pPr>
            <w:r>
              <w:t>Pre-monsoon</w:t>
            </w:r>
          </w:p>
        </w:tc>
        <w:tc>
          <w:tcPr>
            <w:tcW w:w="0" w:type="auto"/>
            <w:hideMark/>
          </w:tcPr>
          <w:p w:rsidR="00D74E40" w:rsidRDefault="00D74E40" w:rsidP="001A4072">
            <w:pPr>
              <w:spacing w:line="360" w:lineRule="auto"/>
              <w:rPr>
                <w:sz w:val="24"/>
                <w:szCs w:val="24"/>
              </w:rPr>
            </w:pPr>
            <w:r>
              <w:t>ALP, ACP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Pathak et al., 2018</w:t>
            </w:r>
          </w:p>
        </w:tc>
      </w:tr>
      <w:tr w:rsidR="00D74E40" w:rsidTr="007D34CD">
        <w:tc>
          <w:tcPr>
            <w:tcW w:w="0" w:type="auto"/>
            <w:hideMark/>
          </w:tcPr>
          <w:p w:rsidR="00D74E40" w:rsidRDefault="00D74E40" w:rsidP="001A4072">
            <w:pPr>
              <w:spacing w:line="360" w:lineRule="auto"/>
              <w:rPr>
                <w:sz w:val="24"/>
                <w:szCs w:val="24"/>
              </w:rPr>
            </w:pPr>
            <w:r>
              <w:t>Kshipra (MP)</w:t>
            </w:r>
          </w:p>
        </w:tc>
        <w:tc>
          <w:tcPr>
            <w:tcW w:w="0" w:type="auto"/>
            <w:hideMark/>
          </w:tcPr>
          <w:p w:rsidR="00D74E40" w:rsidRDefault="00D74E40" w:rsidP="001A4072">
            <w:pPr>
              <w:spacing w:line="360" w:lineRule="auto"/>
              <w:rPr>
                <w:sz w:val="24"/>
                <w:szCs w:val="24"/>
              </w:rPr>
            </w:pPr>
            <w:r>
              <w:t>Mixed effluent (metal-rich)</w:t>
            </w:r>
          </w:p>
        </w:tc>
        <w:tc>
          <w:tcPr>
            <w:tcW w:w="0" w:type="auto"/>
            <w:hideMark/>
          </w:tcPr>
          <w:p w:rsidR="00D74E40" w:rsidRDefault="00D74E40" w:rsidP="001A4072">
            <w:pPr>
              <w:spacing w:line="360" w:lineRule="auto"/>
              <w:rPr>
                <w:sz w:val="24"/>
                <w:szCs w:val="24"/>
              </w:rPr>
            </w:pPr>
            <w:r>
              <w:t>Summer</w:t>
            </w:r>
          </w:p>
        </w:tc>
        <w:tc>
          <w:tcPr>
            <w:tcW w:w="0" w:type="auto"/>
            <w:hideMark/>
          </w:tcPr>
          <w:p w:rsidR="00D74E40" w:rsidRDefault="00D74E40" w:rsidP="001A4072">
            <w:pPr>
              <w:spacing w:line="360" w:lineRule="auto"/>
              <w:rPr>
                <w:sz w:val="24"/>
                <w:szCs w:val="24"/>
              </w:rPr>
            </w:pPr>
            <w:r>
              <w:t>ACP, AST</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Rathore &amp; Jain, 2013</w:t>
            </w:r>
          </w:p>
        </w:tc>
      </w:tr>
      <w:tr w:rsidR="00D74E40" w:rsidTr="007D34CD">
        <w:tc>
          <w:tcPr>
            <w:tcW w:w="0" w:type="auto"/>
            <w:hideMark/>
          </w:tcPr>
          <w:p w:rsidR="00D74E40" w:rsidRDefault="00D74E40" w:rsidP="001A4072">
            <w:pPr>
              <w:spacing w:line="360" w:lineRule="auto"/>
              <w:rPr>
                <w:sz w:val="24"/>
                <w:szCs w:val="24"/>
              </w:rPr>
            </w:pPr>
            <w:r>
              <w:t>Sabari (Odisha)</w:t>
            </w:r>
          </w:p>
        </w:tc>
        <w:tc>
          <w:tcPr>
            <w:tcW w:w="0" w:type="auto"/>
            <w:hideMark/>
          </w:tcPr>
          <w:p w:rsidR="00D74E40" w:rsidRDefault="00D74E40" w:rsidP="001A4072">
            <w:pPr>
              <w:spacing w:line="360" w:lineRule="auto"/>
              <w:rPr>
                <w:sz w:val="24"/>
                <w:szCs w:val="24"/>
              </w:rPr>
            </w:pPr>
            <w:r>
              <w:t>Mining run-off</w:t>
            </w:r>
          </w:p>
        </w:tc>
        <w:tc>
          <w:tcPr>
            <w:tcW w:w="0" w:type="auto"/>
            <w:hideMark/>
          </w:tcPr>
          <w:p w:rsidR="00D74E40" w:rsidRDefault="00D74E40" w:rsidP="001A4072">
            <w:pPr>
              <w:spacing w:line="360" w:lineRule="auto"/>
              <w:rPr>
                <w:sz w:val="24"/>
                <w:szCs w:val="24"/>
              </w:rPr>
            </w:pPr>
            <w:r>
              <w:t>Winter/summer</w:t>
            </w:r>
          </w:p>
        </w:tc>
        <w:tc>
          <w:tcPr>
            <w:tcW w:w="0" w:type="auto"/>
            <w:hideMark/>
          </w:tcPr>
          <w:p w:rsidR="00D74E40" w:rsidRDefault="00D74E40" w:rsidP="001A4072">
            <w:pPr>
              <w:spacing w:line="360" w:lineRule="auto"/>
              <w:rPr>
                <w:sz w:val="24"/>
                <w:szCs w:val="24"/>
              </w:rPr>
            </w:pPr>
            <w:r>
              <w:t>ALP, LDH</w:t>
            </w:r>
          </w:p>
        </w:tc>
        <w:tc>
          <w:tcPr>
            <w:tcW w:w="0" w:type="auto"/>
            <w:hideMark/>
          </w:tcPr>
          <w:p w:rsidR="00D74E40" w:rsidRDefault="00D74E40" w:rsidP="001A4072">
            <w:pPr>
              <w:spacing w:line="360" w:lineRule="auto"/>
              <w:rPr>
                <w:sz w:val="24"/>
                <w:szCs w:val="24"/>
              </w:rPr>
            </w:pPr>
            <w:r>
              <w:t>↓ ALP; ↑ LDH</w:t>
            </w:r>
          </w:p>
        </w:tc>
        <w:tc>
          <w:tcPr>
            <w:tcW w:w="0" w:type="auto"/>
            <w:hideMark/>
          </w:tcPr>
          <w:p w:rsidR="00D74E40" w:rsidRPr="001A4072" w:rsidRDefault="00D74E40" w:rsidP="001A4072">
            <w:pPr>
              <w:spacing w:line="360" w:lineRule="auto"/>
              <w:rPr>
                <w:i/>
                <w:iCs/>
                <w:sz w:val="24"/>
                <w:szCs w:val="24"/>
              </w:rPr>
            </w:pPr>
            <w:r w:rsidRPr="001A4072">
              <w:rPr>
                <w:i/>
                <w:iCs/>
              </w:rPr>
              <w:t>Mishra et al., 2021</w:t>
            </w:r>
          </w:p>
        </w:tc>
      </w:tr>
      <w:tr w:rsidR="00D74E40" w:rsidTr="007D34CD">
        <w:tc>
          <w:tcPr>
            <w:tcW w:w="0" w:type="auto"/>
            <w:hideMark/>
          </w:tcPr>
          <w:p w:rsidR="00D74E40" w:rsidRDefault="00D74E40" w:rsidP="001A4072">
            <w:pPr>
              <w:spacing w:line="360" w:lineRule="auto"/>
              <w:rPr>
                <w:sz w:val="24"/>
                <w:szCs w:val="24"/>
              </w:rPr>
            </w:pPr>
            <w:r>
              <w:t>Hooghly (West Bengal)</w:t>
            </w:r>
          </w:p>
        </w:tc>
        <w:tc>
          <w:tcPr>
            <w:tcW w:w="0" w:type="auto"/>
            <w:hideMark/>
          </w:tcPr>
          <w:p w:rsidR="00D74E40" w:rsidRDefault="00D74E40" w:rsidP="001A4072">
            <w:pPr>
              <w:spacing w:line="360" w:lineRule="auto"/>
              <w:rPr>
                <w:sz w:val="24"/>
                <w:szCs w:val="24"/>
              </w:rPr>
            </w:pPr>
            <w:r>
              <w:t>Jute-mill/pulp wastewater</w:t>
            </w:r>
          </w:p>
        </w:tc>
        <w:tc>
          <w:tcPr>
            <w:tcW w:w="0" w:type="auto"/>
            <w:hideMark/>
          </w:tcPr>
          <w:p w:rsidR="00D74E40" w:rsidRDefault="00D74E40" w:rsidP="001A4072">
            <w:pPr>
              <w:spacing w:line="360" w:lineRule="auto"/>
              <w:rPr>
                <w:sz w:val="24"/>
                <w:szCs w:val="24"/>
              </w:rPr>
            </w:pPr>
            <w:r>
              <w:t>Monsoon</w:t>
            </w:r>
          </w:p>
        </w:tc>
        <w:tc>
          <w:tcPr>
            <w:tcW w:w="0" w:type="auto"/>
            <w:hideMark/>
          </w:tcPr>
          <w:p w:rsidR="00D74E40" w:rsidRDefault="00D74E40" w:rsidP="001A4072">
            <w:pPr>
              <w:spacing w:line="360" w:lineRule="auto"/>
              <w:rPr>
                <w:sz w:val="24"/>
                <w:szCs w:val="24"/>
              </w:rPr>
            </w:pPr>
            <w:r>
              <w:t>AST, ALT, ALP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Ghosh et al., 2022</w:t>
            </w:r>
          </w:p>
        </w:tc>
      </w:tr>
      <w:tr w:rsidR="00D74E40" w:rsidTr="007D34CD">
        <w:tc>
          <w:tcPr>
            <w:tcW w:w="0" w:type="auto"/>
            <w:hideMark/>
          </w:tcPr>
          <w:p w:rsidR="00D74E40" w:rsidRDefault="001A4072" w:rsidP="001A4072">
            <w:pPr>
              <w:spacing w:line="360" w:lineRule="auto"/>
              <w:rPr>
                <w:sz w:val="24"/>
                <w:szCs w:val="24"/>
              </w:rPr>
            </w:pPr>
            <w:r>
              <w:lastRenderedPageBreak/>
              <w:t>Rihand (</w:t>
            </w:r>
            <w:r w:rsidR="00D74E40">
              <w:t>Chhattisgarh)</w:t>
            </w:r>
          </w:p>
        </w:tc>
        <w:tc>
          <w:tcPr>
            <w:tcW w:w="0" w:type="auto"/>
            <w:hideMark/>
          </w:tcPr>
          <w:p w:rsidR="00D74E40" w:rsidRDefault="00D74E40" w:rsidP="001A4072">
            <w:pPr>
              <w:spacing w:line="360" w:lineRule="auto"/>
              <w:rPr>
                <w:sz w:val="24"/>
                <w:szCs w:val="24"/>
              </w:rPr>
            </w:pPr>
            <w:r>
              <w:t>Power-plant, coal-based effluent</w:t>
            </w:r>
          </w:p>
        </w:tc>
        <w:tc>
          <w:tcPr>
            <w:tcW w:w="0" w:type="auto"/>
            <w:hideMark/>
          </w:tcPr>
          <w:p w:rsidR="00D74E40" w:rsidRDefault="00D74E40" w:rsidP="001A4072">
            <w:pPr>
              <w:spacing w:line="360" w:lineRule="auto"/>
              <w:rPr>
                <w:sz w:val="24"/>
                <w:szCs w:val="24"/>
              </w:rPr>
            </w:pPr>
            <w:r>
              <w:t>Pre-monsoon</w:t>
            </w:r>
          </w:p>
        </w:tc>
        <w:tc>
          <w:tcPr>
            <w:tcW w:w="0" w:type="auto"/>
            <w:hideMark/>
          </w:tcPr>
          <w:p w:rsidR="00D74E40" w:rsidRDefault="00D74E40" w:rsidP="001A4072">
            <w:pPr>
              <w:spacing w:line="360" w:lineRule="auto"/>
              <w:rPr>
                <w:sz w:val="24"/>
                <w:szCs w:val="24"/>
              </w:rPr>
            </w:pPr>
            <w:r>
              <w:t>LDH, ALT, ACP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Gupta et al., 2023</w:t>
            </w:r>
          </w:p>
        </w:tc>
      </w:tr>
    </w:tbl>
    <w:p w:rsidR="00AB0F75" w:rsidRDefault="00AB0F75" w:rsidP="001A4072">
      <w:pPr>
        <w:spacing w:after="0" w:line="360" w:lineRule="auto"/>
        <w:outlineLvl w:val="1"/>
        <w:rPr>
          <w:rFonts w:ascii="Times New Roman" w:eastAsia="Times New Roman" w:hAnsi="Times New Roman" w:cs="Times New Roman"/>
          <w:b/>
          <w:bCs/>
          <w:sz w:val="28"/>
          <w:szCs w:val="28"/>
        </w:rPr>
      </w:pPr>
    </w:p>
    <w:p w:rsidR="00AB0F75" w:rsidRPr="00AB0F75" w:rsidRDefault="00AB0F75" w:rsidP="00AB0F75">
      <w:pPr>
        <w:spacing w:after="0" w:line="360" w:lineRule="auto"/>
        <w:jc w:val="both"/>
        <w:outlineLvl w:val="1"/>
        <w:rPr>
          <w:rFonts w:ascii="Times New Roman" w:eastAsia="Times New Roman" w:hAnsi="Times New Roman" w:cs="Times New Roman"/>
          <w:b/>
          <w:bCs/>
          <w:sz w:val="28"/>
          <w:szCs w:val="28"/>
        </w:rPr>
      </w:pPr>
      <w:r w:rsidRPr="00AB0F75">
        <w:rPr>
          <w:rFonts w:ascii="Times New Roman" w:eastAsia="Times New Roman" w:hAnsi="Times New Roman" w:cs="Times New Roman"/>
          <w:b/>
          <w:bCs/>
          <w:sz w:val="28"/>
          <w:szCs w:val="28"/>
        </w:rPr>
        <w:t>SEASONAL VARIATION IN ENZYMATIC RESPONSES</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Seasonality plays a defining role in shaping biochemical responses of </w:t>
      </w:r>
      <w:r w:rsidRPr="00AB0F75">
        <w:rPr>
          <w:rFonts w:ascii="Times New Roman" w:eastAsia="Times New Roman" w:hAnsi="Times New Roman" w:cs="Times New Roman"/>
          <w:i/>
          <w:iCs/>
          <w:sz w:val="24"/>
          <w:szCs w:val="24"/>
        </w:rPr>
        <w:t>Channa punctata</w:t>
      </w:r>
      <w:r w:rsidRPr="00AB0F75">
        <w:rPr>
          <w:rFonts w:ascii="Times New Roman" w:eastAsia="Times New Roman" w:hAnsi="Times New Roman" w:cs="Times New Roman"/>
          <w:sz w:val="24"/>
          <w:szCs w:val="24"/>
        </w:rPr>
        <w:t xml:space="preserve"> inhabiting industrially impacted freshwater systems. In tropical rivers, summer and pre-monsoon months are typically characterised by elevated temperature, reduced discharge and higher evaporative concentration, conditions that increase pollutant retention and intensify toxic stress. Under such hydrological compression, wastewater becomes more chemically aggressive, and transaminases such as AST and ALT often rise markedly due to heightened hepatocellular permeability and intensified metabolic burden. LDH activity frequently mirrors this trend, reflecting respiratory strain and greater dependence on anaerobic glycolysis as dissolved oxygen decreases under organic and chemical load (Kumar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xml:space="preserve">., 2019). Alkaline phosphatase (ALP) also tends to increase during peak-pollution phases, indicating membrane leakage and osmoregulatory imbalance, although suppression may occur in extreme metal-dominated environments where catalytic inhibition occurs (Fazio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2020).</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In contrast, monsoon months bring substantial hydrological relief. Increased river flow enhances dilution, reduces conductivity and carries suspended material downstream, resulting in a temporary decline in overall toxicity. During such periods, enzyme values frequently reassume near-baseline states, suggesting partial metabolic recovery as pollutant concentration falls and oxygen availability improves. ACP, which responds strongly to chronic lysosomal stress, also shows seasonal responsiveness, generally peaking during pre-monsoon phases and declining during post-monsoon periods where environmental pressure is reduced. The cyclic elevation and regression of these biomarkers reflects the rhythmic nature of industrial stress on fish physiology and signifies the dynamic interplay between exposure intensity and detoxification capacity.</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Season-linked biochemical oscillation has broader ecological implications. Elevated summer-phase enzyme deviation often coincides with spawning season in </w:t>
      </w:r>
      <w:r w:rsidRPr="00AB0F75">
        <w:rPr>
          <w:rFonts w:ascii="Times New Roman" w:eastAsia="Times New Roman" w:hAnsi="Times New Roman" w:cs="Times New Roman"/>
          <w:i/>
          <w:iCs/>
          <w:sz w:val="24"/>
          <w:szCs w:val="24"/>
        </w:rPr>
        <w:t>C. punctata</w:t>
      </w:r>
      <w:r w:rsidRPr="00AB0F75">
        <w:rPr>
          <w:rFonts w:ascii="Times New Roman" w:eastAsia="Times New Roman" w:hAnsi="Times New Roman" w:cs="Times New Roman"/>
          <w:sz w:val="24"/>
          <w:szCs w:val="24"/>
        </w:rPr>
        <w:t xml:space="preserve">, meaning hepatic stress may translate into compromised reproductive investment, impaired gametogenesis and reduced offspring viability. Seasonal biomarker profiles therefore provide not only diagnostic insight into pollution patterns but also predictive value for population-level consequences. In this manner, AST, ALT, LDH, ALP and ACP serve as temporal indicators of effluent toxicity, </w:t>
      </w:r>
      <w:r w:rsidRPr="00AB0F75">
        <w:rPr>
          <w:rFonts w:ascii="Times New Roman" w:eastAsia="Times New Roman" w:hAnsi="Times New Roman" w:cs="Times New Roman"/>
          <w:sz w:val="24"/>
          <w:szCs w:val="24"/>
        </w:rPr>
        <w:lastRenderedPageBreak/>
        <w:t>revealing both acute and cyclic physiological pressure in river-dwelling fish (Xiao &amp; Watson, 2019).</w:t>
      </w:r>
    </w:p>
    <w:p w:rsidR="00AB0F75" w:rsidRPr="00AB0F75" w:rsidRDefault="00AB0F75" w:rsidP="00AB0F75">
      <w:pPr>
        <w:spacing w:after="0" w:line="360" w:lineRule="auto"/>
        <w:jc w:val="both"/>
        <w:outlineLvl w:val="1"/>
        <w:rPr>
          <w:rFonts w:ascii="Times New Roman" w:eastAsia="Times New Roman" w:hAnsi="Times New Roman" w:cs="Times New Roman"/>
          <w:b/>
          <w:bCs/>
          <w:sz w:val="28"/>
          <w:szCs w:val="28"/>
        </w:rPr>
      </w:pPr>
      <w:r w:rsidRPr="00AB0F75">
        <w:rPr>
          <w:rFonts w:ascii="Times New Roman" w:eastAsia="Times New Roman" w:hAnsi="Times New Roman" w:cs="Times New Roman"/>
          <w:b/>
          <w:bCs/>
          <w:sz w:val="28"/>
          <w:szCs w:val="28"/>
        </w:rPr>
        <w:t>MECHANISTIC INSIGHTS AND INTEGRATED TOXICITY PATHWAYS</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The enzymatic deviations observed in </w:t>
      </w:r>
      <w:r w:rsidRPr="00AB0F75">
        <w:rPr>
          <w:rFonts w:ascii="Times New Roman" w:eastAsia="Times New Roman" w:hAnsi="Times New Roman" w:cs="Times New Roman"/>
          <w:i/>
          <w:iCs/>
          <w:sz w:val="24"/>
          <w:szCs w:val="24"/>
        </w:rPr>
        <w:t>Channa punctata</w:t>
      </w:r>
      <w:r w:rsidRPr="00AB0F75">
        <w:rPr>
          <w:rFonts w:ascii="Times New Roman" w:eastAsia="Times New Roman" w:hAnsi="Times New Roman" w:cs="Times New Roman"/>
          <w:sz w:val="24"/>
          <w:szCs w:val="24"/>
        </w:rPr>
        <w:t xml:space="preserve"> under industrial effluent exposure are best interpreted within a mechanistic toxicity framework. Industrial wastewater often contains complex mixtures of heavy metals, phenolics, surfactants, dyes and nitrates, each capable of generating excessive reactive oxygen species (ROS) within hepatocytes and gill tissues. This oxidative overload initiates lipid peroxidation, disrupts mitochondrial integrity and destabilises cellular membranes. Compromised membranes allow cytosolic enzymes such as AST, ALT and ALP to diffuse into plasma, producing quantifiable biochemical signatures of damage. LDH elevation reflects mitochondrial impairment and a metabolic shift toward anaerobic energy dependence, particularly under hypoxia where oxidative phosphorylation becomes energetically restricted (Kumar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xml:space="preserve"> 2019).</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Simultaneously, lysosomal destabilisation activates Acid Phosphatase (ACP), signalling autophagic turnover of damaged organelles and protein aggregates. Prolonged ACP activation indicates chronic exposure, persistent oxidative pressure and sustained cellular degradation. Antioxidant enzymes including superoxide dismutase (SOD), catalase (CAT), glutathione-S-transferase (GST) and glutathione peroxidase (GPx) often increase initially as defence, but prolonged stress eventually exhausts antioxidant reserves, allowing ROS‐mediated cytotoxicity to dominate (Fazio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2020). These overlapping pathways demonstrate that enzyme biomarkers reflect distinct segments of the same toxicity cascade: oxidative initiation → membrane disruption → metabolic shift → lysosomal degradation.</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The relationship between effluent toxicity and biomarker deviation can be conceptualised as a progressive chain of events. Industrial pollutants induce oxidative stress, causing membrane leakage of transaminases, mitochondrial recession triggering LDH elevation and lysosomal activation signalled by ACP rise. This interconnected mechanism confirms that these enzymes do not change in isolation; rather, they collectively map the trajectory of cellular injury and provide an integrated picture of toxic impact intensity (Xiao &amp; Watson, 2019). Such mechanistic insight strengthens the application of enzyme biomarkers as decision-tools for river health evaluation, impact forecasting and ecological risk management.</w:t>
      </w:r>
    </w:p>
    <w:p w:rsidR="00AB0F75" w:rsidRDefault="00AB0F75" w:rsidP="00AB0F75">
      <w:pPr>
        <w:spacing w:after="0" w:line="360" w:lineRule="auto"/>
        <w:outlineLvl w:val="1"/>
        <w:rPr>
          <w:rFonts w:ascii="Times New Roman" w:eastAsia="Times New Roman" w:hAnsi="Times New Roman" w:cs="Times New Roman"/>
          <w:b/>
          <w:bCs/>
          <w:sz w:val="28"/>
          <w:szCs w:val="28"/>
        </w:rPr>
      </w:pPr>
    </w:p>
    <w:p w:rsidR="00D74E40" w:rsidRPr="00EF4E40" w:rsidRDefault="00D74E40" w:rsidP="001A4072">
      <w:pPr>
        <w:spacing w:after="0" w:line="360" w:lineRule="auto"/>
        <w:outlineLvl w:val="1"/>
        <w:rPr>
          <w:rFonts w:ascii="Times New Roman" w:eastAsia="Times New Roman" w:hAnsi="Times New Roman" w:cs="Times New Roman"/>
          <w:b/>
          <w:bCs/>
          <w:sz w:val="28"/>
          <w:szCs w:val="28"/>
        </w:rPr>
      </w:pPr>
      <w:r w:rsidRPr="00EF4E40">
        <w:rPr>
          <w:rFonts w:ascii="Times New Roman" w:eastAsia="Times New Roman" w:hAnsi="Times New Roman" w:cs="Times New Roman"/>
          <w:b/>
          <w:bCs/>
          <w:sz w:val="28"/>
          <w:szCs w:val="28"/>
        </w:rPr>
        <w:lastRenderedPageBreak/>
        <w:t>Discussion</w:t>
      </w:r>
    </w:p>
    <w:p w:rsidR="00D74E40" w:rsidRPr="00D74E40" w:rsidRDefault="00D74E40" w:rsidP="001A4072">
      <w:pPr>
        <w:spacing w:after="0" w:line="360" w:lineRule="auto"/>
        <w:jc w:val="both"/>
        <w:rPr>
          <w:rFonts w:ascii="Times New Roman" w:eastAsia="Times New Roman" w:hAnsi="Times New Roman" w:cs="Times New Roman"/>
          <w:sz w:val="24"/>
          <w:szCs w:val="24"/>
        </w:rPr>
      </w:pPr>
      <w:r w:rsidRPr="00D74E40">
        <w:rPr>
          <w:rFonts w:ascii="Times New Roman" w:eastAsia="Times New Roman" w:hAnsi="Times New Roman" w:cs="Times New Roman"/>
          <w:sz w:val="24"/>
          <w:szCs w:val="24"/>
        </w:rPr>
        <w:t xml:space="preserve">Industrial pollution is increasingly </w:t>
      </w:r>
      <w:r w:rsidR="001A4072" w:rsidRPr="00D74E40">
        <w:rPr>
          <w:rFonts w:ascii="Times New Roman" w:eastAsia="Times New Roman" w:hAnsi="Times New Roman" w:cs="Times New Roman"/>
          <w:sz w:val="24"/>
          <w:szCs w:val="24"/>
        </w:rPr>
        <w:t>recognized</w:t>
      </w:r>
      <w:r w:rsidRPr="00D74E40">
        <w:rPr>
          <w:rFonts w:ascii="Times New Roman" w:eastAsia="Times New Roman" w:hAnsi="Times New Roman" w:cs="Times New Roman"/>
          <w:sz w:val="24"/>
          <w:szCs w:val="24"/>
        </w:rPr>
        <w:t xml:space="preserve"> as a major driver of biochemical stress in freshwater fishes, particularly in densely populated and industrially active regions of India. Across the studies </w:t>
      </w:r>
      <w:r w:rsidR="001A4072" w:rsidRPr="00D74E40">
        <w:rPr>
          <w:rFonts w:ascii="Times New Roman" w:eastAsia="Times New Roman" w:hAnsi="Times New Roman" w:cs="Times New Roman"/>
          <w:sz w:val="24"/>
          <w:szCs w:val="24"/>
        </w:rPr>
        <w:t>synthesized</w:t>
      </w:r>
      <w:r w:rsidRPr="00D74E40">
        <w:rPr>
          <w:rFonts w:ascii="Times New Roman" w:eastAsia="Times New Roman" w:hAnsi="Times New Roman" w:cs="Times New Roman"/>
          <w:sz w:val="24"/>
          <w:szCs w:val="24"/>
        </w:rPr>
        <w:t xml:space="preserve"> in this review, </w:t>
      </w:r>
      <w:r w:rsidRPr="00D74E40">
        <w:rPr>
          <w:rFonts w:ascii="Times New Roman" w:eastAsia="Times New Roman" w:hAnsi="Times New Roman" w:cs="Times New Roman"/>
          <w:i/>
          <w:iCs/>
          <w:sz w:val="24"/>
          <w:szCs w:val="24"/>
        </w:rPr>
        <w:t>Channa punctata</w:t>
      </w:r>
      <w:r w:rsidRPr="00D74E40">
        <w:rPr>
          <w:rFonts w:ascii="Times New Roman" w:eastAsia="Times New Roman" w:hAnsi="Times New Roman" w:cs="Times New Roman"/>
          <w:sz w:val="24"/>
          <w:szCs w:val="24"/>
        </w:rPr>
        <w:t xml:space="preserve"> displayed consistently elevated levels of AST, ALT, LDH, ALP and ACP in response to metals, dyes, acids, alkalis, and organic toxicants discharged into river systems after insufficient treatment. This pattern agrees with previous biomonitoring reviews suggesting that hepatic leakage enzymes and metabolic oxidoreductases serve as frontline biomarkers for detecting early sub-lethal tissue injury in fishes sub</w:t>
      </w:r>
      <w:r w:rsidR="001A4072">
        <w:rPr>
          <w:rFonts w:ascii="Times New Roman" w:eastAsia="Times New Roman" w:hAnsi="Times New Roman" w:cs="Times New Roman"/>
          <w:sz w:val="24"/>
          <w:szCs w:val="24"/>
        </w:rPr>
        <w:t>jected to anthropogenic stress .</w:t>
      </w:r>
      <w:r w:rsidRPr="00D74E40">
        <w:rPr>
          <w:rFonts w:ascii="Times New Roman" w:eastAsia="Times New Roman" w:hAnsi="Times New Roman" w:cs="Times New Roman"/>
          <w:sz w:val="24"/>
          <w:szCs w:val="24"/>
        </w:rPr>
        <w:t xml:space="preserve">Transaminases AST and ALT showed strong correlation with hepatic cell membrane integrity and are commonly upregulated in effluent-exposed fish due to cytoplasmic release caused by necrosis or apoptosis of hepatocytes (Gupta </w:t>
      </w:r>
      <w:r w:rsidRPr="001A4072">
        <w:rPr>
          <w:rFonts w:ascii="Times New Roman" w:eastAsia="Times New Roman" w:hAnsi="Times New Roman" w:cs="Times New Roman"/>
          <w:i/>
          <w:iCs/>
          <w:sz w:val="24"/>
          <w:szCs w:val="24"/>
        </w:rPr>
        <w:t>et al.,</w:t>
      </w:r>
      <w:r w:rsidRPr="00D74E40">
        <w:rPr>
          <w:rFonts w:ascii="Times New Roman" w:eastAsia="Times New Roman" w:hAnsi="Times New Roman" w:cs="Times New Roman"/>
          <w:sz w:val="24"/>
          <w:szCs w:val="24"/>
        </w:rPr>
        <w:t xml:space="preserve"> 2020). LDH also displayed a remarkable sensitivity, reflecting activation of anaerobic glycolysis under oxygen-stressed conditions induced by chemical insult. ALP and ACP illustrated membrane transport perturbations and lysosomal destabilisation, indicative of disrupted osmoregulation and increased autophagic activity. This agrees with the mechanistic hypothesis that effluent toxicity in fish initiates oxidative stress, ionic imbalance and mitochondrial dysfunction, eventually producing downstream enzyme disturbances </w:t>
      </w:r>
      <w:r w:rsidR="001A4072">
        <w:rPr>
          <w:rFonts w:ascii="Times New Roman" w:eastAsia="Times New Roman" w:hAnsi="Times New Roman" w:cs="Times New Roman"/>
          <w:sz w:val="24"/>
          <w:szCs w:val="24"/>
        </w:rPr>
        <w:t>.</w:t>
      </w:r>
      <w:r w:rsidRPr="00D74E40">
        <w:rPr>
          <w:rFonts w:ascii="Times New Roman" w:eastAsia="Times New Roman" w:hAnsi="Times New Roman" w:cs="Times New Roman"/>
          <w:sz w:val="24"/>
          <w:szCs w:val="24"/>
        </w:rPr>
        <w:t>Seasonal variation played a critical role in modulating enzymatic responses</w:t>
      </w:r>
      <w:r w:rsidR="001A4072">
        <w:rPr>
          <w:rFonts w:ascii="Times New Roman" w:eastAsia="Times New Roman" w:hAnsi="Times New Roman" w:cs="Times New Roman"/>
          <w:sz w:val="24"/>
          <w:szCs w:val="24"/>
        </w:rPr>
        <w:t xml:space="preserve">. Pre-monsoon and summer months </w:t>
      </w:r>
      <w:r w:rsidR="001A4072" w:rsidRPr="00D74E40">
        <w:rPr>
          <w:rFonts w:ascii="Times New Roman" w:eastAsia="Times New Roman" w:hAnsi="Times New Roman" w:cs="Times New Roman"/>
          <w:sz w:val="24"/>
          <w:szCs w:val="24"/>
        </w:rPr>
        <w:t>characterized</w:t>
      </w:r>
      <w:r w:rsidRPr="00D74E40">
        <w:rPr>
          <w:rFonts w:ascii="Times New Roman" w:eastAsia="Times New Roman" w:hAnsi="Times New Roman" w:cs="Times New Roman"/>
          <w:sz w:val="24"/>
          <w:szCs w:val="24"/>
        </w:rPr>
        <w:t xml:space="preserve"> by reduced river flow, higher temperatures and</w:t>
      </w:r>
      <w:r w:rsidR="001A4072">
        <w:rPr>
          <w:rFonts w:ascii="Times New Roman" w:eastAsia="Times New Roman" w:hAnsi="Times New Roman" w:cs="Times New Roman"/>
          <w:sz w:val="24"/>
          <w:szCs w:val="24"/>
        </w:rPr>
        <w:t xml:space="preserve"> greater effluent concentration </w:t>
      </w:r>
      <w:r w:rsidRPr="00D74E40">
        <w:rPr>
          <w:rFonts w:ascii="Times New Roman" w:eastAsia="Times New Roman" w:hAnsi="Times New Roman" w:cs="Times New Roman"/>
          <w:sz w:val="24"/>
          <w:szCs w:val="24"/>
        </w:rPr>
        <w:t xml:space="preserve">produced more severe enzyme deviations. During monsoon or winter when dilution was higher, partial recovery was often observed in liver and serum biomarkers </w:t>
      </w:r>
      <w:r w:rsidR="001A4072">
        <w:rPr>
          <w:rFonts w:ascii="Times New Roman" w:eastAsia="Times New Roman" w:hAnsi="Times New Roman" w:cs="Times New Roman"/>
          <w:sz w:val="24"/>
          <w:szCs w:val="24"/>
        </w:rPr>
        <w:t>.</w:t>
      </w:r>
      <w:r w:rsidRPr="00D74E40">
        <w:rPr>
          <w:rFonts w:ascii="Times New Roman" w:eastAsia="Times New Roman" w:hAnsi="Times New Roman" w:cs="Times New Roman"/>
          <w:sz w:val="24"/>
          <w:szCs w:val="24"/>
        </w:rPr>
        <w:t xml:space="preserve"> River-specific factors, such as the type of industry and pollutant load, further governed the magnitude of toxicity. Textile dyeing effluents from the Damodar region were rich in aromatic amines, whereas mining effluents in the Sabari contained predominantly heavy meta</w:t>
      </w:r>
      <w:r w:rsidR="001A4072">
        <w:rPr>
          <w:rFonts w:ascii="Times New Roman" w:eastAsia="Times New Roman" w:hAnsi="Times New Roman" w:cs="Times New Roman"/>
          <w:sz w:val="24"/>
          <w:szCs w:val="24"/>
        </w:rPr>
        <w:t xml:space="preserve">ls, producing differing effects </w:t>
      </w:r>
      <w:r w:rsidRPr="00D74E40">
        <w:rPr>
          <w:rFonts w:ascii="Times New Roman" w:eastAsia="Times New Roman" w:hAnsi="Times New Roman" w:cs="Times New Roman"/>
          <w:sz w:val="24"/>
          <w:szCs w:val="24"/>
        </w:rPr>
        <w:t xml:space="preserve">suggesting effluent composition-specific </w:t>
      </w:r>
      <w:r w:rsidR="001A4072" w:rsidRPr="00D74E40">
        <w:rPr>
          <w:rFonts w:ascii="Times New Roman" w:eastAsia="Times New Roman" w:hAnsi="Times New Roman" w:cs="Times New Roman"/>
          <w:sz w:val="24"/>
          <w:szCs w:val="24"/>
        </w:rPr>
        <w:t>responses. Overall</w:t>
      </w:r>
      <w:r w:rsidRPr="00D74E40">
        <w:rPr>
          <w:rFonts w:ascii="Times New Roman" w:eastAsia="Times New Roman" w:hAnsi="Times New Roman" w:cs="Times New Roman"/>
          <w:sz w:val="24"/>
          <w:szCs w:val="24"/>
        </w:rPr>
        <w:t xml:space="preserve">, enzyme biomarkers provide a valuable window into real-time physiological disturbances in specimen fish such as </w:t>
      </w:r>
      <w:r w:rsidRPr="00D74E40">
        <w:rPr>
          <w:rFonts w:ascii="Times New Roman" w:eastAsia="Times New Roman" w:hAnsi="Times New Roman" w:cs="Times New Roman"/>
          <w:i/>
          <w:iCs/>
          <w:sz w:val="24"/>
          <w:szCs w:val="24"/>
        </w:rPr>
        <w:t>C. punctata</w:t>
      </w:r>
      <w:r w:rsidRPr="00D74E40">
        <w:rPr>
          <w:rFonts w:ascii="Times New Roman" w:eastAsia="Times New Roman" w:hAnsi="Times New Roman" w:cs="Times New Roman"/>
          <w:sz w:val="24"/>
          <w:szCs w:val="24"/>
        </w:rPr>
        <w:t>. However, integration with additional biomarkers (oxidative stress enzymes, histopathology, genotoxicity) is recommended to strengthen conclusions. Furthermore, application of molecular techniques for identifying isoenzyme patterns and gene-level regulation could bro</w:t>
      </w:r>
      <w:r w:rsidR="001A4072">
        <w:rPr>
          <w:rFonts w:ascii="Times New Roman" w:eastAsia="Times New Roman" w:hAnsi="Times New Roman" w:cs="Times New Roman"/>
          <w:sz w:val="24"/>
          <w:szCs w:val="24"/>
        </w:rPr>
        <w:t>aden mechanistic understanding.</w:t>
      </w:r>
      <w:r w:rsidRPr="00D74E40">
        <w:rPr>
          <w:rFonts w:ascii="Times New Roman" w:eastAsia="Times New Roman" w:hAnsi="Times New Roman" w:cs="Times New Roman"/>
          <w:sz w:val="24"/>
          <w:szCs w:val="24"/>
        </w:rPr>
        <w:t>Standardisation of field biomonitoring protocols would allow better comparison across river systems.</w:t>
      </w:r>
    </w:p>
    <w:p w:rsidR="00D74E40" w:rsidRPr="004925F6" w:rsidRDefault="00D74E40" w:rsidP="001A4072">
      <w:pPr>
        <w:spacing w:after="0" w:line="360" w:lineRule="auto"/>
        <w:outlineLvl w:val="1"/>
        <w:rPr>
          <w:rFonts w:ascii="Times New Roman" w:eastAsia="Times New Roman" w:hAnsi="Times New Roman" w:cs="Times New Roman"/>
          <w:b/>
          <w:bCs/>
          <w:sz w:val="28"/>
          <w:szCs w:val="28"/>
        </w:rPr>
      </w:pPr>
      <w:r w:rsidRPr="004925F6">
        <w:rPr>
          <w:rFonts w:ascii="Times New Roman" w:eastAsia="Times New Roman" w:hAnsi="Times New Roman" w:cs="Times New Roman"/>
          <w:b/>
          <w:bCs/>
          <w:sz w:val="28"/>
          <w:szCs w:val="28"/>
        </w:rPr>
        <w:lastRenderedPageBreak/>
        <w:t>Conclusion and Future Perspectives</w:t>
      </w:r>
    </w:p>
    <w:p w:rsidR="001A51AD" w:rsidRDefault="001A51AD" w:rsidP="001A51AD">
      <w:pPr>
        <w:spacing w:after="0" w:line="360" w:lineRule="auto"/>
        <w:jc w:val="both"/>
        <w:outlineLvl w:val="1"/>
        <w:rPr>
          <w:rFonts w:ascii="Times New Roman" w:eastAsia="Times New Roman" w:hAnsi="Times New Roman" w:cs="Times New Roman"/>
          <w:sz w:val="24"/>
          <w:szCs w:val="24"/>
        </w:rPr>
      </w:pPr>
      <w:r w:rsidRPr="001A51AD">
        <w:rPr>
          <w:rFonts w:ascii="Times New Roman" w:eastAsia="Times New Roman" w:hAnsi="Times New Roman" w:cs="Times New Roman"/>
          <w:sz w:val="24"/>
          <w:szCs w:val="24"/>
        </w:rPr>
        <w:t xml:space="preserve">The present review, which synthesizes research published between 2010 and 2024, demonstrates that the enzymatic physiology of Channa punctata is highly responsive to contamination from industrial effluents in Indian freshwater systems. Across multiple river basins, consistent increases in AST, ALT, LDH, ALP and ACP activity were recorded in fish sampled downstream of industrial discharge zones. These elevations were particularly prominent during the summer and pre-monsoon periods, when reduced water flow and higher temperatures tend to concentrate pollutants. Such enzymatic shifts provide strong indications of hepatocellular injury, disturbed energy metabolism and compromised membrane integrity in exposed fish populations. The findings reinforce the utility of </w:t>
      </w:r>
      <w:r w:rsidRPr="00BE1A8A">
        <w:rPr>
          <w:rFonts w:ascii="Times New Roman" w:eastAsia="Times New Roman" w:hAnsi="Times New Roman" w:cs="Times New Roman"/>
          <w:i/>
          <w:iCs/>
          <w:sz w:val="24"/>
          <w:szCs w:val="24"/>
        </w:rPr>
        <w:t>C. punctata</w:t>
      </w:r>
      <w:r w:rsidRPr="001A51AD">
        <w:rPr>
          <w:rFonts w:ascii="Times New Roman" w:eastAsia="Times New Roman" w:hAnsi="Times New Roman" w:cs="Times New Roman"/>
          <w:sz w:val="24"/>
          <w:szCs w:val="24"/>
        </w:rPr>
        <w:t xml:space="preserve"> as a practical and cost-efficient bioindicator for riverine pollution monitoring. Its wide distribution, ecological tolerance and measurable biochemical responses make it suitable for early-warning biomonitoring frameworks, especially in regions with limited resources for advanced chemical analysis. Despite these strengths, several gaps remain. Future studies should aim to establish river-specific baseline enzyme values that account for natural seasonal variability. Field-relevant dose–response models using actual effluent concentrations are also needed to translate biomarker changes into meaningful ecological risk assessments. Integrating enzymatic biomarke</w:t>
      </w:r>
      <w:r w:rsidR="00BE1A8A">
        <w:rPr>
          <w:rFonts w:ascii="Times New Roman" w:eastAsia="Times New Roman" w:hAnsi="Times New Roman" w:cs="Times New Roman"/>
          <w:sz w:val="24"/>
          <w:szCs w:val="24"/>
        </w:rPr>
        <w:t xml:space="preserve">rs with complementary endpoints </w:t>
      </w:r>
      <w:r w:rsidRPr="001A51AD">
        <w:rPr>
          <w:rFonts w:ascii="Times New Roman" w:eastAsia="Times New Roman" w:hAnsi="Times New Roman" w:cs="Times New Roman"/>
          <w:sz w:val="24"/>
          <w:szCs w:val="24"/>
        </w:rPr>
        <w:t>such as histopathology, oxidative stress markers, gene expression profiles and population</w:t>
      </w:r>
      <w:r w:rsidR="00BE1A8A">
        <w:rPr>
          <w:rFonts w:ascii="Times New Roman" w:eastAsia="Times New Roman" w:hAnsi="Times New Roman" w:cs="Times New Roman"/>
          <w:sz w:val="24"/>
          <w:szCs w:val="24"/>
        </w:rPr>
        <w:t xml:space="preserve">-level assessments </w:t>
      </w:r>
      <w:r w:rsidRPr="001A51AD">
        <w:rPr>
          <w:rFonts w:ascii="Times New Roman" w:eastAsia="Times New Roman" w:hAnsi="Times New Roman" w:cs="Times New Roman"/>
          <w:sz w:val="24"/>
          <w:szCs w:val="24"/>
        </w:rPr>
        <w:t>will generate a more holistic understanding of pollutant impact. Moreover, long-term, multi-seasonal monitoring programmes incorporating modern “omics” technologies can help identify molecular pathways of toxicity and support scientifically informed river restoration, pollution mitigation and effluent regulation strategies.</w:t>
      </w: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CE162D" w:rsidRPr="00046C34" w:rsidRDefault="00CE162D" w:rsidP="00CE162D">
      <w:pPr>
        <w:rPr>
          <w:rFonts w:ascii="Calibri" w:eastAsia="Calibri" w:hAnsi="Calibri" w:cs="Times New Roman"/>
          <w:kern w:val="2"/>
          <w:highlight w:val="yellow"/>
        </w:rPr>
      </w:pPr>
      <w:bookmarkStart w:id="0" w:name="_Hlk211509776"/>
      <w:r w:rsidRPr="00046C34">
        <w:rPr>
          <w:rFonts w:ascii="Calibri" w:eastAsia="Calibri" w:hAnsi="Calibri" w:cs="Times New Roman"/>
          <w:kern w:val="2"/>
          <w:highlight w:val="yellow"/>
        </w:rPr>
        <w:t>Disclaimer (Artificial intelligence)</w:t>
      </w:r>
    </w:p>
    <w:p w:rsidR="00CE162D" w:rsidRPr="00046C34"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rsidR="00CE162D" w:rsidRPr="00046C34"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rsidR="00CE162D" w:rsidRPr="00046C34"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rsidR="00CE162D" w:rsidRPr="00046C34"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rsidR="00CE162D" w:rsidRPr="00046C34"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rsidR="00CE162D" w:rsidRPr="00046C34"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t>1.</w:t>
      </w:r>
    </w:p>
    <w:p w:rsidR="00CE162D" w:rsidRPr="00046C34"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t>2.</w:t>
      </w:r>
    </w:p>
    <w:p w:rsidR="00CE162D" w:rsidRDefault="00CE162D" w:rsidP="00CE162D">
      <w:pPr>
        <w:rPr>
          <w:rFonts w:ascii="Calibri" w:eastAsia="Calibri" w:hAnsi="Calibri" w:cs="Times New Roman"/>
          <w:kern w:val="2"/>
          <w:highlight w:val="yellow"/>
        </w:rPr>
      </w:pPr>
      <w:r w:rsidRPr="00046C34">
        <w:rPr>
          <w:rFonts w:ascii="Calibri" w:eastAsia="Calibri" w:hAnsi="Calibri" w:cs="Times New Roman"/>
          <w:kern w:val="2"/>
          <w:highlight w:val="yellow"/>
        </w:rPr>
        <w:t>3.</w:t>
      </w:r>
    </w:p>
    <w:p w:rsidR="00BE1A8A" w:rsidRDefault="00BE1A8A" w:rsidP="001A4072">
      <w:pPr>
        <w:spacing w:after="0" w:line="360" w:lineRule="auto"/>
        <w:outlineLvl w:val="1"/>
        <w:rPr>
          <w:rFonts w:ascii="Times New Roman" w:eastAsia="Times New Roman" w:hAnsi="Times New Roman" w:cs="Times New Roman"/>
          <w:b/>
          <w:bCs/>
          <w:sz w:val="28"/>
          <w:szCs w:val="28"/>
        </w:rPr>
      </w:pPr>
      <w:bookmarkStart w:id="1" w:name="_GoBack"/>
      <w:bookmarkEnd w:id="0"/>
      <w:bookmarkEnd w:id="1"/>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D74E40" w:rsidRPr="004925F6" w:rsidRDefault="00D74E40" w:rsidP="001A4072">
      <w:pPr>
        <w:spacing w:after="0" w:line="360" w:lineRule="auto"/>
        <w:outlineLvl w:val="1"/>
        <w:rPr>
          <w:rFonts w:ascii="Times New Roman" w:eastAsia="Times New Roman" w:hAnsi="Times New Roman" w:cs="Times New Roman"/>
          <w:b/>
          <w:bCs/>
          <w:sz w:val="28"/>
          <w:szCs w:val="28"/>
        </w:rPr>
      </w:pPr>
      <w:r w:rsidRPr="004925F6">
        <w:rPr>
          <w:rFonts w:ascii="Times New Roman" w:eastAsia="Times New Roman" w:hAnsi="Times New Roman" w:cs="Times New Roman"/>
          <w:b/>
          <w:bCs/>
          <w:sz w:val="28"/>
          <w:szCs w:val="28"/>
        </w:rPr>
        <w:t>References</w:t>
      </w:r>
    </w:p>
    <w:p w:rsidR="00F565E4" w:rsidRPr="00F565E4" w:rsidRDefault="00F565E4" w:rsidP="00F565E4">
      <w:pPr>
        <w:pStyle w:val="NormalWeb"/>
        <w:spacing w:before="0" w:beforeAutospacing="0" w:after="0" w:afterAutospacing="0" w:line="360" w:lineRule="auto"/>
        <w:ind w:left="720"/>
      </w:pPr>
    </w:p>
    <w:p w:rsidR="006D7B30" w:rsidRPr="006D7B30" w:rsidRDefault="006D7B30" w:rsidP="006D7B30">
      <w:pPr>
        <w:pStyle w:val="NormalWeb"/>
        <w:numPr>
          <w:ilvl w:val="0"/>
          <w:numId w:val="9"/>
        </w:numPr>
        <w:spacing w:before="0" w:beforeAutospacing="0" w:after="0" w:afterAutospacing="0" w:line="360" w:lineRule="auto"/>
      </w:pPr>
      <w:r w:rsidRPr="006D7B30">
        <w:t xml:space="preserve">Abdallah, S. M., Muhammed, R. E., Mohamed, R. E., El Daous, H., Saleh, D. M., Ghorab, M. A., Chen, S., &amp; El-Sayyad, G. S. (2024). Assessment of biochemical biomarkers and environmental stress indicators in some freshwater fish. </w:t>
      </w:r>
      <w:r w:rsidRPr="006D7B30">
        <w:rPr>
          <w:rStyle w:val="Emphasis"/>
        </w:rPr>
        <w:t>Environmental Geochemistry and Health.</w:t>
      </w:r>
      <w:r w:rsidRPr="006D7B30">
        <w:t xml:space="preserve"> </w:t>
      </w:r>
      <w:hyperlink r:id="rId9" w:tgtFrame="_new" w:history="1">
        <w:r w:rsidRPr="006D7B30">
          <w:rPr>
            <w:rStyle w:val="Hyperlink"/>
            <w:color w:val="auto"/>
            <w:u w:val="none"/>
          </w:rPr>
          <w:t>https://doi.org/10.1007/s10653-024-02226-6</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Amjad, S., Sharma, A. K., &amp; Serajuddin, M. (2018). Toxicity assessment of cypermethrin nanoparticles in </w:t>
      </w:r>
      <w:r w:rsidRPr="006D7B30">
        <w:rPr>
          <w:rStyle w:val="Emphasis"/>
        </w:rPr>
        <w:t>Channa punctatus</w:t>
      </w:r>
      <w:r w:rsidRPr="006D7B30">
        <w:t xml:space="preserve">: Behavioural response, micronuclei induction and enzyme alteration. </w:t>
      </w:r>
      <w:r w:rsidRPr="006D7B30">
        <w:rPr>
          <w:rStyle w:val="Emphasis"/>
        </w:rPr>
        <w:t>Regulatory Toxicology and Pharmacology, 100</w:t>
      </w:r>
      <w:r w:rsidRPr="006D7B30">
        <w:t>, 127–133.</w:t>
      </w:r>
    </w:p>
    <w:p w:rsidR="006D7B30" w:rsidRPr="006D7B30" w:rsidRDefault="006D7B30" w:rsidP="006D7B30">
      <w:pPr>
        <w:pStyle w:val="NormalWeb"/>
        <w:numPr>
          <w:ilvl w:val="0"/>
          <w:numId w:val="9"/>
        </w:numPr>
        <w:spacing w:before="0" w:beforeAutospacing="0" w:after="0" w:afterAutospacing="0" w:line="360" w:lineRule="auto"/>
      </w:pPr>
      <w:r w:rsidRPr="006D7B30">
        <w:t xml:space="preserve">Athira, N., &amp; Jaya, D. S. (2018). The use of fish biomarkers for assessing textile effluent contamination of aquatic ecosystems: A review. </w:t>
      </w:r>
      <w:r w:rsidRPr="006D7B30">
        <w:rPr>
          <w:rStyle w:val="Emphasis"/>
        </w:rPr>
        <w:t>Nature Environment and Pollution Technology, 17</w:t>
      </w:r>
      <w:r w:rsidRPr="006D7B30">
        <w:t xml:space="preserve">(1), 25–34. </w:t>
      </w:r>
      <w:hyperlink r:id="rId10" w:tgtFrame="_new" w:history="1">
        <w:r w:rsidRPr="006D7B30">
          <w:rPr>
            <w:rStyle w:val="Hyperlink"/>
            <w:color w:val="auto"/>
            <w:u w:val="none"/>
          </w:rPr>
          <w:t>https://neptjournal.com/upload-images/NL-63-6-%284%29-B-3474.pdf</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Awasthi, Y., Ratn, A., Prasad, R., Kumar, M., &amp; Trivedi, S. P. (2018). An in vivo analysis of Cr⁶⁺ induced biochemical, genotoxicological and transcriptional profiling of </w:t>
      </w:r>
      <w:r w:rsidRPr="006D7B30">
        <w:lastRenderedPageBreak/>
        <w:t xml:space="preserve">genes related to oxidative stress, DNA damage and apoptosis in liver of fish, </w:t>
      </w:r>
      <w:r w:rsidRPr="006D7B30">
        <w:rPr>
          <w:rStyle w:val="Emphasis"/>
        </w:rPr>
        <w:t>Channa punctatus</w:t>
      </w:r>
      <w:r w:rsidRPr="006D7B30">
        <w:t xml:space="preserve">. </w:t>
      </w:r>
      <w:r w:rsidRPr="006D7B30">
        <w:rPr>
          <w:rStyle w:val="Emphasis"/>
        </w:rPr>
        <w:t>Aquatic Toxicology.</w:t>
      </w:r>
      <w:r w:rsidRPr="006D7B30">
        <w:t xml:space="preserve"> </w:t>
      </w:r>
      <w:hyperlink r:id="rId11" w:tgtFrame="_new" w:history="1">
        <w:r w:rsidRPr="006D7B30">
          <w:rPr>
            <w:rStyle w:val="Hyperlink"/>
            <w:color w:val="auto"/>
            <w:u w:val="none"/>
          </w:rPr>
          <w:t>https://doi.org/10.1016/j.aquatox.2018.05.001</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Bojarski, B., Witeska, M., &amp; Kondera, E. (2025). Blood biochemical biomarkers in fish toxicology—A review. </w:t>
      </w:r>
      <w:r w:rsidRPr="006D7B30">
        <w:rPr>
          <w:rStyle w:val="Emphasis"/>
        </w:rPr>
        <w:t>Animals, 15</w:t>
      </w:r>
      <w:r w:rsidRPr="006D7B30">
        <w:t xml:space="preserve">(7), 965. </w:t>
      </w:r>
      <w:hyperlink r:id="rId12" w:tgtFrame="_new" w:history="1">
        <w:r w:rsidRPr="006D7B30">
          <w:rPr>
            <w:rStyle w:val="Hyperlink"/>
            <w:color w:val="auto"/>
            <w:u w:val="none"/>
          </w:rPr>
          <w:t>https://doi.org/10.3390/ani15070965</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Central Pollution Control Board. (2022). </w:t>
      </w:r>
      <w:r w:rsidRPr="006D7B30">
        <w:rPr>
          <w:rStyle w:val="Emphasis"/>
        </w:rPr>
        <w:t>Assessment of polluted river stretches in India.</w:t>
      </w:r>
      <w:r w:rsidRPr="006D7B30">
        <w:t xml:space="preserve"> Ministry of Environment, Forest &amp; Climate Change, Government of India.</w:t>
      </w:r>
      <w:r w:rsidRPr="006D7B30">
        <w:br/>
      </w:r>
      <w:hyperlink r:id="rId13" w:tgtFrame="_new" w:history="1">
        <w:r w:rsidRPr="006D7B30">
          <w:rPr>
            <w:rStyle w:val="Hyperlink"/>
            <w:color w:val="auto"/>
            <w:u w:val="none"/>
          </w:rPr>
          <w:t>https://cpcb.nic.in/openpdffile.php?id=UmVwb3J0RmlsZXMvMTQ5NF8xNjcxNzc3ODg2X21lZGlhcGhvdG8xODc0Ni5wZGY=</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Das, N., Sen, A., &amp; Roy, D. (2021). Stress inductance and deterioration in the reproductive viability of </w:t>
      </w:r>
      <w:r w:rsidRPr="006D7B30">
        <w:rPr>
          <w:rStyle w:val="Emphasis"/>
        </w:rPr>
        <w:t>Channa punctata</w:t>
      </w:r>
      <w:r w:rsidRPr="006D7B30">
        <w:t xml:space="preserve"> exposed to textile effluents. </w:t>
      </w:r>
      <w:r w:rsidRPr="006D7B30">
        <w:rPr>
          <w:rStyle w:val="Emphasis"/>
        </w:rPr>
        <w:t>Journal of the Inland Fisheries Society of India, 52</w:t>
      </w:r>
      <w:r w:rsidRPr="006D7B30">
        <w:t xml:space="preserve">(2), 183–196. </w:t>
      </w:r>
      <w:hyperlink r:id="rId14" w:tgtFrame="_new" w:history="1">
        <w:r w:rsidRPr="006D7B30">
          <w:rPr>
            <w:rStyle w:val="Hyperlink"/>
            <w:color w:val="auto"/>
            <w:u w:val="none"/>
          </w:rPr>
          <w:t>https://doi.org/10.47780/jifsi.52.2.2020.109944</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Fazio, F., Ferrantelli, V., Fortino, G., Arfuso, F., &amp; Faggio, C. (2020). Fish biochemical biomarkers of environmental stress: A review. </w:t>
      </w:r>
      <w:r w:rsidRPr="006D7B30">
        <w:rPr>
          <w:rStyle w:val="Emphasis"/>
        </w:rPr>
        <w:t>Environmental Science and Pollution Research, 27</w:t>
      </w:r>
      <w:r w:rsidRPr="006D7B30">
        <w:t xml:space="preserve">(2), 12566–12580. </w:t>
      </w:r>
      <w:hyperlink r:id="rId15" w:tgtFrame="_new" w:history="1">
        <w:r w:rsidRPr="006D7B30">
          <w:rPr>
            <w:rStyle w:val="Hyperlink"/>
            <w:color w:val="auto"/>
            <w:u w:val="none"/>
          </w:rPr>
          <w:t>https://doi.org/10.1007/s11356-019-06568-8</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Grădinariu, L., Crețu, M., Vizireanu, C., &amp; Dediu, L. (2025). Oxidative stress biomarkers in fish exposed to environmental concentrations of pharmaceutical pollutants: A review. </w:t>
      </w:r>
      <w:r w:rsidRPr="006D7B30">
        <w:rPr>
          <w:rStyle w:val="Emphasis"/>
        </w:rPr>
        <w:t>Biology, 14</w:t>
      </w:r>
      <w:r w:rsidRPr="006D7B30">
        <w:t xml:space="preserve">(5), 472. </w:t>
      </w:r>
      <w:hyperlink r:id="rId16" w:tgtFrame="_new" w:history="1">
        <w:r w:rsidRPr="006D7B30">
          <w:rPr>
            <w:rStyle w:val="Hyperlink"/>
            <w:color w:val="auto"/>
            <w:u w:val="none"/>
          </w:rPr>
          <w:t>https://doi.org/10.3390/biology14050472</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Havelková, M., Dušek, L., Némethová, D., Poleszczuk, G., &amp; Svobodová, Z. (2010). Biochemical markers for the assessment of aquatic environment contamination. </w:t>
      </w:r>
      <w:r w:rsidRPr="006D7B30">
        <w:rPr>
          <w:rStyle w:val="Emphasis"/>
        </w:rPr>
        <w:t>Interdisciplinary Toxicology, 1</w:t>
      </w:r>
      <w:r w:rsidRPr="006D7B30">
        <w:t xml:space="preserve">(2), 169–181. </w:t>
      </w:r>
      <w:hyperlink r:id="rId17" w:tgtFrame="_new" w:history="1">
        <w:r w:rsidRPr="006D7B30">
          <w:rPr>
            <w:rStyle w:val="Hyperlink"/>
            <w:color w:val="auto"/>
            <w:u w:val="none"/>
          </w:rPr>
          <w:t>https://doi.org/10.2478/v10102-010-0034-y</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Javed, M. (2013). Assessment of heavy metals and hematological indices in </w:t>
      </w:r>
      <w:r w:rsidRPr="006D7B30">
        <w:rPr>
          <w:rStyle w:val="Emphasis"/>
        </w:rPr>
        <w:t>Channa punctatus</w:t>
      </w:r>
      <w:r w:rsidRPr="006D7B30">
        <w:t xml:space="preserve"> inhabiting rivulet water receiving industrial effluents. </w:t>
      </w:r>
      <w:r w:rsidRPr="006D7B30">
        <w:rPr>
          <w:rStyle w:val="Emphasis"/>
        </w:rPr>
        <w:t>Ecotoxicology and Environmental Safety, 96</w:t>
      </w:r>
      <w:r w:rsidRPr="006D7B30">
        <w:t xml:space="preserve">, 61–71. </w:t>
      </w:r>
      <w:hyperlink r:id="rId18" w:tgtFrame="_new" w:history="1">
        <w:r w:rsidRPr="006D7B30">
          <w:rPr>
            <w:rStyle w:val="Hyperlink"/>
            <w:color w:val="auto"/>
            <w:u w:val="none"/>
          </w:rPr>
          <w:t>https://doi.org/10.1016/j.ecoenv.2013.06.024</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Javed, M., &amp; Usmani, N. (2014). Stress response of biomolecules in fish </w:t>
      </w:r>
      <w:r w:rsidRPr="006D7B30">
        <w:rPr>
          <w:rStyle w:val="Emphasis"/>
        </w:rPr>
        <w:t>Channa punctatus</w:t>
      </w:r>
      <w:r w:rsidRPr="006D7B30">
        <w:t xml:space="preserve"> inhabiting river polluted by thermal power plant effluent. </w:t>
      </w:r>
      <w:r w:rsidRPr="006D7B30">
        <w:rPr>
          <w:rStyle w:val="Emphasis"/>
        </w:rPr>
        <w:t>Environmental Monitoring and Assessment.</w:t>
      </w:r>
      <w:r w:rsidRPr="006D7B30">
        <w:t xml:space="preserve"> </w:t>
      </w:r>
      <w:hyperlink r:id="rId19" w:tgtFrame="_new" w:history="1">
        <w:r w:rsidRPr="006D7B30">
          <w:rPr>
            <w:rStyle w:val="Hyperlink"/>
            <w:color w:val="auto"/>
            <w:u w:val="none"/>
          </w:rPr>
          <w:t>https://doi.org/10.1007/s10661-013-3537-4</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Javed, M., Ahmad, I., Ahmad, A., Usmani, N., &amp; Ahmad, M. (2016). Studies on the alterations in haematological indices, micronuclei induction and pathological marker enzyme activities in </w:t>
      </w:r>
      <w:r w:rsidRPr="006D7B30">
        <w:rPr>
          <w:rStyle w:val="Emphasis"/>
        </w:rPr>
        <w:t>Channa punctatus</w:t>
      </w:r>
      <w:r w:rsidRPr="006D7B30">
        <w:t xml:space="preserve"> exposed to thermal power plant effluent. </w:t>
      </w:r>
      <w:r w:rsidRPr="006D7B30">
        <w:rPr>
          <w:rStyle w:val="Emphasis"/>
        </w:rPr>
        <w:t>SpringerPlus.</w:t>
      </w:r>
      <w:r w:rsidRPr="006D7B30">
        <w:t xml:space="preserve"> </w:t>
      </w:r>
      <w:hyperlink r:id="rId20" w:tgtFrame="_new" w:history="1">
        <w:r w:rsidRPr="006D7B30">
          <w:rPr>
            <w:rStyle w:val="Hyperlink"/>
            <w:color w:val="auto"/>
            <w:u w:val="none"/>
          </w:rPr>
          <w:t>https://doi.org/10.1186/s40064-016-2478-9</w:t>
        </w:r>
      </w:hyperlink>
    </w:p>
    <w:p w:rsidR="006D7B30" w:rsidRPr="006D7B30" w:rsidRDefault="006D7B30" w:rsidP="006D7B30">
      <w:pPr>
        <w:pStyle w:val="NormalWeb"/>
        <w:numPr>
          <w:ilvl w:val="0"/>
          <w:numId w:val="9"/>
        </w:numPr>
        <w:spacing w:before="0" w:beforeAutospacing="0" w:after="0" w:afterAutospacing="0" w:line="360" w:lineRule="auto"/>
      </w:pPr>
      <w:r w:rsidRPr="006D7B30">
        <w:lastRenderedPageBreak/>
        <w:t xml:space="preserve">Javed, M., Ahmad, I., Ahmad, A., Usmani, N., &amp; Ahmad, M. (2016). Studies on the alterations in haematological indices... </w:t>
      </w:r>
      <w:r w:rsidRPr="006D7B30">
        <w:rPr>
          <w:rStyle w:val="Emphasis"/>
        </w:rPr>
        <w:t>SpringerPlus, 5</w:t>
      </w:r>
      <w:r w:rsidRPr="006D7B30">
        <w:t>(1), 761. (Duplicate; same DOI)</w:t>
      </w:r>
    </w:p>
    <w:p w:rsidR="006D7B30" w:rsidRPr="006D7B30" w:rsidRDefault="006D7B30" w:rsidP="006D7B30">
      <w:pPr>
        <w:pStyle w:val="NormalWeb"/>
        <w:numPr>
          <w:ilvl w:val="0"/>
          <w:numId w:val="9"/>
        </w:numPr>
        <w:spacing w:before="0" w:beforeAutospacing="0" w:after="0" w:afterAutospacing="0" w:line="360" w:lineRule="auto"/>
      </w:pPr>
      <w:r w:rsidRPr="006D7B30">
        <w:t xml:space="preserve">Javed, M., Ahmad, I., Usmani, N., &amp; Ahmad, M. (2016). Studies on biomarkers of oxidative stress and associated genotoxicity and histopathology in </w:t>
      </w:r>
      <w:r w:rsidRPr="006D7B30">
        <w:rPr>
          <w:rStyle w:val="Emphasis"/>
        </w:rPr>
        <w:t>Channa punctatus</w:t>
      </w:r>
      <w:r w:rsidRPr="006D7B30">
        <w:t xml:space="preserve"> from heavy metal polluted canal. </w:t>
      </w:r>
      <w:r w:rsidRPr="006D7B30">
        <w:rPr>
          <w:rStyle w:val="Emphasis"/>
        </w:rPr>
        <w:t>Chemosphere, 151</w:t>
      </w:r>
      <w:r w:rsidRPr="006D7B30">
        <w:t xml:space="preserve">, 210–219. </w:t>
      </w:r>
      <w:hyperlink r:id="rId21" w:tgtFrame="_new" w:history="1">
        <w:r w:rsidRPr="006D7B30">
          <w:rPr>
            <w:rStyle w:val="Hyperlink"/>
            <w:color w:val="auto"/>
            <w:u w:val="none"/>
          </w:rPr>
          <w:t>https://doi.org/10.1016/j.chemosphere.2016.02.080</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Jha, S., Pati, R., &amp; Mohanty, M. (2022). Seasonal fluctuation of biochemical biomarkers in freshwater fishes exposed to contaminants. </w:t>
      </w:r>
      <w:r w:rsidRPr="006D7B30">
        <w:rPr>
          <w:rStyle w:val="Emphasis"/>
        </w:rPr>
        <w:t>Environmental Biology of Fishes, 105</w:t>
      </w:r>
      <w:r w:rsidRPr="006D7B30">
        <w:t xml:space="preserve">, 287–300. </w:t>
      </w:r>
      <w:hyperlink r:id="rId22" w:tgtFrame="_new" w:history="1">
        <w:r w:rsidRPr="006D7B30">
          <w:rPr>
            <w:rStyle w:val="Hyperlink"/>
            <w:color w:val="auto"/>
            <w:u w:val="none"/>
          </w:rPr>
          <w:t>https://doi.org/10.1007/s10641-021-01189-z</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Khan, A. A., et al. (2025). Perturbations in redox status, biochemical indices, and histopathology in fish exposed to polluted river sites. </w:t>
      </w:r>
      <w:r w:rsidRPr="006D7B30">
        <w:rPr>
          <w:rStyle w:val="Emphasis"/>
        </w:rPr>
        <w:t>Gene Expression, 23</w:t>
      </w:r>
      <w:r w:rsidRPr="006D7B30">
        <w:t xml:space="preserve">(4), 80–94. </w:t>
      </w:r>
      <w:hyperlink r:id="rId23" w:tgtFrame="_new" w:history="1">
        <w:r w:rsidRPr="006D7B30">
          <w:rPr>
            <w:rStyle w:val="Hyperlink"/>
            <w:color w:val="auto"/>
            <w:u w:val="none"/>
          </w:rPr>
          <w:t>https://doi.org/10.3727/105221623X16885586599226</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Kong, Y., Li, M., Shan, X., Wang, G., &amp; Han, G. (2021). Effects of deltamethrin subacute exposure in snakehead fish, </w:t>
      </w:r>
      <w:r w:rsidRPr="006D7B30">
        <w:rPr>
          <w:rStyle w:val="Emphasis"/>
        </w:rPr>
        <w:t>Channa argus</w:t>
      </w:r>
      <w:r w:rsidRPr="006D7B30">
        <w:t xml:space="preserve">: Biochemical, antioxidant, and immune responses. </w:t>
      </w:r>
      <w:r w:rsidRPr="006D7B30">
        <w:rPr>
          <w:rStyle w:val="Emphasis"/>
        </w:rPr>
        <w:t>Ecotoxicology and Environmental Safety.</w:t>
      </w:r>
      <w:r w:rsidRPr="006D7B30">
        <w:t xml:space="preserve"> </w:t>
      </w:r>
      <w:hyperlink r:id="rId24" w:tgtFrame="_new" w:history="1">
        <w:r w:rsidRPr="006D7B30">
          <w:rPr>
            <w:rStyle w:val="Hyperlink"/>
            <w:color w:val="auto"/>
            <w:u w:val="none"/>
          </w:rPr>
          <w:t>https://doi.org/10.1016/j.ecoenv.2020.111821</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Kumar, S., Rani, S., &amp; Prakash, A. (2019). Enzymatic biomarkers in freshwater fish: Tools for ecotoxicological monitoring. </w:t>
      </w:r>
      <w:r w:rsidRPr="006D7B30">
        <w:rPr>
          <w:rStyle w:val="Emphasis"/>
        </w:rPr>
        <w:t>Environmental Toxicology and Pharmacology, 68</w:t>
      </w:r>
      <w:r w:rsidRPr="006D7B30">
        <w:t xml:space="preserve">, 115–122. </w:t>
      </w:r>
      <w:hyperlink r:id="rId25" w:tgtFrame="_new" w:history="1">
        <w:r w:rsidRPr="006D7B30">
          <w:rPr>
            <w:rStyle w:val="Hyperlink"/>
            <w:color w:val="auto"/>
            <w:u w:val="none"/>
          </w:rPr>
          <w:t>https://doi.org/10.1016/j.etap.2019.03.015</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Mahapatra, C., et al. (2024). Seasonal assessment of biomarkers in </w:t>
      </w:r>
      <w:r w:rsidRPr="006D7B30">
        <w:rPr>
          <w:rStyle w:val="Emphasis"/>
        </w:rPr>
        <w:t>Channa punctata</w:t>
      </w:r>
      <w:r w:rsidRPr="006D7B30">
        <w:t xml:space="preserve"> from contaminated freshwater ecosystems. </w:t>
      </w:r>
      <w:r w:rsidRPr="006D7B30">
        <w:rPr>
          <w:rStyle w:val="Emphasis"/>
        </w:rPr>
        <w:t>Environmental Advances, 8</w:t>
      </w:r>
      <w:r w:rsidRPr="006D7B30">
        <w:t xml:space="preserve">, 100471. </w:t>
      </w:r>
      <w:hyperlink r:id="rId26" w:tgtFrame="_new" w:history="1">
        <w:r w:rsidRPr="006D7B30">
          <w:rPr>
            <w:rStyle w:val="Hyperlink"/>
            <w:color w:val="auto"/>
            <w:u w:val="none"/>
          </w:rPr>
          <w:t>https://doi.org/10.1016/j.envadv.2024.100471</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Moher, D., Liberati, J., Tetzlaff, J., Altman, D. G., &amp; The PRISMA Group. (2009). Preferred reporting items for systematic reviews and meta-analyses: The PRISMA statement. </w:t>
      </w:r>
      <w:r w:rsidRPr="006D7B30">
        <w:rPr>
          <w:rStyle w:val="Emphasis"/>
        </w:rPr>
        <w:t>PLoS Medicine, 6</w:t>
      </w:r>
      <w:r w:rsidRPr="006D7B30">
        <w:t xml:space="preserve">(7), e1000097. </w:t>
      </w:r>
      <w:hyperlink r:id="rId27" w:tgtFrame="_new" w:history="1">
        <w:r w:rsidRPr="006D7B30">
          <w:rPr>
            <w:rStyle w:val="Hyperlink"/>
            <w:color w:val="auto"/>
            <w:u w:val="none"/>
          </w:rPr>
          <w:t>https://doi.org/10.1371/journal.pmed.1000097</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Moher, D., Shamseer, L., Clarke, M., Ghersi, D., Liberati, A., Petticrew, M., Shekelle, P., Stewart, L. A., &amp; PRISMA-P Group. (2015). Preferred reporting items for systematic review and meta-analysis protocols (PRISMA-P) 2015 statement. </w:t>
      </w:r>
      <w:r w:rsidRPr="006D7B30">
        <w:rPr>
          <w:rStyle w:val="Emphasis"/>
        </w:rPr>
        <w:t>Systematic Reviews, 4</w:t>
      </w:r>
      <w:r w:rsidRPr="006D7B30">
        <w:t xml:space="preserve">(1), 1. </w:t>
      </w:r>
      <w:hyperlink r:id="rId28" w:tgtFrame="_new" w:history="1">
        <w:r w:rsidRPr="006D7B30">
          <w:rPr>
            <w:rStyle w:val="Hyperlink"/>
            <w:color w:val="auto"/>
            <w:u w:val="none"/>
          </w:rPr>
          <w:t>https://doi.org/10.1186/2046-4053-4-1</w:t>
        </w:r>
      </w:hyperlink>
    </w:p>
    <w:p w:rsidR="006D7B30" w:rsidRPr="006D7B30" w:rsidRDefault="006D7B30" w:rsidP="006D7B30">
      <w:pPr>
        <w:pStyle w:val="NormalWeb"/>
        <w:numPr>
          <w:ilvl w:val="0"/>
          <w:numId w:val="9"/>
        </w:numPr>
        <w:spacing w:before="0" w:beforeAutospacing="0" w:after="0" w:afterAutospacing="0" w:line="360" w:lineRule="auto"/>
      </w:pPr>
      <w:r w:rsidRPr="006D7B30">
        <w:lastRenderedPageBreak/>
        <w:t xml:space="preserve">Nagarani, N., Krishnaveni, G., Dharshini, V. D., Manohari, K. G., Jeyapandi, M. A., &amp; Mariappan, P. V. (2023). Biomarkers as ecological indices in monitoring the status of market fish. </w:t>
      </w:r>
      <w:r w:rsidRPr="006D7B30">
        <w:rPr>
          <w:rStyle w:val="Emphasis"/>
        </w:rPr>
        <w:t>The Journal of Basic and Applied Zoology, 84</w:t>
      </w:r>
      <w:r w:rsidRPr="006D7B30">
        <w:t xml:space="preserve">, 52. </w:t>
      </w:r>
      <w:hyperlink r:id="rId29" w:tgtFrame="_new" w:history="1">
        <w:r w:rsidRPr="006D7B30">
          <w:rPr>
            <w:rStyle w:val="Hyperlink"/>
            <w:color w:val="auto"/>
            <w:u w:val="none"/>
          </w:rPr>
          <w:t>https://doi.org/10.1186/s41936-022-00323-5</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Naz, S., Chatha, A. M. M., Téllez-Isaías, G., Ullah, S., Ullah, Q., Khan, M. Z., Shah, M. K., Abbas, G., Kiran, A., Mushtaq, R., et al. (2023). A comprehensive review on metallic trace elements toxicity in fishes and potential remedial measures. </w:t>
      </w:r>
      <w:r w:rsidRPr="006D7B30">
        <w:rPr>
          <w:rStyle w:val="Emphasis"/>
        </w:rPr>
        <w:t>Water.</w:t>
      </w:r>
      <w:r w:rsidRPr="006D7B30">
        <w:t xml:space="preserve"> </w:t>
      </w:r>
      <w:hyperlink r:id="rId30" w:tgtFrame="_new" w:history="1">
        <w:r w:rsidRPr="006D7B30">
          <w:rPr>
            <w:rStyle w:val="Hyperlink"/>
            <w:color w:val="auto"/>
            <w:u w:val="none"/>
          </w:rPr>
          <w:t>https://doi.org/10.3390/w15163017</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Parray, I. A., Danish, S., Kothekar, P., Lone, A. H., &amp; Dhote, J. (2022). Biochemical assessment of </w:t>
      </w:r>
      <w:r w:rsidRPr="006D7B30">
        <w:rPr>
          <w:rStyle w:val="Emphasis"/>
        </w:rPr>
        <w:t>Channa punctatus</w:t>
      </w:r>
      <w:r w:rsidRPr="006D7B30">
        <w:t xml:space="preserve"> exposed to heavy metal loaded wastewater: Serum biochemistry and oxidative stress as biomarker responses. </w:t>
      </w:r>
      <w:r w:rsidRPr="006D7B30">
        <w:rPr>
          <w:rStyle w:val="Emphasis"/>
        </w:rPr>
        <w:t>Research &amp; Reviews: A Journal of Toxicology, 12</w:t>
      </w:r>
      <w:r w:rsidRPr="006D7B30">
        <w:t xml:space="preserve">(3), 9–18. </w:t>
      </w:r>
      <w:hyperlink r:id="rId31" w:tgtFrame="_new" w:history="1">
        <w:r w:rsidRPr="006D7B30">
          <w:rPr>
            <w:rStyle w:val="Hyperlink"/>
            <w:color w:val="auto"/>
            <w:u w:val="none"/>
          </w:rPr>
          <w:t>https://doi.org/10.37591/rrjot.v12i3.3090</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Prakash, S. (2022). Impact of paper mill effluent on carbohydrate metabolism in </w:t>
      </w:r>
      <w:r w:rsidRPr="006D7B30">
        <w:rPr>
          <w:rStyle w:val="Emphasis"/>
        </w:rPr>
        <w:t>Channa punctatus</w:t>
      </w:r>
      <w:r w:rsidRPr="006D7B30">
        <w:t xml:space="preserve">. </w:t>
      </w:r>
      <w:r w:rsidRPr="006D7B30">
        <w:rPr>
          <w:rStyle w:val="Emphasis"/>
        </w:rPr>
        <w:t>Letters in Applied NanoBioScience, 11</w:t>
      </w:r>
      <w:r w:rsidRPr="006D7B30">
        <w:t xml:space="preserve">(4), 3558–3568. </w:t>
      </w:r>
      <w:hyperlink r:id="rId32" w:tgtFrame="_new" w:history="1">
        <w:r w:rsidRPr="006D7B30">
          <w:rPr>
            <w:rStyle w:val="Hyperlink"/>
            <w:color w:val="auto"/>
            <w:u w:val="none"/>
          </w:rPr>
          <w:t>https://doi.org/10.33263/LIANBS114.35583568</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Pramanik, S., et al. (2024). Histopathological fingerprints and biochemical changes as indicators of riverine pollution in freshwater fish. </w:t>
      </w:r>
      <w:r w:rsidRPr="006D7B30">
        <w:rPr>
          <w:rStyle w:val="Emphasis"/>
        </w:rPr>
        <w:t>Heliyon, 10</w:t>
      </w:r>
      <w:r w:rsidRPr="006D7B30">
        <w:t xml:space="preserve">(5), eXXXXX. </w:t>
      </w:r>
      <w:hyperlink r:id="rId33" w:tgtFrame="_new" w:history="1">
        <w:r w:rsidRPr="006D7B30">
          <w:rPr>
            <w:rStyle w:val="Hyperlink"/>
            <w:color w:val="auto"/>
            <w:u w:val="none"/>
          </w:rPr>
          <w:t>https://doi.org/10.1016/j.heliyon.2024.XXXXXX</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Sarah, R., Jahan, M.-I., &amp; Singh, S. (2019). Bioaccumulation of heavy metals in </w:t>
      </w:r>
      <w:r w:rsidRPr="006D7B30">
        <w:rPr>
          <w:rStyle w:val="Emphasis"/>
        </w:rPr>
        <w:t>Channa punctatus</w:t>
      </w:r>
      <w:r w:rsidRPr="006D7B30">
        <w:t xml:space="preserve"> collected from the Ramganga River, India. </w:t>
      </w:r>
      <w:r w:rsidRPr="006D7B30">
        <w:rPr>
          <w:rStyle w:val="Emphasis"/>
        </w:rPr>
        <w:t>Applied Ecology and Environmental Management, 99</w:t>
      </w:r>
      <w:r w:rsidRPr="006D7B30">
        <w:t xml:space="preserve">, 103612. </w:t>
      </w:r>
      <w:hyperlink r:id="rId34" w:tgtFrame="_new" w:history="1">
        <w:r w:rsidRPr="006D7B30">
          <w:rPr>
            <w:rStyle w:val="Hyperlink"/>
            <w:color w:val="auto"/>
            <w:u w:val="none"/>
          </w:rPr>
          <w:t>https://doi.org/10.1016/j.aep.2019.06.004</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Sharma, G., &amp; Chadha, P. (2023). Evaluation of haematological, genotoxic, cytotoxic and ATR-FTIR alterations in blood cells of </w:t>
      </w:r>
      <w:r w:rsidRPr="006D7B30">
        <w:rPr>
          <w:rStyle w:val="Emphasis"/>
        </w:rPr>
        <w:t>Channa punctatus</w:t>
      </w:r>
      <w:r w:rsidRPr="006D7B30">
        <w:t xml:space="preserve"> after acute exposure of aniline. </w:t>
      </w:r>
      <w:r w:rsidRPr="006D7B30">
        <w:rPr>
          <w:rStyle w:val="Emphasis"/>
        </w:rPr>
        <w:t>Scientific Reports.</w:t>
      </w:r>
      <w:r w:rsidRPr="006D7B30">
        <w:t xml:space="preserve"> </w:t>
      </w:r>
      <w:hyperlink r:id="rId35" w:tgtFrame="_new" w:history="1">
        <w:r w:rsidRPr="006D7B30">
          <w:rPr>
            <w:rStyle w:val="Hyperlink"/>
            <w:color w:val="auto"/>
            <w:u w:val="none"/>
          </w:rPr>
          <w:t>https://doi.org/10.1038/s41598-023-48151-z</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Shukla, A. K., &amp; Prakash, S. (2022). Enzymes as biomarkers of pollution stress in </w:t>
      </w:r>
      <w:r w:rsidRPr="006D7B30">
        <w:rPr>
          <w:rStyle w:val="Emphasis"/>
        </w:rPr>
        <w:t>Channa punctatus</w:t>
      </w:r>
      <w:r w:rsidRPr="006D7B30">
        <w:t xml:space="preserve"> collected from Sawannallaha, Balrampur, U.P. </w:t>
      </w:r>
      <w:r w:rsidRPr="006D7B30">
        <w:rPr>
          <w:rStyle w:val="Emphasis"/>
        </w:rPr>
        <w:t>The Scientific Temper, 13</w:t>
      </w:r>
      <w:r w:rsidRPr="006D7B30">
        <w:t xml:space="preserve">(2), 141–145. </w:t>
      </w:r>
      <w:hyperlink r:id="rId36" w:tgtFrame="_new" w:history="1">
        <w:r w:rsidRPr="006D7B30">
          <w:rPr>
            <w:rStyle w:val="Hyperlink"/>
            <w:color w:val="auto"/>
            <w:u w:val="none"/>
          </w:rPr>
          <w:t>https://doi.org/10.58414/SCIENTIFICTEMPER.2022.13.2.20</w:t>
        </w:r>
      </w:hyperlink>
    </w:p>
    <w:p w:rsidR="006D7B30" w:rsidRPr="006D7B30" w:rsidRDefault="006D7B30" w:rsidP="006D7B30">
      <w:pPr>
        <w:pStyle w:val="NormalWeb"/>
        <w:numPr>
          <w:ilvl w:val="0"/>
          <w:numId w:val="9"/>
        </w:numPr>
        <w:spacing w:before="0" w:beforeAutospacing="0" w:after="0" w:afterAutospacing="0" w:line="360" w:lineRule="auto"/>
      </w:pPr>
      <w:r w:rsidRPr="006D7B30">
        <w:t xml:space="preserve">Van der Oost, R., Beyer, J., &amp; Vermeulen, N. P. E. (2003). Fish bioaccumulation and biomarkers in environmental risk assessment: A review. </w:t>
      </w:r>
      <w:r w:rsidRPr="006D7B30">
        <w:rPr>
          <w:rStyle w:val="Emphasis"/>
        </w:rPr>
        <w:t>Environmental Toxicology and Pharmacology, 13</w:t>
      </w:r>
      <w:r w:rsidRPr="006D7B30">
        <w:t xml:space="preserve">(2), 57–149. </w:t>
      </w:r>
      <w:hyperlink r:id="rId37" w:tgtFrame="_new" w:history="1">
        <w:r w:rsidRPr="006D7B30">
          <w:rPr>
            <w:rStyle w:val="Hyperlink"/>
            <w:color w:val="auto"/>
            <w:u w:val="none"/>
          </w:rPr>
          <w:t>https://doi.org/10.1016/S1382-6689(02)00126-6</w:t>
        </w:r>
      </w:hyperlink>
    </w:p>
    <w:p w:rsidR="006D7B30" w:rsidRPr="006D7B30" w:rsidRDefault="006D7B30" w:rsidP="006D7B30">
      <w:pPr>
        <w:pStyle w:val="NormalWeb"/>
        <w:numPr>
          <w:ilvl w:val="0"/>
          <w:numId w:val="9"/>
        </w:numPr>
        <w:spacing w:before="0" w:beforeAutospacing="0" w:after="0" w:afterAutospacing="0" w:line="360" w:lineRule="auto"/>
      </w:pPr>
      <w:r w:rsidRPr="006D7B30">
        <w:lastRenderedPageBreak/>
        <w:t xml:space="preserve">Xiao, Y., &amp; Watson, M. (2019). Guidance on conducting a systematic literature review. </w:t>
      </w:r>
      <w:r w:rsidRPr="006D7B30">
        <w:rPr>
          <w:rStyle w:val="Emphasis"/>
        </w:rPr>
        <w:t>Journal of Planning Education and Research.</w:t>
      </w:r>
      <w:r w:rsidRPr="006D7B30">
        <w:t xml:space="preserve"> </w:t>
      </w:r>
      <w:hyperlink r:id="rId38" w:tgtFrame="_new" w:history="1">
        <w:r w:rsidRPr="006D7B30">
          <w:rPr>
            <w:rStyle w:val="Hyperlink"/>
            <w:color w:val="auto"/>
            <w:u w:val="none"/>
          </w:rPr>
          <w:t>https://doi.org/10.1177/0739456X17723971</w:t>
        </w:r>
      </w:hyperlink>
    </w:p>
    <w:p w:rsidR="00AB0F75" w:rsidRDefault="00AB0F75" w:rsidP="006D7B30">
      <w:pPr>
        <w:pStyle w:val="NormalWeb"/>
        <w:spacing w:before="0" w:beforeAutospacing="0" w:after="0" w:afterAutospacing="0"/>
        <w:ind w:left="720"/>
      </w:pPr>
    </w:p>
    <w:p w:rsidR="00603FA0" w:rsidRDefault="00603FA0" w:rsidP="00603FA0">
      <w:pPr>
        <w:pStyle w:val="NormalWeb"/>
        <w:spacing w:before="0" w:beforeAutospacing="0" w:after="0" w:afterAutospacing="0" w:line="360" w:lineRule="auto"/>
        <w:ind w:left="720"/>
        <w:jc w:val="both"/>
      </w:pPr>
    </w:p>
    <w:p w:rsidR="00603FA0" w:rsidRDefault="00603FA0" w:rsidP="00603FA0">
      <w:pPr>
        <w:pStyle w:val="NormalWeb"/>
        <w:spacing w:before="0" w:beforeAutospacing="0" w:after="0" w:afterAutospacing="0" w:line="360" w:lineRule="auto"/>
        <w:ind w:left="720"/>
        <w:jc w:val="both"/>
      </w:pPr>
    </w:p>
    <w:p w:rsidR="00603FA0" w:rsidRDefault="00603FA0" w:rsidP="00603FA0">
      <w:pPr>
        <w:pStyle w:val="NormalWeb"/>
        <w:spacing w:before="0" w:beforeAutospacing="0" w:after="0" w:afterAutospacing="0" w:line="360" w:lineRule="auto"/>
        <w:ind w:left="720"/>
        <w:jc w:val="both"/>
      </w:pPr>
    </w:p>
    <w:sectPr w:rsidR="00603FA0" w:rsidSect="005A3320">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7A0" w:rsidRDefault="00DA77A0" w:rsidP="00646AEE">
      <w:pPr>
        <w:spacing w:after="0" w:line="240" w:lineRule="auto"/>
      </w:pPr>
      <w:r>
        <w:separator/>
      </w:r>
    </w:p>
  </w:endnote>
  <w:endnote w:type="continuationSeparator" w:id="1">
    <w:p w:rsidR="00DA77A0" w:rsidRDefault="00DA77A0" w:rsidP="00646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EE" w:rsidRDefault="00646A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EE" w:rsidRDefault="00646A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EE" w:rsidRDefault="00646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7A0" w:rsidRDefault="00DA77A0" w:rsidP="00646AEE">
      <w:pPr>
        <w:spacing w:after="0" w:line="240" w:lineRule="auto"/>
      </w:pPr>
      <w:r>
        <w:separator/>
      </w:r>
    </w:p>
  </w:footnote>
  <w:footnote w:type="continuationSeparator" w:id="1">
    <w:p w:rsidR="00DA77A0" w:rsidRDefault="00DA77A0" w:rsidP="00646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EE" w:rsidRDefault="000854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3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EE" w:rsidRDefault="000854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3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EE" w:rsidRDefault="000854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3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6E0"/>
    <w:multiLevelType w:val="hybridMultilevel"/>
    <w:tmpl w:val="722A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C29A4"/>
    <w:multiLevelType w:val="hybridMultilevel"/>
    <w:tmpl w:val="5308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F008D"/>
    <w:multiLevelType w:val="hybridMultilevel"/>
    <w:tmpl w:val="8CCAC1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400F9"/>
    <w:multiLevelType w:val="multilevel"/>
    <w:tmpl w:val="DE8C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717D20"/>
    <w:multiLevelType w:val="hybridMultilevel"/>
    <w:tmpl w:val="1CE8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53F42"/>
    <w:multiLevelType w:val="hybridMultilevel"/>
    <w:tmpl w:val="15C47B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640B0F"/>
    <w:multiLevelType w:val="hybridMultilevel"/>
    <w:tmpl w:val="DC7AE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922719"/>
    <w:multiLevelType w:val="hybridMultilevel"/>
    <w:tmpl w:val="3C3E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35F32"/>
    <w:multiLevelType w:val="hybridMultilevel"/>
    <w:tmpl w:val="B622C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4"/>
  </w:num>
  <w:num w:numId="5">
    <w:abstractNumId w:val="7"/>
  </w:num>
  <w:num w:numId="6">
    <w:abstractNumId w:val="2"/>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74E40"/>
    <w:rsid w:val="00043FF0"/>
    <w:rsid w:val="000854AD"/>
    <w:rsid w:val="000A438F"/>
    <w:rsid w:val="000A5779"/>
    <w:rsid w:val="00126898"/>
    <w:rsid w:val="001A4072"/>
    <w:rsid w:val="001A51AD"/>
    <w:rsid w:val="001E1B66"/>
    <w:rsid w:val="001E61DA"/>
    <w:rsid w:val="0020266B"/>
    <w:rsid w:val="002077C8"/>
    <w:rsid w:val="002873A6"/>
    <w:rsid w:val="00296209"/>
    <w:rsid w:val="003B51C7"/>
    <w:rsid w:val="003F1984"/>
    <w:rsid w:val="00414989"/>
    <w:rsid w:val="00460CFB"/>
    <w:rsid w:val="004925F6"/>
    <w:rsid w:val="005A3320"/>
    <w:rsid w:val="005C1F50"/>
    <w:rsid w:val="005D5F2E"/>
    <w:rsid w:val="005F579E"/>
    <w:rsid w:val="00601013"/>
    <w:rsid w:val="00603FA0"/>
    <w:rsid w:val="00646AEE"/>
    <w:rsid w:val="006671DA"/>
    <w:rsid w:val="006C7EF6"/>
    <w:rsid w:val="006D7B30"/>
    <w:rsid w:val="0075195C"/>
    <w:rsid w:val="007D0BCD"/>
    <w:rsid w:val="007D34CD"/>
    <w:rsid w:val="007E605D"/>
    <w:rsid w:val="00805568"/>
    <w:rsid w:val="008B5079"/>
    <w:rsid w:val="0097592E"/>
    <w:rsid w:val="0099475C"/>
    <w:rsid w:val="00A33743"/>
    <w:rsid w:val="00A762A2"/>
    <w:rsid w:val="00AA0038"/>
    <w:rsid w:val="00AB0F75"/>
    <w:rsid w:val="00AC3026"/>
    <w:rsid w:val="00AD0435"/>
    <w:rsid w:val="00B04302"/>
    <w:rsid w:val="00B2209B"/>
    <w:rsid w:val="00B267CF"/>
    <w:rsid w:val="00B51048"/>
    <w:rsid w:val="00B6535B"/>
    <w:rsid w:val="00BB42DA"/>
    <w:rsid w:val="00BE1A8A"/>
    <w:rsid w:val="00C126E8"/>
    <w:rsid w:val="00CE162D"/>
    <w:rsid w:val="00D74E40"/>
    <w:rsid w:val="00DA77A0"/>
    <w:rsid w:val="00DE3664"/>
    <w:rsid w:val="00DE40C8"/>
    <w:rsid w:val="00E13DB5"/>
    <w:rsid w:val="00E17C96"/>
    <w:rsid w:val="00E26E6D"/>
    <w:rsid w:val="00E26FD3"/>
    <w:rsid w:val="00EA2301"/>
    <w:rsid w:val="00ED1AC0"/>
    <w:rsid w:val="00ED308E"/>
    <w:rsid w:val="00EF4E40"/>
    <w:rsid w:val="00F565E4"/>
    <w:rsid w:val="00F5731E"/>
    <w:rsid w:val="00F77AED"/>
    <w:rsid w:val="00F85148"/>
    <w:rsid w:val="00F959EF"/>
    <w:rsid w:val="00FE24B9"/>
    <w:rsid w:val="00FF13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20"/>
  </w:style>
  <w:style w:type="paragraph" w:styleId="Heading1">
    <w:name w:val="heading 1"/>
    <w:basedOn w:val="Normal"/>
    <w:next w:val="Normal"/>
    <w:link w:val="Heading1Char"/>
    <w:uiPriority w:val="9"/>
    <w:qFormat/>
    <w:rsid w:val="00FE24B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D74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4E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E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4E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E40"/>
    <w:rPr>
      <w:b/>
      <w:bCs/>
    </w:rPr>
  </w:style>
  <w:style w:type="character" w:styleId="Emphasis">
    <w:name w:val="Emphasis"/>
    <w:basedOn w:val="DefaultParagraphFont"/>
    <w:uiPriority w:val="20"/>
    <w:qFormat/>
    <w:rsid w:val="00D74E40"/>
    <w:rPr>
      <w:i/>
      <w:iCs/>
    </w:rPr>
  </w:style>
  <w:style w:type="character" w:customStyle="1" w:styleId="Heading3Char">
    <w:name w:val="Heading 3 Char"/>
    <w:basedOn w:val="DefaultParagraphFont"/>
    <w:link w:val="Heading3"/>
    <w:uiPriority w:val="9"/>
    <w:semiHidden/>
    <w:rsid w:val="00D74E40"/>
    <w:rPr>
      <w:rFonts w:asciiTheme="majorHAnsi" w:eastAsiaTheme="majorEastAsia" w:hAnsiTheme="majorHAnsi" w:cstheme="majorBidi"/>
      <w:b/>
      <w:bCs/>
      <w:color w:val="4F81BD" w:themeColor="accent1"/>
    </w:rPr>
  </w:style>
  <w:style w:type="table" w:styleId="TableGrid">
    <w:name w:val="Table Grid"/>
    <w:basedOn w:val="TableNormal"/>
    <w:uiPriority w:val="59"/>
    <w:rsid w:val="007D34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24B9"/>
    <w:rPr>
      <w:rFonts w:asciiTheme="majorHAnsi" w:eastAsiaTheme="majorEastAsia" w:hAnsiTheme="majorHAnsi" w:cstheme="majorBidi"/>
      <w:b/>
      <w:bCs/>
      <w:color w:val="365F91" w:themeColor="accent1" w:themeShade="BF"/>
      <w:sz w:val="28"/>
      <w:szCs w:val="25"/>
    </w:rPr>
  </w:style>
  <w:style w:type="paragraph" w:styleId="Title">
    <w:name w:val="Title"/>
    <w:basedOn w:val="Normal"/>
    <w:next w:val="Normal"/>
    <w:link w:val="TitleChar"/>
    <w:uiPriority w:val="10"/>
    <w:qFormat/>
    <w:rsid w:val="00FE24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E24B9"/>
    <w:rPr>
      <w:rFonts w:asciiTheme="majorHAnsi" w:eastAsiaTheme="majorEastAsia" w:hAnsiTheme="majorHAnsi" w:cstheme="majorBidi"/>
      <w:color w:val="17365D" w:themeColor="text2" w:themeShade="BF"/>
      <w:spacing w:val="5"/>
      <w:kern w:val="28"/>
      <w:sz w:val="52"/>
      <w:szCs w:val="47"/>
    </w:rPr>
  </w:style>
  <w:style w:type="character" w:styleId="Hyperlink">
    <w:name w:val="Hyperlink"/>
    <w:basedOn w:val="DefaultParagraphFont"/>
    <w:uiPriority w:val="99"/>
    <w:unhideWhenUsed/>
    <w:rsid w:val="00F85148"/>
    <w:rPr>
      <w:color w:val="0000FF" w:themeColor="hyperlink"/>
      <w:u w:val="single"/>
    </w:rPr>
  </w:style>
  <w:style w:type="paragraph" w:styleId="ListParagraph">
    <w:name w:val="List Paragraph"/>
    <w:basedOn w:val="Normal"/>
    <w:uiPriority w:val="34"/>
    <w:qFormat/>
    <w:rsid w:val="00AB0F75"/>
    <w:pPr>
      <w:ind w:left="720"/>
      <w:contextualSpacing/>
    </w:pPr>
  </w:style>
  <w:style w:type="character" w:customStyle="1" w:styleId="ms-1">
    <w:name w:val="ms-1"/>
    <w:basedOn w:val="DefaultParagraphFont"/>
    <w:rsid w:val="006C7EF6"/>
  </w:style>
  <w:style w:type="character" w:customStyle="1" w:styleId="max-w-15ch">
    <w:name w:val="max-w-[15ch]"/>
    <w:basedOn w:val="DefaultParagraphFont"/>
    <w:rsid w:val="006C7EF6"/>
  </w:style>
  <w:style w:type="character" w:customStyle="1" w:styleId="UnresolvedMention">
    <w:name w:val="Unresolved Mention"/>
    <w:basedOn w:val="DefaultParagraphFont"/>
    <w:uiPriority w:val="99"/>
    <w:semiHidden/>
    <w:unhideWhenUsed/>
    <w:rsid w:val="00C126E8"/>
    <w:rPr>
      <w:color w:val="605E5C"/>
      <w:shd w:val="clear" w:color="auto" w:fill="E1DFDD"/>
    </w:rPr>
  </w:style>
  <w:style w:type="paragraph" w:styleId="Header">
    <w:name w:val="header"/>
    <w:basedOn w:val="Normal"/>
    <w:link w:val="HeaderChar"/>
    <w:uiPriority w:val="99"/>
    <w:unhideWhenUsed/>
    <w:rsid w:val="00646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AEE"/>
  </w:style>
  <w:style w:type="paragraph" w:styleId="Footer">
    <w:name w:val="footer"/>
    <w:basedOn w:val="Normal"/>
    <w:link w:val="FooterChar"/>
    <w:uiPriority w:val="99"/>
    <w:unhideWhenUsed/>
    <w:rsid w:val="00646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AEE"/>
  </w:style>
  <w:style w:type="paragraph" w:styleId="BalloonText">
    <w:name w:val="Balloon Text"/>
    <w:basedOn w:val="Normal"/>
    <w:link w:val="BalloonTextChar"/>
    <w:uiPriority w:val="99"/>
    <w:semiHidden/>
    <w:unhideWhenUsed/>
    <w:rsid w:val="00A3374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33743"/>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61042726">
      <w:bodyDiv w:val="1"/>
      <w:marLeft w:val="0"/>
      <w:marRight w:val="0"/>
      <w:marTop w:val="0"/>
      <w:marBottom w:val="0"/>
      <w:divBdr>
        <w:top w:val="none" w:sz="0" w:space="0" w:color="auto"/>
        <w:left w:val="none" w:sz="0" w:space="0" w:color="auto"/>
        <w:bottom w:val="none" w:sz="0" w:space="0" w:color="auto"/>
        <w:right w:val="none" w:sz="0" w:space="0" w:color="auto"/>
      </w:divBdr>
    </w:div>
    <w:div w:id="201096713">
      <w:bodyDiv w:val="1"/>
      <w:marLeft w:val="0"/>
      <w:marRight w:val="0"/>
      <w:marTop w:val="0"/>
      <w:marBottom w:val="0"/>
      <w:divBdr>
        <w:top w:val="none" w:sz="0" w:space="0" w:color="auto"/>
        <w:left w:val="none" w:sz="0" w:space="0" w:color="auto"/>
        <w:bottom w:val="none" w:sz="0" w:space="0" w:color="auto"/>
        <w:right w:val="none" w:sz="0" w:space="0" w:color="auto"/>
      </w:divBdr>
    </w:div>
    <w:div w:id="228613181">
      <w:bodyDiv w:val="1"/>
      <w:marLeft w:val="0"/>
      <w:marRight w:val="0"/>
      <w:marTop w:val="0"/>
      <w:marBottom w:val="0"/>
      <w:divBdr>
        <w:top w:val="none" w:sz="0" w:space="0" w:color="auto"/>
        <w:left w:val="none" w:sz="0" w:space="0" w:color="auto"/>
        <w:bottom w:val="none" w:sz="0" w:space="0" w:color="auto"/>
        <w:right w:val="none" w:sz="0" w:space="0" w:color="auto"/>
      </w:divBdr>
    </w:div>
    <w:div w:id="299192025">
      <w:bodyDiv w:val="1"/>
      <w:marLeft w:val="0"/>
      <w:marRight w:val="0"/>
      <w:marTop w:val="0"/>
      <w:marBottom w:val="0"/>
      <w:divBdr>
        <w:top w:val="none" w:sz="0" w:space="0" w:color="auto"/>
        <w:left w:val="none" w:sz="0" w:space="0" w:color="auto"/>
        <w:bottom w:val="none" w:sz="0" w:space="0" w:color="auto"/>
        <w:right w:val="none" w:sz="0" w:space="0" w:color="auto"/>
      </w:divBdr>
    </w:div>
    <w:div w:id="4474334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913099">
      <w:bodyDiv w:val="1"/>
      <w:marLeft w:val="0"/>
      <w:marRight w:val="0"/>
      <w:marTop w:val="0"/>
      <w:marBottom w:val="0"/>
      <w:divBdr>
        <w:top w:val="none" w:sz="0" w:space="0" w:color="auto"/>
        <w:left w:val="none" w:sz="0" w:space="0" w:color="auto"/>
        <w:bottom w:val="none" w:sz="0" w:space="0" w:color="auto"/>
        <w:right w:val="none" w:sz="0" w:space="0" w:color="auto"/>
      </w:divBdr>
    </w:div>
    <w:div w:id="702707813">
      <w:bodyDiv w:val="1"/>
      <w:marLeft w:val="0"/>
      <w:marRight w:val="0"/>
      <w:marTop w:val="0"/>
      <w:marBottom w:val="0"/>
      <w:divBdr>
        <w:top w:val="none" w:sz="0" w:space="0" w:color="auto"/>
        <w:left w:val="none" w:sz="0" w:space="0" w:color="auto"/>
        <w:bottom w:val="none" w:sz="0" w:space="0" w:color="auto"/>
        <w:right w:val="none" w:sz="0" w:space="0" w:color="auto"/>
      </w:divBdr>
    </w:div>
    <w:div w:id="806896843">
      <w:bodyDiv w:val="1"/>
      <w:marLeft w:val="0"/>
      <w:marRight w:val="0"/>
      <w:marTop w:val="0"/>
      <w:marBottom w:val="0"/>
      <w:divBdr>
        <w:top w:val="none" w:sz="0" w:space="0" w:color="auto"/>
        <w:left w:val="none" w:sz="0" w:space="0" w:color="auto"/>
        <w:bottom w:val="none" w:sz="0" w:space="0" w:color="auto"/>
        <w:right w:val="none" w:sz="0" w:space="0" w:color="auto"/>
      </w:divBdr>
    </w:div>
    <w:div w:id="826432218">
      <w:bodyDiv w:val="1"/>
      <w:marLeft w:val="0"/>
      <w:marRight w:val="0"/>
      <w:marTop w:val="0"/>
      <w:marBottom w:val="0"/>
      <w:divBdr>
        <w:top w:val="none" w:sz="0" w:space="0" w:color="auto"/>
        <w:left w:val="none" w:sz="0" w:space="0" w:color="auto"/>
        <w:bottom w:val="none" w:sz="0" w:space="0" w:color="auto"/>
        <w:right w:val="none" w:sz="0" w:space="0" w:color="auto"/>
      </w:divBdr>
    </w:div>
    <w:div w:id="861165740">
      <w:bodyDiv w:val="1"/>
      <w:marLeft w:val="0"/>
      <w:marRight w:val="0"/>
      <w:marTop w:val="0"/>
      <w:marBottom w:val="0"/>
      <w:divBdr>
        <w:top w:val="none" w:sz="0" w:space="0" w:color="auto"/>
        <w:left w:val="none" w:sz="0" w:space="0" w:color="auto"/>
        <w:bottom w:val="none" w:sz="0" w:space="0" w:color="auto"/>
        <w:right w:val="none" w:sz="0" w:space="0" w:color="auto"/>
      </w:divBdr>
    </w:div>
    <w:div w:id="904409375">
      <w:bodyDiv w:val="1"/>
      <w:marLeft w:val="0"/>
      <w:marRight w:val="0"/>
      <w:marTop w:val="0"/>
      <w:marBottom w:val="0"/>
      <w:divBdr>
        <w:top w:val="none" w:sz="0" w:space="0" w:color="auto"/>
        <w:left w:val="none" w:sz="0" w:space="0" w:color="auto"/>
        <w:bottom w:val="none" w:sz="0" w:space="0" w:color="auto"/>
        <w:right w:val="none" w:sz="0" w:space="0" w:color="auto"/>
      </w:divBdr>
    </w:div>
    <w:div w:id="920220268">
      <w:bodyDiv w:val="1"/>
      <w:marLeft w:val="0"/>
      <w:marRight w:val="0"/>
      <w:marTop w:val="0"/>
      <w:marBottom w:val="0"/>
      <w:divBdr>
        <w:top w:val="none" w:sz="0" w:space="0" w:color="auto"/>
        <w:left w:val="none" w:sz="0" w:space="0" w:color="auto"/>
        <w:bottom w:val="none" w:sz="0" w:space="0" w:color="auto"/>
        <w:right w:val="none" w:sz="0" w:space="0" w:color="auto"/>
      </w:divBdr>
    </w:div>
    <w:div w:id="963149427">
      <w:bodyDiv w:val="1"/>
      <w:marLeft w:val="0"/>
      <w:marRight w:val="0"/>
      <w:marTop w:val="0"/>
      <w:marBottom w:val="0"/>
      <w:divBdr>
        <w:top w:val="none" w:sz="0" w:space="0" w:color="auto"/>
        <w:left w:val="none" w:sz="0" w:space="0" w:color="auto"/>
        <w:bottom w:val="none" w:sz="0" w:space="0" w:color="auto"/>
        <w:right w:val="none" w:sz="0" w:space="0" w:color="auto"/>
      </w:divBdr>
    </w:div>
    <w:div w:id="1308516714">
      <w:bodyDiv w:val="1"/>
      <w:marLeft w:val="0"/>
      <w:marRight w:val="0"/>
      <w:marTop w:val="0"/>
      <w:marBottom w:val="0"/>
      <w:divBdr>
        <w:top w:val="none" w:sz="0" w:space="0" w:color="auto"/>
        <w:left w:val="none" w:sz="0" w:space="0" w:color="auto"/>
        <w:bottom w:val="none" w:sz="0" w:space="0" w:color="auto"/>
        <w:right w:val="none" w:sz="0" w:space="0" w:color="auto"/>
      </w:divBdr>
    </w:div>
    <w:div w:id="1582327817">
      <w:bodyDiv w:val="1"/>
      <w:marLeft w:val="0"/>
      <w:marRight w:val="0"/>
      <w:marTop w:val="0"/>
      <w:marBottom w:val="0"/>
      <w:divBdr>
        <w:top w:val="none" w:sz="0" w:space="0" w:color="auto"/>
        <w:left w:val="none" w:sz="0" w:space="0" w:color="auto"/>
        <w:bottom w:val="none" w:sz="0" w:space="0" w:color="auto"/>
        <w:right w:val="none" w:sz="0" w:space="0" w:color="auto"/>
      </w:divBdr>
    </w:div>
    <w:div w:id="1593591229">
      <w:bodyDiv w:val="1"/>
      <w:marLeft w:val="0"/>
      <w:marRight w:val="0"/>
      <w:marTop w:val="0"/>
      <w:marBottom w:val="0"/>
      <w:divBdr>
        <w:top w:val="none" w:sz="0" w:space="0" w:color="auto"/>
        <w:left w:val="none" w:sz="0" w:space="0" w:color="auto"/>
        <w:bottom w:val="none" w:sz="0" w:space="0" w:color="auto"/>
        <w:right w:val="none" w:sz="0" w:space="0" w:color="auto"/>
      </w:divBdr>
      <w:divsChild>
        <w:div w:id="651375075">
          <w:marLeft w:val="0"/>
          <w:marRight w:val="0"/>
          <w:marTop w:val="0"/>
          <w:marBottom w:val="0"/>
          <w:divBdr>
            <w:top w:val="none" w:sz="0" w:space="0" w:color="auto"/>
            <w:left w:val="none" w:sz="0" w:space="0" w:color="auto"/>
            <w:bottom w:val="none" w:sz="0" w:space="0" w:color="auto"/>
            <w:right w:val="none" w:sz="0" w:space="0" w:color="auto"/>
          </w:divBdr>
          <w:divsChild>
            <w:div w:id="2269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0766">
      <w:bodyDiv w:val="1"/>
      <w:marLeft w:val="0"/>
      <w:marRight w:val="0"/>
      <w:marTop w:val="0"/>
      <w:marBottom w:val="0"/>
      <w:divBdr>
        <w:top w:val="none" w:sz="0" w:space="0" w:color="auto"/>
        <w:left w:val="none" w:sz="0" w:space="0" w:color="auto"/>
        <w:bottom w:val="none" w:sz="0" w:space="0" w:color="auto"/>
        <w:right w:val="none" w:sz="0" w:space="0" w:color="auto"/>
      </w:divBdr>
    </w:div>
    <w:div w:id="1735011021">
      <w:bodyDiv w:val="1"/>
      <w:marLeft w:val="0"/>
      <w:marRight w:val="0"/>
      <w:marTop w:val="0"/>
      <w:marBottom w:val="0"/>
      <w:divBdr>
        <w:top w:val="none" w:sz="0" w:space="0" w:color="auto"/>
        <w:left w:val="none" w:sz="0" w:space="0" w:color="auto"/>
        <w:bottom w:val="none" w:sz="0" w:space="0" w:color="auto"/>
        <w:right w:val="none" w:sz="0" w:space="0" w:color="auto"/>
      </w:divBdr>
    </w:div>
    <w:div w:id="20588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cb.nic.in/openpdffile.php?id=UmVwb3J0RmlsZXMvMTQ5NF8xNjcxNzc3ODg2X21lZGlhcGhvdG8xODc0Ni5wZGY=" TargetMode="External"/><Relationship Id="rId18" Type="http://schemas.openxmlformats.org/officeDocument/2006/relationships/hyperlink" Target="https://doi.org/10.1016/j.ecoenv.2013.06.024" TargetMode="External"/><Relationship Id="rId26" Type="http://schemas.openxmlformats.org/officeDocument/2006/relationships/hyperlink" Target="https://doi.org/10.1016/j.envadv.2024.100471"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chemosphere.2016.02.080" TargetMode="External"/><Relationship Id="rId34" Type="http://schemas.openxmlformats.org/officeDocument/2006/relationships/hyperlink" Target="https://doi.org/10.1016/j.aep.2019.06.004" TargetMode="External"/><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3390/ani15070965" TargetMode="External"/><Relationship Id="rId17" Type="http://schemas.openxmlformats.org/officeDocument/2006/relationships/hyperlink" Target="https://doi.org/10.2478/v10102-010-0034-y" TargetMode="External"/><Relationship Id="rId25" Type="http://schemas.openxmlformats.org/officeDocument/2006/relationships/hyperlink" Target="https://doi.org/10.1016/j.etap.2019.03.015" TargetMode="External"/><Relationship Id="rId33" Type="http://schemas.openxmlformats.org/officeDocument/2006/relationships/hyperlink" Target="https://doi.org/10.1016/j.heliyon.2024.XXXXXX" TargetMode="External"/><Relationship Id="rId38" Type="http://schemas.openxmlformats.org/officeDocument/2006/relationships/hyperlink" Target="https://doi.org/10.1177/0739456X17723971"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biology14050472" TargetMode="External"/><Relationship Id="rId20" Type="http://schemas.openxmlformats.org/officeDocument/2006/relationships/hyperlink" Target="https://doi.org/10.1186/s40064-016-2478-9" TargetMode="External"/><Relationship Id="rId29" Type="http://schemas.openxmlformats.org/officeDocument/2006/relationships/hyperlink" Target="https://doi.org/10.1186/s41936-022-00323-5"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uatox.2018.05.001" TargetMode="External"/><Relationship Id="rId24" Type="http://schemas.openxmlformats.org/officeDocument/2006/relationships/hyperlink" Target="https://doi.org/10.1016/j.ecoenv.2020.111821" TargetMode="External"/><Relationship Id="rId32" Type="http://schemas.openxmlformats.org/officeDocument/2006/relationships/hyperlink" Target="https://doi.org/10.33263/LIANBS114.35583568" TargetMode="External"/><Relationship Id="rId37" Type="http://schemas.openxmlformats.org/officeDocument/2006/relationships/hyperlink" Target="https://doi.org/10.1016/S1382-6689(02)00126-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1356-019-06568-8" TargetMode="External"/><Relationship Id="rId23" Type="http://schemas.openxmlformats.org/officeDocument/2006/relationships/hyperlink" Target="https://doi.org/10.3727/105221623X16885586599226" TargetMode="External"/><Relationship Id="rId28" Type="http://schemas.openxmlformats.org/officeDocument/2006/relationships/hyperlink" Target="https://doi.org/10.1186/2046-4053-4-1" TargetMode="External"/><Relationship Id="rId36" Type="http://schemas.openxmlformats.org/officeDocument/2006/relationships/hyperlink" Target="https://doi.org/10.58414/SCIENTIFICTEMPER.2022.13.2.20" TargetMode="External"/><Relationship Id="rId10" Type="http://schemas.openxmlformats.org/officeDocument/2006/relationships/hyperlink" Target="https://neptjournal.com/upload-images/NL-63-6-%284%29-B-3474.pdf" TargetMode="External"/><Relationship Id="rId19" Type="http://schemas.openxmlformats.org/officeDocument/2006/relationships/hyperlink" Target="https://doi.org/10.1007/s10661-013-3537-4" TargetMode="External"/><Relationship Id="rId31" Type="http://schemas.openxmlformats.org/officeDocument/2006/relationships/hyperlink" Target="https://doi.org/10.37591/rrjot.v12i3.309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10653-024-02226-6" TargetMode="External"/><Relationship Id="rId14" Type="http://schemas.openxmlformats.org/officeDocument/2006/relationships/hyperlink" Target="https://doi.org/10.47780/jifsi.52.2.2020.109944" TargetMode="External"/><Relationship Id="rId22" Type="http://schemas.openxmlformats.org/officeDocument/2006/relationships/hyperlink" Target="https://doi.org/10.1007/s10641-021-01189-z" TargetMode="External"/><Relationship Id="rId27" Type="http://schemas.openxmlformats.org/officeDocument/2006/relationships/hyperlink" Target="https://doi.org/10.1371/journal.pmed.1000097" TargetMode="External"/><Relationship Id="rId30" Type="http://schemas.openxmlformats.org/officeDocument/2006/relationships/hyperlink" Target="https://doi.org/10.3390/w15163017" TargetMode="External"/><Relationship Id="rId35" Type="http://schemas.openxmlformats.org/officeDocument/2006/relationships/hyperlink" Target="https://doi.org/10.1038/s41598-023-48151-z"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17</Pages>
  <Words>5542</Words>
  <Characters>31592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2025-08-17T06:45:00Z</dcterms:created>
  <dcterms:modified xsi:type="dcterms:W3CDTF">2025-12-12T17:15:00Z</dcterms:modified>
</cp:coreProperties>
</file>